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929F1"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b/>
          <w:color w:val="000000"/>
        </w:rPr>
        <w:t xml:space="preserve">Name of Journal: </w:t>
      </w:r>
      <w:r w:rsidRPr="00696F41">
        <w:rPr>
          <w:rFonts w:ascii="Book Antiqua" w:eastAsia="Book Antiqua" w:hAnsi="Book Antiqua" w:cs="Book Antiqua"/>
          <w:i/>
          <w:color w:val="000000"/>
        </w:rPr>
        <w:t>World Journal of Nephrology</w:t>
      </w:r>
    </w:p>
    <w:p w14:paraId="1C4ADD4B"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b/>
          <w:color w:val="000000"/>
        </w:rPr>
        <w:t xml:space="preserve">Manuscript NO: </w:t>
      </w:r>
      <w:r w:rsidRPr="00696F41">
        <w:rPr>
          <w:rFonts w:ascii="Book Antiqua" w:eastAsia="Book Antiqua" w:hAnsi="Book Antiqua" w:cs="Book Antiqua"/>
          <w:color w:val="000000"/>
        </w:rPr>
        <w:t>67983</w:t>
      </w:r>
    </w:p>
    <w:p w14:paraId="7F183872"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b/>
          <w:color w:val="000000"/>
        </w:rPr>
        <w:t xml:space="preserve">Manuscript Type: </w:t>
      </w:r>
      <w:r w:rsidRPr="00696F41">
        <w:rPr>
          <w:rFonts w:ascii="Book Antiqua" w:eastAsia="Book Antiqua" w:hAnsi="Book Antiqua" w:cs="Book Antiqua"/>
          <w:color w:val="000000"/>
        </w:rPr>
        <w:t>ORIGINAL ARTICLE</w:t>
      </w:r>
    </w:p>
    <w:p w14:paraId="5F3A6213" w14:textId="77777777" w:rsidR="00A77B3E" w:rsidRPr="00696F41" w:rsidRDefault="00A77B3E" w:rsidP="00107B1E">
      <w:pPr>
        <w:spacing w:line="360" w:lineRule="auto"/>
        <w:jc w:val="both"/>
        <w:rPr>
          <w:rFonts w:ascii="Book Antiqua" w:hAnsi="Book Antiqua"/>
        </w:rPr>
      </w:pPr>
    </w:p>
    <w:p w14:paraId="5DD16C0F"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b/>
          <w:i/>
          <w:color w:val="000000"/>
        </w:rPr>
        <w:t>Prospective Study</w:t>
      </w:r>
    </w:p>
    <w:p w14:paraId="462B70A3"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b/>
          <w:color w:val="000000"/>
        </w:rPr>
        <w:t xml:space="preserve">Efficacy and </w:t>
      </w:r>
      <w:r w:rsidR="00D23C58" w:rsidRPr="00696F41">
        <w:rPr>
          <w:rFonts w:ascii="Book Antiqua" w:hAnsi="Book Antiqua" w:cs="Book Antiqua" w:hint="eastAsia"/>
          <w:b/>
          <w:color w:val="000000"/>
          <w:lang w:eastAsia="zh-CN"/>
        </w:rPr>
        <w:t>s</w:t>
      </w:r>
      <w:r w:rsidRPr="00696F41">
        <w:rPr>
          <w:rFonts w:ascii="Book Antiqua" w:eastAsia="Book Antiqua" w:hAnsi="Book Antiqua" w:cs="Book Antiqua"/>
          <w:b/>
          <w:color w:val="000000"/>
        </w:rPr>
        <w:t xml:space="preserve">afety of </w:t>
      </w:r>
      <w:r w:rsidR="00D23C58" w:rsidRPr="00696F41">
        <w:rPr>
          <w:rFonts w:ascii="Book Antiqua" w:hAnsi="Book Antiqua" w:cs="Book Antiqua" w:hint="eastAsia"/>
          <w:b/>
          <w:color w:val="000000"/>
          <w:lang w:eastAsia="zh-CN"/>
        </w:rPr>
        <w:t>r</w:t>
      </w:r>
      <w:r w:rsidRPr="00696F41">
        <w:rPr>
          <w:rFonts w:ascii="Book Antiqua" w:eastAsia="Book Antiqua" w:hAnsi="Book Antiqua" w:cs="Book Antiqua"/>
          <w:b/>
          <w:color w:val="000000"/>
        </w:rPr>
        <w:t xml:space="preserve">ecombinant </w:t>
      </w:r>
      <w:r w:rsidR="00D23C58" w:rsidRPr="00696F41">
        <w:rPr>
          <w:rFonts w:ascii="Book Antiqua" w:hAnsi="Book Antiqua" w:cs="Book Antiqua" w:hint="eastAsia"/>
          <w:b/>
          <w:color w:val="000000"/>
          <w:lang w:eastAsia="zh-CN"/>
        </w:rPr>
        <w:t>h</w:t>
      </w:r>
      <w:r w:rsidRPr="00696F41">
        <w:rPr>
          <w:rFonts w:ascii="Book Antiqua" w:eastAsia="Book Antiqua" w:hAnsi="Book Antiqua" w:cs="Book Antiqua"/>
          <w:b/>
          <w:color w:val="000000"/>
        </w:rPr>
        <w:t xml:space="preserve">uman </w:t>
      </w:r>
      <w:r w:rsidR="00D23C58" w:rsidRPr="00696F41">
        <w:rPr>
          <w:rFonts w:ascii="Book Antiqua" w:hAnsi="Book Antiqua" w:cs="Book Antiqua" w:hint="eastAsia"/>
          <w:b/>
          <w:color w:val="000000"/>
          <w:lang w:eastAsia="zh-CN"/>
        </w:rPr>
        <w:t>e</w:t>
      </w:r>
      <w:r w:rsidRPr="00696F41">
        <w:rPr>
          <w:rFonts w:ascii="Book Antiqua" w:eastAsia="Book Antiqua" w:hAnsi="Book Antiqua" w:cs="Book Antiqua"/>
          <w:b/>
          <w:color w:val="000000"/>
        </w:rPr>
        <w:t xml:space="preserve">rythropoietin (Hema-Plus®) for </w:t>
      </w:r>
      <w:r w:rsidR="00D23C58" w:rsidRPr="00696F41">
        <w:rPr>
          <w:rFonts w:ascii="Book Antiqua" w:hAnsi="Book Antiqua" w:cs="Book Antiqua" w:hint="eastAsia"/>
          <w:b/>
          <w:color w:val="000000"/>
          <w:lang w:eastAsia="zh-CN"/>
        </w:rPr>
        <w:t>m</w:t>
      </w:r>
      <w:r w:rsidRPr="00696F41">
        <w:rPr>
          <w:rFonts w:ascii="Book Antiqua" w:eastAsia="Book Antiqua" w:hAnsi="Book Antiqua" w:cs="Book Antiqua"/>
          <w:b/>
          <w:color w:val="000000"/>
        </w:rPr>
        <w:t xml:space="preserve">anagement of </w:t>
      </w:r>
      <w:r w:rsidR="00D23C58" w:rsidRPr="00696F41">
        <w:rPr>
          <w:rFonts w:ascii="Book Antiqua" w:hAnsi="Book Antiqua" w:cs="Book Antiqua" w:hint="eastAsia"/>
          <w:b/>
          <w:color w:val="000000"/>
          <w:lang w:eastAsia="zh-CN"/>
        </w:rPr>
        <w:t>a</w:t>
      </w:r>
      <w:r w:rsidRPr="00696F41">
        <w:rPr>
          <w:rFonts w:ascii="Book Antiqua" w:eastAsia="Book Antiqua" w:hAnsi="Book Antiqua" w:cs="Book Antiqua"/>
          <w:b/>
          <w:color w:val="000000"/>
        </w:rPr>
        <w:t xml:space="preserve">nemia in </w:t>
      </w:r>
      <w:r w:rsidR="00D23C58" w:rsidRPr="00696F41">
        <w:rPr>
          <w:rFonts w:ascii="Book Antiqua" w:hAnsi="Book Antiqua" w:cs="Book Antiqua" w:hint="eastAsia"/>
          <w:b/>
          <w:color w:val="000000"/>
          <w:lang w:eastAsia="zh-CN"/>
        </w:rPr>
        <w:t>t</w:t>
      </w:r>
      <w:r w:rsidRPr="00696F41">
        <w:rPr>
          <w:rFonts w:ascii="Book Antiqua" w:eastAsia="Book Antiqua" w:hAnsi="Book Antiqua" w:cs="Book Antiqua"/>
          <w:b/>
          <w:color w:val="000000"/>
        </w:rPr>
        <w:t xml:space="preserve">hai </w:t>
      </w:r>
      <w:r w:rsidR="00D23C58" w:rsidRPr="00696F41">
        <w:rPr>
          <w:rFonts w:ascii="Book Antiqua" w:hAnsi="Book Antiqua" w:cs="Book Antiqua" w:hint="eastAsia"/>
          <w:b/>
          <w:color w:val="000000"/>
          <w:lang w:eastAsia="zh-CN"/>
        </w:rPr>
        <w:t>p</w:t>
      </w:r>
      <w:r w:rsidRPr="00696F41">
        <w:rPr>
          <w:rFonts w:ascii="Book Antiqua" w:eastAsia="Book Antiqua" w:hAnsi="Book Antiqua" w:cs="Book Antiqua"/>
          <w:b/>
          <w:color w:val="000000"/>
        </w:rPr>
        <w:t xml:space="preserve">atients on </w:t>
      </w:r>
      <w:r w:rsidR="00D23C58" w:rsidRPr="00696F41">
        <w:rPr>
          <w:rFonts w:ascii="Book Antiqua" w:hAnsi="Book Antiqua" w:cs="Book Antiqua" w:hint="eastAsia"/>
          <w:b/>
          <w:color w:val="000000"/>
          <w:lang w:eastAsia="zh-CN"/>
        </w:rPr>
        <w:t>p</w:t>
      </w:r>
      <w:r w:rsidRPr="00696F41">
        <w:rPr>
          <w:rFonts w:ascii="Book Antiqua" w:eastAsia="Book Antiqua" w:hAnsi="Book Antiqua" w:cs="Book Antiqua"/>
          <w:b/>
          <w:color w:val="000000"/>
        </w:rPr>
        <w:t xml:space="preserve">eritoneal </w:t>
      </w:r>
      <w:r w:rsidR="00D23C58" w:rsidRPr="00696F41">
        <w:rPr>
          <w:rFonts w:ascii="Book Antiqua" w:hAnsi="Book Antiqua" w:cs="Book Antiqua" w:hint="eastAsia"/>
          <w:b/>
          <w:color w:val="000000"/>
          <w:lang w:eastAsia="zh-CN"/>
        </w:rPr>
        <w:t>d</w:t>
      </w:r>
      <w:r w:rsidRPr="00696F41">
        <w:rPr>
          <w:rFonts w:ascii="Book Antiqua" w:eastAsia="Book Antiqua" w:hAnsi="Book Antiqua" w:cs="Book Antiqua"/>
          <w:b/>
          <w:color w:val="000000"/>
        </w:rPr>
        <w:t>ialysis</w:t>
      </w:r>
    </w:p>
    <w:p w14:paraId="0B8CFA5B" w14:textId="77777777" w:rsidR="00A77B3E" w:rsidRPr="00696F41" w:rsidRDefault="00A77B3E" w:rsidP="00107B1E">
      <w:pPr>
        <w:spacing w:line="360" w:lineRule="auto"/>
        <w:jc w:val="both"/>
        <w:rPr>
          <w:rFonts w:ascii="Book Antiqua" w:hAnsi="Book Antiqua"/>
        </w:rPr>
      </w:pPr>
    </w:p>
    <w:p w14:paraId="3A6D2011" w14:textId="77777777" w:rsidR="00A77B3E" w:rsidRPr="00696F41" w:rsidRDefault="003F7ADF" w:rsidP="00107B1E">
      <w:pPr>
        <w:spacing w:line="360" w:lineRule="auto"/>
        <w:jc w:val="both"/>
        <w:rPr>
          <w:rFonts w:ascii="Book Antiqua" w:hAnsi="Book Antiqua"/>
        </w:rPr>
      </w:pPr>
      <w:r w:rsidRPr="00696F41">
        <w:rPr>
          <w:rFonts w:ascii="Book Antiqua" w:eastAsia="Book Antiqua" w:hAnsi="Book Antiqua" w:cs="Book Antiqua"/>
          <w:color w:val="000000"/>
        </w:rPr>
        <w:t xml:space="preserve">Chuengsaman </w:t>
      </w:r>
      <w:r w:rsidRPr="00696F41">
        <w:rPr>
          <w:rFonts w:ascii="Book Antiqua" w:hAnsi="Book Antiqua" w:cs="Book Antiqua" w:hint="eastAsia"/>
          <w:color w:val="000000"/>
          <w:lang w:eastAsia="zh-CN"/>
        </w:rPr>
        <w:t xml:space="preserve">P </w:t>
      </w:r>
      <w:r w:rsidRPr="00696F41">
        <w:rPr>
          <w:rFonts w:ascii="Book Antiqua" w:hAnsi="Book Antiqua" w:cs="Book Antiqua" w:hint="eastAsia"/>
          <w:i/>
          <w:color w:val="000000"/>
          <w:lang w:eastAsia="zh-CN"/>
        </w:rPr>
        <w:t>et al</w:t>
      </w:r>
      <w:r w:rsidRPr="00696F41">
        <w:rPr>
          <w:rFonts w:ascii="Book Antiqua" w:hAnsi="Book Antiqua" w:cs="Book Antiqua" w:hint="eastAsia"/>
          <w:color w:val="000000"/>
          <w:lang w:eastAsia="zh-CN"/>
        </w:rPr>
        <w:t xml:space="preserve">. </w:t>
      </w:r>
      <w:r w:rsidR="00485933" w:rsidRPr="00696F41">
        <w:rPr>
          <w:rFonts w:ascii="Book Antiqua" w:eastAsia="Book Antiqua" w:hAnsi="Book Antiqua" w:cs="Book Antiqua"/>
          <w:color w:val="000000"/>
        </w:rPr>
        <w:t xml:space="preserve">rHuEPO (Hema-Plus®) in Thai PD </w:t>
      </w:r>
      <w:r w:rsidR="00B50C0C" w:rsidRPr="00696F41">
        <w:rPr>
          <w:rFonts w:ascii="Book Antiqua" w:hAnsi="Book Antiqua" w:cs="Book Antiqua" w:hint="eastAsia"/>
          <w:color w:val="000000"/>
          <w:lang w:eastAsia="zh-CN"/>
        </w:rPr>
        <w:t>p</w:t>
      </w:r>
      <w:r w:rsidR="00485933" w:rsidRPr="00696F41">
        <w:rPr>
          <w:rFonts w:ascii="Book Antiqua" w:eastAsia="Book Antiqua" w:hAnsi="Book Antiqua" w:cs="Book Antiqua"/>
          <w:color w:val="000000"/>
        </w:rPr>
        <w:t>atients</w:t>
      </w:r>
    </w:p>
    <w:p w14:paraId="0774100F" w14:textId="77777777" w:rsidR="00A77B3E" w:rsidRPr="00696F41" w:rsidRDefault="00A77B3E" w:rsidP="00107B1E">
      <w:pPr>
        <w:spacing w:line="360" w:lineRule="auto"/>
        <w:jc w:val="both"/>
        <w:rPr>
          <w:rFonts w:ascii="Book Antiqua" w:hAnsi="Book Antiqua"/>
        </w:rPr>
      </w:pPr>
    </w:p>
    <w:p w14:paraId="0A98C7CD"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color w:val="000000"/>
        </w:rPr>
        <w:t>Piyatida Chuengsaman, Surapong Narenpitak, Suchai Sritippayawan</w:t>
      </w:r>
    </w:p>
    <w:p w14:paraId="2235A75E" w14:textId="77777777" w:rsidR="00A77B3E" w:rsidRPr="00696F41" w:rsidRDefault="00A77B3E" w:rsidP="00107B1E">
      <w:pPr>
        <w:spacing w:line="360" w:lineRule="auto"/>
        <w:jc w:val="both"/>
        <w:rPr>
          <w:rFonts w:ascii="Book Antiqua" w:hAnsi="Book Antiqua"/>
        </w:rPr>
      </w:pPr>
    </w:p>
    <w:p w14:paraId="7F6274D8"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b/>
          <w:bCs/>
          <w:color w:val="000000"/>
        </w:rPr>
        <w:t xml:space="preserve">Piyatida Chuengsaman, </w:t>
      </w:r>
      <w:r w:rsidRPr="00696F41">
        <w:rPr>
          <w:rFonts w:ascii="Book Antiqua" w:eastAsia="Book Antiqua" w:hAnsi="Book Antiqua" w:cs="Book Antiqua"/>
          <w:color w:val="000000"/>
        </w:rPr>
        <w:t>Banphaeo Dialysis Group, Banphaeo Hospital (Public Organization), Banphaeo 74120, Samutsakhon, Thailand</w:t>
      </w:r>
    </w:p>
    <w:p w14:paraId="7F298F68" w14:textId="77777777" w:rsidR="00A77B3E" w:rsidRPr="00696F41" w:rsidRDefault="00A77B3E" w:rsidP="00107B1E">
      <w:pPr>
        <w:spacing w:line="360" w:lineRule="auto"/>
        <w:jc w:val="both"/>
        <w:rPr>
          <w:rFonts w:ascii="Book Antiqua" w:hAnsi="Book Antiqua"/>
        </w:rPr>
      </w:pPr>
    </w:p>
    <w:p w14:paraId="786F7C3E"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b/>
          <w:bCs/>
          <w:color w:val="000000"/>
        </w:rPr>
        <w:t xml:space="preserve">Surapong Narenpitak, </w:t>
      </w:r>
      <w:r w:rsidRPr="00696F41">
        <w:rPr>
          <w:rFonts w:ascii="Book Antiqua" w:eastAsia="Book Antiqua" w:hAnsi="Book Antiqua" w:cs="Book Antiqua"/>
          <w:color w:val="000000"/>
        </w:rPr>
        <w:t>Department of Medicine, Udon Thani Hospital, Udon Thani 41000, Thailand</w:t>
      </w:r>
    </w:p>
    <w:p w14:paraId="67FE5347" w14:textId="77777777" w:rsidR="00A77B3E" w:rsidRPr="00696F41" w:rsidRDefault="00A77B3E" w:rsidP="00107B1E">
      <w:pPr>
        <w:spacing w:line="360" w:lineRule="auto"/>
        <w:jc w:val="both"/>
        <w:rPr>
          <w:rFonts w:ascii="Book Antiqua" w:hAnsi="Book Antiqua"/>
        </w:rPr>
      </w:pPr>
    </w:p>
    <w:p w14:paraId="22CDB545"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b/>
          <w:bCs/>
          <w:color w:val="000000"/>
        </w:rPr>
        <w:t xml:space="preserve">Suchai Sritippayawan, </w:t>
      </w:r>
      <w:r w:rsidRPr="00696F41">
        <w:rPr>
          <w:rFonts w:ascii="Book Antiqua" w:eastAsia="Book Antiqua" w:hAnsi="Book Antiqua" w:cs="Book Antiqua"/>
          <w:color w:val="000000"/>
        </w:rPr>
        <w:t>Department of Medicine, Faculty of Medicine, Siriraj Hospital, Mahidol University, Bangkok 10700, Thailand</w:t>
      </w:r>
    </w:p>
    <w:p w14:paraId="48AFCFD0" w14:textId="77777777" w:rsidR="00A77B3E" w:rsidRPr="00696F41" w:rsidRDefault="00A77B3E" w:rsidP="00107B1E">
      <w:pPr>
        <w:spacing w:line="360" w:lineRule="auto"/>
        <w:jc w:val="both"/>
        <w:rPr>
          <w:rFonts w:ascii="Book Antiqua" w:hAnsi="Book Antiqua"/>
        </w:rPr>
      </w:pPr>
    </w:p>
    <w:p w14:paraId="1BC43DCD" w14:textId="77777777" w:rsidR="00A77B3E" w:rsidRPr="00696F41" w:rsidRDefault="00485933" w:rsidP="00107B1E">
      <w:pPr>
        <w:spacing w:line="360" w:lineRule="auto"/>
        <w:jc w:val="both"/>
        <w:rPr>
          <w:rFonts w:ascii="Book Antiqua" w:hAnsi="Book Antiqua"/>
          <w:lang w:eastAsia="zh-CN"/>
        </w:rPr>
      </w:pPr>
      <w:r w:rsidRPr="00696F41">
        <w:rPr>
          <w:rFonts w:ascii="Book Antiqua" w:eastAsia="Book Antiqua" w:hAnsi="Book Antiqua" w:cs="Book Antiqua"/>
          <w:b/>
          <w:bCs/>
          <w:color w:val="000000"/>
        </w:rPr>
        <w:t xml:space="preserve">Author contributions: </w:t>
      </w:r>
      <w:r w:rsidRPr="00696F41">
        <w:rPr>
          <w:rFonts w:ascii="Book Antiqua" w:eastAsia="Book Antiqua" w:hAnsi="Book Antiqua" w:cs="Book Antiqua"/>
          <w:color w:val="000000"/>
        </w:rPr>
        <w:t>All authors contributed in design and oversight of the study, and were involved with data collection at their sites</w:t>
      </w:r>
      <w:r w:rsidR="003F7ADF" w:rsidRPr="00696F41">
        <w:rPr>
          <w:rFonts w:ascii="Book Antiqua" w:hAnsi="Book Antiqua" w:cs="Book Antiqua" w:hint="eastAsia"/>
          <w:color w:val="000000"/>
          <w:lang w:eastAsia="zh-CN"/>
        </w:rPr>
        <w:t>,</w:t>
      </w:r>
      <w:r w:rsidRPr="00696F41">
        <w:rPr>
          <w:rFonts w:ascii="Book Antiqua" w:eastAsia="Book Antiqua" w:hAnsi="Book Antiqua" w:cs="Book Antiqua"/>
          <w:color w:val="000000"/>
        </w:rPr>
        <w:t xml:space="preserve"> reviewed the results from statistical analysis and interpretation of the statistic results</w:t>
      </w:r>
      <w:r w:rsidR="003F7ADF" w:rsidRPr="00696F41">
        <w:rPr>
          <w:rFonts w:ascii="Book Antiqua" w:hAnsi="Book Antiqua" w:cs="Book Antiqua" w:hint="eastAsia"/>
          <w:color w:val="000000"/>
          <w:lang w:eastAsia="zh-CN"/>
        </w:rPr>
        <w:t xml:space="preserve">, </w:t>
      </w:r>
      <w:r w:rsidR="003F7ADF" w:rsidRPr="00696F41">
        <w:rPr>
          <w:rFonts w:ascii="Book Antiqua" w:eastAsia="Book Antiqua" w:hAnsi="Book Antiqua" w:cs="Book Antiqua"/>
          <w:color w:val="000000"/>
        </w:rPr>
        <w:t>read and approved the final manuscript</w:t>
      </w:r>
      <w:r w:rsidR="003F7ADF" w:rsidRPr="00696F41">
        <w:rPr>
          <w:rFonts w:ascii="Book Antiqua" w:hAnsi="Book Antiqua" w:cs="Book Antiqua" w:hint="eastAsia"/>
          <w:color w:val="000000"/>
          <w:lang w:eastAsia="zh-CN"/>
        </w:rPr>
        <w:t>;</w:t>
      </w:r>
      <w:r w:rsidRPr="00696F41">
        <w:rPr>
          <w:rFonts w:ascii="Book Antiqua" w:eastAsia="Book Antiqua" w:hAnsi="Book Antiqua" w:cs="Book Antiqua"/>
          <w:color w:val="000000"/>
        </w:rPr>
        <w:t xml:space="preserve"> Chuengsaman P</w:t>
      </w:r>
      <w:r w:rsidR="003F7ADF" w:rsidRPr="00696F41">
        <w:rPr>
          <w:rFonts w:ascii="Book Antiqua" w:eastAsia="Book Antiqua" w:hAnsi="Book Antiqua" w:cs="Book Antiqua"/>
          <w:color w:val="000000"/>
        </w:rPr>
        <w:t xml:space="preserve"> mainly drafted the manuscript</w:t>
      </w:r>
      <w:r w:rsidR="003F7ADF" w:rsidRPr="00696F41">
        <w:rPr>
          <w:rFonts w:ascii="Book Antiqua" w:hAnsi="Book Antiqua" w:cs="Book Antiqua" w:hint="eastAsia"/>
          <w:color w:val="000000"/>
          <w:lang w:eastAsia="zh-CN"/>
        </w:rPr>
        <w:t>.</w:t>
      </w:r>
    </w:p>
    <w:p w14:paraId="52838FC7" w14:textId="77777777" w:rsidR="00A77B3E" w:rsidRPr="00696F41" w:rsidRDefault="00A77B3E" w:rsidP="00107B1E">
      <w:pPr>
        <w:spacing w:line="360" w:lineRule="auto"/>
        <w:jc w:val="both"/>
        <w:rPr>
          <w:rFonts w:ascii="Book Antiqua" w:hAnsi="Book Antiqua"/>
        </w:rPr>
      </w:pPr>
    </w:p>
    <w:p w14:paraId="1C2FA8E0"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b/>
          <w:bCs/>
          <w:color w:val="000000"/>
        </w:rPr>
        <w:t xml:space="preserve">Corresponding author: Piyatida Chuengsaman, MD, Doctor, </w:t>
      </w:r>
      <w:r w:rsidRPr="00696F41">
        <w:rPr>
          <w:rFonts w:ascii="Book Antiqua" w:eastAsia="Book Antiqua" w:hAnsi="Book Antiqua" w:cs="Book Antiqua"/>
          <w:color w:val="000000"/>
        </w:rPr>
        <w:t>Banphaeo Dialysis Group, Banphaeo Hospital (Public Organization), 198 Moo 1 Banphaeo, Banphaeo 74120, Samutsakhon, Thailand. pchuengsaman@gmail.com</w:t>
      </w:r>
    </w:p>
    <w:p w14:paraId="6B6E5C35" w14:textId="77777777" w:rsidR="00A77B3E" w:rsidRPr="00696F41" w:rsidRDefault="00A77B3E" w:rsidP="00107B1E">
      <w:pPr>
        <w:spacing w:line="360" w:lineRule="auto"/>
        <w:jc w:val="both"/>
        <w:rPr>
          <w:rFonts w:ascii="Book Antiqua" w:hAnsi="Book Antiqua"/>
        </w:rPr>
      </w:pPr>
    </w:p>
    <w:p w14:paraId="03D45E5C"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b/>
          <w:bCs/>
          <w:color w:val="000000"/>
        </w:rPr>
        <w:t xml:space="preserve">Received: </w:t>
      </w:r>
      <w:r w:rsidRPr="00696F41">
        <w:rPr>
          <w:rFonts w:ascii="Book Antiqua" w:eastAsia="Book Antiqua" w:hAnsi="Book Antiqua" w:cs="Book Antiqua"/>
          <w:color w:val="000000"/>
        </w:rPr>
        <w:t>May 9, 2021</w:t>
      </w:r>
    </w:p>
    <w:p w14:paraId="0534A1B4"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b/>
          <w:bCs/>
          <w:color w:val="000000"/>
        </w:rPr>
        <w:t xml:space="preserve">Revised: </w:t>
      </w:r>
      <w:r w:rsidR="003F7ADF" w:rsidRPr="00696F41">
        <w:rPr>
          <w:rFonts w:ascii="Book Antiqua" w:hAnsi="Book Antiqua"/>
        </w:rPr>
        <w:t>August 19, 2021</w:t>
      </w:r>
    </w:p>
    <w:p w14:paraId="4F2C254C" w14:textId="2976B97B"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b/>
          <w:bCs/>
          <w:color w:val="000000"/>
        </w:rPr>
        <w:t xml:space="preserve">Accepted: </w:t>
      </w:r>
      <w:r w:rsidR="00AA2F8B" w:rsidRPr="00696F41">
        <w:rPr>
          <w:rFonts w:ascii="Book Antiqua" w:eastAsia="Book Antiqua" w:hAnsi="Book Antiqua" w:cs="Book Antiqua"/>
          <w:color w:val="000000"/>
        </w:rPr>
        <w:t>September 15, 2021</w:t>
      </w:r>
    </w:p>
    <w:p w14:paraId="6B9FA335" w14:textId="044EFBA4"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b/>
          <w:bCs/>
          <w:color w:val="000000"/>
        </w:rPr>
        <w:t>Published online:</w:t>
      </w:r>
      <w:r w:rsidRPr="00696F41">
        <w:rPr>
          <w:rFonts w:ascii="Book Antiqua" w:eastAsia="Book Antiqua" w:hAnsi="Book Antiqua" w:cs="Book Antiqua"/>
          <w:color w:val="000000"/>
        </w:rPr>
        <w:t xml:space="preserve"> </w:t>
      </w:r>
      <w:r w:rsidR="00C630BC" w:rsidRPr="00696F41">
        <w:rPr>
          <w:rFonts w:ascii="Book Antiqua" w:eastAsia="Book Antiqua" w:hAnsi="Book Antiqua" w:cs="Book Antiqua"/>
          <w:color w:val="000000"/>
        </w:rPr>
        <w:t>November 25, 2021</w:t>
      </w:r>
    </w:p>
    <w:p w14:paraId="664516D9" w14:textId="77777777" w:rsidR="003F7ADF" w:rsidRPr="00696F41" w:rsidRDefault="003F7ADF" w:rsidP="00107B1E">
      <w:pPr>
        <w:spacing w:line="360" w:lineRule="auto"/>
        <w:jc w:val="both"/>
        <w:rPr>
          <w:rFonts w:ascii="Book Antiqua" w:hAnsi="Book Antiqua"/>
          <w:lang w:eastAsia="zh-CN"/>
        </w:rPr>
      </w:pPr>
    </w:p>
    <w:p w14:paraId="038A6092"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b/>
          <w:color w:val="000000"/>
        </w:rPr>
        <w:t>Abstract</w:t>
      </w:r>
    </w:p>
    <w:p w14:paraId="6EA77D6E"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color w:val="000000"/>
        </w:rPr>
        <w:t>BACKGROUND</w:t>
      </w:r>
    </w:p>
    <w:p w14:paraId="2A83CE3D"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color w:val="000000"/>
        </w:rPr>
        <w:t>Hema-Plus, a recombinant human erythropoietin (rHuEPO) or epoetin alfa has shown effectiveness in correction of anemia in Thai population in clinica</w:t>
      </w:r>
      <w:r w:rsidR="002B3A27" w:rsidRPr="00696F41">
        <w:rPr>
          <w:rFonts w:ascii="Book Antiqua" w:eastAsia="Book Antiqua" w:hAnsi="Book Antiqua" w:cs="Book Antiqua"/>
          <w:color w:val="000000"/>
        </w:rPr>
        <w:t>l practice.</w:t>
      </w:r>
      <w:r w:rsidRPr="00696F41">
        <w:rPr>
          <w:rFonts w:ascii="Book Antiqua" w:eastAsia="Book Antiqua" w:hAnsi="Book Antiqua" w:cs="Book Antiqua"/>
          <w:color w:val="000000"/>
        </w:rPr>
        <w:t xml:space="preserve"> This study was aimed to demonstrate efficacy and safety under the evidence-based approach.</w:t>
      </w:r>
    </w:p>
    <w:p w14:paraId="1D8BB595" w14:textId="77777777" w:rsidR="00A77B3E" w:rsidRPr="00696F41" w:rsidRDefault="00A77B3E" w:rsidP="00107B1E">
      <w:pPr>
        <w:spacing w:line="360" w:lineRule="auto"/>
        <w:jc w:val="both"/>
        <w:rPr>
          <w:rFonts w:ascii="Book Antiqua" w:hAnsi="Book Antiqua"/>
        </w:rPr>
      </w:pPr>
    </w:p>
    <w:p w14:paraId="13C1CA2E"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color w:val="000000"/>
        </w:rPr>
        <w:t>AIM</w:t>
      </w:r>
    </w:p>
    <w:p w14:paraId="0C761145"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color w:val="000000"/>
        </w:rPr>
        <w:t>To evaluate the efficacy and safety of rHuEPO (Hema-Plus) for treatment of anemia over 12 wk in Thai patients with Stage V chronic kidney disease (CKD) on peritoneal dialysis (PD).</w:t>
      </w:r>
    </w:p>
    <w:p w14:paraId="28812D47" w14:textId="77777777" w:rsidR="00A77B3E" w:rsidRPr="00696F41" w:rsidRDefault="00A77B3E" w:rsidP="00107B1E">
      <w:pPr>
        <w:spacing w:line="360" w:lineRule="auto"/>
        <w:jc w:val="both"/>
        <w:rPr>
          <w:rFonts w:ascii="Book Antiqua" w:hAnsi="Book Antiqua"/>
        </w:rPr>
      </w:pPr>
    </w:p>
    <w:p w14:paraId="7EB2D2E2"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color w:val="000000"/>
        </w:rPr>
        <w:t>METHODS</w:t>
      </w:r>
    </w:p>
    <w:p w14:paraId="2D511CFE" w14:textId="77777777" w:rsidR="00A77B3E" w:rsidRPr="00696F41" w:rsidRDefault="00485933" w:rsidP="00107B1E">
      <w:pPr>
        <w:spacing w:line="360" w:lineRule="auto"/>
        <w:jc w:val="both"/>
        <w:rPr>
          <w:rFonts w:ascii="Book Antiqua" w:hAnsi="Book Antiqua"/>
          <w:lang w:eastAsia="zh-CN"/>
        </w:rPr>
      </w:pPr>
      <w:r w:rsidRPr="00696F41">
        <w:rPr>
          <w:rFonts w:ascii="Book Antiqua" w:eastAsia="Book Antiqua" w:hAnsi="Book Antiqua" w:cs="Book Antiqua"/>
          <w:color w:val="000000"/>
        </w:rPr>
        <w:t>This study was an open-label, multi-center study to enroll 30 CKD patients identified to start PD with hemoglobin (Hb) less than 9.5 g/dL, serum ferritin more than 100 ng/m</w:t>
      </w:r>
      <w:r w:rsidR="002B3A27" w:rsidRPr="00696F41">
        <w:rPr>
          <w:rFonts w:ascii="Book Antiqua" w:eastAsia="Book Antiqua" w:hAnsi="Book Antiqua" w:cs="Book Antiqua"/>
          <w:color w:val="000000"/>
        </w:rPr>
        <w:t>L, serum transferrin saturation</w:t>
      </w:r>
      <w:r w:rsidRPr="00696F41">
        <w:rPr>
          <w:rFonts w:ascii="Book Antiqua" w:eastAsia="Book Antiqua" w:hAnsi="Book Antiqua" w:cs="Book Antiqua"/>
          <w:color w:val="000000"/>
        </w:rPr>
        <w:t xml:space="preserve"> more than or equal to 20% and who had n</w:t>
      </w:r>
      <w:r w:rsidR="002B3A27" w:rsidRPr="00696F41">
        <w:rPr>
          <w:rFonts w:ascii="Book Antiqua" w:eastAsia="Book Antiqua" w:hAnsi="Book Antiqua" w:cs="Book Antiqua"/>
          <w:color w:val="000000"/>
        </w:rPr>
        <w:t>ot previously received epoetin.</w:t>
      </w:r>
      <w:r w:rsidRPr="00696F41">
        <w:rPr>
          <w:rFonts w:ascii="Book Antiqua" w:eastAsia="Book Antiqua" w:hAnsi="Book Antiqua" w:cs="Book Antiqua"/>
          <w:color w:val="000000"/>
        </w:rPr>
        <w:t xml:space="preserve"> Patients with conditions that could increase the risk of adverse effects from study participation or interfere with study outcomes, were using concomitant androgens or had secondary hype</w:t>
      </w:r>
      <w:r w:rsidR="002B3A27" w:rsidRPr="00696F41">
        <w:rPr>
          <w:rFonts w:ascii="Book Antiqua" w:eastAsia="Book Antiqua" w:hAnsi="Book Antiqua" w:cs="Book Antiqua"/>
          <w:color w:val="000000"/>
        </w:rPr>
        <w:t xml:space="preserve">rparathyroidism were excluded. </w:t>
      </w:r>
      <w:r w:rsidRPr="00696F41">
        <w:rPr>
          <w:rFonts w:ascii="Book Antiqua" w:eastAsia="Book Antiqua" w:hAnsi="Book Antiqua" w:cs="Book Antiqua"/>
          <w:color w:val="000000"/>
        </w:rPr>
        <w:t>All eligible patients started Hema-Plus by SC injection at 4000 IU once or twice weekly (</w:t>
      </w:r>
      <w:r w:rsidR="002B3A27" w:rsidRPr="00696F41">
        <w:rPr>
          <w:rFonts w:ascii="Book Antiqua" w:hAnsi="Book Antiqua" w:cs="Book Antiqua" w:hint="eastAsia"/>
          <w:color w:val="000000"/>
          <w:lang w:eastAsia="zh-CN"/>
        </w:rPr>
        <w:t>w</w:t>
      </w:r>
      <w:r w:rsidRPr="00696F41">
        <w:rPr>
          <w:rFonts w:ascii="Book Antiqua" w:eastAsia="Book Antiqua" w:hAnsi="Book Antiqua" w:cs="Book Antiqua"/>
          <w:color w:val="000000"/>
        </w:rPr>
        <w:t>eek 0) and with foll</w:t>
      </w:r>
      <w:r w:rsidR="002B3A27" w:rsidRPr="00696F41">
        <w:rPr>
          <w:rFonts w:ascii="Book Antiqua" w:eastAsia="Book Antiqua" w:hAnsi="Book Antiqua" w:cs="Book Antiqua"/>
          <w:color w:val="000000"/>
        </w:rPr>
        <w:t>ow-up at weeks 2, 4, 8, and 12.</w:t>
      </w:r>
      <w:r w:rsidRPr="00696F41">
        <w:rPr>
          <w:rFonts w:ascii="Book Antiqua" w:eastAsia="Book Antiqua" w:hAnsi="Book Antiqua" w:cs="Book Antiqua"/>
          <w:color w:val="000000"/>
        </w:rPr>
        <w:t xml:space="preserve"> Dosage adjustment could be done to </w:t>
      </w:r>
      <w:r w:rsidR="002B3A27" w:rsidRPr="00696F41">
        <w:rPr>
          <w:rFonts w:ascii="Book Antiqua" w:eastAsia="Book Antiqua" w:hAnsi="Book Antiqua" w:cs="Book Antiqua"/>
          <w:color w:val="000000"/>
        </w:rPr>
        <w:t>achieve Hb level of 11-12 g/dL.</w:t>
      </w:r>
      <w:r w:rsidRPr="00696F41">
        <w:rPr>
          <w:rFonts w:ascii="Book Antiqua" w:eastAsia="Book Antiqua" w:hAnsi="Book Antiqua" w:cs="Book Antiqua"/>
          <w:color w:val="000000"/>
        </w:rPr>
        <w:t xml:space="preserve"> Primary end point was mean change in Hb level from baseline </w:t>
      </w:r>
      <w:r w:rsidR="002B3A27" w:rsidRPr="00696F41">
        <w:rPr>
          <w:rFonts w:ascii="Book Antiqua" w:eastAsia="Book Antiqua" w:hAnsi="Book Antiqua" w:cs="Book Antiqua"/>
          <w:color w:val="000000"/>
        </w:rPr>
        <w:t>to end of treatment (</w:t>
      </w:r>
      <w:r w:rsidR="002B3A27" w:rsidRPr="00696F41">
        <w:rPr>
          <w:rFonts w:ascii="Book Antiqua" w:hAnsi="Book Antiqua" w:cs="Book Antiqua" w:hint="eastAsia"/>
          <w:color w:val="000000"/>
          <w:lang w:eastAsia="zh-CN"/>
        </w:rPr>
        <w:t>w</w:t>
      </w:r>
      <w:r w:rsidR="002B3A27" w:rsidRPr="00696F41">
        <w:rPr>
          <w:rFonts w:ascii="Book Antiqua" w:eastAsia="Book Antiqua" w:hAnsi="Book Antiqua" w:cs="Book Antiqua"/>
          <w:color w:val="000000"/>
        </w:rPr>
        <w:t xml:space="preserve">eek 12). </w:t>
      </w:r>
      <w:r w:rsidRPr="00696F41">
        <w:rPr>
          <w:rFonts w:ascii="Book Antiqua" w:eastAsia="Book Antiqua" w:hAnsi="Book Antiqua" w:cs="Book Antiqua"/>
          <w:color w:val="000000"/>
        </w:rPr>
        <w:t>Safety was</w:t>
      </w:r>
      <w:r w:rsidR="002B3A27" w:rsidRPr="00696F41">
        <w:rPr>
          <w:rFonts w:ascii="Book Antiqua" w:eastAsia="Book Antiqua" w:hAnsi="Book Antiqua" w:cs="Book Antiqua"/>
          <w:color w:val="000000"/>
        </w:rPr>
        <w:t xml:space="preserve"> assessed throughout the study.</w:t>
      </w:r>
      <w:r w:rsidRPr="00696F41">
        <w:rPr>
          <w:rFonts w:ascii="Book Antiqua" w:eastAsia="Book Antiqua" w:hAnsi="Book Antiqua" w:cs="Book Antiqua"/>
          <w:color w:val="000000"/>
        </w:rPr>
        <w:t xml:space="preserve"> Quality of </w:t>
      </w:r>
      <w:r w:rsidR="002B3A27" w:rsidRPr="00696F41">
        <w:rPr>
          <w:rFonts w:ascii="Book Antiqua" w:hAnsi="Book Antiqua" w:cs="Book Antiqua" w:hint="eastAsia"/>
          <w:color w:val="000000"/>
          <w:lang w:eastAsia="zh-CN"/>
        </w:rPr>
        <w:t>l</w:t>
      </w:r>
      <w:r w:rsidRPr="00696F41">
        <w:rPr>
          <w:rFonts w:ascii="Book Antiqua" w:eastAsia="Book Antiqua" w:hAnsi="Book Antiqua" w:cs="Book Antiqua"/>
          <w:color w:val="000000"/>
        </w:rPr>
        <w:t>ife (QoL) was assessed using KDQOL-36.</w:t>
      </w:r>
    </w:p>
    <w:p w14:paraId="1BD1FD8A" w14:textId="77777777" w:rsidR="00A77B3E" w:rsidRPr="00696F41" w:rsidRDefault="00A77B3E" w:rsidP="00107B1E">
      <w:pPr>
        <w:spacing w:line="360" w:lineRule="auto"/>
        <w:jc w:val="both"/>
        <w:rPr>
          <w:rFonts w:ascii="Book Antiqua" w:hAnsi="Book Antiqua"/>
        </w:rPr>
      </w:pPr>
    </w:p>
    <w:p w14:paraId="61F852A0"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color w:val="000000"/>
        </w:rPr>
        <w:t>RESULTS</w:t>
      </w:r>
    </w:p>
    <w:p w14:paraId="0E86A682" w14:textId="54F1D320" w:rsidR="00A77B3E" w:rsidRPr="00696F41" w:rsidRDefault="00485933" w:rsidP="00107B1E">
      <w:pPr>
        <w:spacing w:line="360" w:lineRule="auto"/>
        <w:jc w:val="both"/>
        <w:rPr>
          <w:rFonts w:ascii="Book Antiqua" w:hAnsi="Book Antiqua"/>
          <w:lang w:eastAsia="zh-CN"/>
        </w:rPr>
      </w:pPr>
      <w:r w:rsidRPr="00696F41">
        <w:rPr>
          <w:rFonts w:ascii="Book Antiqua" w:eastAsia="Book Antiqua" w:hAnsi="Book Antiqua" w:cs="Book Antiqua"/>
          <w:color w:val="000000"/>
        </w:rPr>
        <w:t>All 30 enrolle</w:t>
      </w:r>
      <w:r w:rsidR="002B3A27" w:rsidRPr="00696F41">
        <w:rPr>
          <w:rFonts w:ascii="Book Antiqua" w:eastAsia="Book Antiqua" w:hAnsi="Book Antiqua" w:cs="Book Antiqua"/>
          <w:color w:val="000000"/>
        </w:rPr>
        <w:t>d patients completed the study.</w:t>
      </w:r>
      <w:r w:rsidRPr="00696F41">
        <w:rPr>
          <w:rFonts w:ascii="Book Antiqua" w:eastAsia="Book Antiqua" w:hAnsi="Book Antiqua" w:cs="Book Antiqua"/>
          <w:color w:val="000000"/>
        </w:rPr>
        <w:t xml:space="preserve"> Mean (</w:t>
      </w:r>
      <w:r w:rsidR="00C47993" w:rsidRPr="00696F41">
        <w:rPr>
          <w:rFonts w:ascii="Book Antiqua" w:eastAsia="Book Antiqua" w:hAnsi="Book Antiqua" w:cs="Book Antiqua"/>
          <w:color w:val="000000"/>
        </w:rPr>
        <w:t>standard deviation</w:t>
      </w:r>
      <w:r w:rsidRPr="00696F41">
        <w:rPr>
          <w:rFonts w:ascii="Book Antiqua" w:eastAsia="Book Antiqua" w:hAnsi="Book Antiqua" w:cs="Book Antiqua"/>
          <w:color w:val="000000"/>
        </w:rPr>
        <w:t>) Hb at baseline (</w:t>
      </w:r>
      <w:r w:rsidR="002B3A27" w:rsidRPr="00696F41">
        <w:rPr>
          <w:rFonts w:ascii="Book Antiqua" w:hAnsi="Book Antiqua" w:cs="Book Antiqua" w:hint="eastAsia"/>
          <w:color w:val="000000"/>
          <w:lang w:eastAsia="zh-CN"/>
        </w:rPr>
        <w:t>w</w:t>
      </w:r>
      <w:r w:rsidRPr="00696F41">
        <w:rPr>
          <w:rFonts w:ascii="Book Antiqua" w:eastAsia="Book Antiqua" w:hAnsi="Book Antiqua" w:cs="Book Antiqua"/>
          <w:color w:val="000000"/>
        </w:rPr>
        <w:t xml:space="preserve">eek 0) to the end of 12 wk was significantly increased from 7.39 (1.29) g/dL to 11.15 (1.73) g/dL (paired </w:t>
      </w:r>
      <w:r w:rsidRPr="00696F41">
        <w:rPr>
          <w:rFonts w:ascii="Book Antiqua" w:eastAsia="Book Antiqua" w:hAnsi="Book Antiqua" w:cs="Book Antiqua"/>
          <w:i/>
          <w:color w:val="000000"/>
        </w:rPr>
        <w:t>t</w:t>
      </w:r>
      <w:r w:rsidRPr="00696F41">
        <w:rPr>
          <w:rFonts w:ascii="Book Antiqua" w:eastAsia="Book Antiqua" w:hAnsi="Book Antiqua" w:cs="Book Antiqua"/>
          <w:color w:val="000000"/>
        </w:rPr>
        <w:t xml:space="preserve">-test, </w:t>
      </w:r>
      <w:r w:rsidR="005F7902" w:rsidRPr="005F7902">
        <w:rPr>
          <w:rFonts w:ascii="Book Antiqua" w:hAnsi="Book Antiqua" w:cs="Book Antiqua" w:hint="eastAsia"/>
          <w:i/>
          <w:color w:val="000000"/>
          <w:lang w:eastAsia="zh-CN"/>
        </w:rPr>
        <w:t>P</w:t>
      </w:r>
      <w:r w:rsidR="005F7902" w:rsidRPr="005F7902">
        <w:rPr>
          <w:rFonts w:ascii="Book Antiqua" w:hAnsi="Book Antiqua" w:cs="Book Antiqua" w:hint="eastAsia"/>
          <w:iCs/>
          <w:color w:val="000000"/>
          <w:lang w:eastAsia="zh-CN"/>
        </w:rPr>
        <w:t xml:space="preserve"> value</w:t>
      </w:r>
      <w:r w:rsidR="002B3A27" w:rsidRPr="00696F41">
        <w:rPr>
          <w:rFonts w:ascii="Book Antiqua" w:eastAsia="Book Antiqua" w:hAnsi="Book Antiqua" w:cs="Book Antiqua"/>
          <w:color w:val="000000"/>
        </w:rPr>
        <w:t xml:space="preserve"> &lt; 0.001). </w:t>
      </w:r>
      <w:r w:rsidRPr="00696F41">
        <w:rPr>
          <w:rFonts w:ascii="Book Antiqua" w:eastAsia="Book Antiqua" w:hAnsi="Book Antiqua" w:cs="Book Antiqua"/>
          <w:color w:val="000000"/>
        </w:rPr>
        <w:t xml:space="preserve">Overall change of Hb means from baseline over the other 4 visits was statistically significantly increased (repeated measure ANOVA, </w:t>
      </w:r>
      <w:r w:rsidR="005F7902" w:rsidRPr="005F7902">
        <w:rPr>
          <w:rFonts w:ascii="Book Antiqua" w:hAnsi="Book Antiqua" w:cs="Book Antiqua" w:hint="eastAsia"/>
          <w:i/>
          <w:color w:val="000000"/>
          <w:lang w:eastAsia="zh-CN"/>
        </w:rPr>
        <w:t>P</w:t>
      </w:r>
      <w:r w:rsidR="005F7902" w:rsidRPr="005F7902">
        <w:rPr>
          <w:rFonts w:ascii="Book Antiqua" w:hAnsi="Book Antiqua" w:cs="Book Antiqua" w:hint="eastAsia"/>
          <w:iCs/>
          <w:color w:val="000000"/>
          <w:lang w:eastAsia="zh-CN"/>
        </w:rPr>
        <w:t xml:space="preserve"> value</w:t>
      </w:r>
      <w:r w:rsidRPr="00696F41">
        <w:rPr>
          <w:rFonts w:ascii="Book Antiqua" w:eastAsia="Book Antiqua" w:hAnsi="Book Antiqua" w:cs="Book Antiqua"/>
          <w:color w:val="000000"/>
        </w:rPr>
        <w:t xml:space="preserve"> &lt; 0.001). Ten out of 39 adve</w:t>
      </w:r>
      <w:r w:rsidR="002B3A27" w:rsidRPr="00696F41">
        <w:rPr>
          <w:rFonts w:ascii="Book Antiqua" w:eastAsia="Book Antiqua" w:hAnsi="Book Antiqua" w:cs="Book Antiqua"/>
          <w:color w:val="000000"/>
        </w:rPr>
        <w:t xml:space="preserve">rse events (AEs) were serious. </w:t>
      </w:r>
      <w:r w:rsidRPr="00696F41">
        <w:rPr>
          <w:rFonts w:ascii="Book Antiqua" w:eastAsia="Book Antiqua" w:hAnsi="Book Antiqua" w:cs="Book Antiqua"/>
          <w:color w:val="000000"/>
        </w:rPr>
        <w:t xml:space="preserve">Two serious </w:t>
      </w:r>
      <w:r w:rsidR="002B3A27" w:rsidRPr="00696F41">
        <w:rPr>
          <w:rFonts w:ascii="Book Antiqua" w:eastAsia="Book Antiqua" w:hAnsi="Book Antiqua" w:cs="Book Antiqua"/>
          <w:color w:val="000000"/>
        </w:rPr>
        <w:t>AE</w:t>
      </w:r>
      <w:r w:rsidRPr="00696F41">
        <w:rPr>
          <w:rFonts w:ascii="Book Antiqua" w:eastAsia="Book Antiqua" w:hAnsi="Book Antiqua" w:cs="Book Antiqua"/>
          <w:color w:val="000000"/>
        </w:rPr>
        <w:t xml:space="preserve">s were probably related to study medication by investigators’ assessment. At week 12, the QoL scores in all domains were significantly increased from baseline. </w:t>
      </w:r>
    </w:p>
    <w:p w14:paraId="5EAE8FA8" w14:textId="77777777" w:rsidR="00A77B3E" w:rsidRPr="00696F41" w:rsidRDefault="00A77B3E" w:rsidP="00107B1E">
      <w:pPr>
        <w:spacing w:line="360" w:lineRule="auto"/>
        <w:jc w:val="both"/>
        <w:rPr>
          <w:rFonts w:ascii="Book Antiqua" w:hAnsi="Book Antiqua"/>
        </w:rPr>
      </w:pPr>
    </w:p>
    <w:p w14:paraId="69CA1657"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color w:val="000000"/>
        </w:rPr>
        <w:t>CONCLUSION</w:t>
      </w:r>
    </w:p>
    <w:p w14:paraId="08C8008B"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color w:val="000000"/>
        </w:rPr>
        <w:t xml:space="preserve">Hema-Plus administered for 12 wk for treatment of anemia in patients on </w:t>
      </w:r>
      <w:r w:rsidR="002B3A27" w:rsidRPr="00696F41">
        <w:rPr>
          <w:rFonts w:ascii="Book Antiqua" w:eastAsia="Book Antiqua" w:hAnsi="Book Antiqua" w:cs="Book Antiqua"/>
          <w:color w:val="000000"/>
        </w:rPr>
        <w:t>PD</w:t>
      </w:r>
      <w:r w:rsidRPr="00696F41">
        <w:rPr>
          <w:rFonts w:ascii="Book Antiqua" w:eastAsia="Book Antiqua" w:hAnsi="Book Antiqua" w:cs="Book Antiqua"/>
          <w:color w:val="000000"/>
        </w:rPr>
        <w:t xml:space="preserve"> effectively increased Hb levels with acceptable safety profile.</w:t>
      </w:r>
    </w:p>
    <w:p w14:paraId="7BC98E6A" w14:textId="77777777" w:rsidR="00A77B3E" w:rsidRPr="00696F41" w:rsidRDefault="00A77B3E" w:rsidP="00107B1E">
      <w:pPr>
        <w:spacing w:line="360" w:lineRule="auto"/>
        <w:jc w:val="both"/>
        <w:rPr>
          <w:rFonts w:ascii="Book Antiqua" w:hAnsi="Book Antiqua"/>
        </w:rPr>
      </w:pPr>
    </w:p>
    <w:p w14:paraId="7E696201"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b/>
          <w:bCs/>
          <w:color w:val="000000"/>
        </w:rPr>
        <w:t xml:space="preserve">Key Words: </w:t>
      </w:r>
      <w:r w:rsidRPr="00696F41">
        <w:rPr>
          <w:rFonts w:ascii="Book Antiqua" w:eastAsia="Book Antiqua" w:hAnsi="Book Antiqua" w:cs="Book Antiqua"/>
          <w:color w:val="000000"/>
        </w:rPr>
        <w:t xml:space="preserve">Recombinant </w:t>
      </w:r>
      <w:r w:rsidR="002B3A27" w:rsidRPr="00696F41">
        <w:rPr>
          <w:rFonts w:ascii="Book Antiqua" w:hAnsi="Book Antiqua" w:cs="Book Antiqua" w:hint="eastAsia"/>
          <w:color w:val="000000"/>
          <w:lang w:eastAsia="zh-CN"/>
        </w:rPr>
        <w:t>h</w:t>
      </w:r>
      <w:r w:rsidRPr="00696F41">
        <w:rPr>
          <w:rFonts w:ascii="Book Antiqua" w:eastAsia="Book Antiqua" w:hAnsi="Book Antiqua" w:cs="Book Antiqua"/>
          <w:color w:val="000000"/>
        </w:rPr>
        <w:t xml:space="preserve">uman </w:t>
      </w:r>
      <w:r w:rsidR="002B3A27" w:rsidRPr="00696F41">
        <w:rPr>
          <w:rFonts w:ascii="Book Antiqua" w:hAnsi="Book Antiqua" w:cs="Book Antiqua" w:hint="eastAsia"/>
          <w:color w:val="000000"/>
          <w:lang w:eastAsia="zh-CN"/>
        </w:rPr>
        <w:t>e</w:t>
      </w:r>
      <w:r w:rsidRPr="00696F41">
        <w:rPr>
          <w:rFonts w:ascii="Book Antiqua" w:eastAsia="Book Antiqua" w:hAnsi="Book Antiqua" w:cs="Book Antiqua"/>
          <w:color w:val="000000"/>
        </w:rPr>
        <w:t xml:space="preserve">rythropoietin; Anemia; </w:t>
      </w:r>
      <w:r w:rsidR="002B3A27" w:rsidRPr="00696F41">
        <w:rPr>
          <w:rFonts w:ascii="Book Antiqua" w:hAnsi="Book Antiqua" w:cs="Book Antiqua" w:hint="eastAsia"/>
          <w:color w:val="000000"/>
          <w:lang w:eastAsia="zh-CN"/>
        </w:rPr>
        <w:t>P</w:t>
      </w:r>
      <w:r w:rsidRPr="00696F41">
        <w:rPr>
          <w:rFonts w:ascii="Book Antiqua" w:eastAsia="Book Antiqua" w:hAnsi="Book Antiqua" w:cs="Book Antiqua"/>
          <w:color w:val="000000"/>
        </w:rPr>
        <w:t xml:space="preserve">eritoneal dialysis; </w:t>
      </w:r>
      <w:r w:rsidR="002B3A27" w:rsidRPr="00696F41">
        <w:rPr>
          <w:rFonts w:ascii="Book Antiqua" w:hAnsi="Book Antiqua" w:cs="Book Antiqua" w:hint="eastAsia"/>
          <w:color w:val="000000"/>
          <w:lang w:eastAsia="zh-CN"/>
        </w:rPr>
        <w:t>C</w:t>
      </w:r>
      <w:r w:rsidRPr="00696F41">
        <w:rPr>
          <w:rFonts w:ascii="Book Antiqua" w:eastAsia="Book Antiqua" w:hAnsi="Book Antiqua" w:cs="Book Antiqua"/>
          <w:color w:val="000000"/>
        </w:rPr>
        <w:t>hronic kidney disease; Epoetin alfa</w:t>
      </w:r>
    </w:p>
    <w:p w14:paraId="2BE1B6FA" w14:textId="5FF80B01" w:rsidR="00A77B3E" w:rsidRDefault="00A77B3E" w:rsidP="00107B1E">
      <w:pPr>
        <w:spacing w:line="360" w:lineRule="auto"/>
        <w:jc w:val="both"/>
        <w:rPr>
          <w:rFonts w:ascii="Book Antiqua" w:hAnsi="Book Antiqua"/>
        </w:rPr>
      </w:pPr>
    </w:p>
    <w:p w14:paraId="49CB00C7" w14:textId="6EB7F7A4" w:rsidR="00C23DD7" w:rsidRDefault="00C23DD7" w:rsidP="00107B1E">
      <w:pPr>
        <w:spacing w:line="360" w:lineRule="auto"/>
        <w:jc w:val="both"/>
        <w:rPr>
          <w:rFonts w:ascii="Book Antiqua" w:hAnsi="Book Antiqua"/>
        </w:rPr>
      </w:pPr>
      <w:r w:rsidRPr="00194E16">
        <w:rPr>
          <w:rFonts w:ascii="Book Antiqua" w:eastAsia="Book Antiqua" w:hAnsi="Book Antiqua" w:cs="Book Antiqua" w:hint="eastAsia"/>
          <w:b/>
          <w:color w:val="000000"/>
        </w:rPr>
        <w:t>©</w:t>
      </w:r>
      <w:r w:rsidRPr="00194E16">
        <w:rPr>
          <w:rFonts w:ascii="Book Antiqua" w:eastAsia="Book Antiqua" w:hAnsi="Book Antiqua" w:cs="Book Antiqua"/>
          <w:b/>
          <w:color w:val="000000"/>
        </w:rPr>
        <w:t>The</w:t>
      </w:r>
      <w:r w:rsidRPr="00194E16">
        <w:rPr>
          <w:rFonts w:ascii="Book Antiqua" w:eastAsia="Book Antiqua" w:hAnsi="Book Antiqua" w:cs="Book Antiqua"/>
          <w:color w:val="000000"/>
        </w:rPr>
        <w:t xml:space="preserve"> </w:t>
      </w:r>
      <w:r w:rsidRPr="00194E16">
        <w:rPr>
          <w:rFonts w:ascii="Book Antiqua" w:eastAsia="Book Antiqua" w:hAnsi="Book Antiqua" w:cs="Book Antiqua"/>
          <w:b/>
          <w:color w:val="000000"/>
        </w:rPr>
        <w:t xml:space="preserve">Author(s) 2021. </w:t>
      </w:r>
      <w:r w:rsidRPr="00194E16">
        <w:rPr>
          <w:rFonts w:ascii="Book Antiqua" w:eastAsia="Book Antiqua" w:hAnsi="Book Antiqua" w:cs="Book Antiqua"/>
          <w:color w:val="000000"/>
        </w:rPr>
        <w:t>Published by Baishideng Publishing Group Inc. All rights reserved.</w:t>
      </w:r>
    </w:p>
    <w:p w14:paraId="1C330069" w14:textId="77777777" w:rsidR="00C23DD7" w:rsidRPr="00696F41" w:rsidRDefault="00C23DD7" w:rsidP="00107B1E">
      <w:pPr>
        <w:spacing w:line="360" w:lineRule="auto"/>
        <w:jc w:val="both"/>
        <w:rPr>
          <w:rFonts w:ascii="Book Antiqua" w:hAnsi="Book Antiqua"/>
        </w:rPr>
      </w:pPr>
    </w:p>
    <w:p w14:paraId="03BA88A7" w14:textId="110267ED" w:rsidR="00696F41" w:rsidRDefault="00C23DD7" w:rsidP="00107B1E">
      <w:pPr>
        <w:spacing w:line="360" w:lineRule="auto"/>
        <w:jc w:val="both"/>
        <w:rPr>
          <w:rFonts w:ascii="Book Antiqua" w:hAnsi="Book Antiqua" w:cs="Book Antiqua"/>
          <w:color w:val="000000"/>
          <w:lang w:eastAsia="zh-CN"/>
        </w:rPr>
      </w:pPr>
      <w:r w:rsidRPr="00194E16">
        <w:rPr>
          <w:rFonts w:ascii="Book Antiqua" w:hAnsi="Book Antiqua" w:hint="eastAsia"/>
          <w:b/>
        </w:rPr>
        <w:t xml:space="preserve">Citation: </w:t>
      </w:r>
      <w:r w:rsidR="00485933" w:rsidRPr="00696F41">
        <w:rPr>
          <w:rFonts w:ascii="Book Antiqua" w:eastAsia="Book Antiqua" w:hAnsi="Book Antiqua" w:cs="Book Antiqua"/>
          <w:color w:val="000000"/>
        </w:rPr>
        <w:t xml:space="preserve">Chuengsaman P, Narenpitak S, Sritippayawan S. </w:t>
      </w:r>
      <w:r w:rsidR="00F16E70" w:rsidRPr="00696F41">
        <w:rPr>
          <w:rFonts w:ascii="Book Antiqua" w:eastAsia="Book Antiqua" w:hAnsi="Book Antiqua" w:cs="Book Antiqua"/>
          <w:color w:val="000000"/>
        </w:rPr>
        <w:t xml:space="preserve">Efficacy and </w:t>
      </w:r>
      <w:r w:rsidR="00F16E70" w:rsidRPr="00696F41">
        <w:rPr>
          <w:rFonts w:ascii="Book Antiqua" w:hAnsi="Book Antiqua" w:cs="Book Antiqua" w:hint="eastAsia"/>
          <w:color w:val="000000"/>
          <w:lang w:eastAsia="zh-CN"/>
        </w:rPr>
        <w:t>s</w:t>
      </w:r>
      <w:r w:rsidR="00F16E70" w:rsidRPr="00696F41">
        <w:rPr>
          <w:rFonts w:ascii="Book Antiqua" w:eastAsia="Book Antiqua" w:hAnsi="Book Antiqua" w:cs="Book Antiqua"/>
          <w:color w:val="000000"/>
        </w:rPr>
        <w:t xml:space="preserve">afety of </w:t>
      </w:r>
      <w:r w:rsidR="00F16E70" w:rsidRPr="00696F41">
        <w:rPr>
          <w:rFonts w:ascii="Book Antiqua" w:hAnsi="Book Antiqua" w:cs="Book Antiqua" w:hint="eastAsia"/>
          <w:color w:val="000000"/>
          <w:lang w:eastAsia="zh-CN"/>
        </w:rPr>
        <w:t>r</w:t>
      </w:r>
      <w:r w:rsidR="00F16E70" w:rsidRPr="00696F41">
        <w:rPr>
          <w:rFonts w:ascii="Book Antiqua" w:eastAsia="Book Antiqua" w:hAnsi="Book Antiqua" w:cs="Book Antiqua"/>
          <w:color w:val="000000"/>
        </w:rPr>
        <w:t xml:space="preserve">ecombinant </w:t>
      </w:r>
      <w:r w:rsidR="00F16E70" w:rsidRPr="00696F41">
        <w:rPr>
          <w:rFonts w:ascii="Book Antiqua" w:hAnsi="Book Antiqua" w:cs="Book Antiqua" w:hint="eastAsia"/>
          <w:color w:val="000000"/>
          <w:lang w:eastAsia="zh-CN"/>
        </w:rPr>
        <w:t>h</w:t>
      </w:r>
      <w:r w:rsidR="00F16E70" w:rsidRPr="00696F41">
        <w:rPr>
          <w:rFonts w:ascii="Book Antiqua" w:eastAsia="Book Antiqua" w:hAnsi="Book Antiqua" w:cs="Book Antiqua"/>
          <w:color w:val="000000"/>
        </w:rPr>
        <w:t xml:space="preserve">uman </w:t>
      </w:r>
      <w:r w:rsidR="00F16E70" w:rsidRPr="00696F41">
        <w:rPr>
          <w:rFonts w:ascii="Book Antiqua" w:hAnsi="Book Antiqua" w:cs="Book Antiqua" w:hint="eastAsia"/>
          <w:color w:val="000000"/>
          <w:lang w:eastAsia="zh-CN"/>
        </w:rPr>
        <w:t>e</w:t>
      </w:r>
      <w:r w:rsidR="00F16E70" w:rsidRPr="00696F41">
        <w:rPr>
          <w:rFonts w:ascii="Book Antiqua" w:eastAsia="Book Antiqua" w:hAnsi="Book Antiqua" w:cs="Book Antiqua"/>
          <w:color w:val="000000"/>
        </w:rPr>
        <w:t xml:space="preserve">rythropoietin (Hema-Plus®) for </w:t>
      </w:r>
      <w:r w:rsidR="00F16E70" w:rsidRPr="00696F41">
        <w:rPr>
          <w:rFonts w:ascii="Book Antiqua" w:hAnsi="Book Antiqua" w:cs="Book Antiqua" w:hint="eastAsia"/>
          <w:color w:val="000000"/>
          <w:lang w:eastAsia="zh-CN"/>
        </w:rPr>
        <w:t>m</w:t>
      </w:r>
      <w:r w:rsidR="00F16E70" w:rsidRPr="00696F41">
        <w:rPr>
          <w:rFonts w:ascii="Book Antiqua" w:eastAsia="Book Antiqua" w:hAnsi="Book Antiqua" w:cs="Book Antiqua"/>
          <w:color w:val="000000"/>
        </w:rPr>
        <w:t xml:space="preserve">anagement of </w:t>
      </w:r>
      <w:r w:rsidR="00F16E70" w:rsidRPr="00696F41">
        <w:rPr>
          <w:rFonts w:ascii="Book Antiqua" w:hAnsi="Book Antiqua" w:cs="Book Antiqua" w:hint="eastAsia"/>
          <w:color w:val="000000"/>
          <w:lang w:eastAsia="zh-CN"/>
        </w:rPr>
        <w:t>a</w:t>
      </w:r>
      <w:r w:rsidR="00F16E70" w:rsidRPr="00696F41">
        <w:rPr>
          <w:rFonts w:ascii="Book Antiqua" w:eastAsia="Book Antiqua" w:hAnsi="Book Antiqua" w:cs="Book Antiqua"/>
          <w:color w:val="000000"/>
        </w:rPr>
        <w:t xml:space="preserve">nemia in </w:t>
      </w:r>
      <w:r w:rsidR="00F16E70" w:rsidRPr="00696F41">
        <w:rPr>
          <w:rFonts w:ascii="Book Antiqua" w:hAnsi="Book Antiqua" w:cs="Book Antiqua" w:hint="eastAsia"/>
          <w:color w:val="000000"/>
          <w:lang w:eastAsia="zh-CN"/>
        </w:rPr>
        <w:t>t</w:t>
      </w:r>
      <w:r w:rsidR="00F16E70" w:rsidRPr="00696F41">
        <w:rPr>
          <w:rFonts w:ascii="Book Antiqua" w:eastAsia="Book Antiqua" w:hAnsi="Book Antiqua" w:cs="Book Antiqua"/>
          <w:color w:val="000000"/>
        </w:rPr>
        <w:t xml:space="preserve">hai </w:t>
      </w:r>
      <w:r w:rsidR="00F16E70" w:rsidRPr="00696F41">
        <w:rPr>
          <w:rFonts w:ascii="Book Antiqua" w:hAnsi="Book Antiqua" w:cs="Book Antiqua" w:hint="eastAsia"/>
          <w:color w:val="000000"/>
          <w:lang w:eastAsia="zh-CN"/>
        </w:rPr>
        <w:t>p</w:t>
      </w:r>
      <w:r w:rsidR="00F16E70" w:rsidRPr="00696F41">
        <w:rPr>
          <w:rFonts w:ascii="Book Antiqua" w:eastAsia="Book Antiqua" w:hAnsi="Book Antiqua" w:cs="Book Antiqua"/>
          <w:color w:val="000000"/>
        </w:rPr>
        <w:t xml:space="preserve">atients on </w:t>
      </w:r>
      <w:r w:rsidR="00F16E70" w:rsidRPr="00696F41">
        <w:rPr>
          <w:rFonts w:ascii="Book Antiqua" w:hAnsi="Book Antiqua" w:cs="Book Antiqua" w:hint="eastAsia"/>
          <w:color w:val="000000"/>
          <w:lang w:eastAsia="zh-CN"/>
        </w:rPr>
        <w:t>p</w:t>
      </w:r>
      <w:r w:rsidR="00F16E70" w:rsidRPr="00696F41">
        <w:rPr>
          <w:rFonts w:ascii="Book Antiqua" w:eastAsia="Book Antiqua" w:hAnsi="Book Antiqua" w:cs="Book Antiqua"/>
          <w:color w:val="000000"/>
        </w:rPr>
        <w:t xml:space="preserve">eritoneal </w:t>
      </w:r>
      <w:r w:rsidR="00F16E70" w:rsidRPr="00696F41">
        <w:rPr>
          <w:rFonts w:ascii="Book Antiqua" w:hAnsi="Book Antiqua" w:cs="Book Antiqua" w:hint="eastAsia"/>
          <w:color w:val="000000"/>
          <w:lang w:eastAsia="zh-CN"/>
        </w:rPr>
        <w:t>d</w:t>
      </w:r>
      <w:r w:rsidR="00F16E70" w:rsidRPr="00696F41">
        <w:rPr>
          <w:rFonts w:ascii="Book Antiqua" w:eastAsia="Book Antiqua" w:hAnsi="Book Antiqua" w:cs="Book Antiqua"/>
          <w:color w:val="000000"/>
        </w:rPr>
        <w:t>ialysis</w:t>
      </w:r>
      <w:r w:rsidR="00485933" w:rsidRPr="00696F41">
        <w:rPr>
          <w:rFonts w:ascii="Book Antiqua" w:eastAsia="Book Antiqua" w:hAnsi="Book Antiqua" w:cs="Book Antiqua"/>
          <w:color w:val="000000"/>
        </w:rPr>
        <w:t xml:space="preserve">. </w:t>
      </w:r>
      <w:r w:rsidR="00485933" w:rsidRPr="00696F41">
        <w:rPr>
          <w:rFonts w:ascii="Book Antiqua" w:eastAsia="Book Antiqua" w:hAnsi="Book Antiqua" w:cs="Book Antiqua"/>
          <w:i/>
          <w:iCs/>
          <w:color w:val="000000"/>
        </w:rPr>
        <w:t>World J Nephrol</w:t>
      </w:r>
      <w:r w:rsidR="00485933" w:rsidRPr="00696F41">
        <w:rPr>
          <w:rFonts w:ascii="Book Antiqua" w:eastAsia="Book Antiqua" w:hAnsi="Book Antiqua" w:cs="Book Antiqua"/>
          <w:color w:val="000000"/>
        </w:rPr>
        <w:t xml:space="preserve"> 2021;</w:t>
      </w:r>
      <w:r w:rsidR="00E33A80" w:rsidRPr="00696F41">
        <w:rPr>
          <w:rFonts w:ascii="Book Antiqua" w:eastAsia="Book Antiqua" w:hAnsi="Book Antiqua" w:cs="Book Antiqua"/>
          <w:color w:val="000000"/>
        </w:rPr>
        <w:t xml:space="preserve"> 10(6): </w:t>
      </w:r>
      <w:r w:rsidR="00696F41">
        <w:rPr>
          <w:rFonts w:ascii="Book Antiqua" w:eastAsia="Book Antiqua" w:hAnsi="Book Antiqua" w:cs="Book Antiqua"/>
          <w:color w:val="000000"/>
        </w:rPr>
        <w:t>109</w:t>
      </w:r>
      <w:r w:rsidR="00E33A80" w:rsidRPr="00696F41">
        <w:rPr>
          <w:rFonts w:ascii="Book Antiqua" w:eastAsia="Book Antiqua" w:hAnsi="Book Antiqua" w:cs="Book Antiqua"/>
          <w:color w:val="000000"/>
        </w:rPr>
        <w:t>-</w:t>
      </w:r>
      <w:r w:rsidR="00696F41">
        <w:rPr>
          <w:rFonts w:ascii="Book Antiqua" w:eastAsia="Book Antiqua" w:hAnsi="Book Antiqua" w:cs="Book Antiqua"/>
          <w:color w:val="000000"/>
        </w:rPr>
        <w:t>121</w:t>
      </w:r>
      <w:r w:rsidR="00E33A80" w:rsidRPr="00696F41">
        <w:rPr>
          <w:rFonts w:ascii="Book Antiqua" w:eastAsia="Book Antiqua" w:hAnsi="Book Antiqua" w:cs="Book Antiqua"/>
          <w:color w:val="000000"/>
        </w:rPr>
        <w:t xml:space="preserve"> </w:t>
      </w:r>
      <w:r w:rsidR="003D4E65" w:rsidRPr="00696F41">
        <w:rPr>
          <w:rFonts w:ascii="Book Antiqua" w:hAnsi="Book Antiqua" w:cs="Book Antiqua" w:hint="eastAsia"/>
          <w:color w:val="000000"/>
          <w:lang w:eastAsia="zh-CN"/>
        </w:rPr>
        <w:t xml:space="preserve"> </w:t>
      </w:r>
    </w:p>
    <w:p w14:paraId="2E790905" w14:textId="0E04E4BE" w:rsidR="00696F41" w:rsidRDefault="00E33A80" w:rsidP="00107B1E">
      <w:pPr>
        <w:spacing w:line="360" w:lineRule="auto"/>
        <w:jc w:val="both"/>
        <w:rPr>
          <w:rFonts w:ascii="Book Antiqua" w:eastAsia="Book Antiqua" w:hAnsi="Book Antiqua" w:cs="Book Antiqua"/>
          <w:color w:val="000000"/>
        </w:rPr>
      </w:pPr>
      <w:r w:rsidRPr="00696F41">
        <w:rPr>
          <w:rFonts w:ascii="Book Antiqua" w:eastAsia="Book Antiqua" w:hAnsi="Book Antiqua" w:cs="Book Antiqua"/>
          <w:b/>
          <w:bCs/>
          <w:color w:val="000000"/>
        </w:rPr>
        <w:t>URL:</w:t>
      </w:r>
      <w:r w:rsidRPr="00696F41">
        <w:rPr>
          <w:rFonts w:ascii="Book Antiqua" w:eastAsia="Book Antiqua" w:hAnsi="Book Antiqua" w:cs="Book Antiqua"/>
          <w:color w:val="000000"/>
        </w:rPr>
        <w:t xml:space="preserve"> </w:t>
      </w:r>
      <w:hyperlink r:id="rId6" w:history="1">
        <w:r w:rsidR="00696F41" w:rsidRPr="00461BEA">
          <w:rPr>
            <w:rStyle w:val="ab"/>
            <w:rFonts w:ascii="Book Antiqua" w:eastAsia="Book Antiqua" w:hAnsi="Book Antiqua" w:cs="Book Antiqua"/>
          </w:rPr>
          <w:t>https://www.wjgnet.com/2220-6124/full/v10/i6/109.htm</w:t>
        </w:r>
      </w:hyperlink>
      <w:r w:rsidRPr="00696F41">
        <w:rPr>
          <w:rFonts w:ascii="Book Antiqua" w:eastAsia="Book Antiqua" w:hAnsi="Book Antiqua" w:cs="Book Antiqua"/>
          <w:color w:val="000000"/>
        </w:rPr>
        <w:t xml:space="preserve"> </w:t>
      </w:r>
    </w:p>
    <w:p w14:paraId="0D355CFB" w14:textId="633893EC" w:rsidR="00A77B3E" w:rsidRPr="00696F41" w:rsidRDefault="00E33A80" w:rsidP="00107B1E">
      <w:pPr>
        <w:spacing w:line="360" w:lineRule="auto"/>
        <w:jc w:val="both"/>
        <w:rPr>
          <w:rFonts w:ascii="Book Antiqua" w:eastAsia="Book Antiqua" w:hAnsi="Book Antiqua" w:cs="Book Antiqua"/>
          <w:color w:val="000000"/>
        </w:rPr>
      </w:pPr>
      <w:r w:rsidRPr="00696F41">
        <w:rPr>
          <w:rFonts w:ascii="Book Antiqua" w:eastAsia="Book Antiqua" w:hAnsi="Book Antiqua" w:cs="Book Antiqua"/>
          <w:b/>
          <w:bCs/>
          <w:color w:val="000000"/>
        </w:rPr>
        <w:t xml:space="preserve">DOI: </w:t>
      </w:r>
      <w:r w:rsidRPr="00696F41">
        <w:rPr>
          <w:rFonts w:ascii="Book Antiqua" w:eastAsia="Book Antiqua" w:hAnsi="Book Antiqua" w:cs="Book Antiqua"/>
          <w:color w:val="000000"/>
        </w:rPr>
        <w:t>https://dx.doi.org/10.5527/wjn.v10.i6.</w:t>
      </w:r>
      <w:r w:rsidR="00696F41">
        <w:rPr>
          <w:rFonts w:ascii="Book Antiqua" w:eastAsia="Book Antiqua" w:hAnsi="Book Antiqua" w:cs="Book Antiqua"/>
          <w:color w:val="000000"/>
        </w:rPr>
        <w:t>109</w:t>
      </w:r>
    </w:p>
    <w:p w14:paraId="533CB996" w14:textId="77777777" w:rsidR="00A77B3E" w:rsidRPr="00696F41" w:rsidRDefault="00A77B3E" w:rsidP="00107B1E">
      <w:pPr>
        <w:spacing w:line="360" w:lineRule="auto"/>
        <w:jc w:val="both"/>
        <w:rPr>
          <w:rFonts w:ascii="Book Antiqua" w:hAnsi="Book Antiqua"/>
        </w:rPr>
      </w:pPr>
    </w:p>
    <w:p w14:paraId="5BA8965E"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b/>
          <w:bCs/>
          <w:color w:val="000000"/>
        </w:rPr>
        <w:t xml:space="preserve">Core Tip: </w:t>
      </w:r>
      <w:r w:rsidRPr="00696F41">
        <w:rPr>
          <w:rFonts w:ascii="Book Antiqua" w:eastAsia="Book Antiqua" w:hAnsi="Book Antiqua" w:cs="Book Antiqua"/>
          <w:color w:val="000000"/>
        </w:rPr>
        <w:t xml:space="preserve">This was an open-label, single-arm, prospective, multicenter study of Hema-Plus®, a recombinant human erythropoietin (rHuEPO) for management of anemia in 30 Thai chronic kidney disease patients who started peritoneal dialysis with hemoglobin (Hb) lower than 9.5 g/dL and who had not previously received epoetin. The results </w:t>
      </w:r>
      <w:r w:rsidRPr="00696F41">
        <w:rPr>
          <w:rFonts w:ascii="Book Antiqua" w:eastAsia="Book Antiqua" w:hAnsi="Book Antiqua" w:cs="Book Antiqua"/>
          <w:color w:val="000000"/>
        </w:rPr>
        <w:lastRenderedPageBreak/>
        <w:t>showed that the rHuEPO could significantly increase Hb fro</w:t>
      </w:r>
      <w:r w:rsidR="00D366C0" w:rsidRPr="00696F41">
        <w:rPr>
          <w:rFonts w:ascii="Book Antiqua" w:eastAsia="Book Antiqua" w:hAnsi="Book Antiqua" w:cs="Book Antiqua"/>
          <w:color w:val="000000"/>
        </w:rPr>
        <w:t>m baseline throughout the 12-w</w:t>
      </w:r>
      <w:r w:rsidRPr="00696F41">
        <w:rPr>
          <w:rFonts w:ascii="Book Antiqua" w:eastAsia="Book Antiqua" w:hAnsi="Book Antiqua" w:cs="Book Antiqua"/>
          <w:color w:val="000000"/>
        </w:rPr>
        <w:t xml:space="preserve">k treatment duration with acceptable safety profile. The </w:t>
      </w:r>
      <w:r w:rsidR="00F16E70" w:rsidRPr="00696F41">
        <w:rPr>
          <w:rFonts w:ascii="Book Antiqua" w:hAnsi="Book Antiqua" w:cs="Book Antiqua" w:hint="eastAsia"/>
          <w:color w:val="000000"/>
          <w:lang w:eastAsia="zh-CN"/>
        </w:rPr>
        <w:t>q</w:t>
      </w:r>
      <w:r w:rsidRPr="00696F41">
        <w:rPr>
          <w:rFonts w:ascii="Book Antiqua" w:eastAsia="Book Antiqua" w:hAnsi="Book Antiqua" w:cs="Book Antiqua"/>
          <w:color w:val="000000"/>
        </w:rPr>
        <w:t xml:space="preserve">uality of </w:t>
      </w:r>
      <w:r w:rsidR="00F16E70" w:rsidRPr="00696F41">
        <w:rPr>
          <w:rFonts w:ascii="Book Antiqua" w:hAnsi="Book Antiqua" w:cs="Book Antiqua" w:hint="eastAsia"/>
          <w:color w:val="000000"/>
          <w:lang w:eastAsia="zh-CN"/>
        </w:rPr>
        <w:t>l</w:t>
      </w:r>
      <w:r w:rsidRPr="00696F41">
        <w:rPr>
          <w:rFonts w:ascii="Book Antiqua" w:eastAsia="Book Antiqua" w:hAnsi="Book Antiqua" w:cs="Book Antiqua"/>
          <w:color w:val="000000"/>
        </w:rPr>
        <w:t>ife (QoL) scores at week 12 assessed using KDQOL-36 were significantly increased from baseline in all domains.</w:t>
      </w:r>
    </w:p>
    <w:p w14:paraId="6D9D7D0C"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b/>
          <w:caps/>
          <w:color w:val="000000"/>
          <w:u w:val="single"/>
        </w:rPr>
        <w:t>INTRODUCTION</w:t>
      </w:r>
    </w:p>
    <w:p w14:paraId="4DD31A96"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color w:val="000000"/>
        </w:rPr>
        <w:t xml:space="preserve">Anemia is a common condition among patients with </w:t>
      </w:r>
      <w:r w:rsidR="00D366C0" w:rsidRPr="00696F41">
        <w:rPr>
          <w:rFonts w:ascii="Book Antiqua" w:hAnsi="Book Antiqua" w:cs="Book Antiqua" w:hint="eastAsia"/>
          <w:color w:val="000000"/>
          <w:lang w:eastAsia="zh-CN"/>
        </w:rPr>
        <w:t>c</w:t>
      </w:r>
      <w:r w:rsidRPr="00696F41">
        <w:rPr>
          <w:rFonts w:ascii="Book Antiqua" w:eastAsia="Book Antiqua" w:hAnsi="Book Antiqua" w:cs="Book Antiqua"/>
          <w:color w:val="000000"/>
        </w:rPr>
        <w:t xml:space="preserve">hronic </w:t>
      </w:r>
      <w:r w:rsidR="00D366C0" w:rsidRPr="00696F41">
        <w:rPr>
          <w:rFonts w:ascii="Book Antiqua" w:hAnsi="Book Antiqua" w:cs="Book Antiqua" w:hint="eastAsia"/>
          <w:color w:val="000000"/>
          <w:lang w:eastAsia="zh-CN"/>
        </w:rPr>
        <w:t>k</w:t>
      </w:r>
      <w:r w:rsidRPr="00696F41">
        <w:rPr>
          <w:rFonts w:ascii="Book Antiqua" w:eastAsia="Book Antiqua" w:hAnsi="Book Antiqua" w:cs="Book Antiqua"/>
          <w:color w:val="000000"/>
        </w:rPr>
        <w:t xml:space="preserve">idney </w:t>
      </w:r>
      <w:r w:rsidR="00D366C0" w:rsidRPr="00696F41">
        <w:rPr>
          <w:rFonts w:ascii="Book Antiqua" w:hAnsi="Book Antiqua" w:cs="Book Antiqua" w:hint="eastAsia"/>
          <w:color w:val="000000"/>
          <w:lang w:eastAsia="zh-CN"/>
        </w:rPr>
        <w:t>d</w:t>
      </w:r>
      <w:r w:rsidRPr="00696F41">
        <w:rPr>
          <w:rFonts w:ascii="Book Antiqua" w:eastAsia="Book Antiqua" w:hAnsi="Book Antiqua" w:cs="Book Antiqua"/>
          <w:color w:val="000000"/>
        </w:rPr>
        <w:t>isease (CKD). This anemia is an almost inevitable feature of CKD, especia</w:t>
      </w:r>
      <w:r w:rsidR="00D366C0" w:rsidRPr="00696F41">
        <w:rPr>
          <w:rFonts w:ascii="Book Antiqua" w:eastAsia="Book Antiqua" w:hAnsi="Book Antiqua" w:cs="Book Antiqua"/>
          <w:color w:val="000000"/>
        </w:rPr>
        <w:t>lly end-stage renal disease</w:t>
      </w:r>
      <w:r w:rsidRPr="00696F41">
        <w:rPr>
          <w:rFonts w:ascii="Book Antiqua" w:eastAsia="Book Antiqua" w:hAnsi="Book Antiqua" w:cs="Book Antiqua"/>
          <w:color w:val="000000"/>
        </w:rPr>
        <w:t xml:space="preserve"> because the kidneys play an important role in the production of erythropoietin which supports erythropoiesis. Renal anemia begins in early stages of CKD and worsens as it progresses</w:t>
      </w:r>
      <w:r w:rsidR="00D366C0" w:rsidRPr="00696F41">
        <w:rPr>
          <w:rFonts w:ascii="Book Antiqua" w:eastAsia="Book Antiqua" w:hAnsi="Book Antiqua" w:cs="Book Antiqua"/>
          <w:color w:val="000000"/>
          <w:vertAlign w:val="superscript"/>
        </w:rPr>
        <w:t>[1,</w:t>
      </w:r>
      <w:r w:rsidRPr="00696F41">
        <w:rPr>
          <w:rFonts w:ascii="Book Antiqua" w:eastAsia="Book Antiqua" w:hAnsi="Book Antiqua" w:cs="Book Antiqua"/>
          <w:color w:val="000000"/>
          <w:vertAlign w:val="superscript"/>
        </w:rPr>
        <w:t>2]</w:t>
      </w:r>
      <w:r w:rsidRPr="00696F41">
        <w:rPr>
          <w:rFonts w:ascii="Book Antiqua" w:eastAsia="Book Antiqua" w:hAnsi="Book Antiqua" w:cs="Book Antiqua"/>
          <w:color w:val="000000"/>
        </w:rPr>
        <w:t xml:space="preserve">. When anemia is left untreated the consequences can be severe. The more dangerous impacts include cardiovascular disease, worsening angina symptoms, left ventricular hypertrophy (LVH) and congestive heart failure. These abnormalities reduce the </w:t>
      </w:r>
      <w:r w:rsidR="00D366C0" w:rsidRPr="00696F41">
        <w:rPr>
          <w:rFonts w:ascii="Book Antiqua" w:hAnsi="Book Antiqua" w:cs="Book Antiqua" w:hint="eastAsia"/>
          <w:color w:val="000000"/>
          <w:lang w:eastAsia="zh-CN"/>
        </w:rPr>
        <w:t>q</w:t>
      </w:r>
      <w:r w:rsidR="002B3A27" w:rsidRPr="00696F41">
        <w:rPr>
          <w:rFonts w:ascii="Book Antiqua" w:eastAsia="Book Antiqua" w:hAnsi="Book Antiqua" w:cs="Book Antiqua"/>
          <w:color w:val="000000"/>
        </w:rPr>
        <w:t xml:space="preserve">uality of </w:t>
      </w:r>
      <w:r w:rsidR="00D366C0" w:rsidRPr="00696F41">
        <w:rPr>
          <w:rFonts w:ascii="Book Antiqua" w:hAnsi="Book Antiqua" w:cs="Book Antiqua" w:hint="eastAsia"/>
          <w:color w:val="000000"/>
          <w:lang w:eastAsia="zh-CN"/>
        </w:rPr>
        <w:t>l</w:t>
      </w:r>
      <w:r w:rsidR="002B3A27" w:rsidRPr="00696F41">
        <w:rPr>
          <w:rFonts w:ascii="Book Antiqua" w:eastAsia="Book Antiqua" w:hAnsi="Book Antiqua" w:cs="Book Antiqua"/>
          <w:color w:val="000000"/>
        </w:rPr>
        <w:t>ife (QoL)</w:t>
      </w:r>
      <w:r w:rsidRPr="00696F41">
        <w:rPr>
          <w:rFonts w:ascii="Book Antiqua" w:eastAsia="Book Antiqua" w:hAnsi="Book Antiqua" w:cs="Book Antiqua"/>
          <w:color w:val="000000"/>
        </w:rPr>
        <w:t>, interfere with rehabilitation and decrease survival in patients with CKD</w:t>
      </w:r>
      <w:r w:rsidR="00D366C0" w:rsidRPr="00696F41">
        <w:rPr>
          <w:rFonts w:ascii="Book Antiqua" w:eastAsia="Book Antiqua" w:hAnsi="Book Antiqua" w:cs="Book Antiqua"/>
          <w:color w:val="000000"/>
          <w:vertAlign w:val="superscript"/>
        </w:rPr>
        <w:t>[1,</w:t>
      </w:r>
      <w:r w:rsidRPr="00696F41">
        <w:rPr>
          <w:rFonts w:ascii="Book Antiqua" w:eastAsia="Book Antiqua" w:hAnsi="Book Antiqua" w:cs="Book Antiqua"/>
          <w:color w:val="000000"/>
          <w:vertAlign w:val="superscript"/>
        </w:rPr>
        <w:t>3-5]</w:t>
      </w:r>
      <w:r w:rsidRPr="00696F41">
        <w:rPr>
          <w:rFonts w:ascii="Book Antiqua" w:eastAsia="Book Antiqua" w:hAnsi="Book Antiqua" w:cs="Book Antiqua"/>
          <w:color w:val="000000"/>
        </w:rPr>
        <w:t xml:space="preserve">. </w:t>
      </w:r>
    </w:p>
    <w:p w14:paraId="36AFD59E" w14:textId="77777777" w:rsidR="00A77B3E" w:rsidRPr="00696F41" w:rsidRDefault="00485933" w:rsidP="00D366C0">
      <w:pPr>
        <w:spacing w:line="360" w:lineRule="auto"/>
        <w:ind w:firstLineChars="200" w:firstLine="480"/>
        <w:jc w:val="both"/>
        <w:rPr>
          <w:rFonts w:ascii="Book Antiqua" w:hAnsi="Book Antiqua"/>
        </w:rPr>
      </w:pPr>
      <w:r w:rsidRPr="00696F41">
        <w:rPr>
          <w:rFonts w:ascii="Book Antiqua" w:eastAsia="Book Antiqua" w:hAnsi="Book Antiqua" w:cs="Book Antiqua"/>
          <w:color w:val="000000"/>
        </w:rPr>
        <w:t>The primary etiology of anemia associated with CKD is insufficient renal production of the erythropoietin. Additionally, other factors contributing to anemia in CKD include iron deficiency, hyperparathyroidism, acute and chronic inflammatory disease, and shortened red blood cell survival</w:t>
      </w:r>
      <w:r w:rsidR="00D366C0" w:rsidRPr="00696F41">
        <w:rPr>
          <w:rFonts w:ascii="Book Antiqua" w:eastAsia="Book Antiqua" w:hAnsi="Book Antiqua" w:cs="Book Antiqua"/>
          <w:color w:val="000000"/>
          <w:vertAlign w:val="superscript"/>
        </w:rPr>
        <w:t>[4,</w:t>
      </w:r>
      <w:r w:rsidRPr="00696F41">
        <w:rPr>
          <w:rFonts w:ascii="Book Antiqua" w:eastAsia="Book Antiqua" w:hAnsi="Book Antiqua" w:cs="Book Antiqua"/>
          <w:color w:val="000000"/>
          <w:vertAlign w:val="superscript"/>
        </w:rPr>
        <w:t>6]</w:t>
      </w:r>
      <w:r w:rsidRPr="00696F41">
        <w:rPr>
          <w:rFonts w:ascii="Book Antiqua" w:eastAsia="Book Antiqua" w:hAnsi="Book Antiqua" w:cs="Book Antiqua"/>
          <w:color w:val="000000"/>
        </w:rPr>
        <w:t xml:space="preserve">. The treatment of anemia in patients with CKD provides the following known beneficial effects: </w:t>
      </w:r>
      <w:r w:rsidR="005C06BD" w:rsidRPr="00696F41">
        <w:rPr>
          <w:rFonts w:ascii="Book Antiqua" w:hAnsi="Book Antiqua" w:cs="Book Antiqua" w:hint="eastAsia"/>
          <w:color w:val="000000"/>
          <w:lang w:eastAsia="zh-CN"/>
        </w:rPr>
        <w:t>A</w:t>
      </w:r>
      <w:r w:rsidRPr="00696F41">
        <w:rPr>
          <w:rFonts w:ascii="Book Antiqua" w:eastAsia="Book Antiqua" w:hAnsi="Book Antiqua" w:cs="Book Antiqua"/>
          <w:color w:val="000000"/>
        </w:rPr>
        <w:t xml:space="preserve"> reduced requirement for blood transfusions and associated complications, improved </w:t>
      </w:r>
      <w:r w:rsidR="002B3A27" w:rsidRPr="00696F41">
        <w:rPr>
          <w:rFonts w:ascii="Book Antiqua" w:eastAsia="Book Antiqua" w:hAnsi="Book Antiqua" w:cs="Book Antiqua"/>
          <w:color w:val="000000"/>
        </w:rPr>
        <w:t>QoL</w:t>
      </w:r>
      <w:r w:rsidRPr="00696F41">
        <w:rPr>
          <w:rFonts w:ascii="Book Antiqua" w:eastAsia="Book Antiqua" w:hAnsi="Book Antiqua" w:cs="Book Antiqua"/>
          <w:color w:val="000000"/>
        </w:rPr>
        <w:t>, decreased hospitalizations and reduced overall healthcare costs</w:t>
      </w:r>
      <w:r w:rsidR="00D366C0" w:rsidRPr="00696F41">
        <w:rPr>
          <w:rFonts w:ascii="Book Antiqua" w:eastAsia="Book Antiqua" w:hAnsi="Book Antiqua" w:cs="Book Antiqua"/>
          <w:color w:val="000000"/>
          <w:vertAlign w:val="superscript"/>
        </w:rPr>
        <w:t>[4,</w:t>
      </w:r>
      <w:r w:rsidRPr="00696F41">
        <w:rPr>
          <w:rFonts w:ascii="Book Antiqua" w:eastAsia="Book Antiqua" w:hAnsi="Book Antiqua" w:cs="Book Antiqua"/>
          <w:color w:val="000000"/>
          <w:vertAlign w:val="superscript"/>
        </w:rPr>
        <w:t>5]</w:t>
      </w:r>
      <w:r w:rsidRPr="00696F41">
        <w:rPr>
          <w:rFonts w:ascii="Book Antiqua" w:eastAsia="Book Antiqua" w:hAnsi="Book Antiqua" w:cs="Book Antiqua"/>
          <w:color w:val="000000"/>
        </w:rPr>
        <w:t xml:space="preserve">. </w:t>
      </w:r>
    </w:p>
    <w:p w14:paraId="12A2E22C" w14:textId="77777777" w:rsidR="00A77B3E" w:rsidRPr="00696F41" w:rsidRDefault="00485933" w:rsidP="00D366C0">
      <w:pPr>
        <w:spacing w:line="360" w:lineRule="auto"/>
        <w:ind w:firstLineChars="200" w:firstLine="480"/>
        <w:jc w:val="both"/>
        <w:rPr>
          <w:rFonts w:ascii="Book Antiqua" w:hAnsi="Book Antiqua"/>
        </w:rPr>
      </w:pPr>
      <w:r w:rsidRPr="00696F41">
        <w:rPr>
          <w:rFonts w:ascii="Book Antiqua" w:eastAsia="Book Antiqua" w:hAnsi="Book Antiqua" w:cs="Book Antiqua"/>
          <w:color w:val="000000"/>
        </w:rPr>
        <w:t xml:space="preserve">The use of erythropoiesis-stimulating agents (ESAs) for treatment of renal anemia can relieve the anemia symptoms and improve </w:t>
      </w:r>
      <w:r w:rsidR="002B3A27" w:rsidRPr="00696F41">
        <w:rPr>
          <w:rFonts w:ascii="Book Antiqua" w:eastAsia="Book Antiqua" w:hAnsi="Book Antiqua" w:cs="Book Antiqua"/>
          <w:color w:val="000000"/>
        </w:rPr>
        <w:t>QoL</w:t>
      </w:r>
      <w:r w:rsidR="00D366C0" w:rsidRPr="00696F41">
        <w:rPr>
          <w:rFonts w:ascii="Book Antiqua" w:eastAsia="Book Antiqua" w:hAnsi="Book Antiqua" w:cs="Book Antiqua"/>
          <w:color w:val="000000"/>
          <w:vertAlign w:val="superscript"/>
        </w:rPr>
        <w:t>[7,</w:t>
      </w:r>
      <w:r w:rsidRPr="00696F41">
        <w:rPr>
          <w:rFonts w:ascii="Book Antiqua" w:eastAsia="Book Antiqua" w:hAnsi="Book Antiqua" w:cs="Book Antiqua"/>
          <w:color w:val="000000"/>
          <w:vertAlign w:val="superscript"/>
        </w:rPr>
        <w:t>8]</w:t>
      </w:r>
      <w:r w:rsidRPr="00696F41">
        <w:rPr>
          <w:rFonts w:ascii="Book Antiqua" w:eastAsia="Book Antiqua" w:hAnsi="Book Antiqua" w:cs="Book Antiqua"/>
          <w:color w:val="000000"/>
        </w:rPr>
        <w:t>. Recombinant human erythropoietin (rHuEPO) or epoetin alfa is generally well tolerated. In patients with chronic renal failure the adverse events</w:t>
      </w:r>
      <w:r w:rsidR="002B3A27" w:rsidRPr="00696F41">
        <w:rPr>
          <w:rFonts w:ascii="Book Antiqua" w:hAnsi="Book Antiqua" w:cs="Book Antiqua" w:hint="eastAsia"/>
          <w:color w:val="000000"/>
          <w:lang w:eastAsia="zh-CN"/>
        </w:rPr>
        <w:t xml:space="preserve"> (</w:t>
      </w:r>
      <w:r w:rsidR="002B3A27" w:rsidRPr="00696F41">
        <w:rPr>
          <w:rFonts w:ascii="Book Antiqua" w:eastAsia="Book Antiqua" w:hAnsi="Book Antiqua" w:cs="Book Antiqua"/>
          <w:color w:val="000000"/>
        </w:rPr>
        <w:t>AE</w:t>
      </w:r>
      <w:r w:rsidR="002B3A27" w:rsidRPr="00696F41">
        <w:rPr>
          <w:rFonts w:ascii="Book Antiqua" w:hAnsi="Book Antiqua" w:cs="Book Antiqua" w:hint="eastAsia"/>
          <w:color w:val="000000"/>
          <w:lang w:eastAsia="zh-CN"/>
        </w:rPr>
        <w:t>s)</w:t>
      </w:r>
      <w:r w:rsidRPr="00696F41">
        <w:rPr>
          <w:rFonts w:ascii="Book Antiqua" w:eastAsia="Book Antiqua" w:hAnsi="Book Antiqua" w:cs="Book Antiqua"/>
          <w:color w:val="000000"/>
        </w:rPr>
        <w:t xml:space="preserve"> reported from a clinical point of view include hypertension, increased blood pressure, seizures, thrombotic vascular events, headache, increased heart rate, nausea, vomiting, diarrhea, pyrexia, hypercalcemia, hyperkalemia, hypersensitivity reaction (rash, urticarial, anaphylactic reaction, angio-edema), and increased incidence</w:t>
      </w:r>
      <w:r w:rsidR="00D366C0" w:rsidRPr="00696F41">
        <w:rPr>
          <w:rFonts w:ascii="Book Antiqua" w:eastAsia="Book Antiqua" w:hAnsi="Book Antiqua" w:cs="Book Antiqua"/>
          <w:color w:val="000000"/>
        </w:rPr>
        <w:t xml:space="preserve"> of thrombotic vascular events.</w:t>
      </w:r>
      <w:r w:rsidRPr="00696F41">
        <w:rPr>
          <w:rFonts w:ascii="Book Antiqua" w:eastAsia="Book Antiqua" w:hAnsi="Book Antiqua" w:cs="Book Antiqua"/>
          <w:color w:val="000000"/>
        </w:rPr>
        <w:t xml:space="preserve"> A rare, but serious </w:t>
      </w:r>
      <w:r w:rsidRPr="00696F41">
        <w:rPr>
          <w:rFonts w:ascii="Book Antiqua" w:eastAsia="Book Antiqua" w:hAnsi="Book Antiqua" w:cs="Book Antiqua"/>
          <w:color w:val="000000"/>
        </w:rPr>
        <w:lastRenderedPageBreak/>
        <w:t xml:space="preserve">complication related to epoetin is antibody-mediated </w:t>
      </w:r>
      <w:r w:rsidR="00D366C0" w:rsidRPr="00696F41">
        <w:rPr>
          <w:rFonts w:ascii="Book Antiqua" w:hAnsi="Book Antiqua" w:cs="Book Antiqua" w:hint="eastAsia"/>
          <w:color w:val="000000"/>
          <w:lang w:eastAsia="zh-CN"/>
        </w:rPr>
        <w:t>p</w:t>
      </w:r>
      <w:r w:rsidRPr="00696F41">
        <w:rPr>
          <w:rFonts w:ascii="Book Antiqua" w:eastAsia="Book Antiqua" w:hAnsi="Book Antiqua" w:cs="Book Antiqua"/>
          <w:color w:val="000000"/>
        </w:rPr>
        <w:t xml:space="preserve">ure </w:t>
      </w:r>
      <w:r w:rsidR="00D366C0" w:rsidRPr="00696F41">
        <w:rPr>
          <w:rFonts w:ascii="Book Antiqua" w:hAnsi="Book Antiqua" w:cs="Book Antiqua" w:hint="eastAsia"/>
          <w:color w:val="000000"/>
          <w:lang w:eastAsia="zh-CN"/>
        </w:rPr>
        <w:t>r</w:t>
      </w:r>
      <w:r w:rsidRPr="00696F41">
        <w:rPr>
          <w:rFonts w:ascii="Book Antiqua" w:eastAsia="Book Antiqua" w:hAnsi="Book Antiqua" w:cs="Book Antiqua"/>
          <w:color w:val="000000"/>
        </w:rPr>
        <w:t xml:space="preserve">ed </w:t>
      </w:r>
      <w:r w:rsidR="00D366C0" w:rsidRPr="00696F41">
        <w:rPr>
          <w:rFonts w:ascii="Book Antiqua" w:hAnsi="Book Antiqua" w:cs="Book Antiqua" w:hint="eastAsia"/>
          <w:color w:val="000000"/>
          <w:lang w:eastAsia="zh-CN"/>
        </w:rPr>
        <w:t>c</w:t>
      </w:r>
      <w:r w:rsidRPr="00696F41">
        <w:rPr>
          <w:rFonts w:ascii="Book Antiqua" w:eastAsia="Book Antiqua" w:hAnsi="Book Antiqua" w:cs="Book Antiqua"/>
          <w:color w:val="000000"/>
        </w:rPr>
        <w:t xml:space="preserve">ell </w:t>
      </w:r>
      <w:r w:rsidR="00D366C0" w:rsidRPr="00696F41">
        <w:rPr>
          <w:rFonts w:ascii="Book Antiqua" w:hAnsi="Book Antiqua" w:cs="Book Antiqua" w:hint="eastAsia"/>
          <w:color w:val="000000"/>
          <w:lang w:eastAsia="zh-CN"/>
        </w:rPr>
        <w:t>a</w:t>
      </w:r>
      <w:r w:rsidRPr="00696F41">
        <w:rPr>
          <w:rFonts w:ascii="Book Antiqua" w:eastAsia="Book Antiqua" w:hAnsi="Book Antiqua" w:cs="Book Antiqua"/>
          <w:color w:val="000000"/>
        </w:rPr>
        <w:t>plasia (PRCA)</w:t>
      </w:r>
      <w:r w:rsidR="00D366C0" w:rsidRPr="00696F41">
        <w:rPr>
          <w:rFonts w:ascii="Book Antiqua" w:eastAsia="Book Antiqua" w:hAnsi="Book Antiqua" w:cs="Book Antiqua"/>
          <w:color w:val="000000"/>
          <w:vertAlign w:val="superscript"/>
        </w:rPr>
        <w:t>[8,</w:t>
      </w:r>
      <w:r w:rsidRPr="00696F41">
        <w:rPr>
          <w:rFonts w:ascii="Book Antiqua" w:eastAsia="Book Antiqua" w:hAnsi="Book Antiqua" w:cs="Book Antiqua"/>
          <w:color w:val="000000"/>
          <w:vertAlign w:val="superscript"/>
        </w:rPr>
        <w:t>9]</w:t>
      </w:r>
      <w:r w:rsidRPr="00696F41">
        <w:rPr>
          <w:rFonts w:ascii="Book Antiqua" w:eastAsia="Book Antiqua" w:hAnsi="Book Antiqua" w:cs="Book Antiqua"/>
          <w:color w:val="000000"/>
        </w:rPr>
        <w:t>. When treated with ESA, patients with anemia and CKD may encounter hyporesponsiveness. Many factors contribute to ESA hyporesponsiveness such as iron deficiency, non-adherence to iron or ESA therapy, acute/chronic blood loss, infection, inflammation, inadequate dialysis, aluminum overload, malignancy, chronic conditions, hyperparathyroidism, and PRCA</w:t>
      </w:r>
      <w:r w:rsidR="00995DB3" w:rsidRPr="00696F41">
        <w:rPr>
          <w:rFonts w:ascii="Book Antiqua" w:eastAsia="Book Antiqua" w:hAnsi="Book Antiqua" w:cs="Book Antiqua"/>
          <w:color w:val="000000"/>
          <w:vertAlign w:val="superscript"/>
        </w:rPr>
        <w:t>[3,</w:t>
      </w:r>
      <w:r w:rsidRPr="00696F41">
        <w:rPr>
          <w:rFonts w:ascii="Book Antiqua" w:eastAsia="Book Antiqua" w:hAnsi="Book Antiqua" w:cs="Book Antiqua"/>
          <w:color w:val="000000"/>
          <w:vertAlign w:val="superscript"/>
        </w:rPr>
        <w:t>10]</w:t>
      </w:r>
      <w:r w:rsidRPr="00696F41">
        <w:rPr>
          <w:rFonts w:ascii="Book Antiqua" w:eastAsia="Book Antiqua" w:hAnsi="Book Antiqua" w:cs="Book Antiqua"/>
          <w:color w:val="000000"/>
        </w:rPr>
        <w:t>. Practice guidelines suggest evaluation for specific causes of hyporesponsiveness when the Hb level is inappropriately low for the ESA dose administered</w:t>
      </w:r>
      <w:r w:rsidR="00995DB3" w:rsidRPr="00696F41">
        <w:rPr>
          <w:rFonts w:ascii="Book Antiqua" w:eastAsia="Book Antiqua" w:hAnsi="Book Antiqua" w:cs="Book Antiqua"/>
          <w:color w:val="000000"/>
          <w:vertAlign w:val="superscript"/>
        </w:rPr>
        <w:t>[7,</w:t>
      </w:r>
      <w:r w:rsidRPr="00696F41">
        <w:rPr>
          <w:rFonts w:ascii="Book Antiqua" w:eastAsia="Book Antiqua" w:hAnsi="Book Antiqua" w:cs="Book Antiqua"/>
          <w:color w:val="000000"/>
          <w:vertAlign w:val="superscript"/>
        </w:rPr>
        <w:t>11]</w:t>
      </w:r>
      <w:r w:rsidRPr="00696F41">
        <w:rPr>
          <w:rFonts w:ascii="Book Antiqua" w:eastAsia="Book Antiqua" w:hAnsi="Book Antiqua" w:cs="Book Antiqua"/>
          <w:color w:val="000000"/>
        </w:rPr>
        <w:t>.</w:t>
      </w:r>
    </w:p>
    <w:p w14:paraId="0DCB6850" w14:textId="77777777" w:rsidR="00A77B3E" w:rsidRPr="00696F41" w:rsidRDefault="00485933" w:rsidP="00995DB3">
      <w:pPr>
        <w:spacing w:line="360" w:lineRule="auto"/>
        <w:ind w:firstLineChars="200" w:firstLine="480"/>
        <w:jc w:val="both"/>
        <w:rPr>
          <w:rFonts w:ascii="Book Antiqua" w:hAnsi="Book Antiqua"/>
        </w:rPr>
      </w:pPr>
      <w:r w:rsidRPr="00696F41">
        <w:rPr>
          <w:rFonts w:ascii="Book Antiqua" w:eastAsia="Book Antiqua" w:hAnsi="Book Antiqua" w:cs="Book Antiqua"/>
          <w:color w:val="000000"/>
        </w:rPr>
        <w:t>Hema-Plus is a rHuEPO. The product was approved for marketing in the manufacturing country in 1998. To date, the product has been registered in more than 20 countries. The product was approved for marketing in Thailand in September 2012. This study was proposed to evaluate the efficacy and safety of the product in the management of anemia in patients on peritoneal dialysis</w:t>
      </w:r>
      <w:r w:rsidR="002B3A27" w:rsidRPr="00696F41">
        <w:rPr>
          <w:rFonts w:ascii="Book Antiqua" w:hAnsi="Book Antiqua" w:cs="Book Antiqua" w:hint="eastAsia"/>
          <w:color w:val="000000"/>
          <w:lang w:eastAsia="zh-CN"/>
        </w:rPr>
        <w:t xml:space="preserve"> (</w:t>
      </w:r>
      <w:r w:rsidR="002B3A27" w:rsidRPr="00696F41">
        <w:rPr>
          <w:rFonts w:ascii="Book Antiqua" w:eastAsia="Book Antiqua" w:hAnsi="Book Antiqua" w:cs="Book Antiqua"/>
          <w:color w:val="000000"/>
        </w:rPr>
        <w:t>PD</w:t>
      </w:r>
      <w:r w:rsidR="002B3A27" w:rsidRPr="00696F41">
        <w:rPr>
          <w:rFonts w:ascii="Book Antiqua" w:hAnsi="Book Antiqua" w:cs="Book Antiqua" w:hint="eastAsia"/>
          <w:color w:val="000000"/>
          <w:lang w:eastAsia="zh-CN"/>
        </w:rPr>
        <w:t>)</w:t>
      </w:r>
      <w:r w:rsidRPr="00696F41">
        <w:rPr>
          <w:rFonts w:ascii="Book Antiqua" w:eastAsia="Book Antiqua" w:hAnsi="Book Antiqua" w:cs="Book Antiqua"/>
          <w:color w:val="000000"/>
        </w:rPr>
        <w:t xml:space="preserve"> and also the </w:t>
      </w:r>
      <w:r w:rsidR="002B3A27" w:rsidRPr="00696F41">
        <w:rPr>
          <w:rFonts w:ascii="Book Antiqua" w:eastAsia="Book Antiqua" w:hAnsi="Book Antiqua" w:cs="Book Antiqua"/>
          <w:color w:val="000000"/>
        </w:rPr>
        <w:t>QoL</w:t>
      </w:r>
      <w:r w:rsidRPr="00696F41">
        <w:rPr>
          <w:rFonts w:ascii="Book Antiqua" w:eastAsia="Book Antiqua" w:hAnsi="Book Antiqua" w:cs="Book Antiqua"/>
          <w:color w:val="000000"/>
        </w:rPr>
        <w:t xml:space="preserve"> of those patients.</w:t>
      </w:r>
    </w:p>
    <w:p w14:paraId="4F6D6CA0" w14:textId="77777777" w:rsidR="00A77B3E" w:rsidRPr="00696F41" w:rsidRDefault="00A77B3E" w:rsidP="00107B1E">
      <w:pPr>
        <w:spacing w:line="360" w:lineRule="auto"/>
        <w:jc w:val="both"/>
        <w:rPr>
          <w:rFonts w:ascii="Book Antiqua" w:hAnsi="Book Antiqua"/>
        </w:rPr>
      </w:pPr>
    </w:p>
    <w:p w14:paraId="33ED0C5E"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b/>
          <w:caps/>
          <w:color w:val="000000"/>
          <w:u w:val="single"/>
        </w:rPr>
        <w:t>MATERIALS AND METHODS</w:t>
      </w:r>
    </w:p>
    <w:p w14:paraId="28004E9D" w14:textId="77777777" w:rsidR="00A77B3E" w:rsidRPr="00696F41" w:rsidRDefault="00485933" w:rsidP="00107B1E">
      <w:pPr>
        <w:spacing w:line="360" w:lineRule="auto"/>
        <w:jc w:val="both"/>
        <w:rPr>
          <w:rFonts w:ascii="Book Antiqua" w:hAnsi="Book Antiqua"/>
          <w:b/>
        </w:rPr>
      </w:pPr>
      <w:r w:rsidRPr="00696F41">
        <w:rPr>
          <w:rFonts w:ascii="Book Antiqua" w:eastAsia="Book Antiqua" w:hAnsi="Book Antiqua" w:cs="Book Antiqua"/>
          <w:b/>
          <w:i/>
          <w:color w:val="000000"/>
        </w:rPr>
        <w:t xml:space="preserve">Study design and </w:t>
      </w:r>
      <w:r w:rsidR="00995DB3" w:rsidRPr="00696F41">
        <w:rPr>
          <w:rFonts w:ascii="Book Antiqua" w:hAnsi="Book Antiqua" w:cs="Book Antiqua" w:hint="eastAsia"/>
          <w:b/>
          <w:i/>
          <w:color w:val="000000"/>
          <w:lang w:eastAsia="zh-CN"/>
        </w:rPr>
        <w:t>s</w:t>
      </w:r>
      <w:r w:rsidRPr="00696F41">
        <w:rPr>
          <w:rFonts w:ascii="Book Antiqua" w:eastAsia="Book Antiqua" w:hAnsi="Book Antiqua" w:cs="Book Antiqua"/>
          <w:b/>
          <w:i/>
          <w:color w:val="000000"/>
        </w:rPr>
        <w:t>etting</w:t>
      </w:r>
    </w:p>
    <w:p w14:paraId="2ED4960F"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color w:val="000000"/>
        </w:rPr>
        <w:t>This was an open-label, single-arm, prospective, multicenter, phase IV study to evaluate efficacy and safety of Hema-Plus</w:t>
      </w:r>
      <w:r w:rsidRPr="00696F41">
        <w:rPr>
          <w:rFonts w:ascii="Book Antiqua" w:eastAsia="Book Antiqua" w:hAnsi="Book Antiqua" w:cs="Book Antiqua"/>
          <w:color w:val="000000"/>
          <w:vertAlign w:val="superscript"/>
        </w:rPr>
        <w:t>®</w:t>
      </w:r>
      <w:r w:rsidRPr="00696F41">
        <w:rPr>
          <w:rFonts w:ascii="Book Antiqua" w:eastAsia="Book Antiqua" w:hAnsi="Book Antiqua" w:cs="Book Antiqua"/>
          <w:color w:val="000000"/>
        </w:rPr>
        <w:t xml:space="preserve"> in correcting anemia among CKD patients receiving </w:t>
      </w:r>
      <w:r w:rsidR="002B3A27" w:rsidRPr="00696F41">
        <w:rPr>
          <w:rFonts w:ascii="Book Antiqua" w:eastAsia="Book Antiqua" w:hAnsi="Book Antiqua" w:cs="Book Antiqua"/>
          <w:color w:val="000000"/>
        </w:rPr>
        <w:t>PD</w:t>
      </w:r>
      <w:r w:rsidRPr="00696F41">
        <w:rPr>
          <w:rFonts w:ascii="Book Antiqua" w:eastAsia="Book Antiqua" w:hAnsi="Book Antiqua" w:cs="Book Antiqua"/>
          <w:color w:val="000000"/>
        </w:rPr>
        <w:t xml:space="preserve">. The study was conducted at three dialysis centers offering continuous ambulatory </w:t>
      </w:r>
      <w:r w:rsidR="002B3A27" w:rsidRPr="00696F41">
        <w:rPr>
          <w:rFonts w:ascii="Book Antiqua" w:eastAsia="Book Antiqua" w:hAnsi="Book Antiqua" w:cs="Book Antiqua"/>
          <w:color w:val="000000"/>
        </w:rPr>
        <w:t>PD</w:t>
      </w:r>
      <w:r w:rsidRPr="00696F41">
        <w:rPr>
          <w:rFonts w:ascii="Book Antiqua" w:eastAsia="Book Antiqua" w:hAnsi="Book Antiqua" w:cs="Book Antiqua"/>
          <w:color w:val="000000"/>
        </w:rPr>
        <w:t xml:space="preserve"> (CAPD) services in Thailand, </w:t>
      </w:r>
      <w:r w:rsidRPr="00696F41">
        <w:rPr>
          <w:rFonts w:ascii="Book Antiqua" w:eastAsia="Book Antiqua" w:hAnsi="Book Antiqua" w:cs="Book Antiqua"/>
          <w:i/>
          <w:color w:val="000000"/>
        </w:rPr>
        <w:t>i.e.</w:t>
      </w:r>
      <w:r w:rsidRPr="00696F41">
        <w:rPr>
          <w:rFonts w:ascii="Book Antiqua" w:eastAsia="Book Antiqua" w:hAnsi="Book Antiqua" w:cs="Book Antiqua"/>
          <w:color w:val="000000"/>
        </w:rPr>
        <w:t>, Banphaeo Hospital, Udon Thani Hospital, and Siriraj Hospital.</w:t>
      </w:r>
    </w:p>
    <w:p w14:paraId="2C8D79B1" w14:textId="77777777" w:rsidR="00A77B3E" w:rsidRPr="00696F41" w:rsidRDefault="00485933" w:rsidP="00995DB3">
      <w:pPr>
        <w:spacing w:line="360" w:lineRule="auto"/>
        <w:ind w:firstLineChars="200" w:firstLine="480"/>
        <w:jc w:val="both"/>
        <w:rPr>
          <w:rFonts w:ascii="Book Antiqua" w:hAnsi="Book Antiqua"/>
        </w:rPr>
      </w:pPr>
      <w:r w:rsidRPr="00696F41">
        <w:rPr>
          <w:rFonts w:ascii="Book Antiqua" w:eastAsia="Book Antiqua" w:hAnsi="Book Antiqua" w:cs="Book Antiqua"/>
          <w:color w:val="000000"/>
        </w:rPr>
        <w:t xml:space="preserve">Patients underwent </w:t>
      </w:r>
      <w:r w:rsidR="002B3A27" w:rsidRPr="00696F41">
        <w:rPr>
          <w:rFonts w:ascii="Book Antiqua" w:eastAsia="Book Antiqua" w:hAnsi="Book Antiqua" w:cs="Book Antiqua"/>
          <w:color w:val="000000"/>
        </w:rPr>
        <w:t>PD</w:t>
      </w:r>
      <w:r w:rsidRPr="00696F41">
        <w:rPr>
          <w:rFonts w:ascii="Book Antiqua" w:eastAsia="Book Antiqua" w:hAnsi="Book Antiqua" w:cs="Book Antiqua"/>
          <w:color w:val="000000"/>
        </w:rPr>
        <w:t xml:space="preserve"> catheter implantation following normal practice at each study site. Following the break-in period, eligible patients commenced </w:t>
      </w:r>
      <w:r w:rsidR="002B3A27" w:rsidRPr="00696F41">
        <w:rPr>
          <w:rFonts w:ascii="Book Antiqua" w:eastAsia="Book Antiqua" w:hAnsi="Book Antiqua" w:cs="Book Antiqua"/>
          <w:color w:val="000000"/>
        </w:rPr>
        <w:t>PD</w:t>
      </w:r>
      <w:r w:rsidR="00995DB3" w:rsidRPr="00696F41">
        <w:rPr>
          <w:rFonts w:ascii="Book Antiqua" w:eastAsia="Book Antiqua" w:hAnsi="Book Antiqua" w:cs="Book Antiqua"/>
          <w:color w:val="000000"/>
        </w:rPr>
        <w:t xml:space="preserve"> and started a 12-w</w:t>
      </w:r>
      <w:r w:rsidRPr="00696F41">
        <w:rPr>
          <w:rFonts w:ascii="Book Antiqua" w:eastAsia="Book Antiqua" w:hAnsi="Book Antiqua" w:cs="Book Antiqua"/>
          <w:color w:val="000000"/>
        </w:rPr>
        <w:t>k treatment of Hema-Plus</w:t>
      </w:r>
      <w:r w:rsidRPr="00696F41">
        <w:rPr>
          <w:rFonts w:ascii="Book Antiqua" w:eastAsia="Book Antiqua" w:hAnsi="Book Antiqua" w:cs="Book Antiqua"/>
          <w:color w:val="000000"/>
          <w:vertAlign w:val="superscript"/>
        </w:rPr>
        <w:t>®</w:t>
      </w:r>
      <w:r w:rsidRPr="00696F41">
        <w:rPr>
          <w:rFonts w:ascii="Book Antiqua" w:eastAsia="Book Antiqua" w:hAnsi="Book Antiqua" w:cs="Book Antiqua"/>
          <w:color w:val="000000"/>
        </w:rPr>
        <w:t xml:space="preserve"> on the same day. The efficacy and safety of the study drug along with the impact on patients’ </w:t>
      </w:r>
      <w:r w:rsidR="002B3A27" w:rsidRPr="00696F41">
        <w:rPr>
          <w:rFonts w:ascii="Book Antiqua" w:eastAsia="Book Antiqua" w:hAnsi="Book Antiqua" w:cs="Book Antiqua"/>
          <w:color w:val="000000"/>
        </w:rPr>
        <w:t>QoL</w:t>
      </w:r>
      <w:r w:rsidRPr="00696F41">
        <w:rPr>
          <w:rFonts w:ascii="Book Antiqua" w:eastAsia="Book Antiqua" w:hAnsi="Book Antiqua" w:cs="Book Antiqua"/>
          <w:color w:val="000000"/>
        </w:rPr>
        <w:t xml:space="preserve"> were assessed.</w:t>
      </w:r>
    </w:p>
    <w:p w14:paraId="4A8256A3" w14:textId="77777777" w:rsidR="00A77B3E" w:rsidRPr="00696F41" w:rsidRDefault="00485933" w:rsidP="00995DB3">
      <w:pPr>
        <w:spacing w:line="360" w:lineRule="auto"/>
        <w:ind w:firstLineChars="200" w:firstLine="480"/>
        <w:jc w:val="both"/>
        <w:rPr>
          <w:rFonts w:ascii="Book Antiqua" w:hAnsi="Book Antiqua" w:cs="Book Antiqua"/>
          <w:color w:val="000000"/>
          <w:lang w:eastAsia="zh-CN"/>
        </w:rPr>
      </w:pPr>
      <w:r w:rsidRPr="00696F41">
        <w:rPr>
          <w:rFonts w:ascii="Book Antiqua" w:eastAsia="Book Antiqua" w:hAnsi="Book Antiqua" w:cs="Book Antiqua"/>
          <w:color w:val="000000"/>
        </w:rPr>
        <w:t xml:space="preserve">The study was conducted in accordance with International Conference on Harmonization–Good Clinical Practice Guideline and the Declaration of Helsinki. The protocol was approved by the independent ethics committee at each participating site, prior to the study initiation. All patients gave written informed consent. The study was </w:t>
      </w:r>
      <w:r w:rsidRPr="00696F41">
        <w:rPr>
          <w:rFonts w:ascii="Book Antiqua" w:eastAsia="Book Antiqua" w:hAnsi="Book Antiqua" w:cs="Book Antiqua"/>
          <w:color w:val="000000"/>
        </w:rPr>
        <w:lastRenderedPageBreak/>
        <w:t xml:space="preserve">registered on the Thai Clinical Trial Registry (TCTR), URL </w:t>
      </w:r>
      <w:hyperlink r:id="rId7" w:history="1">
        <w:r w:rsidRPr="00696F41">
          <w:rPr>
            <w:rFonts w:ascii="Book Antiqua" w:eastAsia="Book Antiqua" w:hAnsi="Book Antiqua" w:cs="Book Antiqua"/>
            <w:color w:val="000000"/>
          </w:rPr>
          <w:t>http://www.thaiclinicaltrials.org/</w:t>
        </w:r>
      </w:hyperlink>
      <w:r w:rsidRPr="00696F41">
        <w:rPr>
          <w:rFonts w:ascii="Book Antiqua" w:eastAsia="Book Antiqua" w:hAnsi="Book Antiqua" w:cs="Book Antiqua"/>
          <w:color w:val="000000"/>
        </w:rPr>
        <w:t xml:space="preserve"> (TCTR ID: 20140128002). The study adhered to The Strengthening of the Reporting of Observational Studies in Epidemiology guidelines</w:t>
      </w:r>
      <w:r w:rsidRPr="00696F41">
        <w:rPr>
          <w:rFonts w:ascii="Book Antiqua" w:eastAsia="Book Antiqua" w:hAnsi="Book Antiqua" w:cs="Book Antiqua"/>
          <w:color w:val="000000"/>
          <w:vertAlign w:val="superscript"/>
        </w:rPr>
        <w:t>[12]</w:t>
      </w:r>
      <w:r w:rsidRPr="00696F41">
        <w:rPr>
          <w:rFonts w:ascii="Book Antiqua" w:eastAsia="Book Antiqua" w:hAnsi="Book Antiqua" w:cs="Book Antiqua"/>
          <w:color w:val="000000"/>
        </w:rPr>
        <w:t>.</w:t>
      </w:r>
    </w:p>
    <w:p w14:paraId="0542952B" w14:textId="77777777" w:rsidR="00995DB3" w:rsidRPr="00696F41" w:rsidRDefault="00995DB3" w:rsidP="00995DB3">
      <w:pPr>
        <w:spacing w:line="360" w:lineRule="auto"/>
        <w:ind w:firstLineChars="200" w:firstLine="480"/>
        <w:jc w:val="both"/>
        <w:rPr>
          <w:rFonts w:ascii="Book Antiqua" w:hAnsi="Book Antiqua"/>
          <w:lang w:eastAsia="zh-CN"/>
        </w:rPr>
      </w:pPr>
    </w:p>
    <w:p w14:paraId="66613FF3" w14:textId="77777777" w:rsidR="00A77B3E" w:rsidRPr="00696F41" w:rsidRDefault="00485933" w:rsidP="00107B1E">
      <w:pPr>
        <w:spacing w:line="360" w:lineRule="auto"/>
        <w:jc w:val="both"/>
        <w:rPr>
          <w:rFonts w:ascii="Book Antiqua" w:hAnsi="Book Antiqua"/>
          <w:b/>
        </w:rPr>
      </w:pPr>
      <w:r w:rsidRPr="00696F41">
        <w:rPr>
          <w:rFonts w:ascii="Book Antiqua" w:eastAsia="Book Antiqua" w:hAnsi="Book Antiqua" w:cs="Book Antiqua"/>
          <w:b/>
          <w:i/>
          <w:color w:val="000000"/>
        </w:rPr>
        <w:t>Patients and eligibility criteria</w:t>
      </w:r>
    </w:p>
    <w:p w14:paraId="3BDF495C" w14:textId="0615A090"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color w:val="000000"/>
        </w:rPr>
        <w:t>Eligibil</w:t>
      </w:r>
      <w:r w:rsidR="00995DB3" w:rsidRPr="00696F41">
        <w:rPr>
          <w:rFonts w:ascii="Book Antiqua" w:eastAsia="Book Antiqua" w:hAnsi="Book Antiqua" w:cs="Book Antiqua"/>
          <w:color w:val="000000"/>
        </w:rPr>
        <w:t>ity was assessed during a 2-w</w:t>
      </w:r>
      <w:r w:rsidRPr="00696F41">
        <w:rPr>
          <w:rFonts w:ascii="Book Antiqua" w:eastAsia="Book Antiqua" w:hAnsi="Book Antiqua" w:cs="Book Antiqua"/>
          <w:color w:val="000000"/>
        </w:rPr>
        <w:t xml:space="preserve">k screening period. CKD patients aged 18–70 years who were indicated to start </w:t>
      </w:r>
      <w:r w:rsidR="002B3A27" w:rsidRPr="00696F41">
        <w:rPr>
          <w:rFonts w:ascii="Book Antiqua" w:eastAsia="Book Antiqua" w:hAnsi="Book Antiqua" w:cs="Book Antiqua"/>
          <w:color w:val="000000"/>
        </w:rPr>
        <w:t>PD</w:t>
      </w:r>
      <w:r w:rsidRPr="00696F41">
        <w:rPr>
          <w:rFonts w:ascii="Book Antiqua" w:eastAsia="Book Antiqua" w:hAnsi="Book Antiqua" w:cs="Book Antiqua"/>
          <w:color w:val="000000"/>
        </w:rPr>
        <w:t xml:space="preserve"> based on estimated glomerular filtration rate (eGFR) of less than 15 m</w:t>
      </w:r>
      <w:r w:rsidR="00DB3B0A" w:rsidRPr="00DB3B0A">
        <w:rPr>
          <w:rFonts w:ascii="Book Antiqua" w:eastAsia="Book Antiqua" w:hAnsi="Book Antiqua" w:cs="Book Antiqua" w:hint="eastAsia"/>
          <w:color w:val="000000"/>
        </w:rPr>
        <w:t>L</w:t>
      </w:r>
      <w:r w:rsidRPr="00696F41">
        <w:rPr>
          <w:rFonts w:ascii="Book Antiqua" w:eastAsia="Book Antiqua" w:hAnsi="Book Antiqua" w:cs="Book Antiqua"/>
          <w:color w:val="000000"/>
        </w:rPr>
        <w:t>/min/1.73 m</w:t>
      </w:r>
      <w:r w:rsidRPr="00696F41">
        <w:rPr>
          <w:rFonts w:ascii="Book Antiqua" w:eastAsia="Book Antiqua" w:hAnsi="Book Antiqua" w:cs="Book Antiqua"/>
          <w:color w:val="000000"/>
          <w:vertAlign w:val="superscript"/>
        </w:rPr>
        <w:t>2</w:t>
      </w:r>
      <w:r w:rsidRPr="00696F41">
        <w:rPr>
          <w:rFonts w:ascii="Book Antiqua" w:eastAsia="Book Antiqua" w:hAnsi="Book Antiqua" w:cs="Book Antiqua"/>
          <w:color w:val="000000"/>
        </w:rPr>
        <w:t xml:space="preserve">, and had hemoglobin (Hb) &lt; 9.5 g/dL, serum ferritin &gt; 100 ng/mL and serum transferrin saturation (TSAT) ≥ 20% were enrolled in the study. The eGFR was calculated by using the </w:t>
      </w:r>
      <w:r w:rsidR="002B3A27" w:rsidRPr="00696F41">
        <w:rPr>
          <w:rFonts w:ascii="Book Antiqua" w:hAnsi="Book Antiqua" w:cs="Book Antiqua" w:hint="eastAsia"/>
          <w:color w:val="000000"/>
          <w:lang w:eastAsia="zh-CN"/>
        </w:rPr>
        <w:t>CKD</w:t>
      </w:r>
      <w:r w:rsidRPr="00696F41">
        <w:rPr>
          <w:rFonts w:ascii="Book Antiqua" w:eastAsia="Book Antiqua" w:hAnsi="Book Antiqua" w:cs="Book Antiqua"/>
          <w:color w:val="000000"/>
        </w:rPr>
        <w:t xml:space="preserve"> epidemiology collaboration equation</w:t>
      </w:r>
      <w:r w:rsidRPr="00696F41">
        <w:rPr>
          <w:rFonts w:ascii="Book Antiqua" w:eastAsia="Book Antiqua" w:hAnsi="Book Antiqua" w:cs="Book Antiqua"/>
          <w:color w:val="000000"/>
          <w:vertAlign w:val="superscript"/>
        </w:rPr>
        <w:t>[13]</w:t>
      </w:r>
      <w:r w:rsidRPr="00696F41">
        <w:rPr>
          <w:rFonts w:ascii="Book Antiqua" w:eastAsia="Book Antiqua" w:hAnsi="Book Antiqua" w:cs="Book Antiqua"/>
          <w:color w:val="000000"/>
        </w:rPr>
        <w:t>.</w:t>
      </w:r>
    </w:p>
    <w:p w14:paraId="000E2079" w14:textId="77777777" w:rsidR="00A77B3E" w:rsidRPr="00696F41" w:rsidRDefault="00485933" w:rsidP="00995DB3">
      <w:pPr>
        <w:spacing w:line="360" w:lineRule="auto"/>
        <w:ind w:firstLineChars="200" w:firstLine="480"/>
        <w:jc w:val="both"/>
        <w:rPr>
          <w:rFonts w:ascii="Book Antiqua" w:hAnsi="Book Antiqua" w:cs="Book Antiqua"/>
          <w:color w:val="000000"/>
          <w:lang w:eastAsia="zh-CN"/>
        </w:rPr>
      </w:pPr>
      <w:r w:rsidRPr="00696F41">
        <w:rPr>
          <w:rFonts w:ascii="Book Antiqua" w:eastAsia="Book Antiqua" w:hAnsi="Book Antiqua" w:cs="Book Antiqua"/>
          <w:color w:val="000000"/>
        </w:rPr>
        <w:t xml:space="preserve">Patients who previously received epoetin or any investigational drugs (within 3 mo of screening) or had </w:t>
      </w:r>
      <w:r w:rsidR="00995DB3" w:rsidRPr="00696F41">
        <w:rPr>
          <w:rFonts w:ascii="Book Antiqua" w:eastAsia="Book Antiqua" w:hAnsi="Book Antiqua" w:cs="Book Antiqua"/>
          <w:color w:val="000000"/>
        </w:rPr>
        <w:t>blood transfusion (within 7 d</w:t>
      </w:r>
      <w:r w:rsidRPr="00696F41">
        <w:rPr>
          <w:rFonts w:ascii="Book Antiqua" w:eastAsia="Book Antiqua" w:hAnsi="Book Antiqua" w:cs="Book Antiqua"/>
          <w:color w:val="000000"/>
        </w:rPr>
        <w:t xml:space="preserve"> prior to screening) or received concurrent treatment with either androgenic agents or immunosuppressive therapy were considered ineligible. This study also excluded patients with the following conditions: </w:t>
      </w:r>
      <w:r w:rsidR="005C06BD" w:rsidRPr="00696F41">
        <w:rPr>
          <w:rFonts w:ascii="Book Antiqua" w:hAnsi="Book Antiqua" w:cs="Book Antiqua" w:hint="eastAsia"/>
          <w:color w:val="000000"/>
          <w:lang w:eastAsia="zh-CN"/>
        </w:rPr>
        <w:t>P</w:t>
      </w:r>
      <w:r w:rsidRPr="00696F41">
        <w:rPr>
          <w:rFonts w:ascii="Book Antiqua" w:eastAsia="Book Antiqua" w:hAnsi="Book Antiqua" w:cs="Book Antiqua"/>
          <w:color w:val="000000"/>
        </w:rPr>
        <w:t xml:space="preserve">oorly controlled hypertension or ischemic heart disease; congestive heart failure; infection or inflammatory disease (within 4 wk prior to screening); secondary hyperparathyroidism; history of seizure; previous malignant tumor or residual tumor after anticancer therapy; active bleeding or history of bleeding disorders; infections with HIV or hepatitis B or C viruses; signs, symptoms and laboratory assessment associated with erythropoietin-resistant bone marrow diseases such as aplastic anemia, myelodysplastic syndrome, myelofibrosis, myelophthisis anemia and </w:t>
      </w:r>
      <w:r w:rsidR="00D366C0" w:rsidRPr="00696F41">
        <w:rPr>
          <w:rFonts w:ascii="Book Antiqua" w:eastAsia="Book Antiqua" w:hAnsi="Book Antiqua" w:cs="Book Antiqua"/>
          <w:color w:val="000000"/>
        </w:rPr>
        <w:t>PRCA</w:t>
      </w:r>
      <w:r w:rsidRPr="00696F41">
        <w:rPr>
          <w:rFonts w:ascii="Book Antiqua" w:eastAsia="Book Antiqua" w:hAnsi="Book Antiqua" w:cs="Book Antiqua"/>
          <w:color w:val="000000"/>
        </w:rPr>
        <w:t>; known hypersensitivity to products derived from mammalian cells or containing human albumin; pregnant or breastfeeding; and women with childbearing potential unwilling to use an effective birth control method.</w:t>
      </w:r>
    </w:p>
    <w:p w14:paraId="39007176" w14:textId="77777777" w:rsidR="00995DB3" w:rsidRPr="00696F41" w:rsidRDefault="00995DB3" w:rsidP="00995DB3">
      <w:pPr>
        <w:spacing w:line="360" w:lineRule="auto"/>
        <w:ind w:firstLineChars="200" w:firstLine="480"/>
        <w:jc w:val="both"/>
        <w:rPr>
          <w:rFonts w:ascii="Book Antiqua" w:hAnsi="Book Antiqua"/>
          <w:lang w:eastAsia="zh-CN"/>
        </w:rPr>
      </w:pPr>
    </w:p>
    <w:p w14:paraId="610D9BDA" w14:textId="77777777" w:rsidR="00A77B3E" w:rsidRPr="00696F41" w:rsidRDefault="00485933" w:rsidP="00107B1E">
      <w:pPr>
        <w:spacing w:line="360" w:lineRule="auto"/>
        <w:jc w:val="both"/>
        <w:rPr>
          <w:rFonts w:ascii="Book Antiqua" w:hAnsi="Book Antiqua"/>
          <w:b/>
        </w:rPr>
      </w:pPr>
      <w:r w:rsidRPr="00696F41">
        <w:rPr>
          <w:rFonts w:ascii="Book Antiqua" w:eastAsia="Book Antiqua" w:hAnsi="Book Antiqua" w:cs="Book Antiqua"/>
          <w:b/>
          <w:i/>
          <w:color w:val="000000"/>
        </w:rPr>
        <w:t>Study treatment and assessments</w:t>
      </w:r>
    </w:p>
    <w:p w14:paraId="6220D575"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color w:val="000000"/>
        </w:rPr>
        <w:t>Participants were treated with Hema-Plus</w:t>
      </w:r>
      <w:r w:rsidRPr="00696F41">
        <w:rPr>
          <w:rFonts w:ascii="Book Antiqua" w:eastAsia="Book Antiqua" w:hAnsi="Book Antiqua" w:cs="Book Antiqua"/>
          <w:color w:val="000000"/>
          <w:vertAlign w:val="superscript"/>
        </w:rPr>
        <w:t>®</w:t>
      </w:r>
      <w:r w:rsidRPr="00696F41">
        <w:rPr>
          <w:rFonts w:ascii="Book Antiqua" w:eastAsia="Book Antiqua" w:hAnsi="Book Antiqua" w:cs="Book Antiqua"/>
          <w:color w:val="000000"/>
        </w:rPr>
        <w:t xml:space="preserve"> (rHuEPO), either in the form of sterile vials or prefilled syringes, </w:t>
      </w:r>
      <w:r w:rsidRPr="00696F41">
        <w:rPr>
          <w:rFonts w:ascii="Book Antiqua" w:eastAsia="Book Antiqua" w:hAnsi="Book Antiqua" w:cs="Book Antiqua"/>
          <w:i/>
          <w:iCs/>
          <w:color w:val="000000"/>
        </w:rPr>
        <w:t>via</w:t>
      </w:r>
      <w:r w:rsidRPr="00696F41">
        <w:rPr>
          <w:rFonts w:ascii="Book Antiqua" w:eastAsia="Book Antiqua" w:hAnsi="Book Antiqua" w:cs="Book Antiqua"/>
          <w:color w:val="000000"/>
        </w:rPr>
        <w:t xml:space="preserve"> self-administered subcutaneous injections at 4000 IU/dose once or twice weekly, as </w:t>
      </w:r>
      <w:r w:rsidRPr="00696F41">
        <w:rPr>
          <w:rFonts w:ascii="Book Antiqua" w:eastAsia="Book Antiqua" w:hAnsi="Book Antiqua" w:cs="Book Antiqua"/>
          <w:i/>
          <w:color w:val="000000"/>
        </w:rPr>
        <w:t xml:space="preserve">per </w:t>
      </w:r>
      <w:r w:rsidRPr="00696F41">
        <w:rPr>
          <w:rFonts w:ascii="Book Antiqua" w:eastAsia="Book Antiqua" w:hAnsi="Book Antiqua" w:cs="Book Antiqua"/>
          <w:color w:val="000000"/>
        </w:rPr>
        <w:t xml:space="preserve">the usual practice of each participating site. In order to achieve or </w:t>
      </w:r>
      <w:r w:rsidRPr="00696F41">
        <w:rPr>
          <w:rFonts w:ascii="Book Antiqua" w:eastAsia="Book Antiqua" w:hAnsi="Book Antiqua" w:cs="Book Antiqua"/>
          <w:color w:val="000000"/>
        </w:rPr>
        <w:lastRenderedPageBreak/>
        <w:t>maintain the Hb level within the target range of 11–12 g/dL</w:t>
      </w:r>
      <w:r w:rsidRPr="00696F41">
        <w:rPr>
          <w:rFonts w:ascii="Book Antiqua" w:eastAsia="Book Antiqua" w:hAnsi="Book Antiqua" w:cs="Book Antiqua"/>
          <w:color w:val="000000"/>
          <w:vertAlign w:val="superscript"/>
        </w:rPr>
        <w:t>[14]</w:t>
      </w:r>
      <w:r w:rsidRPr="00696F41">
        <w:rPr>
          <w:rFonts w:ascii="Book Antiqua" w:eastAsia="Book Antiqua" w:hAnsi="Book Antiqua" w:cs="Book Antiqua"/>
          <w:color w:val="000000"/>
        </w:rPr>
        <w:t>, dose adjustment was permitted at the discretion of the investigator. The trial treatment period was 12 wk with the first dose was given at week 0 (baseline). It was recommended to give all patients oral supplementation of iron, vitamin B12 and/or folic acid.</w:t>
      </w:r>
    </w:p>
    <w:p w14:paraId="20A9CC7D" w14:textId="4B7B8EF5" w:rsidR="00A77B3E" w:rsidRPr="00696F41" w:rsidRDefault="00485933" w:rsidP="00995DB3">
      <w:pPr>
        <w:spacing w:line="360" w:lineRule="auto"/>
        <w:ind w:firstLineChars="200" w:firstLine="480"/>
        <w:jc w:val="both"/>
        <w:rPr>
          <w:rFonts w:ascii="Book Antiqua" w:hAnsi="Book Antiqua" w:cs="Book Antiqua"/>
          <w:color w:val="000000"/>
          <w:lang w:eastAsia="zh-CN"/>
        </w:rPr>
      </w:pPr>
      <w:r w:rsidRPr="00696F41">
        <w:rPr>
          <w:rFonts w:ascii="Book Antiqua" w:eastAsia="Book Antiqua" w:hAnsi="Book Antiqua" w:cs="Book Antiqua"/>
          <w:color w:val="000000"/>
        </w:rPr>
        <w:t>A physical examination, a complete blood count and concomitant medications review w</w:t>
      </w:r>
      <w:r w:rsidR="000C0A6A" w:rsidRPr="00696F41">
        <w:rPr>
          <w:rFonts w:ascii="Book Antiqua" w:eastAsia="Book Antiqua" w:hAnsi="Book Antiqua" w:cs="Book Antiqua"/>
          <w:color w:val="000000"/>
        </w:rPr>
        <w:t>as</w:t>
      </w:r>
      <w:r w:rsidRPr="00696F41">
        <w:rPr>
          <w:rFonts w:ascii="Book Antiqua" w:eastAsia="Book Antiqua" w:hAnsi="Book Antiqua" w:cs="Book Antiqua"/>
          <w:color w:val="000000"/>
        </w:rPr>
        <w:t xml:space="preserve"> conducted at every visit (weeks 0, 2, 4, 8 and 12). </w:t>
      </w:r>
      <w:r w:rsidR="002B3A27" w:rsidRPr="00696F41">
        <w:rPr>
          <w:rFonts w:ascii="Book Antiqua" w:eastAsia="Book Antiqua" w:hAnsi="Book Antiqua" w:cs="Book Antiqua"/>
          <w:color w:val="000000"/>
        </w:rPr>
        <w:t>AEs</w:t>
      </w:r>
      <w:r w:rsidRPr="00696F41">
        <w:rPr>
          <w:rFonts w:ascii="Book Antiqua" w:eastAsia="Book Antiqua" w:hAnsi="Book Antiqua" w:cs="Book Antiqua"/>
          <w:color w:val="000000"/>
        </w:rPr>
        <w:t xml:space="preserve"> and serious </w:t>
      </w:r>
      <w:r w:rsidR="002B3A27" w:rsidRPr="00696F41">
        <w:rPr>
          <w:rFonts w:ascii="Book Antiqua" w:eastAsia="Book Antiqua" w:hAnsi="Book Antiqua" w:cs="Book Antiqua"/>
          <w:color w:val="000000"/>
        </w:rPr>
        <w:t>AE</w:t>
      </w:r>
      <w:r w:rsidRPr="00696F41">
        <w:rPr>
          <w:rFonts w:ascii="Book Antiqua" w:eastAsia="Book Antiqua" w:hAnsi="Book Antiqua" w:cs="Book Antiqua"/>
          <w:color w:val="000000"/>
        </w:rPr>
        <w:t xml:space="preserve">s (SAEs) were assessed throughout the study and during each visit, using the following scale of severity—mild, moderate and severe. Analyses of serum ferritin, TSAT and blood chemistry were performed at weeks 4, 8 and 12. Dialysis adequacy was evaluated anytime during weeks 4 and 8. The QoL was assessed by interview at initial screening and end of the study (week 12), using the Thai language version of kidney disease </w:t>
      </w:r>
      <w:r w:rsidR="002B3A27" w:rsidRPr="00696F41">
        <w:rPr>
          <w:rFonts w:ascii="Book Antiqua" w:eastAsia="Book Antiqua" w:hAnsi="Book Antiqua" w:cs="Book Antiqua"/>
          <w:color w:val="000000"/>
        </w:rPr>
        <w:t>QoL</w:t>
      </w:r>
      <w:r w:rsidRPr="00696F41">
        <w:rPr>
          <w:rFonts w:ascii="Book Antiqua" w:eastAsia="Book Antiqua" w:hAnsi="Book Antiqua" w:cs="Book Antiqua"/>
          <w:color w:val="000000"/>
        </w:rPr>
        <w:t xml:space="preserve"> instrument (KDQOL-36)</w:t>
      </w:r>
      <w:r w:rsidR="00995DB3" w:rsidRPr="00696F41">
        <w:rPr>
          <w:rFonts w:ascii="Book Antiqua" w:eastAsia="Book Antiqua" w:hAnsi="Book Antiqua" w:cs="Book Antiqua"/>
          <w:color w:val="000000"/>
          <w:vertAlign w:val="superscript"/>
        </w:rPr>
        <w:t>[15,</w:t>
      </w:r>
      <w:r w:rsidRPr="00696F41">
        <w:rPr>
          <w:rFonts w:ascii="Book Antiqua" w:eastAsia="Book Antiqua" w:hAnsi="Book Antiqua" w:cs="Book Antiqua"/>
          <w:color w:val="000000"/>
          <w:vertAlign w:val="superscript"/>
        </w:rPr>
        <w:t>16]</w:t>
      </w:r>
      <w:r w:rsidRPr="00696F41">
        <w:rPr>
          <w:rFonts w:ascii="Book Antiqua" w:eastAsia="Book Antiqua" w:hAnsi="Book Antiqua" w:cs="Book Antiqua"/>
          <w:color w:val="000000"/>
        </w:rPr>
        <w:t xml:space="preserve">. If erythropoietin-induced, antibody-mediated PRCA was suspected, an anti-erythropoietin antibodies test could be performed. </w:t>
      </w:r>
    </w:p>
    <w:p w14:paraId="2D1688DD" w14:textId="77777777" w:rsidR="00995DB3" w:rsidRPr="00696F41" w:rsidRDefault="00995DB3" w:rsidP="00995DB3">
      <w:pPr>
        <w:spacing w:line="360" w:lineRule="auto"/>
        <w:jc w:val="both"/>
        <w:rPr>
          <w:rFonts w:ascii="Book Antiqua" w:hAnsi="Book Antiqua"/>
          <w:lang w:eastAsia="zh-CN"/>
        </w:rPr>
      </w:pPr>
    </w:p>
    <w:p w14:paraId="548D5BA1" w14:textId="77777777" w:rsidR="00A77B3E" w:rsidRPr="00696F41" w:rsidRDefault="00485933" w:rsidP="00107B1E">
      <w:pPr>
        <w:spacing w:line="360" w:lineRule="auto"/>
        <w:jc w:val="both"/>
        <w:rPr>
          <w:rFonts w:ascii="Book Antiqua" w:hAnsi="Book Antiqua"/>
          <w:b/>
        </w:rPr>
      </w:pPr>
      <w:r w:rsidRPr="00696F41">
        <w:rPr>
          <w:rFonts w:ascii="Book Antiqua" w:eastAsia="Book Antiqua" w:hAnsi="Book Antiqua" w:cs="Book Antiqua"/>
          <w:b/>
          <w:i/>
          <w:color w:val="000000"/>
        </w:rPr>
        <w:t>Study outcomes and follow-up</w:t>
      </w:r>
    </w:p>
    <w:p w14:paraId="4E01050E" w14:textId="77777777" w:rsidR="00A77B3E" w:rsidRPr="00696F41" w:rsidRDefault="00485933" w:rsidP="00107B1E">
      <w:pPr>
        <w:spacing w:line="360" w:lineRule="auto"/>
        <w:jc w:val="both"/>
        <w:rPr>
          <w:rFonts w:ascii="Book Antiqua" w:hAnsi="Book Antiqua" w:cs="Book Antiqua"/>
          <w:color w:val="000000"/>
          <w:lang w:eastAsia="zh-CN"/>
        </w:rPr>
      </w:pPr>
      <w:r w:rsidRPr="00696F41">
        <w:rPr>
          <w:rFonts w:ascii="Book Antiqua" w:eastAsia="Book Antiqua" w:hAnsi="Book Antiqua" w:cs="Book Antiqua"/>
          <w:color w:val="000000"/>
        </w:rPr>
        <w:t xml:space="preserve">All efficacy end points were assessed at the end of study treatment (week 12), with the primary end point being mean Hb level at week 12. The secondary efficacy end points were the percentage of patients achieving target Hb level, mean percentage change from baseline of Hb level and the QoL scores. The safety end point was assessed through frequency and percentages of </w:t>
      </w:r>
      <w:r w:rsidR="002B3A27" w:rsidRPr="00696F41">
        <w:rPr>
          <w:rFonts w:ascii="Book Antiqua" w:eastAsia="Book Antiqua" w:hAnsi="Book Antiqua" w:cs="Book Antiqua"/>
          <w:color w:val="000000"/>
        </w:rPr>
        <w:t>AE</w:t>
      </w:r>
      <w:r w:rsidRPr="00696F41">
        <w:rPr>
          <w:rFonts w:ascii="Book Antiqua" w:eastAsia="Book Antiqua" w:hAnsi="Book Antiqua" w:cs="Book Antiqua"/>
          <w:color w:val="000000"/>
        </w:rPr>
        <w:t xml:space="preserve">s, and </w:t>
      </w:r>
      <w:r w:rsidR="00995DB3" w:rsidRPr="00696F41">
        <w:rPr>
          <w:rFonts w:ascii="Book Antiqua" w:eastAsia="Book Antiqua" w:hAnsi="Book Antiqua" w:cs="Book Antiqua"/>
          <w:color w:val="000000"/>
        </w:rPr>
        <w:t>SAEs</w:t>
      </w:r>
      <w:r w:rsidRPr="00696F41">
        <w:rPr>
          <w:rFonts w:ascii="Book Antiqua" w:eastAsia="Book Antiqua" w:hAnsi="Book Antiqua" w:cs="Book Antiqua"/>
          <w:color w:val="000000"/>
        </w:rPr>
        <w:t xml:space="preserve"> throughout the treatment period. </w:t>
      </w:r>
    </w:p>
    <w:p w14:paraId="182BD490" w14:textId="77777777" w:rsidR="00995DB3" w:rsidRPr="00696F41" w:rsidRDefault="00995DB3" w:rsidP="00107B1E">
      <w:pPr>
        <w:spacing w:line="360" w:lineRule="auto"/>
        <w:jc w:val="both"/>
        <w:rPr>
          <w:rFonts w:ascii="Book Antiqua" w:hAnsi="Book Antiqua"/>
          <w:lang w:eastAsia="zh-CN"/>
        </w:rPr>
      </w:pPr>
    </w:p>
    <w:p w14:paraId="6486500F" w14:textId="77777777" w:rsidR="00A77B3E" w:rsidRPr="00696F41" w:rsidRDefault="00485933" w:rsidP="00107B1E">
      <w:pPr>
        <w:spacing w:line="360" w:lineRule="auto"/>
        <w:jc w:val="both"/>
        <w:rPr>
          <w:rFonts w:ascii="Book Antiqua" w:hAnsi="Book Antiqua"/>
          <w:b/>
        </w:rPr>
      </w:pPr>
      <w:r w:rsidRPr="00696F41">
        <w:rPr>
          <w:rFonts w:ascii="Book Antiqua" w:eastAsia="Book Antiqua" w:hAnsi="Book Antiqua" w:cs="Book Antiqua"/>
          <w:b/>
          <w:i/>
          <w:color w:val="000000"/>
        </w:rPr>
        <w:t>Statistical analysis</w:t>
      </w:r>
    </w:p>
    <w:p w14:paraId="0FBA2EB0"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color w:val="000000"/>
        </w:rPr>
        <w:t>All statistical analyses were performed in the intention-to-treat population. The sample size estimation in this study was based on changes of Hb from 8.0 ± 1.3 g/dL at baseline to 10.5 ± 1.6 g/dL at week 12 in a previous study</w:t>
      </w:r>
      <w:r w:rsidRPr="00696F41">
        <w:rPr>
          <w:rFonts w:ascii="Book Antiqua" w:eastAsia="Book Antiqua" w:hAnsi="Book Antiqua" w:cs="Book Antiqua"/>
          <w:color w:val="000000"/>
          <w:vertAlign w:val="superscript"/>
        </w:rPr>
        <w:t>[17]</w:t>
      </w:r>
      <w:r w:rsidRPr="00696F41">
        <w:rPr>
          <w:rFonts w:ascii="Book Antiqua" w:eastAsia="Book Antiqua" w:hAnsi="Book Antiqua" w:cs="Book Antiqua"/>
          <w:color w:val="000000"/>
        </w:rPr>
        <w:t xml:space="preserve"> and from 7.1 ± 1.14 g/dL at baseline to 10.1 ± 1.49 g/dL at week 12 in another study</w:t>
      </w:r>
      <w:r w:rsidRPr="00696F41">
        <w:rPr>
          <w:rFonts w:ascii="Book Antiqua" w:eastAsia="Book Antiqua" w:hAnsi="Book Antiqua" w:cs="Book Antiqua"/>
          <w:color w:val="000000"/>
          <w:vertAlign w:val="superscript"/>
        </w:rPr>
        <w:t>[18]</w:t>
      </w:r>
      <w:r w:rsidRPr="00696F41">
        <w:rPr>
          <w:rFonts w:ascii="Book Antiqua" w:eastAsia="Book Antiqua" w:hAnsi="Book Antiqua" w:cs="Book Antiqua"/>
          <w:color w:val="000000"/>
        </w:rPr>
        <w:t>, in which hemodialysis patients were studied, and a c</w:t>
      </w:r>
      <w:r w:rsidR="00995DB3" w:rsidRPr="00696F41">
        <w:rPr>
          <w:rFonts w:ascii="Book Antiqua" w:eastAsia="Book Antiqua" w:hAnsi="Book Antiqua" w:cs="Book Antiqua"/>
          <w:color w:val="000000"/>
        </w:rPr>
        <w:t>hange of hematocrit from 23.8 ±</w:t>
      </w:r>
      <w:r w:rsidRPr="00696F41">
        <w:rPr>
          <w:rFonts w:ascii="Book Antiqua" w:eastAsia="Book Antiqua" w:hAnsi="Book Antiqua" w:cs="Book Antiqua"/>
          <w:color w:val="000000"/>
        </w:rPr>
        <w:t xml:space="preserve"> 3.8 g/dL at baseline to 33.7 ± 4.8 g/dL at week 12 among </w:t>
      </w:r>
      <w:r w:rsidR="002B3A27" w:rsidRPr="00696F41">
        <w:rPr>
          <w:rFonts w:ascii="Book Antiqua" w:eastAsia="Book Antiqua" w:hAnsi="Book Antiqua" w:cs="Book Antiqua"/>
          <w:color w:val="000000"/>
        </w:rPr>
        <w:t>PD</w:t>
      </w:r>
      <w:r w:rsidRPr="00696F41">
        <w:rPr>
          <w:rFonts w:ascii="Book Antiqua" w:eastAsia="Book Antiqua" w:hAnsi="Book Antiqua" w:cs="Book Antiqua"/>
          <w:color w:val="000000"/>
        </w:rPr>
        <w:t xml:space="preserve"> patients in a study by Nissenson </w:t>
      </w:r>
      <w:r w:rsidRPr="00696F41">
        <w:rPr>
          <w:rFonts w:ascii="Book Antiqua" w:eastAsia="Book Antiqua" w:hAnsi="Book Antiqua" w:cs="Book Antiqua"/>
          <w:i/>
          <w:iCs/>
          <w:color w:val="000000"/>
        </w:rPr>
        <w:t>et al</w:t>
      </w:r>
      <w:r w:rsidRPr="00696F41">
        <w:rPr>
          <w:rFonts w:ascii="Book Antiqua" w:eastAsia="Book Antiqua" w:hAnsi="Book Antiqua" w:cs="Book Antiqua"/>
          <w:color w:val="000000"/>
          <w:vertAlign w:val="superscript"/>
        </w:rPr>
        <w:t>[19]</w:t>
      </w:r>
      <w:r w:rsidRPr="00696F41">
        <w:rPr>
          <w:rFonts w:ascii="Book Antiqua" w:eastAsia="Book Antiqua" w:hAnsi="Book Antiqua" w:cs="Book Antiqua"/>
          <w:color w:val="000000"/>
        </w:rPr>
        <w:t xml:space="preserve">. With a type I error of 0.05 </w:t>
      </w:r>
      <w:r w:rsidRPr="00696F41">
        <w:rPr>
          <w:rFonts w:ascii="Book Antiqua" w:eastAsia="Book Antiqua" w:hAnsi="Book Antiqua" w:cs="Book Antiqua"/>
          <w:color w:val="000000"/>
        </w:rPr>
        <w:lastRenderedPageBreak/>
        <w:t>allowed and a power of 80% required, a sample size of 15 to 27 patients was required. With a 10% lost to follow-up, this study proposed a sample of 30 patients.</w:t>
      </w:r>
    </w:p>
    <w:p w14:paraId="749DC43E" w14:textId="368304B7" w:rsidR="00A77B3E" w:rsidRPr="00696F41" w:rsidRDefault="00485933" w:rsidP="00995DB3">
      <w:pPr>
        <w:spacing w:line="360" w:lineRule="auto"/>
        <w:ind w:firstLineChars="200" w:firstLine="480"/>
        <w:jc w:val="both"/>
        <w:rPr>
          <w:rFonts w:ascii="Book Antiqua" w:hAnsi="Book Antiqua"/>
        </w:rPr>
      </w:pPr>
      <w:r w:rsidRPr="00696F41">
        <w:rPr>
          <w:rFonts w:ascii="Book Antiqua" w:eastAsia="Book Antiqua" w:hAnsi="Book Antiqua" w:cs="Book Antiqua"/>
          <w:color w:val="000000"/>
        </w:rPr>
        <w:t xml:space="preserve">Mean Hb level and mean QoL scores at week 12 were compared with the respective data at week 0 using paired t-tests. Repeated measure ANOVA with multiple pair-wise comparisons with Benferroni-Holm step down adjustment was employed to determine the changes of mean Hb level at each visit compared with their respective previous visits. All statistical analyses were performed by a qualified statistician using SPSS version 24 (IBM Corp. Released 2016. IBM SPSS Statistics for Windows, Version 24.0. Armonk, NY: IBM Corp.). For missing data, the last observation carried forward imputation method was employed. A two-sided </w:t>
      </w:r>
      <w:r w:rsidR="005F7902" w:rsidRPr="005F7902">
        <w:rPr>
          <w:rFonts w:ascii="Book Antiqua" w:eastAsia="Book Antiqua" w:hAnsi="Book Antiqua" w:cs="Book Antiqua"/>
          <w:i/>
          <w:iCs/>
          <w:color w:val="000000"/>
        </w:rPr>
        <w:t>P</w:t>
      </w:r>
      <w:r w:rsidR="005F7902" w:rsidRPr="005F7902">
        <w:rPr>
          <w:rFonts w:ascii="Book Antiqua" w:eastAsia="Book Antiqua" w:hAnsi="Book Antiqua" w:cs="Book Antiqua"/>
          <w:color w:val="000000"/>
        </w:rPr>
        <w:t xml:space="preserve"> value</w:t>
      </w:r>
      <w:r w:rsidRPr="00696F41">
        <w:rPr>
          <w:rFonts w:ascii="Book Antiqua" w:eastAsia="Book Antiqua" w:hAnsi="Book Antiqua" w:cs="Book Antiqua"/>
          <w:color w:val="000000"/>
        </w:rPr>
        <w:t xml:space="preserve"> for significance of less than 0.05 was applied for all statistical analyses in this study.</w:t>
      </w:r>
    </w:p>
    <w:p w14:paraId="637E621A" w14:textId="77777777" w:rsidR="00A77B3E" w:rsidRPr="00696F41" w:rsidRDefault="00A77B3E" w:rsidP="00107B1E">
      <w:pPr>
        <w:spacing w:line="360" w:lineRule="auto"/>
        <w:jc w:val="both"/>
        <w:rPr>
          <w:rFonts w:ascii="Book Antiqua" w:hAnsi="Book Antiqua"/>
        </w:rPr>
      </w:pPr>
    </w:p>
    <w:p w14:paraId="028668B9"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b/>
          <w:caps/>
          <w:color w:val="000000"/>
          <w:u w:val="single"/>
        </w:rPr>
        <w:t>RESULTS</w:t>
      </w:r>
    </w:p>
    <w:p w14:paraId="796C3C8C" w14:textId="77777777" w:rsidR="00A77B3E" w:rsidRPr="00696F41" w:rsidRDefault="00485933" w:rsidP="00107B1E">
      <w:pPr>
        <w:spacing w:line="360" w:lineRule="auto"/>
        <w:jc w:val="both"/>
        <w:rPr>
          <w:rFonts w:ascii="Book Antiqua" w:hAnsi="Book Antiqua"/>
          <w:b/>
        </w:rPr>
      </w:pPr>
      <w:r w:rsidRPr="00696F41">
        <w:rPr>
          <w:rFonts w:ascii="Book Antiqua" w:eastAsia="Book Antiqua" w:hAnsi="Book Antiqua" w:cs="Book Antiqua"/>
          <w:b/>
          <w:i/>
          <w:color w:val="000000"/>
        </w:rPr>
        <w:t>Patient characteristics</w:t>
      </w:r>
    </w:p>
    <w:p w14:paraId="485BC1AB"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color w:val="000000"/>
        </w:rPr>
        <w:t>Out of 58 patients screened, 37 were enrolled and received at lea</w:t>
      </w:r>
      <w:r w:rsidR="00995DB3" w:rsidRPr="00696F41">
        <w:rPr>
          <w:rFonts w:ascii="Book Antiqua" w:eastAsia="Book Antiqua" w:hAnsi="Book Antiqua" w:cs="Book Antiqua"/>
          <w:color w:val="000000"/>
        </w:rPr>
        <w:t xml:space="preserve">st one dose of the study drug. </w:t>
      </w:r>
      <w:r w:rsidRPr="00696F41">
        <w:rPr>
          <w:rFonts w:ascii="Book Antiqua" w:eastAsia="Book Antiqua" w:hAnsi="Book Antiqua" w:cs="Book Antiqua"/>
          <w:color w:val="000000"/>
        </w:rPr>
        <w:t>Seven patients were discontinued from the study and excluded from efficacy analysis due to ineligibility since enrollment. All patients who received at least one dose of the study drug were included in safety analysis (</w:t>
      </w:r>
      <w:r w:rsidRPr="00696F41">
        <w:rPr>
          <w:rFonts w:ascii="Book Antiqua" w:eastAsia="Book Antiqua" w:hAnsi="Book Antiqua" w:cs="Book Antiqua"/>
          <w:i/>
          <w:iCs/>
          <w:color w:val="000000"/>
        </w:rPr>
        <w:t>n</w:t>
      </w:r>
      <w:r w:rsidRPr="00696F41">
        <w:rPr>
          <w:rFonts w:ascii="Book Antiqua" w:eastAsia="Book Antiqua" w:hAnsi="Book Antiqua" w:cs="Book Antiqua"/>
          <w:color w:val="000000"/>
        </w:rPr>
        <w:t xml:space="preserve"> = 37), and the thirty patients who met all inclusion criteria and did not meet any exclusion criteria were included in efficacy analysis (</w:t>
      </w:r>
      <w:r w:rsidRPr="00696F41">
        <w:rPr>
          <w:rFonts w:ascii="Book Antiqua" w:eastAsia="Book Antiqua" w:hAnsi="Book Antiqua" w:cs="Book Antiqua"/>
          <w:i/>
          <w:iCs/>
          <w:color w:val="000000"/>
        </w:rPr>
        <w:t>n</w:t>
      </w:r>
      <w:r w:rsidRPr="00696F41">
        <w:rPr>
          <w:rFonts w:ascii="Book Antiqua" w:eastAsia="Book Antiqua" w:hAnsi="Book Antiqua" w:cs="Book Antiqua"/>
          <w:color w:val="000000"/>
        </w:rPr>
        <w:t xml:space="preserve"> = 30).</w:t>
      </w:r>
    </w:p>
    <w:p w14:paraId="0321A2CE" w14:textId="77777777" w:rsidR="00A77B3E" w:rsidRPr="00696F41" w:rsidRDefault="00485933" w:rsidP="00995DB3">
      <w:pPr>
        <w:spacing w:line="360" w:lineRule="auto"/>
        <w:ind w:firstLineChars="200" w:firstLine="480"/>
        <w:jc w:val="both"/>
        <w:rPr>
          <w:rFonts w:ascii="Book Antiqua" w:hAnsi="Book Antiqua" w:cs="Book Antiqua"/>
          <w:color w:val="000000"/>
          <w:lang w:eastAsia="zh-CN"/>
        </w:rPr>
      </w:pPr>
      <w:r w:rsidRPr="00696F41">
        <w:rPr>
          <w:rFonts w:ascii="Book Antiqua" w:eastAsia="Book Antiqua" w:hAnsi="Book Antiqua" w:cs="Book Antiqua"/>
          <w:color w:val="000000"/>
        </w:rPr>
        <w:t>The 30 eligib</w:t>
      </w:r>
      <w:r w:rsidR="00995DB3" w:rsidRPr="00696F41">
        <w:rPr>
          <w:rFonts w:ascii="Book Antiqua" w:eastAsia="Book Antiqua" w:hAnsi="Book Antiqua" w:cs="Book Antiqua"/>
          <w:color w:val="000000"/>
        </w:rPr>
        <w:t>le patients completed the 12-w</w:t>
      </w:r>
      <w:r w:rsidRPr="00696F41">
        <w:rPr>
          <w:rFonts w:ascii="Book Antiqua" w:eastAsia="Book Antiqua" w:hAnsi="Book Antiqua" w:cs="Book Antiqua"/>
          <w:color w:val="000000"/>
        </w:rPr>
        <w:t>k treatment with Hema-Plus</w:t>
      </w:r>
      <w:r w:rsidRPr="00696F41">
        <w:rPr>
          <w:rFonts w:ascii="Book Antiqua" w:eastAsia="Book Antiqua" w:hAnsi="Book Antiqua" w:cs="Book Antiqua"/>
          <w:color w:val="000000"/>
          <w:vertAlign w:val="superscript"/>
        </w:rPr>
        <w:t>®</w:t>
      </w:r>
      <w:r w:rsidRPr="00696F41">
        <w:rPr>
          <w:rFonts w:ascii="Book Antiqua" w:eastAsia="Book Antiqua" w:hAnsi="Book Antiqua" w:cs="Book Antiqua"/>
          <w:color w:val="000000"/>
        </w:rPr>
        <w:t xml:space="preserve"> (Figure 1). Of these, 18 (60%) were male. The mean age of patients was 48.8 years </w:t>
      </w:r>
      <w:r w:rsidR="00995DB3" w:rsidRPr="00696F41">
        <w:rPr>
          <w:rFonts w:ascii="Book Antiqua" w:hAnsi="Book Antiqua" w:cs="Book Antiqua" w:hint="eastAsia"/>
          <w:color w:val="000000"/>
          <w:lang w:eastAsia="zh-CN"/>
        </w:rPr>
        <w:t>[</w:t>
      </w:r>
      <w:r w:rsidRPr="00696F41">
        <w:rPr>
          <w:rFonts w:ascii="Book Antiqua" w:eastAsia="Book Antiqua" w:hAnsi="Book Antiqua" w:cs="Book Antiqua"/>
          <w:color w:val="000000"/>
        </w:rPr>
        <w:t xml:space="preserve">standard deviation </w:t>
      </w:r>
      <w:r w:rsidR="00995DB3" w:rsidRPr="00696F41">
        <w:rPr>
          <w:rFonts w:ascii="Book Antiqua" w:hAnsi="Book Antiqua" w:cs="Book Antiqua" w:hint="eastAsia"/>
          <w:color w:val="000000"/>
          <w:lang w:eastAsia="zh-CN"/>
        </w:rPr>
        <w:t>(</w:t>
      </w:r>
      <w:r w:rsidRPr="00696F41">
        <w:rPr>
          <w:rFonts w:ascii="Book Antiqua" w:eastAsia="Book Antiqua" w:hAnsi="Book Antiqua" w:cs="Book Antiqua"/>
          <w:color w:val="000000"/>
        </w:rPr>
        <w:t>SD</w:t>
      </w:r>
      <w:r w:rsidR="00995DB3" w:rsidRPr="00696F41">
        <w:rPr>
          <w:rFonts w:ascii="Book Antiqua" w:hAnsi="Book Antiqua" w:cs="Book Antiqua" w:hint="eastAsia"/>
          <w:color w:val="000000"/>
          <w:lang w:eastAsia="zh-CN"/>
        </w:rPr>
        <w:t>)</w:t>
      </w:r>
      <w:r w:rsidRPr="00696F41">
        <w:rPr>
          <w:rFonts w:ascii="Book Antiqua" w:eastAsia="Book Antiqua" w:hAnsi="Book Antiqua" w:cs="Book Antiqua"/>
          <w:color w:val="000000"/>
        </w:rPr>
        <w:t xml:space="preserve"> = 13.6</w:t>
      </w:r>
      <w:r w:rsidR="00995DB3" w:rsidRPr="00696F41">
        <w:rPr>
          <w:rFonts w:ascii="Book Antiqua" w:hAnsi="Book Antiqua" w:cs="Book Antiqua" w:hint="eastAsia"/>
          <w:color w:val="000000"/>
          <w:lang w:eastAsia="zh-CN"/>
        </w:rPr>
        <w:t>]</w:t>
      </w:r>
      <w:r w:rsidRPr="00696F41">
        <w:rPr>
          <w:rFonts w:ascii="Book Antiqua" w:eastAsia="Book Antiqua" w:hAnsi="Book Antiqua" w:cs="Book Antiqua"/>
          <w:color w:val="000000"/>
        </w:rPr>
        <w:t xml:space="preserve"> with the mean Hb level of 7.4 g/dL (SD = 1.3). Baseline characteristics are</w:t>
      </w:r>
      <w:r w:rsidR="00995DB3" w:rsidRPr="00696F41">
        <w:rPr>
          <w:rFonts w:ascii="Book Antiqua" w:eastAsia="Book Antiqua" w:hAnsi="Book Antiqua" w:cs="Book Antiqua"/>
          <w:color w:val="000000"/>
        </w:rPr>
        <w:t xml:space="preserve"> further described in Table 1. </w:t>
      </w:r>
      <w:r w:rsidRPr="00696F41">
        <w:rPr>
          <w:rFonts w:ascii="Book Antiqua" w:eastAsia="Book Antiqua" w:hAnsi="Book Antiqua" w:cs="Book Antiqua"/>
          <w:color w:val="000000"/>
        </w:rPr>
        <w:t xml:space="preserve">The average </w:t>
      </w:r>
      <w:r w:rsidR="00995DB3" w:rsidRPr="00696F41">
        <w:rPr>
          <w:rFonts w:ascii="Book Antiqua" w:eastAsia="Book Antiqua" w:hAnsi="Book Antiqua" w:cs="Book Antiqua"/>
          <w:color w:val="000000"/>
        </w:rPr>
        <w:t>dose received by patients was 6466.7 IU/wk (SD = 1899; range</w:t>
      </w:r>
      <w:r w:rsidR="00995DB3" w:rsidRPr="00696F41">
        <w:rPr>
          <w:rFonts w:ascii="Book Antiqua" w:hAnsi="Book Antiqua" w:cs="Book Antiqua" w:hint="eastAsia"/>
          <w:color w:val="000000"/>
          <w:lang w:eastAsia="zh-CN"/>
        </w:rPr>
        <w:t>:</w:t>
      </w:r>
      <w:r w:rsidR="00995DB3" w:rsidRPr="00696F41">
        <w:rPr>
          <w:rFonts w:ascii="Book Antiqua" w:eastAsia="Book Antiqua" w:hAnsi="Book Antiqua" w:cs="Book Antiqua"/>
          <w:color w:val="000000"/>
        </w:rPr>
        <w:t xml:space="preserve"> 3333.3–11</w:t>
      </w:r>
      <w:r w:rsidRPr="00696F41">
        <w:rPr>
          <w:rFonts w:ascii="Book Antiqua" w:eastAsia="Book Antiqua" w:hAnsi="Book Antiqua" w:cs="Book Antiqua"/>
          <w:color w:val="000000"/>
        </w:rPr>
        <w:t>666.7), equivalent to 117.6 IU/kg/week (SD = 42.2; range</w:t>
      </w:r>
      <w:r w:rsidR="00995DB3" w:rsidRPr="00696F41">
        <w:rPr>
          <w:rFonts w:ascii="Book Antiqua" w:hAnsi="Book Antiqua" w:cs="Book Antiqua" w:hint="eastAsia"/>
          <w:color w:val="000000"/>
          <w:lang w:eastAsia="zh-CN"/>
        </w:rPr>
        <w:t>:</w:t>
      </w:r>
      <w:r w:rsidRPr="00696F41">
        <w:rPr>
          <w:rFonts w:ascii="Book Antiqua" w:eastAsia="Book Antiqua" w:hAnsi="Book Antiqua" w:cs="Book Antiqua"/>
          <w:color w:val="000000"/>
        </w:rPr>
        <w:t xml:space="preserve"> 58.4–269.8).</w:t>
      </w:r>
    </w:p>
    <w:p w14:paraId="3C6F589B" w14:textId="77777777" w:rsidR="00995DB3" w:rsidRPr="00696F41" w:rsidRDefault="00995DB3" w:rsidP="00995DB3">
      <w:pPr>
        <w:spacing w:line="360" w:lineRule="auto"/>
        <w:ind w:firstLineChars="200" w:firstLine="480"/>
        <w:jc w:val="both"/>
        <w:rPr>
          <w:rFonts w:ascii="Book Antiqua" w:hAnsi="Book Antiqua"/>
          <w:lang w:eastAsia="zh-CN"/>
        </w:rPr>
      </w:pPr>
    </w:p>
    <w:p w14:paraId="16A70CC1" w14:textId="77777777" w:rsidR="00A77B3E" w:rsidRPr="00696F41" w:rsidRDefault="00485933" w:rsidP="00107B1E">
      <w:pPr>
        <w:spacing w:line="360" w:lineRule="auto"/>
        <w:jc w:val="both"/>
        <w:rPr>
          <w:rFonts w:ascii="Book Antiqua" w:hAnsi="Book Antiqua"/>
          <w:b/>
        </w:rPr>
      </w:pPr>
      <w:r w:rsidRPr="00696F41">
        <w:rPr>
          <w:rFonts w:ascii="Book Antiqua" w:eastAsia="Book Antiqua" w:hAnsi="Book Antiqua" w:cs="Book Antiqua"/>
          <w:b/>
          <w:i/>
          <w:color w:val="000000"/>
        </w:rPr>
        <w:t>Hb levels</w:t>
      </w:r>
    </w:p>
    <w:p w14:paraId="21A0F572" w14:textId="77777777" w:rsidR="00A77B3E" w:rsidRPr="00696F41" w:rsidRDefault="00485933" w:rsidP="00107B1E">
      <w:pPr>
        <w:spacing w:line="360" w:lineRule="auto"/>
        <w:jc w:val="both"/>
        <w:rPr>
          <w:rFonts w:ascii="Book Antiqua" w:hAnsi="Book Antiqua"/>
          <w:lang w:eastAsia="zh-CN"/>
        </w:rPr>
      </w:pPr>
      <w:r w:rsidRPr="00696F41">
        <w:rPr>
          <w:rFonts w:ascii="Book Antiqua" w:eastAsia="Book Antiqua" w:hAnsi="Book Antiqua" w:cs="Book Antiqua"/>
          <w:color w:val="000000"/>
        </w:rPr>
        <w:lastRenderedPageBreak/>
        <w:t xml:space="preserve">At the end of the study, Hb levels of all participants increased from baseline. The mean Hb level at week 12 was significantly higher than that of week 0 </w:t>
      </w:r>
      <w:r w:rsidR="00995DB3" w:rsidRPr="00696F41">
        <w:rPr>
          <w:rFonts w:ascii="Book Antiqua" w:hAnsi="Book Antiqua" w:cs="Book Antiqua" w:hint="eastAsia"/>
          <w:color w:val="000000"/>
          <w:lang w:eastAsia="zh-CN"/>
        </w:rPr>
        <w:t>[</w:t>
      </w:r>
      <w:r w:rsidRPr="00696F41">
        <w:rPr>
          <w:rFonts w:ascii="Book Antiqua" w:eastAsia="Book Antiqua" w:hAnsi="Book Antiqua" w:cs="Book Antiqua"/>
          <w:color w:val="000000"/>
        </w:rPr>
        <w:t xml:space="preserve">11.2 g/dL </w:t>
      </w:r>
      <w:r w:rsidR="00995DB3" w:rsidRPr="00696F41">
        <w:rPr>
          <w:rFonts w:ascii="Book Antiqua" w:hAnsi="Book Antiqua" w:cs="Book Antiqua" w:hint="eastAsia"/>
          <w:color w:val="000000"/>
          <w:lang w:eastAsia="zh-CN"/>
        </w:rPr>
        <w:t>(</w:t>
      </w:r>
      <w:r w:rsidRPr="00696F41">
        <w:rPr>
          <w:rFonts w:ascii="Book Antiqua" w:eastAsia="Book Antiqua" w:hAnsi="Book Antiqua" w:cs="Book Antiqua"/>
          <w:color w:val="000000"/>
        </w:rPr>
        <w:t>SD = 1.7</w:t>
      </w:r>
      <w:r w:rsidR="00995DB3" w:rsidRPr="00696F41">
        <w:rPr>
          <w:rFonts w:ascii="Book Antiqua" w:hAnsi="Book Antiqua" w:cs="Book Antiqua" w:hint="eastAsia"/>
          <w:color w:val="000000"/>
          <w:lang w:eastAsia="zh-CN"/>
        </w:rPr>
        <w:t>)</w:t>
      </w:r>
      <w:r w:rsidRPr="00696F41">
        <w:rPr>
          <w:rFonts w:ascii="Book Antiqua" w:eastAsia="Book Antiqua" w:hAnsi="Book Antiqua" w:cs="Book Antiqua"/>
          <w:color w:val="000000"/>
        </w:rPr>
        <w:t xml:space="preserve"> </w:t>
      </w:r>
      <w:r w:rsidRPr="00696F41">
        <w:rPr>
          <w:rFonts w:ascii="Book Antiqua" w:eastAsia="Book Antiqua" w:hAnsi="Book Antiqua" w:cs="Book Antiqua"/>
          <w:i/>
          <w:iCs/>
          <w:color w:val="000000"/>
        </w:rPr>
        <w:t>vs</w:t>
      </w:r>
      <w:r w:rsidRPr="00696F41">
        <w:rPr>
          <w:rFonts w:ascii="Book Antiqua" w:eastAsia="Book Antiqua" w:hAnsi="Book Antiqua" w:cs="Book Antiqua"/>
          <w:color w:val="000000"/>
        </w:rPr>
        <w:t xml:space="preserve"> 7.4 g/dL </w:t>
      </w:r>
      <w:r w:rsidR="00995DB3" w:rsidRPr="00696F41">
        <w:rPr>
          <w:rFonts w:ascii="Book Antiqua" w:hAnsi="Book Antiqua" w:cs="Book Antiqua" w:hint="eastAsia"/>
          <w:color w:val="000000"/>
          <w:lang w:eastAsia="zh-CN"/>
        </w:rPr>
        <w:t>(</w:t>
      </w:r>
      <w:r w:rsidRPr="00696F41">
        <w:rPr>
          <w:rFonts w:ascii="Book Antiqua" w:eastAsia="Book Antiqua" w:hAnsi="Book Antiqua" w:cs="Book Antiqua"/>
          <w:color w:val="000000"/>
        </w:rPr>
        <w:t>SD = 1.3</w:t>
      </w:r>
      <w:r w:rsidR="00995DB3" w:rsidRPr="00696F41">
        <w:rPr>
          <w:rFonts w:ascii="Book Antiqua" w:hAnsi="Book Antiqua" w:cs="Book Antiqua" w:hint="eastAsia"/>
          <w:color w:val="000000"/>
          <w:lang w:eastAsia="zh-CN"/>
        </w:rPr>
        <w:t>)</w:t>
      </w:r>
      <w:r w:rsidRPr="00696F41">
        <w:rPr>
          <w:rFonts w:ascii="Book Antiqua" w:eastAsia="Book Antiqua" w:hAnsi="Book Antiqua" w:cs="Book Antiqua"/>
          <w:color w:val="000000"/>
        </w:rPr>
        <w:t>;</w:t>
      </w:r>
      <w:r w:rsidRPr="00696F41">
        <w:rPr>
          <w:rFonts w:ascii="Book Antiqua" w:eastAsia="Book Antiqua" w:hAnsi="Book Antiqua" w:cs="Book Antiqua"/>
          <w:i/>
          <w:iCs/>
          <w:color w:val="000000"/>
        </w:rPr>
        <w:t xml:space="preserve"> P</w:t>
      </w:r>
      <w:r w:rsidRPr="00696F41">
        <w:rPr>
          <w:rFonts w:ascii="Book Antiqua" w:eastAsia="Book Antiqua" w:hAnsi="Book Antiqua" w:cs="Book Antiqua"/>
          <w:color w:val="000000"/>
        </w:rPr>
        <w:t xml:space="preserve"> &lt; 0.001</w:t>
      </w:r>
      <w:r w:rsidR="00995DB3" w:rsidRPr="00696F41">
        <w:rPr>
          <w:rFonts w:ascii="Book Antiqua" w:hAnsi="Book Antiqua" w:cs="Book Antiqua" w:hint="eastAsia"/>
          <w:color w:val="000000"/>
          <w:lang w:eastAsia="zh-CN"/>
        </w:rPr>
        <w:t>]</w:t>
      </w:r>
      <w:r w:rsidRPr="00696F41">
        <w:rPr>
          <w:rFonts w:ascii="Book Antiqua" w:eastAsia="Book Antiqua" w:hAnsi="Book Antiqua" w:cs="Book Antiqua"/>
          <w:color w:val="000000"/>
        </w:rPr>
        <w:t>, corresponding to a percentage change of 53.8% (SD = 26.7; range</w:t>
      </w:r>
      <w:r w:rsidR="00F05368" w:rsidRPr="00696F41">
        <w:rPr>
          <w:rFonts w:ascii="Book Antiqua" w:hAnsi="Book Antiqua" w:cs="Book Antiqua" w:hint="eastAsia"/>
          <w:color w:val="000000"/>
          <w:lang w:eastAsia="zh-CN"/>
        </w:rPr>
        <w:t>:</w:t>
      </w:r>
      <w:r w:rsidRPr="00696F41">
        <w:rPr>
          <w:rFonts w:ascii="Book Antiqua" w:eastAsia="Book Antiqua" w:hAnsi="Book Antiqua" w:cs="Book Antiqua"/>
          <w:color w:val="000000"/>
        </w:rPr>
        <w:t xml:space="preserve"> 8.2–134.6). Elevation of Hb levels was observed throughout the study period (Figure 2). When the Hb levels at each visit were compared with those of the prior visit, the increases in mean Hb levels were found to be significant (Table 2).</w:t>
      </w:r>
    </w:p>
    <w:p w14:paraId="36F4EC22" w14:textId="77777777" w:rsidR="00A77B3E" w:rsidRPr="00696F41" w:rsidRDefault="00485933" w:rsidP="00F05368">
      <w:pPr>
        <w:spacing w:line="360" w:lineRule="auto"/>
        <w:ind w:firstLineChars="200" w:firstLine="480"/>
        <w:jc w:val="both"/>
        <w:rPr>
          <w:rFonts w:ascii="Book Antiqua" w:hAnsi="Book Antiqua"/>
        </w:rPr>
      </w:pPr>
      <w:r w:rsidRPr="00696F41">
        <w:rPr>
          <w:rFonts w:ascii="Book Antiqua" w:eastAsia="Book Antiqua" w:hAnsi="Book Antiqua" w:cs="Book Antiqua"/>
          <w:color w:val="000000"/>
        </w:rPr>
        <w:t>Overall, 18 participants (60%) had achieved the Hb levels within or exceeding the targets upon completion of the study drug treatment. Of these, 8 (26.7%) had their Hb levels within the target range of 11–12 g/dL; while, the Hb levels were greater than 13 g/dL in 1</w:t>
      </w:r>
      <w:r w:rsidR="00F05368" w:rsidRPr="00696F41">
        <w:rPr>
          <w:rFonts w:ascii="Book Antiqua" w:eastAsia="Book Antiqua" w:hAnsi="Book Antiqua" w:cs="Book Antiqua"/>
          <w:color w:val="000000"/>
        </w:rPr>
        <w:t xml:space="preserve">0 participants (33.3%). </w:t>
      </w:r>
      <w:r w:rsidRPr="00696F41">
        <w:rPr>
          <w:rFonts w:ascii="Book Antiqua" w:eastAsia="Book Antiqua" w:hAnsi="Book Antiqua" w:cs="Book Antiqua"/>
          <w:color w:val="000000"/>
        </w:rPr>
        <w:t xml:space="preserve">Ten out of 12 patients with below-the-target Hb levels achieved increases in Hb concentrations of equal or greater than 2 g/dL (Figure 3). This is in line with the kidney disease: </w:t>
      </w:r>
      <w:r w:rsidR="00F05368" w:rsidRPr="00696F41">
        <w:rPr>
          <w:rFonts w:ascii="Book Antiqua" w:hAnsi="Book Antiqua" w:cs="Book Antiqua" w:hint="eastAsia"/>
          <w:color w:val="000000"/>
          <w:lang w:eastAsia="zh-CN"/>
        </w:rPr>
        <w:t>I</w:t>
      </w:r>
      <w:r w:rsidRPr="00696F41">
        <w:rPr>
          <w:rFonts w:ascii="Book Antiqua" w:eastAsia="Book Antiqua" w:hAnsi="Book Antiqua" w:cs="Book Antiqua"/>
          <w:color w:val="000000"/>
        </w:rPr>
        <w:t>mproving global outcomes (KDIGO) clinical practice guideline</w:t>
      </w:r>
      <w:r w:rsidRPr="00696F41">
        <w:rPr>
          <w:rFonts w:ascii="Book Antiqua" w:eastAsia="Book Antiqua" w:hAnsi="Book Antiqua" w:cs="Book Antiqua"/>
          <w:color w:val="000000"/>
          <w:vertAlign w:val="superscript"/>
        </w:rPr>
        <w:t>[20]</w:t>
      </w:r>
      <w:r w:rsidRPr="00696F41">
        <w:rPr>
          <w:rFonts w:ascii="Book Antiqua" w:eastAsia="Book Antiqua" w:hAnsi="Book Antiqua" w:cs="Book Antiqua"/>
          <w:color w:val="000000"/>
        </w:rPr>
        <w:t xml:space="preserve"> which recommends the increase of Hb level at the rate of 1–2 g/dL </w:t>
      </w:r>
      <w:r w:rsidRPr="00696F41">
        <w:rPr>
          <w:rFonts w:ascii="Book Antiqua" w:eastAsia="Book Antiqua" w:hAnsi="Book Antiqua" w:cs="Book Antiqua"/>
          <w:i/>
          <w:color w:val="000000"/>
        </w:rPr>
        <w:t>per</w:t>
      </w:r>
      <w:r w:rsidRPr="00696F41">
        <w:rPr>
          <w:rFonts w:ascii="Book Antiqua" w:eastAsia="Book Antiqua" w:hAnsi="Book Antiqua" w:cs="Book Antiqua"/>
          <w:color w:val="000000"/>
        </w:rPr>
        <w:t xml:space="preserve"> month. Therefore, those patients were considered as responding to the treatment.</w:t>
      </w:r>
    </w:p>
    <w:p w14:paraId="6D13A665" w14:textId="008D7A90" w:rsidR="00A77B3E" w:rsidRPr="00696F41" w:rsidRDefault="00485933" w:rsidP="00F05368">
      <w:pPr>
        <w:spacing w:line="360" w:lineRule="auto"/>
        <w:ind w:firstLineChars="200" w:firstLine="480"/>
        <w:jc w:val="both"/>
        <w:rPr>
          <w:rFonts w:ascii="Book Antiqua" w:hAnsi="Book Antiqua" w:cs="Book Antiqua"/>
          <w:color w:val="000000"/>
          <w:lang w:eastAsia="zh-CN"/>
        </w:rPr>
      </w:pPr>
      <w:r w:rsidRPr="00696F41">
        <w:rPr>
          <w:rFonts w:ascii="Book Antiqua" w:eastAsia="Book Antiqua" w:hAnsi="Book Antiqua" w:cs="Book Antiqua"/>
          <w:color w:val="000000"/>
        </w:rPr>
        <w:t xml:space="preserve">We performed additional analysis to compare Hb levels at baseline and week 12 by the factors that could affect the ESA response, </w:t>
      </w:r>
      <w:r w:rsidRPr="00696F41">
        <w:rPr>
          <w:rFonts w:ascii="Book Antiqua" w:eastAsia="Book Antiqua" w:hAnsi="Book Antiqua" w:cs="Book Antiqua"/>
          <w:i/>
          <w:color w:val="000000"/>
        </w:rPr>
        <w:t>i.e.</w:t>
      </w:r>
      <w:r w:rsidRPr="00696F41">
        <w:rPr>
          <w:rFonts w:ascii="Book Antiqua" w:eastAsia="Book Antiqua" w:hAnsi="Book Antiqua" w:cs="Book Antiqua"/>
          <w:color w:val="000000"/>
        </w:rPr>
        <w:t xml:space="preserve"> thalassemia, infection, hemolysis, blood loss, hyperparathyroidism, low blood fo</w:t>
      </w:r>
      <w:r w:rsidR="00FE1940" w:rsidRPr="00696F41">
        <w:rPr>
          <w:rFonts w:ascii="Book Antiqua" w:eastAsia="Book Antiqua" w:hAnsi="Book Antiqua" w:cs="Book Antiqua"/>
          <w:color w:val="000000"/>
        </w:rPr>
        <w:t xml:space="preserve">lic acid, and iron deficiency. </w:t>
      </w:r>
      <w:r w:rsidRPr="00696F41">
        <w:rPr>
          <w:rFonts w:ascii="Book Antiqua" w:eastAsia="Book Antiqua" w:hAnsi="Book Antiqua" w:cs="Book Antiqua"/>
          <w:color w:val="000000"/>
        </w:rPr>
        <w:t xml:space="preserve">However, only infection had a certain variation, </w:t>
      </w:r>
      <w:r w:rsidRPr="00696F41">
        <w:rPr>
          <w:rFonts w:ascii="Book Antiqua" w:eastAsia="Book Antiqua" w:hAnsi="Book Antiqua" w:cs="Book Antiqua"/>
          <w:i/>
          <w:color w:val="000000"/>
        </w:rPr>
        <w:t>i.e.</w:t>
      </w:r>
      <w:r w:rsidRPr="00696F41">
        <w:rPr>
          <w:rFonts w:ascii="Book Antiqua" w:eastAsia="Book Antiqua" w:hAnsi="Book Antiqua" w:cs="Book Antiqua"/>
          <w:color w:val="000000"/>
        </w:rPr>
        <w:t xml:space="preserve"> 36.67% of the 30 patients having infection (</w:t>
      </w:r>
      <w:r w:rsidRPr="00696F41">
        <w:rPr>
          <w:rFonts w:ascii="Book Antiqua" w:eastAsia="Book Antiqua" w:hAnsi="Book Antiqua" w:cs="Book Antiqua"/>
          <w:i/>
          <w:color w:val="000000"/>
        </w:rPr>
        <w:t xml:space="preserve">i.e. </w:t>
      </w:r>
      <w:r w:rsidRPr="00696F41">
        <w:rPr>
          <w:rFonts w:ascii="Book Antiqua" w:eastAsia="Book Antiqua" w:hAnsi="Book Antiqua" w:cs="Book Antiqua"/>
          <w:color w:val="000000"/>
        </w:rPr>
        <w:t>exit site infection, peritonitis, pneumonia, and cellulitis), which was adequate to test for statistical significance. Table 3 shows frequency of patients with factors potentially affecting ESA response. Repeated measure ANOVA was used to compare Hb levels between patients with and without infection. Overall, it was found that infection was significantly associated with different Hb level (</w:t>
      </w:r>
      <w:r w:rsidR="005F7902" w:rsidRPr="005F7902">
        <w:rPr>
          <w:rFonts w:ascii="Book Antiqua" w:hAnsi="Book Antiqua" w:cs="Book Antiqua" w:hint="eastAsia"/>
          <w:i/>
          <w:color w:val="000000"/>
          <w:lang w:eastAsia="zh-CN"/>
        </w:rPr>
        <w:t>P</w:t>
      </w:r>
      <w:r w:rsidR="005F7902" w:rsidRPr="005F7902">
        <w:rPr>
          <w:rFonts w:ascii="Book Antiqua" w:hAnsi="Book Antiqua" w:cs="Book Antiqua" w:hint="eastAsia"/>
          <w:iCs/>
          <w:color w:val="000000"/>
          <w:lang w:eastAsia="zh-CN"/>
        </w:rPr>
        <w:t xml:space="preserve"> value</w:t>
      </w:r>
      <w:r w:rsidR="00FE1940" w:rsidRPr="00696F41">
        <w:rPr>
          <w:rFonts w:ascii="Book Antiqua" w:eastAsia="Book Antiqua" w:hAnsi="Book Antiqua" w:cs="Book Antiqua"/>
          <w:color w:val="000000"/>
        </w:rPr>
        <w:t xml:space="preserve"> = 0.001).</w:t>
      </w:r>
      <w:r w:rsidRPr="00696F41">
        <w:rPr>
          <w:rFonts w:ascii="Book Antiqua" w:eastAsia="Book Antiqua" w:hAnsi="Book Antiqua" w:cs="Book Antiqua"/>
          <w:color w:val="000000"/>
        </w:rPr>
        <w:t xml:space="preserve"> Patients with infection had a significantly lower Hb level at baseline, week 2, week 4, week 8 and week 12 (</w:t>
      </w:r>
      <w:r w:rsidR="005F7902" w:rsidRPr="005F7902">
        <w:rPr>
          <w:rFonts w:ascii="Book Antiqua" w:hAnsi="Book Antiqua" w:cs="Book Antiqua" w:hint="eastAsia"/>
          <w:i/>
          <w:color w:val="000000"/>
          <w:lang w:eastAsia="zh-CN"/>
        </w:rPr>
        <w:t xml:space="preserve">P </w:t>
      </w:r>
      <w:r w:rsidR="005F7902" w:rsidRPr="005F7902">
        <w:rPr>
          <w:rFonts w:ascii="Book Antiqua" w:hAnsi="Book Antiqua" w:cs="Book Antiqua" w:hint="eastAsia"/>
          <w:iCs/>
          <w:color w:val="000000"/>
          <w:lang w:eastAsia="zh-CN"/>
        </w:rPr>
        <w:t>value</w:t>
      </w:r>
      <w:r w:rsidRPr="00696F41">
        <w:rPr>
          <w:rFonts w:ascii="Book Antiqua" w:eastAsia="Book Antiqua" w:hAnsi="Book Antiqua" w:cs="Book Antiqua"/>
          <w:color w:val="000000"/>
        </w:rPr>
        <w:t xml:space="preserve"> = 0.001, 0.004, 0.034, 0.035 and 0.005, respectively) when compared to the patients without infection. Table 4 presents the comparisons of Hb at each visit by infection status and Figure 4 shows estimated marginal means of </w:t>
      </w:r>
      <w:r w:rsidR="002B3A27" w:rsidRPr="00696F41">
        <w:rPr>
          <w:rFonts w:ascii="Book Antiqua" w:eastAsia="Book Antiqua" w:hAnsi="Book Antiqua" w:cs="Book Antiqua"/>
          <w:color w:val="000000"/>
        </w:rPr>
        <w:t>Hb</w:t>
      </w:r>
      <w:r w:rsidRPr="00696F41">
        <w:rPr>
          <w:rFonts w:ascii="Book Antiqua" w:eastAsia="Book Antiqua" w:hAnsi="Book Antiqua" w:cs="Book Antiqua"/>
          <w:color w:val="000000"/>
        </w:rPr>
        <w:t xml:space="preserve"> levels from baseline to week 12 by infection status using repeated measure ANOVA.</w:t>
      </w:r>
    </w:p>
    <w:p w14:paraId="25E36CED" w14:textId="77777777" w:rsidR="00FE1940" w:rsidRPr="00696F41" w:rsidRDefault="00FE1940" w:rsidP="00F05368">
      <w:pPr>
        <w:spacing w:line="360" w:lineRule="auto"/>
        <w:ind w:firstLineChars="200" w:firstLine="480"/>
        <w:jc w:val="both"/>
        <w:rPr>
          <w:rFonts w:ascii="Book Antiqua" w:hAnsi="Book Antiqua"/>
          <w:lang w:eastAsia="zh-CN"/>
        </w:rPr>
      </w:pPr>
    </w:p>
    <w:p w14:paraId="20D679DF" w14:textId="77777777" w:rsidR="00A77B3E" w:rsidRPr="00696F41" w:rsidRDefault="002B3A27" w:rsidP="00107B1E">
      <w:pPr>
        <w:spacing w:line="360" w:lineRule="auto"/>
        <w:jc w:val="both"/>
        <w:rPr>
          <w:rFonts w:ascii="Book Antiqua" w:hAnsi="Book Antiqua"/>
          <w:b/>
          <w:i/>
        </w:rPr>
      </w:pPr>
      <w:r w:rsidRPr="00696F41">
        <w:rPr>
          <w:rFonts w:ascii="Book Antiqua" w:eastAsia="Book Antiqua" w:hAnsi="Book Antiqua" w:cs="Book Antiqua"/>
          <w:b/>
          <w:i/>
          <w:color w:val="000000"/>
        </w:rPr>
        <w:lastRenderedPageBreak/>
        <w:t>QoL</w:t>
      </w:r>
    </w:p>
    <w:p w14:paraId="5F0E1536" w14:textId="77777777" w:rsidR="00A77B3E" w:rsidRPr="00696F41" w:rsidRDefault="00485933" w:rsidP="00107B1E">
      <w:pPr>
        <w:spacing w:line="360" w:lineRule="auto"/>
        <w:jc w:val="both"/>
        <w:rPr>
          <w:rFonts w:ascii="Book Antiqua" w:hAnsi="Book Antiqua" w:cs="Book Antiqua"/>
          <w:color w:val="000000"/>
          <w:shd w:val="clear" w:color="auto" w:fill="FFFFFF"/>
          <w:lang w:eastAsia="zh-CN"/>
        </w:rPr>
      </w:pPr>
      <w:r w:rsidRPr="00696F41">
        <w:rPr>
          <w:rFonts w:ascii="Book Antiqua" w:eastAsia="Book Antiqua" w:hAnsi="Book Antiqua" w:cs="Book Antiqua"/>
          <w:color w:val="000000"/>
          <w:shd w:val="clear" w:color="auto" w:fill="FFFFFF"/>
        </w:rPr>
        <w:t>Treatment with Hema-Plus</w:t>
      </w:r>
      <w:r w:rsidRPr="00696F41">
        <w:rPr>
          <w:rFonts w:ascii="Book Antiqua" w:eastAsia="Book Antiqua" w:hAnsi="Book Antiqua" w:cs="Book Antiqua"/>
          <w:color w:val="000000"/>
          <w:shd w:val="clear" w:color="auto" w:fill="FFFFFF"/>
          <w:vertAlign w:val="superscript"/>
        </w:rPr>
        <w:t>®</w:t>
      </w:r>
      <w:r w:rsidRPr="00696F41">
        <w:rPr>
          <w:rFonts w:ascii="Book Antiqua" w:eastAsia="Book Antiqua" w:hAnsi="Book Antiqua" w:cs="Book Antiqua"/>
          <w:color w:val="000000"/>
          <w:shd w:val="clear" w:color="auto" w:fill="FFFFFF"/>
        </w:rPr>
        <w:t xml:space="preserve"> improved the patients’ health-related QoL as determined by the KDQOL-36™ survey (Table 5). At week 12, there were significant increases in KDQOL-36 scores from baseline in all aspects evaluated</w:t>
      </w:r>
      <w:r w:rsidR="00FE1940" w:rsidRPr="00696F41">
        <w:rPr>
          <w:rFonts w:ascii="Book Antiqua" w:hAnsi="Book Antiqua" w:cs="Book Antiqua" w:hint="eastAsia"/>
          <w:color w:val="000000"/>
          <w:shd w:val="clear" w:color="auto" w:fill="FFFFFF"/>
          <w:lang w:eastAsia="zh-CN"/>
        </w:rPr>
        <w:t>-</w:t>
      </w:r>
      <w:r w:rsidRPr="00696F41">
        <w:rPr>
          <w:rFonts w:ascii="Book Antiqua" w:eastAsia="Book Antiqua" w:hAnsi="Book Antiqua" w:cs="Book Antiqua"/>
          <w:color w:val="000000"/>
          <w:shd w:val="clear" w:color="auto" w:fill="FFFFFF"/>
        </w:rPr>
        <w:t xml:space="preserve">physical and mental health as well as symptoms and burden of the kidney disease. </w:t>
      </w:r>
    </w:p>
    <w:p w14:paraId="3A50911C" w14:textId="77777777" w:rsidR="00FE1940" w:rsidRPr="00696F41" w:rsidRDefault="00FE1940" w:rsidP="00107B1E">
      <w:pPr>
        <w:spacing w:line="360" w:lineRule="auto"/>
        <w:jc w:val="both"/>
        <w:rPr>
          <w:rFonts w:ascii="Book Antiqua" w:hAnsi="Book Antiqua"/>
          <w:lang w:eastAsia="zh-CN"/>
        </w:rPr>
      </w:pPr>
    </w:p>
    <w:p w14:paraId="3FDBA681" w14:textId="77777777" w:rsidR="00A77B3E" w:rsidRPr="00696F41" w:rsidRDefault="00485933" w:rsidP="00107B1E">
      <w:pPr>
        <w:spacing w:line="360" w:lineRule="auto"/>
        <w:jc w:val="both"/>
        <w:rPr>
          <w:rFonts w:ascii="Book Antiqua" w:hAnsi="Book Antiqua"/>
          <w:b/>
        </w:rPr>
      </w:pPr>
      <w:r w:rsidRPr="00696F41">
        <w:rPr>
          <w:rFonts w:ascii="Book Antiqua" w:eastAsia="Book Antiqua" w:hAnsi="Book Antiqua" w:cs="Book Antiqua"/>
          <w:b/>
          <w:i/>
          <w:color w:val="000000"/>
        </w:rPr>
        <w:t>Safety</w:t>
      </w:r>
    </w:p>
    <w:p w14:paraId="688F79B4"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color w:val="000000"/>
        </w:rPr>
        <w:t>Overall, 39 AEs were reported from 18 patients (out of 37 patients included in the safety population) during the study period (Table 6). Most of those (37/39) were deemed very unlikely to be related to the study drug. All reported AEs were mild (30/39) to moderate (7/39), except one case of volume overload which was classified as a severe event, but very unlikely to be related to the study drug. A total of 10 SAEs occurred in 7 patients. Of these, two occurrences of hypertensive urgency were deemed to be probably related to the study drug. The most frequently reported AEs, occurring in more than 10% of the patients, were exit site infection/inflammation and edema.</w:t>
      </w:r>
    </w:p>
    <w:p w14:paraId="633CDC3C"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color w:val="000000"/>
        </w:rPr>
        <w:t>None of the AEs led to discontinuation or modification of the study treatment. Most events (32/39), including all SAEs, were improved or recovered. There was no new or unexpected safety signals observed.</w:t>
      </w:r>
    </w:p>
    <w:p w14:paraId="30D9CE94" w14:textId="77777777" w:rsidR="00A77B3E" w:rsidRPr="00696F41" w:rsidRDefault="00A77B3E" w:rsidP="00107B1E">
      <w:pPr>
        <w:spacing w:line="360" w:lineRule="auto"/>
        <w:jc w:val="both"/>
        <w:rPr>
          <w:rFonts w:ascii="Book Antiqua" w:hAnsi="Book Antiqua"/>
        </w:rPr>
      </w:pPr>
    </w:p>
    <w:p w14:paraId="2ED6C302"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b/>
          <w:caps/>
          <w:color w:val="000000"/>
          <w:u w:val="single"/>
        </w:rPr>
        <w:t>DISCUSSION</w:t>
      </w:r>
    </w:p>
    <w:p w14:paraId="0003E2E5"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color w:val="000000"/>
        </w:rPr>
        <w:t xml:space="preserve">The treatment of anemia in patients with CKD with ESAs has provided the following known beneficial effects: </w:t>
      </w:r>
      <w:r w:rsidR="00FE1940" w:rsidRPr="00696F41">
        <w:rPr>
          <w:rFonts w:ascii="Book Antiqua" w:hAnsi="Book Antiqua" w:cs="Book Antiqua" w:hint="eastAsia"/>
          <w:color w:val="000000"/>
          <w:lang w:eastAsia="zh-CN"/>
        </w:rPr>
        <w:t>A</w:t>
      </w:r>
      <w:r w:rsidRPr="00696F41">
        <w:rPr>
          <w:rFonts w:ascii="Book Antiqua" w:eastAsia="Book Antiqua" w:hAnsi="Book Antiqua" w:cs="Book Antiqua"/>
          <w:color w:val="000000"/>
        </w:rPr>
        <w:t xml:space="preserve"> reduced requirement for blood transfusions and the associated complications, improvement of heart failure symptoms and regression of left ventricular hypertrophy, improved </w:t>
      </w:r>
      <w:r w:rsidR="002B3A27" w:rsidRPr="00696F41">
        <w:rPr>
          <w:rFonts w:ascii="Book Antiqua" w:eastAsia="Book Antiqua" w:hAnsi="Book Antiqua" w:cs="Book Antiqua"/>
          <w:color w:val="000000"/>
        </w:rPr>
        <w:t>QoL</w:t>
      </w:r>
      <w:r w:rsidRPr="00696F41">
        <w:rPr>
          <w:rFonts w:ascii="Book Antiqua" w:eastAsia="Book Antiqua" w:hAnsi="Book Antiqua" w:cs="Book Antiqua"/>
          <w:color w:val="000000"/>
        </w:rPr>
        <w:t>, decreased hospitalizations and reduction of overall healthcare costs</w:t>
      </w:r>
      <w:r w:rsidR="00FE1940" w:rsidRPr="00696F41">
        <w:rPr>
          <w:rFonts w:ascii="Book Antiqua" w:eastAsia="Book Antiqua" w:hAnsi="Book Antiqua" w:cs="Book Antiqua"/>
          <w:color w:val="000000"/>
          <w:vertAlign w:val="superscript"/>
        </w:rPr>
        <w:t>[4,5,</w:t>
      </w:r>
      <w:r w:rsidRPr="00696F41">
        <w:rPr>
          <w:rFonts w:ascii="Book Antiqua" w:eastAsia="Book Antiqua" w:hAnsi="Book Antiqua" w:cs="Book Antiqua"/>
          <w:color w:val="000000"/>
          <w:vertAlign w:val="superscript"/>
        </w:rPr>
        <w:t>21]</w:t>
      </w:r>
      <w:r w:rsidRPr="00696F41">
        <w:rPr>
          <w:rFonts w:ascii="Book Antiqua" w:eastAsia="Book Antiqua" w:hAnsi="Book Antiqua" w:cs="Book Antiqua"/>
          <w:color w:val="000000"/>
        </w:rPr>
        <w:t xml:space="preserve">. </w:t>
      </w:r>
    </w:p>
    <w:p w14:paraId="30242364" w14:textId="77777777" w:rsidR="00A77B3E" w:rsidRPr="00696F41" w:rsidRDefault="00485933" w:rsidP="00FE1940">
      <w:pPr>
        <w:spacing w:line="360" w:lineRule="auto"/>
        <w:ind w:firstLineChars="200" w:firstLine="480"/>
        <w:jc w:val="both"/>
        <w:rPr>
          <w:rFonts w:ascii="Book Antiqua" w:hAnsi="Book Antiqua"/>
        </w:rPr>
      </w:pPr>
      <w:r w:rsidRPr="00696F41">
        <w:rPr>
          <w:rFonts w:ascii="Book Antiqua" w:eastAsia="Book Antiqua" w:hAnsi="Book Antiqua" w:cs="Book Antiqua"/>
          <w:color w:val="000000"/>
        </w:rPr>
        <w:t xml:space="preserve">It is difficult to predict dose requirements of ESA in individual patients who have high comorbidities, diabetes, other disorders, and inflammation. </w:t>
      </w:r>
      <w:r w:rsidR="002B3A27" w:rsidRPr="00696F41">
        <w:rPr>
          <w:rFonts w:ascii="Book Antiqua" w:eastAsia="Book Antiqua" w:hAnsi="Book Antiqua" w:cs="Book Antiqua"/>
          <w:color w:val="000000"/>
        </w:rPr>
        <w:t>Hb</w:t>
      </w:r>
      <w:r w:rsidRPr="00696F41">
        <w:rPr>
          <w:rFonts w:ascii="Book Antiqua" w:eastAsia="Book Antiqua" w:hAnsi="Book Antiqua" w:cs="Book Antiqua"/>
          <w:color w:val="000000"/>
        </w:rPr>
        <w:t xml:space="preserve"> should </w:t>
      </w:r>
      <w:r w:rsidR="00FE1940" w:rsidRPr="00696F41">
        <w:rPr>
          <w:rFonts w:ascii="Book Antiqua" w:eastAsia="Book Antiqua" w:hAnsi="Book Antiqua" w:cs="Book Antiqua"/>
          <w:color w:val="000000"/>
        </w:rPr>
        <w:t>be increased slowly between 1.0–2.0 g/dL (10–</w:t>
      </w:r>
      <w:r w:rsidRPr="00696F41">
        <w:rPr>
          <w:rFonts w:ascii="Book Antiqua" w:eastAsia="Book Antiqua" w:hAnsi="Book Antiqua" w:cs="Book Antiqua"/>
          <w:color w:val="000000"/>
        </w:rPr>
        <w:t xml:space="preserve">20 g/L) </w:t>
      </w:r>
      <w:r w:rsidRPr="00696F41">
        <w:rPr>
          <w:rFonts w:ascii="Book Antiqua" w:eastAsia="Book Antiqua" w:hAnsi="Book Antiqua" w:cs="Book Antiqua"/>
          <w:i/>
          <w:color w:val="000000"/>
        </w:rPr>
        <w:t xml:space="preserve">per </w:t>
      </w:r>
      <w:r w:rsidRPr="00696F41">
        <w:rPr>
          <w:rFonts w:ascii="Book Antiqua" w:eastAsia="Book Antiqua" w:hAnsi="Book Antiqua" w:cs="Book Antiqua"/>
          <w:color w:val="000000"/>
        </w:rPr>
        <w:t xml:space="preserve">month during the initial ESA therapy (correction phase), so as to avoid adverse effects like hypertension, seizures, vascular </w:t>
      </w:r>
      <w:r w:rsidRPr="00696F41">
        <w:rPr>
          <w:rFonts w:ascii="Book Antiqua" w:eastAsia="Book Antiqua" w:hAnsi="Book Antiqua" w:cs="Book Antiqua"/>
          <w:color w:val="000000"/>
        </w:rPr>
        <w:lastRenderedPageBreak/>
        <w:t>access thrombosis, and possible cardiovascular events. However, it is recommended that the starting dose</w:t>
      </w:r>
      <w:r w:rsidR="00FE1940" w:rsidRPr="00696F41">
        <w:rPr>
          <w:rFonts w:ascii="Book Antiqua" w:eastAsia="Book Antiqua" w:hAnsi="Book Antiqua" w:cs="Book Antiqua"/>
          <w:color w:val="000000"/>
        </w:rPr>
        <w:t xml:space="preserve"> of epoetin alpha should be 20–</w:t>
      </w:r>
      <w:r w:rsidRPr="00696F41">
        <w:rPr>
          <w:rFonts w:ascii="Book Antiqua" w:eastAsia="Book Antiqua" w:hAnsi="Book Antiqua" w:cs="Book Antiqua"/>
          <w:color w:val="000000"/>
        </w:rPr>
        <w:t xml:space="preserve">50 IU/kg weight thrice every week with </w:t>
      </w:r>
      <w:r w:rsidR="002B3A27" w:rsidRPr="00696F41">
        <w:rPr>
          <w:rFonts w:ascii="Book Antiqua" w:eastAsia="Book Antiqua" w:hAnsi="Book Antiqua" w:cs="Book Antiqua"/>
          <w:color w:val="000000"/>
        </w:rPr>
        <w:t>Hb</w:t>
      </w:r>
      <w:r w:rsidRPr="00696F41">
        <w:rPr>
          <w:rFonts w:ascii="Book Antiqua" w:eastAsia="Book Antiqua" w:hAnsi="Book Antiqua" w:cs="Book Antiqua"/>
          <w:color w:val="000000"/>
        </w:rPr>
        <w:t xml:space="preserve"> target of 11.0-12.0 g/dL. Dose adjustment should be determined by the patient’s </w:t>
      </w:r>
      <w:r w:rsidR="002B3A27" w:rsidRPr="00696F41">
        <w:rPr>
          <w:rFonts w:ascii="Book Antiqua" w:eastAsia="Book Antiqua" w:hAnsi="Book Antiqua" w:cs="Book Antiqua"/>
          <w:color w:val="000000"/>
        </w:rPr>
        <w:t>Hb</w:t>
      </w:r>
      <w:r w:rsidRPr="00696F41">
        <w:rPr>
          <w:rFonts w:ascii="Book Antiqua" w:eastAsia="Book Antiqua" w:hAnsi="Book Antiqua" w:cs="Book Antiqua"/>
          <w:color w:val="000000"/>
        </w:rPr>
        <w:t xml:space="preserve"> level, the target </w:t>
      </w:r>
      <w:r w:rsidR="002B3A27" w:rsidRPr="00696F41">
        <w:rPr>
          <w:rFonts w:ascii="Book Antiqua" w:eastAsia="Book Antiqua" w:hAnsi="Book Antiqua" w:cs="Book Antiqua"/>
          <w:color w:val="000000"/>
        </w:rPr>
        <w:t>Hb</w:t>
      </w:r>
      <w:r w:rsidRPr="00696F41">
        <w:rPr>
          <w:rFonts w:ascii="Book Antiqua" w:eastAsia="Book Antiqua" w:hAnsi="Book Antiqua" w:cs="Book Antiqua"/>
          <w:color w:val="000000"/>
        </w:rPr>
        <w:t xml:space="preserve"> level, the observed rate of increase in </w:t>
      </w:r>
      <w:r w:rsidR="002B3A27" w:rsidRPr="00696F41">
        <w:rPr>
          <w:rFonts w:ascii="Book Antiqua" w:eastAsia="Book Antiqua" w:hAnsi="Book Antiqua" w:cs="Book Antiqua"/>
          <w:color w:val="000000"/>
        </w:rPr>
        <w:t>Hb</w:t>
      </w:r>
      <w:r w:rsidRPr="00696F41">
        <w:rPr>
          <w:rFonts w:ascii="Book Antiqua" w:eastAsia="Book Antiqua" w:hAnsi="Book Antiqua" w:cs="Book Antiqua"/>
          <w:color w:val="000000"/>
        </w:rPr>
        <w:t xml:space="preserve"> level and clinical circumstances</w:t>
      </w:r>
      <w:r w:rsidR="00FE1940" w:rsidRPr="00696F41">
        <w:rPr>
          <w:rFonts w:ascii="Book Antiqua" w:eastAsia="Book Antiqua" w:hAnsi="Book Antiqua" w:cs="Book Antiqua"/>
          <w:color w:val="000000"/>
          <w:vertAlign w:val="superscript"/>
        </w:rPr>
        <w:t>[20,22]</w:t>
      </w:r>
      <w:r w:rsidRPr="00696F41">
        <w:rPr>
          <w:rFonts w:ascii="Book Antiqua" w:eastAsia="Book Antiqua" w:hAnsi="Book Antiqua" w:cs="Book Antiqua"/>
          <w:color w:val="000000"/>
        </w:rPr>
        <w:t xml:space="preserve">. </w:t>
      </w:r>
    </w:p>
    <w:p w14:paraId="756E6FA5" w14:textId="77777777" w:rsidR="00A77B3E" w:rsidRPr="00696F41" w:rsidRDefault="00485933" w:rsidP="00FE1940">
      <w:pPr>
        <w:spacing w:line="360" w:lineRule="auto"/>
        <w:ind w:firstLineChars="200" w:firstLine="480"/>
        <w:jc w:val="both"/>
        <w:rPr>
          <w:rFonts w:ascii="Book Antiqua" w:hAnsi="Book Antiqua"/>
          <w:lang w:eastAsia="zh-CN"/>
        </w:rPr>
      </w:pPr>
      <w:r w:rsidRPr="00696F41">
        <w:rPr>
          <w:rFonts w:ascii="Book Antiqua" w:eastAsia="Book Antiqua" w:hAnsi="Book Antiqua" w:cs="Book Antiqua"/>
          <w:color w:val="000000"/>
        </w:rPr>
        <w:t xml:space="preserve">Results from the present study showed that subcutaneously administered Hema-Plus at the doses and frequencies used in this patient population for treatment of anemia in CKD patients with </w:t>
      </w:r>
      <w:r w:rsidR="002B3A27" w:rsidRPr="00696F41">
        <w:rPr>
          <w:rFonts w:ascii="Book Antiqua" w:eastAsia="Book Antiqua" w:hAnsi="Book Antiqua" w:cs="Book Antiqua"/>
          <w:color w:val="000000"/>
        </w:rPr>
        <w:t>PD</w:t>
      </w:r>
      <w:r w:rsidRPr="00696F41">
        <w:rPr>
          <w:rFonts w:ascii="Book Antiqua" w:eastAsia="Book Antiqua" w:hAnsi="Book Antiqua" w:cs="Book Antiqua"/>
          <w:color w:val="000000"/>
        </w:rPr>
        <w:t xml:space="preserve"> significantly increased </w:t>
      </w:r>
      <w:r w:rsidR="002B3A27" w:rsidRPr="00696F41">
        <w:rPr>
          <w:rFonts w:ascii="Book Antiqua" w:eastAsia="Book Antiqua" w:hAnsi="Book Antiqua" w:cs="Book Antiqua"/>
          <w:color w:val="000000"/>
        </w:rPr>
        <w:t>Hb</w:t>
      </w:r>
      <w:r w:rsidR="00FE1940" w:rsidRPr="00696F41">
        <w:rPr>
          <w:rFonts w:ascii="Book Antiqua" w:eastAsia="Book Antiqua" w:hAnsi="Book Antiqua" w:cs="Book Antiqua"/>
          <w:color w:val="000000"/>
        </w:rPr>
        <w:t xml:space="preserve"> levels over 12 wk.</w:t>
      </w:r>
      <w:r w:rsidRPr="00696F41">
        <w:rPr>
          <w:rFonts w:ascii="Book Antiqua" w:eastAsia="Book Antiqua" w:hAnsi="Book Antiqua" w:cs="Book Antiqua"/>
          <w:color w:val="000000"/>
        </w:rPr>
        <w:t xml:space="preserve"> More than half of the study patients (60%) had </w:t>
      </w:r>
      <w:r w:rsidR="002B3A27" w:rsidRPr="00696F41">
        <w:rPr>
          <w:rFonts w:ascii="Book Antiqua" w:eastAsia="Book Antiqua" w:hAnsi="Book Antiqua" w:cs="Book Antiqua"/>
          <w:color w:val="000000"/>
        </w:rPr>
        <w:t>Hb</w:t>
      </w:r>
      <w:r w:rsidRPr="00696F41">
        <w:rPr>
          <w:rFonts w:ascii="Book Antiqua" w:eastAsia="Book Antiqua" w:hAnsi="Book Antiqua" w:cs="Book Antiqua"/>
          <w:color w:val="000000"/>
        </w:rPr>
        <w:t xml:space="preserve"> levels within (26.67%) or higher (33.33%) than the target range</w:t>
      </w:r>
      <w:r w:rsidR="00FE1940" w:rsidRPr="00696F41">
        <w:rPr>
          <w:rFonts w:ascii="Book Antiqua" w:hAnsi="Book Antiqua" w:cs="Book Antiqua" w:hint="eastAsia"/>
          <w:color w:val="000000"/>
          <w:lang w:eastAsia="zh-CN"/>
        </w:rPr>
        <w:t xml:space="preserve"> </w:t>
      </w:r>
      <w:r w:rsidRPr="00696F41">
        <w:rPr>
          <w:rFonts w:ascii="Book Antiqua" w:eastAsia="Book Antiqua" w:hAnsi="Book Antiqua" w:cs="Book Antiqua"/>
          <w:color w:val="000000"/>
        </w:rPr>
        <w:t>(11-12 g/dL)</w:t>
      </w:r>
      <w:r w:rsidRPr="00696F41">
        <w:rPr>
          <w:rFonts w:ascii="Book Antiqua" w:eastAsia="Book Antiqua" w:hAnsi="Book Antiqua" w:cs="Book Antiqua"/>
          <w:color w:val="000000"/>
          <w:vertAlign w:val="superscript"/>
        </w:rPr>
        <w:t>[1]</w:t>
      </w:r>
      <w:r w:rsidRPr="00696F41">
        <w:rPr>
          <w:rFonts w:ascii="Book Antiqua" w:eastAsia="Book Antiqua" w:hAnsi="Book Antiqua" w:cs="Book Antiqua"/>
          <w:color w:val="000000"/>
        </w:rPr>
        <w:t xml:space="preserve"> at week 12 with percentages of change ranging from 8.22% to 134.62%. In addition, there were significant improvements in the QoL scores in all domains between baseline and week 12. The previous studies about QoL in </w:t>
      </w:r>
      <w:r w:rsidR="002B3A27" w:rsidRPr="00696F41">
        <w:rPr>
          <w:rFonts w:ascii="Book Antiqua" w:eastAsia="Book Antiqua" w:hAnsi="Book Antiqua" w:cs="Book Antiqua"/>
          <w:color w:val="000000"/>
        </w:rPr>
        <w:t>PD</w:t>
      </w:r>
      <w:r w:rsidRPr="00696F41">
        <w:rPr>
          <w:rFonts w:ascii="Book Antiqua" w:eastAsia="Book Antiqua" w:hAnsi="Book Antiqua" w:cs="Book Antiqua"/>
          <w:color w:val="000000"/>
        </w:rPr>
        <w:t xml:space="preserve"> patients have also shown that anemia was a significant factor in lowering the patients’ QoL</w:t>
      </w:r>
      <w:r w:rsidRPr="00696F41">
        <w:rPr>
          <w:rFonts w:ascii="Book Antiqua" w:eastAsia="Book Antiqua" w:hAnsi="Book Antiqua" w:cs="Book Antiqua"/>
          <w:color w:val="000000"/>
          <w:vertAlign w:val="superscript"/>
        </w:rPr>
        <w:t>[23-25]</w:t>
      </w:r>
      <w:r w:rsidR="00FE1940" w:rsidRPr="00696F41">
        <w:rPr>
          <w:rFonts w:ascii="Book Antiqua" w:eastAsia="Book Antiqua" w:hAnsi="Book Antiqua" w:cs="Book Antiqua"/>
          <w:color w:val="000000"/>
        </w:rPr>
        <w:t xml:space="preserve">. </w:t>
      </w:r>
      <w:r w:rsidRPr="00696F41">
        <w:rPr>
          <w:rFonts w:ascii="Book Antiqua" w:eastAsia="Book Antiqua" w:hAnsi="Book Antiqua" w:cs="Book Antiqua"/>
          <w:color w:val="000000"/>
        </w:rPr>
        <w:t>Access to medicines is a significant factor to ensure healthy lives and promote well-being of all people of all ages</w:t>
      </w:r>
      <w:r w:rsidRPr="00696F41">
        <w:rPr>
          <w:rFonts w:ascii="Book Antiqua" w:eastAsia="Book Antiqua" w:hAnsi="Book Antiqua" w:cs="Book Antiqua"/>
          <w:color w:val="000000"/>
          <w:vertAlign w:val="superscript"/>
        </w:rPr>
        <w:t>[26]</w:t>
      </w:r>
      <w:r w:rsidRPr="00696F41">
        <w:rPr>
          <w:rFonts w:ascii="Book Antiqua" w:eastAsia="Book Antiqua" w:hAnsi="Book Antiqua" w:cs="Book Antiqua"/>
          <w:color w:val="000000"/>
        </w:rPr>
        <w:t>. The Hema-Plus, which is a locally made recombinant human erythropoietin (rHuEPO) with lower cost, might help Thai people to gain more accessibility to epoetin alfa in Thailand.</w:t>
      </w:r>
    </w:p>
    <w:p w14:paraId="28BDFD13" w14:textId="77777777" w:rsidR="00A77B3E" w:rsidRPr="00696F41" w:rsidRDefault="00485933" w:rsidP="00FE1940">
      <w:pPr>
        <w:spacing w:line="360" w:lineRule="auto"/>
        <w:ind w:firstLineChars="200" w:firstLine="480"/>
        <w:jc w:val="both"/>
        <w:rPr>
          <w:rFonts w:ascii="Book Antiqua" w:hAnsi="Book Antiqua"/>
        </w:rPr>
      </w:pPr>
      <w:r w:rsidRPr="00696F41">
        <w:rPr>
          <w:rFonts w:ascii="Book Antiqua" w:eastAsia="Book Antiqua" w:hAnsi="Book Antiqua" w:cs="Book Antiqua"/>
          <w:color w:val="000000"/>
        </w:rPr>
        <w:t>This present study showed that the patients with infection had a significantly lower Hb level when compared to the patients without infection. This result was consistent with several studies that have indicated that markers of inflammation have an association with decreased response to EPO</w:t>
      </w:r>
      <w:r w:rsidRPr="00696F41">
        <w:rPr>
          <w:rFonts w:ascii="Book Antiqua" w:eastAsia="Book Antiqua" w:hAnsi="Book Antiqua" w:cs="Book Antiqua"/>
          <w:color w:val="000000"/>
          <w:vertAlign w:val="superscript"/>
        </w:rPr>
        <w:t>[27]</w:t>
      </w:r>
      <w:r w:rsidR="00FE1940" w:rsidRPr="00696F41">
        <w:rPr>
          <w:rFonts w:ascii="Book Antiqua" w:eastAsia="Book Antiqua" w:hAnsi="Book Antiqua" w:cs="Book Antiqua"/>
          <w:color w:val="000000"/>
        </w:rPr>
        <w:t>.</w:t>
      </w:r>
      <w:r w:rsidRPr="00696F41">
        <w:rPr>
          <w:rFonts w:ascii="Book Antiqua" w:eastAsia="Book Antiqua" w:hAnsi="Book Antiqua" w:cs="Book Antiqua"/>
          <w:color w:val="000000"/>
        </w:rPr>
        <w:t xml:space="preserve"> In this present study, only infection had a certain variation which was adequate to test</w:t>
      </w:r>
      <w:r w:rsidR="00FE1940" w:rsidRPr="00696F41">
        <w:rPr>
          <w:rFonts w:ascii="Book Antiqua" w:eastAsia="Book Antiqua" w:hAnsi="Book Antiqua" w:cs="Book Antiqua"/>
          <w:color w:val="000000"/>
        </w:rPr>
        <w:t xml:space="preserve"> for statistical significance. </w:t>
      </w:r>
      <w:r w:rsidRPr="00696F41">
        <w:rPr>
          <w:rFonts w:ascii="Book Antiqua" w:eastAsia="Book Antiqua" w:hAnsi="Book Antiqua" w:cs="Book Antiqua"/>
          <w:color w:val="000000"/>
        </w:rPr>
        <w:t>There are a lot of factors that influence the response to rHuEPO to keep in mind</w:t>
      </w:r>
      <w:r w:rsidRPr="00696F41">
        <w:rPr>
          <w:rFonts w:ascii="Book Antiqua" w:eastAsia="Book Antiqua" w:hAnsi="Book Antiqua" w:cs="Book Antiqua"/>
          <w:color w:val="000000"/>
          <w:vertAlign w:val="superscript"/>
        </w:rPr>
        <w:t>[27]</w:t>
      </w:r>
      <w:r w:rsidRPr="00696F41">
        <w:rPr>
          <w:rFonts w:ascii="Book Antiqua" w:eastAsia="Book Antiqua" w:hAnsi="Book Antiqua" w:cs="Book Antiqua"/>
          <w:color w:val="000000"/>
        </w:rPr>
        <w:t>, such as iron deficiency</w:t>
      </w:r>
      <w:r w:rsidRPr="00696F41">
        <w:rPr>
          <w:rFonts w:ascii="Book Antiqua" w:eastAsia="Book Antiqua" w:hAnsi="Book Antiqua" w:cs="Book Antiqua"/>
          <w:color w:val="000000"/>
          <w:vertAlign w:val="superscript"/>
        </w:rPr>
        <w:t>[28-30]</w:t>
      </w:r>
      <w:r w:rsidRPr="00696F41">
        <w:rPr>
          <w:rFonts w:ascii="Book Antiqua" w:eastAsia="Book Antiqua" w:hAnsi="Book Antiqua" w:cs="Book Antiqua"/>
          <w:color w:val="000000"/>
        </w:rPr>
        <w:t>, oxidative stress</w:t>
      </w:r>
      <w:r w:rsidRPr="00696F41">
        <w:rPr>
          <w:rFonts w:ascii="Book Antiqua" w:eastAsia="Book Antiqua" w:hAnsi="Book Antiqua" w:cs="Book Antiqua"/>
          <w:color w:val="000000"/>
          <w:vertAlign w:val="superscript"/>
        </w:rPr>
        <w:t>[31-33]</w:t>
      </w:r>
      <w:r w:rsidRPr="00696F41">
        <w:rPr>
          <w:rFonts w:ascii="Book Antiqua" w:eastAsia="Book Antiqua" w:hAnsi="Book Antiqua" w:cs="Book Antiqua"/>
          <w:color w:val="000000"/>
        </w:rPr>
        <w:t>, hyperparathyroidism</w:t>
      </w:r>
      <w:r w:rsidRPr="00696F41">
        <w:rPr>
          <w:rFonts w:ascii="Book Antiqua" w:eastAsia="Book Antiqua" w:hAnsi="Book Antiqua" w:cs="Book Antiqua"/>
          <w:color w:val="000000"/>
          <w:vertAlign w:val="superscript"/>
        </w:rPr>
        <w:t>[34]</w:t>
      </w:r>
      <w:r w:rsidRPr="00696F41">
        <w:rPr>
          <w:rFonts w:ascii="Book Antiqua" w:eastAsia="Book Antiqua" w:hAnsi="Book Antiqua" w:cs="Book Antiqua"/>
          <w:color w:val="000000"/>
        </w:rPr>
        <w:t>, and angiotensin-converting enzyme inhibitors</w:t>
      </w:r>
      <w:r w:rsidR="00FE1940" w:rsidRPr="00696F41">
        <w:rPr>
          <w:rFonts w:ascii="Book Antiqua" w:eastAsia="Book Antiqua" w:hAnsi="Book Antiqua" w:cs="Book Antiqua"/>
          <w:color w:val="000000"/>
          <w:vertAlign w:val="superscript"/>
        </w:rPr>
        <w:t>[35,</w:t>
      </w:r>
      <w:r w:rsidRPr="00696F41">
        <w:rPr>
          <w:rFonts w:ascii="Book Antiqua" w:eastAsia="Book Antiqua" w:hAnsi="Book Antiqua" w:cs="Book Antiqua"/>
          <w:color w:val="000000"/>
          <w:vertAlign w:val="superscript"/>
        </w:rPr>
        <w:t>36]</w:t>
      </w:r>
      <w:r w:rsidRPr="00696F41">
        <w:rPr>
          <w:rFonts w:ascii="Book Antiqua" w:eastAsia="Book Antiqua" w:hAnsi="Book Antiqua" w:cs="Book Antiqua"/>
          <w:color w:val="000000"/>
        </w:rPr>
        <w:t>.</w:t>
      </w:r>
    </w:p>
    <w:p w14:paraId="1BA281F8" w14:textId="77777777" w:rsidR="00FE1940" w:rsidRPr="00696F41" w:rsidRDefault="00485933" w:rsidP="00FE1940">
      <w:pPr>
        <w:spacing w:line="360" w:lineRule="auto"/>
        <w:ind w:firstLineChars="200" w:firstLine="480"/>
        <w:jc w:val="both"/>
        <w:rPr>
          <w:rFonts w:ascii="Book Antiqua" w:hAnsi="Book Antiqua" w:cs="Book Antiqua"/>
          <w:color w:val="000000"/>
          <w:lang w:eastAsia="zh-CN"/>
        </w:rPr>
      </w:pPr>
      <w:r w:rsidRPr="00696F41">
        <w:rPr>
          <w:rFonts w:ascii="Book Antiqua" w:eastAsia="Book Antiqua" w:hAnsi="Book Antiqua" w:cs="Book Antiqua"/>
          <w:color w:val="000000"/>
        </w:rPr>
        <w:t xml:space="preserve">In terms of safety, epoetin alpha is generally well tolerated. The most frequently reported </w:t>
      </w:r>
      <w:r w:rsidR="002B3A27" w:rsidRPr="00696F41">
        <w:rPr>
          <w:rFonts w:ascii="Book Antiqua" w:eastAsia="Book Antiqua" w:hAnsi="Book Antiqua" w:cs="Book Antiqua"/>
          <w:color w:val="000000"/>
        </w:rPr>
        <w:t>AE</w:t>
      </w:r>
      <w:r w:rsidRPr="00696F41">
        <w:rPr>
          <w:rFonts w:ascii="Book Antiqua" w:eastAsia="Book Antiqua" w:hAnsi="Book Antiqua" w:cs="Book Antiqua"/>
          <w:color w:val="000000"/>
        </w:rPr>
        <w:t>s from studies of epoetin alpha in phase I trials are headache, polycythemia, tiredness, common cold, diarrhea, nausea, stomach pains, chest pressure sensation, back pain, leg pain, and dizziness</w:t>
      </w:r>
      <w:r w:rsidRPr="00696F41">
        <w:rPr>
          <w:rFonts w:ascii="Book Antiqua" w:eastAsia="Book Antiqua" w:hAnsi="Book Antiqua" w:cs="Book Antiqua"/>
          <w:color w:val="000000"/>
          <w:vertAlign w:val="superscript"/>
        </w:rPr>
        <w:t>[37]</w:t>
      </w:r>
      <w:r w:rsidRPr="00696F41">
        <w:rPr>
          <w:rFonts w:ascii="Book Antiqua" w:eastAsia="Book Antiqua" w:hAnsi="Book Antiqua" w:cs="Book Antiqua"/>
          <w:color w:val="000000"/>
        </w:rPr>
        <w:t xml:space="preserve">. In this present study there were 38 </w:t>
      </w:r>
      <w:r w:rsidR="002B3A27" w:rsidRPr="00696F41">
        <w:rPr>
          <w:rFonts w:ascii="Book Antiqua" w:eastAsia="Book Antiqua" w:hAnsi="Book Antiqua" w:cs="Book Antiqua"/>
          <w:color w:val="000000"/>
        </w:rPr>
        <w:t>AE</w:t>
      </w:r>
      <w:r w:rsidRPr="00696F41">
        <w:rPr>
          <w:rFonts w:ascii="Book Antiqua" w:eastAsia="Book Antiqua" w:hAnsi="Book Antiqua" w:cs="Book Antiqua"/>
          <w:color w:val="000000"/>
        </w:rPr>
        <w:t xml:space="preserve">s experienced by </w:t>
      </w:r>
      <w:r w:rsidRPr="00696F41">
        <w:rPr>
          <w:rFonts w:ascii="Book Antiqua" w:eastAsia="Book Antiqua" w:hAnsi="Book Antiqua" w:cs="Book Antiqua"/>
          <w:color w:val="000000"/>
        </w:rPr>
        <w:lastRenderedPageBreak/>
        <w:t>patients exposed to</w:t>
      </w:r>
      <w:r w:rsidR="00FE1940" w:rsidRPr="00696F41">
        <w:rPr>
          <w:rFonts w:ascii="Book Antiqua" w:eastAsia="Book Antiqua" w:hAnsi="Book Antiqua" w:cs="Book Antiqua"/>
          <w:color w:val="000000"/>
        </w:rPr>
        <w:t xml:space="preserve"> Hema-Plus treatment for 12 wk.</w:t>
      </w:r>
      <w:r w:rsidRPr="00696F41">
        <w:rPr>
          <w:rFonts w:ascii="Book Antiqua" w:eastAsia="Book Antiqua" w:hAnsi="Book Antiqua" w:cs="Book Antiqua"/>
          <w:color w:val="000000"/>
        </w:rPr>
        <w:t xml:space="preserve"> The majority of AEs were mild to moderate with 1 AE (volume overload) which was severe in intensity. The highest rate of </w:t>
      </w:r>
      <w:r w:rsidR="002B3A27" w:rsidRPr="00696F41">
        <w:rPr>
          <w:rFonts w:ascii="Book Antiqua" w:eastAsia="Book Antiqua" w:hAnsi="Book Antiqua" w:cs="Book Antiqua"/>
          <w:color w:val="000000"/>
        </w:rPr>
        <w:t>AE</w:t>
      </w:r>
      <w:r w:rsidRPr="00696F41">
        <w:rPr>
          <w:rFonts w:ascii="Book Antiqua" w:eastAsia="Book Antiqua" w:hAnsi="Book Antiqua" w:cs="Book Antiqua"/>
          <w:color w:val="000000"/>
        </w:rPr>
        <w:t xml:space="preserve"> was exit site infection/inflammation, followed by edema, catheter malfunction, pneumonia, hypoglycemia, and hypertensive urgency, respectively. All of the </w:t>
      </w:r>
      <w:r w:rsidR="002B3A27" w:rsidRPr="00696F41">
        <w:rPr>
          <w:rFonts w:ascii="Book Antiqua" w:eastAsia="Book Antiqua" w:hAnsi="Book Antiqua" w:cs="Book Antiqua"/>
          <w:color w:val="000000"/>
        </w:rPr>
        <w:t>AE</w:t>
      </w:r>
      <w:r w:rsidRPr="00696F41">
        <w:rPr>
          <w:rFonts w:ascii="Book Antiqua" w:eastAsia="Book Antiqua" w:hAnsi="Book Antiqua" w:cs="Book Antiqua"/>
          <w:color w:val="000000"/>
        </w:rPr>
        <w:t>s were very unlikely to be related to study drug, except two SAEs (hypertensive urgency) which were deemed to be probably related to Hema-Plus accordin</w:t>
      </w:r>
      <w:r w:rsidR="00FE1940" w:rsidRPr="00696F41">
        <w:rPr>
          <w:rFonts w:ascii="Book Antiqua" w:eastAsia="Book Antiqua" w:hAnsi="Book Antiqua" w:cs="Book Antiqua"/>
          <w:color w:val="000000"/>
        </w:rPr>
        <w:t xml:space="preserve">g to investigators assessment. </w:t>
      </w:r>
      <w:r w:rsidRPr="00696F41">
        <w:rPr>
          <w:rFonts w:ascii="Book Antiqua" w:eastAsia="Book Antiqua" w:hAnsi="Book Antiqua" w:cs="Book Antiqua"/>
          <w:color w:val="000000"/>
        </w:rPr>
        <w:t>A multicenter study</w:t>
      </w:r>
      <w:r w:rsidRPr="00696F41">
        <w:rPr>
          <w:rFonts w:ascii="Book Antiqua" w:eastAsia="Book Antiqua" w:hAnsi="Book Antiqua" w:cs="Book Antiqua"/>
          <w:color w:val="000000"/>
          <w:vertAlign w:val="superscript"/>
        </w:rPr>
        <w:t>[38]</w:t>
      </w:r>
      <w:r w:rsidRPr="00696F41">
        <w:rPr>
          <w:rFonts w:ascii="Book Antiqua" w:eastAsia="Book Antiqua" w:hAnsi="Book Antiqua" w:cs="Book Antiqua"/>
          <w:color w:val="000000"/>
        </w:rPr>
        <w:t xml:space="preserve"> analyzed the effectiveness of administering relatively high doses of rHuEPO subcutaneously in 41 patients CAPD by giving once every week dosing for 8 wk (initial phase) followed by once every 2 wk dosing </w:t>
      </w:r>
      <w:r w:rsidR="00FE1940" w:rsidRPr="00696F41">
        <w:rPr>
          <w:rFonts w:ascii="Book Antiqua" w:eastAsia="Book Antiqua" w:hAnsi="Book Antiqua" w:cs="Book Antiqua"/>
          <w:color w:val="000000"/>
        </w:rPr>
        <w:t xml:space="preserve">for 12 wk (maintenance phase). </w:t>
      </w:r>
      <w:r w:rsidRPr="00696F41">
        <w:rPr>
          <w:rFonts w:ascii="Book Antiqua" w:eastAsia="Book Antiqua" w:hAnsi="Book Antiqua" w:cs="Book Antiqua"/>
          <w:color w:val="000000"/>
        </w:rPr>
        <w:t xml:space="preserve">The highest dose of rHuEPO within the initial 8 wk was 12000 IU once </w:t>
      </w:r>
      <w:r w:rsidRPr="00696F41">
        <w:rPr>
          <w:rFonts w:ascii="Book Antiqua" w:eastAsia="Book Antiqua" w:hAnsi="Book Antiqua" w:cs="Book Antiqua"/>
          <w:i/>
          <w:color w:val="000000"/>
        </w:rPr>
        <w:t>per</w:t>
      </w:r>
      <w:r w:rsidRPr="00696F41">
        <w:rPr>
          <w:rFonts w:ascii="Book Antiqua" w:eastAsia="Book Antiqua" w:hAnsi="Book Antiqua" w:cs="Book Antiqua"/>
          <w:color w:val="000000"/>
        </w:rPr>
        <w:t xml:space="preserve"> week and within the maintenance ph</w:t>
      </w:r>
      <w:r w:rsidR="00FE1940" w:rsidRPr="00696F41">
        <w:rPr>
          <w:rFonts w:ascii="Book Antiqua" w:eastAsia="Book Antiqua" w:hAnsi="Book Antiqua" w:cs="Book Antiqua"/>
          <w:color w:val="000000"/>
        </w:rPr>
        <w:t xml:space="preserve">ase was 12000 IU twice weekly. </w:t>
      </w:r>
      <w:r w:rsidRPr="00696F41">
        <w:rPr>
          <w:rFonts w:ascii="Book Antiqua" w:eastAsia="Book Antiqua" w:hAnsi="Book Antiqua" w:cs="Book Antiqua"/>
          <w:color w:val="000000"/>
        </w:rPr>
        <w:t>The results from this study showed that administration of the relatively high doses of rHuEPO was safe and potentially an effective administration plan for the correction of renal anemia. However, there were 2 patients who developed treatable hypertension with mild headache in the study</w:t>
      </w:r>
      <w:r w:rsidRPr="00696F41">
        <w:rPr>
          <w:rFonts w:ascii="Book Antiqua" w:eastAsia="Book Antiqua" w:hAnsi="Book Antiqua" w:cs="Book Antiqua"/>
          <w:color w:val="000000"/>
          <w:vertAlign w:val="superscript"/>
        </w:rPr>
        <w:t>[38]</w:t>
      </w:r>
      <w:r w:rsidRPr="00696F41">
        <w:rPr>
          <w:rFonts w:ascii="Book Antiqua" w:eastAsia="Book Antiqua" w:hAnsi="Book Antiqua" w:cs="Book Antiqua"/>
          <w:color w:val="000000"/>
        </w:rPr>
        <w:t xml:space="preserve">. Therefore, blood pressure should be closely monitored when patients are receiving high </w:t>
      </w:r>
      <w:r w:rsidR="00FE1940" w:rsidRPr="00696F41">
        <w:rPr>
          <w:rFonts w:ascii="Book Antiqua" w:eastAsia="Book Antiqua" w:hAnsi="Book Antiqua" w:cs="Book Antiqua"/>
          <w:color w:val="000000"/>
        </w:rPr>
        <w:t xml:space="preserve">dose high frequency of rHuEPO. </w:t>
      </w:r>
      <w:r w:rsidRPr="00696F41">
        <w:rPr>
          <w:rFonts w:ascii="Book Antiqua" w:eastAsia="Book Antiqua" w:hAnsi="Book Antiqua" w:cs="Book Antiqua"/>
          <w:color w:val="000000"/>
        </w:rPr>
        <w:t xml:space="preserve">In the present study, there was no </w:t>
      </w:r>
      <w:r w:rsidR="00D366C0" w:rsidRPr="00696F41">
        <w:rPr>
          <w:rFonts w:ascii="Book Antiqua" w:eastAsia="Book Antiqua" w:hAnsi="Book Antiqua" w:cs="Book Antiqua"/>
          <w:color w:val="000000"/>
        </w:rPr>
        <w:t>PRCA</w:t>
      </w:r>
      <w:r w:rsidRPr="00696F41">
        <w:rPr>
          <w:rFonts w:ascii="Book Antiqua" w:eastAsia="Book Antiqua" w:hAnsi="Book Antiqua" w:cs="Book Antiqua"/>
          <w:color w:val="000000"/>
        </w:rPr>
        <w:t xml:space="preserve">, a rare but serious complication related to </w:t>
      </w:r>
      <w:r w:rsidR="00FE1940" w:rsidRPr="00696F41">
        <w:rPr>
          <w:rFonts w:ascii="Book Antiqua" w:hAnsi="Book Antiqua" w:cs="Book Antiqua" w:hint="eastAsia"/>
          <w:color w:val="000000"/>
          <w:lang w:eastAsia="zh-CN"/>
        </w:rPr>
        <w:t>e</w:t>
      </w:r>
      <w:r w:rsidRPr="00696F41">
        <w:rPr>
          <w:rFonts w:ascii="Book Antiqua" w:eastAsia="Book Antiqua" w:hAnsi="Book Antiqua" w:cs="Book Antiqua"/>
          <w:color w:val="000000"/>
        </w:rPr>
        <w:t>poetin</w:t>
      </w:r>
      <w:r w:rsidR="00FE1940" w:rsidRPr="00696F41">
        <w:rPr>
          <w:rFonts w:ascii="Book Antiqua" w:hAnsi="Book Antiqua" w:cs="Book Antiqua" w:hint="eastAsia"/>
          <w:color w:val="000000"/>
          <w:vertAlign w:val="superscript"/>
          <w:lang w:eastAsia="zh-CN"/>
        </w:rPr>
        <w:t>[</w:t>
      </w:r>
      <w:r w:rsidRPr="00696F41">
        <w:rPr>
          <w:rFonts w:ascii="Book Antiqua" w:eastAsia="Book Antiqua" w:hAnsi="Book Antiqua" w:cs="Book Antiqua"/>
          <w:color w:val="000000"/>
          <w:vertAlign w:val="superscript"/>
        </w:rPr>
        <w:t>7,8</w:t>
      </w:r>
      <w:r w:rsidR="00FE1940" w:rsidRPr="00696F41">
        <w:rPr>
          <w:rFonts w:ascii="Book Antiqua" w:hAnsi="Book Antiqua" w:cs="Book Antiqua" w:hint="eastAsia"/>
          <w:color w:val="000000"/>
          <w:vertAlign w:val="superscript"/>
          <w:lang w:eastAsia="zh-CN"/>
        </w:rPr>
        <w:t>]</w:t>
      </w:r>
      <w:r w:rsidR="00FE1940" w:rsidRPr="00696F41">
        <w:rPr>
          <w:rFonts w:ascii="Book Antiqua" w:eastAsia="Book Antiqua" w:hAnsi="Book Antiqua" w:cs="Book Antiqua"/>
          <w:color w:val="000000"/>
        </w:rPr>
        <w:t>, reported during the 12-w</w:t>
      </w:r>
      <w:r w:rsidRPr="00696F41">
        <w:rPr>
          <w:rFonts w:ascii="Book Antiqua" w:eastAsia="Book Antiqua" w:hAnsi="Book Antiqua" w:cs="Book Antiqua"/>
          <w:color w:val="000000"/>
        </w:rPr>
        <w:t>k administration of the study drug.</w:t>
      </w:r>
    </w:p>
    <w:p w14:paraId="4460C62F" w14:textId="77777777" w:rsidR="00FE1940" w:rsidRPr="00696F41" w:rsidRDefault="00FE1940" w:rsidP="00FE1940">
      <w:pPr>
        <w:spacing w:line="360" w:lineRule="auto"/>
        <w:jc w:val="both"/>
        <w:rPr>
          <w:rFonts w:ascii="Book Antiqua" w:hAnsi="Book Antiqua" w:cs="Book Antiqua"/>
          <w:color w:val="000000"/>
          <w:lang w:eastAsia="zh-CN"/>
        </w:rPr>
      </w:pPr>
    </w:p>
    <w:p w14:paraId="4F9FD0AA" w14:textId="77777777" w:rsidR="00A77B3E" w:rsidRPr="00696F41" w:rsidRDefault="00485933" w:rsidP="00FE1940">
      <w:pPr>
        <w:spacing w:line="360" w:lineRule="auto"/>
        <w:jc w:val="both"/>
        <w:rPr>
          <w:rFonts w:ascii="Book Antiqua" w:hAnsi="Book Antiqua"/>
          <w:b/>
          <w:i/>
        </w:rPr>
      </w:pPr>
      <w:r w:rsidRPr="00696F41">
        <w:rPr>
          <w:rFonts w:ascii="Book Antiqua" w:eastAsia="Book Antiqua" w:hAnsi="Book Antiqua" w:cs="Book Antiqua"/>
          <w:b/>
          <w:i/>
          <w:color w:val="000000"/>
        </w:rPr>
        <w:t>Limitations</w:t>
      </w:r>
    </w:p>
    <w:p w14:paraId="4114F08F"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color w:val="000000"/>
        </w:rPr>
        <w:t>Our study had some limi</w:t>
      </w:r>
      <w:r w:rsidR="00FE1940" w:rsidRPr="00696F41">
        <w:rPr>
          <w:rFonts w:ascii="Book Antiqua" w:eastAsia="Book Antiqua" w:hAnsi="Book Antiqua" w:cs="Book Antiqua"/>
          <w:color w:val="000000"/>
        </w:rPr>
        <w:t>tations that require attention.</w:t>
      </w:r>
      <w:r w:rsidRPr="00696F41">
        <w:rPr>
          <w:rFonts w:ascii="Book Antiqua" w:eastAsia="Book Antiqua" w:hAnsi="Book Antiqua" w:cs="Book Antiqua"/>
          <w:color w:val="000000"/>
        </w:rPr>
        <w:t xml:space="preserve"> This study was an open-label single group study which did not directly compare with o</w:t>
      </w:r>
      <w:r w:rsidR="00FE1940" w:rsidRPr="00696F41">
        <w:rPr>
          <w:rFonts w:ascii="Book Antiqua" w:eastAsia="Book Antiqua" w:hAnsi="Book Antiqua" w:cs="Book Antiqua"/>
          <w:color w:val="000000"/>
        </w:rPr>
        <w:t xml:space="preserve">ther epoetin alfa medications. </w:t>
      </w:r>
      <w:r w:rsidRPr="00696F41">
        <w:rPr>
          <w:rFonts w:ascii="Book Antiqua" w:eastAsia="Book Antiqua" w:hAnsi="Book Antiqua" w:cs="Book Antiqua"/>
          <w:color w:val="000000"/>
        </w:rPr>
        <w:t>The study design of this study intended to evaluate efficacy and safety during the correction phase of the study drug, and did no</w:t>
      </w:r>
      <w:r w:rsidR="00FE1940" w:rsidRPr="00696F41">
        <w:rPr>
          <w:rFonts w:ascii="Book Antiqua" w:eastAsia="Book Antiqua" w:hAnsi="Book Antiqua" w:cs="Book Antiqua"/>
          <w:color w:val="000000"/>
        </w:rPr>
        <w:t xml:space="preserve">t include maintenance therapy. </w:t>
      </w:r>
      <w:r w:rsidRPr="00696F41">
        <w:rPr>
          <w:rFonts w:ascii="Book Antiqua" w:eastAsia="Book Antiqua" w:hAnsi="Book Antiqua" w:cs="Book Antiqua"/>
          <w:color w:val="000000"/>
        </w:rPr>
        <w:t xml:space="preserve">The study treatment was 12 wk in which the long-term </w:t>
      </w:r>
      <w:r w:rsidR="00FE1940" w:rsidRPr="00696F41">
        <w:rPr>
          <w:rFonts w:ascii="Book Antiqua" w:eastAsia="Book Antiqua" w:hAnsi="Book Antiqua" w:cs="Book Antiqua"/>
          <w:color w:val="000000"/>
        </w:rPr>
        <w:t xml:space="preserve">safety might not be concluded. </w:t>
      </w:r>
      <w:r w:rsidRPr="00696F41">
        <w:rPr>
          <w:rFonts w:ascii="Book Antiqua" w:eastAsia="Book Antiqua" w:hAnsi="Book Antiqua" w:cs="Book Antiqua"/>
          <w:color w:val="000000"/>
        </w:rPr>
        <w:t xml:space="preserve">In addition, a large numbers of subjects were required to study PRCA event because the PRCA </w:t>
      </w:r>
      <w:r w:rsidRPr="00696F41">
        <w:rPr>
          <w:rFonts w:ascii="Book Antiqua" w:eastAsia="Book Antiqua" w:hAnsi="Book Antiqua" w:cs="Book Antiqua"/>
          <w:color w:val="000000"/>
          <w:shd w:val="clear" w:color="auto" w:fill="FFFFFF"/>
        </w:rPr>
        <w:t>incidence rates were very low</w:t>
      </w:r>
      <w:r w:rsidRPr="00696F41">
        <w:rPr>
          <w:rFonts w:ascii="Book Antiqua" w:eastAsia="Book Antiqua" w:hAnsi="Book Antiqua" w:cs="Book Antiqua"/>
          <w:color w:val="000000"/>
          <w:vertAlign w:val="superscript"/>
        </w:rPr>
        <w:t>[39]</w:t>
      </w:r>
      <w:r w:rsidR="00FE1940" w:rsidRPr="00696F41">
        <w:rPr>
          <w:rFonts w:ascii="Book Antiqua" w:eastAsia="Book Antiqua" w:hAnsi="Book Antiqua" w:cs="Book Antiqua"/>
          <w:color w:val="000000"/>
          <w:shd w:val="clear" w:color="auto" w:fill="FFFFFF"/>
        </w:rPr>
        <w:t>.</w:t>
      </w:r>
      <w:r w:rsidRPr="00696F41">
        <w:rPr>
          <w:rFonts w:ascii="Book Antiqua" w:eastAsia="Book Antiqua" w:hAnsi="Book Antiqua" w:cs="Book Antiqua"/>
          <w:color w:val="000000"/>
          <w:shd w:val="clear" w:color="auto" w:fill="FFFFFF"/>
        </w:rPr>
        <w:t xml:space="preserve"> The longer period study is suggested to determine whether use of </w:t>
      </w:r>
      <w:r w:rsidRPr="00696F41">
        <w:rPr>
          <w:rFonts w:ascii="Book Antiqua" w:eastAsia="Book Antiqua" w:hAnsi="Book Antiqua" w:cs="Book Antiqua"/>
          <w:color w:val="000000"/>
        </w:rPr>
        <w:t xml:space="preserve">Hema-Plus could maintain the </w:t>
      </w:r>
      <w:r w:rsidR="002B3A27" w:rsidRPr="00696F41">
        <w:rPr>
          <w:rFonts w:ascii="Book Antiqua" w:eastAsia="Book Antiqua" w:hAnsi="Book Antiqua" w:cs="Book Antiqua"/>
          <w:color w:val="000000"/>
        </w:rPr>
        <w:t>Hb</w:t>
      </w:r>
      <w:r w:rsidRPr="00696F41">
        <w:rPr>
          <w:rFonts w:ascii="Book Antiqua" w:eastAsia="Book Antiqua" w:hAnsi="Book Antiqua" w:cs="Book Antiqua"/>
          <w:color w:val="000000"/>
        </w:rPr>
        <w:t xml:space="preserve"> level with acceptable safety profile.</w:t>
      </w:r>
    </w:p>
    <w:p w14:paraId="5B5D7FE1" w14:textId="77777777" w:rsidR="00A77B3E" w:rsidRPr="00696F41" w:rsidRDefault="00A77B3E" w:rsidP="00107B1E">
      <w:pPr>
        <w:spacing w:line="360" w:lineRule="auto"/>
        <w:jc w:val="both"/>
        <w:rPr>
          <w:rFonts w:ascii="Book Antiqua" w:hAnsi="Book Antiqua"/>
        </w:rPr>
      </w:pPr>
    </w:p>
    <w:p w14:paraId="2CFFC417"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b/>
          <w:caps/>
          <w:color w:val="000000"/>
          <w:u w:val="single"/>
        </w:rPr>
        <w:lastRenderedPageBreak/>
        <w:t>CONCLUSION</w:t>
      </w:r>
    </w:p>
    <w:p w14:paraId="6B1268AA"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color w:val="000000"/>
        </w:rPr>
        <w:t xml:space="preserve">In conclusion, this study demonstrates that Hema-Plus administered for 12 wk was effective in correcting anemia in CKD patients undergoing </w:t>
      </w:r>
      <w:r w:rsidR="002B3A27" w:rsidRPr="00696F41">
        <w:rPr>
          <w:rFonts w:ascii="Book Antiqua" w:eastAsia="Book Antiqua" w:hAnsi="Book Antiqua" w:cs="Book Antiqua"/>
          <w:color w:val="000000"/>
        </w:rPr>
        <w:t>PD</w:t>
      </w:r>
      <w:r w:rsidRPr="00696F41">
        <w:rPr>
          <w:rFonts w:ascii="Book Antiqua" w:eastAsia="Book Antiqua" w:hAnsi="Book Antiqua" w:cs="Book Antiqua"/>
          <w:color w:val="000000"/>
        </w:rPr>
        <w:t xml:space="preserve"> with significantly improved QoL. The safety profile was acceptable and also looked comparable to epoetin alfa.</w:t>
      </w:r>
    </w:p>
    <w:p w14:paraId="3C463872" w14:textId="77777777" w:rsidR="00A77B3E" w:rsidRPr="00696F41" w:rsidRDefault="00A77B3E" w:rsidP="00107B1E">
      <w:pPr>
        <w:spacing w:line="360" w:lineRule="auto"/>
        <w:jc w:val="both"/>
        <w:rPr>
          <w:rFonts w:ascii="Book Antiqua" w:hAnsi="Book Antiqua"/>
        </w:rPr>
      </w:pPr>
    </w:p>
    <w:p w14:paraId="6CF03C76"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b/>
          <w:caps/>
          <w:color w:val="000000"/>
          <w:u w:val="single"/>
        </w:rPr>
        <w:t>ARTICLE HIGHLIGHTS</w:t>
      </w:r>
    </w:p>
    <w:p w14:paraId="574C6CE8"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b/>
          <w:i/>
          <w:color w:val="000000"/>
        </w:rPr>
        <w:t>Research background</w:t>
      </w:r>
    </w:p>
    <w:p w14:paraId="29FAEBCE" w14:textId="77777777" w:rsidR="00A77B3E" w:rsidRPr="00696F41" w:rsidRDefault="00485933" w:rsidP="00107B1E">
      <w:pPr>
        <w:spacing w:line="360" w:lineRule="auto"/>
        <w:jc w:val="both"/>
        <w:rPr>
          <w:rFonts w:ascii="Book Antiqua" w:hAnsi="Book Antiqua"/>
          <w:lang w:eastAsia="zh-CN"/>
        </w:rPr>
      </w:pPr>
      <w:r w:rsidRPr="00696F41">
        <w:rPr>
          <w:rFonts w:ascii="Book Antiqua" w:eastAsia="Book Antiqua" w:hAnsi="Book Antiqua" w:cs="Book Antiqua"/>
          <w:color w:val="000000"/>
        </w:rPr>
        <w:t>The Hema-Plus is a locally made recombinant human erythropoietin (rHuEPO) that may help Thai people to gain more accessibility to epoetin alfa in Thailand due to lower costs.</w:t>
      </w:r>
    </w:p>
    <w:p w14:paraId="1A350A6A" w14:textId="77777777" w:rsidR="00A77B3E" w:rsidRPr="00696F41" w:rsidRDefault="00A77B3E" w:rsidP="00107B1E">
      <w:pPr>
        <w:spacing w:line="360" w:lineRule="auto"/>
        <w:jc w:val="both"/>
        <w:rPr>
          <w:rFonts w:ascii="Book Antiqua" w:hAnsi="Book Antiqua"/>
        </w:rPr>
      </w:pPr>
    </w:p>
    <w:p w14:paraId="7FDD5068"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b/>
          <w:i/>
          <w:color w:val="000000"/>
        </w:rPr>
        <w:t>Research motivation</w:t>
      </w:r>
    </w:p>
    <w:p w14:paraId="6862A60E"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color w:val="000000"/>
        </w:rPr>
        <w:t>There are no publicly available studies of Hema-Plus in Thai chronic kidney disease (CKD) patients on peritoneal dialysis (PD). The results from this study may be used as an evidence and information for considering to use Hema-Plus, locally made rHuEPO in these patients.</w:t>
      </w:r>
    </w:p>
    <w:p w14:paraId="2B896617" w14:textId="77777777" w:rsidR="00A77B3E" w:rsidRPr="00696F41" w:rsidRDefault="00A77B3E" w:rsidP="00107B1E">
      <w:pPr>
        <w:spacing w:line="360" w:lineRule="auto"/>
        <w:jc w:val="both"/>
        <w:rPr>
          <w:rFonts w:ascii="Book Antiqua" w:hAnsi="Book Antiqua"/>
        </w:rPr>
      </w:pPr>
    </w:p>
    <w:p w14:paraId="511E55A0"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b/>
          <w:i/>
          <w:color w:val="000000"/>
        </w:rPr>
        <w:t>Research objectives</w:t>
      </w:r>
    </w:p>
    <w:p w14:paraId="13C7A9BA"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color w:val="000000"/>
        </w:rPr>
        <w:t>This study aimed to evaluate the efficacy and safety of Hema-Plus for treatment of anemia during correction phase in Thai patients with Stage V CKD on PD.</w:t>
      </w:r>
    </w:p>
    <w:p w14:paraId="6DC70CCC" w14:textId="77777777" w:rsidR="00A77B3E" w:rsidRPr="00696F41" w:rsidRDefault="00A77B3E" w:rsidP="00107B1E">
      <w:pPr>
        <w:spacing w:line="360" w:lineRule="auto"/>
        <w:jc w:val="both"/>
        <w:rPr>
          <w:rFonts w:ascii="Book Antiqua" w:hAnsi="Book Antiqua"/>
        </w:rPr>
      </w:pPr>
    </w:p>
    <w:p w14:paraId="0842F236"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b/>
          <w:i/>
          <w:color w:val="000000"/>
        </w:rPr>
        <w:t>Research methods</w:t>
      </w:r>
    </w:p>
    <w:p w14:paraId="0B52BE16" w14:textId="77777777" w:rsidR="00A77B3E" w:rsidRPr="00696F41" w:rsidRDefault="00485933" w:rsidP="00107B1E">
      <w:pPr>
        <w:spacing w:line="360" w:lineRule="auto"/>
        <w:jc w:val="both"/>
        <w:rPr>
          <w:rFonts w:ascii="Book Antiqua" w:hAnsi="Book Antiqua"/>
          <w:lang w:eastAsia="zh-CN"/>
        </w:rPr>
      </w:pPr>
      <w:r w:rsidRPr="00696F41">
        <w:rPr>
          <w:rFonts w:ascii="Book Antiqua" w:eastAsia="Book Antiqua" w:hAnsi="Book Antiqua" w:cs="Book Antiqua"/>
          <w:color w:val="000000"/>
        </w:rPr>
        <w:t xml:space="preserve">An open-label, multi-center study of Hema-Plus in patients was used to assess the efficacy, </w:t>
      </w:r>
      <w:r w:rsidRPr="00696F41">
        <w:rPr>
          <w:rFonts w:ascii="Book Antiqua" w:eastAsia="Book Antiqua" w:hAnsi="Book Antiqua" w:cs="Book Antiqua"/>
          <w:i/>
          <w:color w:val="000000"/>
        </w:rPr>
        <w:t>i.e.</w:t>
      </w:r>
      <w:r w:rsidRPr="00696F41">
        <w:rPr>
          <w:rFonts w:ascii="Book Antiqua" w:eastAsia="Book Antiqua" w:hAnsi="Book Antiqua" w:cs="Book Antiqua"/>
          <w:color w:val="000000"/>
        </w:rPr>
        <w:t xml:space="preserve">, mean change in </w:t>
      </w:r>
      <w:r w:rsidR="00FE1940" w:rsidRPr="00696F41">
        <w:rPr>
          <w:rFonts w:ascii="Book Antiqua" w:eastAsia="Book Antiqua" w:hAnsi="Book Antiqua" w:cs="Book Antiqua"/>
          <w:color w:val="000000"/>
        </w:rPr>
        <w:t>hemoglobin (Hb)</w:t>
      </w:r>
      <w:r w:rsidRPr="00696F41">
        <w:rPr>
          <w:rFonts w:ascii="Book Antiqua" w:eastAsia="Book Antiqua" w:hAnsi="Book Antiqua" w:cs="Book Antiqua"/>
          <w:color w:val="000000"/>
        </w:rPr>
        <w:t xml:space="preserve"> level from baseline, safety, and changes in </w:t>
      </w:r>
      <w:r w:rsidR="00FE1940" w:rsidRPr="00696F41">
        <w:rPr>
          <w:rFonts w:ascii="Book Antiqua" w:hAnsi="Book Antiqua" w:cs="Book Antiqua" w:hint="eastAsia"/>
          <w:color w:val="000000"/>
          <w:lang w:eastAsia="zh-CN"/>
        </w:rPr>
        <w:t>q</w:t>
      </w:r>
      <w:r w:rsidRPr="00696F41">
        <w:rPr>
          <w:rFonts w:ascii="Book Antiqua" w:eastAsia="Book Antiqua" w:hAnsi="Book Antiqua" w:cs="Book Antiqua"/>
          <w:color w:val="000000"/>
        </w:rPr>
        <w:t xml:space="preserve">uality of </w:t>
      </w:r>
      <w:r w:rsidR="00FE1940" w:rsidRPr="00696F41">
        <w:rPr>
          <w:rFonts w:ascii="Book Antiqua" w:hAnsi="Book Antiqua" w:cs="Book Antiqua" w:hint="eastAsia"/>
          <w:color w:val="000000"/>
          <w:lang w:eastAsia="zh-CN"/>
        </w:rPr>
        <w:t>l</w:t>
      </w:r>
      <w:r w:rsidRPr="00696F41">
        <w:rPr>
          <w:rFonts w:ascii="Book Antiqua" w:eastAsia="Book Antiqua" w:hAnsi="Book Antiqua" w:cs="Book Antiqua"/>
          <w:color w:val="000000"/>
        </w:rPr>
        <w:t>ife (QoL) after receiving the study drug for 12 wk.</w:t>
      </w:r>
    </w:p>
    <w:p w14:paraId="00531BE0" w14:textId="77777777" w:rsidR="00A77B3E" w:rsidRPr="00696F41" w:rsidRDefault="00A77B3E" w:rsidP="00107B1E">
      <w:pPr>
        <w:spacing w:line="360" w:lineRule="auto"/>
        <w:jc w:val="both"/>
        <w:rPr>
          <w:rFonts w:ascii="Book Antiqua" w:hAnsi="Book Antiqua"/>
        </w:rPr>
      </w:pPr>
    </w:p>
    <w:p w14:paraId="0F61179A"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b/>
          <w:i/>
          <w:color w:val="000000"/>
        </w:rPr>
        <w:t>Research results</w:t>
      </w:r>
    </w:p>
    <w:p w14:paraId="1AD31D68" w14:textId="77777777" w:rsidR="00A77B3E" w:rsidRPr="00696F41" w:rsidRDefault="00485933" w:rsidP="00107B1E">
      <w:pPr>
        <w:spacing w:line="360" w:lineRule="auto"/>
        <w:jc w:val="both"/>
        <w:rPr>
          <w:rFonts w:ascii="Book Antiqua" w:hAnsi="Book Antiqua"/>
          <w:lang w:eastAsia="zh-CN"/>
        </w:rPr>
      </w:pPr>
      <w:r w:rsidRPr="00696F41">
        <w:rPr>
          <w:rFonts w:ascii="Book Antiqua" w:eastAsia="Book Antiqua" w:hAnsi="Book Antiqua" w:cs="Book Antiqua"/>
          <w:color w:val="000000"/>
        </w:rPr>
        <w:t>Efficacy analysis comprised 30 patients. At the end of 12 wk-treatment, mean Hb was statistically signifi</w:t>
      </w:r>
      <w:r w:rsidR="00FE1940" w:rsidRPr="00696F41">
        <w:rPr>
          <w:rFonts w:ascii="Book Antiqua" w:eastAsia="Book Antiqua" w:hAnsi="Book Antiqua" w:cs="Book Antiqua"/>
          <w:color w:val="000000"/>
        </w:rPr>
        <w:t>cantly increased from baseline.</w:t>
      </w:r>
      <w:r w:rsidRPr="00696F41">
        <w:rPr>
          <w:rFonts w:ascii="Book Antiqua" w:eastAsia="Book Antiqua" w:hAnsi="Book Antiqua" w:cs="Book Antiqua"/>
          <w:color w:val="000000"/>
        </w:rPr>
        <w:t xml:space="preserve"> Two hypertensive urgency events were </w:t>
      </w:r>
      <w:r w:rsidRPr="00696F41">
        <w:rPr>
          <w:rFonts w:ascii="Book Antiqua" w:eastAsia="Book Antiqua" w:hAnsi="Book Antiqua" w:cs="Book Antiqua"/>
          <w:color w:val="000000"/>
        </w:rPr>
        <w:lastRenderedPageBreak/>
        <w:t>observed probabl</w:t>
      </w:r>
      <w:r w:rsidR="00FE1940" w:rsidRPr="00696F41">
        <w:rPr>
          <w:rFonts w:ascii="Book Antiqua" w:eastAsia="Book Antiqua" w:hAnsi="Book Antiqua" w:cs="Book Antiqua"/>
          <w:color w:val="000000"/>
        </w:rPr>
        <w:t xml:space="preserve">y related to study medication. </w:t>
      </w:r>
      <w:r w:rsidRPr="00696F41">
        <w:rPr>
          <w:rFonts w:ascii="Book Antiqua" w:eastAsia="Book Antiqua" w:hAnsi="Book Antiqua" w:cs="Book Antiqua"/>
          <w:color w:val="000000"/>
        </w:rPr>
        <w:t>QoL scores were significantly increased from baseline.</w:t>
      </w:r>
    </w:p>
    <w:p w14:paraId="301BD1F1" w14:textId="77777777" w:rsidR="00A77B3E" w:rsidRPr="00696F41" w:rsidRDefault="00A77B3E" w:rsidP="00107B1E">
      <w:pPr>
        <w:spacing w:line="360" w:lineRule="auto"/>
        <w:jc w:val="both"/>
        <w:rPr>
          <w:rFonts w:ascii="Book Antiqua" w:hAnsi="Book Antiqua"/>
        </w:rPr>
      </w:pPr>
    </w:p>
    <w:p w14:paraId="3651C838"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b/>
          <w:i/>
          <w:color w:val="000000"/>
        </w:rPr>
        <w:t>Research conclusions</w:t>
      </w:r>
    </w:p>
    <w:p w14:paraId="7A7AD2A0"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color w:val="000000"/>
        </w:rPr>
        <w:t>Hema-Plus administered for 12 wk for treatment of anemia in CKD patients on PD effectively could increase Hb levels, and QoL with acceptable safety profile.</w:t>
      </w:r>
    </w:p>
    <w:p w14:paraId="54EF2C80" w14:textId="77777777" w:rsidR="00A77B3E" w:rsidRPr="00696F41" w:rsidRDefault="00A77B3E" w:rsidP="00107B1E">
      <w:pPr>
        <w:spacing w:line="360" w:lineRule="auto"/>
        <w:jc w:val="both"/>
        <w:rPr>
          <w:rFonts w:ascii="Book Antiqua" w:hAnsi="Book Antiqua"/>
        </w:rPr>
      </w:pPr>
    </w:p>
    <w:p w14:paraId="768B0563"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b/>
          <w:i/>
          <w:color w:val="000000"/>
        </w:rPr>
        <w:t>Research perspectives</w:t>
      </w:r>
    </w:p>
    <w:p w14:paraId="4E5A8D77"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color w:val="000000"/>
        </w:rPr>
        <w:t>This study results could be used as an evidence for efficacy and safety information of the locally made rHuEPO, Hema-Pl</w:t>
      </w:r>
      <w:r w:rsidR="00FE1940" w:rsidRPr="00696F41">
        <w:rPr>
          <w:rFonts w:ascii="Book Antiqua" w:eastAsia="Book Antiqua" w:hAnsi="Book Antiqua" w:cs="Book Antiqua"/>
          <w:color w:val="000000"/>
        </w:rPr>
        <w:t>us for anemia correction phase.</w:t>
      </w:r>
      <w:r w:rsidRPr="00696F41">
        <w:rPr>
          <w:rFonts w:ascii="Book Antiqua" w:eastAsia="Book Antiqua" w:hAnsi="Book Antiqua" w:cs="Book Antiqua"/>
          <w:color w:val="000000"/>
        </w:rPr>
        <w:t xml:space="preserve"> Longer study duration is suggested to ensure long-term safety and efficacy.</w:t>
      </w:r>
    </w:p>
    <w:p w14:paraId="02F1FAA8" w14:textId="77777777" w:rsidR="00A77B3E" w:rsidRPr="00696F41" w:rsidRDefault="00A77B3E" w:rsidP="00107B1E">
      <w:pPr>
        <w:spacing w:line="360" w:lineRule="auto"/>
        <w:jc w:val="both"/>
        <w:rPr>
          <w:rFonts w:ascii="Book Antiqua" w:hAnsi="Book Antiqua"/>
        </w:rPr>
      </w:pPr>
    </w:p>
    <w:p w14:paraId="1829AC24"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b/>
          <w:caps/>
          <w:color w:val="000000"/>
          <w:u w:val="single"/>
        </w:rPr>
        <w:t>ACKNOWLEDGEMENTS</w:t>
      </w:r>
    </w:p>
    <w:p w14:paraId="11BDA1E6"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color w:val="000000"/>
        </w:rPr>
        <w:t>Thanks to Mr. Stephen Pinder a medical-English specialist for English proofreading of this manuscript. We are also graceful to Siriraj Hospital, Mahidol University for permission to use the validated KDQOL-36 in Thai Kidney Disease Patient Questionnaire in this study.</w:t>
      </w:r>
    </w:p>
    <w:p w14:paraId="32F89D3E" w14:textId="77777777" w:rsidR="00A77B3E" w:rsidRPr="00696F41" w:rsidRDefault="00A77B3E" w:rsidP="00107B1E">
      <w:pPr>
        <w:spacing w:line="360" w:lineRule="auto"/>
        <w:jc w:val="both"/>
        <w:rPr>
          <w:rFonts w:ascii="Book Antiqua" w:hAnsi="Book Antiqua"/>
        </w:rPr>
      </w:pPr>
    </w:p>
    <w:p w14:paraId="06B51F34"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b/>
          <w:color w:val="000000"/>
        </w:rPr>
        <w:t>REFERENCES</w:t>
      </w:r>
    </w:p>
    <w:p w14:paraId="6D7AD2E6" w14:textId="77777777" w:rsidR="00107B1E" w:rsidRPr="00696F41" w:rsidRDefault="00107B1E" w:rsidP="00107B1E">
      <w:pPr>
        <w:spacing w:line="360" w:lineRule="auto"/>
        <w:jc w:val="both"/>
        <w:rPr>
          <w:rFonts w:ascii="Book Antiqua" w:hAnsi="Book Antiqua"/>
        </w:rPr>
      </w:pPr>
      <w:r w:rsidRPr="00696F41">
        <w:rPr>
          <w:rFonts w:ascii="Book Antiqua" w:hAnsi="Book Antiqua"/>
        </w:rPr>
        <w:t xml:space="preserve">1 </w:t>
      </w:r>
      <w:r w:rsidRPr="00696F41">
        <w:rPr>
          <w:rFonts w:ascii="Book Antiqua" w:hAnsi="Book Antiqua"/>
          <w:b/>
          <w:bCs/>
        </w:rPr>
        <w:t>Locatelli F</w:t>
      </w:r>
      <w:r w:rsidRPr="00696F41">
        <w:rPr>
          <w:rFonts w:ascii="Book Antiqua" w:hAnsi="Book Antiqua"/>
        </w:rPr>
        <w:t xml:space="preserve">, Del Vecchio L. Optimizing the management of renal anemia: challenges and new opportunities. </w:t>
      </w:r>
      <w:r w:rsidRPr="00696F41">
        <w:rPr>
          <w:rFonts w:ascii="Book Antiqua" w:hAnsi="Book Antiqua"/>
          <w:i/>
          <w:iCs/>
        </w:rPr>
        <w:t>Kidney Int Suppl</w:t>
      </w:r>
      <w:r w:rsidRPr="00696F41">
        <w:rPr>
          <w:rFonts w:ascii="Book Antiqua" w:hAnsi="Book Antiqua"/>
        </w:rPr>
        <w:t xml:space="preserve"> 2008: S33-S37 [PMID: 19034323 DOI: 10.1038/ki.2008.525]</w:t>
      </w:r>
    </w:p>
    <w:p w14:paraId="1BF9A690" w14:textId="77777777" w:rsidR="00107B1E" w:rsidRPr="00696F41" w:rsidRDefault="00107B1E" w:rsidP="00107B1E">
      <w:pPr>
        <w:spacing w:line="360" w:lineRule="auto"/>
        <w:jc w:val="both"/>
        <w:rPr>
          <w:rFonts w:ascii="Book Antiqua" w:hAnsi="Book Antiqua"/>
        </w:rPr>
      </w:pPr>
      <w:r w:rsidRPr="00696F41">
        <w:rPr>
          <w:rFonts w:ascii="Book Antiqua" w:hAnsi="Book Antiqua"/>
        </w:rPr>
        <w:t xml:space="preserve">2 </w:t>
      </w:r>
      <w:r w:rsidRPr="00696F41">
        <w:rPr>
          <w:rFonts w:ascii="Book Antiqua" w:hAnsi="Book Antiqua"/>
          <w:b/>
          <w:bCs/>
        </w:rPr>
        <w:t>Segal GM</w:t>
      </w:r>
      <w:r w:rsidRPr="00696F41">
        <w:rPr>
          <w:rFonts w:ascii="Book Antiqua" w:hAnsi="Book Antiqua"/>
        </w:rPr>
        <w:t xml:space="preserve">, Eschbach JW, Egrie JC, Stueve T, Adamson JW. The anemia of end-stage renal disease: hematopoietic progenitor cell response. </w:t>
      </w:r>
      <w:r w:rsidRPr="00696F41">
        <w:rPr>
          <w:rFonts w:ascii="Book Antiqua" w:hAnsi="Book Antiqua"/>
          <w:i/>
          <w:iCs/>
        </w:rPr>
        <w:t>Kidney Int</w:t>
      </w:r>
      <w:r w:rsidRPr="00696F41">
        <w:rPr>
          <w:rFonts w:ascii="Book Antiqua" w:hAnsi="Book Antiqua"/>
        </w:rPr>
        <w:t xml:space="preserve"> 1988; </w:t>
      </w:r>
      <w:r w:rsidRPr="00696F41">
        <w:rPr>
          <w:rFonts w:ascii="Book Antiqua" w:hAnsi="Book Antiqua"/>
          <w:b/>
          <w:bCs/>
        </w:rPr>
        <w:t>33</w:t>
      </w:r>
      <w:r w:rsidRPr="00696F41">
        <w:rPr>
          <w:rFonts w:ascii="Book Antiqua" w:hAnsi="Book Antiqua"/>
        </w:rPr>
        <w:t>: 983-988 [PMID: 3392887 DOI: 10.1038/ki.1988.97]</w:t>
      </w:r>
    </w:p>
    <w:p w14:paraId="53779018" w14:textId="77777777" w:rsidR="00107B1E" w:rsidRPr="00696F41" w:rsidRDefault="00107B1E" w:rsidP="00107B1E">
      <w:pPr>
        <w:spacing w:line="360" w:lineRule="auto"/>
        <w:jc w:val="both"/>
        <w:rPr>
          <w:rFonts w:ascii="Book Antiqua" w:hAnsi="Book Antiqua"/>
        </w:rPr>
      </w:pPr>
      <w:r w:rsidRPr="00696F41">
        <w:rPr>
          <w:rFonts w:ascii="Book Antiqua" w:hAnsi="Book Antiqua"/>
        </w:rPr>
        <w:t xml:space="preserve">3 </w:t>
      </w:r>
      <w:r w:rsidRPr="00696F41">
        <w:rPr>
          <w:rFonts w:ascii="Book Antiqua" w:hAnsi="Book Antiqua"/>
          <w:b/>
        </w:rPr>
        <w:t>Mara NB.</w:t>
      </w:r>
      <w:r w:rsidRPr="00696F41">
        <w:rPr>
          <w:rFonts w:ascii="Book Antiqua" w:hAnsi="Book Antiqua"/>
        </w:rPr>
        <w:t xml:space="preserve"> Anemia in Patients With Chronic Kidney Disease. </w:t>
      </w:r>
      <w:r w:rsidRPr="00696F41">
        <w:rPr>
          <w:rFonts w:ascii="Book Antiqua" w:hAnsi="Book Antiqua"/>
          <w:i/>
        </w:rPr>
        <w:t>Dia Spec</w:t>
      </w:r>
      <w:r w:rsidRPr="00696F41">
        <w:rPr>
          <w:rFonts w:ascii="Book Antiqua" w:hAnsi="Book Antiqua"/>
        </w:rPr>
        <w:t xml:space="preserve"> 2008</w:t>
      </w:r>
      <w:r w:rsidR="0098561A" w:rsidRPr="00696F41">
        <w:rPr>
          <w:rFonts w:ascii="Book Antiqua" w:hAnsi="Book Antiqua" w:hint="eastAsia"/>
          <w:lang w:eastAsia="zh-CN"/>
        </w:rPr>
        <w:t>;</w:t>
      </w:r>
      <w:r w:rsidRPr="00696F41">
        <w:rPr>
          <w:rFonts w:ascii="Book Antiqua" w:hAnsi="Book Antiqua"/>
        </w:rPr>
        <w:t xml:space="preserve"> 12 [DOI:</w:t>
      </w:r>
      <w:r w:rsidR="0098561A" w:rsidRPr="00696F41">
        <w:rPr>
          <w:rFonts w:ascii="Book Antiqua" w:hAnsi="Book Antiqua" w:hint="eastAsia"/>
          <w:lang w:eastAsia="zh-CN"/>
        </w:rPr>
        <w:t xml:space="preserve"> </w:t>
      </w:r>
      <w:r w:rsidRPr="00696F41">
        <w:rPr>
          <w:rFonts w:ascii="Book Antiqua" w:hAnsi="Book Antiqua"/>
        </w:rPr>
        <w:t>10.2337/diaspect.21.1.12]</w:t>
      </w:r>
    </w:p>
    <w:p w14:paraId="2CDFC1E3" w14:textId="77777777" w:rsidR="00107B1E" w:rsidRPr="00696F41" w:rsidRDefault="00107B1E" w:rsidP="00107B1E">
      <w:pPr>
        <w:spacing w:line="360" w:lineRule="auto"/>
        <w:jc w:val="both"/>
        <w:rPr>
          <w:rFonts w:ascii="Book Antiqua" w:hAnsi="Book Antiqua"/>
        </w:rPr>
      </w:pPr>
      <w:r w:rsidRPr="00696F41">
        <w:rPr>
          <w:rFonts w:ascii="Book Antiqua" w:hAnsi="Book Antiqua"/>
        </w:rPr>
        <w:t xml:space="preserve">4 </w:t>
      </w:r>
      <w:r w:rsidRPr="00696F41">
        <w:rPr>
          <w:rFonts w:ascii="Book Antiqua" w:hAnsi="Book Antiqua"/>
          <w:b/>
          <w:bCs/>
        </w:rPr>
        <w:t>Lankhorst CE</w:t>
      </w:r>
      <w:r w:rsidRPr="00696F41">
        <w:rPr>
          <w:rFonts w:ascii="Book Antiqua" w:hAnsi="Book Antiqua"/>
        </w:rPr>
        <w:t xml:space="preserve">, Wish JB. Anemia in renal disease: diagnosis and management. </w:t>
      </w:r>
      <w:r w:rsidRPr="00696F41">
        <w:rPr>
          <w:rFonts w:ascii="Book Antiqua" w:hAnsi="Book Antiqua"/>
          <w:i/>
          <w:iCs/>
        </w:rPr>
        <w:t>Blood Rev</w:t>
      </w:r>
      <w:r w:rsidRPr="00696F41">
        <w:rPr>
          <w:rFonts w:ascii="Book Antiqua" w:hAnsi="Book Antiqua"/>
        </w:rPr>
        <w:t xml:space="preserve"> 2010; </w:t>
      </w:r>
      <w:r w:rsidRPr="00696F41">
        <w:rPr>
          <w:rFonts w:ascii="Book Antiqua" w:hAnsi="Book Antiqua"/>
          <w:b/>
          <w:bCs/>
        </w:rPr>
        <w:t>24</w:t>
      </w:r>
      <w:r w:rsidRPr="00696F41">
        <w:rPr>
          <w:rFonts w:ascii="Book Antiqua" w:hAnsi="Book Antiqua"/>
        </w:rPr>
        <w:t>: 39-47 [PMID: 19833421 DOI: 10.1016/j.blre.2009.09.001]</w:t>
      </w:r>
    </w:p>
    <w:p w14:paraId="1F1DDACA" w14:textId="77777777" w:rsidR="00107B1E" w:rsidRPr="00696F41" w:rsidRDefault="00107B1E" w:rsidP="00107B1E">
      <w:pPr>
        <w:spacing w:line="360" w:lineRule="auto"/>
        <w:jc w:val="both"/>
        <w:rPr>
          <w:rFonts w:ascii="Book Antiqua" w:hAnsi="Book Antiqua"/>
        </w:rPr>
      </w:pPr>
      <w:r w:rsidRPr="00696F41">
        <w:rPr>
          <w:rFonts w:ascii="Book Antiqua" w:hAnsi="Book Antiqua"/>
        </w:rPr>
        <w:lastRenderedPageBreak/>
        <w:t xml:space="preserve">5 </w:t>
      </w:r>
      <w:r w:rsidRPr="00696F41">
        <w:rPr>
          <w:rFonts w:ascii="Book Antiqua" w:hAnsi="Book Antiqua"/>
          <w:b/>
          <w:bCs/>
        </w:rPr>
        <w:t>Evans RW</w:t>
      </w:r>
      <w:r w:rsidRPr="00696F41">
        <w:rPr>
          <w:rFonts w:ascii="Book Antiqua" w:hAnsi="Book Antiqua"/>
        </w:rPr>
        <w:t xml:space="preserve">, Rader B, Manninen DL. The quality of life of hemodialysis recipients treated with recombinant human erythropoietin. Cooperative Multicenter EPO Clinical Trial Group. </w:t>
      </w:r>
      <w:r w:rsidRPr="00696F41">
        <w:rPr>
          <w:rFonts w:ascii="Book Antiqua" w:hAnsi="Book Antiqua"/>
          <w:i/>
          <w:iCs/>
        </w:rPr>
        <w:t>JAMA</w:t>
      </w:r>
      <w:r w:rsidRPr="00696F41">
        <w:rPr>
          <w:rFonts w:ascii="Book Antiqua" w:hAnsi="Book Antiqua"/>
        </w:rPr>
        <w:t xml:space="preserve"> 1990; </w:t>
      </w:r>
      <w:r w:rsidRPr="00696F41">
        <w:rPr>
          <w:rFonts w:ascii="Book Antiqua" w:hAnsi="Book Antiqua"/>
          <w:b/>
          <w:bCs/>
        </w:rPr>
        <w:t>263</w:t>
      </w:r>
      <w:r w:rsidRPr="00696F41">
        <w:rPr>
          <w:rFonts w:ascii="Book Antiqua" w:hAnsi="Book Antiqua"/>
        </w:rPr>
        <w:t>: 825-830 [PMID: 2404150]</w:t>
      </w:r>
    </w:p>
    <w:p w14:paraId="575F2922" w14:textId="77777777" w:rsidR="00107B1E" w:rsidRPr="00696F41" w:rsidRDefault="00107B1E" w:rsidP="00107B1E">
      <w:pPr>
        <w:spacing w:line="360" w:lineRule="auto"/>
        <w:jc w:val="both"/>
        <w:rPr>
          <w:rFonts w:ascii="Book Antiqua" w:hAnsi="Book Antiqua"/>
        </w:rPr>
      </w:pPr>
      <w:r w:rsidRPr="00696F41">
        <w:rPr>
          <w:rFonts w:ascii="Book Antiqua" w:hAnsi="Book Antiqua"/>
        </w:rPr>
        <w:t xml:space="preserve">6 </w:t>
      </w:r>
      <w:r w:rsidRPr="00696F41">
        <w:rPr>
          <w:rFonts w:ascii="Book Antiqua" w:hAnsi="Book Antiqua"/>
          <w:b/>
          <w:bCs/>
        </w:rPr>
        <w:t>Potasman I</w:t>
      </w:r>
      <w:r w:rsidRPr="00696F41">
        <w:rPr>
          <w:rFonts w:ascii="Book Antiqua" w:hAnsi="Book Antiqua"/>
        </w:rPr>
        <w:t xml:space="preserve">, Better OS. The role of secondary hyperparathyroidism in the anemia of chronic renal failure. </w:t>
      </w:r>
      <w:r w:rsidRPr="00696F41">
        <w:rPr>
          <w:rFonts w:ascii="Book Antiqua" w:hAnsi="Book Antiqua"/>
          <w:i/>
          <w:iCs/>
        </w:rPr>
        <w:t>Nephron</w:t>
      </w:r>
      <w:r w:rsidRPr="00696F41">
        <w:rPr>
          <w:rFonts w:ascii="Book Antiqua" w:hAnsi="Book Antiqua"/>
        </w:rPr>
        <w:t xml:space="preserve"> 1983; </w:t>
      </w:r>
      <w:r w:rsidRPr="00696F41">
        <w:rPr>
          <w:rFonts w:ascii="Book Antiqua" w:hAnsi="Book Antiqua"/>
          <w:b/>
          <w:bCs/>
        </w:rPr>
        <w:t>33</w:t>
      </w:r>
      <w:r w:rsidRPr="00696F41">
        <w:rPr>
          <w:rFonts w:ascii="Book Antiqua" w:hAnsi="Book Antiqua"/>
        </w:rPr>
        <w:t>: 229-231 [PMID: 6843752 DOI: 10.1159/000182958]</w:t>
      </w:r>
    </w:p>
    <w:p w14:paraId="78B9EE91" w14:textId="77777777" w:rsidR="00107B1E" w:rsidRPr="00696F41" w:rsidRDefault="00107B1E" w:rsidP="00107B1E">
      <w:pPr>
        <w:spacing w:line="360" w:lineRule="auto"/>
        <w:jc w:val="both"/>
        <w:rPr>
          <w:rFonts w:ascii="Book Antiqua" w:hAnsi="Book Antiqua"/>
        </w:rPr>
      </w:pPr>
      <w:r w:rsidRPr="00696F41">
        <w:rPr>
          <w:rFonts w:ascii="Book Antiqua" w:hAnsi="Book Antiqua"/>
        </w:rPr>
        <w:t xml:space="preserve">7 </w:t>
      </w:r>
      <w:r w:rsidRPr="00696F41">
        <w:rPr>
          <w:rFonts w:ascii="Book Antiqua" w:hAnsi="Book Antiqua"/>
          <w:b/>
          <w:bCs/>
        </w:rPr>
        <w:t>Locatelli F</w:t>
      </w:r>
      <w:r w:rsidRPr="00696F41">
        <w:rPr>
          <w:rFonts w:ascii="Book Antiqua" w:hAnsi="Book Antiqua"/>
        </w:rPr>
        <w:t xml:space="preserve">, Aljama P, Bárány P, Canaud B, Carrera F, Eckardt KU, Hörl WH, Macdougal IC, Macleod A, Wiecek A, Cameron S; European Best Practice Guidelines Working Group. Revised European best practice guidelines for the management of anaemia in patients with chronic renal failure. </w:t>
      </w:r>
      <w:r w:rsidRPr="00696F41">
        <w:rPr>
          <w:rFonts w:ascii="Book Antiqua" w:hAnsi="Book Antiqua"/>
          <w:i/>
          <w:iCs/>
        </w:rPr>
        <w:t>Nephrol Dial Transplant</w:t>
      </w:r>
      <w:r w:rsidRPr="00696F41">
        <w:rPr>
          <w:rFonts w:ascii="Book Antiqua" w:hAnsi="Book Antiqua"/>
        </w:rPr>
        <w:t xml:space="preserve"> 2004; </w:t>
      </w:r>
      <w:r w:rsidRPr="00696F41">
        <w:rPr>
          <w:rFonts w:ascii="Book Antiqua" w:hAnsi="Book Antiqua"/>
          <w:b/>
          <w:bCs/>
        </w:rPr>
        <w:t>19 Suppl 2</w:t>
      </w:r>
      <w:r w:rsidRPr="00696F41">
        <w:rPr>
          <w:rFonts w:ascii="Book Antiqua" w:hAnsi="Book Antiqua"/>
        </w:rPr>
        <w:t>: ii1-i47 [PMID: 15206425 DOI: 10.1093/ndt/gfh1032]</w:t>
      </w:r>
    </w:p>
    <w:p w14:paraId="10021C20" w14:textId="77777777" w:rsidR="00107B1E" w:rsidRPr="00696F41" w:rsidRDefault="00107B1E" w:rsidP="00107B1E">
      <w:pPr>
        <w:spacing w:line="360" w:lineRule="auto"/>
        <w:jc w:val="both"/>
        <w:rPr>
          <w:rFonts w:ascii="Book Antiqua" w:hAnsi="Book Antiqua"/>
        </w:rPr>
      </w:pPr>
      <w:r w:rsidRPr="00696F41">
        <w:rPr>
          <w:rFonts w:ascii="Book Antiqua" w:hAnsi="Book Antiqua"/>
        </w:rPr>
        <w:t xml:space="preserve">8 </w:t>
      </w:r>
      <w:r w:rsidRPr="00696F41">
        <w:rPr>
          <w:rFonts w:ascii="Book Antiqua" w:hAnsi="Book Antiqua"/>
          <w:b/>
          <w:bCs/>
        </w:rPr>
        <w:t>Perlman RL</w:t>
      </w:r>
      <w:r w:rsidRPr="00696F41">
        <w:rPr>
          <w:rFonts w:ascii="Book Antiqua" w:hAnsi="Book Antiqua"/>
        </w:rPr>
        <w:t xml:space="preserve">, Finkelstein FO, Liu L, Roys E, Kiser M, Eisele G, Burrows-Hudson S, Messana JM, Levin N, Rajagopalan S, Port FK, Wolfe RA, Saran R. Quality of life in chronic kidney disease (CKD): a cross-sectional analysis in the Renal Research Institute-CKD study. </w:t>
      </w:r>
      <w:r w:rsidRPr="00696F41">
        <w:rPr>
          <w:rFonts w:ascii="Book Antiqua" w:hAnsi="Book Antiqua"/>
          <w:i/>
          <w:iCs/>
        </w:rPr>
        <w:t>Am J Kidney Dis</w:t>
      </w:r>
      <w:r w:rsidRPr="00696F41">
        <w:rPr>
          <w:rFonts w:ascii="Book Antiqua" w:hAnsi="Book Antiqua"/>
        </w:rPr>
        <w:t xml:space="preserve"> 2005; </w:t>
      </w:r>
      <w:r w:rsidRPr="00696F41">
        <w:rPr>
          <w:rFonts w:ascii="Book Antiqua" w:hAnsi="Book Antiqua"/>
          <w:b/>
          <w:bCs/>
        </w:rPr>
        <w:t>45</w:t>
      </w:r>
      <w:r w:rsidRPr="00696F41">
        <w:rPr>
          <w:rFonts w:ascii="Book Antiqua" w:hAnsi="Book Antiqua"/>
        </w:rPr>
        <w:t>: 658-666 [PMID: 15806468 DOI: 10.1053/j.ajkd.2004.12.021]</w:t>
      </w:r>
    </w:p>
    <w:p w14:paraId="3BFDBD62" w14:textId="77777777" w:rsidR="00107B1E" w:rsidRPr="00696F41" w:rsidRDefault="00107B1E" w:rsidP="00107B1E">
      <w:pPr>
        <w:spacing w:line="360" w:lineRule="auto"/>
        <w:jc w:val="both"/>
        <w:rPr>
          <w:rFonts w:ascii="Book Antiqua" w:hAnsi="Book Antiqua"/>
          <w:lang w:eastAsia="zh-CN"/>
        </w:rPr>
      </w:pPr>
      <w:r w:rsidRPr="00696F41">
        <w:rPr>
          <w:rFonts w:ascii="Book Antiqua" w:hAnsi="Book Antiqua"/>
        </w:rPr>
        <w:t xml:space="preserve">9 </w:t>
      </w:r>
      <w:r w:rsidR="0098561A" w:rsidRPr="00696F41">
        <w:rPr>
          <w:rFonts w:ascii="Book Antiqua" w:hAnsi="Book Antiqua" w:hint="eastAsia"/>
          <w:b/>
          <w:bCs/>
          <w:lang w:eastAsia="zh-CN"/>
        </w:rPr>
        <w:t>Taylor and Francis Group</w:t>
      </w:r>
      <w:r w:rsidRPr="00696F41">
        <w:rPr>
          <w:rFonts w:ascii="Book Antiqua" w:hAnsi="Book Antiqua"/>
        </w:rPr>
        <w:t>. Hema-Plus 2000 IU, 4000 IU, 10000 IU Package Insert 2011. [</w:t>
      </w:r>
      <w:r w:rsidR="0098561A" w:rsidRPr="00696F41">
        <w:rPr>
          <w:rFonts w:ascii="Book Antiqua" w:hAnsi="Book Antiqua" w:hint="eastAsia"/>
          <w:lang w:eastAsia="zh-CN"/>
        </w:rPr>
        <w:t>cited 10 April 2021</w:t>
      </w:r>
      <w:r w:rsidR="0098561A" w:rsidRPr="00696F41">
        <w:rPr>
          <w:rFonts w:ascii="Book Antiqua" w:hAnsi="Book Antiqua" w:hint="eastAsia"/>
        </w:rPr>
        <w:t>]</w:t>
      </w:r>
      <w:r w:rsidR="0098561A" w:rsidRPr="00696F41">
        <w:rPr>
          <w:rFonts w:ascii="Book Antiqua" w:hAnsi="Book Antiqua" w:hint="eastAsia"/>
          <w:lang w:eastAsia="zh-CN"/>
        </w:rPr>
        <w:t xml:space="preserve">. Available from: </w:t>
      </w:r>
      <w:r w:rsidR="0098561A" w:rsidRPr="00696F41">
        <w:rPr>
          <w:rFonts w:ascii="Book Antiqua" w:hAnsi="Book Antiqua"/>
        </w:rPr>
        <w:t>https://www.taylorfrancis.com/chapters/mono/10.1201/9781482295467-17/iu-iu-andrew-peacock</w:t>
      </w:r>
    </w:p>
    <w:p w14:paraId="10573691" w14:textId="77777777" w:rsidR="00107B1E" w:rsidRPr="00696F41" w:rsidRDefault="00107B1E" w:rsidP="00107B1E">
      <w:pPr>
        <w:spacing w:line="360" w:lineRule="auto"/>
        <w:jc w:val="both"/>
        <w:rPr>
          <w:rFonts w:ascii="Book Antiqua" w:hAnsi="Book Antiqua"/>
        </w:rPr>
      </w:pPr>
      <w:r w:rsidRPr="00696F41">
        <w:rPr>
          <w:rFonts w:ascii="Book Antiqua" w:hAnsi="Book Antiqua"/>
        </w:rPr>
        <w:t xml:space="preserve">10 </w:t>
      </w:r>
      <w:r w:rsidRPr="00696F41">
        <w:rPr>
          <w:rFonts w:ascii="Book Antiqua" w:hAnsi="Book Antiqua"/>
          <w:b/>
          <w:bCs/>
        </w:rPr>
        <w:t>Johnson DW,</w:t>
      </w:r>
      <w:r w:rsidRPr="00696F41">
        <w:rPr>
          <w:rFonts w:ascii="Book Antiqua" w:hAnsi="Book Antiqua"/>
        </w:rPr>
        <w:t xml:space="preserve"> Pollock CA, Macdougall IC. Erythropoiesis-stimulating agent hyporesponsiveness. </w:t>
      </w:r>
      <w:r w:rsidRPr="00696F41">
        <w:rPr>
          <w:rFonts w:ascii="Book Antiqua" w:hAnsi="Book Antiqua"/>
          <w:i/>
        </w:rPr>
        <w:t>Nephrology</w:t>
      </w:r>
      <w:r w:rsidRPr="00696F41">
        <w:rPr>
          <w:rFonts w:ascii="Book Antiqua" w:hAnsi="Book Antiqua"/>
        </w:rPr>
        <w:t xml:space="preserve"> 2007</w:t>
      </w:r>
      <w:r w:rsidR="0098561A" w:rsidRPr="00696F41">
        <w:rPr>
          <w:rFonts w:ascii="Book Antiqua" w:hAnsi="Book Antiqua" w:hint="eastAsia"/>
          <w:lang w:eastAsia="zh-CN"/>
        </w:rPr>
        <w:t>;</w:t>
      </w:r>
      <w:r w:rsidRPr="00696F41">
        <w:rPr>
          <w:rFonts w:ascii="Book Antiqua" w:hAnsi="Book Antiqua"/>
        </w:rPr>
        <w:t xml:space="preserve"> 321 [DOI:</w:t>
      </w:r>
      <w:r w:rsidR="0098561A" w:rsidRPr="00696F41">
        <w:rPr>
          <w:rFonts w:ascii="Book Antiqua" w:hAnsi="Book Antiqua" w:hint="eastAsia"/>
          <w:lang w:eastAsia="zh-CN"/>
        </w:rPr>
        <w:t xml:space="preserve"> </w:t>
      </w:r>
      <w:r w:rsidRPr="00696F41">
        <w:rPr>
          <w:rFonts w:ascii="Book Antiqua" w:hAnsi="Book Antiqua"/>
        </w:rPr>
        <w:t>10.1111/j.1440-1797.2007.00810.x]</w:t>
      </w:r>
    </w:p>
    <w:p w14:paraId="7CD5039B" w14:textId="77777777" w:rsidR="00107B1E" w:rsidRPr="00696F41" w:rsidRDefault="00107B1E" w:rsidP="00107B1E">
      <w:pPr>
        <w:spacing w:line="360" w:lineRule="auto"/>
        <w:jc w:val="both"/>
        <w:rPr>
          <w:rFonts w:ascii="Book Antiqua" w:hAnsi="Book Antiqua"/>
        </w:rPr>
      </w:pPr>
      <w:r w:rsidRPr="00696F41">
        <w:rPr>
          <w:rFonts w:ascii="Book Antiqua" w:hAnsi="Book Antiqua"/>
        </w:rPr>
        <w:t xml:space="preserve">11 </w:t>
      </w:r>
      <w:r w:rsidRPr="00696F41">
        <w:rPr>
          <w:rFonts w:ascii="Book Antiqua" w:hAnsi="Book Antiqua"/>
          <w:b/>
          <w:bCs/>
        </w:rPr>
        <w:t>KDOQI.</w:t>
      </w:r>
      <w:r w:rsidRPr="00696F41">
        <w:rPr>
          <w:rFonts w:ascii="Book Antiqua" w:hAnsi="Book Antiqua"/>
        </w:rPr>
        <w:t xml:space="preserve">; National Kidney Foundation. KDOQI Clinical Practice Guidelines and Clinical Practice Recommendations for Anemia in Chronic Kidney Disease. </w:t>
      </w:r>
      <w:r w:rsidRPr="00696F41">
        <w:rPr>
          <w:rFonts w:ascii="Book Antiqua" w:hAnsi="Book Antiqua"/>
          <w:i/>
          <w:iCs/>
        </w:rPr>
        <w:t>Am J Kidney Dis</w:t>
      </w:r>
      <w:r w:rsidRPr="00696F41">
        <w:rPr>
          <w:rFonts w:ascii="Book Antiqua" w:hAnsi="Book Antiqua"/>
        </w:rPr>
        <w:t xml:space="preserve"> 2006; </w:t>
      </w:r>
      <w:r w:rsidRPr="00696F41">
        <w:rPr>
          <w:rFonts w:ascii="Book Antiqua" w:hAnsi="Book Antiqua"/>
          <w:b/>
          <w:bCs/>
        </w:rPr>
        <w:t>47</w:t>
      </w:r>
      <w:r w:rsidRPr="00696F41">
        <w:rPr>
          <w:rFonts w:ascii="Book Antiqua" w:hAnsi="Book Antiqua"/>
        </w:rPr>
        <w:t>: S11-145 [PMID: 16678659 DOI: 10.1053/j.ajkd.2006.03.010]</w:t>
      </w:r>
    </w:p>
    <w:p w14:paraId="12F85496" w14:textId="77777777" w:rsidR="00107B1E" w:rsidRPr="00696F41" w:rsidRDefault="00107B1E" w:rsidP="00107B1E">
      <w:pPr>
        <w:spacing w:line="360" w:lineRule="auto"/>
        <w:jc w:val="both"/>
        <w:rPr>
          <w:rFonts w:ascii="Book Antiqua" w:hAnsi="Book Antiqua"/>
        </w:rPr>
      </w:pPr>
      <w:r w:rsidRPr="00696F41">
        <w:rPr>
          <w:rFonts w:ascii="Book Antiqua" w:hAnsi="Book Antiqua"/>
        </w:rPr>
        <w:t xml:space="preserve">12 </w:t>
      </w:r>
      <w:r w:rsidRPr="00696F41">
        <w:rPr>
          <w:rFonts w:ascii="Book Antiqua" w:hAnsi="Book Antiqua"/>
          <w:b/>
          <w:bCs/>
        </w:rPr>
        <w:t>von Elm E</w:t>
      </w:r>
      <w:r w:rsidRPr="00696F41">
        <w:rPr>
          <w:rFonts w:ascii="Book Antiqua" w:hAnsi="Book Antiqua"/>
        </w:rPr>
        <w:t xml:space="preserve">, Altman DG, Egger M, Pocock SJ, Gøtzsche PC, Vandenbroucke JP; STROBE Initiative. The Strengthening the Reporting of Observational Studies in Epidemiology (STROBE) Statement: guidelines for reporting observational studies. </w:t>
      </w:r>
      <w:r w:rsidRPr="00696F41">
        <w:rPr>
          <w:rFonts w:ascii="Book Antiqua" w:hAnsi="Book Antiqua"/>
          <w:i/>
          <w:iCs/>
        </w:rPr>
        <w:t>Int J Surg</w:t>
      </w:r>
      <w:r w:rsidRPr="00696F41">
        <w:rPr>
          <w:rFonts w:ascii="Book Antiqua" w:hAnsi="Book Antiqua"/>
        </w:rPr>
        <w:t xml:space="preserve"> 2014; </w:t>
      </w:r>
      <w:r w:rsidRPr="00696F41">
        <w:rPr>
          <w:rFonts w:ascii="Book Antiqua" w:hAnsi="Book Antiqua"/>
          <w:b/>
          <w:bCs/>
        </w:rPr>
        <w:t>12</w:t>
      </w:r>
      <w:r w:rsidRPr="00696F41">
        <w:rPr>
          <w:rFonts w:ascii="Book Antiqua" w:hAnsi="Book Antiqua"/>
        </w:rPr>
        <w:t>: 1495-1499 [PMID: 25046131 DOI: 10.1016/j.ijsu.2014.07.013]</w:t>
      </w:r>
    </w:p>
    <w:p w14:paraId="5BD1BAF5" w14:textId="77777777" w:rsidR="00107B1E" w:rsidRPr="00696F41" w:rsidRDefault="00107B1E" w:rsidP="00107B1E">
      <w:pPr>
        <w:spacing w:line="360" w:lineRule="auto"/>
        <w:jc w:val="both"/>
        <w:rPr>
          <w:rFonts w:ascii="Book Antiqua" w:hAnsi="Book Antiqua"/>
        </w:rPr>
      </w:pPr>
      <w:r w:rsidRPr="00696F41">
        <w:rPr>
          <w:rFonts w:ascii="Book Antiqua" w:hAnsi="Book Antiqua"/>
        </w:rPr>
        <w:lastRenderedPageBreak/>
        <w:t xml:space="preserve">13 </w:t>
      </w:r>
      <w:r w:rsidRPr="00696F41">
        <w:rPr>
          <w:rFonts w:ascii="Book Antiqua" w:hAnsi="Book Antiqua"/>
          <w:b/>
          <w:bCs/>
        </w:rPr>
        <w:t>Levey AS</w:t>
      </w:r>
      <w:r w:rsidRPr="00696F41">
        <w:rPr>
          <w:rFonts w:ascii="Book Antiqua" w:hAnsi="Book Antiqua"/>
        </w:rPr>
        <w:t xml:space="preserve">, Stevens LA, Schmid CH, Zhang YL, Castro AF 3rd, Feldman HI, Kusek JW, Eggers P, Van Lente F, Greene T, Coresh J; CKD-EPI (Chronic Kidney Disease Epidemiology Collaboration). A new equation to estimate glomerular filtration rate. </w:t>
      </w:r>
      <w:r w:rsidRPr="00696F41">
        <w:rPr>
          <w:rFonts w:ascii="Book Antiqua" w:hAnsi="Book Antiqua"/>
          <w:i/>
          <w:iCs/>
        </w:rPr>
        <w:t>Ann Intern Med</w:t>
      </w:r>
      <w:r w:rsidRPr="00696F41">
        <w:rPr>
          <w:rFonts w:ascii="Book Antiqua" w:hAnsi="Book Antiqua"/>
        </w:rPr>
        <w:t xml:space="preserve"> 2009; </w:t>
      </w:r>
      <w:r w:rsidRPr="00696F41">
        <w:rPr>
          <w:rFonts w:ascii="Book Antiqua" w:hAnsi="Book Antiqua"/>
          <w:b/>
          <w:bCs/>
        </w:rPr>
        <w:t>150</w:t>
      </w:r>
      <w:r w:rsidRPr="00696F41">
        <w:rPr>
          <w:rFonts w:ascii="Book Antiqua" w:hAnsi="Book Antiqua"/>
        </w:rPr>
        <w:t>: 604-612 [PMID: 19414839 DOI: 10.7326/0003-4819-150-9-200905050-00006]</w:t>
      </w:r>
    </w:p>
    <w:p w14:paraId="17FE3940" w14:textId="77777777" w:rsidR="00107B1E" w:rsidRPr="00696F41" w:rsidRDefault="00107B1E" w:rsidP="00107B1E">
      <w:pPr>
        <w:spacing w:line="360" w:lineRule="auto"/>
        <w:jc w:val="both"/>
        <w:rPr>
          <w:rFonts w:ascii="Book Antiqua" w:hAnsi="Book Antiqua"/>
        </w:rPr>
      </w:pPr>
      <w:r w:rsidRPr="00696F41">
        <w:rPr>
          <w:rFonts w:ascii="Book Antiqua" w:hAnsi="Book Antiqua"/>
        </w:rPr>
        <w:t xml:space="preserve">14 </w:t>
      </w:r>
      <w:r w:rsidRPr="00696F41">
        <w:rPr>
          <w:rFonts w:ascii="Book Antiqua" w:hAnsi="Book Antiqua"/>
          <w:b/>
          <w:bCs/>
        </w:rPr>
        <w:t>KDOQI</w:t>
      </w:r>
      <w:r w:rsidRPr="00696F41">
        <w:rPr>
          <w:rFonts w:ascii="Book Antiqua" w:hAnsi="Book Antiqua"/>
        </w:rPr>
        <w:t xml:space="preserve">. KDOQI Clinical Practice Guideline and Clinical Practice Recommendations for anemia in chronic kidney disease: 2007 update of hemoglobin target. </w:t>
      </w:r>
      <w:r w:rsidRPr="00696F41">
        <w:rPr>
          <w:rFonts w:ascii="Book Antiqua" w:hAnsi="Book Antiqua"/>
          <w:i/>
          <w:iCs/>
        </w:rPr>
        <w:t>Am J Kidney Dis</w:t>
      </w:r>
      <w:r w:rsidRPr="00696F41">
        <w:rPr>
          <w:rFonts w:ascii="Book Antiqua" w:hAnsi="Book Antiqua"/>
        </w:rPr>
        <w:t xml:space="preserve"> 2007; </w:t>
      </w:r>
      <w:r w:rsidRPr="00696F41">
        <w:rPr>
          <w:rFonts w:ascii="Book Antiqua" w:hAnsi="Book Antiqua"/>
          <w:b/>
          <w:bCs/>
        </w:rPr>
        <w:t>50</w:t>
      </w:r>
      <w:r w:rsidRPr="00696F41">
        <w:rPr>
          <w:rFonts w:ascii="Book Antiqua" w:hAnsi="Book Antiqua"/>
        </w:rPr>
        <w:t>: 471-530 [PMID: 17720528 DOI: 10.1053/j.ajkd.2007.06.008]</w:t>
      </w:r>
    </w:p>
    <w:p w14:paraId="0EE7037A" w14:textId="77777777" w:rsidR="00107B1E" w:rsidRPr="00696F41" w:rsidRDefault="00107B1E" w:rsidP="00107B1E">
      <w:pPr>
        <w:spacing w:line="360" w:lineRule="auto"/>
        <w:jc w:val="both"/>
        <w:rPr>
          <w:rFonts w:ascii="Book Antiqua" w:hAnsi="Book Antiqua"/>
        </w:rPr>
      </w:pPr>
      <w:r w:rsidRPr="00696F41">
        <w:rPr>
          <w:rFonts w:ascii="Book Antiqua" w:hAnsi="Book Antiqua"/>
        </w:rPr>
        <w:t xml:space="preserve">15 </w:t>
      </w:r>
      <w:r w:rsidRPr="00696F41">
        <w:rPr>
          <w:rFonts w:ascii="Book Antiqua" w:hAnsi="Book Antiqua"/>
          <w:b/>
          <w:bCs/>
        </w:rPr>
        <w:t>Thaweethamcharoen T</w:t>
      </w:r>
      <w:r w:rsidRPr="00696F41">
        <w:rPr>
          <w:rFonts w:ascii="Book Antiqua" w:hAnsi="Book Antiqua"/>
        </w:rPr>
        <w:t xml:space="preserve">, Srimongkol W, Noparatayaporn P, Jariyayothin P, Sukthinthai N, Aiyasanon N, Kitisriworapan P, Jantarakana K, Vasuvattakul S. Validity and Reliability of KDQOL-36 in Thai Kidney Disease Patient. </w:t>
      </w:r>
      <w:r w:rsidRPr="00696F41">
        <w:rPr>
          <w:rFonts w:ascii="Book Antiqua" w:hAnsi="Book Antiqua"/>
          <w:i/>
          <w:iCs/>
        </w:rPr>
        <w:t>Value Health Reg Issues</w:t>
      </w:r>
      <w:r w:rsidRPr="00696F41">
        <w:rPr>
          <w:rFonts w:ascii="Book Antiqua" w:hAnsi="Book Antiqua"/>
        </w:rPr>
        <w:t xml:space="preserve"> 2013; </w:t>
      </w:r>
      <w:r w:rsidRPr="00696F41">
        <w:rPr>
          <w:rFonts w:ascii="Book Antiqua" w:hAnsi="Book Antiqua"/>
          <w:b/>
          <w:bCs/>
        </w:rPr>
        <w:t>2</w:t>
      </w:r>
      <w:r w:rsidRPr="00696F41">
        <w:rPr>
          <w:rFonts w:ascii="Book Antiqua" w:hAnsi="Book Antiqua"/>
        </w:rPr>
        <w:t>: 98-102 [PMID: 29702860 DOI: 10.1016/j.vhri.2013.02.011]</w:t>
      </w:r>
    </w:p>
    <w:p w14:paraId="4F7D0DC6" w14:textId="77777777" w:rsidR="00107B1E" w:rsidRPr="00696F41" w:rsidRDefault="00107B1E" w:rsidP="00107B1E">
      <w:pPr>
        <w:spacing w:line="360" w:lineRule="auto"/>
        <w:jc w:val="both"/>
        <w:rPr>
          <w:rFonts w:ascii="Book Antiqua" w:hAnsi="Book Antiqua"/>
        </w:rPr>
      </w:pPr>
      <w:r w:rsidRPr="00696F41">
        <w:rPr>
          <w:rFonts w:ascii="Book Antiqua" w:hAnsi="Book Antiqua"/>
        </w:rPr>
        <w:t xml:space="preserve">16 </w:t>
      </w:r>
      <w:r w:rsidRPr="00696F41">
        <w:rPr>
          <w:rFonts w:ascii="Book Antiqua" w:hAnsi="Book Antiqua"/>
          <w:b/>
          <w:bCs/>
        </w:rPr>
        <w:t>Hays RD,</w:t>
      </w:r>
      <w:r w:rsidRPr="00696F41">
        <w:rPr>
          <w:rFonts w:ascii="Book Antiqua" w:hAnsi="Book Antiqua"/>
        </w:rPr>
        <w:t xml:space="preserve"> Kallich JD, Mapes DL, Coons S, Amin N, Carter WB, Kamberg C. Kidney Disease Quality of Life Short Form (KDQOL-SF ™), Version 1.3: A Manual for Use and Scoring. Santa Monica, CA: RAND Corporation; 1997</w:t>
      </w:r>
    </w:p>
    <w:p w14:paraId="0B865673" w14:textId="77777777" w:rsidR="00107B1E" w:rsidRPr="00696F41" w:rsidRDefault="00107B1E" w:rsidP="00107B1E">
      <w:pPr>
        <w:spacing w:line="360" w:lineRule="auto"/>
        <w:jc w:val="both"/>
        <w:rPr>
          <w:rFonts w:ascii="Book Antiqua" w:hAnsi="Book Antiqua"/>
        </w:rPr>
      </w:pPr>
      <w:r w:rsidRPr="00696F41">
        <w:rPr>
          <w:rFonts w:ascii="Book Antiqua" w:hAnsi="Book Antiqua"/>
        </w:rPr>
        <w:t xml:space="preserve">17 </w:t>
      </w:r>
      <w:r w:rsidRPr="00696F41">
        <w:rPr>
          <w:rFonts w:ascii="Book Antiqua" w:hAnsi="Book Antiqua"/>
          <w:b/>
          <w:bCs/>
        </w:rPr>
        <w:t>Thanakitcharu P</w:t>
      </w:r>
      <w:r w:rsidRPr="00696F41">
        <w:rPr>
          <w:rFonts w:ascii="Book Antiqua" w:hAnsi="Book Antiqua"/>
        </w:rPr>
        <w:t xml:space="preserve">, Siriwiwatanakul N. Hemoglobin response and influence on left ventricular hypertrophy after 24-week treatment of a biosimilar epoetin-alfa in hemodialysis patients with anemia. </w:t>
      </w:r>
      <w:r w:rsidRPr="00696F41">
        <w:rPr>
          <w:rFonts w:ascii="Book Antiqua" w:hAnsi="Book Antiqua"/>
          <w:i/>
          <w:iCs/>
        </w:rPr>
        <w:t>J Med Assoc Thai</w:t>
      </w:r>
      <w:r w:rsidRPr="00696F41">
        <w:rPr>
          <w:rFonts w:ascii="Book Antiqua" w:hAnsi="Book Antiqua"/>
        </w:rPr>
        <w:t xml:space="preserve"> 2007; </w:t>
      </w:r>
      <w:r w:rsidRPr="00696F41">
        <w:rPr>
          <w:rFonts w:ascii="Book Antiqua" w:hAnsi="Book Antiqua"/>
          <w:b/>
          <w:bCs/>
        </w:rPr>
        <w:t>90</w:t>
      </w:r>
      <w:r w:rsidRPr="00696F41">
        <w:rPr>
          <w:rFonts w:ascii="Book Antiqua" w:hAnsi="Book Antiqua"/>
        </w:rPr>
        <w:t>: 2574-2586 [PMID: 18386706]</w:t>
      </w:r>
    </w:p>
    <w:p w14:paraId="3BAF345F" w14:textId="77777777" w:rsidR="00107B1E" w:rsidRPr="00696F41" w:rsidRDefault="00107B1E" w:rsidP="00107B1E">
      <w:pPr>
        <w:spacing w:line="360" w:lineRule="auto"/>
        <w:jc w:val="both"/>
        <w:rPr>
          <w:rFonts w:ascii="Book Antiqua" w:hAnsi="Book Antiqua"/>
          <w:lang w:eastAsia="zh-CN"/>
        </w:rPr>
      </w:pPr>
      <w:r w:rsidRPr="00696F41">
        <w:rPr>
          <w:rFonts w:ascii="Book Antiqua" w:hAnsi="Book Antiqua"/>
        </w:rPr>
        <w:t xml:space="preserve">18 </w:t>
      </w:r>
      <w:r w:rsidR="006F23C9" w:rsidRPr="00696F41">
        <w:rPr>
          <w:rFonts w:ascii="Book Antiqua" w:hAnsi="Book Antiqua"/>
          <w:b/>
        </w:rPr>
        <w:t>Besarab A,</w:t>
      </w:r>
      <w:r w:rsidR="006F23C9" w:rsidRPr="00696F41">
        <w:rPr>
          <w:rFonts w:ascii="Book Antiqua" w:hAnsi="Book Antiqua"/>
        </w:rPr>
        <w:t xml:space="preserve"> Salifu MO, Lunde NM, Bansal V, Fishbane S, Dougherty FC, Beyer U; Ba16285 Study Investigators. Efficacy and tolerability of intravenous continuous erythropoietin receptor activator: a 19-week, phase II, multicenter, randomized, open-label, dose-finding study with a 12-month extension phase in patients with chronic renal disease.</w:t>
      </w:r>
      <w:r w:rsidR="006F23C9" w:rsidRPr="00696F41">
        <w:rPr>
          <w:rFonts w:ascii="Book Antiqua" w:hAnsi="Book Antiqua"/>
          <w:i/>
        </w:rPr>
        <w:t xml:space="preserve"> Clin Ther</w:t>
      </w:r>
      <w:r w:rsidR="006F23C9" w:rsidRPr="00696F41">
        <w:rPr>
          <w:rFonts w:ascii="Book Antiqua" w:hAnsi="Book Antiqua"/>
        </w:rPr>
        <w:t xml:space="preserve"> 2007;</w:t>
      </w:r>
      <w:r w:rsidR="006F23C9" w:rsidRPr="00696F41">
        <w:rPr>
          <w:rFonts w:ascii="Book Antiqua" w:hAnsi="Book Antiqua" w:hint="eastAsia"/>
          <w:lang w:eastAsia="zh-CN"/>
        </w:rPr>
        <w:t xml:space="preserve"> </w:t>
      </w:r>
      <w:r w:rsidR="006F23C9" w:rsidRPr="00696F41">
        <w:rPr>
          <w:rFonts w:ascii="Book Antiqua" w:hAnsi="Book Antiqua"/>
          <w:b/>
        </w:rPr>
        <w:t>29:</w:t>
      </w:r>
      <w:r w:rsidR="006F23C9" w:rsidRPr="00696F41">
        <w:rPr>
          <w:rFonts w:ascii="Book Antiqua" w:hAnsi="Book Antiqua" w:hint="eastAsia"/>
          <w:lang w:eastAsia="zh-CN"/>
        </w:rPr>
        <w:t xml:space="preserve"> </w:t>
      </w:r>
      <w:r w:rsidR="006F23C9" w:rsidRPr="00696F41">
        <w:rPr>
          <w:rFonts w:ascii="Book Antiqua" w:hAnsi="Book Antiqua"/>
        </w:rPr>
        <w:t>626-39</w:t>
      </w:r>
      <w:r w:rsidR="006F23C9" w:rsidRPr="00696F41">
        <w:rPr>
          <w:rFonts w:ascii="Book Antiqua" w:hAnsi="Book Antiqua" w:hint="eastAsia"/>
          <w:lang w:eastAsia="zh-CN"/>
        </w:rPr>
        <w:t xml:space="preserve"> [</w:t>
      </w:r>
      <w:r w:rsidR="006F23C9" w:rsidRPr="00696F41">
        <w:rPr>
          <w:rFonts w:ascii="Book Antiqua" w:hAnsi="Book Antiqua"/>
        </w:rPr>
        <w:t>PMID: 17617286</w:t>
      </w:r>
      <w:r w:rsidR="006F23C9" w:rsidRPr="00696F41">
        <w:rPr>
          <w:rFonts w:ascii="Book Antiqua" w:hAnsi="Book Antiqua" w:hint="eastAsia"/>
          <w:lang w:eastAsia="zh-CN"/>
        </w:rPr>
        <w:t xml:space="preserve"> DOI</w:t>
      </w:r>
      <w:r w:rsidR="006F23C9" w:rsidRPr="00696F41">
        <w:rPr>
          <w:rFonts w:ascii="Book Antiqua" w:hAnsi="Book Antiqua"/>
        </w:rPr>
        <w:t>: 10.1016/j.clinthera.2007.04.014</w:t>
      </w:r>
      <w:r w:rsidR="006F23C9" w:rsidRPr="00696F41">
        <w:rPr>
          <w:rFonts w:ascii="Book Antiqua" w:hAnsi="Book Antiqua" w:hint="eastAsia"/>
          <w:lang w:eastAsia="zh-CN"/>
        </w:rPr>
        <w:t>]</w:t>
      </w:r>
    </w:p>
    <w:p w14:paraId="4B78FC00" w14:textId="77777777" w:rsidR="00107B1E" w:rsidRPr="00696F41" w:rsidRDefault="00107B1E" w:rsidP="00107B1E">
      <w:pPr>
        <w:spacing w:line="360" w:lineRule="auto"/>
        <w:jc w:val="both"/>
        <w:rPr>
          <w:rFonts w:ascii="Book Antiqua" w:hAnsi="Book Antiqua"/>
        </w:rPr>
      </w:pPr>
      <w:r w:rsidRPr="00696F41">
        <w:rPr>
          <w:rFonts w:ascii="Book Antiqua" w:hAnsi="Book Antiqua"/>
        </w:rPr>
        <w:t xml:space="preserve">19 </w:t>
      </w:r>
      <w:r w:rsidRPr="00696F41">
        <w:rPr>
          <w:rFonts w:ascii="Book Antiqua" w:hAnsi="Book Antiqua"/>
          <w:b/>
          <w:bCs/>
        </w:rPr>
        <w:t>Nissenson AR</w:t>
      </w:r>
      <w:r w:rsidRPr="00696F41">
        <w:rPr>
          <w:rFonts w:ascii="Book Antiqua" w:hAnsi="Book Antiqua"/>
        </w:rPr>
        <w:t xml:space="preserve">, Korbet S, Faber M, Burkart J, Gentile D, Hamburger R, Mattern W, Schreiber M, Swartz R, Van Stone J. Multicenter trial of erythropoietin in patients on peritoneal dialysis. </w:t>
      </w:r>
      <w:r w:rsidRPr="00696F41">
        <w:rPr>
          <w:rFonts w:ascii="Book Antiqua" w:hAnsi="Book Antiqua"/>
          <w:i/>
          <w:iCs/>
        </w:rPr>
        <w:t>J Am Soc Nephrol</w:t>
      </w:r>
      <w:r w:rsidRPr="00696F41">
        <w:rPr>
          <w:rFonts w:ascii="Book Antiqua" w:hAnsi="Book Antiqua"/>
        </w:rPr>
        <w:t xml:space="preserve"> 1995; </w:t>
      </w:r>
      <w:r w:rsidRPr="00696F41">
        <w:rPr>
          <w:rFonts w:ascii="Book Antiqua" w:hAnsi="Book Antiqua"/>
          <w:b/>
          <w:bCs/>
        </w:rPr>
        <w:t>5</w:t>
      </w:r>
      <w:r w:rsidRPr="00696F41">
        <w:rPr>
          <w:rFonts w:ascii="Book Antiqua" w:hAnsi="Book Antiqua"/>
        </w:rPr>
        <w:t>: 1517-1529 [PMID: 7703390 DOI: 10.1681/ASN.V571517]</w:t>
      </w:r>
    </w:p>
    <w:p w14:paraId="7B685D85" w14:textId="77777777" w:rsidR="00107B1E" w:rsidRPr="00696F41" w:rsidRDefault="00107B1E" w:rsidP="00107B1E">
      <w:pPr>
        <w:spacing w:line="360" w:lineRule="auto"/>
        <w:jc w:val="both"/>
        <w:rPr>
          <w:rFonts w:ascii="Book Antiqua" w:hAnsi="Book Antiqua"/>
        </w:rPr>
      </w:pPr>
      <w:r w:rsidRPr="00696F41">
        <w:rPr>
          <w:rFonts w:ascii="Book Antiqua" w:hAnsi="Book Antiqua"/>
        </w:rPr>
        <w:lastRenderedPageBreak/>
        <w:t xml:space="preserve">20 Chapter 3: Use of ESAs and other agents**Excluding iron which is discussed in Chapter 2. to treat anemia in CKD. </w:t>
      </w:r>
      <w:r w:rsidRPr="00696F41">
        <w:rPr>
          <w:rFonts w:ascii="Book Antiqua" w:hAnsi="Book Antiqua"/>
          <w:i/>
        </w:rPr>
        <w:t>Kidney Int Suppl</w:t>
      </w:r>
      <w:r w:rsidRPr="00696F41">
        <w:rPr>
          <w:rFonts w:ascii="Book Antiqua" w:hAnsi="Book Antiqua"/>
        </w:rPr>
        <w:t xml:space="preserve"> 2012</w:t>
      </w:r>
      <w:r w:rsidR="00555922" w:rsidRPr="00696F41">
        <w:rPr>
          <w:rFonts w:ascii="Book Antiqua" w:hAnsi="Book Antiqua" w:hint="eastAsia"/>
          <w:lang w:eastAsia="zh-CN"/>
        </w:rPr>
        <w:t>;</w:t>
      </w:r>
      <w:r w:rsidR="00555922" w:rsidRPr="00696F41">
        <w:rPr>
          <w:rFonts w:ascii="Book Antiqua" w:hAnsi="Book Antiqua" w:hint="eastAsia"/>
          <w:b/>
          <w:lang w:eastAsia="zh-CN"/>
        </w:rPr>
        <w:t xml:space="preserve"> 2:</w:t>
      </w:r>
      <w:r w:rsidRPr="00696F41">
        <w:rPr>
          <w:rFonts w:ascii="Book Antiqua" w:hAnsi="Book Antiqua"/>
        </w:rPr>
        <w:t xml:space="preserve"> 299</w:t>
      </w:r>
      <w:r w:rsidR="00555922" w:rsidRPr="00696F41">
        <w:rPr>
          <w:rFonts w:ascii="Book Antiqua" w:hAnsi="Book Antiqua" w:hint="eastAsia"/>
          <w:lang w:eastAsia="zh-CN"/>
        </w:rPr>
        <w:t>-310</w:t>
      </w:r>
      <w:r w:rsidRPr="00696F41">
        <w:rPr>
          <w:rFonts w:ascii="Book Antiqua" w:hAnsi="Book Antiqua"/>
        </w:rPr>
        <w:t xml:space="preserve"> [DOI:</w:t>
      </w:r>
      <w:r w:rsidR="00701262" w:rsidRPr="00696F41">
        <w:rPr>
          <w:rFonts w:ascii="Book Antiqua" w:hAnsi="Book Antiqua" w:hint="eastAsia"/>
          <w:lang w:eastAsia="zh-CN"/>
        </w:rPr>
        <w:t xml:space="preserve"> </w:t>
      </w:r>
      <w:r w:rsidRPr="00696F41">
        <w:rPr>
          <w:rFonts w:ascii="Book Antiqua" w:hAnsi="Book Antiqua"/>
        </w:rPr>
        <w:t>10.1038/kisup.2012.35]</w:t>
      </w:r>
    </w:p>
    <w:p w14:paraId="6DD8A921" w14:textId="77777777" w:rsidR="00107B1E" w:rsidRPr="00696F41" w:rsidRDefault="00107B1E" w:rsidP="00107B1E">
      <w:pPr>
        <w:spacing w:line="360" w:lineRule="auto"/>
        <w:jc w:val="both"/>
        <w:rPr>
          <w:rFonts w:ascii="Book Antiqua" w:hAnsi="Book Antiqua"/>
        </w:rPr>
      </w:pPr>
      <w:r w:rsidRPr="00696F41">
        <w:rPr>
          <w:rFonts w:ascii="Book Antiqua" w:hAnsi="Book Antiqua"/>
        </w:rPr>
        <w:t xml:space="preserve">21 </w:t>
      </w:r>
      <w:r w:rsidRPr="00696F41">
        <w:rPr>
          <w:rFonts w:ascii="Book Antiqua" w:hAnsi="Book Antiqua"/>
          <w:b/>
          <w:bCs/>
        </w:rPr>
        <w:t>Eschbach JW</w:t>
      </w:r>
      <w:r w:rsidRPr="00696F41">
        <w:rPr>
          <w:rFonts w:ascii="Book Antiqua" w:hAnsi="Book Antiqua"/>
        </w:rPr>
        <w:t xml:space="preserve">, Abdulhadi MH, Browne JK, Delano BG, Downing MR, Egrie JC, Evans RW, Friedman EA, Graber SE, Haley NR. Recombinant human erythropoietin in anemic patients with end-stage renal disease. Results of a phase III multicenter clinical trial. </w:t>
      </w:r>
      <w:r w:rsidRPr="00696F41">
        <w:rPr>
          <w:rFonts w:ascii="Book Antiqua" w:hAnsi="Book Antiqua"/>
          <w:i/>
          <w:iCs/>
        </w:rPr>
        <w:t>Ann Intern Med</w:t>
      </w:r>
      <w:r w:rsidRPr="00696F41">
        <w:rPr>
          <w:rFonts w:ascii="Book Antiqua" w:hAnsi="Book Antiqua"/>
        </w:rPr>
        <w:t xml:space="preserve"> 1989; </w:t>
      </w:r>
      <w:r w:rsidRPr="00696F41">
        <w:rPr>
          <w:rFonts w:ascii="Book Antiqua" w:hAnsi="Book Antiqua"/>
          <w:b/>
          <w:bCs/>
        </w:rPr>
        <w:t>111</w:t>
      </w:r>
      <w:r w:rsidRPr="00696F41">
        <w:rPr>
          <w:rFonts w:ascii="Book Antiqua" w:hAnsi="Book Antiqua"/>
        </w:rPr>
        <w:t>: 992-1000 [PMID: 2688507 DOI: 10.7326/0003-4819-111-12-992]</w:t>
      </w:r>
    </w:p>
    <w:p w14:paraId="2BDD53E5" w14:textId="77777777" w:rsidR="00107B1E" w:rsidRPr="00696F41" w:rsidRDefault="00107B1E" w:rsidP="00107B1E">
      <w:pPr>
        <w:spacing w:line="360" w:lineRule="auto"/>
        <w:jc w:val="both"/>
        <w:rPr>
          <w:rFonts w:ascii="Book Antiqua" w:hAnsi="Book Antiqua"/>
        </w:rPr>
      </w:pPr>
      <w:r w:rsidRPr="00696F41">
        <w:rPr>
          <w:rFonts w:ascii="Book Antiqua" w:hAnsi="Book Antiqua"/>
        </w:rPr>
        <w:t xml:space="preserve">22 </w:t>
      </w:r>
      <w:r w:rsidRPr="00696F41">
        <w:rPr>
          <w:rFonts w:ascii="Book Antiqua" w:hAnsi="Book Antiqua"/>
          <w:b/>
          <w:bCs/>
        </w:rPr>
        <w:t>Locatelli F</w:t>
      </w:r>
      <w:r w:rsidRPr="00696F41">
        <w:rPr>
          <w:rFonts w:ascii="Book Antiqua" w:hAnsi="Book Antiqua"/>
        </w:rPr>
        <w:t xml:space="preserve">, Del Vecchio L. Erythropoiesis-stimulating agents in renal medicine. </w:t>
      </w:r>
      <w:r w:rsidRPr="00696F41">
        <w:rPr>
          <w:rFonts w:ascii="Book Antiqua" w:hAnsi="Book Antiqua"/>
          <w:i/>
          <w:iCs/>
        </w:rPr>
        <w:t>Oncologist</w:t>
      </w:r>
      <w:r w:rsidRPr="00696F41">
        <w:rPr>
          <w:rFonts w:ascii="Book Antiqua" w:hAnsi="Book Antiqua"/>
        </w:rPr>
        <w:t xml:space="preserve"> 2011; </w:t>
      </w:r>
      <w:r w:rsidRPr="00696F41">
        <w:rPr>
          <w:rFonts w:ascii="Book Antiqua" w:hAnsi="Book Antiqua"/>
          <w:b/>
          <w:bCs/>
        </w:rPr>
        <w:t>16 Suppl 3</w:t>
      </w:r>
      <w:r w:rsidRPr="00696F41">
        <w:rPr>
          <w:rFonts w:ascii="Book Antiqua" w:hAnsi="Book Antiqua"/>
        </w:rPr>
        <w:t>: 19-24 [PMID: 21930831 DOI: 10.1634/theoncologist.2011-S3-19]</w:t>
      </w:r>
    </w:p>
    <w:p w14:paraId="64E84A3C" w14:textId="77777777" w:rsidR="00107B1E" w:rsidRPr="00696F41" w:rsidRDefault="00107B1E" w:rsidP="00107B1E">
      <w:pPr>
        <w:spacing w:line="360" w:lineRule="auto"/>
        <w:jc w:val="both"/>
        <w:rPr>
          <w:rFonts w:ascii="Book Antiqua" w:hAnsi="Book Antiqua"/>
        </w:rPr>
      </w:pPr>
      <w:r w:rsidRPr="00696F41">
        <w:rPr>
          <w:rFonts w:ascii="Book Antiqua" w:hAnsi="Book Antiqua"/>
        </w:rPr>
        <w:t xml:space="preserve">23 </w:t>
      </w:r>
      <w:r w:rsidRPr="00696F41">
        <w:rPr>
          <w:rFonts w:ascii="Book Antiqua" w:hAnsi="Book Antiqua"/>
          <w:b/>
          <w:bCs/>
        </w:rPr>
        <w:t>Lew SQ</w:t>
      </w:r>
      <w:r w:rsidRPr="00696F41">
        <w:rPr>
          <w:rFonts w:ascii="Book Antiqua" w:hAnsi="Book Antiqua"/>
        </w:rPr>
        <w:t xml:space="preserve">, Piraino B. Quality of life and psychological issues in peritoneal dialysis patients. </w:t>
      </w:r>
      <w:r w:rsidRPr="00696F41">
        <w:rPr>
          <w:rFonts w:ascii="Book Antiqua" w:hAnsi="Book Antiqua"/>
          <w:i/>
          <w:iCs/>
        </w:rPr>
        <w:t>Semin Dial</w:t>
      </w:r>
      <w:r w:rsidRPr="00696F41">
        <w:rPr>
          <w:rFonts w:ascii="Book Antiqua" w:hAnsi="Book Antiqua"/>
        </w:rPr>
        <w:t xml:space="preserve"> 2005; </w:t>
      </w:r>
      <w:r w:rsidRPr="00696F41">
        <w:rPr>
          <w:rFonts w:ascii="Book Antiqua" w:hAnsi="Book Antiqua"/>
          <w:b/>
          <w:bCs/>
        </w:rPr>
        <w:t>18</w:t>
      </w:r>
      <w:r w:rsidRPr="00696F41">
        <w:rPr>
          <w:rFonts w:ascii="Book Antiqua" w:hAnsi="Book Antiqua"/>
        </w:rPr>
        <w:t>: 119-123 [PMID: 15771655 DOI: 10.1111/j.1525-139X.2005.18215.x]</w:t>
      </w:r>
    </w:p>
    <w:p w14:paraId="3E74DC07" w14:textId="77777777" w:rsidR="00107B1E" w:rsidRPr="00696F41" w:rsidRDefault="00107B1E" w:rsidP="00107B1E">
      <w:pPr>
        <w:spacing w:line="360" w:lineRule="auto"/>
        <w:jc w:val="both"/>
        <w:rPr>
          <w:rFonts w:ascii="Book Antiqua" w:hAnsi="Book Antiqua"/>
        </w:rPr>
      </w:pPr>
      <w:r w:rsidRPr="00696F41">
        <w:rPr>
          <w:rFonts w:ascii="Book Antiqua" w:hAnsi="Book Antiqua"/>
        </w:rPr>
        <w:t xml:space="preserve">24 </w:t>
      </w:r>
      <w:r w:rsidRPr="00696F41">
        <w:rPr>
          <w:rFonts w:ascii="Book Antiqua" w:hAnsi="Book Antiqua"/>
          <w:b/>
          <w:bCs/>
        </w:rPr>
        <w:t>Furuland H</w:t>
      </w:r>
      <w:r w:rsidRPr="00696F41">
        <w:rPr>
          <w:rFonts w:ascii="Book Antiqua" w:hAnsi="Book Antiqua"/>
        </w:rPr>
        <w:t xml:space="preserve">, Linde T, Ahlmén J, Christensson A, Strömbom U, Danielson BG. A randomized controlled trial of haemoglobin normalization with epoetin alfa in pre-dialysis and dialysis patients. </w:t>
      </w:r>
      <w:r w:rsidRPr="00696F41">
        <w:rPr>
          <w:rFonts w:ascii="Book Antiqua" w:hAnsi="Book Antiqua"/>
          <w:i/>
          <w:iCs/>
        </w:rPr>
        <w:t>Nephrol Dial Transplant</w:t>
      </w:r>
      <w:r w:rsidRPr="00696F41">
        <w:rPr>
          <w:rFonts w:ascii="Book Antiqua" w:hAnsi="Book Antiqua"/>
        </w:rPr>
        <w:t xml:space="preserve"> 2003; </w:t>
      </w:r>
      <w:r w:rsidRPr="00696F41">
        <w:rPr>
          <w:rFonts w:ascii="Book Antiqua" w:hAnsi="Book Antiqua"/>
          <w:b/>
          <w:bCs/>
        </w:rPr>
        <w:t>18</w:t>
      </w:r>
      <w:r w:rsidRPr="00696F41">
        <w:rPr>
          <w:rFonts w:ascii="Book Antiqua" w:hAnsi="Book Antiqua"/>
        </w:rPr>
        <w:t>: 353-361 [PMID: 12543892 DOI: 10.1093/ndt/18.2.353]</w:t>
      </w:r>
    </w:p>
    <w:p w14:paraId="2429D887" w14:textId="77777777" w:rsidR="00107B1E" w:rsidRPr="00696F41" w:rsidRDefault="00107B1E" w:rsidP="00107B1E">
      <w:pPr>
        <w:spacing w:line="360" w:lineRule="auto"/>
        <w:jc w:val="both"/>
        <w:rPr>
          <w:rFonts w:ascii="Book Antiqua" w:hAnsi="Book Antiqua"/>
        </w:rPr>
      </w:pPr>
      <w:r w:rsidRPr="00696F41">
        <w:rPr>
          <w:rFonts w:ascii="Book Antiqua" w:hAnsi="Book Antiqua"/>
        </w:rPr>
        <w:t xml:space="preserve">25 </w:t>
      </w:r>
      <w:r w:rsidRPr="00696F41">
        <w:rPr>
          <w:rFonts w:ascii="Book Antiqua" w:hAnsi="Book Antiqua"/>
          <w:b/>
          <w:bCs/>
        </w:rPr>
        <w:t>Liu H</w:t>
      </w:r>
      <w:r w:rsidRPr="00696F41">
        <w:rPr>
          <w:rFonts w:ascii="Book Antiqua" w:hAnsi="Book Antiqua"/>
        </w:rPr>
        <w:t xml:space="preserve">, Yao Y, Cao Y, Yang X, Huang B, Han X, Ren C. Anemia management trends in patients on peritoneal dialysis in the past 10 years. </w:t>
      </w:r>
      <w:r w:rsidRPr="00696F41">
        <w:rPr>
          <w:rFonts w:ascii="Book Antiqua" w:hAnsi="Book Antiqua"/>
          <w:i/>
          <w:iCs/>
        </w:rPr>
        <w:t>Int J Clin Exp Med</w:t>
      </w:r>
      <w:r w:rsidRPr="00696F41">
        <w:rPr>
          <w:rFonts w:ascii="Book Antiqua" w:hAnsi="Book Antiqua"/>
        </w:rPr>
        <w:t xml:space="preserve"> 2015; </w:t>
      </w:r>
      <w:r w:rsidRPr="00696F41">
        <w:rPr>
          <w:rFonts w:ascii="Book Antiqua" w:hAnsi="Book Antiqua"/>
          <w:b/>
          <w:bCs/>
        </w:rPr>
        <w:t>8</w:t>
      </w:r>
      <w:r w:rsidRPr="00696F41">
        <w:rPr>
          <w:rFonts w:ascii="Book Antiqua" w:hAnsi="Book Antiqua"/>
        </w:rPr>
        <w:t>: 18050-18057 [PMID: 26770400]</w:t>
      </w:r>
    </w:p>
    <w:p w14:paraId="746480AA" w14:textId="77777777" w:rsidR="00107B1E" w:rsidRPr="00696F41" w:rsidRDefault="00107B1E" w:rsidP="00107B1E">
      <w:pPr>
        <w:spacing w:line="360" w:lineRule="auto"/>
        <w:jc w:val="both"/>
        <w:rPr>
          <w:rFonts w:ascii="Book Antiqua" w:hAnsi="Book Antiqua"/>
        </w:rPr>
      </w:pPr>
      <w:r w:rsidRPr="00696F41">
        <w:rPr>
          <w:rFonts w:ascii="Book Antiqua" w:hAnsi="Book Antiqua"/>
        </w:rPr>
        <w:t xml:space="preserve">26 </w:t>
      </w:r>
      <w:r w:rsidRPr="00696F41">
        <w:rPr>
          <w:rFonts w:ascii="Book Antiqua" w:hAnsi="Book Antiqua"/>
          <w:b/>
        </w:rPr>
        <w:t>Singh PK.</w:t>
      </w:r>
      <w:r w:rsidRPr="00696F41">
        <w:rPr>
          <w:rFonts w:ascii="Book Antiqua" w:hAnsi="Book Antiqua"/>
        </w:rPr>
        <w:t xml:space="preserve"> Make medicines accessible for all. </w:t>
      </w:r>
      <w:r w:rsidR="00701262" w:rsidRPr="00696F41">
        <w:rPr>
          <w:rFonts w:ascii="Book Antiqua" w:hAnsi="Book Antiqua"/>
        </w:rPr>
        <w:t>[</w:t>
      </w:r>
      <w:r w:rsidR="00701262" w:rsidRPr="00696F41">
        <w:rPr>
          <w:rFonts w:ascii="Book Antiqua" w:hAnsi="Book Antiqua" w:hint="eastAsia"/>
          <w:lang w:eastAsia="zh-CN"/>
        </w:rPr>
        <w:t>cited 10 April 2021</w:t>
      </w:r>
      <w:r w:rsidR="00701262" w:rsidRPr="00696F41">
        <w:rPr>
          <w:rFonts w:ascii="Book Antiqua" w:hAnsi="Book Antiqua" w:hint="eastAsia"/>
        </w:rPr>
        <w:t>]</w:t>
      </w:r>
      <w:r w:rsidR="00701262" w:rsidRPr="00696F41">
        <w:rPr>
          <w:rFonts w:ascii="Book Antiqua" w:hAnsi="Book Antiqua" w:hint="eastAsia"/>
          <w:lang w:eastAsia="zh-CN"/>
        </w:rPr>
        <w:t>. Available from:</w:t>
      </w:r>
      <w:r w:rsidRPr="00696F41">
        <w:rPr>
          <w:rFonts w:ascii="Book Antiqua" w:hAnsi="Book Antiqua"/>
        </w:rPr>
        <w:t xml:space="preserve"> https://www.who.int/southeastasia/news/opinion-editorials/detail/make-medicines-accessible-for-all 2017</w:t>
      </w:r>
    </w:p>
    <w:p w14:paraId="4EA900DA" w14:textId="77777777" w:rsidR="00107B1E" w:rsidRPr="00696F41" w:rsidRDefault="00107B1E" w:rsidP="00107B1E">
      <w:pPr>
        <w:spacing w:line="360" w:lineRule="auto"/>
        <w:jc w:val="both"/>
        <w:rPr>
          <w:rFonts w:ascii="Book Antiqua" w:hAnsi="Book Antiqua"/>
        </w:rPr>
      </w:pPr>
      <w:r w:rsidRPr="00696F41">
        <w:rPr>
          <w:rFonts w:ascii="Book Antiqua" w:hAnsi="Book Antiqua"/>
        </w:rPr>
        <w:t xml:space="preserve">27 </w:t>
      </w:r>
      <w:r w:rsidRPr="00696F41">
        <w:rPr>
          <w:rFonts w:ascii="Book Antiqua" w:hAnsi="Book Antiqua"/>
          <w:b/>
          <w:bCs/>
        </w:rPr>
        <w:t>Kwack C</w:t>
      </w:r>
      <w:r w:rsidRPr="00696F41">
        <w:rPr>
          <w:rFonts w:ascii="Book Antiqua" w:hAnsi="Book Antiqua"/>
        </w:rPr>
        <w:t xml:space="preserve">, Balakrishnan VS. Managing erythropoietin hyporesponsiveness. </w:t>
      </w:r>
      <w:r w:rsidRPr="00696F41">
        <w:rPr>
          <w:rFonts w:ascii="Book Antiqua" w:hAnsi="Book Antiqua"/>
          <w:i/>
          <w:iCs/>
        </w:rPr>
        <w:t>Semin Dial</w:t>
      </w:r>
      <w:r w:rsidRPr="00696F41">
        <w:rPr>
          <w:rFonts w:ascii="Book Antiqua" w:hAnsi="Book Antiqua"/>
        </w:rPr>
        <w:t xml:space="preserve"> 2006; </w:t>
      </w:r>
      <w:r w:rsidRPr="00696F41">
        <w:rPr>
          <w:rFonts w:ascii="Book Antiqua" w:hAnsi="Book Antiqua"/>
          <w:b/>
          <w:bCs/>
        </w:rPr>
        <w:t>19</w:t>
      </w:r>
      <w:r w:rsidRPr="00696F41">
        <w:rPr>
          <w:rFonts w:ascii="Book Antiqua" w:hAnsi="Book Antiqua"/>
        </w:rPr>
        <w:t>: 146-151 [PMID: 16551293 DOI: 10.1111/j.1525-139X.2006.00141.x]</w:t>
      </w:r>
    </w:p>
    <w:p w14:paraId="44929837" w14:textId="77777777" w:rsidR="00107B1E" w:rsidRPr="00696F41" w:rsidRDefault="00107B1E" w:rsidP="00107B1E">
      <w:pPr>
        <w:spacing w:line="360" w:lineRule="auto"/>
        <w:jc w:val="both"/>
        <w:rPr>
          <w:rFonts w:ascii="Book Antiqua" w:hAnsi="Book Antiqua"/>
        </w:rPr>
      </w:pPr>
      <w:r w:rsidRPr="00696F41">
        <w:rPr>
          <w:rFonts w:ascii="Book Antiqua" w:hAnsi="Book Antiqua"/>
        </w:rPr>
        <w:t xml:space="preserve">28 </w:t>
      </w:r>
      <w:r w:rsidRPr="00696F41">
        <w:rPr>
          <w:rFonts w:ascii="Book Antiqua" w:hAnsi="Book Antiqua"/>
          <w:b/>
          <w:bCs/>
        </w:rPr>
        <w:t>DeVita MV</w:t>
      </w:r>
      <w:r w:rsidRPr="00696F41">
        <w:rPr>
          <w:rFonts w:ascii="Book Antiqua" w:hAnsi="Book Antiqua"/>
        </w:rPr>
        <w:t xml:space="preserve">, Frumkin D, Mittal S, Kamran A, Fishbane S, Michelis MF. Targeting higher ferritin concentrations with intravenous iron dextran lowers erythropoietin requirement in hemodialysis patients. </w:t>
      </w:r>
      <w:r w:rsidRPr="00696F41">
        <w:rPr>
          <w:rFonts w:ascii="Book Antiqua" w:hAnsi="Book Antiqua"/>
          <w:i/>
          <w:iCs/>
        </w:rPr>
        <w:t>Clin Nephrol</w:t>
      </w:r>
      <w:r w:rsidRPr="00696F41">
        <w:rPr>
          <w:rFonts w:ascii="Book Antiqua" w:hAnsi="Book Antiqua"/>
        </w:rPr>
        <w:t xml:space="preserve"> 2003; </w:t>
      </w:r>
      <w:r w:rsidRPr="00696F41">
        <w:rPr>
          <w:rFonts w:ascii="Book Antiqua" w:hAnsi="Book Antiqua"/>
          <w:b/>
          <w:bCs/>
        </w:rPr>
        <w:t>60</w:t>
      </w:r>
      <w:r w:rsidRPr="00696F41">
        <w:rPr>
          <w:rFonts w:ascii="Book Antiqua" w:hAnsi="Book Antiqua"/>
        </w:rPr>
        <w:t>: 335-340 [PMID: 14640239 DOI: 10.5414/cnp60335]</w:t>
      </w:r>
    </w:p>
    <w:p w14:paraId="46E65AD5" w14:textId="77777777" w:rsidR="00107B1E" w:rsidRPr="00696F41" w:rsidRDefault="00107B1E" w:rsidP="00107B1E">
      <w:pPr>
        <w:spacing w:line="360" w:lineRule="auto"/>
        <w:jc w:val="both"/>
        <w:rPr>
          <w:rFonts w:ascii="Book Antiqua" w:hAnsi="Book Antiqua"/>
        </w:rPr>
      </w:pPr>
      <w:r w:rsidRPr="00696F41">
        <w:rPr>
          <w:rFonts w:ascii="Book Antiqua" w:hAnsi="Book Antiqua"/>
        </w:rPr>
        <w:lastRenderedPageBreak/>
        <w:t xml:space="preserve">29 </w:t>
      </w:r>
      <w:r w:rsidRPr="00696F41">
        <w:rPr>
          <w:rFonts w:ascii="Book Antiqua" w:hAnsi="Book Antiqua"/>
          <w:b/>
          <w:bCs/>
        </w:rPr>
        <w:t>Aronoff GR</w:t>
      </w:r>
      <w:r w:rsidRPr="00696F41">
        <w:rPr>
          <w:rFonts w:ascii="Book Antiqua" w:hAnsi="Book Antiqua"/>
        </w:rPr>
        <w:t xml:space="preserve">. Safety of intravenous iron in clinical practice: implications for anemia management protocols. </w:t>
      </w:r>
      <w:r w:rsidRPr="00696F41">
        <w:rPr>
          <w:rFonts w:ascii="Book Antiqua" w:hAnsi="Book Antiqua"/>
          <w:i/>
          <w:iCs/>
        </w:rPr>
        <w:t>J Am Soc Nephrol</w:t>
      </w:r>
      <w:r w:rsidRPr="00696F41">
        <w:rPr>
          <w:rFonts w:ascii="Book Antiqua" w:hAnsi="Book Antiqua"/>
        </w:rPr>
        <w:t xml:space="preserve"> 2004; </w:t>
      </w:r>
      <w:r w:rsidRPr="00696F41">
        <w:rPr>
          <w:rFonts w:ascii="Book Antiqua" w:hAnsi="Book Antiqua"/>
          <w:b/>
          <w:bCs/>
        </w:rPr>
        <w:t>15 Suppl 2</w:t>
      </w:r>
      <w:r w:rsidRPr="00696F41">
        <w:rPr>
          <w:rFonts w:ascii="Book Antiqua" w:hAnsi="Book Antiqua"/>
        </w:rPr>
        <w:t>: S99-106 [PMID: 15585604 DOI: 10.1097/01.ASN.0000143815.15433.87]</w:t>
      </w:r>
    </w:p>
    <w:p w14:paraId="0E3789F4" w14:textId="77777777" w:rsidR="00107B1E" w:rsidRPr="00696F41" w:rsidRDefault="00107B1E" w:rsidP="00107B1E">
      <w:pPr>
        <w:spacing w:line="360" w:lineRule="auto"/>
        <w:jc w:val="both"/>
        <w:rPr>
          <w:rFonts w:ascii="Book Antiqua" w:hAnsi="Book Antiqua"/>
        </w:rPr>
      </w:pPr>
      <w:r w:rsidRPr="00696F41">
        <w:rPr>
          <w:rFonts w:ascii="Book Antiqua" w:hAnsi="Book Antiqua"/>
        </w:rPr>
        <w:t xml:space="preserve">30 </w:t>
      </w:r>
      <w:r w:rsidRPr="00696F41">
        <w:rPr>
          <w:rFonts w:ascii="Book Antiqua" w:hAnsi="Book Antiqua"/>
          <w:b/>
          <w:bCs/>
        </w:rPr>
        <w:t>Fishbane S</w:t>
      </w:r>
      <w:r w:rsidRPr="00696F41">
        <w:rPr>
          <w:rFonts w:ascii="Book Antiqua" w:hAnsi="Book Antiqua"/>
        </w:rPr>
        <w:t xml:space="preserve">, Galgano C, Langley RC Jr, Canfield W, Maesaka JK. Reticulocyte hemoglobin content in the evaluation of iron status of hemodialysis patients. </w:t>
      </w:r>
      <w:r w:rsidRPr="00696F41">
        <w:rPr>
          <w:rFonts w:ascii="Book Antiqua" w:hAnsi="Book Antiqua"/>
          <w:i/>
          <w:iCs/>
        </w:rPr>
        <w:t>Kidney Int</w:t>
      </w:r>
      <w:r w:rsidRPr="00696F41">
        <w:rPr>
          <w:rFonts w:ascii="Book Antiqua" w:hAnsi="Book Antiqua"/>
        </w:rPr>
        <w:t xml:space="preserve"> 1997; </w:t>
      </w:r>
      <w:r w:rsidRPr="00696F41">
        <w:rPr>
          <w:rFonts w:ascii="Book Antiqua" w:hAnsi="Book Antiqua"/>
          <w:b/>
          <w:bCs/>
        </w:rPr>
        <w:t>52</w:t>
      </w:r>
      <w:r w:rsidRPr="00696F41">
        <w:rPr>
          <w:rFonts w:ascii="Book Antiqua" w:hAnsi="Book Antiqua"/>
        </w:rPr>
        <w:t>: 217-222 [PMID: 9211366 DOI: 10.1038/ki.1997.323]</w:t>
      </w:r>
    </w:p>
    <w:p w14:paraId="03B410B0" w14:textId="77777777" w:rsidR="00107B1E" w:rsidRPr="00696F41" w:rsidRDefault="00107B1E" w:rsidP="00107B1E">
      <w:pPr>
        <w:spacing w:line="360" w:lineRule="auto"/>
        <w:jc w:val="both"/>
        <w:rPr>
          <w:rFonts w:ascii="Book Antiqua" w:hAnsi="Book Antiqua"/>
          <w:lang w:eastAsia="zh-CN"/>
        </w:rPr>
      </w:pPr>
      <w:r w:rsidRPr="00696F41">
        <w:rPr>
          <w:rFonts w:ascii="Book Antiqua" w:hAnsi="Book Antiqua"/>
        </w:rPr>
        <w:t xml:space="preserve">31 </w:t>
      </w:r>
      <w:r w:rsidR="006C20BC" w:rsidRPr="00696F41">
        <w:rPr>
          <w:rFonts w:ascii="Book Antiqua" w:hAnsi="Book Antiqua"/>
          <w:b/>
        </w:rPr>
        <w:t xml:space="preserve">Himmelfarb J. </w:t>
      </w:r>
      <w:r w:rsidR="006C20BC" w:rsidRPr="00696F41">
        <w:rPr>
          <w:rFonts w:ascii="Book Antiqua" w:hAnsi="Book Antiqua"/>
        </w:rPr>
        <w:t xml:space="preserve">Uremic toxicity, oxidative stress, and hemodialysis as renal replacement therapy. </w:t>
      </w:r>
      <w:r w:rsidR="006C20BC" w:rsidRPr="00696F41">
        <w:rPr>
          <w:rFonts w:ascii="Book Antiqua" w:hAnsi="Book Antiqua"/>
          <w:i/>
        </w:rPr>
        <w:t>Semin Dial</w:t>
      </w:r>
      <w:r w:rsidR="006C20BC" w:rsidRPr="00696F41">
        <w:rPr>
          <w:rFonts w:ascii="Book Antiqua" w:hAnsi="Book Antiqua"/>
        </w:rPr>
        <w:t xml:space="preserve"> 2009;</w:t>
      </w:r>
      <w:r w:rsidR="006C20BC" w:rsidRPr="00696F41">
        <w:rPr>
          <w:rFonts w:ascii="Book Antiqua" w:hAnsi="Book Antiqua" w:hint="eastAsia"/>
          <w:lang w:eastAsia="zh-CN"/>
        </w:rPr>
        <w:t xml:space="preserve"> </w:t>
      </w:r>
      <w:r w:rsidR="006C20BC" w:rsidRPr="00696F41">
        <w:rPr>
          <w:rFonts w:ascii="Book Antiqua" w:hAnsi="Book Antiqua"/>
          <w:b/>
        </w:rPr>
        <w:t>22:</w:t>
      </w:r>
      <w:r w:rsidR="006C20BC" w:rsidRPr="00696F41">
        <w:rPr>
          <w:rFonts w:ascii="Book Antiqua" w:hAnsi="Book Antiqua" w:hint="eastAsia"/>
          <w:lang w:eastAsia="zh-CN"/>
        </w:rPr>
        <w:t xml:space="preserve"> </w:t>
      </w:r>
      <w:r w:rsidR="006C20BC" w:rsidRPr="00696F41">
        <w:rPr>
          <w:rFonts w:ascii="Book Antiqua" w:hAnsi="Book Antiqua"/>
        </w:rPr>
        <w:t>636-</w:t>
      </w:r>
      <w:r w:rsidR="006C20BC" w:rsidRPr="00696F41">
        <w:rPr>
          <w:rFonts w:ascii="Book Antiqua" w:hAnsi="Book Antiqua" w:hint="eastAsia"/>
          <w:lang w:eastAsia="zh-CN"/>
        </w:rPr>
        <w:t>6</w:t>
      </w:r>
      <w:r w:rsidR="006C20BC" w:rsidRPr="00696F41">
        <w:rPr>
          <w:rFonts w:ascii="Book Antiqua" w:hAnsi="Book Antiqua"/>
        </w:rPr>
        <w:t xml:space="preserve">43 </w:t>
      </w:r>
      <w:r w:rsidR="006C20BC" w:rsidRPr="00696F41">
        <w:rPr>
          <w:rFonts w:ascii="Book Antiqua" w:hAnsi="Book Antiqua" w:hint="eastAsia"/>
          <w:lang w:eastAsia="zh-CN"/>
        </w:rPr>
        <w:t>[</w:t>
      </w:r>
      <w:r w:rsidR="006C20BC" w:rsidRPr="00696F41">
        <w:rPr>
          <w:rFonts w:ascii="Book Antiqua" w:hAnsi="Book Antiqua"/>
        </w:rPr>
        <w:t>PMID: 20017834</w:t>
      </w:r>
      <w:r w:rsidR="006C20BC" w:rsidRPr="00696F41">
        <w:rPr>
          <w:rFonts w:ascii="Book Antiqua" w:hAnsi="Book Antiqua" w:hint="eastAsia"/>
          <w:lang w:eastAsia="zh-CN"/>
        </w:rPr>
        <w:t xml:space="preserve"> DOI</w:t>
      </w:r>
      <w:r w:rsidR="006C20BC" w:rsidRPr="00696F41">
        <w:rPr>
          <w:rFonts w:ascii="Book Antiqua" w:hAnsi="Book Antiqua"/>
        </w:rPr>
        <w:t>: 10.1111/j.1525-139X.2009.00659.x</w:t>
      </w:r>
      <w:r w:rsidR="006C20BC" w:rsidRPr="00696F41">
        <w:rPr>
          <w:rFonts w:ascii="Book Antiqua" w:hAnsi="Book Antiqua" w:hint="eastAsia"/>
          <w:lang w:eastAsia="zh-CN"/>
        </w:rPr>
        <w:t>]</w:t>
      </w:r>
    </w:p>
    <w:p w14:paraId="2DF0E883" w14:textId="77777777" w:rsidR="00107B1E" w:rsidRPr="00696F41" w:rsidRDefault="00107B1E" w:rsidP="00107B1E">
      <w:pPr>
        <w:spacing w:line="360" w:lineRule="auto"/>
        <w:jc w:val="both"/>
        <w:rPr>
          <w:rFonts w:ascii="Book Antiqua" w:hAnsi="Book Antiqua"/>
        </w:rPr>
      </w:pPr>
      <w:r w:rsidRPr="00696F41">
        <w:rPr>
          <w:rFonts w:ascii="Book Antiqua" w:hAnsi="Book Antiqua"/>
        </w:rPr>
        <w:t xml:space="preserve">32 </w:t>
      </w:r>
      <w:r w:rsidRPr="00696F41">
        <w:rPr>
          <w:rFonts w:ascii="Book Antiqua" w:hAnsi="Book Antiqua"/>
          <w:b/>
          <w:bCs/>
        </w:rPr>
        <w:t>Roob JM</w:t>
      </w:r>
      <w:r w:rsidRPr="00696F41">
        <w:rPr>
          <w:rFonts w:ascii="Book Antiqua" w:hAnsi="Book Antiqua"/>
        </w:rPr>
        <w:t xml:space="preserve">, Khoschsorur G, Tiran A, Horina JH, Holzer H, Winklhofer-Roob BM. Vitamin E attenuates oxidative stress induced by intravenous iron in patients on hemodialysis. </w:t>
      </w:r>
      <w:r w:rsidRPr="00696F41">
        <w:rPr>
          <w:rFonts w:ascii="Book Antiqua" w:hAnsi="Book Antiqua"/>
          <w:i/>
          <w:iCs/>
        </w:rPr>
        <w:t>J Am Soc Nephrol</w:t>
      </w:r>
      <w:r w:rsidRPr="00696F41">
        <w:rPr>
          <w:rFonts w:ascii="Book Antiqua" w:hAnsi="Book Antiqua"/>
        </w:rPr>
        <w:t xml:space="preserve"> 2000; </w:t>
      </w:r>
      <w:r w:rsidRPr="00696F41">
        <w:rPr>
          <w:rFonts w:ascii="Book Antiqua" w:hAnsi="Book Antiqua"/>
          <w:b/>
          <w:bCs/>
        </w:rPr>
        <w:t>11</w:t>
      </w:r>
      <w:r w:rsidRPr="00696F41">
        <w:rPr>
          <w:rFonts w:ascii="Book Antiqua" w:hAnsi="Book Antiqua"/>
        </w:rPr>
        <w:t>: 539-549 [PMID: 10703678 DOI: 10.1681/ASN.V113539]</w:t>
      </w:r>
    </w:p>
    <w:p w14:paraId="0E14A264" w14:textId="77777777" w:rsidR="00107B1E" w:rsidRPr="00696F41" w:rsidRDefault="00107B1E" w:rsidP="00107B1E">
      <w:pPr>
        <w:spacing w:line="360" w:lineRule="auto"/>
        <w:jc w:val="both"/>
        <w:rPr>
          <w:rFonts w:ascii="Book Antiqua" w:hAnsi="Book Antiqua"/>
        </w:rPr>
      </w:pPr>
      <w:r w:rsidRPr="00696F41">
        <w:rPr>
          <w:rFonts w:ascii="Book Antiqua" w:hAnsi="Book Antiqua"/>
        </w:rPr>
        <w:t xml:space="preserve">33 </w:t>
      </w:r>
      <w:r w:rsidRPr="00696F41">
        <w:rPr>
          <w:rFonts w:ascii="Book Antiqua" w:hAnsi="Book Antiqua"/>
          <w:b/>
          <w:bCs/>
        </w:rPr>
        <w:t>Kato A</w:t>
      </w:r>
      <w:r w:rsidRPr="00696F41">
        <w:rPr>
          <w:rFonts w:ascii="Book Antiqua" w:hAnsi="Book Antiqua"/>
        </w:rPr>
        <w:t xml:space="preserve">, Odamaki M, Hishida A. Blood 8-hydroxy-2'-deoxyguanosine is associated with erythropoietin resistance in haemodialysis patients. </w:t>
      </w:r>
      <w:r w:rsidRPr="00696F41">
        <w:rPr>
          <w:rFonts w:ascii="Book Antiqua" w:hAnsi="Book Antiqua"/>
          <w:i/>
          <w:iCs/>
        </w:rPr>
        <w:t>Nephrol Dial Transplant</w:t>
      </w:r>
      <w:r w:rsidRPr="00696F41">
        <w:rPr>
          <w:rFonts w:ascii="Book Antiqua" w:hAnsi="Book Antiqua"/>
        </w:rPr>
        <w:t xml:space="preserve"> 2003; </w:t>
      </w:r>
      <w:r w:rsidRPr="00696F41">
        <w:rPr>
          <w:rFonts w:ascii="Book Antiqua" w:hAnsi="Book Antiqua"/>
          <w:b/>
          <w:bCs/>
        </w:rPr>
        <w:t>18</w:t>
      </w:r>
      <w:r w:rsidRPr="00696F41">
        <w:rPr>
          <w:rFonts w:ascii="Book Antiqua" w:hAnsi="Book Antiqua"/>
        </w:rPr>
        <w:t>: 931-936 [PMID: 12686667 DOI: 10.1093/ndt/gfg070]</w:t>
      </w:r>
    </w:p>
    <w:p w14:paraId="48A67DAA" w14:textId="77777777" w:rsidR="00107B1E" w:rsidRPr="00696F41" w:rsidRDefault="00107B1E" w:rsidP="00107B1E">
      <w:pPr>
        <w:spacing w:line="360" w:lineRule="auto"/>
        <w:jc w:val="both"/>
        <w:rPr>
          <w:rFonts w:ascii="Book Antiqua" w:hAnsi="Book Antiqua"/>
          <w:lang w:eastAsia="zh-CN"/>
        </w:rPr>
      </w:pPr>
      <w:r w:rsidRPr="00696F41">
        <w:rPr>
          <w:rFonts w:ascii="Book Antiqua" w:hAnsi="Book Antiqua"/>
        </w:rPr>
        <w:t xml:space="preserve">34 </w:t>
      </w:r>
      <w:r w:rsidR="0032779C" w:rsidRPr="00696F41">
        <w:rPr>
          <w:rFonts w:ascii="Book Antiqua" w:hAnsi="Book Antiqua"/>
          <w:b/>
        </w:rPr>
        <w:t>Goicoechea M,</w:t>
      </w:r>
      <w:r w:rsidR="0032779C" w:rsidRPr="00696F41">
        <w:rPr>
          <w:rFonts w:ascii="Book Antiqua" w:hAnsi="Book Antiqua"/>
        </w:rPr>
        <w:t xml:space="preserve"> Gomez-Campdera F, Polo JR, Tejedor A, Ruiz MA, Vazquez I, Verde E, Valderrabano F. Secondary hyperparathyroidism as cause of resistance to treatment with erythropoietin: effect of parathyroidectomy. </w:t>
      </w:r>
      <w:r w:rsidR="0032779C" w:rsidRPr="00696F41">
        <w:rPr>
          <w:rFonts w:ascii="Book Antiqua" w:hAnsi="Book Antiqua"/>
          <w:i/>
        </w:rPr>
        <w:t>Clin Nephrol</w:t>
      </w:r>
      <w:r w:rsidR="0032779C" w:rsidRPr="00696F41">
        <w:rPr>
          <w:rFonts w:ascii="Book Antiqua" w:hAnsi="Book Antiqua"/>
        </w:rPr>
        <w:t xml:space="preserve"> 1996;</w:t>
      </w:r>
      <w:r w:rsidR="0032779C" w:rsidRPr="00696F41">
        <w:rPr>
          <w:rFonts w:ascii="Book Antiqua" w:hAnsi="Book Antiqua" w:hint="eastAsia"/>
          <w:b/>
          <w:lang w:eastAsia="zh-CN"/>
        </w:rPr>
        <w:t xml:space="preserve"> </w:t>
      </w:r>
      <w:r w:rsidR="0032779C" w:rsidRPr="00696F41">
        <w:rPr>
          <w:rFonts w:ascii="Book Antiqua" w:hAnsi="Book Antiqua"/>
          <w:b/>
        </w:rPr>
        <w:t>45:</w:t>
      </w:r>
      <w:r w:rsidR="0032779C" w:rsidRPr="00696F41">
        <w:rPr>
          <w:rFonts w:ascii="Book Antiqua" w:hAnsi="Book Antiqua" w:hint="eastAsia"/>
          <w:lang w:eastAsia="zh-CN"/>
        </w:rPr>
        <w:t xml:space="preserve"> </w:t>
      </w:r>
      <w:r w:rsidR="0032779C" w:rsidRPr="00696F41">
        <w:rPr>
          <w:rFonts w:ascii="Book Antiqua" w:hAnsi="Book Antiqua"/>
        </w:rPr>
        <w:t>420-</w:t>
      </w:r>
      <w:r w:rsidR="0032779C" w:rsidRPr="00696F41">
        <w:rPr>
          <w:rFonts w:ascii="Book Antiqua" w:hAnsi="Book Antiqua" w:hint="eastAsia"/>
          <w:lang w:eastAsia="zh-CN"/>
        </w:rPr>
        <w:t>42</w:t>
      </w:r>
      <w:r w:rsidR="0032779C" w:rsidRPr="00696F41">
        <w:rPr>
          <w:rFonts w:ascii="Book Antiqua" w:hAnsi="Book Antiqua"/>
        </w:rPr>
        <w:t xml:space="preserve">1 </w:t>
      </w:r>
      <w:r w:rsidR="0032779C" w:rsidRPr="00696F41">
        <w:rPr>
          <w:rFonts w:ascii="Book Antiqua" w:hAnsi="Book Antiqua" w:hint="eastAsia"/>
          <w:lang w:eastAsia="zh-CN"/>
        </w:rPr>
        <w:t>[</w:t>
      </w:r>
      <w:r w:rsidR="0032779C" w:rsidRPr="00696F41">
        <w:rPr>
          <w:rFonts w:ascii="Book Antiqua" w:hAnsi="Book Antiqua"/>
        </w:rPr>
        <w:t>PMID: 8793241</w:t>
      </w:r>
      <w:r w:rsidR="0032779C" w:rsidRPr="00696F41">
        <w:rPr>
          <w:rFonts w:ascii="Book Antiqua" w:hAnsi="Book Antiqua" w:hint="eastAsia"/>
          <w:lang w:eastAsia="zh-CN"/>
        </w:rPr>
        <w:t>]</w:t>
      </w:r>
    </w:p>
    <w:p w14:paraId="362FCA76" w14:textId="77777777" w:rsidR="00107B1E" w:rsidRPr="00696F41" w:rsidRDefault="00107B1E" w:rsidP="00107B1E">
      <w:pPr>
        <w:spacing w:line="360" w:lineRule="auto"/>
        <w:jc w:val="both"/>
        <w:rPr>
          <w:rFonts w:ascii="Book Antiqua" w:hAnsi="Book Antiqua"/>
        </w:rPr>
      </w:pPr>
      <w:r w:rsidRPr="00696F41">
        <w:rPr>
          <w:rFonts w:ascii="Book Antiqua" w:hAnsi="Book Antiqua"/>
        </w:rPr>
        <w:t xml:space="preserve">35 </w:t>
      </w:r>
      <w:r w:rsidRPr="00696F41">
        <w:rPr>
          <w:rFonts w:ascii="Book Antiqua" w:hAnsi="Book Antiqua"/>
          <w:b/>
          <w:bCs/>
        </w:rPr>
        <w:t>Albitar S</w:t>
      </w:r>
      <w:r w:rsidRPr="00696F41">
        <w:rPr>
          <w:rFonts w:ascii="Book Antiqua" w:hAnsi="Book Antiqua"/>
        </w:rPr>
        <w:t xml:space="preserve">, Genin R, Fen-Chong M, Serveaux MO, Bourgeon B. High dose enalapril impairs the response to erythropoietin treatment in haemodialysis patients. </w:t>
      </w:r>
      <w:r w:rsidRPr="00696F41">
        <w:rPr>
          <w:rFonts w:ascii="Book Antiqua" w:hAnsi="Book Antiqua"/>
          <w:i/>
          <w:iCs/>
        </w:rPr>
        <w:t>Nephrol Dial Transplant</w:t>
      </w:r>
      <w:r w:rsidRPr="00696F41">
        <w:rPr>
          <w:rFonts w:ascii="Book Antiqua" w:hAnsi="Book Antiqua"/>
        </w:rPr>
        <w:t xml:space="preserve"> 1998; </w:t>
      </w:r>
      <w:r w:rsidRPr="00696F41">
        <w:rPr>
          <w:rFonts w:ascii="Book Antiqua" w:hAnsi="Book Antiqua"/>
          <w:b/>
          <w:bCs/>
        </w:rPr>
        <w:t>13</w:t>
      </w:r>
      <w:r w:rsidRPr="00696F41">
        <w:rPr>
          <w:rFonts w:ascii="Book Antiqua" w:hAnsi="Book Antiqua"/>
        </w:rPr>
        <w:t>: 1206-1210 [PMID: 9623555 DOI: 10.1093/ndt/13.5.1206]</w:t>
      </w:r>
    </w:p>
    <w:p w14:paraId="6276D354" w14:textId="77777777" w:rsidR="00107B1E" w:rsidRPr="00696F41" w:rsidRDefault="00107B1E" w:rsidP="00107B1E">
      <w:pPr>
        <w:spacing w:line="360" w:lineRule="auto"/>
        <w:jc w:val="both"/>
        <w:rPr>
          <w:rFonts w:ascii="Book Antiqua" w:hAnsi="Book Antiqua"/>
        </w:rPr>
      </w:pPr>
      <w:r w:rsidRPr="00696F41">
        <w:rPr>
          <w:rFonts w:ascii="Book Antiqua" w:hAnsi="Book Antiqua"/>
        </w:rPr>
        <w:t xml:space="preserve">36 </w:t>
      </w:r>
      <w:r w:rsidRPr="00696F41">
        <w:rPr>
          <w:rFonts w:ascii="Book Antiqua" w:hAnsi="Book Antiqua"/>
          <w:b/>
          <w:bCs/>
        </w:rPr>
        <w:t>Azizi M</w:t>
      </w:r>
      <w:r w:rsidRPr="00696F41">
        <w:rPr>
          <w:rFonts w:ascii="Book Antiqua" w:hAnsi="Book Antiqua"/>
        </w:rPr>
        <w:t xml:space="preserve">, Rousseau A, Ezan E, Guyene TT, Michelet S, Grognet JM, Lenfant M, Corvol P, Ménard J. Acute angiotensin-converting enzyme inhibition increases the plasma level of the natural stem cell regulator N-acetyl-seryl-aspartyl-lysyl-proline. </w:t>
      </w:r>
      <w:r w:rsidRPr="00696F41">
        <w:rPr>
          <w:rFonts w:ascii="Book Antiqua" w:hAnsi="Book Antiqua"/>
          <w:i/>
          <w:iCs/>
        </w:rPr>
        <w:t>J Clin Invest</w:t>
      </w:r>
      <w:r w:rsidRPr="00696F41">
        <w:rPr>
          <w:rFonts w:ascii="Book Antiqua" w:hAnsi="Book Antiqua"/>
        </w:rPr>
        <w:t xml:space="preserve"> 1996; </w:t>
      </w:r>
      <w:r w:rsidRPr="00696F41">
        <w:rPr>
          <w:rFonts w:ascii="Book Antiqua" w:hAnsi="Book Antiqua"/>
          <w:b/>
          <w:bCs/>
        </w:rPr>
        <w:t>97</w:t>
      </w:r>
      <w:r w:rsidRPr="00696F41">
        <w:rPr>
          <w:rFonts w:ascii="Book Antiqua" w:hAnsi="Book Antiqua"/>
        </w:rPr>
        <w:t>: 839-844 [PMID: 8609242 DOI: 10.1172/JCI118484]</w:t>
      </w:r>
    </w:p>
    <w:p w14:paraId="03961BC8" w14:textId="77777777" w:rsidR="00107B1E" w:rsidRPr="00696F41" w:rsidRDefault="00107B1E" w:rsidP="00107B1E">
      <w:pPr>
        <w:spacing w:line="360" w:lineRule="auto"/>
        <w:jc w:val="both"/>
        <w:rPr>
          <w:rFonts w:ascii="Book Antiqua" w:hAnsi="Book Antiqua"/>
        </w:rPr>
      </w:pPr>
      <w:r w:rsidRPr="00696F41">
        <w:rPr>
          <w:rFonts w:ascii="Book Antiqua" w:hAnsi="Book Antiqua"/>
        </w:rPr>
        <w:lastRenderedPageBreak/>
        <w:t xml:space="preserve">37 </w:t>
      </w:r>
      <w:r w:rsidRPr="00696F41">
        <w:rPr>
          <w:rFonts w:ascii="Book Antiqua" w:hAnsi="Book Antiqua"/>
          <w:b/>
          <w:bCs/>
        </w:rPr>
        <w:t>Strengers PFW,</w:t>
      </w:r>
      <w:r w:rsidRPr="00696F41">
        <w:rPr>
          <w:rFonts w:ascii="Book Antiqua" w:hAnsi="Book Antiqua"/>
        </w:rPr>
        <w:t xml:space="preserve"> </w:t>
      </w:r>
      <w:r w:rsidR="00AE1F51" w:rsidRPr="00696F41">
        <w:rPr>
          <w:rFonts w:ascii="Book Antiqua" w:hAnsi="Book Antiqua"/>
        </w:rPr>
        <w:t>Twuijver Ev. Chapter 33-</w:t>
      </w:r>
      <w:r w:rsidRPr="00696F41">
        <w:rPr>
          <w:rFonts w:ascii="Book Antiqua" w:hAnsi="Book Antiqua"/>
        </w:rPr>
        <w:t>Blood, blood components, plasma, and plasma products. In: Aronson JK, editor. Side Effects of Drugs Annual: Elsevier; 2009</w:t>
      </w:r>
      <w:r w:rsidR="00AE1F51" w:rsidRPr="00696F41">
        <w:rPr>
          <w:rFonts w:ascii="Book Antiqua" w:hAnsi="Book Antiqua" w:hint="eastAsia"/>
          <w:lang w:eastAsia="zh-CN"/>
        </w:rPr>
        <w:t>:</w:t>
      </w:r>
      <w:r w:rsidRPr="00696F41">
        <w:rPr>
          <w:rFonts w:ascii="Book Antiqua" w:hAnsi="Book Antiqua"/>
        </w:rPr>
        <w:t xml:space="preserve"> 527-546</w:t>
      </w:r>
    </w:p>
    <w:p w14:paraId="30B4681A" w14:textId="77777777" w:rsidR="00107B1E" w:rsidRPr="00696F41" w:rsidRDefault="00107B1E" w:rsidP="00107B1E">
      <w:pPr>
        <w:spacing w:line="360" w:lineRule="auto"/>
        <w:jc w:val="both"/>
        <w:rPr>
          <w:rFonts w:ascii="Book Antiqua" w:hAnsi="Book Antiqua"/>
        </w:rPr>
      </w:pPr>
      <w:r w:rsidRPr="00696F41">
        <w:rPr>
          <w:rFonts w:ascii="Book Antiqua" w:hAnsi="Book Antiqua"/>
        </w:rPr>
        <w:t xml:space="preserve">38 </w:t>
      </w:r>
      <w:r w:rsidRPr="00696F41">
        <w:rPr>
          <w:rFonts w:ascii="Book Antiqua" w:hAnsi="Book Antiqua"/>
          <w:b/>
          <w:bCs/>
        </w:rPr>
        <w:t>Nomoto Y</w:t>
      </w:r>
      <w:r w:rsidRPr="00696F41">
        <w:rPr>
          <w:rFonts w:ascii="Book Antiqua" w:hAnsi="Book Antiqua"/>
        </w:rPr>
        <w:t xml:space="preserve">, Kawaguchi Y, Kubota M, Tagawa H, Kubo K, Ogura Y, Shoji T, Kawada Y, Koshikawa S, Mimura N. A multicenter study with once a week or once every two weeks high-dose subcutaneous administration of recombinant human erythropoietin in continuous ambulatory peritoneal dialysis. </w:t>
      </w:r>
      <w:r w:rsidRPr="00696F41">
        <w:rPr>
          <w:rFonts w:ascii="Book Antiqua" w:hAnsi="Book Antiqua"/>
          <w:i/>
          <w:iCs/>
        </w:rPr>
        <w:t>Perit Dial Int</w:t>
      </w:r>
      <w:r w:rsidRPr="00696F41">
        <w:rPr>
          <w:rFonts w:ascii="Book Antiqua" w:hAnsi="Book Antiqua"/>
        </w:rPr>
        <w:t xml:space="preserve"> 1994; </w:t>
      </w:r>
      <w:r w:rsidRPr="00696F41">
        <w:rPr>
          <w:rFonts w:ascii="Book Antiqua" w:hAnsi="Book Antiqua"/>
          <w:b/>
          <w:bCs/>
        </w:rPr>
        <w:t>14</w:t>
      </w:r>
      <w:r w:rsidRPr="00696F41">
        <w:rPr>
          <w:rFonts w:ascii="Book Antiqua" w:hAnsi="Book Antiqua"/>
        </w:rPr>
        <w:t>: 56-60 [PMID: 8312416]</w:t>
      </w:r>
    </w:p>
    <w:p w14:paraId="140A79E0" w14:textId="77777777" w:rsidR="00107B1E" w:rsidRPr="00696F41" w:rsidRDefault="00107B1E" w:rsidP="00107B1E">
      <w:pPr>
        <w:spacing w:line="360" w:lineRule="auto"/>
        <w:jc w:val="both"/>
        <w:rPr>
          <w:rFonts w:ascii="Book Antiqua" w:hAnsi="Book Antiqua"/>
        </w:rPr>
      </w:pPr>
      <w:r w:rsidRPr="00696F41">
        <w:rPr>
          <w:rFonts w:ascii="Book Antiqua" w:hAnsi="Book Antiqua"/>
        </w:rPr>
        <w:t xml:space="preserve">39 </w:t>
      </w:r>
      <w:r w:rsidRPr="00696F41">
        <w:rPr>
          <w:rFonts w:ascii="Book Antiqua" w:hAnsi="Book Antiqua"/>
          <w:b/>
          <w:bCs/>
        </w:rPr>
        <w:t>McKoy JM</w:t>
      </w:r>
      <w:r w:rsidRPr="00696F41">
        <w:rPr>
          <w:rFonts w:ascii="Book Antiqua" w:hAnsi="Book Antiqua"/>
        </w:rPr>
        <w:t xml:space="preserve">, Stonecash RE, Cournoyer D, Rossert J, Nissenson AR, Raisch DW, Casadevall N, Bennett CL. Epoetin-associated pure red cell aplasia: past, present, and future considerations. </w:t>
      </w:r>
      <w:r w:rsidRPr="00696F41">
        <w:rPr>
          <w:rFonts w:ascii="Book Antiqua" w:hAnsi="Book Antiqua"/>
          <w:i/>
          <w:iCs/>
        </w:rPr>
        <w:t>Transfusion</w:t>
      </w:r>
      <w:r w:rsidRPr="00696F41">
        <w:rPr>
          <w:rFonts w:ascii="Book Antiqua" w:hAnsi="Book Antiqua"/>
        </w:rPr>
        <w:t xml:space="preserve"> 2008; </w:t>
      </w:r>
      <w:r w:rsidRPr="00696F41">
        <w:rPr>
          <w:rFonts w:ascii="Book Antiqua" w:hAnsi="Book Antiqua"/>
          <w:b/>
          <w:bCs/>
        </w:rPr>
        <w:t>48</w:t>
      </w:r>
      <w:r w:rsidRPr="00696F41">
        <w:rPr>
          <w:rFonts w:ascii="Book Antiqua" w:hAnsi="Book Antiqua"/>
        </w:rPr>
        <w:t>: 1754-1762 [PMID: 18482185 DOI: 10.1111/j.1537-2995.2008.01749.x]</w:t>
      </w:r>
    </w:p>
    <w:p w14:paraId="70F24457" w14:textId="77777777" w:rsidR="00A77B3E" w:rsidRPr="00696F41" w:rsidRDefault="00A77B3E" w:rsidP="00107B1E">
      <w:pPr>
        <w:spacing w:line="360" w:lineRule="auto"/>
        <w:jc w:val="both"/>
        <w:rPr>
          <w:rFonts w:ascii="Book Antiqua" w:hAnsi="Book Antiqua"/>
        </w:rPr>
      </w:pPr>
    </w:p>
    <w:p w14:paraId="19349FC4" w14:textId="77777777" w:rsidR="00A77B3E" w:rsidRPr="00696F41" w:rsidRDefault="00A77B3E" w:rsidP="00107B1E">
      <w:pPr>
        <w:spacing w:line="360" w:lineRule="auto"/>
        <w:jc w:val="both"/>
        <w:rPr>
          <w:rFonts w:ascii="Book Antiqua" w:hAnsi="Book Antiqua"/>
        </w:rPr>
        <w:sectPr w:rsidR="00A77B3E" w:rsidRPr="00696F41">
          <w:footerReference w:type="default" r:id="rId8"/>
          <w:pgSz w:w="12240" w:h="15840"/>
          <w:pgMar w:top="1440" w:right="1440" w:bottom="1440" w:left="1440" w:header="720" w:footer="720" w:gutter="0"/>
          <w:cols w:space="720"/>
          <w:docGrid w:linePitch="360"/>
        </w:sectPr>
      </w:pPr>
    </w:p>
    <w:p w14:paraId="12E1D3E2"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b/>
          <w:color w:val="000000"/>
        </w:rPr>
        <w:lastRenderedPageBreak/>
        <w:t>Footnotes</w:t>
      </w:r>
    </w:p>
    <w:p w14:paraId="7C8A48FC" w14:textId="77777777" w:rsidR="00A77B3E" w:rsidRPr="00696F41" w:rsidRDefault="00485933" w:rsidP="00107B1E">
      <w:pPr>
        <w:spacing w:line="360" w:lineRule="auto"/>
        <w:jc w:val="both"/>
        <w:rPr>
          <w:rFonts w:ascii="Book Antiqua" w:hAnsi="Book Antiqua" w:cs="Book Antiqua"/>
          <w:color w:val="000000"/>
          <w:lang w:eastAsia="zh-CN"/>
        </w:rPr>
      </w:pPr>
      <w:r w:rsidRPr="00696F41">
        <w:rPr>
          <w:rFonts w:ascii="Book Antiqua" w:eastAsia="Book Antiqua" w:hAnsi="Book Antiqua" w:cs="Book Antiqua"/>
          <w:b/>
          <w:bCs/>
          <w:color w:val="000000"/>
        </w:rPr>
        <w:t xml:space="preserve">Institutional review board statement: </w:t>
      </w:r>
      <w:r w:rsidRPr="00696F41">
        <w:rPr>
          <w:rFonts w:ascii="Book Antiqua" w:eastAsia="Book Antiqua" w:hAnsi="Book Antiqua" w:cs="Book Antiqua"/>
          <w:color w:val="000000"/>
        </w:rPr>
        <w:t>The study was reviewed and approved by the Ethics Committee, Institute for the Development of Human Research Protections (IHRP)</w:t>
      </w:r>
      <w:r w:rsidR="00F92ADE" w:rsidRPr="00696F41">
        <w:rPr>
          <w:rFonts w:ascii="Book Antiqua" w:hAnsi="Book Antiqua" w:cs="Book Antiqua"/>
          <w:color w:val="000000"/>
          <w:lang w:eastAsia="zh-CN"/>
        </w:rPr>
        <w:t>,</w:t>
      </w:r>
      <w:r w:rsidRPr="00696F41">
        <w:rPr>
          <w:rFonts w:ascii="Book Antiqua" w:eastAsia="Book Antiqua" w:hAnsi="Book Antiqua" w:cs="Book Antiqua"/>
          <w:color w:val="000000"/>
        </w:rPr>
        <w:t xml:space="preserve"> </w:t>
      </w:r>
      <w:r w:rsidR="00F92ADE" w:rsidRPr="00696F41">
        <w:rPr>
          <w:rFonts w:ascii="Book Antiqua" w:hAnsi="Book Antiqua" w:cs="Book Antiqua"/>
          <w:color w:val="000000"/>
          <w:lang w:eastAsia="zh-CN"/>
        </w:rPr>
        <w:t>No.</w:t>
      </w:r>
      <w:r w:rsidRPr="00696F41">
        <w:rPr>
          <w:rFonts w:ascii="Book Antiqua" w:eastAsia="Book Antiqua" w:hAnsi="Book Antiqua" w:cs="Book Antiqua"/>
          <w:color w:val="000000"/>
        </w:rPr>
        <w:t xml:space="preserve"> IHRP 2365/2556</w:t>
      </w:r>
      <w:r w:rsidR="00F92ADE" w:rsidRPr="00696F41">
        <w:rPr>
          <w:rFonts w:ascii="Book Antiqua" w:hAnsi="Book Antiqua" w:cs="Book Antiqua"/>
          <w:color w:val="000000"/>
          <w:lang w:eastAsia="zh-CN"/>
        </w:rPr>
        <w:t>;</w:t>
      </w:r>
      <w:r w:rsidRPr="00696F41">
        <w:rPr>
          <w:rFonts w:ascii="Book Antiqua" w:eastAsia="Book Antiqua" w:hAnsi="Book Antiqua" w:cs="Book Antiqua"/>
          <w:color w:val="000000"/>
        </w:rPr>
        <w:t xml:space="preserve"> The Ethics Committee of Udon Thani Hospital</w:t>
      </w:r>
      <w:r w:rsidR="00F92ADE" w:rsidRPr="00696F41">
        <w:rPr>
          <w:rFonts w:ascii="Book Antiqua" w:hAnsi="Book Antiqua" w:cs="Book Antiqua"/>
          <w:color w:val="000000"/>
          <w:lang w:eastAsia="zh-CN"/>
        </w:rPr>
        <w:t>,</w:t>
      </w:r>
      <w:r w:rsidR="00F92ADE" w:rsidRPr="00696F41">
        <w:rPr>
          <w:rFonts w:ascii="Book Antiqua" w:eastAsia="Book Antiqua" w:hAnsi="Book Antiqua" w:cs="Book Antiqua"/>
          <w:color w:val="000000"/>
        </w:rPr>
        <w:t xml:space="preserve"> </w:t>
      </w:r>
      <w:r w:rsidRPr="00696F41">
        <w:rPr>
          <w:rFonts w:ascii="Book Antiqua" w:eastAsia="Book Antiqua" w:hAnsi="Book Antiqua" w:cs="Book Antiqua"/>
          <w:color w:val="000000"/>
        </w:rPr>
        <w:t>No. 8/2559</w:t>
      </w:r>
      <w:r w:rsidR="00F92ADE" w:rsidRPr="00696F41">
        <w:rPr>
          <w:rFonts w:ascii="Book Antiqua" w:hAnsi="Book Antiqua" w:cs="Book Antiqua"/>
          <w:color w:val="000000"/>
          <w:lang w:eastAsia="zh-CN"/>
        </w:rPr>
        <w:t>;</w:t>
      </w:r>
      <w:r w:rsidRPr="00696F41">
        <w:rPr>
          <w:rFonts w:ascii="Book Antiqua" w:eastAsia="Book Antiqua" w:hAnsi="Book Antiqua" w:cs="Book Antiqua"/>
          <w:color w:val="000000"/>
        </w:rPr>
        <w:t xml:space="preserve"> and Siriraj Institutional Review Board Faculty of Medicine Siriraj Hospital, Mahidol University</w:t>
      </w:r>
      <w:r w:rsidR="00F92ADE" w:rsidRPr="00696F41">
        <w:rPr>
          <w:rFonts w:ascii="Book Antiqua" w:hAnsi="Book Antiqua" w:cs="Book Antiqua"/>
          <w:color w:val="000000"/>
          <w:lang w:eastAsia="zh-CN"/>
        </w:rPr>
        <w:t>,</w:t>
      </w:r>
      <w:r w:rsidR="00F92ADE" w:rsidRPr="00696F41">
        <w:rPr>
          <w:rFonts w:ascii="Book Antiqua" w:eastAsia="Book Antiqua" w:hAnsi="Book Antiqua" w:cs="Book Antiqua"/>
          <w:color w:val="000000"/>
        </w:rPr>
        <w:t xml:space="preserve"> </w:t>
      </w:r>
      <w:r w:rsidR="00F92ADE" w:rsidRPr="00696F41">
        <w:rPr>
          <w:rFonts w:ascii="Book Antiqua" w:hAnsi="Book Antiqua" w:cs="Book Antiqua"/>
          <w:color w:val="000000"/>
          <w:lang w:eastAsia="zh-CN"/>
        </w:rPr>
        <w:t>No.</w:t>
      </w:r>
      <w:r w:rsidR="00F92ADE" w:rsidRPr="00696F41">
        <w:rPr>
          <w:rFonts w:ascii="Book Antiqua" w:eastAsia="Book Antiqua" w:hAnsi="Book Antiqua" w:cs="Book Antiqua"/>
          <w:color w:val="000000"/>
        </w:rPr>
        <w:t xml:space="preserve"> Si 588/2016</w:t>
      </w:r>
      <w:r w:rsidRPr="00696F41">
        <w:rPr>
          <w:rFonts w:ascii="Book Antiqua" w:eastAsia="Book Antiqua" w:hAnsi="Book Antiqua" w:cs="Book Antiqua"/>
          <w:color w:val="000000"/>
        </w:rPr>
        <w:t>.</w:t>
      </w:r>
    </w:p>
    <w:p w14:paraId="601EDB1D" w14:textId="77777777" w:rsidR="002008CE" w:rsidRPr="00696F41" w:rsidRDefault="002008CE" w:rsidP="00107B1E">
      <w:pPr>
        <w:spacing w:line="360" w:lineRule="auto"/>
        <w:jc w:val="both"/>
        <w:rPr>
          <w:rFonts w:ascii="Book Antiqua" w:hAnsi="Book Antiqua"/>
          <w:lang w:eastAsia="zh-CN"/>
        </w:rPr>
      </w:pPr>
    </w:p>
    <w:p w14:paraId="1AC8D336" w14:textId="77777777" w:rsidR="00A77B3E" w:rsidRPr="00696F41" w:rsidRDefault="00485933" w:rsidP="00107B1E">
      <w:pPr>
        <w:spacing w:line="360" w:lineRule="auto"/>
        <w:jc w:val="both"/>
        <w:rPr>
          <w:rFonts w:ascii="Book Antiqua" w:hAnsi="Book Antiqua" w:cs="Book Antiqua"/>
          <w:color w:val="000000"/>
          <w:lang w:eastAsia="zh-CN"/>
        </w:rPr>
      </w:pPr>
      <w:r w:rsidRPr="00696F41">
        <w:rPr>
          <w:rFonts w:ascii="Book Antiqua" w:eastAsia="Book Antiqua" w:hAnsi="Book Antiqua" w:cs="Book Antiqua"/>
          <w:b/>
          <w:bCs/>
          <w:color w:val="000000"/>
        </w:rPr>
        <w:t>Clinica</w:t>
      </w:r>
      <w:r w:rsidR="00CB64BE" w:rsidRPr="00696F41">
        <w:rPr>
          <w:rFonts w:ascii="Book Antiqua" w:eastAsia="Book Antiqua" w:hAnsi="Book Antiqua" w:cs="Book Antiqua"/>
          <w:b/>
          <w:bCs/>
          <w:color w:val="000000"/>
        </w:rPr>
        <w:t>l trial registration statement:</w:t>
      </w:r>
      <w:r w:rsidRPr="00696F41">
        <w:rPr>
          <w:rFonts w:ascii="Book Antiqua" w:eastAsia="Book Antiqua" w:hAnsi="Book Antiqua" w:cs="Book Antiqua"/>
          <w:b/>
          <w:bCs/>
          <w:color w:val="000000"/>
        </w:rPr>
        <w:t xml:space="preserve"> </w:t>
      </w:r>
      <w:r w:rsidRPr="00696F41">
        <w:rPr>
          <w:rFonts w:ascii="Book Antiqua" w:eastAsia="Book Antiqua" w:hAnsi="Book Antiqua" w:cs="Book Antiqua"/>
          <w:color w:val="000000"/>
        </w:rPr>
        <w:t xml:space="preserve">The study was registered on the Thai Clinical Trial Registry (TCTR), </w:t>
      </w:r>
      <w:hyperlink r:id="rId9" w:history="1">
        <w:r w:rsidRPr="00696F41">
          <w:rPr>
            <w:rFonts w:ascii="Book Antiqua" w:eastAsia="Book Antiqua" w:hAnsi="Book Antiqua" w:cs="Book Antiqua"/>
            <w:color w:val="000000"/>
            <w:u w:val="single" w:color="0563C1"/>
          </w:rPr>
          <w:t>http://www.thaiclinicaltrials.org/</w:t>
        </w:r>
      </w:hyperlink>
      <w:r w:rsidRPr="00696F41">
        <w:rPr>
          <w:rFonts w:ascii="Book Antiqua" w:eastAsia="Book Antiqua" w:hAnsi="Book Antiqua" w:cs="Book Antiqua"/>
          <w:color w:val="000000"/>
        </w:rPr>
        <w:t xml:space="preserve"> (TCTR ID: 20140128002).</w:t>
      </w:r>
    </w:p>
    <w:p w14:paraId="255B72C5" w14:textId="77777777" w:rsidR="002008CE" w:rsidRPr="00696F41" w:rsidRDefault="002008CE" w:rsidP="00107B1E">
      <w:pPr>
        <w:spacing w:line="360" w:lineRule="auto"/>
        <w:jc w:val="both"/>
        <w:rPr>
          <w:rFonts w:ascii="Book Antiqua" w:hAnsi="Book Antiqua"/>
          <w:lang w:eastAsia="zh-CN"/>
        </w:rPr>
      </w:pPr>
    </w:p>
    <w:p w14:paraId="404EB33A"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b/>
          <w:bCs/>
          <w:color w:val="000000"/>
        </w:rPr>
        <w:t xml:space="preserve">Informed consent statement: </w:t>
      </w:r>
      <w:r w:rsidRPr="00696F41">
        <w:rPr>
          <w:rFonts w:ascii="Book Antiqua" w:eastAsia="Book Antiqua" w:hAnsi="Book Antiqua" w:cs="Book Antiqua"/>
          <w:color w:val="000000"/>
        </w:rPr>
        <w:t>All study participants, or their legal guardian, provided informed written consent prior to study enrollment.</w:t>
      </w:r>
    </w:p>
    <w:p w14:paraId="263E92BC" w14:textId="77777777" w:rsidR="00A77B3E" w:rsidRPr="00696F41" w:rsidRDefault="00A77B3E" w:rsidP="00107B1E">
      <w:pPr>
        <w:spacing w:line="360" w:lineRule="auto"/>
        <w:jc w:val="both"/>
        <w:rPr>
          <w:rFonts w:ascii="Book Antiqua" w:hAnsi="Book Antiqua"/>
        </w:rPr>
      </w:pPr>
    </w:p>
    <w:p w14:paraId="499007E5"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b/>
          <w:bCs/>
          <w:color w:val="000000"/>
        </w:rPr>
        <w:t xml:space="preserve">Conflict-of-interest statement: </w:t>
      </w:r>
      <w:r w:rsidRPr="00696F41">
        <w:rPr>
          <w:rFonts w:ascii="Book Antiqua" w:eastAsia="Book Antiqua" w:hAnsi="Book Antiqua" w:cs="Book Antiqua"/>
          <w:color w:val="000000"/>
        </w:rPr>
        <w:t>All authors declare no potential conflicting in</w:t>
      </w:r>
      <w:r w:rsidR="00454C3A" w:rsidRPr="00696F41">
        <w:rPr>
          <w:rFonts w:ascii="Book Antiqua" w:eastAsia="Book Antiqua" w:hAnsi="Book Antiqua" w:cs="Book Antiqua"/>
          <w:color w:val="000000"/>
        </w:rPr>
        <w:t xml:space="preserve">terests related to this paper. </w:t>
      </w:r>
      <w:r w:rsidRPr="00696F41">
        <w:rPr>
          <w:rFonts w:ascii="Book Antiqua" w:eastAsia="Book Antiqua" w:hAnsi="Book Antiqua" w:cs="Book Antiqua"/>
          <w:color w:val="000000"/>
        </w:rPr>
        <w:t>Although, Apexcela Co., Ltd. supported for the study funding and medication, the study was conducted and the study results were interpreted without the influence of the pharmaceutical company.</w:t>
      </w:r>
    </w:p>
    <w:p w14:paraId="358BAE9D" w14:textId="77777777" w:rsidR="00A77B3E" w:rsidRPr="00696F41" w:rsidRDefault="00A77B3E" w:rsidP="00107B1E">
      <w:pPr>
        <w:spacing w:line="360" w:lineRule="auto"/>
        <w:jc w:val="both"/>
        <w:rPr>
          <w:rFonts w:ascii="Book Antiqua" w:hAnsi="Book Antiqua"/>
        </w:rPr>
      </w:pPr>
    </w:p>
    <w:p w14:paraId="4AB68F62"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b/>
          <w:bCs/>
          <w:color w:val="000000"/>
        </w:rPr>
        <w:t xml:space="preserve">Data sharing statement: </w:t>
      </w:r>
      <w:r w:rsidRPr="00696F41">
        <w:rPr>
          <w:rFonts w:ascii="Book Antiqua" w:eastAsia="Book Antiqua" w:hAnsi="Book Antiqua" w:cs="Book Antiqua"/>
          <w:color w:val="000000"/>
        </w:rPr>
        <w:t>No additional data are available.</w:t>
      </w:r>
    </w:p>
    <w:p w14:paraId="58A76DFA" w14:textId="77777777" w:rsidR="00A77B3E" w:rsidRPr="00696F41" w:rsidRDefault="00A77B3E" w:rsidP="00107B1E">
      <w:pPr>
        <w:spacing w:line="360" w:lineRule="auto"/>
        <w:jc w:val="both"/>
        <w:rPr>
          <w:rFonts w:ascii="Book Antiqua" w:hAnsi="Book Antiqua"/>
        </w:rPr>
      </w:pPr>
    </w:p>
    <w:p w14:paraId="2A3305AF" w14:textId="77777777" w:rsidR="00A77B3E" w:rsidRPr="00696F41" w:rsidRDefault="00233504" w:rsidP="00107B1E">
      <w:pPr>
        <w:spacing w:line="360" w:lineRule="auto"/>
        <w:jc w:val="both"/>
        <w:rPr>
          <w:rFonts w:ascii="Book Antiqua" w:hAnsi="Book Antiqua" w:cs="Book Antiqua"/>
          <w:color w:val="000000"/>
          <w:lang w:eastAsia="zh-CN"/>
        </w:rPr>
      </w:pPr>
      <w:r w:rsidRPr="00696F41">
        <w:rPr>
          <w:rFonts w:ascii="Book Antiqua" w:eastAsia="Book Antiqua" w:hAnsi="Book Antiqua" w:cs="Book Antiqua"/>
          <w:b/>
          <w:bCs/>
          <w:color w:val="000000"/>
        </w:rPr>
        <w:t>CONSORT 2010 statement</w:t>
      </w:r>
      <w:r w:rsidR="00485933" w:rsidRPr="00696F41">
        <w:rPr>
          <w:rFonts w:ascii="Book Antiqua" w:eastAsia="Book Antiqua" w:hAnsi="Book Antiqua" w:cs="Book Antiqua"/>
          <w:b/>
          <w:bCs/>
          <w:color w:val="000000"/>
        </w:rPr>
        <w:t>:</w:t>
      </w:r>
      <w:r w:rsidR="00485933" w:rsidRPr="00696F41">
        <w:rPr>
          <w:rFonts w:ascii="Book Antiqua" w:eastAsia="Book Antiqua" w:hAnsi="Book Antiqua" w:cs="Book Antiqua"/>
          <w:bCs/>
          <w:color w:val="000000"/>
        </w:rPr>
        <w:t xml:space="preserve"> </w:t>
      </w:r>
      <w:r w:rsidRPr="00696F41">
        <w:rPr>
          <w:rFonts w:ascii="Book Antiqua" w:eastAsia="Book Antiqua" w:hAnsi="Book Antiqua" w:cs="Book Antiqua"/>
          <w:color w:val="000000"/>
        </w:rPr>
        <w:t>We did not use CONSORT (for reporting a randomised trial)</w:t>
      </w:r>
      <w:r w:rsidRPr="00696F41">
        <w:rPr>
          <w:rFonts w:ascii="Book Antiqua" w:hAnsi="Book Antiqua" w:cs="Book Antiqua"/>
          <w:color w:val="000000"/>
          <w:lang w:eastAsia="zh-CN"/>
        </w:rPr>
        <w:t>.</w:t>
      </w:r>
    </w:p>
    <w:p w14:paraId="026DD9B4" w14:textId="77777777" w:rsidR="00A77B3E" w:rsidRPr="00696F41" w:rsidRDefault="00A77B3E" w:rsidP="00107B1E">
      <w:pPr>
        <w:spacing w:line="360" w:lineRule="auto"/>
        <w:jc w:val="both"/>
        <w:rPr>
          <w:rFonts w:ascii="Book Antiqua" w:hAnsi="Book Antiqua"/>
        </w:rPr>
      </w:pPr>
    </w:p>
    <w:p w14:paraId="4B457AAC"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b/>
          <w:bCs/>
          <w:color w:val="000000"/>
        </w:rPr>
        <w:t xml:space="preserve">Open-Access: </w:t>
      </w:r>
      <w:r w:rsidRPr="00696F4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37FFFBD" w14:textId="77777777" w:rsidR="00A77B3E" w:rsidRPr="00696F41" w:rsidRDefault="00A77B3E" w:rsidP="00107B1E">
      <w:pPr>
        <w:spacing w:line="360" w:lineRule="auto"/>
        <w:jc w:val="both"/>
        <w:rPr>
          <w:rFonts w:ascii="Book Antiqua" w:hAnsi="Book Antiqua"/>
        </w:rPr>
      </w:pPr>
    </w:p>
    <w:p w14:paraId="2082CBAE" w14:textId="77C4C473" w:rsidR="00A77B3E" w:rsidRPr="00696F41" w:rsidRDefault="00051E3F" w:rsidP="00107B1E">
      <w:pPr>
        <w:spacing w:line="360" w:lineRule="auto"/>
        <w:jc w:val="both"/>
        <w:rPr>
          <w:rFonts w:ascii="Book Antiqua" w:hAnsi="Book Antiqua"/>
        </w:rPr>
      </w:pPr>
      <w:r>
        <w:rPr>
          <w:rFonts w:ascii="Book Antiqua" w:hAnsi="Book Antiqua"/>
          <w:b/>
          <w:bCs/>
          <w:color w:val="000000"/>
        </w:rPr>
        <w:lastRenderedPageBreak/>
        <w:t>Provenance and peer review: </w:t>
      </w:r>
      <w:r>
        <w:rPr>
          <w:rFonts w:ascii="Book Antiqua" w:hAnsi="Book Antiqua"/>
          <w:color w:val="000000"/>
        </w:rPr>
        <w:t>Unsolicited article; Externally peer reviewed.</w:t>
      </w:r>
    </w:p>
    <w:p w14:paraId="54CC99C4" w14:textId="77777777" w:rsidR="00A77B3E" w:rsidRPr="00696F41" w:rsidRDefault="00A77B3E" w:rsidP="00107B1E">
      <w:pPr>
        <w:spacing w:line="360" w:lineRule="auto"/>
        <w:jc w:val="both"/>
        <w:rPr>
          <w:rFonts w:ascii="Book Antiqua" w:hAnsi="Book Antiqua"/>
        </w:rPr>
      </w:pPr>
    </w:p>
    <w:p w14:paraId="4833DFF3"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b/>
          <w:color w:val="000000"/>
        </w:rPr>
        <w:t xml:space="preserve">Peer-review started: </w:t>
      </w:r>
      <w:r w:rsidRPr="00696F41">
        <w:rPr>
          <w:rFonts w:ascii="Book Antiqua" w:eastAsia="Book Antiqua" w:hAnsi="Book Antiqua" w:cs="Book Antiqua"/>
          <w:color w:val="000000"/>
        </w:rPr>
        <w:t>May 9, 2021</w:t>
      </w:r>
    </w:p>
    <w:p w14:paraId="09234EC3"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b/>
          <w:color w:val="000000"/>
        </w:rPr>
        <w:t xml:space="preserve">First decision: </w:t>
      </w:r>
      <w:r w:rsidRPr="00696F41">
        <w:rPr>
          <w:rFonts w:ascii="Book Antiqua" w:eastAsia="Book Antiqua" w:hAnsi="Book Antiqua" w:cs="Book Antiqua"/>
          <w:color w:val="000000"/>
        </w:rPr>
        <w:t>June 6, 2021</w:t>
      </w:r>
    </w:p>
    <w:p w14:paraId="2A914E61" w14:textId="4CD2BF58"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b/>
          <w:color w:val="000000"/>
        </w:rPr>
        <w:t xml:space="preserve">Article in press: </w:t>
      </w:r>
      <w:r w:rsidR="00C630BC" w:rsidRPr="00696F41">
        <w:rPr>
          <w:rFonts w:ascii="Book Antiqua" w:eastAsia="Book Antiqua" w:hAnsi="Book Antiqua" w:cs="Book Antiqua"/>
          <w:color w:val="000000"/>
        </w:rPr>
        <w:t>September 15, 2021</w:t>
      </w:r>
    </w:p>
    <w:p w14:paraId="2378BA47" w14:textId="77777777" w:rsidR="00A77B3E" w:rsidRPr="00696F41" w:rsidRDefault="00A77B3E" w:rsidP="00107B1E">
      <w:pPr>
        <w:spacing w:line="360" w:lineRule="auto"/>
        <w:jc w:val="both"/>
        <w:rPr>
          <w:rFonts w:ascii="Book Antiqua" w:hAnsi="Book Antiqua"/>
        </w:rPr>
      </w:pPr>
    </w:p>
    <w:p w14:paraId="698F03DE"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b/>
          <w:color w:val="000000"/>
        </w:rPr>
        <w:t xml:space="preserve">Specialty type: </w:t>
      </w:r>
      <w:bookmarkStart w:id="0" w:name="OLE_LINK62"/>
      <w:bookmarkStart w:id="1" w:name="OLE_LINK63"/>
      <w:r w:rsidR="00471F75" w:rsidRPr="00696F41">
        <w:rPr>
          <w:rFonts w:ascii="Book Antiqua" w:eastAsia="微软雅黑" w:hAnsi="Book Antiqua" w:cs="宋体"/>
        </w:rPr>
        <w:t>Urology and nephrology</w:t>
      </w:r>
      <w:bookmarkEnd w:id="0"/>
      <w:bookmarkEnd w:id="1"/>
    </w:p>
    <w:p w14:paraId="2E943FD4"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b/>
          <w:color w:val="000000"/>
        </w:rPr>
        <w:t xml:space="preserve">Country/Territory of origin: </w:t>
      </w:r>
      <w:r w:rsidRPr="00696F41">
        <w:rPr>
          <w:rFonts w:ascii="Book Antiqua" w:eastAsia="Book Antiqua" w:hAnsi="Book Antiqua" w:cs="Book Antiqua"/>
          <w:color w:val="000000"/>
        </w:rPr>
        <w:t>Thailand</w:t>
      </w:r>
    </w:p>
    <w:p w14:paraId="08617C3D"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b/>
          <w:color w:val="000000"/>
        </w:rPr>
        <w:t>Peer-review report’s scientific quality classification</w:t>
      </w:r>
    </w:p>
    <w:p w14:paraId="1EE7E9EF"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color w:val="000000"/>
        </w:rPr>
        <w:t>Grade A (Excellent): 0</w:t>
      </w:r>
    </w:p>
    <w:p w14:paraId="42062B06"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color w:val="000000"/>
        </w:rPr>
        <w:t>Grade B (Very good): B</w:t>
      </w:r>
    </w:p>
    <w:p w14:paraId="01AD5DAD"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color w:val="000000"/>
        </w:rPr>
        <w:t>Grade C (Good): 0</w:t>
      </w:r>
    </w:p>
    <w:p w14:paraId="72EF56D0"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color w:val="000000"/>
        </w:rPr>
        <w:t>Grade D (Fair): 0</w:t>
      </w:r>
    </w:p>
    <w:p w14:paraId="62E266C5"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color w:val="000000"/>
        </w:rPr>
        <w:t>Grade E (Poor): 0</w:t>
      </w:r>
    </w:p>
    <w:p w14:paraId="228D720E" w14:textId="77777777" w:rsidR="00A77B3E" w:rsidRPr="00696F41" w:rsidRDefault="00A77B3E" w:rsidP="00107B1E">
      <w:pPr>
        <w:spacing w:line="360" w:lineRule="auto"/>
        <w:jc w:val="both"/>
        <w:rPr>
          <w:rFonts w:ascii="Book Antiqua" w:hAnsi="Book Antiqua"/>
        </w:rPr>
      </w:pPr>
    </w:p>
    <w:p w14:paraId="22609B3C" w14:textId="574F295D" w:rsidR="00A77B3E" w:rsidRPr="00696F41" w:rsidRDefault="00485933" w:rsidP="00107B1E">
      <w:pPr>
        <w:spacing w:line="360" w:lineRule="auto"/>
        <w:jc w:val="both"/>
        <w:rPr>
          <w:rFonts w:ascii="Book Antiqua" w:eastAsia="Book Antiqua" w:hAnsi="Book Antiqua" w:cs="Book Antiqua"/>
          <w:b/>
          <w:color w:val="000000"/>
        </w:rPr>
      </w:pPr>
      <w:r w:rsidRPr="00696F41">
        <w:rPr>
          <w:rFonts w:ascii="Book Antiqua" w:eastAsia="Book Antiqua" w:hAnsi="Book Antiqua" w:cs="Book Antiqua"/>
          <w:b/>
          <w:color w:val="000000"/>
        </w:rPr>
        <w:t xml:space="preserve">P-Reviewer: </w:t>
      </w:r>
      <w:r w:rsidRPr="00696F41">
        <w:rPr>
          <w:rFonts w:ascii="Book Antiqua" w:eastAsia="Book Antiqua" w:hAnsi="Book Antiqua" w:cs="Book Antiqua"/>
          <w:color w:val="000000"/>
        </w:rPr>
        <w:t>Techane T</w:t>
      </w:r>
      <w:r w:rsidRPr="00696F41">
        <w:rPr>
          <w:rFonts w:ascii="Book Antiqua" w:eastAsia="Book Antiqua" w:hAnsi="Book Antiqua" w:cs="Book Antiqua"/>
          <w:b/>
          <w:color w:val="000000"/>
        </w:rPr>
        <w:t xml:space="preserve"> S-Editor: </w:t>
      </w:r>
      <w:r w:rsidR="004B51B2" w:rsidRPr="00696F41">
        <w:rPr>
          <w:rFonts w:ascii="Book Antiqua" w:hAnsi="Book Antiqua" w:cs="Book Antiqua"/>
          <w:color w:val="000000"/>
          <w:lang w:eastAsia="zh-CN"/>
        </w:rPr>
        <w:t>Fan JR</w:t>
      </w:r>
      <w:r w:rsidRPr="00696F41">
        <w:rPr>
          <w:rFonts w:ascii="Book Antiqua" w:eastAsia="Book Antiqua" w:hAnsi="Book Antiqua" w:cs="Book Antiqua"/>
          <w:b/>
          <w:color w:val="000000"/>
        </w:rPr>
        <w:t xml:space="preserve"> L-Editor: </w:t>
      </w:r>
      <w:r w:rsidR="003654F1" w:rsidRPr="00696F41">
        <w:rPr>
          <w:rFonts w:ascii="Book Antiqua" w:hAnsi="Book Antiqua" w:cs="Book Antiqua" w:hint="eastAsia"/>
          <w:color w:val="000000"/>
          <w:lang w:eastAsia="zh-CN"/>
        </w:rPr>
        <w:t>A</w:t>
      </w:r>
      <w:r w:rsidRPr="00696F41">
        <w:rPr>
          <w:rFonts w:ascii="Book Antiqua" w:hAnsi="Book Antiqua" w:cs="Book Antiqua"/>
          <w:color w:val="000000"/>
          <w:lang w:eastAsia="zh-CN"/>
        </w:rPr>
        <w:t xml:space="preserve"> </w:t>
      </w:r>
      <w:r w:rsidRPr="00696F41">
        <w:rPr>
          <w:rFonts w:ascii="Book Antiqua" w:eastAsia="Book Antiqua" w:hAnsi="Book Antiqua" w:cs="Book Antiqua"/>
          <w:b/>
          <w:color w:val="000000"/>
        </w:rPr>
        <w:t xml:space="preserve">P-Editor: </w:t>
      </w:r>
      <w:r w:rsidR="003654F1" w:rsidRPr="00696F41">
        <w:rPr>
          <w:rFonts w:ascii="Book Antiqua" w:hAnsi="Book Antiqua" w:cs="Book Antiqua" w:hint="eastAsia"/>
          <w:color w:val="000000"/>
          <w:lang w:eastAsia="zh-CN"/>
        </w:rPr>
        <w:t>Wu</w:t>
      </w:r>
      <w:r w:rsidR="003654F1" w:rsidRPr="00696F41">
        <w:rPr>
          <w:rFonts w:ascii="Book Antiqua" w:hAnsi="Book Antiqua" w:cs="Book Antiqua"/>
          <w:color w:val="000000"/>
          <w:lang w:eastAsia="zh-CN"/>
        </w:rPr>
        <w:t xml:space="preserve"> </w:t>
      </w:r>
      <w:r w:rsidR="003654F1" w:rsidRPr="00696F41">
        <w:rPr>
          <w:rFonts w:ascii="Book Antiqua" w:hAnsi="Book Antiqua" w:cs="Book Antiqua" w:hint="eastAsia"/>
          <w:color w:val="000000"/>
          <w:lang w:eastAsia="zh-CN"/>
        </w:rPr>
        <w:t>RR</w:t>
      </w:r>
      <w:r w:rsidR="003654F1" w:rsidRPr="00696F41">
        <w:rPr>
          <w:rFonts w:ascii="Book Antiqua" w:hAnsi="Book Antiqua" w:cs="Book Antiqua"/>
          <w:color w:val="000000"/>
          <w:lang w:eastAsia="zh-CN"/>
        </w:rPr>
        <w:t xml:space="preserve"> </w:t>
      </w:r>
      <w:r w:rsidR="003654F1" w:rsidRPr="00696F41">
        <w:rPr>
          <w:rFonts w:ascii="Book Antiqua" w:eastAsia="Book Antiqua" w:hAnsi="Book Antiqua" w:cs="Book Antiqua"/>
          <w:b/>
          <w:color w:val="000000"/>
        </w:rPr>
        <w:t xml:space="preserve"> </w:t>
      </w:r>
    </w:p>
    <w:p w14:paraId="275D3870" w14:textId="13EA663B" w:rsidR="003654F1" w:rsidRPr="00696F41" w:rsidRDefault="003654F1" w:rsidP="00107B1E">
      <w:pPr>
        <w:spacing w:line="360" w:lineRule="auto"/>
        <w:jc w:val="both"/>
        <w:rPr>
          <w:rFonts w:ascii="Book Antiqua" w:hAnsi="Book Antiqua"/>
        </w:rPr>
        <w:sectPr w:rsidR="003654F1" w:rsidRPr="00696F41">
          <w:pgSz w:w="12240" w:h="15840"/>
          <w:pgMar w:top="1440" w:right="1440" w:bottom="1440" w:left="1440" w:header="720" w:footer="720" w:gutter="0"/>
          <w:cols w:space="720"/>
          <w:docGrid w:linePitch="360"/>
        </w:sectPr>
      </w:pPr>
    </w:p>
    <w:p w14:paraId="3E4AE0C0" w14:textId="77777777" w:rsidR="00A77B3E" w:rsidRPr="00696F41" w:rsidRDefault="00485933" w:rsidP="00107B1E">
      <w:pPr>
        <w:spacing w:line="360" w:lineRule="auto"/>
        <w:jc w:val="both"/>
        <w:rPr>
          <w:rFonts w:ascii="Book Antiqua" w:hAnsi="Book Antiqua"/>
        </w:rPr>
      </w:pPr>
      <w:r w:rsidRPr="00696F41">
        <w:rPr>
          <w:rFonts w:ascii="Book Antiqua" w:eastAsia="Book Antiqua" w:hAnsi="Book Antiqua" w:cs="Book Antiqua"/>
          <w:b/>
          <w:color w:val="000000"/>
        </w:rPr>
        <w:lastRenderedPageBreak/>
        <w:t>Figure Legends</w:t>
      </w:r>
    </w:p>
    <w:p w14:paraId="599D0B34" w14:textId="77777777" w:rsidR="002008CE" w:rsidRPr="00696F41" w:rsidRDefault="00CD0CFF" w:rsidP="00107B1E">
      <w:pPr>
        <w:spacing w:line="360" w:lineRule="auto"/>
        <w:jc w:val="both"/>
        <w:rPr>
          <w:rFonts w:ascii="Book Antiqua" w:hAnsi="Book Antiqua" w:cs="Book Antiqua"/>
          <w:color w:val="000000"/>
          <w:lang w:eastAsia="zh-CN"/>
        </w:rPr>
      </w:pPr>
      <w:r w:rsidRPr="00696F41">
        <w:rPr>
          <w:rFonts w:ascii="Book Antiqua" w:hAnsi="Book Antiqua"/>
          <w:noProof/>
          <w:lang w:eastAsia="zh-CN"/>
        </w:rPr>
        <w:drawing>
          <wp:inline distT="0" distB="0" distL="0" distR="0" wp14:anchorId="02D9BA80" wp14:editId="75D4667C">
            <wp:extent cx="5486400" cy="310261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102610"/>
                    </a:xfrm>
                    <a:prstGeom prst="rect">
                      <a:avLst/>
                    </a:prstGeom>
                  </pic:spPr>
                </pic:pic>
              </a:graphicData>
            </a:graphic>
          </wp:inline>
        </w:drawing>
      </w:r>
    </w:p>
    <w:p w14:paraId="78C3A17B" w14:textId="77777777" w:rsidR="00A77B3E" w:rsidRPr="00696F41" w:rsidRDefault="00485933" w:rsidP="00107B1E">
      <w:pPr>
        <w:spacing w:line="360" w:lineRule="auto"/>
        <w:jc w:val="both"/>
        <w:rPr>
          <w:rFonts w:ascii="Book Antiqua" w:hAnsi="Book Antiqua" w:cs="Book Antiqua"/>
          <w:color w:val="000000"/>
          <w:lang w:eastAsia="zh-CN"/>
        </w:rPr>
      </w:pPr>
      <w:r w:rsidRPr="00696F41">
        <w:rPr>
          <w:rFonts w:ascii="Book Antiqua" w:eastAsia="Book Antiqua" w:hAnsi="Book Antiqua" w:cs="Book Antiqua"/>
          <w:b/>
          <w:color w:val="000000"/>
        </w:rPr>
        <w:t>Figure 1 Study flow diagram.</w:t>
      </w:r>
      <w:r w:rsidRPr="00696F41">
        <w:rPr>
          <w:rFonts w:ascii="Book Antiqua" w:eastAsia="Book Antiqua" w:hAnsi="Book Antiqua" w:cs="Book Antiqua"/>
          <w:color w:val="000000"/>
        </w:rPr>
        <w:t xml:space="preserve"> ITT</w:t>
      </w:r>
      <w:r w:rsidR="00427864" w:rsidRPr="00696F41">
        <w:rPr>
          <w:rFonts w:ascii="Book Antiqua" w:hAnsi="Book Antiqua" w:cs="Book Antiqua"/>
          <w:color w:val="000000"/>
          <w:lang w:eastAsia="zh-CN"/>
        </w:rPr>
        <w:t>:</w:t>
      </w:r>
      <w:r w:rsidRPr="00696F41">
        <w:rPr>
          <w:rFonts w:ascii="Book Antiqua" w:eastAsia="Book Antiqua" w:hAnsi="Book Antiqua" w:cs="Book Antiqua"/>
          <w:color w:val="000000"/>
        </w:rPr>
        <w:t xml:space="preserve"> Intention-to-treat analysis</w:t>
      </w:r>
      <w:r w:rsidR="00427864" w:rsidRPr="00696F41">
        <w:rPr>
          <w:rFonts w:ascii="Book Antiqua" w:eastAsia="Book Antiqua" w:hAnsi="Book Antiqua" w:cs="Book Antiqua"/>
          <w:color w:val="000000"/>
        </w:rPr>
        <w:t>; HIV: Human immunodeficiency virus; PTH: Parathyroid hormone</w:t>
      </w:r>
      <w:r w:rsidR="00CD0CFF" w:rsidRPr="00696F41">
        <w:rPr>
          <w:rFonts w:ascii="Book Antiqua" w:hAnsi="Book Antiqua" w:cs="Book Antiqua"/>
          <w:color w:val="000000"/>
          <w:lang w:eastAsia="zh-CN"/>
        </w:rPr>
        <w:t>.</w:t>
      </w:r>
    </w:p>
    <w:p w14:paraId="0416D27D" w14:textId="77777777" w:rsidR="00427864" w:rsidRPr="00696F41" w:rsidRDefault="00CD0CFF" w:rsidP="00107B1E">
      <w:pPr>
        <w:spacing w:line="360" w:lineRule="auto"/>
        <w:jc w:val="both"/>
        <w:rPr>
          <w:rFonts w:ascii="Book Antiqua" w:hAnsi="Book Antiqua"/>
          <w:lang w:eastAsia="zh-CN"/>
        </w:rPr>
      </w:pPr>
      <w:r w:rsidRPr="00696F41">
        <w:rPr>
          <w:rFonts w:ascii="Book Antiqua" w:hAnsi="Book Antiqua"/>
          <w:lang w:eastAsia="zh-CN"/>
        </w:rPr>
        <w:br w:type="page"/>
      </w:r>
      <w:r w:rsidRPr="00696F41">
        <w:rPr>
          <w:rFonts w:ascii="Book Antiqua" w:hAnsi="Book Antiqua"/>
          <w:noProof/>
          <w:lang w:eastAsia="zh-CN"/>
        </w:rPr>
        <w:lastRenderedPageBreak/>
        <w:drawing>
          <wp:inline distT="0" distB="0" distL="0" distR="0" wp14:anchorId="706CA6C5" wp14:editId="1346D0ED">
            <wp:extent cx="5486400" cy="43275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4327525"/>
                    </a:xfrm>
                    <a:prstGeom prst="rect">
                      <a:avLst/>
                    </a:prstGeom>
                  </pic:spPr>
                </pic:pic>
              </a:graphicData>
            </a:graphic>
          </wp:inline>
        </w:drawing>
      </w:r>
    </w:p>
    <w:p w14:paraId="7A95C0FA" w14:textId="77777777" w:rsidR="00A77B3E" w:rsidRPr="00696F41" w:rsidRDefault="00485933" w:rsidP="00107B1E">
      <w:pPr>
        <w:spacing w:line="360" w:lineRule="auto"/>
        <w:jc w:val="both"/>
        <w:rPr>
          <w:rFonts w:ascii="Book Antiqua" w:hAnsi="Book Antiqua" w:cs="Book Antiqua"/>
          <w:color w:val="000000"/>
          <w:lang w:eastAsia="zh-CN"/>
        </w:rPr>
      </w:pPr>
      <w:r w:rsidRPr="00696F41">
        <w:rPr>
          <w:rFonts w:ascii="Book Antiqua" w:eastAsia="Book Antiqua" w:hAnsi="Book Antiqua" w:cs="Book Antiqua"/>
          <w:b/>
          <w:color w:val="000000"/>
        </w:rPr>
        <w:t xml:space="preserve">Figure 2 Mean </w:t>
      </w:r>
      <w:r w:rsidR="00CD0CFF" w:rsidRPr="00696F41">
        <w:rPr>
          <w:rFonts w:ascii="Book Antiqua" w:hAnsi="Book Antiqua" w:cs="Book Antiqua"/>
          <w:b/>
          <w:color w:val="000000"/>
          <w:lang w:eastAsia="zh-CN"/>
        </w:rPr>
        <w:t>h</w:t>
      </w:r>
      <w:r w:rsidR="00CD0CFF" w:rsidRPr="00696F41">
        <w:rPr>
          <w:rFonts w:ascii="Book Antiqua" w:eastAsia="Book Antiqua" w:hAnsi="Book Antiqua" w:cs="Book Antiqua"/>
          <w:b/>
          <w:color w:val="000000"/>
        </w:rPr>
        <w:t>emoglobin</w:t>
      </w:r>
      <w:r w:rsidRPr="00696F41">
        <w:rPr>
          <w:rFonts w:ascii="Book Antiqua" w:eastAsia="Book Antiqua" w:hAnsi="Book Antiqua" w:cs="Book Antiqua"/>
          <w:b/>
          <w:color w:val="000000"/>
        </w:rPr>
        <w:t xml:space="preserve"> levels throughout the study (</w:t>
      </w:r>
      <w:r w:rsidRPr="00696F41">
        <w:rPr>
          <w:rFonts w:ascii="Book Antiqua" w:eastAsia="Book Antiqua" w:hAnsi="Book Antiqua" w:cs="Book Antiqua"/>
          <w:b/>
          <w:i/>
          <w:iCs/>
          <w:color w:val="000000"/>
        </w:rPr>
        <w:t>n</w:t>
      </w:r>
      <w:r w:rsidRPr="00696F41">
        <w:rPr>
          <w:rFonts w:ascii="Book Antiqua" w:eastAsia="Book Antiqua" w:hAnsi="Book Antiqua" w:cs="Book Antiqua"/>
          <w:b/>
          <w:color w:val="000000"/>
        </w:rPr>
        <w:t xml:space="preserve"> = 30).</w:t>
      </w:r>
      <w:r w:rsidRPr="00696F41">
        <w:rPr>
          <w:rFonts w:ascii="Book Antiqua" w:eastAsia="Book Antiqua" w:hAnsi="Book Antiqua" w:cs="Book Antiqua"/>
          <w:color w:val="000000"/>
        </w:rPr>
        <w:t xml:space="preserve"> </w:t>
      </w:r>
      <w:r w:rsidRPr="00696F41">
        <w:rPr>
          <w:rFonts w:ascii="Book Antiqua" w:eastAsia="Book Antiqua" w:hAnsi="Book Antiqua" w:cs="Book Antiqua"/>
          <w:iCs/>
          <w:color w:val="000000"/>
          <w:vertAlign w:val="superscript"/>
        </w:rPr>
        <w:t>a</w:t>
      </w:r>
      <w:r w:rsidRPr="00696F41">
        <w:rPr>
          <w:rFonts w:ascii="Book Antiqua" w:eastAsia="Book Antiqua" w:hAnsi="Book Antiqua" w:cs="Book Antiqua"/>
          <w:i/>
          <w:iCs/>
          <w:color w:val="000000"/>
        </w:rPr>
        <w:t xml:space="preserve">P </w:t>
      </w:r>
      <w:r w:rsidRPr="00696F41">
        <w:rPr>
          <w:rFonts w:ascii="Book Antiqua" w:eastAsia="Book Antiqua" w:hAnsi="Book Antiqua" w:cs="Book Antiqua"/>
          <w:color w:val="000000"/>
        </w:rPr>
        <w:t>&lt;</w:t>
      </w:r>
      <w:r w:rsidR="00CD0CFF" w:rsidRPr="00696F41">
        <w:rPr>
          <w:rFonts w:ascii="Book Antiqua" w:hAnsi="Book Antiqua" w:cs="Book Antiqua"/>
          <w:color w:val="000000"/>
          <w:lang w:eastAsia="zh-CN"/>
        </w:rPr>
        <w:t xml:space="preserve"> </w:t>
      </w:r>
      <w:r w:rsidRPr="00696F41">
        <w:rPr>
          <w:rFonts w:ascii="Book Antiqua" w:eastAsia="Book Antiqua" w:hAnsi="Book Antiqua" w:cs="Book Antiqua"/>
          <w:color w:val="000000"/>
        </w:rPr>
        <w:t xml:space="preserve">0.001 </w:t>
      </w:r>
      <w:r w:rsidRPr="00696F41">
        <w:rPr>
          <w:rFonts w:ascii="Book Antiqua" w:eastAsia="Book Antiqua" w:hAnsi="Book Antiqua" w:cs="Book Antiqua"/>
          <w:i/>
          <w:iCs/>
          <w:color w:val="000000"/>
        </w:rPr>
        <w:t>vs</w:t>
      </w:r>
      <w:r w:rsidRPr="00696F41">
        <w:rPr>
          <w:rFonts w:ascii="Book Antiqua" w:eastAsia="Book Antiqua" w:hAnsi="Book Antiqua" w:cs="Book Antiqua"/>
          <w:color w:val="000000"/>
        </w:rPr>
        <w:t xml:space="preserve"> week 0, paired </w:t>
      </w:r>
      <w:r w:rsidRPr="00696F41">
        <w:rPr>
          <w:rFonts w:ascii="Book Antiqua" w:eastAsia="Book Antiqua" w:hAnsi="Book Antiqua" w:cs="Book Antiqua"/>
          <w:i/>
          <w:color w:val="000000"/>
        </w:rPr>
        <w:t>t</w:t>
      </w:r>
      <w:r w:rsidRPr="00696F41">
        <w:rPr>
          <w:rFonts w:ascii="Book Antiqua" w:eastAsia="Book Antiqua" w:hAnsi="Book Antiqua" w:cs="Book Antiqua"/>
          <w:color w:val="000000"/>
        </w:rPr>
        <w:t xml:space="preserve">-test. </w:t>
      </w:r>
    </w:p>
    <w:p w14:paraId="5E19202B" w14:textId="77777777" w:rsidR="008477D7" w:rsidRPr="00696F41" w:rsidRDefault="008477D7" w:rsidP="00107B1E">
      <w:pPr>
        <w:spacing w:line="360" w:lineRule="auto"/>
        <w:jc w:val="both"/>
        <w:rPr>
          <w:rFonts w:ascii="Book Antiqua" w:hAnsi="Book Antiqua"/>
          <w:lang w:eastAsia="zh-CN"/>
        </w:rPr>
      </w:pPr>
      <w:r w:rsidRPr="00696F41">
        <w:rPr>
          <w:rFonts w:ascii="Book Antiqua" w:hAnsi="Book Antiqua" w:cs="Book Antiqua"/>
          <w:color w:val="000000"/>
          <w:lang w:eastAsia="zh-CN"/>
        </w:rPr>
        <w:br w:type="page"/>
      </w:r>
      <w:r w:rsidRPr="00696F41">
        <w:rPr>
          <w:rFonts w:ascii="Book Antiqua" w:hAnsi="Book Antiqua"/>
          <w:noProof/>
          <w:lang w:eastAsia="zh-CN"/>
        </w:rPr>
        <w:lastRenderedPageBreak/>
        <w:drawing>
          <wp:inline distT="0" distB="0" distL="0" distR="0" wp14:anchorId="1EC9C33B" wp14:editId="3D536B93">
            <wp:extent cx="5486400" cy="3084195"/>
            <wp:effectExtent l="0" t="0" r="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3084195"/>
                    </a:xfrm>
                    <a:prstGeom prst="rect">
                      <a:avLst/>
                    </a:prstGeom>
                  </pic:spPr>
                </pic:pic>
              </a:graphicData>
            </a:graphic>
          </wp:inline>
        </w:drawing>
      </w:r>
    </w:p>
    <w:p w14:paraId="04F3FA73" w14:textId="77777777" w:rsidR="00A77B3E" w:rsidRPr="00696F41" w:rsidRDefault="00485933" w:rsidP="00107B1E">
      <w:pPr>
        <w:spacing w:line="360" w:lineRule="auto"/>
        <w:jc w:val="both"/>
        <w:rPr>
          <w:rFonts w:ascii="Book Antiqua" w:hAnsi="Book Antiqua" w:cs="Book Antiqua"/>
          <w:color w:val="000000"/>
          <w:lang w:eastAsia="zh-CN"/>
        </w:rPr>
      </w:pPr>
      <w:r w:rsidRPr="00696F41">
        <w:rPr>
          <w:rFonts w:ascii="Book Antiqua" w:eastAsia="Book Antiqua" w:hAnsi="Book Antiqua" w:cs="Book Antiqua"/>
          <w:b/>
          <w:color w:val="000000"/>
        </w:rPr>
        <w:t xml:space="preserve">Figure 3 Changes from baseline of </w:t>
      </w:r>
      <w:r w:rsidR="008477D7" w:rsidRPr="00696F41">
        <w:rPr>
          <w:rFonts w:ascii="Book Antiqua" w:hAnsi="Book Antiqua" w:cs="Book Antiqua"/>
          <w:b/>
          <w:color w:val="000000"/>
          <w:lang w:eastAsia="zh-CN"/>
        </w:rPr>
        <w:t>h</w:t>
      </w:r>
      <w:r w:rsidR="008477D7" w:rsidRPr="00696F41">
        <w:rPr>
          <w:rFonts w:ascii="Book Antiqua" w:eastAsia="Book Antiqua" w:hAnsi="Book Antiqua" w:cs="Book Antiqua"/>
          <w:b/>
          <w:color w:val="000000"/>
        </w:rPr>
        <w:t>emoglobin</w:t>
      </w:r>
      <w:r w:rsidRPr="00696F41">
        <w:rPr>
          <w:rFonts w:ascii="Book Antiqua" w:eastAsia="Book Antiqua" w:hAnsi="Book Antiqua" w:cs="Book Antiqua"/>
          <w:b/>
          <w:color w:val="000000"/>
        </w:rPr>
        <w:t xml:space="preserve"> levels among patients with below-the-target </w:t>
      </w:r>
      <w:r w:rsidR="008477D7" w:rsidRPr="00696F41">
        <w:rPr>
          <w:rFonts w:ascii="Book Antiqua" w:hAnsi="Book Antiqua" w:cs="Book Antiqua"/>
          <w:b/>
          <w:color w:val="000000"/>
          <w:lang w:eastAsia="zh-CN"/>
        </w:rPr>
        <w:t>h</w:t>
      </w:r>
      <w:r w:rsidR="008477D7" w:rsidRPr="00696F41">
        <w:rPr>
          <w:rFonts w:ascii="Book Antiqua" w:eastAsia="Book Antiqua" w:hAnsi="Book Antiqua" w:cs="Book Antiqua"/>
          <w:b/>
          <w:color w:val="000000"/>
        </w:rPr>
        <w:t>emoglobin</w:t>
      </w:r>
      <w:r w:rsidRPr="00696F41">
        <w:rPr>
          <w:rFonts w:ascii="Book Antiqua" w:eastAsia="Book Antiqua" w:hAnsi="Book Antiqua" w:cs="Book Antiqua"/>
          <w:b/>
          <w:color w:val="000000"/>
        </w:rPr>
        <w:t xml:space="preserve"> levels at week 12 (</w:t>
      </w:r>
      <w:r w:rsidRPr="00696F41">
        <w:rPr>
          <w:rFonts w:ascii="Book Antiqua" w:eastAsia="Book Antiqua" w:hAnsi="Book Antiqua" w:cs="Book Antiqua"/>
          <w:b/>
          <w:i/>
          <w:iCs/>
          <w:color w:val="000000"/>
        </w:rPr>
        <w:t>n</w:t>
      </w:r>
      <w:r w:rsidRPr="00696F41">
        <w:rPr>
          <w:rFonts w:ascii="Book Antiqua" w:eastAsia="Book Antiqua" w:hAnsi="Book Antiqua" w:cs="Book Antiqua"/>
          <w:b/>
          <w:color w:val="000000"/>
        </w:rPr>
        <w:t xml:space="preserve"> = 12).</w:t>
      </w:r>
      <w:r w:rsidRPr="00696F41">
        <w:rPr>
          <w:rFonts w:ascii="Book Antiqua" w:eastAsia="Book Antiqua" w:hAnsi="Book Antiqua" w:cs="Book Antiqua"/>
          <w:color w:val="000000"/>
        </w:rPr>
        <w:t xml:space="preserve"> ∆: Differences between Hb level at week 0 and week 12</w:t>
      </w:r>
      <w:r w:rsidR="008477D7" w:rsidRPr="00696F41">
        <w:rPr>
          <w:rFonts w:ascii="Book Antiqua" w:hAnsi="Book Antiqua" w:cs="Book Antiqua"/>
          <w:color w:val="000000"/>
          <w:lang w:eastAsia="zh-CN"/>
        </w:rPr>
        <w:t>;</w:t>
      </w:r>
      <w:r w:rsidRPr="00696F41">
        <w:rPr>
          <w:rFonts w:ascii="Book Antiqua" w:eastAsia="Book Antiqua" w:hAnsi="Book Antiqua" w:cs="Book Antiqua"/>
          <w:color w:val="000000"/>
        </w:rPr>
        <w:t xml:space="preserve"> Hb: Hemoglobin.</w:t>
      </w:r>
    </w:p>
    <w:p w14:paraId="1EDBC5AD" w14:textId="77777777" w:rsidR="007E63DD" w:rsidRPr="00696F41" w:rsidRDefault="007E63DD" w:rsidP="00107B1E">
      <w:pPr>
        <w:spacing w:line="360" w:lineRule="auto"/>
        <w:jc w:val="both"/>
        <w:rPr>
          <w:rFonts w:ascii="Book Antiqua" w:hAnsi="Book Antiqua"/>
          <w:lang w:eastAsia="zh-CN"/>
        </w:rPr>
      </w:pPr>
      <w:r w:rsidRPr="00696F41">
        <w:rPr>
          <w:rFonts w:ascii="Book Antiqua" w:hAnsi="Book Antiqua" w:cs="Book Antiqua"/>
          <w:color w:val="000000"/>
          <w:lang w:eastAsia="zh-CN"/>
        </w:rPr>
        <w:br w:type="page"/>
      </w:r>
      <w:r w:rsidRPr="00696F41">
        <w:rPr>
          <w:rFonts w:ascii="Book Antiqua" w:hAnsi="Book Antiqua"/>
          <w:noProof/>
          <w:lang w:eastAsia="zh-CN"/>
        </w:rPr>
        <w:lastRenderedPageBreak/>
        <w:drawing>
          <wp:inline distT="0" distB="0" distL="0" distR="0" wp14:anchorId="4452C8A2" wp14:editId="36E7CDB6">
            <wp:extent cx="5486400" cy="353187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3531870"/>
                    </a:xfrm>
                    <a:prstGeom prst="rect">
                      <a:avLst/>
                    </a:prstGeom>
                  </pic:spPr>
                </pic:pic>
              </a:graphicData>
            </a:graphic>
          </wp:inline>
        </w:drawing>
      </w:r>
    </w:p>
    <w:p w14:paraId="497E66E6" w14:textId="113E5714" w:rsidR="00203F96" w:rsidRPr="00696F41" w:rsidRDefault="00485933" w:rsidP="00941C6B">
      <w:pPr>
        <w:keepNext/>
        <w:spacing w:line="360" w:lineRule="auto"/>
        <w:jc w:val="both"/>
        <w:outlineLvl w:val="0"/>
        <w:rPr>
          <w:rFonts w:ascii="Book Antiqua" w:hAnsi="Book Antiqua" w:cs="Book Antiqua"/>
          <w:lang w:eastAsia="zh-CN"/>
        </w:rPr>
      </w:pPr>
      <w:r w:rsidRPr="00696F41">
        <w:rPr>
          <w:rFonts w:ascii="Book Antiqua" w:eastAsia="Book Antiqua" w:hAnsi="Book Antiqua" w:cs="Book Antiqua"/>
          <w:b/>
          <w:color w:val="000000"/>
        </w:rPr>
        <w:t xml:space="preserve">Figure 4 Estimated marginal means of </w:t>
      </w:r>
      <w:r w:rsidR="0078297B" w:rsidRPr="00696F41">
        <w:rPr>
          <w:rFonts w:ascii="Book Antiqua" w:hAnsi="Book Antiqua" w:cs="Book Antiqua"/>
          <w:b/>
          <w:color w:val="000000"/>
          <w:lang w:eastAsia="zh-CN"/>
        </w:rPr>
        <w:t>h</w:t>
      </w:r>
      <w:r w:rsidR="0078297B" w:rsidRPr="00696F41">
        <w:rPr>
          <w:rFonts w:ascii="Book Antiqua" w:eastAsia="Book Antiqua" w:hAnsi="Book Antiqua" w:cs="Book Antiqua"/>
          <w:b/>
          <w:color w:val="000000"/>
        </w:rPr>
        <w:t xml:space="preserve">emoglobin </w:t>
      </w:r>
      <w:r w:rsidRPr="00696F41">
        <w:rPr>
          <w:rFonts w:ascii="Book Antiqua" w:eastAsia="Book Antiqua" w:hAnsi="Book Antiqua" w:cs="Book Antiqua"/>
          <w:b/>
          <w:color w:val="000000"/>
        </w:rPr>
        <w:t>levels from baseline to week 12 by infection using repeated measure ANOVA</w:t>
      </w:r>
      <w:r w:rsidR="007E63DD" w:rsidRPr="00696F41">
        <w:rPr>
          <w:rFonts w:ascii="Book Antiqua" w:hAnsi="Book Antiqua" w:cs="Book Antiqua"/>
          <w:lang w:eastAsia="zh-CN"/>
        </w:rPr>
        <w:t>.</w:t>
      </w:r>
      <w:r w:rsidR="007E44F4" w:rsidRPr="00696F41">
        <w:rPr>
          <w:rFonts w:ascii="Book Antiqua" w:hAnsi="Book Antiqua" w:cs="Book Antiqua"/>
          <w:lang w:eastAsia="zh-CN"/>
        </w:rPr>
        <w:br w:type="page"/>
      </w:r>
    </w:p>
    <w:p w14:paraId="410E1A50" w14:textId="58AA9042" w:rsidR="00203F96" w:rsidRPr="00696F41" w:rsidRDefault="00941C6B" w:rsidP="00941C6B">
      <w:pPr>
        <w:keepNext/>
        <w:spacing w:line="360" w:lineRule="auto"/>
        <w:jc w:val="both"/>
        <w:outlineLvl w:val="0"/>
        <w:rPr>
          <w:rFonts w:ascii="Book Antiqua" w:eastAsia="Book Antiqua" w:hAnsi="Book Antiqua" w:cs="Book Antiqua"/>
          <w:b/>
          <w:bCs/>
          <w:color w:val="000000"/>
        </w:rPr>
      </w:pPr>
      <w:r w:rsidRPr="00696F41">
        <w:rPr>
          <w:rFonts w:ascii="Book Antiqua" w:eastAsia="Book Antiqua" w:hAnsi="Book Antiqua" w:cs="Book Antiqua"/>
          <w:b/>
          <w:bCs/>
          <w:color w:val="000000"/>
        </w:rPr>
        <w:lastRenderedPageBreak/>
        <w:t>Table 1 Demographic and baseline characteristics of the patients (</w:t>
      </w:r>
      <w:r w:rsidRPr="00696F41">
        <w:rPr>
          <w:rFonts w:ascii="Book Antiqua" w:eastAsia="Book Antiqua" w:hAnsi="Book Antiqua" w:cs="Book Antiqua"/>
          <w:b/>
          <w:bCs/>
          <w:i/>
          <w:iCs/>
          <w:color w:val="000000"/>
        </w:rPr>
        <w:t>n</w:t>
      </w:r>
      <w:r w:rsidRPr="00696F41">
        <w:rPr>
          <w:rFonts w:ascii="Book Antiqua" w:eastAsia="Book Antiqua" w:hAnsi="Book Antiqua" w:cs="Book Antiqua"/>
          <w:b/>
          <w:bCs/>
          <w:color w:val="000000"/>
        </w:rPr>
        <w:t xml:space="preserve"> = 30)</w:t>
      </w:r>
    </w:p>
    <w:p w14:paraId="226D1B28" w14:textId="77777777" w:rsidR="00203F96" w:rsidRPr="00696F41" w:rsidRDefault="00203F96" w:rsidP="00941C6B">
      <w:pPr>
        <w:keepNext/>
        <w:spacing w:line="360" w:lineRule="auto"/>
        <w:jc w:val="both"/>
        <w:outlineLvl w:val="0"/>
        <w:rPr>
          <w:rFonts w:ascii="Book Antiqua" w:eastAsia="Book Antiqua" w:hAnsi="Book Antiqua" w:cs="Book Antiqua"/>
          <w:b/>
          <w:bCs/>
          <w:color w:val="000000"/>
        </w:rPr>
      </w:pPr>
    </w:p>
    <w:tbl>
      <w:tblPr>
        <w:tblW w:w="5000" w:type="pct"/>
        <w:tblBorders>
          <w:top w:val="single" w:sz="4" w:space="0" w:color="auto"/>
          <w:bottom w:val="single" w:sz="4" w:space="0" w:color="auto"/>
        </w:tblBorders>
        <w:tblCellMar>
          <w:left w:w="0" w:type="dxa"/>
          <w:right w:w="72" w:type="dxa"/>
        </w:tblCellMar>
        <w:tblLook w:val="04A0" w:firstRow="1" w:lastRow="0" w:firstColumn="1" w:lastColumn="0" w:noHBand="0" w:noVBand="1"/>
      </w:tblPr>
      <w:tblGrid>
        <w:gridCol w:w="4425"/>
        <w:gridCol w:w="981"/>
        <w:gridCol w:w="3954"/>
      </w:tblGrid>
      <w:tr w:rsidR="00941C6B" w:rsidRPr="00696F41" w14:paraId="6CA6B52E" w14:textId="77777777" w:rsidTr="00C42F1F">
        <w:trPr>
          <w:trHeight w:val="432"/>
          <w:tblHeader/>
        </w:trPr>
        <w:tc>
          <w:tcPr>
            <w:tcW w:w="2364" w:type="pct"/>
            <w:tcBorders>
              <w:top w:val="single" w:sz="4" w:space="0" w:color="auto"/>
              <w:bottom w:val="single" w:sz="4" w:space="0" w:color="auto"/>
            </w:tcBorders>
            <w:shd w:val="clear" w:color="auto" w:fill="auto"/>
          </w:tcPr>
          <w:p w14:paraId="12A0BA87" w14:textId="77777777" w:rsidR="00941C6B" w:rsidRPr="00696F41" w:rsidRDefault="00941C6B" w:rsidP="00C42F1F">
            <w:pPr>
              <w:spacing w:line="360" w:lineRule="auto"/>
              <w:ind w:firstLine="169"/>
              <w:jc w:val="both"/>
              <w:rPr>
                <w:rFonts w:ascii="Book Antiqua" w:eastAsia="Calibri" w:hAnsi="Book Antiqua"/>
                <w:b/>
                <w:bCs/>
                <w:color w:val="000000"/>
              </w:rPr>
            </w:pPr>
            <w:r w:rsidRPr="00696F41">
              <w:rPr>
                <w:rFonts w:ascii="Book Antiqua" w:eastAsia="Calibri" w:hAnsi="Book Antiqua"/>
                <w:b/>
                <w:bCs/>
                <w:color w:val="000000"/>
              </w:rPr>
              <w:t>Characteristics</w:t>
            </w:r>
          </w:p>
        </w:tc>
        <w:tc>
          <w:tcPr>
            <w:tcW w:w="2636" w:type="pct"/>
            <w:gridSpan w:val="2"/>
            <w:tcBorders>
              <w:top w:val="single" w:sz="4" w:space="0" w:color="auto"/>
              <w:bottom w:val="single" w:sz="4" w:space="0" w:color="auto"/>
            </w:tcBorders>
            <w:shd w:val="clear" w:color="auto" w:fill="auto"/>
          </w:tcPr>
          <w:p w14:paraId="3B209952" w14:textId="77777777" w:rsidR="00941C6B" w:rsidRPr="00696F41" w:rsidRDefault="00941C6B" w:rsidP="00C42F1F">
            <w:pPr>
              <w:spacing w:line="360" w:lineRule="auto"/>
              <w:ind w:firstLine="169"/>
              <w:jc w:val="both"/>
              <w:rPr>
                <w:rFonts w:ascii="Book Antiqua" w:eastAsia="Calibri" w:hAnsi="Book Antiqua"/>
                <w:b/>
                <w:bCs/>
                <w:color w:val="000000"/>
              </w:rPr>
            </w:pPr>
          </w:p>
        </w:tc>
      </w:tr>
      <w:tr w:rsidR="00941C6B" w:rsidRPr="00696F41" w14:paraId="34731E2B" w14:textId="77777777" w:rsidTr="00C42F1F">
        <w:trPr>
          <w:trHeight w:val="432"/>
        </w:trPr>
        <w:tc>
          <w:tcPr>
            <w:tcW w:w="2364" w:type="pct"/>
            <w:tcBorders>
              <w:top w:val="single" w:sz="4" w:space="0" w:color="auto"/>
            </w:tcBorders>
            <w:shd w:val="clear" w:color="auto" w:fill="auto"/>
          </w:tcPr>
          <w:p w14:paraId="5281901C" w14:textId="77777777" w:rsidR="00941C6B" w:rsidRPr="00696F41" w:rsidRDefault="00941C6B" w:rsidP="00C42F1F">
            <w:pPr>
              <w:spacing w:line="360" w:lineRule="auto"/>
              <w:ind w:firstLine="169"/>
              <w:jc w:val="both"/>
              <w:rPr>
                <w:rFonts w:ascii="Book Antiqua" w:hAnsi="Book Antiqua"/>
                <w:color w:val="000000"/>
                <w:lang w:eastAsia="zh-CN"/>
              </w:rPr>
            </w:pPr>
            <w:r w:rsidRPr="00696F41">
              <w:rPr>
                <w:rFonts w:ascii="Book Antiqua" w:eastAsia="Calibri" w:hAnsi="Book Antiqua"/>
                <w:color w:val="000000"/>
              </w:rPr>
              <w:t>Sex—</w:t>
            </w:r>
            <w:r w:rsidRPr="00696F41">
              <w:rPr>
                <w:rFonts w:ascii="Book Antiqua" w:hAnsi="Book Antiqua"/>
                <w:color w:val="000000"/>
                <w:lang w:eastAsia="zh-CN"/>
              </w:rPr>
              <w:t>N</w:t>
            </w:r>
            <w:r w:rsidRPr="00696F41">
              <w:rPr>
                <w:rFonts w:ascii="Book Antiqua" w:eastAsia="Calibri" w:hAnsi="Book Antiqua"/>
                <w:color w:val="000000"/>
              </w:rPr>
              <w:t>o. of patients (%)</w:t>
            </w:r>
          </w:p>
        </w:tc>
        <w:tc>
          <w:tcPr>
            <w:tcW w:w="524" w:type="pct"/>
            <w:tcBorders>
              <w:top w:val="single" w:sz="4" w:space="0" w:color="auto"/>
            </w:tcBorders>
            <w:shd w:val="clear" w:color="auto" w:fill="auto"/>
          </w:tcPr>
          <w:p w14:paraId="4F825950" w14:textId="77777777" w:rsidR="00941C6B" w:rsidRPr="00696F41" w:rsidRDefault="00941C6B" w:rsidP="00C42F1F">
            <w:pPr>
              <w:spacing w:line="360" w:lineRule="auto"/>
              <w:ind w:firstLine="169"/>
              <w:jc w:val="both"/>
              <w:rPr>
                <w:rFonts w:ascii="Book Antiqua" w:eastAsia="Calibri" w:hAnsi="Book Antiqua"/>
                <w:color w:val="000000"/>
              </w:rPr>
            </w:pPr>
          </w:p>
        </w:tc>
        <w:tc>
          <w:tcPr>
            <w:tcW w:w="2112" w:type="pct"/>
            <w:tcBorders>
              <w:top w:val="single" w:sz="4" w:space="0" w:color="auto"/>
            </w:tcBorders>
            <w:shd w:val="clear" w:color="auto" w:fill="auto"/>
          </w:tcPr>
          <w:p w14:paraId="56A9356B" w14:textId="77777777" w:rsidR="00941C6B" w:rsidRPr="00696F41" w:rsidRDefault="00941C6B" w:rsidP="00C42F1F">
            <w:pPr>
              <w:spacing w:line="360" w:lineRule="auto"/>
              <w:ind w:firstLine="169"/>
              <w:jc w:val="both"/>
              <w:rPr>
                <w:rFonts w:ascii="Book Antiqua" w:eastAsia="Calibri" w:hAnsi="Book Antiqua"/>
                <w:color w:val="000000"/>
              </w:rPr>
            </w:pPr>
          </w:p>
        </w:tc>
      </w:tr>
      <w:tr w:rsidR="00941C6B" w:rsidRPr="00696F41" w14:paraId="3CF46EFB" w14:textId="77777777" w:rsidTr="00C42F1F">
        <w:trPr>
          <w:trHeight w:val="432"/>
        </w:trPr>
        <w:tc>
          <w:tcPr>
            <w:tcW w:w="2364" w:type="pct"/>
            <w:shd w:val="clear" w:color="auto" w:fill="auto"/>
          </w:tcPr>
          <w:p w14:paraId="3F59185C" w14:textId="77777777" w:rsidR="00941C6B" w:rsidRPr="00696F41" w:rsidRDefault="00941C6B" w:rsidP="00C42F1F">
            <w:pPr>
              <w:tabs>
                <w:tab w:val="left" w:pos="464"/>
              </w:tabs>
              <w:spacing w:line="360" w:lineRule="auto"/>
              <w:ind w:firstLineChars="100" w:firstLine="240"/>
              <w:jc w:val="both"/>
              <w:rPr>
                <w:rFonts w:ascii="Book Antiqua" w:eastAsia="Calibri" w:hAnsi="Book Antiqua"/>
                <w:color w:val="000000"/>
              </w:rPr>
            </w:pPr>
            <w:r w:rsidRPr="00696F41">
              <w:rPr>
                <w:rFonts w:ascii="Book Antiqua" w:eastAsia="Calibri" w:hAnsi="Book Antiqua"/>
                <w:color w:val="000000"/>
              </w:rPr>
              <w:t>Male</w:t>
            </w:r>
          </w:p>
        </w:tc>
        <w:tc>
          <w:tcPr>
            <w:tcW w:w="524" w:type="pct"/>
            <w:shd w:val="clear" w:color="auto" w:fill="auto"/>
          </w:tcPr>
          <w:p w14:paraId="580858DD" w14:textId="77777777" w:rsidR="00941C6B" w:rsidRPr="00696F41" w:rsidRDefault="00941C6B" w:rsidP="00C42F1F">
            <w:pPr>
              <w:spacing w:line="360" w:lineRule="auto"/>
              <w:ind w:firstLine="169"/>
              <w:jc w:val="both"/>
              <w:rPr>
                <w:rFonts w:ascii="Book Antiqua" w:eastAsia="Calibri" w:hAnsi="Book Antiqua"/>
                <w:color w:val="000000"/>
              </w:rPr>
            </w:pPr>
            <w:r w:rsidRPr="00696F41">
              <w:rPr>
                <w:rFonts w:ascii="Book Antiqua" w:eastAsia="Calibri" w:hAnsi="Book Antiqua"/>
                <w:color w:val="000000"/>
              </w:rPr>
              <w:t>18.0</w:t>
            </w:r>
          </w:p>
        </w:tc>
        <w:tc>
          <w:tcPr>
            <w:tcW w:w="2112" w:type="pct"/>
            <w:shd w:val="clear" w:color="auto" w:fill="auto"/>
          </w:tcPr>
          <w:p w14:paraId="5345EF26" w14:textId="77777777" w:rsidR="00941C6B" w:rsidRPr="00696F41" w:rsidRDefault="00941C6B" w:rsidP="00C42F1F">
            <w:pPr>
              <w:spacing w:line="360" w:lineRule="auto"/>
              <w:jc w:val="both"/>
              <w:rPr>
                <w:rFonts w:ascii="Book Antiqua" w:eastAsia="Calibri" w:hAnsi="Book Antiqua"/>
                <w:color w:val="000000"/>
              </w:rPr>
            </w:pPr>
            <w:r w:rsidRPr="00696F41">
              <w:rPr>
                <w:rFonts w:ascii="Book Antiqua" w:eastAsia="Calibri" w:hAnsi="Book Antiqua"/>
                <w:color w:val="000000"/>
              </w:rPr>
              <w:t>(60.0)</w:t>
            </w:r>
          </w:p>
        </w:tc>
      </w:tr>
      <w:tr w:rsidR="00941C6B" w:rsidRPr="00696F41" w14:paraId="7A015CD8" w14:textId="77777777" w:rsidTr="00C42F1F">
        <w:trPr>
          <w:trHeight w:val="432"/>
        </w:trPr>
        <w:tc>
          <w:tcPr>
            <w:tcW w:w="2364" w:type="pct"/>
            <w:shd w:val="clear" w:color="auto" w:fill="auto"/>
          </w:tcPr>
          <w:p w14:paraId="0852556D" w14:textId="77777777" w:rsidR="00941C6B" w:rsidRPr="00696F41" w:rsidRDefault="00941C6B" w:rsidP="00C42F1F">
            <w:pPr>
              <w:tabs>
                <w:tab w:val="left" w:pos="360"/>
              </w:tabs>
              <w:spacing w:line="360" w:lineRule="auto"/>
              <w:ind w:firstLineChars="100" w:firstLine="240"/>
              <w:jc w:val="both"/>
              <w:rPr>
                <w:rFonts w:ascii="Book Antiqua" w:eastAsia="Calibri" w:hAnsi="Book Antiqua"/>
                <w:color w:val="000000"/>
              </w:rPr>
            </w:pPr>
            <w:r w:rsidRPr="00696F41">
              <w:rPr>
                <w:rFonts w:ascii="Book Antiqua" w:eastAsia="Calibri" w:hAnsi="Book Antiqua"/>
                <w:color w:val="000000"/>
              </w:rPr>
              <w:t xml:space="preserve">Female </w:t>
            </w:r>
          </w:p>
        </w:tc>
        <w:tc>
          <w:tcPr>
            <w:tcW w:w="524" w:type="pct"/>
            <w:shd w:val="clear" w:color="auto" w:fill="auto"/>
          </w:tcPr>
          <w:p w14:paraId="59A3D997" w14:textId="77777777" w:rsidR="00941C6B" w:rsidRPr="00696F41" w:rsidRDefault="00941C6B" w:rsidP="00C42F1F">
            <w:pPr>
              <w:spacing w:line="360" w:lineRule="auto"/>
              <w:ind w:firstLine="169"/>
              <w:jc w:val="both"/>
              <w:rPr>
                <w:rFonts w:ascii="Book Antiqua" w:eastAsia="Calibri" w:hAnsi="Book Antiqua"/>
                <w:color w:val="000000"/>
              </w:rPr>
            </w:pPr>
            <w:r w:rsidRPr="00696F41">
              <w:rPr>
                <w:rFonts w:ascii="Book Antiqua" w:eastAsia="Calibri" w:hAnsi="Book Antiqua"/>
                <w:color w:val="000000"/>
              </w:rPr>
              <w:t>12.0</w:t>
            </w:r>
          </w:p>
        </w:tc>
        <w:tc>
          <w:tcPr>
            <w:tcW w:w="2112" w:type="pct"/>
            <w:shd w:val="clear" w:color="auto" w:fill="auto"/>
          </w:tcPr>
          <w:p w14:paraId="7DDF4906" w14:textId="77777777" w:rsidR="00941C6B" w:rsidRPr="00696F41" w:rsidRDefault="00941C6B" w:rsidP="00C42F1F">
            <w:pPr>
              <w:spacing w:line="360" w:lineRule="auto"/>
              <w:jc w:val="both"/>
              <w:rPr>
                <w:rFonts w:ascii="Book Antiqua" w:eastAsia="Calibri" w:hAnsi="Book Antiqua"/>
                <w:color w:val="000000"/>
              </w:rPr>
            </w:pPr>
            <w:r w:rsidRPr="00696F41">
              <w:rPr>
                <w:rFonts w:ascii="Book Antiqua" w:eastAsia="Calibri" w:hAnsi="Book Antiqua"/>
                <w:color w:val="000000"/>
              </w:rPr>
              <w:t>(40.0)</w:t>
            </w:r>
          </w:p>
        </w:tc>
      </w:tr>
      <w:tr w:rsidR="00941C6B" w:rsidRPr="00696F41" w14:paraId="06A0EC38" w14:textId="77777777" w:rsidTr="00C42F1F">
        <w:trPr>
          <w:trHeight w:val="432"/>
        </w:trPr>
        <w:tc>
          <w:tcPr>
            <w:tcW w:w="2364" w:type="pct"/>
            <w:shd w:val="clear" w:color="auto" w:fill="auto"/>
          </w:tcPr>
          <w:p w14:paraId="2153B971" w14:textId="77777777" w:rsidR="00941C6B" w:rsidRPr="00696F41" w:rsidRDefault="00941C6B" w:rsidP="00C42F1F">
            <w:pPr>
              <w:spacing w:line="360" w:lineRule="auto"/>
              <w:ind w:firstLine="169"/>
              <w:jc w:val="both"/>
              <w:rPr>
                <w:rFonts w:ascii="Book Antiqua" w:eastAsia="Calibri" w:hAnsi="Book Antiqua"/>
                <w:color w:val="000000"/>
              </w:rPr>
            </w:pPr>
            <w:r w:rsidRPr="00696F41">
              <w:rPr>
                <w:rFonts w:ascii="Book Antiqua" w:eastAsia="Calibri" w:hAnsi="Book Antiqua"/>
                <w:color w:val="000000"/>
              </w:rPr>
              <w:t>Age (years)</w:t>
            </w:r>
            <w:r w:rsidRPr="00696F41">
              <w:rPr>
                <w:rFonts w:ascii="Book Antiqua" w:eastAsia="Calibri" w:hAnsi="Book Antiqua"/>
                <w:color w:val="000000"/>
                <w:vertAlign w:val="superscript"/>
              </w:rPr>
              <w:t xml:space="preserve">1 </w:t>
            </w:r>
          </w:p>
        </w:tc>
        <w:tc>
          <w:tcPr>
            <w:tcW w:w="524" w:type="pct"/>
            <w:shd w:val="clear" w:color="auto" w:fill="auto"/>
          </w:tcPr>
          <w:p w14:paraId="23FDD7FA" w14:textId="77777777" w:rsidR="00941C6B" w:rsidRPr="00696F41" w:rsidRDefault="00941C6B" w:rsidP="00C42F1F">
            <w:pPr>
              <w:spacing w:line="360" w:lineRule="auto"/>
              <w:ind w:firstLine="169"/>
              <w:jc w:val="both"/>
              <w:rPr>
                <w:rFonts w:ascii="Book Antiqua" w:eastAsia="Calibri" w:hAnsi="Book Antiqua"/>
                <w:color w:val="000000"/>
              </w:rPr>
            </w:pPr>
            <w:r w:rsidRPr="00696F41">
              <w:rPr>
                <w:rFonts w:ascii="Book Antiqua" w:eastAsia="Calibri" w:hAnsi="Book Antiqua"/>
                <w:color w:val="000000"/>
              </w:rPr>
              <w:t>48.8</w:t>
            </w:r>
          </w:p>
        </w:tc>
        <w:tc>
          <w:tcPr>
            <w:tcW w:w="2112" w:type="pct"/>
            <w:shd w:val="clear" w:color="auto" w:fill="auto"/>
          </w:tcPr>
          <w:p w14:paraId="5C5366F0" w14:textId="77777777" w:rsidR="00941C6B" w:rsidRPr="00696F41" w:rsidRDefault="00941C6B" w:rsidP="00C42F1F">
            <w:pPr>
              <w:spacing w:line="360" w:lineRule="auto"/>
              <w:jc w:val="both"/>
              <w:rPr>
                <w:rFonts w:ascii="Book Antiqua" w:eastAsia="Calibri" w:hAnsi="Book Antiqua"/>
                <w:color w:val="000000"/>
              </w:rPr>
            </w:pPr>
            <w:r w:rsidRPr="00696F41">
              <w:rPr>
                <w:rFonts w:ascii="Book Antiqua" w:eastAsia="Calibri" w:hAnsi="Book Antiqua"/>
                <w:color w:val="000000"/>
              </w:rPr>
              <w:t>(13.6)</w:t>
            </w:r>
          </w:p>
        </w:tc>
      </w:tr>
      <w:tr w:rsidR="00941C6B" w:rsidRPr="00696F41" w14:paraId="5E5A455B" w14:textId="77777777" w:rsidTr="00C42F1F">
        <w:trPr>
          <w:trHeight w:val="432"/>
        </w:trPr>
        <w:tc>
          <w:tcPr>
            <w:tcW w:w="2364" w:type="pct"/>
            <w:shd w:val="clear" w:color="auto" w:fill="auto"/>
          </w:tcPr>
          <w:p w14:paraId="6692CA74" w14:textId="77777777" w:rsidR="00941C6B" w:rsidRPr="00696F41" w:rsidRDefault="00941C6B" w:rsidP="00C42F1F">
            <w:pPr>
              <w:spacing w:line="360" w:lineRule="auto"/>
              <w:ind w:firstLine="169"/>
              <w:jc w:val="both"/>
              <w:rPr>
                <w:rFonts w:ascii="Book Antiqua" w:eastAsia="Calibri" w:hAnsi="Book Antiqua"/>
                <w:color w:val="000000"/>
              </w:rPr>
            </w:pPr>
            <w:r w:rsidRPr="00696F41">
              <w:rPr>
                <w:rFonts w:ascii="Book Antiqua" w:eastAsia="Calibri" w:hAnsi="Book Antiqua"/>
                <w:color w:val="000000"/>
              </w:rPr>
              <w:t>Weight (kg)</w:t>
            </w:r>
            <w:r w:rsidRPr="00696F41">
              <w:rPr>
                <w:rFonts w:ascii="Book Antiqua" w:eastAsia="Calibri" w:hAnsi="Book Antiqua"/>
                <w:color w:val="000000"/>
                <w:vertAlign w:val="superscript"/>
              </w:rPr>
              <w:t xml:space="preserve">1 </w:t>
            </w:r>
          </w:p>
        </w:tc>
        <w:tc>
          <w:tcPr>
            <w:tcW w:w="524" w:type="pct"/>
            <w:shd w:val="clear" w:color="auto" w:fill="auto"/>
          </w:tcPr>
          <w:p w14:paraId="286DA121" w14:textId="77777777" w:rsidR="00941C6B" w:rsidRPr="00696F41" w:rsidRDefault="00941C6B" w:rsidP="00C42F1F">
            <w:pPr>
              <w:spacing w:line="360" w:lineRule="auto"/>
              <w:ind w:firstLine="169"/>
              <w:jc w:val="both"/>
              <w:rPr>
                <w:rFonts w:ascii="Book Antiqua" w:eastAsia="Calibri" w:hAnsi="Book Antiqua"/>
                <w:color w:val="000000"/>
              </w:rPr>
            </w:pPr>
            <w:r w:rsidRPr="00696F41">
              <w:rPr>
                <w:rFonts w:ascii="Book Antiqua" w:eastAsia="Calibri" w:hAnsi="Book Antiqua"/>
                <w:color w:val="000000"/>
              </w:rPr>
              <w:t>55.9</w:t>
            </w:r>
          </w:p>
        </w:tc>
        <w:tc>
          <w:tcPr>
            <w:tcW w:w="2112" w:type="pct"/>
            <w:shd w:val="clear" w:color="auto" w:fill="auto"/>
          </w:tcPr>
          <w:p w14:paraId="10CB326D" w14:textId="77777777" w:rsidR="00941C6B" w:rsidRPr="00696F41" w:rsidRDefault="00941C6B" w:rsidP="00C42F1F">
            <w:pPr>
              <w:spacing w:line="360" w:lineRule="auto"/>
              <w:jc w:val="both"/>
              <w:rPr>
                <w:rFonts w:ascii="Book Antiqua" w:eastAsia="Calibri" w:hAnsi="Book Antiqua"/>
                <w:color w:val="000000"/>
              </w:rPr>
            </w:pPr>
            <w:r w:rsidRPr="00696F41">
              <w:rPr>
                <w:rFonts w:ascii="Book Antiqua" w:eastAsia="Calibri" w:hAnsi="Book Antiqua"/>
                <w:color w:val="000000"/>
              </w:rPr>
              <w:t>(11.1)</w:t>
            </w:r>
          </w:p>
        </w:tc>
      </w:tr>
      <w:tr w:rsidR="00941C6B" w:rsidRPr="00696F41" w14:paraId="77B1EC3E" w14:textId="77777777" w:rsidTr="00C42F1F">
        <w:trPr>
          <w:trHeight w:val="432"/>
        </w:trPr>
        <w:tc>
          <w:tcPr>
            <w:tcW w:w="2364" w:type="pct"/>
            <w:shd w:val="clear" w:color="auto" w:fill="auto"/>
          </w:tcPr>
          <w:p w14:paraId="48239205" w14:textId="77777777" w:rsidR="00941C6B" w:rsidRPr="00696F41" w:rsidRDefault="00941C6B" w:rsidP="00C42F1F">
            <w:pPr>
              <w:spacing w:line="360" w:lineRule="auto"/>
              <w:ind w:firstLine="169"/>
              <w:jc w:val="both"/>
              <w:rPr>
                <w:rFonts w:ascii="Book Antiqua" w:eastAsia="Calibri" w:hAnsi="Book Antiqua"/>
                <w:color w:val="000000"/>
              </w:rPr>
            </w:pPr>
            <w:r w:rsidRPr="00696F41">
              <w:rPr>
                <w:rFonts w:ascii="Book Antiqua" w:eastAsia="Calibri" w:hAnsi="Book Antiqua"/>
                <w:color w:val="000000"/>
              </w:rPr>
              <w:t>TSAT (%)</w:t>
            </w:r>
            <w:r w:rsidRPr="00696F41">
              <w:rPr>
                <w:rFonts w:ascii="Book Antiqua" w:eastAsia="Calibri" w:hAnsi="Book Antiqua"/>
                <w:color w:val="000000"/>
                <w:vertAlign w:val="superscript"/>
              </w:rPr>
              <w:t>2</w:t>
            </w:r>
          </w:p>
        </w:tc>
        <w:tc>
          <w:tcPr>
            <w:tcW w:w="524" w:type="pct"/>
            <w:shd w:val="clear" w:color="auto" w:fill="auto"/>
          </w:tcPr>
          <w:p w14:paraId="17A59B1E" w14:textId="77777777" w:rsidR="00941C6B" w:rsidRPr="00696F41" w:rsidRDefault="00941C6B" w:rsidP="00C42F1F">
            <w:pPr>
              <w:spacing w:line="360" w:lineRule="auto"/>
              <w:ind w:firstLine="169"/>
              <w:jc w:val="both"/>
              <w:rPr>
                <w:rFonts w:ascii="Book Antiqua" w:eastAsia="Calibri" w:hAnsi="Book Antiqua"/>
                <w:color w:val="000000"/>
              </w:rPr>
            </w:pPr>
            <w:r w:rsidRPr="00696F41">
              <w:rPr>
                <w:rFonts w:ascii="Book Antiqua" w:eastAsia="Calibri" w:hAnsi="Book Antiqua"/>
                <w:color w:val="000000"/>
              </w:rPr>
              <w:t>39.6</w:t>
            </w:r>
          </w:p>
        </w:tc>
        <w:tc>
          <w:tcPr>
            <w:tcW w:w="2112" w:type="pct"/>
            <w:shd w:val="clear" w:color="auto" w:fill="auto"/>
          </w:tcPr>
          <w:p w14:paraId="473C8472" w14:textId="77777777" w:rsidR="00941C6B" w:rsidRPr="00696F41" w:rsidRDefault="00941C6B" w:rsidP="00C42F1F">
            <w:pPr>
              <w:spacing w:line="360" w:lineRule="auto"/>
              <w:jc w:val="both"/>
              <w:rPr>
                <w:rFonts w:ascii="Book Antiqua" w:eastAsia="Calibri" w:hAnsi="Book Antiqua"/>
                <w:color w:val="000000"/>
              </w:rPr>
            </w:pPr>
            <w:r w:rsidRPr="00696F41">
              <w:rPr>
                <w:rFonts w:ascii="Book Antiqua" w:eastAsia="Calibri" w:hAnsi="Book Antiqua"/>
                <w:color w:val="000000"/>
              </w:rPr>
              <w:t>(23.0)</w:t>
            </w:r>
          </w:p>
        </w:tc>
      </w:tr>
      <w:tr w:rsidR="00941C6B" w:rsidRPr="00696F41" w14:paraId="0392A5B3" w14:textId="77777777" w:rsidTr="00C42F1F">
        <w:trPr>
          <w:trHeight w:val="432"/>
        </w:trPr>
        <w:tc>
          <w:tcPr>
            <w:tcW w:w="2364" w:type="pct"/>
            <w:shd w:val="clear" w:color="auto" w:fill="auto"/>
          </w:tcPr>
          <w:p w14:paraId="7FC0F6C3" w14:textId="77777777" w:rsidR="00941C6B" w:rsidRPr="00696F41" w:rsidRDefault="00941C6B" w:rsidP="00C42F1F">
            <w:pPr>
              <w:spacing w:line="360" w:lineRule="auto"/>
              <w:ind w:firstLine="169"/>
              <w:jc w:val="both"/>
              <w:rPr>
                <w:rFonts w:ascii="Book Antiqua" w:eastAsia="Calibri" w:hAnsi="Book Antiqua"/>
                <w:color w:val="000000"/>
              </w:rPr>
            </w:pPr>
            <w:r w:rsidRPr="00696F41">
              <w:rPr>
                <w:rFonts w:ascii="Book Antiqua" w:eastAsia="Calibri" w:hAnsi="Book Antiqua"/>
                <w:color w:val="000000"/>
              </w:rPr>
              <w:t>Ferritin (ng/mL)</w:t>
            </w:r>
            <w:r w:rsidRPr="00696F41">
              <w:rPr>
                <w:rFonts w:ascii="Book Antiqua" w:eastAsia="Calibri" w:hAnsi="Book Antiqua"/>
                <w:color w:val="000000"/>
                <w:vertAlign w:val="superscript"/>
              </w:rPr>
              <w:t>2</w:t>
            </w:r>
            <w:r w:rsidRPr="00696F41">
              <w:rPr>
                <w:rFonts w:ascii="Book Antiqua" w:eastAsia="Calibri" w:hAnsi="Book Antiqua"/>
                <w:color w:val="000000"/>
              </w:rPr>
              <w:t xml:space="preserve"> </w:t>
            </w:r>
          </w:p>
        </w:tc>
        <w:tc>
          <w:tcPr>
            <w:tcW w:w="524" w:type="pct"/>
            <w:shd w:val="clear" w:color="auto" w:fill="auto"/>
          </w:tcPr>
          <w:p w14:paraId="28C79AF1" w14:textId="77777777" w:rsidR="00941C6B" w:rsidRPr="00696F41" w:rsidRDefault="00941C6B" w:rsidP="00C42F1F">
            <w:pPr>
              <w:spacing w:line="360" w:lineRule="auto"/>
              <w:ind w:firstLine="169"/>
              <w:jc w:val="both"/>
              <w:rPr>
                <w:rFonts w:ascii="Book Antiqua" w:eastAsia="Calibri" w:hAnsi="Book Antiqua"/>
                <w:color w:val="000000"/>
              </w:rPr>
            </w:pPr>
            <w:r w:rsidRPr="00696F41">
              <w:rPr>
                <w:rFonts w:ascii="Book Antiqua" w:eastAsia="Calibri" w:hAnsi="Book Antiqua"/>
                <w:color w:val="000000"/>
              </w:rPr>
              <w:t>931.2</w:t>
            </w:r>
          </w:p>
        </w:tc>
        <w:tc>
          <w:tcPr>
            <w:tcW w:w="2112" w:type="pct"/>
            <w:shd w:val="clear" w:color="auto" w:fill="auto"/>
          </w:tcPr>
          <w:p w14:paraId="0C8FCC05" w14:textId="77777777" w:rsidR="00941C6B" w:rsidRPr="00696F41" w:rsidRDefault="00941C6B" w:rsidP="00C42F1F">
            <w:pPr>
              <w:spacing w:line="360" w:lineRule="auto"/>
              <w:jc w:val="both"/>
              <w:rPr>
                <w:rFonts w:ascii="Book Antiqua" w:eastAsia="Calibri" w:hAnsi="Book Antiqua"/>
                <w:color w:val="000000"/>
              </w:rPr>
            </w:pPr>
            <w:r w:rsidRPr="00696F41">
              <w:rPr>
                <w:rFonts w:ascii="Book Antiqua" w:eastAsia="Calibri" w:hAnsi="Book Antiqua"/>
                <w:color w:val="000000"/>
              </w:rPr>
              <w:t>(592.7)</w:t>
            </w:r>
          </w:p>
        </w:tc>
      </w:tr>
      <w:tr w:rsidR="00941C6B" w:rsidRPr="00696F41" w14:paraId="575E0342" w14:textId="77777777" w:rsidTr="00C42F1F">
        <w:trPr>
          <w:trHeight w:val="432"/>
        </w:trPr>
        <w:tc>
          <w:tcPr>
            <w:tcW w:w="2364" w:type="pct"/>
            <w:shd w:val="clear" w:color="auto" w:fill="auto"/>
          </w:tcPr>
          <w:p w14:paraId="2BEB7B40" w14:textId="77777777" w:rsidR="00941C6B" w:rsidRPr="00696F41" w:rsidRDefault="00941C6B" w:rsidP="00C42F1F">
            <w:pPr>
              <w:spacing w:line="360" w:lineRule="auto"/>
              <w:ind w:firstLine="169"/>
              <w:jc w:val="both"/>
              <w:rPr>
                <w:rFonts w:ascii="Book Antiqua" w:eastAsia="Calibri" w:hAnsi="Book Antiqua"/>
                <w:color w:val="000000"/>
              </w:rPr>
            </w:pPr>
            <w:r w:rsidRPr="00696F41">
              <w:rPr>
                <w:rFonts w:ascii="Book Antiqua" w:eastAsia="Calibri" w:hAnsi="Book Antiqua"/>
                <w:color w:val="000000"/>
              </w:rPr>
              <w:t>Hemoglobin (g/dL)</w:t>
            </w:r>
            <w:r w:rsidRPr="00696F41">
              <w:rPr>
                <w:rFonts w:ascii="Book Antiqua" w:eastAsia="Calibri" w:hAnsi="Book Antiqua"/>
                <w:color w:val="000000"/>
                <w:vertAlign w:val="superscript"/>
              </w:rPr>
              <w:t xml:space="preserve">1 </w:t>
            </w:r>
          </w:p>
        </w:tc>
        <w:tc>
          <w:tcPr>
            <w:tcW w:w="524" w:type="pct"/>
            <w:shd w:val="clear" w:color="auto" w:fill="auto"/>
          </w:tcPr>
          <w:p w14:paraId="03E41B13" w14:textId="77777777" w:rsidR="00941C6B" w:rsidRPr="00696F41" w:rsidRDefault="00941C6B" w:rsidP="00C42F1F">
            <w:pPr>
              <w:spacing w:line="360" w:lineRule="auto"/>
              <w:ind w:firstLine="169"/>
              <w:jc w:val="both"/>
              <w:rPr>
                <w:rFonts w:ascii="Book Antiqua" w:eastAsia="Calibri" w:hAnsi="Book Antiqua"/>
                <w:color w:val="000000"/>
              </w:rPr>
            </w:pPr>
            <w:r w:rsidRPr="00696F41">
              <w:rPr>
                <w:rFonts w:ascii="Book Antiqua" w:eastAsia="Calibri" w:hAnsi="Book Antiqua"/>
                <w:color w:val="000000"/>
              </w:rPr>
              <w:t>7.4</w:t>
            </w:r>
          </w:p>
        </w:tc>
        <w:tc>
          <w:tcPr>
            <w:tcW w:w="2112" w:type="pct"/>
            <w:shd w:val="clear" w:color="auto" w:fill="auto"/>
          </w:tcPr>
          <w:p w14:paraId="60EF4CB1" w14:textId="77777777" w:rsidR="00941C6B" w:rsidRPr="00696F41" w:rsidRDefault="00941C6B" w:rsidP="00C42F1F">
            <w:pPr>
              <w:spacing w:line="360" w:lineRule="auto"/>
              <w:jc w:val="both"/>
              <w:rPr>
                <w:rFonts w:ascii="Book Antiqua" w:eastAsia="Calibri" w:hAnsi="Book Antiqua"/>
                <w:color w:val="000000"/>
              </w:rPr>
            </w:pPr>
            <w:r w:rsidRPr="00696F41">
              <w:rPr>
                <w:rFonts w:ascii="Book Antiqua" w:eastAsia="Calibri" w:hAnsi="Book Antiqua"/>
                <w:color w:val="000000"/>
              </w:rPr>
              <w:t>(1.3)</w:t>
            </w:r>
          </w:p>
        </w:tc>
      </w:tr>
      <w:tr w:rsidR="00941C6B" w:rsidRPr="00696F41" w14:paraId="30B19025" w14:textId="77777777" w:rsidTr="00C42F1F">
        <w:trPr>
          <w:trHeight w:val="432"/>
        </w:trPr>
        <w:tc>
          <w:tcPr>
            <w:tcW w:w="2364" w:type="pct"/>
            <w:shd w:val="clear" w:color="auto" w:fill="auto"/>
          </w:tcPr>
          <w:p w14:paraId="4CAFD677" w14:textId="77777777" w:rsidR="00941C6B" w:rsidRPr="00696F41" w:rsidRDefault="00941C6B" w:rsidP="00C42F1F">
            <w:pPr>
              <w:spacing w:line="360" w:lineRule="auto"/>
              <w:ind w:firstLine="169"/>
              <w:jc w:val="both"/>
              <w:rPr>
                <w:rFonts w:ascii="Book Antiqua" w:eastAsia="Calibri" w:hAnsi="Book Antiqua"/>
                <w:color w:val="000000"/>
              </w:rPr>
            </w:pPr>
            <w:r w:rsidRPr="00696F41">
              <w:rPr>
                <w:rFonts w:ascii="Book Antiqua" w:eastAsia="Calibri" w:hAnsi="Book Antiqua"/>
                <w:color w:val="000000"/>
              </w:rPr>
              <w:t>Hematocrit (%)</w:t>
            </w:r>
            <w:r w:rsidRPr="00696F41">
              <w:rPr>
                <w:rFonts w:ascii="Book Antiqua" w:eastAsia="Calibri" w:hAnsi="Book Antiqua"/>
                <w:color w:val="000000"/>
                <w:vertAlign w:val="superscript"/>
              </w:rPr>
              <w:t xml:space="preserve">1 </w:t>
            </w:r>
          </w:p>
        </w:tc>
        <w:tc>
          <w:tcPr>
            <w:tcW w:w="524" w:type="pct"/>
            <w:shd w:val="clear" w:color="auto" w:fill="auto"/>
          </w:tcPr>
          <w:p w14:paraId="10C364C1" w14:textId="77777777" w:rsidR="00941C6B" w:rsidRPr="00696F41" w:rsidRDefault="00941C6B" w:rsidP="00C42F1F">
            <w:pPr>
              <w:spacing w:line="360" w:lineRule="auto"/>
              <w:ind w:firstLine="169"/>
              <w:jc w:val="both"/>
              <w:rPr>
                <w:rFonts w:ascii="Book Antiqua" w:eastAsia="Calibri" w:hAnsi="Book Antiqua"/>
                <w:color w:val="000000"/>
              </w:rPr>
            </w:pPr>
            <w:r w:rsidRPr="00696F41">
              <w:rPr>
                <w:rFonts w:ascii="Book Antiqua" w:eastAsia="Calibri" w:hAnsi="Book Antiqua"/>
                <w:color w:val="000000"/>
              </w:rPr>
              <w:t>22.2</w:t>
            </w:r>
          </w:p>
        </w:tc>
        <w:tc>
          <w:tcPr>
            <w:tcW w:w="2112" w:type="pct"/>
            <w:shd w:val="clear" w:color="auto" w:fill="auto"/>
          </w:tcPr>
          <w:p w14:paraId="32FD0B91" w14:textId="77777777" w:rsidR="00941C6B" w:rsidRPr="00696F41" w:rsidRDefault="00941C6B" w:rsidP="00C42F1F">
            <w:pPr>
              <w:spacing w:line="360" w:lineRule="auto"/>
              <w:jc w:val="both"/>
              <w:rPr>
                <w:rFonts w:ascii="Book Antiqua" w:eastAsia="Calibri" w:hAnsi="Book Antiqua"/>
                <w:color w:val="000000"/>
              </w:rPr>
            </w:pPr>
            <w:r w:rsidRPr="00696F41">
              <w:rPr>
                <w:rFonts w:ascii="Book Antiqua" w:eastAsia="Calibri" w:hAnsi="Book Antiqua"/>
                <w:color w:val="000000"/>
              </w:rPr>
              <w:t>(4.0)</w:t>
            </w:r>
          </w:p>
        </w:tc>
      </w:tr>
      <w:tr w:rsidR="00941C6B" w:rsidRPr="00696F41" w14:paraId="3BE1FDEF" w14:textId="77777777" w:rsidTr="00C42F1F">
        <w:trPr>
          <w:trHeight w:val="432"/>
        </w:trPr>
        <w:tc>
          <w:tcPr>
            <w:tcW w:w="2364" w:type="pct"/>
            <w:shd w:val="clear" w:color="auto" w:fill="auto"/>
          </w:tcPr>
          <w:p w14:paraId="26F3A672" w14:textId="77777777" w:rsidR="00941C6B" w:rsidRPr="00696F41" w:rsidRDefault="00941C6B" w:rsidP="00C42F1F">
            <w:pPr>
              <w:spacing w:line="360" w:lineRule="auto"/>
              <w:ind w:firstLine="169"/>
              <w:jc w:val="both"/>
              <w:rPr>
                <w:rFonts w:ascii="Book Antiqua" w:eastAsia="Calibri" w:hAnsi="Book Antiqua"/>
                <w:color w:val="000000"/>
              </w:rPr>
            </w:pPr>
            <w:r w:rsidRPr="00696F41">
              <w:rPr>
                <w:rFonts w:ascii="Book Antiqua" w:eastAsia="Calibri" w:hAnsi="Book Antiqua"/>
                <w:color w:val="000000"/>
              </w:rPr>
              <w:t>Reticulocyte count (%)</w:t>
            </w:r>
            <w:r w:rsidRPr="00696F41">
              <w:rPr>
                <w:rFonts w:ascii="Book Antiqua" w:eastAsia="Calibri" w:hAnsi="Book Antiqua"/>
                <w:color w:val="000000"/>
                <w:vertAlign w:val="superscript"/>
              </w:rPr>
              <w:t>1</w:t>
            </w:r>
          </w:p>
        </w:tc>
        <w:tc>
          <w:tcPr>
            <w:tcW w:w="524" w:type="pct"/>
            <w:shd w:val="clear" w:color="auto" w:fill="auto"/>
          </w:tcPr>
          <w:p w14:paraId="6C45366F" w14:textId="77777777" w:rsidR="00941C6B" w:rsidRPr="00696F41" w:rsidRDefault="00941C6B" w:rsidP="00C42F1F">
            <w:pPr>
              <w:spacing w:line="360" w:lineRule="auto"/>
              <w:ind w:firstLine="169"/>
              <w:jc w:val="both"/>
              <w:rPr>
                <w:rFonts w:ascii="Book Antiqua" w:eastAsia="Calibri" w:hAnsi="Book Antiqua"/>
                <w:color w:val="000000"/>
              </w:rPr>
            </w:pPr>
            <w:r w:rsidRPr="00696F41">
              <w:rPr>
                <w:rFonts w:ascii="Book Antiqua" w:eastAsia="Calibri" w:hAnsi="Book Antiqua"/>
                <w:color w:val="000000"/>
              </w:rPr>
              <w:t>1.1</w:t>
            </w:r>
          </w:p>
        </w:tc>
        <w:tc>
          <w:tcPr>
            <w:tcW w:w="2112" w:type="pct"/>
            <w:shd w:val="clear" w:color="auto" w:fill="auto"/>
          </w:tcPr>
          <w:p w14:paraId="3646240E" w14:textId="77777777" w:rsidR="00941C6B" w:rsidRPr="00696F41" w:rsidRDefault="00941C6B" w:rsidP="00C42F1F">
            <w:pPr>
              <w:spacing w:line="360" w:lineRule="auto"/>
              <w:jc w:val="both"/>
              <w:rPr>
                <w:rFonts w:ascii="Book Antiqua" w:eastAsia="Calibri" w:hAnsi="Book Antiqua"/>
                <w:color w:val="000000"/>
              </w:rPr>
            </w:pPr>
            <w:r w:rsidRPr="00696F41">
              <w:rPr>
                <w:rFonts w:ascii="Book Antiqua" w:eastAsia="Calibri" w:hAnsi="Book Antiqua"/>
                <w:color w:val="000000"/>
              </w:rPr>
              <w:t>(0.9)</w:t>
            </w:r>
          </w:p>
        </w:tc>
      </w:tr>
      <w:tr w:rsidR="00941C6B" w:rsidRPr="00696F41" w14:paraId="65605CE8" w14:textId="77777777" w:rsidTr="00C42F1F">
        <w:trPr>
          <w:trHeight w:val="432"/>
        </w:trPr>
        <w:tc>
          <w:tcPr>
            <w:tcW w:w="2364" w:type="pct"/>
            <w:shd w:val="clear" w:color="auto" w:fill="auto"/>
          </w:tcPr>
          <w:p w14:paraId="67D79349" w14:textId="77777777" w:rsidR="00941C6B" w:rsidRPr="00696F41" w:rsidRDefault="00941C6B" w:rsidP="00C42F1F">
            <w:pPr>
              <w:spacing w:line="360" w:lineRule="auto"/>
              <w:ind w:firstLine="169"/>
              <w:jc w:val="both"/>
              <w:rPr>
                <w:rFonts w:ascii="Book Antiqua" w:eastAsia="Calibri" w:hAnsi="Book Antiqua"/>
                <w:color w:val="000000"/>
              </w:rPr>
            </w:pPr>
            <w:r w:rsidRPr="00696F41">
              <w:rPr>
                <w:rFonts w:ascii="Book Antiqua" w:eastAsia="Calibri" w:hAnsi="Book Antiqua"/>
                <w:color w:val="000000"/>
              </w:rPr>
              <w:t>eGFR (ml/min/1.73 m</w:t>
            </w:r>
            <w:r w:rsidRPr="00696F41">
              <w:rPr>
                <w:rFonts w:ascii="Book Antiqua" w:eastAsia="Calibri" w:hAnsi="Book Antiqua"/>
                <w:color w:val="000000"/>
                <w:vertAlign w:val="superscript"/>
              </w:rPr>
              <w:t>2</w:t>
            </w:r>
            <w:r w:rsidRPr="00696F41">
              <w:rPr>
                <w:rFonts w:ascii="Book Antiqua" w:eastAsia="Calibri" w:hAnsi="Book Antiqua"/>
                <w:color w:val="000000"/>
              </w:rPr>
              <w:t>)</w:t>
            </w:r>
            <w:r w:rsidRPr="00696F41">
              <w:rPr>
                <w:rFonts w:ascii="Book Antiqua" w:eastAsia="Calibri" w:hAnsi="Book Antiqua"/>
                <w:color w:val="000000"/>
                <w:vertAlign w:val="superscript"/>
              </w:rPr>
              <w:t>2,3</w:t>
            </w:r>
          </w:p>
        </w:tc>
        <w:tc>
          <w:tcPr>
            <w:tcW w:w="524" w:type="pct"/>
            <w:shd w:val="clear" w:color="auto" w:fill="auto"/>
          </w:tcPr>
          <w:p w14:paraId="543A5313" w14:textId="77777777" w:rsidR="00941C6B" w:rsidRPr="00696F41" w:rsidRDefault="00941C6B" w:rsidP="00C42F1F">
            <w:pPr>
              <w:spacing w:line="360" w:lineRule="auto"/>
              <w:ind w:firstLine="169"/>
              <w:jc w:val="both"/>
              <w:rPr>
                <w:rFonts w:ascii="Book Antiqua" w:eastAsia="Calibri" w:hAnsi="Book Antiqua"/>
                <w:color w:val="000000"/>
              </w:rPr>
            </w:pPr>
            <w:r w:rsidRPr="00696F41">
              <w:rPr>
                <w:rFonts w:ascii="Book Antiqua" w:eastAsia="Times New Roman" w:hAnsi="Book Antiqua"/>
              </w:rPr>
              <w:t>6.2</w:t>
            </w:r>
          </w:p>
        </w:tc>
        <w:tc>
          <w:tcPr>
            <w:tcW w:w="2112" w:type="pct"/>
            <w:shd w:val="clear" w:color="auto" w:fill="auto"/>
          </w:tcPr>
          <w:p w14:paraId="5C91EDE5" w14:textId="77777777" w:rsidR="00941C6B" w:rsidRPr="00696F41" w:rsidRDefault="00941C6B" w:rsidP="00C42F1F">
            <w:pPr>
              <w:spacing w:line="360" w:lineRule="auto"/>
              <w:jc w:val="both"/>
              <w:rPr>
                <w:rFonts w:ascii="Book Antiqua" w:eastAsia="Calibri" w:hAnsi="Book Antiqua"/>
                <w:color w:val="000000"/>
              </w:rPr>
            </w:pPr>
            <w:r w:rsidRPr="00696F41">
              <w:rPr>
                <w:rFonts w:ascii="Book Antiqua" w:eastAsia="Times New Roman" w:hAnsi="Book Antiqua"/>
              </w:rPr>
              <w:t>(3.3)</w:t>
            </w:r>
          </w:p>
        </w:tc>
      </w:tr>
      <w:tr w:rsidR="00941C6B" w:rsidRPr="00696F41" w14:paraId="7CE25FBB" w14:textId="77777777" w:rsidTr="00C42F1F">
        <w:trPr>
          <w:trHeight w:val="432"/>
        </w:trPr>
        <w:tc>
          <w:tcPr>
            <w:tcW w:w="2364" w:type="pct"/>
            <w:shd w:val="clear" w:color="auto" w:fill="auto"/>
          </w:tcPr>
          <w:p w14:paraId="3CD90DA4" w14:textId="77777777" w:rsidR="00941C6B" w:rsidRPr="00696F41" w:rsidRDefault="00941C6B" w:rsidP="00C42F1F">
            <w:pPr>
              <w:spacing w:line="360" w:lineRule="auto"/>
              <w:ind w:firstLine="169"/>
              <w:jc w:val="both"/>
              <w:rPr>
                <w:rFonts w:ascii="Book Antiqua" w:eastAsia="Calibri" w:hAnsi="Book Antiqua"/>
                <w:color w:val="000000"/>
              </w:rPr>
            </w:pPr>
            <w:r w:rsidRPr="00696F41">
              <w:rPr>
                <w:rFonts w:ascii="Book Antiqua" w:eastAsia="Calibri" w:hAnsi="Book Antiqua"/>
                <w:color w:val="000000"/>
              </w:rPr>
              <w:t>BUN (mg%)</w:t>
            </w:r>
            <w:r w:rsidRPr="00696F41">
              <w:rPr>
                <w:rFonts w:ascii="Book Antiqua" w:eastAsia="Calibri" w:hAnsi="Book Antiqua"/>
                <w:color w:val="000000"/>
                <w:vertAlign w:val="superscript"/>
              </w:rPr>
              <w:t>2</w:t>
            </w:r>
          </w:p>
        </w:tc>
        <w:tc>
          <w:tcPr>
            <w:tcW w:w="524" w:type="pct"/>
            <w:shd w:val="clear" w:color="auto" w:fill="auto"/>
          </w:tcPr>
          <w:p w14:paraId="6DED32DA" w14:textId="77777777" w:rsidR="00941C6B" w:rsidRPr="00696F41" w:rsidRDefault="00941C6B" w:rsidP="00C42F1F">
            <w:pPr>
              <w:spacing w:line="360" w:lineRule="auto"/>
              <w:ind w:firstLine="169"/>
              <w:jc w:val="both"/>
              <w:rPr>
                <w:rFonts w:ascii="Book Antiqua" w:eastAsia="Calibri" w:hAnsi="Book Antiqua"/>
                <w:color w:val="000000"/>
              </w:rPr>
            </w:pPr>
            <w:r w:rsidRPr="00696F41">
              <w:rPr>
                <w:rFonts w:ascii="Book Antiqua" w:eastAsia="Calibri" w:hAnsi="Book Antiqua"/>
                <w:color w:val="000000"/>
              </w:rPr>
              <w:t>77.1</w:t>
            </w:r>
          </w:p>
        </w:tc>
        <w:tc>
          <w:tcPr>
            <w:tcW w:w="2112" w:type="pct"/>
            <w:shd w:val="clear" w:color="auto" w:fill="auto"/>
          </w:tcPr>
          <w:p w14:paraId="3FC4D313" w14:textId="77777777" w:rsidR="00941C6B" w:rsidRPr="00696F41" w:rsidRDefault="00941C6B" w:rsidP="00C42F1F">
            <w:pPr>
              <w:spacing w:line="360" w:lineRule="auto"/>
              <w:jc w:val="both"/>
              <w:rPr>
                <w:rFonts w:ascii="Book Antiqua" w:eastAsia="Calibri" w:hAnsi="Book Antiqua"/>
                <w:color w:val="000000"/>
              </w:rPr>
            </w:pPr>
            <w:r w:rsidRPr="00696F41">
              <w:rPr>
                <w:rFonts w:ascii="Book Antiqua" w:eastAsia="Calibri" w:hAnsi="Book Antiqua"/>
                <w:color w:val="000000"/>
              </w:rPr>
              <w:t>(34.2)</w:t>
            </w:r>
          </w:p>
        </w:tc>
      </w:tr>
      <w:tr w:rsidR="00941C6B" w:rsidRPr="00696F41" w14:paraId="7CCB261D" w14:textId="77777777" w:rsidTr="00C42F1F">
        <w:trPr>
          <w:trHeight w:val="432"/>
        </w:trPr>
        <w:tc>
          <w:tcPr>
            <w:tcW w:w="2364" w:type="pct"/>
            <w:shd w:val="clear" w:color="auto" w:fill="auto"/>
          </w:tcPr>
          <w:p w14:paraId="137F955A" w14:textId="77777777" w:rsidR="00941C6B" w:rsidRPr="00696F41" w:rsidRDefault="00941C6B" w:rsidP="00C42F1F">
            <w:pPr>
              <w:spacing w:line="360" w:lineRule="auto"/>
              <w:ind w:firstLine="169"/>
              <w:jc w:val="both"/>
              <w:rPr>
                <w:rFonts w:ascii="Book Antiqua" w:eastAsia="Calibri" w:hAnsi="Book Antiqua"/>
                <w:color w:val="000000"/>
              </w:rPr>
            </w:pPr>
            <w:r w:rsidRPr="00696F41">
              <w:rPr>
                <w:rFonts w:ascii="Book Antiqua" w:eastAsia="Calibri" w:hAnsi="Book Antiqua"/>
                <w:color w:val="000000"/>
              </w:rPr>
              <w:t>Creatinine (mg%)</w:t>
            </w:r>
            <w:r w:rsidRPr="00696F41">
              <w:rPr>
                <w:rFonts w:ascii="Book Antiqua" w:eastAsia="Calibri" w:hAnsi="Book Antiqua"/>
                <w:color w:val="000000"/>
                <w:vertAlign w:val="superscript"/>
              </w:rPr>
              <w:t>2</w:t>
            </w:r>
          </w:p>
        </w:tc>
        <w:tc>
          <w:tcPr>
            <w:tcW w:w="524" w:type="pct"/>
            <w:shd w:val="clear" w:color="auto" w:fill="auto"/>
          </w:tcPr>
          <w:p w14:paraId="20916075" w14:textId="77777777" w:rsidR="00941C6B" w:rsidRPr="00696F41" w:rsidRDefault="00941C6B" w:rsidP="00C42F1F">
            <w:pPr>
              <w:spacing w:line="360" w:lineRule="auto"/>
              <w:ind w:firstLine="169"/>
              <w:jc w:val="both"/>
              <w:rPr>
                <w:rFonts w:ascii="Book Antiqua" w:eastAsia="Calibri" w:hAnsi="Book Antiqua"/>
                <w:color w:val="000000"/>
              </w:rPr>
            </w:pPr>
            <w:r w:rsidRPr="00696F41">
              <w:rPr>
                <w:rFonts w:ascii="Book Antiqua" w:eastAsia="Calibri" w:hAnsi="Book Antiqua"/>
                <w:color w:val="000000"/>
              </w:rPr>
              <w:t>10.0</w:t>
            </w:r>
          </w:p>
        </w:tc>
        <w:tc>
          <w:tcPr>
            <w:tcW w:w="2112" w:type="pct"/>
            <w:shd w:val="clear" w:color="auto" w:fill="auto"/>
          </w:tcPr>
          <w:p w14:paraId="042E3C47" w14:textId="77777777" w:rsidR="00941C6B" w:rsidRPr="00696F41" w:rsidRDefault="00941C6B" w:rsidP="00C42F1F">
            <w:pPr>
              <w:spacing w:line="360" w:lineRule="auto"/>
              <w:jc w:val="both"/>
              <w:rPr>
                <w:rFonts w:ascii="Book Antiqua" w:eastAsia="Calibri" w:hAnsi="Book Antiqua"/>
                <w:color w:val="000000"/>
              </w:rPr>
            </w:pPr>
            <w:r w:rsidRPr="00696F41">
              <w:rPr>
                <w:rFonts w:ascii="Book Antiqua" w:eastAsia="Calibri" w:hAnsi="Book Antiqua"/>
                <w:color w:val="000000"/>
              </w:rPr>
              <w:t>(4.5)</w:t>
            </w:r>
          </w:p>
        </w:tc>
      </w:tr>
      <w:tr w:rsidR="00941C6B" w:rsidRPr="00696F41" w14:paraId="3C5CD50D" w14:textId="77777777" w:rsidTr="00C42F1F">
        <w:trPr>
          <w:trHeight w:val="432"/>
        </w:trPr>
        <w:tc>
          <w:tcPr>
            <w:tcW w:w="2364" w:type="pct"/>
            <w:shd w:val="clear" w:color="auto" w:fill="auto"/>
          </w:tcPr>
          <w:p w14:paraId="18821AD4" w14:textId="77777777" w:rsidR="00941C6B" w:rsidRPr="00696F41" w:rsidRDefault="00941C6B" w:rsidP="00C42F1F">
            <w:pPr>
              <w:spacing w:line="360" w:lineRule="auto"/>
              <w:ind w:firstLine="169"/>
              <w:jc w:val="both"/>
              <w:rPr>
                <w:rFonts w:ascii="Book Antiqua" w:eastAsia="Calibri" w:hAnsi="Book Antiqua"/>
                <w:color w:val="000000"/>
              </w:rPr>
            </w:pPr>
            <w:r w:rsidRPr="00696F41">
              <w:rPr>
                <w:rFonts w:ascii="Book Antiqua" w:eastAsia="Calibri" w:hAnsi="Book Antiqua"/>
                <w:color w:val="000000"/>
              </w:rPr>
              <w:t>Albumin (g%)</w:t>
            </w:r>
            <w:r w:rsidRPr="00696F41">
              <w:rPr>
                <w:rFonts w:ascii="Book Antiqua" w:eastAsia="Calibri" w:hAnsi="Book Antiqua"/>
                <w:color w:val="000000"/>
                <w:vertAlign w:val="superscript"/>
              </w:rPr>
              <w:t>2</w:t>
            </w:r>
          </w:p>
        </w:tc>
        <w:tc>
          <w:tcPr>
            <w:tcW w:w="524" w:type="pct"/>
            <w:shd w:val="clear" w:color="auto" w:fill="auto"/>
          </w:tcPr>
          <w:p w14:paraId="524BE6E5" w14:textId="77777777" w:rsidR="00941C6B" w:rsidRPr="00696F41" w:rsidRDefault="00941C6B" w:rsidP="00C42F1F">
            <w:pPr>
              <w:spacing w:line="360" w:lineRule="auto"/>
              <w:ind w:firstLine="169"/>
              <w:jc w:val="both"/>
              <w:rPr>
                <w:rFonts w:ascii="Book Antiqua" w:eastAsia="Calibri" w:hAnsi="Book Antiqua"/>
                <w:color w:val="000000"/>
              </w:rPr>
            </w:pPr>
            <w:r w:rsidRPr="00696F41">
              <w:rPr>
                <w:rFonts w:ascii="Book Antiqua" w:eastAsia="Calibri" w:hAnsi="Book Antiqua"/>
                <w:color w:val="000000"/>
              </w:rPr>
              <w:t>3.8</w:t>
            </w:r>
          </w:p>
        </w:tc>
        <w:tc>
          <w:tcPr>
            <w:tcW w:w="2112" w:type="pct"/>
            <w:shd w:val="clear" w:color="auto" w:fill="auto"/>
          </w:tcPr>
          <w:p w14:paraId="44E5BBA7" w14:textId="77777777" w:rsidR="00941C6B" w:rsidRPr="00696F41" w:rsidRDefault="00941C6B" w:rsidP="00C42F1F">
            <w:pPr>
              <w:spacing w:line="360" w:lineRule="auto"/>
              <w:jc w:val="both"/>
              <w:rPr>
                <w:rFonts w:ascii="Book Antiqua" w:eastAsia="Calibri" w:hAnsi="Book Antiqua"/>
                <w:color w:val="000000"/>
              </w:rPr>
            </w:pPr>
            <w:r w:rsidRPr="00696F41">
              <w:rPr>
                <w:rFonts w:ascii="Book Antiqua" w:eastAsia="Calibri" w:hAnsi="Book Antiqua"/>
                <w:color w:val="000000"/>
              </w:rPr>
              <w:t>(0.6)</w:t>
            </w:r>
          </w:p>
        </w:tc>
      </w:tr>
      <w:tr w:rsidR="00941C6B" w:rsidRPr="00696F41" w14:paraId="0B55474A" w14:textId="77777777" w:rsidTr="00C42F1F">
        <w:trPr>
          <w:trHeight w:val="432"/>
        </w:trPr>
        <w:tc>
          <w:tcPr>
            <w:tcW w:w="2364" w:type="pct"/>
            <w:shd w:val="clear" w:color="auto" w:fill="auto"/>
          </w:tcPr>
          <w:p w14:paraId="50663654" w14:textId="77777777" w:rsidR="00941C6B" w:rsidRPr="00696F41" w:rsidRDefault="00941C6B" w:rsidP="00C42F1F">
            <w:pPr>
              <w:spacing w:line="360" w:lineRule="auto"/>
              <w:ind w:firstLine="169"/>
              <w:jc w:val="both"/>
              <w:rPr>
                <w:rFonts w:ascii="Book Antiqua" w:eastAsia="Calibri" w:hAnsi="Book Antiqua"/>
                <w:color w:val="000000"/>
              </w:rPr>
            </w:pPr>
            <w:r w:rsidRPr="00696F41">
              <w:rPr>
                <w:rFonts w:ascii="Book Antiqua" w:eastAsia="Calibri" w:hAnsi="Book Antiqua"/>
                <w:color w:val="000000"/>
              </w:rPr>
              <w:t>Vitamin B12 (pg/mL)</w:t>
            </w:r>
            <w:r w:rsidRPr="00696F41">
              <w:rPr>
                <w:rFonts w:ascii="Book Antiqua" w:eastAsia="Calibri" w:hAnsi="Book Antiqua"/>
                <w:color w:val="000000"/>
                <w:vertAlign w:val="superscript"/>
              </w:rPr>
              <w:t>2,4</w:t>
            </w:r>
            <w:r w:rsidRPr="00696F41">
              <w:rPr>
                <w:rFonts w:ascii="Book Antiqua" w:eastAsia="Calibri" w:hAnsi="Book Antiqua"/>
                <w:color w:val="000000"/>
              </w:rPr>
              <w:t xml:space="preserve"> </w:t>
            </w:r>
          </w:p>
        </w:tc>
        <w:tc>
          <w:tcPr>
            <w:tcW w:w="524" w:type="pct"/>
            <w:shd w:val="clear" w:color="auto" w:fill="auto"/>
          </w:tcPr>
          <w:p w14:paraId="7C3F0FDA" w14:textId="77777777" w:rsidR="00941C6B" w:rsidRPr="00696F41" w:rsidRDefault="00941C6B" w:rsidP="00C42F1F">
            <w:pPr>
              <w:spacing w:line="360" w:lineRule="auto"/>
              <w:ind w:firstLine="169"/>
              <w:jc w:val="both"/>
              <w:rPr>
                <w:rFonts w:ascii="Book Antiqua" w:eastAsia="Calibri" w:hAnsi="Book Antiqua"/>
                <w:color w:val="000000"/>
              </w:rPr>
            </w:pPr>
            <w:r w:rsidRPr="00696F41">
              <w:rPr>
                <w:rFonts w:ascii="Book Antiqua" w:eastAsia="Calibri" w:hAnsi="Book Antiqua"/>
                <w:color w:val="000000"/>
              </w:rPr>
              <w:t>922.3</w:t>
            </w:r>
          </w:p>
        </w:tc>
        <w:tc>
          <w:tcPr>
            <w:tcW w:w="2112" w:type="pct"/>
            <w:shd w:val="clear" w:color="auto" w:fill="auto"/>
          </w:tcPr>
          <w:p w14:paraId="1A500826" w14:textId="77777777" w:rsidR="00941C6B" w:rsidRPr="00696F41" w:rsidRDefault="00941C6B" w:rsidP="00C42F1F">
            <w:pPr>
              <w:spacing w:line="360" w:lineRule="auto"/>
              <w:jc w:val="both"/>
              <w:rPr>
                <w:rFonts w:ascii="Book Antiqua" w:eastAsia="Calibri" w:hAnsi="Book Antiqua"/>
                <w:color w:val="000000"/>
              </w:rPr>
            </w:pPr>
            <w:r w:rsidRPr="00696F41">
              <w:rPr>
                <w:rFonts w:ascii="Book Antiqua" w:eastAsia="Calibri" w:hAnsi="Book Antiqua"/>
                <w:color w:val="000000"/>
              </w:rPr>
              <w:t>(422.9)</w:t>
            </w:r>
          </w:p>
        </w:tc>
      </w:tr>
      <w:tr w:rsidR="00941C6B" w:rsidRPr="00696F41" w14:paraId="2DCD10F6" w14:textId="77777777" w:rsidTr="00C42F1F">
        <w:trPr>
          <w:trHeight w:val="432"/>
        </w:trPr>
        <w:tc>
          <w:tcPr>
            <w:tcW w:w="2364" w:type="pct"/>
            <w:shd w:val="clear" w:color="auto" w:fill="auto"/>
          </w:tcPr>
          <w:p w14:paraId="619C9F2C" w14:textId="77777777" w:rsidR="00941C6B" w:rsidRPr="00696F41" w:rsidRDefault="00941C6B" w:rsidP="00C42F1F">
            <w:pPr>
              <w:spacing w:line="360" w:lineRule="auto"/>
              <w:ind w:firstLine="169"/>
              <w:jc w:val="both"/>
              <w:rPr>
                <w:rFonts w:ascii="Book Antiqua" w:eastAsia="Calibri" w:hAnsi="Book Antiqua"/>
                <w:color w:val="000000"/>
              </w:rPr>
            </w:pPr>
            <w:r w:rsidRPr="00696F41">
              <w:rPr>
                <w:rFonts w:ascii="Book Antiqua" w:eastAsia="Calibri" w:hAnsi="Book Antiqua"/>
                <w:color w:val="000000"/>
              </w:rPr>
              <w:t>Folic acid (ng/mL)</w:t>
            </w:r>
            <w:r w:rsidRPr="00696F41">
              <w:rPr>
                <w:rFonts w:ascii="Book Antiqua" w:eastAsia="Calibri" w:hAnsi="Book Antiqua"/>
                <w:color w:val="000000"/>
                <w:vertAlign w:val="superscript"/>
              </w:rPr>
              <w:t>2,4</w:t>
            </w:r>
          </w:p>
        </w:tc>
        <w:tc>
          <w:tcPr>
            <w:tcW w:w="524" w:type="pct"/>
            <w:shd w:val="clear" w:color="auto" w:fill="auto"/>
          </w:tcPr>
          <w:p w14:paraId="50934B27" w14:textId="77777777" w:rsidR="00941C6B" w:rsidRPr="00696F41" w:rsidRDefault="00941C6B" w:rsidP="00C42F1F">
            <w:pPr>
              <w:spacing w:line="360" w:lineRule="auto"/>
              <w:ind w:firstLine="169"/>
              <w:jc w:val="both"/>
              <w:rPr>
                <w:rFonts w:ascii="Book Antiqua" w:eastAsia="Calibri" w:hAnsi="Book Antiqua"/>
                <w:color w:val="000000"/>
              </w:rPr>
            </w:pPr>
          </w:p>
        </w:tc>
        <w:tc>
          <w:tcPr>
            <w:tcW w:w="2112" w:type="pct"/>
            <w:shd w:val="clear" w:color="auto" w:fill="auto"/>
          </w:tcPr>
          <w:p w14:paraId="3DB6EDC9" w14:textId="77777777" w:rsidR="00941C6B" w:rsidRPr="00696F41" w:rsidRDefault="00941C6B" w:rsidP="00C42F1F">
            <w:pPr>
              <w:spacing w:line="360" w:lineRule="auto"/>
              <w:jc w:val="both"/>
              <w:rPr>
                <w:rFonts w:ascii="Book Antiqua" w:eastAsia="Calibri" w:hAnsi="Book Antiqua"/>
                <w:color w:val="000000"/>
              </w:rPr>
            </w:pPr>
          </w:p>
        </w:tc>
      </w:tr>
      <w:tr w:rsidR="00941C6B" w:rsidRPr="00696F41" w14:paraId="00E54EE2" w14:textId="77777777" w:rsidTr="00C42F1F">
        <w:trPr>
          <w:trHeight w:val="432"/>
        </w:trPr>
        <w:tc>
          <w:tcPr>
            <w:tcW w:w="2364" w:type="pct"/>
            <w:shd w:val="clear" w:color="auto" w:fill="auto"/>
          </w:tcPr>
          <w:p w14:paraId="2F107826" w14:textId="77777777" w:rsidR="00941C6B" w:rsidRPr="00696F41" w:rsidRDefault="00941C6B" w:rsidP="00C42F1F">
            <w:pPr>
              <w:spacing w:line="360" w:lineRule="auto"/>
              <w:ind w:firstLineChars="170" w:firstLine="408"/>
              <w:jc w:val="both"/>
              <w:rPr>
                <w:rFonts w:ascii="Book Antiqua" w:eastAsia="Calibri" w:hAnsi="Book Antiqua"/>
                <w:color w:val="000000"/>
              </w:rPr>
            </w:pPr>
            <w:r w:rsidRPr="00696F41">
              <w:rPr>
                <w:rFonts w:ascii="Book Antiqua" w:eastAsia="Calibri" w:hAnsi="Book Antiqua"/>
                <w:color w:val="000000"/>
              </w:rPr>
              <w:t>RBC folate (</w:t>
            </w:r>
            <w:r w:rsidRPr="00696F41">
              <w:rPr>
                <w:rFonts w:ascii="Book Antiqua" w:eastAsia="Calibri" w:hAnsi="Book Antiqua"/>
                <w:i/>
                <w:color w:val="000000"/>
              </w:rPr>
              <w:t>n</w:t>
            </w:r>
            <w:r w:rsidRPr="00696F41">
              <w:rPr>
                <w:rFonts w:ascii="Book Antiqua" w:eastAsia="Calibri" w:hAnsi="Book Antiqua"/>
                <w:color w:val="000000"/>
              </w:rPr>
              <w:t xml:space="preserve"> = 19) </w:t>
            </w:r>
          </w:p>
        </w:tc>
        <w:tc>
          <w:tcPr>
            <w:tcW w:w="524" w:type="pct"/>
            <w:shd w:val="clear" w:color="auto" w:fill="auto"/>
          </w:tcPr>
          <w:p w14:paraId="25DE07EC" w14:textId="77777777" w:rsidR="00941C6B" w:rsidRPr="00696F41" w:rsidRDefault="00941C6B" w:rsidP="00C42F1F">
            <w:pPr>
              <w:spacing w:line="360" w:lineRule="auto"/>
              <w:ind w:firstLine="169"/>
              <w:jc w:val="both"/>
              <w:rPr>
                <w:rFonts w:ascii="Book Antiqua" w:eastAsia="Calibri" w:hAnsi="Book Antiqua"/>
                <w:color w:val="000000"/>
              </w:rPr>
            </w:pPr>
            <w:r w:rsidRPr="00696F41">
              <w:rPr>
                <w:rFonts w:ascii="Book Antiqua" w:eastAsia="Calibri" w:hAnsi="Book Antiqua"/>
                <w:color w:val="000000"/>
              </w:rPr>
              <w:t>8192.8</w:t>
            </w:r>
          </w:p>
        </w:tc>
        <w:tc>
          <w:tcPr>
            <w:tcW w:w="2112" w:type="pct"/>
            <w:shd w:val="clear" w:color="auto" w:fill="auto"/>
          </w:tcPr>
          <w:p w14:paraId="51E2B277" w14:textId="77777777" w:rsidR="00941C6B" w:rsidRPr="00696F41" w:rsidRDefault="00941C6B" w:rsidP="00C42F1F">
            <w:pPr>
              <w:spacing w:line="360" w:lineRule="auto"/>
              <w:jc w:val="both"/>
              <w:rPr>
                <w:rFonts w:ascii="Book Antiqua" w:eastAsia="Calibri" w:hAnsi="Book Antiqua"/>
                <w:color w:val="000000"/>
              </w:rPr>
            </w:pPr>
            <w:r w:rsidRPr="00696F41">
              <w:rPr>
                <w:rFonts w:ascii="Book Antiqua" w:eastAsia="Calibri" w:hAnsi="Book Antiqua"/>
                <w:color w:val="000000"/>
              </w:rPr>
              <w:t>(4785.0)</w:t>
            </w:r>
          </w:p>
        </w:tc>
      </w:tr>
      <w:tr w:rsidR="00941C6B" w:rsidRPr="00696F41" w14:paraId="79F36629" w14:textId="77777777" w:rsidTr="00C42F1F">
        <w:trPr>
          <w:trHeight w:val="432"/>
        </w:trPr>
        <w:tc>
          <w:tcPr>
            <w:tcW w:w="2364" w:type="pct"/>
            <w:shd w:val="clear" w:color="auto" w:fill="auto"/>
          </w:tcPr>
          <w:p w14:paraId="780FEACC" w14:textId="77777777" w:rsidR="00941C6B" w:rsidRPr="00696F41" w:rsidRDefault="00941C6B" w:rsidP="00C42F1F">
            <w:pPr>
              <w:spacing w:line="360" w:lineRule="auto"/>
              <w:ind w:firstLineChars="170" w:firstLine="408"/>
              <w:jc w:val="both"/>
              <w:rPr>
                <w:rFonts w:ascii="Book Antiqua" w:eastAsia="Calibri" w:hAnsi="Book Antiqua"/>
                <w:color w:val="000000"/>
              </w:rPr>
            </w:pPr>
            <w:r w:rsidRPr="00696F41">
              <w:rPr>
                <w:rFonts w:ascii="Book Antiqua" w:eastAsia="Calibri" w:hAnsi="Book Antiqua"/>
                <w:color w:val="000000"/>
              </w:rPr>
              <w:t>Serum folate (</w:t>
            </w:r>
            <w:r w:rsidRPr="00696F41">
              <w:rPr>
                <w:rFonts w:ascii="Book Antiqua" w:eastAsia="Calibri" w:hAnsi="Book Antiqua"/>
                <w:i/>
                <w:color w:val="000000"/>
              </w:rPr>
              <w:t>n</w:t>
            </w:r>
            <w:r w:rsidRPr="00696F41">
              <w:rPr>
                <w:rFonts w:ascii="Book Antiqua" w:eastAsia="Calibri" w:hAnsi="Book Antiqua"/>
                <w:color w:val="000000"/>
              </w:rPr>
              <w:t xml:space="preserve"> = 10) </w:t>
            </w:r>
          </w:p>
        </w:tc>
        <w:tc>
          <w:tcPr>
            <w:tcW w:w="524" w:type="pct"/>
            <w:shd w:val="clear" w:color="auto" w:fill="auto"/>
          </w:tcPr>
          <w:p w14:paraId="15AF84E1" w14:textId="77777777" w:rsidR="00941C6B" w:rsidRPr="00696F41" w:rsidRDefault="00941C6B" w:rsidP="00C42F1F">
            <w:pPr>
              <w:spacing w:line="360" w:lineRule="auto"/>
              <w:ind w:firstLine="169"/>
              <w:jc w:val="both"/>
              <w:rPr>
                <w:rFonts w:ascii="Book Antiqua" w:eastAsia="Calibri" w:hAnsi="Book Antiqua"/>
                <w:color w:val="000000"/>
              </w:rPr>
            </w:pPr>
            <w:r w:rsidRPr="00696F41">
              <w:rPr>
                <w:rFonts w:ascii="Book Antiqua" w:eastAsia="Calibri" w:hAnsi="Book Antiqua"/>
                <w:color w:val="000000"/>
              </w:rPr>
              <w:t>102.2</w:t>
            </w:r>
          </w:p>
        </w:tc>
        <w:tc>
          <w:tcPr>
            <w:tcW w:w="2112" w:type="pct"/>
            <w:shd w:val="clear" w:color="auto" w:fill="auto"/>
          </w:tcPr>
          <w:p w14:paraId="098978FE" w14:textId="77777777" w:rsidR="00941C6B" w:rsidRPr="00696F41" w:rsidRDefault="00941C6B" w:rsidP="00C42F1F">
            <w:pPr>
              <w:spacing w:line="360" w:lineRule="auto"/>
              <w:jc w:val="both"/>
              <w:rPr>
                <w:rFonts w:ascii="Book Antiqua" w:eastAsia="Calibri" w:hAnsi="Book Antiqua"/>
                <w:color w:val="000000"/>
              </w:rPr>
            </w:pPr>
            <w:r w:rsidRPr="00696F41">
              <w:rPr>
                <w:rFonts w:ascii="Book Antiqua" w:eastAsia="Calibri" w:hAnsi="Book Antiqua"/>
                <w:color w:val="000000"/>
              </w:rPr>
              <w:t>(217.4)</w:t>
            </w:r>
          </w:p>
        </w:tc>
      </w:tr>
      <w:tr w:rsidR="00941C6B" w:rsidRPr="00696F41" w14:paraId="7987D0A0" w14:textId="77777777" w:rsidTr="00C42F1F">
        <w:trPr>
          <w:trHeight w:val="432"/>
        </w:trPr>
        <w:tc>
          <w:tcPr>
            <w:tcW w:w="2364" w:type="pct"/>
            <w:shd w:val="clear" w:color="auto" w:fill="auto"/>
          </w:tcPr>
          <w:p w14:paraId="09A33473" w14:textId="77777777" w:rsidR="00941C6B" w:rsidRPr="00696F41" w:rsidRDefault="00941C6B" w:rsidP="00C42F1F">
            <w:pPr>
              <w:spacing w:line="360" w:lineRule="auto"/>
              <w:ind w:firstLine="169"/>
              <w:jc w:val="both"/>
              <w:rPr>
                <w:rFonts w:ascii="Book Antiqua" w:eastAsia="Calibri" w:hAnsi="Book Antiqua"/>
                <w:color w:val="000000"/>
              </w:rPr>
            </w:pPr>
            <w:r w:rsidRPr="00696F41">
              <w:rPr>
                <w:rFonts w:ascii="Book Antiqua" w:eastAsia="Calibri" w:hAnsi="Book Antiqua"/>
                <w:color w:val="000000"/>
              </w:rPr>
              <w:t>C-reactive protein (mg/L)</w:t>
            </w:r>
            <w:r w:rsidRPr="00696F41">
              <w:rPr>
                <w:rFonts w:ascii="Book Antiqua" w:eastAsia="Calibri" w:hAnsi="Book Antiqua"/>
                <w:color w:val="000000"/>
                <w:vertAlign w:val="superscript"/>
              </w:rPr>
              <w:t>2</w:t>
            </w:r>
            <w:r w:rsidRPr="00696F41">
              <w:rPr>
                <w:rFonts w:ascii="Book Antiqua" w:eastAsia="Calibri" w:hAnsi="Book Antiqua"/>
                <w:color w:val="000000"/>
              </w:rPr>
              <w:t xml:space="preserve"> </w:t>
            </w:r>
          </w:p>
        </w:tc>
        <w:tc>
          <w:tcPr>
            <w:tcW w:w="524" w:type="pct"/>
            <w:shd w:val="clear" w:color="auto" w:fill="auto"/>
          </w:tcPr>
          <w:p w14:paraId="551FD580" w14:textId="77777777" w:rsidR="00941C6B" w:rsidRPr="00696F41" w:rsidRDefault="00941C6B" w:rsidP="00C42F1F">
            <w:pPr>
              <w:spacing w:line="360" w:lineRule="auto"/>
              <w:ind w:firstLine="169"/>
              <w:jc w:val="both"/>
              <w:rPr>
                <w:rFonts w:ascii="Book Antiqua" w:eastAsia="Calibri" w:hAnsi="Book Antiqua"/>
                <w:color w:val="000000"/>
              </w:rPr>
            </w:pPr>
            <w:r w:rsidRPr="00696F41">
              <w:rPr>
                <w:rFonts w:ascii="Book Antiqua" w:eastAsia="Calibri" w:hAnsi="Book Antiqua"/>
                <w:color w:val="000000"/>
              </w:rPr>
              <w:t>10.7</w:t>
            </w:r>
          </w:p>
        </w:tc>
        <w:tc>
          <w:tcPr>
            <w:tcW w:w="2112" w:type="pct"/>
            <w:shd w:val="clear" w:color="auto" w:fill="auto"/>
          </w:tcPr>
          <w:p w14:paraId="414E7268" w14:textId="77777777" w:rsidR="00941C6B" w:rsidRPr="00696F41" w:rsidRDefault="00941C6B" w:rsidP="00C42F1F">
            <w:pPr>
              <w:spacing w:line="360" w:lineRule="auto"/>
              <w:jc w:val="both"/>
              <w:rPr>
                <w:rFonts w:ascii="Book Antiqua" w:eastAsia="Calibri" w:hAnsi="Book Antiqua"/>
                <w:color w:val="000000"/>
              </w:rPr>
            </w:pPr>
            <w:r w:rsidRPr="00696F41">
              <w:rPr>
                <w:rFonts w:ascii="Book Antiqua" w:eastAsia="Calibri" w:hAnsi="Book Antiqua"/>
                <w:color w:val="000000"/>
              </w:rPr>
              <w:t>(29.5)</w:t>
            </w:r>
          </w:p>
        </w:tc>
      </w:tr>
    </w:tbl>
    <w:p w14:paraId="0892B842" w14:textId="77777777" w:rsidR="00675ED1" w:rsidRPr="00696F41" w:rsidRDefault="00941C6B" w:rsidP="00941C6B">
      <w:pPr>
        <w:spacing w:line="360" w:lineRule="auto"/>
        <w:jc w:val="both"/>
        <w:rPr>
          <w:rFonts w:ascii="Book Antiqua" w:eastAsia="Calibri" w:hAnsi="Book Antiqua"/>
          <w:color w:val="000000"/>
        </w:rPr>
      </w:pPr>
      <w:r w:rsidRPr="00696F41">
        <w:rPr>
          <w:rFonts w:ascii="Book Antiqua" w:eastAsia="Calibri" w:hAnsi="Book Antiqua"/>
          <w:color w:val="000000"/>
        </w:rPr>
        <w:t xml:space="preserve">All data were presented as mean (standard deviation), unless otherwise stated. </w:t>
      </w:r>
    </w:p>
    <w:p w14:paraId="052AA546" w14:textId="0FADFD8A" w:rsidR="00675ED1" w:rsidRPr="00696F41" w:rsidRDefault="00941C6B" w:rsidP="00941C6B">
      <w:pPr>
        <w:spacing w:line="360" w:lineRule="auto"/>
        <w:jc w:val="both"/>
        <w:rPr>
          <w:rFonts w:ascii="Book Antiqua" w:eastAsia="Calibri" w:hAnsi="Book Antiqua"/>
          <w:color w:val="000000"/>
        </w:rPr>
      </w:pPr>
      <w:r w:rsidRPr="00696F41">
        <w:rPr>
          <w:rFonts w:ascii="Book Antiqua" w:eastAsia="Calibri" w:hAnsi="Book Antiqua"/>
          <w:color w:val="000000"/>
          <w:vertAlign w:val="superscript"/>
        </w:rPr>
        <w:t>1</w:t>
      </w:r>
      <w:r w:rsidRPr="00696F41">
        <w:rPr>
          <w:rFonts w:ascii="Book Antiqua" w:eastAsia="Calibri" w:hAnsi="Book Antiqua"/>
          <w:color w:val="000000"/>
        </w:rPr>
        <w:t>Data from screening visit</w:t>
      </w:r>
      <w:r w:rsidR="00D4431C">
        <w:rPr>
          <w:rFonts w:ascii="宋体" w:eastAsia="宋体" w:hAnsi="宋体" w:cs="宋体" w:hint="eastAsia"/>
          <w:color w:val="000000"/>
          <w:lang w:eastAsia="zh-CN"/>
        </w:rPr>
        <w:t>.</w:t>
      </w:r>
      <w:r w:rsidRPr="00696F41">
        <w:rPr>
          <w:rFonts w:ascii="Book Antiqua" w:eastAsia="Calibri" w:hAnsi="Book Antiqua"/>
          <w:color w:val="000000"/>
        </w:rPr>
        <w:t xml:space="preserve"> </w:t>
      </w:r>
    </w:p>
    <w:p w14:paraId="749BB174" w14:textId="6D8A1920" w:rsidR="00675ED1" w:rsidRPr="00696F41" w:rsidRDefault="00941C6B" w:rsidP="00941C6B">
      <w:pPr>
        <w:spacing w:line="360" w:lineRule="auto"/>
        <w:jc w:val="both"/>
        <w:rPr>
          <w:rFonts w:ascii="Book Antiqua" w:eastAsia="Calibri" w:hAnsi="Book Antiqua"/>
          <w:color w:val="000000"/>
        </w:rPr>
      </w:pPr>
      <w:r w:rsidRPr="00696F41">
        <w:rPr>
          <w:rFonts w:ascii="Book Antiqua" w:eastAsia="Calibri" w:hAnsi="Book Antiqua"/>
          <w:color w:val="000000"/>
          <w:vertAlign w:val="superscript"/>
        </w:rPr>
        <w:t>2</w:t>
      </w:r>
      <w:r w:rsidRPr="00696F41">
        <w:rPr>
          <w:rFonts w:ascii="Book Antiqua" w:eastAsia="Calibri" w:hAnsi="Book Antiqua"/>
          <w:color w:val="000000"/>
        </w:rPr>
        <w:t>Data from Week 0 prior to study drug initiation</w:t>
      </w:r>
      <w:r w:rsidR="00D4431C">
        <w:rPr>
          <w:rFonts w:ascii="宋体" w:eastAsia="宋体" w:hAnsi="宋体" w:cs="宋体" w:hint="eastAsia"/>
          <w:color w:val="000000"/>
          <w:lang w:eastAsia="zh-CN"/>
        </w:rPr>
        <w:t>.</w:t>
      </w:r>
      <w:r w:rsidRPr="00696F41">
        <w:rPr>
          <w:rFonts w:ascii="Book Antiqua" w:eastAsia="Calibri" w:hAnsi="Book Antiqua"/>
          <w:color w:val="000000"/>
        </w:rPr>
        <w:t xml:space="preserve"> </w:t>
      </w:r>
    </w:p>
    <w:p w14:paraId="24094CD2" w14:textId="2A788C2B" w:rsidR="00675ED1" w:rsidRPr="00696F41" w:rsidRDefault="00941C6B" w:rsidP="00941C6B">
      <w:pPr>
        <w:spacing w:line="360" w:lineRule="auto"/>
        <w:jc w:val="both"/>
        <w:rPr>
          <w:rFonts w:ascii="Book Antiqua" w:eastAsia="Calibri" w:hAnsi="Book Antiqua"/>
          <w:color w:val="000000"/>
        </w:rPr>
      </w:pPr>
      <w:r w:rsidRPr="00696F41">
        <w:rPr>
          <w:rFonts w:ascii="Book Antiqua" w:eastAsia="Calibri" w:hAnsi="Book Antiqua"/>
          <w:color w:val="000000"/>
          <w:vertAlign w:val="superscript"/>
        </w:rPr>
        <w:t>3</w:t>
      </w:r>
      <w:r w:rsidRPr="00696F41">
        <w:rPr>
          <w:rFonts w:ascii="Book Antiqua" w:eastAsia="Calibri" w:hAnsi="Book Antiqua"/>
          <w:color w:val="000000"/>
        </w:rPr>
        <w:t>Data were calculated using chronic kidney disease epidemiology collaboration formula</w:t>
      </w:r>
      <w:r w:rsidRPr="00696F41">
        <w:rPr>
          <w:rFonts w:ascii="Book Antiqua" w:eastAsia="Calibri" w:hAnsi="Book Antiqua"/>
          <w:color w:val="000000"/>
        </w:rPr>
        <w:fldChar w:fldCharType="begin">
          <w:fldData xml:space="preserve">PEVuZE5vdGU+PENpdGU+PEF1dGhvcj5MZXZleTwvQXV0aG9yPjxZZWFyPjIwMDk8L1llYXI+PFJl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</w:fldData>
        </w:fldChar>
      </w:r>
      <w:r w:rsidRPr="00696F41">
        <w:rPr>
          <w:rFonts w:ascii="Book Antiqua" w:eastAsia="Calibri" w:hAnsi="Book Antiqua"/>
          <w:color w:val="000000"/>
        </w:rPr>
        <w:instrText xml:space="preserve"> ADDIN EN.CITE </w:instrText>
      </w:r>
      <w:r w:rsidRPr="00696F41">
        <w:rPr>
          <w:rFonts w:ascii="Book Antiqua" w:eastAsia="Calibri" w:hAnsi="Book Antiqua"/>
          <w:color w:val="000000"/>
        </w:rPr>
        <w:fldChar w:fldCharType="begin">
          <w:fldData xml:space="preserve">PEVuZE5vdGU+PENpdGU+PEF1dGhvcj5MZXZleTwvQXV0aG9yPjxZZWFyPjIwMDk8L1llYXI+PFJl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</w:fldData>
        </w:fldChar>
      </w:r>
      <w:r w:rsidRPr="00696F41">
        <w:rPr>
          <w:rFonts w:ascii="Book Antiqua" w:eastAsia="Calibri" w:hAnsi="Book Antiqua"/>
          <w:color w:val="000000"/>
        </w:rPr>
        <w:instrText xml:space="preserve"> ADDIN EN.CITE.DATA </w:instrText>
      </w:r>
      <w:r w:rsidRPr="00696F41">
        <w:rPr>
          <w:rFonts w:ascii="Book Antiqua" w:eastAsia="Calibri" w:hAnsi="Book Antiqua"/>
          <w:color w:val="000000"/>
        </w:rPr>
      </w:r>
      <w:r w:rsidRPr="00696F41">
        <w:rPr>
          <w:rFonts w:ascii="Book Antiqua" w:eastAsia="Calibri" w:hAnsi="Book Antiqua"/>
          <w:color w:val="000000"/>
        </w:rPr>
        <w:fldChar w:fldCharType="end"/>
      </w:r>
      <w:r w:rsidRPr="00696F41">
        <w:rPr>
          <w:rFonts w:ascii="Book Antiqua" w:eastAsia="Calibri" w:hAnsi="Book Antiqua"/>
          <w:color w:val="000000"/>
        </w:rPr>
      </w:r>
      <w:r w:rsidRPr="00696F41">
        <w:rPr>
          <w:rFonts w:ascii="Book Antiqua" w:eastAsia="Calibri" w:hAnsi="Book Antiqua"/>
          <w:color w:val="000000"/>
        </w:rPr>
        <w:fldChar w:fldCharType="separate"/>
      </w:r>
      <w:r w:rsidRPr="00696F41">
        <w:rPr>
          <w:rFonts w:ascii="Book Antiqua" w:eastAsia="Calibri" w:hAnsi="Book Antiqua"/>
          <w:noProof/>
          <w:color w:val="000000"/>
          <w:vertAlign w:val="superscript"/>
        </w:rPr>
        <w:t>[13]</w:t>
      </w:r>
      <w:r w:rsidRPr="00696F41">
        <w:rPr>
          <w:rFonts w:ascii="Book Antiqua" w:eastAsia="Calibri" w:hAnsi="Book Antiqua"/>
          <w:color w:val="000000"/>
        </w:rPr>
        <w:fldChar w:fldCharType="end"/>
      </w:r>
      <w:r w:rsidR="00D4431C">
        <w:rPr>
          <w:rFonts w:ascii="宋体" w:eastAsia="宋体" w:hAnsi="宋体" w:cs="宋体" w:hint="eastAsia"/>
          <w:color w:val="000000"/>
          <w:lang w:eastAsia="zh-CN"/>
        </w:rPr>
        <w:t>.</w:t>
      </w:r>
      <w:r w:rsidRPr="00696F41">
        <w:rPr>
          <w:rFonts w:ascii="Book Antiqua" w:eastAsia="Calibri" w:hAnsi="Book Antiqua"/>
          <w:color w:val="000000"/>
        </w:rPr>
        <w:t xml:space="preserve"> </w:t>
      </w:r>
    </w:p>
    <w:p w14:paraId="6A5B89F3" w14:textId="7FB37E82" w:rsidR="00941C6B" w:rsidRPr="00696F41" w:rsidRDefault="00941C6B" w:rsidP="00941C6B">
      <w:pPr>
        <w:spacing w:line="360" w:lineRule="auto"/>
        <w:jc w:val="both"/>
        <w:rPr>
          <w:rFonts w:ascii="Book Antiqua" w:eastAsia="Book Antiqua" w:hAnsi="Book Antiqua" w:cs="Book Antiqua"/>
        </w:rPr>
      </w:pPr>
      <w:r w:rsidRPr="00696F41">
        <w:rPr>
          <w:rFonts w:ascii="Book Antiqua" w:eastAsia="Calibri" w:hAnsi="Book Antiqua"/>
          <w:color w:val="000000"/>
          <w:vertAlign w:val="superscript"/>
        </w:rPr>
        <w:t>4</w:t>
      </w:r>
      <w:r w:rsidRPr="00696F41">
        <w:rPr>
          <w:rFonts w:ascii="Book Antiqua" w:eastAsia="Calibri" w:hAnsi="Book Antiqua"/>
          <w:color w:val="000000"/>
        </w:rPr>
        <w:t>Data available in 29 patients. BUN: Blood urea nitrogen; eGFR: Estimated glomerular filtration rate; RBC: Red blood cell; TSAT: Transferrin saturation.</w:t>
      </w:r>
    </w:p>
    <w:p w14:paraId="54C82AFC" w14:textId="7672B016" w:rsidR="00941C6B" w:rsidRPr="00696F41" w:rsidRDefault="00941C6B" w:rsidP="00941C6B">
      <w:pPr>
        <w:keepNext/>
        <w:spacing w:line="360" w:lineRule="auto"/>
        <w:jc w:val="both"/>
        <w:outlineLvl w:val="0"/>
        <w:rPr>
          <w:rFonts w:ascii="Book Antiqua" w:eastAsia="宋体" w:hAnsi="Book Antiqua" w:cs="Book Antiqua"/>
          <w:b/>
          <w:color w:val="000000"/>
          <w:kern w:val="32"/>
          <w:lang w:eastAsia="zh-CN"/>
        </w:rPr>
      </w:pPr>
      <w:r w:rsidRPr="00696F41">
        <w:rPr>
          <w:rFonts w:ascii="Book Antiqua" w:eastAsia="Book Antiqua" w:hAnsi="Book Antiqua" w:cs="Book Antiqua"/>
        </w:rPr>
        <w:br w:type="page"/>
      </w:r>
      <w:r w:rsidRPr="00696F41">
        <w:rPr>
          <w:rFonts w:ascii="Book Antiqua" w:eastAsia="Book Antiqua" w:hAnsi="Book Antiqua"/>
          <w:b/>
          <w:bCs/>
          <w:color w:val="000000"/>
        </w:rPr>
        <w:lastRenderedPageBreak/>
        <w:t xml:space="preserve">Table 2 </w:t>
      </w:r>
      <w:r w:rsidRPr="00696F41">
        <w:rPr>
          <w:rFonts w:ascii="Book Antiqua" w:eastAsia="Book Antiqua" w:hAnsi="Book Antiqua"/>
          <w:b/>
          <w:color w:val="000000"/>
        </w:rPr>
        <w:t xml:space="preserve">Pair-wise comparison of </w:t>
      </w:r>
      <w:r w:rsidRPr="00696F41">
        <w:rPr>
          <w:rFonts w:ascii="Book Antiqua" w:hAnsi="Book Antiqua" w:cs="Book Antiqua"/>
          <w:b/>
          <w:color w:val="000000"/>
          <w:lang w:eastAsia="zh-CN"/>
        </w:rPr>
        <w:t>h</w:t>
      </w:r>
      <w:r w:rsidRPr="00696F41">
        <w:rPr>
          <w:rFonts w:ascii="Book Antiqua" w:eastAsia="Book Antiqua" w:hAnsi="Book Antiqua" w:cs="Book Antiqua"/>
          <w:b/>
          <w:color w:val="000000"/>
        </w:rPr>
        <w:t>emoglobin</w:t>
      </w:r>
      <w:r w:rsidRPr="00696F41">
        <w:rPr>
          <w:rFonts w:ascii="Book Antiqua" w:eastAsia="Book Antiqua" w:hAnsi="Book Antiqua"/>
          <w:b/>
          <w:color w:val="000000"/>
        </w:rPr>
        <w:t xml:space="preserve"> changes between 2 consecutive visits (</w:t>
      </w:r>
      <w:r w:rsidRPr="00696F41">
        <w:rPr>
          <w:rFonts w:ascii="Book Antiqua" w:eastAsia="Book Antiqua" w:hAnsi="Book Antiqua"/>
          <w:b/>
          <w:i/>
          <w:iCs/>
          <w:color w:val="000000"/>
        </w:rPr>
        <w:t>n</w:t>
      </w:r>
      <w:r w:rsidRPr="00696F41">
        <w:rPr>
          <w:rFonts w:ascii="Book Antiqua" w:eastAsia="Book Antiqua" w:hAnsi="Book Antiqua"/>
          <w:b/>
          <w:color w:val="000000"/>
        </w:rPr>
        <w:t xml:space="preserve"> = 30)</w:t>
      </w:r>
    </w:p>
    <w:tbl>
      <w:tblPr>
        <w:tblStyle w:val="TableGrid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2"/>
        <w:gridCol w:w="2158"/>
        <w:gridCol w:w="2158"/>
        <w:gridCol w:w="2162"/>
      </w:tblGrid>
      <w:tr w:rsidR="00941C6B" w:rsidRPr="00696F41" w14:paraId="66308F7D" w14:textId="77777777" w:rsidTr="00C42F1F">
        <w:trPr>
          <w:trHeight w:val="432"/>
        </w:trPr>
        <w:tc>
          <w:tcPr>
            <w:tcW w:w="1539" w:type="pct"/>
            <w:tcBorders>
              <w:top w:val="single" w:sz="4" w:space="0" w:color="auto"/>
              <w:bottom w:val="single" w:sz="4" w:space="0" w:color="auto"/>
            </w:tcBorders>
          </w:tcPr>
          <w:p w14:paraId="1E25DB1E" w14:textId="77777777" w:rsidR="00941C6B" w:rsidRPr="00696F41" w:rsidRDefault="00941C6B" w:rsidP="00C42F1F">
            <w:pPr>
              <w:spacing w:line="360" w:lineRule="auto"/>
              <w:jc w:val="both"/>
              <w:rPr>
                <w:rFonts w:ascii="Book Antiqua" w:eastAsia="Calibri" w:hAnsi="Book Antiqua" w:cs="Times New Roman"/>
                <w:b/>
                <w:bCs/>
              </w:rPr>
            </w:pPr>
            <w:r w:rsidRPr="00696F41">
              <w:rPr>
                <w:rFonts w:ascii="Book Antiqua" w:eastAsia="Calibri" w:hAnsi="Book Antiqua" w:cs="Times New Roman"/>
                <w:b/>
                <w:bCs/>
              </w:rPr>
              <w:t>Comparison</w:t>
            </w:r>
          </w:p>
        </w:tc>
        <w:tc>
          <w:tcPr>
            <w:tcW w:w="1153" w:type="pct"/>
            <w:tcBorders>
              <w:top w:val="single" w:sz="4" w:space="0" w:color="auto"/>
              <w:bottom w:val="single" w:sz="4" w:space="0" w:color="auto"/>
            </w:tcBorders>
          </w:tcPr>
          <w:p w14:paraId="2D53D202" w14:textId="77777777" w:rsidR="00941C6B" w:rsidRPr="00696F41" w:rsidRDefault="00941C6B" w:rsidP="00C42F1F">
            <w:pPr>
              <w:spacing w:line="360" w:lineRule="auto"/>
              <w:jc w:val="both"/>
              <w:rPr>
                <w:rFonts w:ascii="Book Antiqua" w:eastAsia="Calibri" w:hAnsi="Book Antiqua" w:cs="Cordia New"/>
                <w:b/>
                <w:bCs/>
              </w:rPr>
            </w:pPr>
            <w:r w:rsidRPr="00696F41">
              <w:rPr>
                <w:rFonts w:ascii="Book Antiqua" w:eastAsia="Calibri" w:hAnsi="Book Antiqua" w:cs="Times New Roman"/>
                <w:b/>
                <w:bCs/>
              </w:rPr>
              <w:t>Hb change</w:t>
            </w:r>
            <w:r w:rsidRPr="00696F41">
              <w:rPr>
                <w:rFonts w:ascii="Book Antiqua" w:eastAsia="Calibri" w:hAnsi="Book Antiqua" w:cs="Cordia New"/>
                <w:b/>
                <w:bCs/>
                <w:vertAlign w:val="superscript"/>
              </w:rPr>
              <w:t>1</w:t>
            </w:r>
          </w:p>
        </w:tc>
        <w:tc>
          <w:tcPr>
            <w:tcW w:w="1153" w:type="pct"/>
            <w:tcBorders>
              <w:top w:val="single" w:sz="4" w:space="0" w:color="auto"/>
              <w:bottom w:val="single" w:sz="4" w:space="0" w:color="auto"/>
            </w:tcBorders>
          </w:tcPr>
          <w:p w14:paraId="03AC74D7" w14:textId="55B30DC3" w:rsidR="00941C6B" w:rsidRPr="005F7902" w:rsidRDefault="005F7902" w:rsidP="00C42F1F">
            <w:pPr>
              <w:spacing w:line="360" w:lineRule="auto"/>
              <w:jc w:val="both"/>
              <w:rPr>
                <w:rFonts w:ascii="Book Antiqua" w:eastAsia="Calibri" w:hAnsi="Book Antiqua" w:cs="Times New Roman"/>
                <w:b/>
              </w:rPr>
            </w:pPr>
            <w:r w:rsidRPr="005F7902">
              <w:rPr>
                <w:rFonts w:ascii="Book Antiqua" w:eastAsia="Calibri" w:hAnsi="Book Antiqua" w:cs="Times New Roman"/>
                <w:b/>
                <w:i/>
              </w:rPr>
              <w:t>P</w:t>
            </w:r>
            <w:r w:rsidRPr="005F7902">
              <w:rPr>
                <w:rFonts w:ascii="Book Antiqua" w:eastAsia="Calibri" w:hAnsi="Book Antiqua" w:cs="Times New Roman"/>
                <w:b/>
                <w:iCs/>
              </w:rPr>
              <w:t xml:space="preserve"> value</w:t>
            </w:r>
          </w:p>
        </w:tc>
        <w:tc>
          <w:tcPr>
            <w:tcW w:w="1155" w:type="pct"/>
            <w:tcBorders>
              <w:top w:val="single" w:sz="4" w:space="0" w:color="auto"/>
              <w:bottom w:val="single" w:sz="4" w:space="0" w:color="auto"/>
            </w:tcBorders>
          </w:tcPr>
          <w:p w14:paraId="0A0B14FB" w14:textId="77777777" w:rsidR="00941C6B" w:rsidRPr="00696F41" w:rsidRDefault="00941C6B" w:rsidP="00C42F1F">
            <w:pPr>
              <w:spacing w:line="360" w:lineRule="auto"/>
              <w:jc w:val="both"/>
              <w:rPr>
                <w:rFonts w:ascii="Book Antiqua" w:eastAsia="Calibri" w:hAnsi="Book Antiqua" w:cs="Times New Roman"/>
                <w:b/>
                <w:bCs/>
              </w:rPr>
            </w:pPr>
            <w:r w:rsidRPr="00696F41">
              <w:rPr>
                <w:rFonts w:ascii="Book Antiqua" w:eastAsia="Calibri" w:hAnsi="Book Antiqua" w:cs="Times New Roman"/>
                <w:b/>
                <w:bCs/>
              </w:rPr>
              <w:t>Significance criteria</w:t>
            </w:r>
          </w:p>
        </w:tc>
      </w:tr>
      <w:tr w:rsidR="00941C6B" w:rsidRPr="00696F41" w14:paraId="15D288CA" w14:textId="77777777" w:rsidTr="00C42F1F">
        <w:trPr>
          <w:trHeight w:val="432"/>
        </w:trPr>
        <w:tc>
          <w:tcPr>
            <w:tcW w:w="1539" w:type="pct"/>
            <w:tcBorders>
              <w:top w:val="single" w:sz="4" w:space="0" w:color="auto"/>
            </w:tcBorders>
          </w:tcPr>
          <w:p w14:paraId="6FFD91FD" w14:textId="77777777" w:rsidR="00941C6B" w:rsidRPr="00696F41" w:rsidRDefault="00941C6B" w:rsidP="00C42F1F">
            <w:pPr>
              <w:spacing w:line="360" w:lineRule="auto"/>
              <w:jc w:val="both"/>
              <w:rPr>
                <w:rFonts w:ascii="Book Antiqua" w:eastAsia="Calibri" w:hAnsi="Book Antiqua" w:cs="Times New Roman"/>
              </w:rPr>
            </w:pPr>
            <w:r w:rsidRPr="00696F41">
              <w:rPr>
                <w:rFonts w:ascii="Book Antiqua" w:eastAsia="Calibri" w:hAnsi="Book Antiqua" w:cs="Times New Roman"/>
              </w:rPr>
              <w:t xml:space="preserve">Week 0 </w:t>
            </w:r>
            <w:r w:rsidRPr="00696F41">
              <w:rPr>
                <w:rFonts w:ascii="Book Antiqua" w:eastAsia="Calibri" w:hAnsi="Book Antiqua" w:cs="Times New Roman"/>
                <w:i/>
                <w:iCs/>
              </w:rPr>
              <w:t>vs</w:t>
            </w:r>
            <w:r w:rsidRPr="00696F41">
              <w:rPr>
                <w:rFonts w:ascii="Book Antiqua" w:eastAsia="Calibri" w:hAnsi="Book Antiqua" w:cs="Times New Roman"/>
              </w:rPr>
              <w:t xml:space="preserve"> Week 2</w:t>
            </w:r>
          </w:p>
        </w:tc>
        <w:tc>
          <w:tcPr>
            <w:tcW w:w="1153" w:type="pct"/>
            <w:tcBorders>
              <w:top w:val="single" w:sz="4" w:space="0" w:color="auto"/>
            </w:tcBorders>
          </w:tcPr>
          <w:p w14:paraId="6DD6801B" w14:textId="77777777" w:rsidR="00941C6B" w:rsidRPr="00696F41" w:rsidRDefault="00941C6B" w:rsidP="00C42F1F">
            <w:pPr>
              <w:spacing w:line="360" w:lineRule="auto"/>
              <w:jc w:val="both"/>
              <w:rPr>
                <w:rFonts w:ascii="Book Antiqua" w:eastAsia="Calibri" w:hAnsi="Book Antiqua" w:cs="Times New Roman"/>
              </w:rPr>
            </w:pPr>
            <w:r w:rsidRPr="00696F41">
              <w:rPr>
                <w:rFonts w:ascii="Book Antiqua" w:eastAsia="Calibri" w:hAnsi="Book Antiqua" w:cs="Times New Roman"/>
              </w:rPr>
              <w:t>0.7 (0.2)</w:t>
            </w:r>
          </w:p>
        </w:tc>
        <w:tc>
          <w:tcPr>
            <w:tcW w:w="1153" w:type="pct"/>
            <w:tcBorders>
              <w:top w:val="single" w:sz="4" w:space="0" w:color="auto"/>
            </w:tcBorders>
          </w:tcPr>
          <w:p w14:paraId="58FD8CE9" w14:textId="77777777" w:rsidR="00941C6B" w:rsidRPr="00696F41" w:rsidRDefault="00941C6B" w:rsidP="00C42F1F">
            <w:pPr>
              <w:spacing w:line="360" w:lineRule="auto"/>
              <w:jc w:val="both"/>
              <w:rPr>
                <w:rFonts w:ascii="Book Antiqua" w:eastAsia="Calibri" w:hAnsi="Book Antiqua" w:cs="Times New Roman"/>
                <w:cs/>
              </w:rPr>
            </w:pPr>
            <w:r w:rsidRPr="00696F41">
              <w:rPr>
                <w:rFonts w:ascii="Book Antiqua" w:eastAsia="Calibri" w:hAnsi="Book Antiqua" w:cs="Times New Roman"/>
              </w:rPr>
              <w:t>0.0003</w:t>
            </w:r>
          </w:p>
        </w:tc>
        <w:tc>
          <w:tcPr>
            <w:tcW w:w="1155" w:type="pct"/>
            <w:tcBorders>
              <w:top w:val="single" w:sz="4" w:space="0" w:color="auto"/>
            </w:tcBorders>
          </w:tcPr>
          <w:p w14:paraId="12139F4A" w14:textId="77777777" w:rsidR="00941C6B" w:rsidRPr="00696F41" w:rsidRDefault="00941C6B" w:rsidP="00C42F1F">
            <w:pPr>
              <w:spacing w:line="360" w:lineRule="auto"/>
              <w:jc w:val="both"/>
              <w:rPr>
                <w:rFonts w:ascii="Book Antiqua" w:eastAsia="Calibri" w:hAnsi="Book Antiqua" w:cs="Times New Roman"/>
              </w:rPr>
            </w:pPr>
            <w:r w:rsidRPr="00696F41">
              <w:rPr>
                <w:rFonts w:ascii="Book Antiqua" w:eastAsia="Calibri" w:hAnsi="Book Antiqua" w:cs="Times New Roman"/>
              </w:rPr>
              <w:t>0.0250</w:t>
            </w:r>
          </w:p>
        </w:tc>
      </w:tr>
      <w:tr w:rsidR="00941C6B" w:rsidRPr="00696F41" w14:paraId="614271E2" w14:textId="77777777" w:rsidTr="00C42F1F">
        <w:trPr>
          <w:trHeight w:val="432"/>
        </w:trPr>
        <w:tc>
          <w:tcPr>
            <w:tcW w:w="1539" w:type="pct"/>
          </w:tcPr>
          <w:p w14:paraId="48D67BFB" w14:textId="77777777" w:rsidR="00941C6B" w:rsidRPr="00696F41" w:rsidRDefault="00941C6B" w:rsidP="00C42F1F">
            <w:pPr>
              <w:spacing w:line="360" w:lineRule="auto"/>
              <w:jc w:val="both"/>
              <w:rPr>
                <w:rFonts w:ascii="Book Antiqua" w:eastAsia="Calibri" w:hAnsi="Book Antiqua" w:cs="Times New Roman"/>
              </w:rPr>
            </w:pPr>
            <w:r w:rsidRPr="00696F41">
              <w:rPr>
                <w:rFonts w:ascii="Book Antiqua" w:eastAsia="Calibri" w:hAnsi="Book Antiqua" w:cs="Times New Roman"/>
              </w:rPr>
              <w:t xml:space="preserve">Week 2 </w:t>
            </w:r>
            <w:r w:rsidRPr="00696F41">
              <w:rPr>
                <w:rFonts w:ascii="Book Antiqua" w:eastAsia="Calibri" w:hAnsi="Book Antiqua" w:cs="Times New Roman"/>
                <w:i/>
                <w:iCs/>
              </w:rPr>
              <w:t>vs</w:t>
            </w:r>
            <w:r w:rsidRPr="00696F41">
              <w:rPr>
                <w:rFonts w:ascii="Book Antiqua" w:eastAsia="Calibri" w:hAnsi="Book Antiqua" w:cs="Times New Roman"/>
              </w:rPr>
              <w:t xml:space="preserve"> Week 4</w:t>
            </w:r>
          </w:p>
        </w:tc>
        <w:tc>
          <w:tcPr>
            <w:tcW w:w="1153" w:type="pct"/>
          </w:tcPr>
          <w:p w14:paraId="675F3AC7" w14:textId="77777777" w:rsidR="00941C6B" w:rsidRPr="00696F41" w:rsidRDefault="00941C6B" w:rsidP="00C42F1F">
            <w:pPr>
              <w:spacing w:line="360" w:lineRule="auto"/>
              <w:jc w:val="both"/>
              <w:rPr>
                <w:rFonts w:ascii="Book Antiqua" w:eastAsia="Calibri" w:hAnsi="Book Antiqua" w:cs="Times New Roman"/>
                <w:i/>
                <w:iCs/>
              </w:rPr>
            </w:pPr>
            <w:r w:rsidRPr="00696F41">
              <w:rPr>
                <w:rFonts w:ascii="Book Antiqua" w:eastAsia="Calibri" w:hAnsi="Book Antiqua" w:cs="Times New Roman"/>
              </w:rPr>
              <w:t>1.3 (0.2)</w:t>
            </w:r>
          </w:p>
        </w:tc>
        <w:tc>
          <w:tcPr>
            <w:tcW w:w="1153" w:type="pct"/>
          </w:tcPr>
          <w:p w14:paraId="4B5EC207" w14:textId="77777777" w:rsidR="00941C6B" w:rsidRPr="00696F41" w:rsidRDefault="00941C6B" w:rsidP="00C42F1F">
            <w:pPr>
              <w:spacing w:line="360" w:lineRule="auto"/>
              <w:ind w:right="452"/>
              <w:jc w:val="both"/>
              <w:rPr>
                <w:rFonts w:ascii="Book Antiqua" w:eastAsia="Calibri" w:hAnsi="Book Antiqua" w:cs="Times New Roman"/>
              </w:rPr>
            </w:pPr>
            <w:r w:rsidRPr="00696F41">
              <w:rPr>
                <w:rFonts w:ascii="Book Antiqua" w:eastAsia="Calibri" w:hAnsi="Book Antiqua" w:cs="Times New Roman"/>
              </w:rPr>
              <w:t>&lt; 0.0001</w:t>
            </w:r>
          </w:p>
        </w:tc>
        <w:tc>
          <w:tcPr>
            <w:tcW w:w="1155" w:type="pct"/>
          </w:tcPr>
          <w:p w14:paraId="0D46694D" w14:textId="77777777" w:rsidR="00941C6B" w:rsidRPr="00696F41" w:rsidRDefault="00941C6B" w:rsidP="00C42F1F">
            <w:pPr>
              <w:spacing w:line="360" w:lineRule="auto"/>
              <w:jc w:val="both"/>
              <w:rPr>
                <w:rFonts w:ascii="Book Antiqua" w:eastAsia="Calibri" w:hAnsi="Book Antiqua" w:cs="Times New Roman"/>
              </w:rPr>
            </w:pPr>
            <w:r w:rsidRPr="00696F41">
              <w:rPr>
                <w:rFonts w:ascii="Book Antiqua" w:eastAsia="Calibri" w:hAnsi="Book Antiqua" w:cs="Times New Roman"/>
              </w:rPr>
              <w:t>0.0167</w:t>
            </w:r>
          </w:p>
        </w:tc>
      </w:tr>
      <w:tr w:rsidR="00941C6B" w:rsidRPr="00696F41" w14:paraId="07916433" w14:textId="77777777" w:rsidTr="00C42F1F">
        <w:trPr>
          <w:trHeight w:val="432"/>
        </w:trPr>
        <w:tc>
          <w:tcPr>
            <w:tcW w:w="1539" w:type="pct"/>
          </w:tcPr>
          <w:p w14:paraId="4D17CCCF" w14:textId="77777777" w:rsidR="00941C6B" w:rsidRPr="00696F41" w:rsidRDefault="00941C6B" w:rsidP="00C42F1F">
            <w:pPr>
              <w:spacing w:line="360" w:lineRule="auto"/>
              <w:jc w:val="both"/>
              <w:rPr>
                <w:rFonts w:ascii="Book Antiqua" w:eastAsia="Calibri" w:hAnsi="Book Antiqua" w:cs="Times New Roman"/>
              </w:rPr>
            </w:pPr>
            <w:r w:rsidRPr="00696F41">
              <w:rPr>
                <w:rFonts w:ascii="Book Antiqua" w:eastAsia="Calibri" w:hAnsi="Book Antiqua" w:cs="Times New Roman"/>
              </w:rPr>
              <w:t xml:space="preserve">Week 4 </w:t>
            </w:r>
            <w:r w:rsidRPr="00696F41">
              <w:rPr>
                <w:rFonts w:ascii="Book Antiqua" w:eastAsia="Calibri" w:hAnsi="Book Antiqua" w:cs="Times New Roman"/>
                <w:i/>
                <w:iCs/>
              </w:rPr>
              <w:t>vs</w:t>
            </w:r>
            <w:r w:rsidRPr="00696F41">
              <w:rPr>
                <w:rFonts w:ascii="Book Antiqua" w:eastAsia="Calibri" w:hAnsi="Book Antiqua" w:cs="Times New Roman"/>
              </w:rPr>
              <w:t xml:space="preserve"> Week 8</w:t>
            </w:r>
          </w:p>
        </w:tc>
        <w:tc>
          <w:tcPr>
            <w:tcW w:w="1153" w:type="pct"/>
          </w:tcPr>
          <w:p w14:paraId="2518F5A5" w14:textId="77777777" w:rsidR="00941C6B" w:rsidRPr="00696F41" w:rsidRDefault="00941C6B" w:rsidP="00C42F1F">
            <w:pPr>
              <w:spacing w:line="360" w:lineRule="auto"/>
              <w:jc w:val="both"/>
              <w:rPr>
                <w:rFonts w:ascii="Book Antiqua" w:eastAsia="Calibri" w:hAnsi="Book Antiqua" w:cs="Times New Roman"/>
                <w:i/>
                <w:iCs/>
              </w:rPr>
            </w:pPr>
            <w:r w:rsidRPr="00696F41">
              <w:rPr>
                <w:rFonts w:ascii="Book Antiqua" w:eastAsia="Calibri" w:hAnsi="Book Antiqua" w:cs="Times New Roman"/>
              </w:rPr>
              <w:t>1.3 (0.2)</w:t>
            </w:r>
          </w:p>
        </w:tc>
        <w:tc>
          <w:tcPr>
            <w:tcW w:w="1153" w:type="pct"/>
          </w:tcPr>
          <w:p w14:paraId="4994899E" w14:textId="77777777" w:rsidR="00941C6B" w:rsidRPr="00696F41" w:rsidRDefault="00941C6B" w:rsidP="00C42F1F">
            <w:pPr>
              <w:spacing w:line="360" w:lineRule="auto"/>
              <w:ind w:right="452"/>
              <w:jc w:val="both"/>
              <w:rPr>
                <w:rFonts w:ascii="Book Antiqua" w:eastAsia="Calibri" w:hAnsi="Book Antiqua" w:cs="Times New Roman"/>
              </w:rPr>
            </w:pPr>
            <w:r w:rsidRPr="00696F41">
              <w:rPr>
                <w:rFonts w:ascii="Book Antiqua" w:eastAsia="Calibri" w:hAnsi="Book Antiqua" w:cs="Times New Roman"/>
              </w:rPr>
              <w:t>&lt; 0.0001</w:t>
            </w:r>
          </w:p>
        </w:tc>
        <w:tc>
          <w:tcPr>
            <w:tcW w:w="1155" w:type="pct"/>
          </w:tcPr>
          <w:p w14:paraId="62704199" w14:textId="77777777" w:rsidR="00941C6B" w:rsidRPr="00696F41" w:rsidRDefault="00941C6B" w:rsidP="00C42F1F">
            <w:pPr>
              <w:spacing w:line="360" w:lineRule="auto"/>
              <w:jc w:val="both"/>
              <w:rPr>
                <w:rFonts w:ascii="Book Antiqua" w:eastAsia="Calibri" w:hAnsi="Book Antiqua" w:cs="Times New Roman"/>
              </w:rPr>
            </w:pPr>
            <w:r w:rsidRPr="00696F41">
              <w:rPr>
                <w:rFonts w:ascii="Book Antiqua" w:eastAsia="Calibri" w:hAnsi="Book Antiqua" w:cs="Times New Roman"/>
              </w:rPr>
              <w:t>0.0125</w:t>
            </w:r>
          </w:p>
        </w:tc>
      </w:tr>
      <w:tr w:rsidR="00941C6B" w:rsidRPr="00696F41" w14:paraId="5577480D" w14:textId="77777777" w:rsidTr="00C42F1F">
        <w:trPr>
          <w:trHeight w:val="432"/>
        </w:trPr>
        <w:tc>
          <w:tcPr>
            <w:tcW w:w="1539" w:type="pct"/>
          </w:tcPr>
          <w:p w14:paraId="6FBDB54B" w14:textId="77777777" w:rsidR="00941C6B" w:rsidRPr="00696F41" w:rsidRDefault="00941C6B" w:rsidP="00C42F1F">
            <w:pPr>
              <w:spacing w:line="360" w:lineRule="auto"/>
              <w:jc w:val="both"/>
              <w:rPr>
                <w:rFonts w:ascii="Book Antiqua" w:eastAsia="Calibri" w:hAnsi="Book Antiqua" w:cs="Times New Roman"/>
              </w:rPr>
            </w:pPr>
            <w:r w:rsidRPr="00696F41">
              <w:rPr>
                <w:rFonts w:ascii="Book Antiqua" w:eastAsia="Calibri" w:hAnsi="Book Antiqua" w:cs="Times New Roman"/>
              </w:rPr>
              <w:t xml:space="preserve">Week 8 </w:t>
            </w:r>
            <w:r w:rsidRPr="00696F41">
              <w:rPr>
                <w:rFonts w:ascii="Book Antiqua" w:eastAsia="Calibri" w:hAnsi="Book Antiqua" w:cs="Times New Roman"/>
                <w:i/>
                <w:iCs/>
              </w:rPr>
              <w:t>vs</w:t>
            </w:r>
            <w:r w:rsidRPr="00696F41">
              <w:rPr>
                <w:rFonts w:ascii="Book Antiqua" w:eastAsia="Calibri" w:hAnsi="Book Antiqua" w:cs="Times New Roman"/>
              </w:rPr>
              <w:t xml:space="preserve"> Week 12</w:t>
            </w:r>
          </w:p>
        </w:tc>
        <w:tc>
          <w:tcPr>
            <w:tcW w:w="1153" w:type="pct"/>
          </w:tcPr>
          <w:p w14:paraId="5BE0E3FF" w14:textId="77777777" w:rsidR="00941C6B" w:rsidRPr="00696F41" w:rsidRDefault="00941C6B" w:rsidP="00C42F1F">
            <w:pPr>
              <w:spacing w:line="360" w:lineRule="auto"/>
              <w:jc w:val="both"/>
              <w:rPr>
                <w:rFonts w:ascii="Book Antiqua" w:eastAsia="Calibri" w:hAnsi="Book Antiqua" w:cs="Times New Roman"/>
              </w:rPr>
            </w:pPr>
            <w:r w:rsidRPr="00696F41">
              <w:rPr>
                <w:rFonts w:ascii="Book Antiqua" w:eastAsia="Calibri" w:hAnsi="Book Antiqua" w:cs="Times New Roman"/>
              </w:rPr>
              <w:t>0.6 (0.2)</w:t>
            </w:r>
          </w:p>
        </w:tc>
        <w:tc>
          <w:tcPr>
            <w:tcW w:w="1153" w:type="pct"/>
          </w:tcPr>
          <w:p w14:paraId="5D97A140" w14:textId="77777777" w:rsidR="00941C6B" w:rsidRPr="00696F41" w:rsidRDefault="00941C6B" w:rsidP="00C42F1F">
            <w:pPr>
              <w:spacing w:line="360" w:lineRule="auto"/>
              <w:ind w:right="452"/>
              <w:jc w:val="both"/>
              <w:rPr>
                <w:rFonts w:ascii="Book Antiqua" w:eastAsia="Calibri" w:hAnsi="Book Antiqua" w:cs="Times New Roman"/>
              </w:rPr>
            </w:pPr>
            <w:r w:rsidRPr="00696F41">
              <w:rPr>
                <w:rFonts w:ascii="Book Antiqua" w:eastAsia="Calibri" w:hAnsi="Book Antiqua" w:cs="Times New Roman"/>
              </w:rPr>
              <w:t>0.0060</w:t>
            </w:r>
          </w:p>
        </w:tc>
        <w:tc>
          <w:tcPr>
            <w:tcW w:w="1155" w:type="pct"/>
          </w:tcPr>
          <w:p w14:paraId="1D11F882" w14:textId="77777777" w:rsidR="00941C6B" w:rsidRPr="00696F41" w:rsidRDefault="00941C6B" w:rsidP="00C42F1F">
            <w:pPr>
              <w:spacing w:line="360" w:lineRule="auto"/>
              <w:jc w:val="both"/>
              <w:rPr>
                <w:rFonts w:ascii="Book Antiqua" w:eastAsia="Calibri" w:hAnsi="Book Antiqua" w:cs="Times New Roman"/>
              </w:rPr>
            </w:pPr>
            <w:r w:rsidRPr="00696F41">
              <w:rPr>
                <w:rFonts w:ascii="Book Antiqua" w:eastAsia="Calibri" w:hAnsi="Book Antiqua" w:cs="Times New Roman"/>
              </w:rPr>
              <w:t>0.0500</w:t>
            </w:r>
          </w:p>
        </w:tc>
      </w:tr>
    </w:tbl>
    <w:p w14:paraId="65415FDE" w14:textId="77777777" w:rsidR="006B6A28" w:rsidRDefault="00941C6B" w:rsidP="00941C6B">
      <w:pPr>
        <w:spacing w:line="360" w:lineRule="auto"/>
        <w:jc w:val="both"/>
        <w:rPr>
          <w:rFonts w:ascii="Book Antiqua" w:eastAsia="Book Antiqua" w:hAnsi="Book Antiqua"/>
        </w:rPr>
      </w:pPr>
      <w:r w:rsidRPr="00696F41">
        <w:rPr>
          <w:rFonts w:ascii="Book Antiqua" w:eastAsia="Book Antiqua" w:hAnsi="Book Antiqua"/>
          <w:vertAlign w:val="superscript"/>
        </w:rPr>
        <w:t>1</w:t>
      </w:r>
      <w:r w:rsidRPr="00696F41">
        <w:rPr>
          <w:rFonts w:ascii="Book Antiqua" w:eastAsia="Book Antiqua" w:hAnsi="Book Antiqua"/>
        </w:rPr>
        <w:t xml:space="preserve">Data were presented as mean (standard error). </w:t>
      </w:r>
    </w:p>
    <w:p w14:paraId="5C13F6BC" w14:textId="469BE232" w:rsidR="00941C6B" w:rsidRPr="00696F41" w:rsidRDefault="005F7902" w:rsidP="00941C6B">
      <w:pPr>
        <w:spacing w:line="360" w:lineRule="auto"/>
        <w:jc w:val="both"/>
        <w:rPr>
          <w:rFonts w:ascii="Book Antiqua" w:hAnsi="Book Antiqua" w:cs="Book Antiqua"/>
          <w:lang w:eastAsia="zh-CN"/>
        </w:rPr>
      </w:pPr>
      <w:r w:rsidRPr="005F7902">
        <w:rPr>
          <w:rFonts w:ascii="Book Antiqua" w:eastAsia="Book Antiqua" w:hAnsi="Book Antiqua"/>
          <w:iCs/>
        </w:rPr>
        <w:t>P value</w:t>
      </w:r>
      <w:r w:rsidR="00941C6B" w:rsidRPr="00696F41">
        <w:rPr>
          <w:rFonts w:ascii="Book Antiqua" w:eastAsia="Book Antiqua" w:hAnsi="Book Antiqua"/>
        </w:rPr>
        <w:t>s and significance criteria presented were those after the pair-wise comparisons based on Bonferroni-Holm step-down adjustment. SE</w:t>
      </w:r>
      <w:r w:rsidR="00941C6B" w:rsidRPr="00696F41">
        <w:rPr>
          <w:rFonts w:ascii="Book Antiqua" w:hAnsi="Book Antiqua"/>
          <w:lang w:eastAsia="zh-CN"/>
        </w:rPr>
        <w:t>:</w:t>
      </w:r>
      <w:r w:rsidR="00941C6B" w:rsidRPr="00696F41">
        <w:rPr>
          <w:rFonts w:ascii="Book Antiqua" w:eastAsia="Book Antiqua" w:hAnsi="Book Antiqua"/>
        </w:rPr>
        <w:t xml:space="preserve"> </w:t>
      </w:r>
      <w:r w:rsidR="00941C6B" w:rsidRPr="00696F41">
        <w:rPr>
          <w:rFonts w:ascii="Book Antiqua" w:hAnsi="Book Antiqua"/>
          <w:lang w:eastAsia="zh-CN"/>
        </w:rPr>
        <w:t>S</w:t>
      </w:r>
      <w:r w:rsidR="00941C6B" w:rsidRPr="00696F41">
        <w:rPr>
          <w:rFonts w:ascii="Book Antiqua" w:eastAsia="Book Antiqua" w:hAnsi="Book Antiqua"/>
        </w:rPr>
        <w:t>tandard error</w:t>
      </w:r>
      <w:r w:rsidR="00941C6B" w:rsidRPr="00696F41">
        <w:rPr>
          <w:rFonts w:ascii="Book Antiqua" w:hAnsi="Book Antiqua"/>
          <w:lang w:eastAsia="zh-CN"/>
        </w:rPr>
        <w:t xml:space="preserve">; </w:t>
      </w:r>
      <w:r w:rsidR="00941C6B" w:rsidRPr="00696F41">
        <w:rPr>
          <w:rFonts w:ascii="Book Antiqua" w:hAnsi="Book Antiqua" w:cs="Book Antiqua"/>
          <w:lang w:eastAsia="zh-CN"/>
        </w:rPr>
        <w:t xml:space="preserve">Hb: </w:t>
      </w:r>
      <w:r w:rsidR="00941C6B" w:rsidRPr="00696F41">
        <w:rPr>
          <w:rFonts w:ascii="Book Antiqua" w:hAnsi="Book Antiqua" w:cs="Book Antiqua"/>
          <w:color w:val="000000"/>
          <w:lang w:eastAsia="zh-CN"/>
        </w:rPr>
        <w:t>H</w:t>
      </w:r>
      <w:r w:rsidR="00941C6B" w:rsidRPr="00696F41">
        <w:rPr>
          <w:rFonts w:ascii="Book Antiqua" w:eastAsia="Book Antiqua" w:hAnsi="Book Antiqua" w:cs="Book Antiqua"/>
          <w:color w:val="000000"/>
        </w:rPr>
        <w:t>emoglobin</w:t>
      </w:r>
      <w:r w:rsidR="00941C6B" w:rsidRPr="00696F41">
        <w:rPr>
          <w:rFonts w:ascii="Book Antiqua" w:hAnsi="Book Antiqua" w:cs="Book Antiqua"/>
          <w:color w:val="000000"/>
          <w:lang w:eastAsia="zh-CN"/>
        </w:rPr>
        <w:t>.</w:t>
      </w:r>
    </w:p>
    <w:p w14:paraId="04ED663D" w14:textId="77777777" w:rsidR="00941C6B" w:rsidRPr="00696F41" w:rsidRDefault="00941C6B" w:rsidP="00941C6B">
      <w:pPr>
        <w:keepNext/>
        <w:keepLines/>
        <w:spacing w:line="360" w:lineRule="auto"/>
        <w:jc w:val="both"/>
        <w:outlineLvl w:val="0"/>
        <w:rPr>
          <w:rFonts w:ascii="Book Antiqua" w:eastAsia="宋体" w:hAnsi="Book Antiqua" w:cs="Book Antiqua"/>
          <w:b/>
          <w:bCs/>
          <w:color w:val="000000"/>
          <w:lang w:eastAsia="zh-CN"/>
        </w:rPr>
      </w:pPr>
      <w:r w:rsidRPr="00696F41">
        <w:rPr>
          <w:rFonts w:ascii="Book Antiqua" w:eastAsia="Book Antiqua" w:hAnsi="Book Antiqua" w:cs="Book Antiqua"/>
        </w:rPr>
        <w:br w:type="page"/>
      </w:r>
      <w:r w:rsidRPr="00696F41">
        <w:rPr>
          <w:rFonts w:ascii="Book Antiqua" w:eastAsia="宋体" w:hAnsi="Book Antiqua" w:cs="Book Antiqua"/>
          <w:b/>
          <w:bCs/>
          <w:color w:val="000000"/>
          <w:lang w:eastAsia="zh-CN"/>
        </w:rPr>
        <w:lastRenderedPageBreak/>
        <w:t xml:space="preserve">Table 3 </w:t>
      </w:r>
      <w:r w:rsidRPr="00696F41">
        <w:rPr>
          <w:rFonts w:ascii="Book Antiqua" w:eastAsia="宋体" w:hAnsi="Book Antiqua" w:cs="Book Antiqua"/>
          <w:b/>
          <w:color w:val="000000"/>
          <w:lang w:eastAsia="zh-CN"/>
        </w:rPr>
        <w:t xml:space="preserve">Frequency of </w:t>
      </w:r>
      <w:bookmarkStart w:id="2" w:name="_Hlk497677720"/>
      <w:r w:rsidRPr="00696F41">
        <w:rPr>
          <w:rFonts w:ascii="Book Antiqua" w:eastAsia="宋体" w:hAnsi="Book Antiqua" w:cs="Book Antiqua"/>
          <w:b/>
          <w:color w:val="000000"/>
          <w:lang w:eastAsia="zh-CN"/>
        </w:rPr>
        <w:t xml:space="preserve">patients with factors potentially affecting </w:t>
      </w:r>
      <w:r w:rsidRPr="00696F41">
        <w:rPr>
          <w:rFonts w:ascii="Book Antiqua" w:hAnsi="Book Antiqua" w:cs="Angsana New"/>
          <w:b/>
          <w:color w:val="000000"/>
          <w:lang w:eastAsia="zh-CN"/>
        </w:rPr>
        <w:t>e</w:t>
      </w:r>
      <w:r w:rsidRPr="00696F41">
        <w:rPr>
          <w:rFonts w:ascii="Book Antiqua" w:eastAsia="Calibri" w:hAnsi="Book Antiqua" w:cs="Angsana New"/>
          <w:b/>
          <w:color w:val="000000"/>
        </w:rPr>
        <w:t>rythropoiesis-stimulating agent</w:t>
      </w:r>
      <w:r w:rsidRPr="00696F41">
        <w:rPr>
          <w:rFonts w:ascii="Book Antiqua" w:eastAsia="宋体" w:hAnsi="Book Antiqua" w:cs="Book Antiqua"/>
          <w:b/>
          <w:color w:val="000000"/>
          <w:lang w:eastAsia="zh-CN"/>
        </w:rPr>
        <w:t xml:space="preserve"> response</w:t>
      </w:r>
      <w:bookmarkEnd w:id="2"/>
      <w:r w:rsidRPr="00696F41">
        <w:rPr>
          <w:rFonts w:ascii="Book Antiqua" w:eastAsia="宋体" w:hAnsi="Book Antiqua" w:cs="Book Antiqua"/>
          <w:b/>
          <w:color w:val="000000"/>
          <w:lang w:eastAsia="zh-CN"/>
        </w:rPr>
        <w:t xml:space="preserve"> (</w:t>
      </w:r>
      <w:r w:rsidRPr="00696F41">
        <w:rPr>
          <w:rFonts w:ascii="Book Antiqua" w:eastAsia="宋体" w:hAnsi="Book Antiqua" w:cs="Book Antiqua"/>
          <w:b/>
          <w:i/>
          <w:color w:val="000000"/>
          <w:lang w:eastAsia="zh-CN"/>
        </w:rPr>
        <w:t>n</w:t>
      </w:r>
      <w:r w:rsidRPr="00696F41">
        <w:rPr>
          <w:rFonts w:ascii="Book Antiqua" w:eastAsia="宋体" w:hAnsi="Book Antiqua" w:cs="Book Antiqua"/>
          <w:b/>
          <w:color w:val="000000"/>
          <w:lang w:eastAsia="zh-CN"/>
        </w:rPr>
        <w:t xml:space="preserve"> = 30)</w:t>
      </w:r>
    </w:p>
    <w:tbl>
      <w:tblPr>
        <w:tblW w:w="4994" w:type="pct"/>
        <w:tblBorders>
          <w:top w:val="single" w:sz="4" w:space="0" w:color="auto"/>
          <w:bottom w:val="single" w:sz="4" w:space="0" w:color="auto"/>
        </w:tblBorders>
        <w:tblLook w:val="04A0" w:firstRow="1" w:lastRow="0" w:firstColumn="1" w:lastColumn="0" w:noHBand="0" w:noVBand="1"/>
      </w:tblPr>
      <w:tblGrid>
        <w:gridCol w:w="5297"/>
        <w:gridCol w:w="4052"/>
      </w:tblGrid>
      <w:tr w:rsidR="00941C6B" w:rsidRPr="00696F41" w14:paraId="6E3D4DF5" w14:textId="77777777" w:rsidTr="00C42F1F">
        <w:tc>
          <w:tcPr>
            <w:tcW w:w="2833" w:type="pct"/>
            <w:tcBorders>
              <w:top w:val="single" w:sz="4" w:space="0" w:color="auto"/>
              <w:bottom w:val="single" w:sz="4" w:space="0" w:color="auto"/>
            </w:tcBorders>
            <w:shd w:val="clear" w:color="auto" w:fill="auto"/>
          </w:tcPr>
          <w:p w14:paraId="2277E0C5" w14:textId="77777777" w:rsidR="00941C6B" w:rsidRPr="00696F41" w:rsidRDefault="00941C6B" w:rsidP="00C42F1F">
            <w:pPr>
              <w:spacing w:line="360" w:lineRule="auto"/>
              <w:jc w:val="both"/>
              <w:rPr>
                <w:rFonts w:ascii="Book Antiqua" w:eastAsia="Calibri" w:hAnsi="Book Antiqua" w:cs="Angsana New"/>
                <w:b/>
                <w:bCs/>
                <w:color w:val="000000"/>
              </w:rPr>
            </w:pPr>
            <w:r w:rsidRPr="00696F41">
              <w:rPr>
                <w:rFonts w:ascii="Book Antiqua" w:eastAsia="Calibri" w:hAnsi="Book Antiqua" w:cs="Angsana New"/>
                <w:b/>
                <w:bCs/>
                <w:color w:val="000000"/>
              </w:rPr>
              <w:t>Factors potentially affecting ESA response</w:t>
            </w:r>
          </w:p>
        </w:tc>
        <w:tc>
          <w:tcPr>
            <w:tcW w:w="2167" w:type="pct"/>
            <w:tcBorders>
              <w:top w:val="single" w:sz="4" w:space="0" w:color="auto"/>
              <w:bottom w:val="single" w:sz="4" w:space="0" w:color="auto"/>
            </w:tcBorders>
            <w:shd w:val="clear" w:color="auto" w:fill="auto"/>
          </w:tcPr>
          <w:p w14:paraId="6BF6984A" w14:textId="77777777" w:rsidR="00941C6B" w:rsidRPr="00696F41" w:rsidRDefault="00941C6B" w:rsidP="00C42F1F">
            <w:pPr>
              <w:spacing w:line="360" w:lineRule="auto"/>
              <w:jc w:val="both"/>
              <w:rPr>
                <w:rFonts w:ascii="Book Antiqua" w:eastAsia="Calibri" w:hAnsi="Book Antiqua" w:cs="Angsana New"/>
                <w:b/>
                <w:bCs/>
                <w:color w:val="000000"/>
              </w:rPr>
            </w:pPr>
            <w:r w:rsidRPr="00696F41">
              <w:rPr>
                <w:rFonts w:ascii="Book Antiqua" w:hAnsi="Book Antiqua" w:cs="Angsana New"/>
                <w:b/>
                <w:bCs/>
                <w:i/>
                <w:color w:val="000000"/>
                <w:lang w:eastAsia="zh-CN"/>
              </w:rPr>
              <w:t>n</w:t>
            </w:r>
            <w:r w:rsidRPr="00696F41">
              <w:rPr>
                <w:rFonts w:ascii="Book Antiqua" w:eastAsia="Calibri" w:hAnsi="Book Antiqua" w:cs="Angsana New"/>
                <w:b/>
                <w:bCs/>
                <w:color w:val="000000"/>
              </w:rPr>
              <w:t xml:space="preserve"> (%)</w:t>
            </w:r>
          </w:p>
        </w:tc>
      </w:tr>
      <w:tr w:rsidR="00941C6B" w:rsidRPr="00696F41" w14:paraId="68D523DB" w14:textId="77777777" w:rsidTr="00C42F1F">
        <w:tc>
          <w:tcPr>
            <w:tcW w:w="2833" w:type="pct"/>
            <w:tcBorders>
              <w:top w:val="single" w:sz="4" w:space="0" w:color="auto"/>
            </w:tcBorders>
            <w:shd w:val="clear" w:color="auto" w:fill="auto"/>
          </w:tcPr>
          <w:p w14:paraId="40E4B29B" w14:textId="77777777" w:rsidR="00941C6B" w:rsidRPr="00696F41" w:rsidRDefault="00941C6B" w:rsidP="00C42F1F">
            <w:pPr>
              <w:spacing w:line="360" w:lineRule="auto"/>
              <w:jc w:val="both"/>
              <w:rPr>
                <w:rFonts w:ascii="Book Antiqua" w:eastAsia="Calibri" w:hAnsi="Book Antiqua" w:cs="Angsana New"/>
                <w:color w:val="000000"/>
              </w:rPr>
            </w:pPr>
            <w:bookmarkStart w:id="3" w:name="_Hlk497677571"/>
            <w:r w:rsidRPr="00696F41">
              <w:rPr>
                <w:rFonts w:ascii="Book Antiqua" w:eastAsia="Calibri" w:hAnsi="Book Antiqua" w:cs="Angsana New"/>
                <w:color w:val="000000"/>
              </w:rPr>
              <w:t>Thalassemia</w:t>
            </w:r>
          </w:p>
        </w:tc>
        <w:tc>
          <w:tcPr>
            <w:tcW w:w="2167" w:type="pct"/>
            <w:tcBorders>
              <w:top w:val="single" w:sz="4" w:space="0" w:color="auto"/>
            </w:tcBorders>
            <w:shd w:val="clear" w:color="auto" w:fill="auto"/>
          </w:tcPr>
          <w:p w14:paraId="20A4AEDD" w14:textId="77777777" w:rsidR="00941C6B" w:rsidRPr="00696F41" w:rsidRDefault="00941C6B" w:rsidP="00C42F1F">
            <w:pPr>
              <w:spacing w:line="360" w:lineRule="auto"/>
              <w:jc w:val="both"/>
              <w:rPr>
                <w:rFonts w:ascii="Book Antiqua" w:eastAsia="Calibri" w:hAnsi="Book Antiqua" w:cs="Angsana New"/>
                <w:color w:val="000000"/>
              </w:rPr>
            </w:pPr>
            <w:r w:rsidRPr="00696F41">
              <w:rPr>
                <w:rFonts w:ascii="Book Antiqua" w:eastAsia="Calibri" w:hAnsi="Book Antiqua" w:cs="Angsana New"/>
                <w:color w:val="000000"/>
              </w:rPr>
              <w:t>1 (3.33)</w:t>
            </w:r>
          </w:p>
        </w:tc>
      </w:tr>
      <w:tr w:rsidR="00941C6B" w:rsidRPr="00696F41" w14:paraId="2EE93673" w14:textId="77777777" w:rsidTr="00C42F1F">
        <w:tc>
          <w:tcPr>
            <w:tcW w:w="2833" w:type="pct"/>
            <w:shd w:val="clear" w:color="auto" w:fill="auto"/>
          </w:tcPr>
          <w:p w14:paraId="53CD8503" w14:textId="77777777" w:rsidR="00941C6B" w:rsidRPr="00696F41" w:rsidRDefault="00941C6B" w:rsidP="00C42F1F">
            <w:pPr>
              <w:spacing w:line="360" w:lineRule="auto"/>
              <w:jc w:val="both"/>
              <w:rPr>
                <w:rFonts w:ascii="Book Antiqua" w:eastAsia="Calibri" w:hAnsi="Book Antiqua" w:cs="Angsana New"/>
                <w:color w:val="000000"/>
              </w:rPr>
            </w:pPr>
            <w:r w:rsidRPr="00696F41">
              <w:rPr>
                <w:rFonts w:ascii="Book Antiqua" w:eastAsia="Calibri" w:hAnsi="Book Antiqua" w:cs="Angsana New"/>
                <w:color w:val="000000"/>
              </w:rPr>
              <w:t xml:space="preserve">Infection </w:t>
            </w:r>
          </w:p>
        </w:tc>
        <w:tc>
          <w:tcPr>
            <w:tcW w:w="2167" w:type="pct"/>
            <w:shd w:val="clear" w:color="auto" w:fill="auto"/>
          </w:tcPr>
          <w:p w14:paraId="0E74B8FB" w14:textId="77777777" w:rsidR="00941C6B" w:rsidRPr="00696F41" w:rsidRDefault="00941C6B" w:rsidP="00C42F1F">
            <w:pPr>
              <w:spacing w:line="360" w:lineRule="auto"/>
              <w:jc w:val="both"/>
              <w:rPr>
                <w:rFonts w:ascii="Book Antiqua" w:eastAsia="Calibri" w:hAnsi="Book Antiqua" w:cs="Angsana New"/>
                <w:color w:val="000000"/>
              </w:rPr>
            </w:pPr>
            <w:r w:rsidRPr="00696F41">
              <w:rPr>
                <w:rFonts w:ascii="Book Antiqua" w:eastAsia="Calibri" w:hAnsi="Book Antiqua" w:cs="Angsana New"/>
                <w:color w:val="000000"/>
              </w:rPr>
              <w:t>11 (36.67)</w:t>
            </w:r>
          </w:p>
        </w:tc>
      </w:tr>
      <w:tr w:rsidR="00941C6B" w:rsidRPr="00696F41" w14:paraId="36A3B436" w14:textId="77777777" w:rsidTr="00C42F1F">
        <w:tc>
          <w:tcPr>
            <w:tcW w:w="2833" w:type="pct"/>
            <w:shd w:val="clear" w:color="auto" w:fill="auto"/>
          </w:tcPr>
          <w:p w14:paraId="43DA9545" w14:textId="77777777" w:rsidR="00941C6B" w:rsidRPr="00696F41" w:rsidRDefault="00941C6B" w:rsidP="00C42F1F">
            <w:pPr>
              <w:spacing w:line="360" w:lineRule="auto"/>
              <w:jc w:val="both"/>
              <w:rPr>
                <w:rFonts w:ascii="Book Antiqua" w:eastAsia="Calibri" w:hAnsi="Book Antiqua" w:cs="Angsana New"/>
                <w:color w:val="000000"/>
              </w:rPr>
            </w:pPr>
            <w:r w:rsidRPr="00696F41">
              <w:rPr>
                <w:rFonts w:ascii="Book Antiqua" w:eastAsia="Calibri" w:hAnsi="Book Antiqua" w:cs="Angsana New"/>
                <w:color w:val="000000"/>
              </w:rPr>
              <w:t>Hemolysis</w:t>
            </w:r>
          </w:p>
        </w:tc>
        <w:tc>
          <w:tcPr>
            <w:tcW w:w="2167" w:type="pct"/>
            <w:shd w:val="clear" w:color="auto" w:fill="auto"/>
          </w:tcPr>
          <w:p w14:paraId="339D5A73" w14:textId="77777777" w:rsidR="00941C6B" w:rsidRPr="00696F41" w:rsidRDefault="00941C6B" w:rsidP="00C42F1F">
            <w:pPr>
              <w:spacing w:line="360" w:lineRule="auto"/>
              <w:jc w:val="both"/>
              <w:rPr>
                <w:rFonts w:ascii="Book Antiqua" w:eastAsia="Calibri" w:hAnsi="Book Antiqua" w:cs="Angsana New"/>
                <w:color w:val="000000"/>
              </w:rPr>
            </w:pPr>
            <w:r w:rsidRPr="00696F41">
              <w:rPr>
                <w:rFonts w:ascii="Book Antiqua" w:eastAsia="Calibri" w:hAnsi="Book Antiqua" w:cs="Angsana New"/>
                <w:color w:val="000000"/>
              </w:rPr>
              <w:t>0</w:t>
            </w:r>
          </w:p>
        </w:tc>
      </w:tr>
      <w:tr w:rsidR="00941C6B" w:rsidRPr="00696F41" w14:paraId="74586D2B" w14:textId="77777777" w:rsidTr="00C42F1F">
        <w:tc>
          <w:tcPr>
            <w:tcW w:w="2833" w:type="pct"/>
            <w:shd w:val="clear" w:color="auto" w:fill="auto"/>
          </w:tcPr>
          <w:p w14:paraId="41454B91" w14:textId="77777777" w:rsidR="00941C6B" w:rsidRPr="00696F41" w:rsidRDefault="00941C6B" w:rsidP="00C42F1F">
            <w:pPr>
              <w:spacing w:line="360" w:lineRule="auto"/>
              <w:jc w:val="both"/>
              <w:rPr>
                <w:rFonts w:ascii="Book Antiqua" w:eastAsia="Calibri" w:hAnsi="Book Antiqua" w:cs="Angsana New"/>
                <w:color w:val="000000"/>
              </w:rPr>
            </w:pPr>
            <w:r w:rsidRPr="00696F41">
              <w:rPr>
                <w:rFonts w:ascii="Book Antiqua" w:eastAsia="Calibri" w:hAnsi="Book Antiqua" w:cs="Angsana New"/>
                <w:color w:val="000000"/>
              </w:rPr>
              <w:t>Blood loss</w:t>
            </w:r>
          </w:p>
        </w:tc>
        <w:tc>
          <w:tcPr>
            <w:tcW w:w="2167" w:type="pct"/>
            <w:shd w:val="clear" w:color="auto" w:fill="auto"/>
          </w:tcPr>
          <w:p w14:paraId="1A70CC40" w14:textId="77777777" w:rsidR="00941C6B" w:rsidRPr="00696F41" w:rsidRDefault="00941C6B" w:rsidP="00C42F1F">
            <w:pPr>
              <w:spacing w:line="360" w:lineRule="auto"/>
              <w:jc w:val="both"/>
              <w:rPr>
                <w:rFonts w:ascii="Book Antiqua" w:eastAsia="Calibri" w:hAnsi="Book Antiqua" w:cs="Angsana New"/>
                <w:color w:val="000000"/>
              </w:rPr>
            </w:pPr>
            <w:r w:rsidRPr="00696F41">
              <w:rPr>
                <w:rFonts w:ascii="Book Antiqua" w:eastAsia="Calibri" w:hAnsi="Book Antiqua" w:cs="Angsana New"/>
                <w:color w:val="000000"/>
              </w:rPr>
              <w:t>0</w:t>
            </w:r>
          </w:p>
        </w:tc>
      </w:tr>
      <w:tr w:rsidR="00941C6B" w:rsidRPr="00696F41" w14:paraId="2B197EBF" w14:textId="77777777" w:rsidTr="00C42F1F">
        <w:tc>
          <w:tcPr>
            <w:tcW w:w="2833" w:type="pct"/>
            <w:shd w:val="clear" w:color="auto" w:fill="auto"/>
          </w:tcPr>
          <w:p w14:paraId="7F60F41E" w14:textId="77777777" w:rsidR="00941C6B" w:rsidRPr="00696F41" w:rsidRDefault="00941C6B" w:rsidP="00C42F1F">
            <w:pPr>
              <w:spacing w:line="360" w:lineRule="auto"/>
              <w:jc w:val="both"/>
              <w:rPr>
                <w:rFonts w:ascii="Book Antiqua" w:eastAsia="Calibri" w:hAnsi="Book Antiqua" w:cs="Angsana New"/>
                <w:color w:val="000000"/>
              </w:rPr>
            </w:pPr>
            <w:r w:rsidRPr="00696F41">
              <w:rPr>
                <w:rFonts w:ascii="Book Antiqua" w:eastAsia="Calibri" w:hAnsi="Book Antiqua" w:cs="Angsana New"/>
                <w:color w:val="000000"/>
              </w:rPr>
              <w:t>Hyperparathyroidism</w:t>
            </w:r>
          </w:p>
        </w:tc>
        <w:tc>
          <w:tcPr>
            <w:tcW w:w="2167" w:type="pct"/>
            <w:shd w:val="clear" w:color="auto" w:fill="auto"/>
          </w:tcPr>
          <w:p w14:paraId="45821983" w14:textId="77777777" w:rsidR="00941C6B" w:rsidRPr="00696F41" w:rsidRDefault="00941C6B" w:rsidP="00C42F1F">
            <w:pPr>
              <w:spacing w:line="360" w:lineRule="auto"/>
              <w:jc w:val="both"/>
              <w:rPr>
                <w:rFonts w:ascii="Book Antiqua" w:eastAsia="Calibri" w:hAnsi="Book Antiqua" w:cs="Angsana New"/>
                <w:color w:val="000000"/>
              </w:rPr>
            </w:pPr>
            <w:r w:rsidRPr="00696F41">
              <w:rPr>
                <w:rFonts w:ascii="Book Antiqua" w:eastAsia="Calibri" w:hAnsi="Book Antiqua" w:cs="Angsana New"/>
                <w:color w:val="000000"/>
              </w:rPr>
              <w:t>1 (3.33)</w:t>
            </w:r>
          </w:p>
        </w:tc>
      </w:tr>
      <w:tr w:rsidR="00941C6B" w:rsidRPr="00696F41" w14:paraId="4ED30DE5" w14:textId="77777777" w:rsidTr="00C42F1F">
        <w:trPr>
          <w:trHeight w:val="75"/>
        </w:trPr>
        <w:tc>
          <w:tcPr>
            <w:tcW w:w="2833" w:type="pct"/>
            <w:shd w:val="clear" w:color="auto" w:fill="auto"/>
          </w:tcPr>
          <w:p w14:paraId="0C203C28" w14:textId="77777777" w:rsidR="00941C6B" w:rsidRPr="00696F41" w:rsidRDefault="00941C6B" w:rsidP="00C42F1F">
            <w:pPr>
              <w:spacing w:line="360" w:lineRule="auto"/>
              <w:jc w:val="both"/>
              <w:rPr>
                <w:rFonts w:ascii="Book Antiqua" w:eastAsia="Calibri" w:hAnsi="Book Antiqua" w:cs="Angsana New"/>
                <w:color w:val="000000"/>
              </w:rPr>
            </w:pPr>
            <w:r w:rsidRPr="00696F41">
              <w:rPr>
                <w:rFonts w:ascii="Book Antiqua" w:eastAsia="Calibri" w:hAnsi="Book Antiqua" w:cs="Angsana New"/>
                <w:color w:val="000000"/>
              </w:rPr>
              <w:t>Low blood folic acid</w:t>
            </w:r>
          </w:p>
        </w:tc>
        <w:tc>
          <w:tcPr>
            <w:tcW w:w="2167" w:type="pct"/>
            <w:shd w:val="clear" w:color="auto" w:fill="auto"/>
          </w:tcPr>
          <w:p w14:paraId="4BB08B0B" w14:textId="77777777" w:rsidR="00941C6B" w:rsidRPr="00696F41" w:rsidRDefault="00941C6B" w:rsidP="00C42F1F">
            <w:pPr>
              <w:spacing w:line="360" w:lineRule="auto"/>
              <w:jc w:val="both"/>
              <w:rPr>
                <w:rFonts w:ascii="Book Antiqua" w:eastAsia="Calibri" w:hAnsi="Book Antiqua" w:cs="Angsana New"/>
                <w:color w:val="000000"/>
              </w:rPr>
            </w:pPr>
            <w:r w:rsidRPr="00696F41">
              <w:rPr>
                <w:rFonts w:ascii="Book Antiqua" w:eastAsia="Calibri" w:hAnsi="Book Antiqua" w:cs="Angsana New"/>
                <w:color w:val="000000"/>
              </w:rPr>
              <w:t>0</w:t>
            </w:r>
          </w:p>
        </w:tc>
      </w:tr>
      <w:tr w:rsidR="00941C6B" w:rsidRPr="00696F41" w14:paraId="60B05E89" w14:textId="77777777" w:rsidTr="00C42F1F">
        <w:tc>
          <w:tcPr>
            <w:tcW w:w="2833" w:type="pct"/>
            <w:shd w:val="clear" w:color="auto" w:fill="auto"/>
          </w:tcPr>
          <w:p w14:paraId="11C8EF6C" w14:textId="77777777" w:rsidR="00941C6B" w:rsidRPr="00696F41" w:rsidRDefault="00941C6B" w:rsidP="00C42F1F">
            <w:pPr>
              <w:spacing w:line="360" w:lineRule="auto"/>
              <w:jc w:val="both"/>
              <w:rPr>
                <w:rFonts w:ascii="Book Antiqua" w:eastAsia="Calibri" w:hAnsi="Book Antiqua" w:cs="Angsana New"/>
                <w:color w:val="000000"/>
              </w:rPr>
            </w:pPr>
            <w:r w:rsidRPr="00696F41">
              <w:rPr>
                <w:rFonts w:ascii="Book Antiqua" w:eastAsia="Calibri" w:hAnsi="Book Antiqua" w:cs="Angsana New"/>
                <w:color w:val="000000"/>
              </w:rPr>
              <w:t xml:space="preserve">Iron deficiency </w:t>
            </w:r>
          </w:p>
        </w:tc>
        <w:tc>
          <w:tcPr>
            <w:tcW w:w="2167" w:type="pct"/>
            <w:shd w:val="clear" w:color="auto" w:fill="auto"/>
          </w:tcPr>
          <w:p w14:paraId="6495C4EB" w14:textId="77777777" w:rsidR="00941C6B" w:rsidRPr="00696F41" w:rsidRDefault="00941C6B" w:rsidP="00C42F1F">
            <w:pPr>
              <w:spacing w:line="360" w:lineRule="auto"/>
              <w:jc w:val="both"/>
              <w:rPr>
                <w:rFonts w:ascii="Book Antiqua" w:eastAsia="Calibri" w:hAnsi="Book Antiqua" w:cs="Angsana New"/>
                <w:color w:val="000000"/>
              </w:rPr>
            </w:pPr>
            <w:r w:rsidRPr="00696F41">
              <w:rPr>
                <w:rFonts w:ascii="Book Antiqua" w:eastAsia="Calibri" w:hAnsi="Book Antiqua" w:cs="Angsana New"/>
                <w:color w:val="000000"/>
              </w:rPr>
              <w:t>3 (10.00)</w:t>
            </w:r>
          </w:p>
        </w:tc>
      </w:tr>
    </w:tbl>
    <w:bookmarkEnd w:id="3"/>
    <w:p w14:paraId="69278E93" w14:textId="77777777" w:rsidR="00941C6B" w:rsidRPr="00696F41" w:rsidRDefault="00941C6B" w:rsidP="00941C6B">
      <w:pPr>
        <w:spacing w:line="360" w:lineRule="auto"/>
        <w:jc w:val="both"/>
        <w:rPr>
          <w:rFonts w:ascii="Book Antiqua" w:eastAsia="Book Antiqua" w:hAnsi="Book Antiqua" w:cs="Book Antiqua"/>
        </w:rPr>
      </w:pPr>
      <w:r w:rsidRPr="00696F41">
        <w:rPr>
          <w:rFonts w:ascii="Book Antiqua" w:eastAsia="Calibri" w:hAnsi="Book Antiqua" w:cs="Angsana New"/>
          <w:color w:val="000000"/>
        </w:rPr>
        <w:t>ESA</w:t>
      </w:r>
      <w:r w:rsidRPr="00696F41">
        <w:rPr>
          <w:rFonts w:ascii="Book Antiqua" w:hAnsi="Book Antiqua" w:cs="Angsana New"/>
          <w:color w:val="000000"/>
          <w:lang w:eastAsia="zh-CN"/>
        </w:rPr>
        <w:t>:</w:t>
      </w:r>
      <w:r w:rsidRPr="00696F41">
        <w:rPr>
          <w:rFonts w:ascii="Book Antiqua" w:eastAsia="Calibri" w:hAnsi="Book Antiqua" w:cs="Angsana New"/>
          <w:color w:val="000000"/>
        </w:rPr>
        <w:t xml:space="preserve"> Erythropoiesis-stimulating agent</w:t>
      </w:r>
      <w:r w:rsidRPr="00696F41">
        <w:rPr>
          <w:rFonts w:ascii="Book Antiqua" w:hAnsi="Book Antiqua" w:cs="Angsana New"/>
          <w:color w:val="000000"/>
          <w:lang w:eastAsia="zh-CN"/>
        </w:rPr>
        <w:t>.</w:t>
      </w:r>
    </w:p>
    <w:p w14:paraId="2D959151" w14:textId="77777777" w:rsidR="00941C6B" w:rsidRPr="00696F41" w:rsidRDefault="00941C6B" w:rsidP="00941C6B">
      <w:pPr>
        <w:keepNext/>
        <w:keepLines/>
        <w:spacing w:line="360" w:lineRule="auto"/>
        <w:jc w:val="both"/>
        <w:outlineLvl w:val="0"/>
        <w:rPr>
          <w:rFonts w:ascii="Book Antiqua" w:eastAsia="宋体" w:hAnsi="Book Antiqua" w:cs="Book Antiqua"/>
          <w:b/>
          <w:bCs/>
          <w:color w:val="000000"/>
          <w:lang w:eastAsia="zh-CN"/>
        </w:rPr>
      </w:pPr>
      <w:r w:rsidRPr="00696F41">
        <w:rPr>
          <w:rFonts w:ascii="Book Antiqua" w:eastAsia="Book Antiqua" w:hAnsi="Book Antiqua" w:cs="Book Antiqua"/>
        </w:rPr>
        <w:br w:type="page"/>
      </w:r>
      <w:r w:rsidRPr="00696F41">
        <w:rPr>
          <w:rFonts w:ascii="Book Antiqua" w:eastAsia="宋体" w:hAnsi="Book Antiqua" w:cs="Book Antiqua"/>
          <w:b/>
          <w:bCs/>
          <w:color w:val="000000"/>
          <w:lang w:eastAsia="zh-CN"/>
        </w:rPr>
        <w:lastRenderedPageBreak/>
        <w:t xml:space="preserve">Table 4 </w:t>
      </w:r>
      <w:r w:rsidRPr="00696F41">
        <w:rPr>
          <w:rFonts w:ascii="Book Antiqua" w:eastAsia="宋体" w:hAnsi="Book Antiqua" w:cs="Book Antiqua"/>
          <w:b/>
          <w:color w:val="000000"/>
          <w:lang w:eastAsia="zh-CN"/>
        </w:rPr>
        <w:t xml:space="preserve">Comparisons of </w:t>
      </w:r>
      <w:r w:rsidRPr="00696F41">
        <w:rPr>
          <w:rFonts w:ascii="Book Antiqua" w:hAnsi="Book Antiqua" w:cs="Book Antiqua"/>
          <w:b/>
          <w:color w:val="000000"/>
          <w:lang w:eastAsia="zh-CN"/>
        </w:rPr>
        <w:t>h</w:t>
      </w:r>
      <w:r w:rsidRPr="00696F41">
        <w:rPr>
          <w:rFonts w:ascii="Book Antiqua" w:eastAsia="Book Antiqua" w:hAnsi="Book Antiqua" w:cs="Book Antiqua"/>
          <w:b/>
          <w:color w:val="000000"/>
        </w:rPr>
        <w:t>emoglobin</w:t>
      </w:r>
      <w:r w:rsidRPr="00696F41">
        <w:rPr>
          <w:rFonts w:ascii="Book Antiqua" w:eastAsia="宋体" w:hAnsi="Book Antiqua" w:cs="Book Antiqua"/>
          <w:b/>
          <w:color w:val="000000"/>
          <w:lang w:eastAsia="zh-CN"/>
        </w:rPr>
        <w:t xml:space="preserve"> at each visit by infection status (</w:t>
      </w:r>
      <w:r w:rsidRPr="00696F41">
        <w:rPr>
          <w:rFonts w:ascii="Book Antiqua" w:eastAsia="Calibri" w:hAnsi="Book Antiqua" w:cs="Arial"/>
          <w:b/>
          <w:bCs/>
          <w:i/>
          <w:color w:val="000000"/>
        </w:rPr>
        <w:t>n</w:t>
      </w:r>
      <w:r w:rsidRPr="00696F41">
        <w:rPr>
          <w:rFonts w:ascii="Book Antiqua" w:eastAsia="宋体" w:hAnsi="Book Antiqua" w:cs="Book Antiqua"/>
          <w:b/>
          <w:color w:val="000000"/>
          <w:lang w:eastAsia="zh-CN"/>
        </w:rPr>
        <w:t xml:space="preserve"> = 30)</w:t>
      </w:r>
      <w:r w:rsidRPr="00696F41">
        <w:rPr>
          <w:rFonts w:ascii="Book Antiqua" w:eastAsia="宋体" w:hAnsi="Book Antiqua" w:cs="Browallia New"/>
          <w:b/>
          <w:bCs/>
          <w:color w:val="000000"/>
          <w:lang w:eastAsia="zh-CN"/>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2834"/>
        <w:gridCol w:w="2127"/>
        <w:gridCol w:w="2716"/>
        <w:gridCol w:w="837"/>
        <w:gridCol w:w="846"/>
      </w:tblGrid>
      <w:tr w:rsidR="00883011" w:rsidRPr="00696F41" w14:paraId="7490B2FF" w14:textId="77777777" w:rsidTr="005D76C3">
        <w:tc>
          <w:tcPr>
            <w:tcW w:w="1514" w:type="pct"/>
            <w:vMerge w:val="restart"/>
            <w:tcBorders>
              <w:top w:val="single" w:sz="4" w:space="0" w:color="auto"/>
              <w:bottom w:val="nil"/>
            </w:tcBorders>
            <w:shd w:val="clear" w:color="auto" w:fill="auto"/>
          </w:tcPr>
          <w:p w14:paraId="2D8533A2" w14:textId="77777777" w:rsidR="00883011" w:rsidRPr="00696F41" w:rsidRDefault="00883011" w:rsidP="00E95A64">
            <w:pPr>
              <w:spacing w:line="360" w:lineRule="auto"/>
              <w:jc w:val="both"/>
              <w:rPr>
                <w:rFonts w:ascii="Book Antiqua" w:eastAsia="Calibri" w:hAnsi="Book Antiqua" w:cs="Arial"/>
                <w:b/>
                <w:bCs/>
                <w:color w:val="000000"/>
              </w:rPr>
            </w:pPr>
            <w:bookmarkStart w:id="4" w:name="_Hlk497679017"/>
            <w:bookmarkStart w:id="5" w:name="_Hlk497678728"/>
            <w:r w:rsidRPr="00696F41">
              <w:rPr>
                <w:rFonts w:ascii="Book Antiqua" w:eastAsia="Calibri" w:hAnsi="Book Antiqua" w:cs="Arial"/>
                <w:b/>
                <w:bCs/>
                <w:color w:val="000000"/>
              </w:rPr>
              <w:t>Visit</w:t>
            </w:r>
          </w:p>
        </w:tc>
        <w:tc>
          <w:tcPr>
            <w:tcW w:w="2587" w:type="pct"/>
            <w:gridSpan w:val="2"/>
            <w:tcBorders>
              <w:top w:val="single" w:sz="4" w:space="0" w:color="auto"/>
              <w:bottom w:val="single" w:sz="4" w:space="0" w:color="auto"/>
            </w:tcBorders>
            <w:shd w:val="clear" w:color="auto" w:fill="auto"/>
          </w:tcPr>
          <w:p w14:paraId="6A1AA00C" w14:textId="6D638400" w:rsidR="00883011" w:rsidRPr="00696F41" w:rsidRDefault="00883011" w:rsidP="004543E1">
            <w:pPr>
              <w:spacing w:line="360" w:lineRule="auto"/>
              <w:rPr>
                <w:rFonts w:ascii="Book Antiqua" w:eastAsia="Calibri" w:hAnsi="Book Antiqua" w:cs="Arial"/>
                <w:b/>
                <w:bCs/>
                <w:color w:val="000000"/>
              </w:rPr>
            </w:pPr>
            <w:r w:rsidRPr="00696F41">
              <w:rPr>
                <w:rFonts w:ascii="Book Antiqua" w:eastAsia="Calibri" w:hAnsi="Book Antiqua" w:cs="Arial"/>
                <w:b/>
                <w:bCs/>
                <w:color w:val="000000"/>
              </w:rPr>
              <w:t>Hemoglobin levels (g/dL)</w:t>
            </w:r>
            <w:r w:rsidR="00012B98" w:rsidRPr="00135D27">
              <w:rPr>
                <w:rFonts w:ascii="Book Antiqua" w:eastAsia="Calibri" w:hAnsi="Book Antiqua" w:cs="Arial"/>
                <w:b/>
                <w:bCs/>
                <w:color w:val="000000"/>
              </w:rPr>
              <w:t xml:space="preserve"> ,</w:t>
            </w:r>
            <w:r w:rsidR="004543E1">
              <w:rPr>
                <w:rFonts w:ascii="Book Antiqua" w:eastAsia="Calibri" w:hAnsi="Book Antiqua" w:cs="Arial"/>
                <w:b/>
                <w:bCs/>
                <w:color w:val="000000"/>
              </w:rPr>
              <w:t xml:space="preserve"> </w:t>
            </w:r>
            <w:r w:rsidR="00012B98" w:rsidRPr="00135D27">
              <w:rPr>
                <w:rFonts w:ascii="Book Antiqua" w:hAnsi="Book Antiqua" w:cs="Arial"/>
                <w:b/>
                <w:bCs/>
                <w:color w:val="000000"/>
                <w:lang w:eastAsia="zh-CN"/>
              </w:rPr>
              <w:t>m</w:t>
            </w:r>
            <w:r w:rsidR="00012B98" w:rsidRPr="00135D27">
              <w:rPr>
                <w:rFonts w:ascii="Book Antiqua" w:eastAsia="Calibri" w:hAnsi="Book Antiqua" w:cs="Arial"/>
                <w:b/>
                <w:bCs/>
                <w:color w:val="000000"/>
              </w:rPr>
              <w:t xml:space="preserve">ean  </w:t>
            </w:r>
            <w:r w:rsidR="00012B98">
              <w:rPr>
                <w:rFonts w:ascii="Book Antiqua" w:eastAsia="Calibri" w:hAnsi="Book Antiqua" w:cs="Arial"/>
                <w:b/>
                <w:bCs/>
                <w:color w:val="000000"/>
              </w:rPr>
              <w:t>(</w:t>
            </w:r>
            <w:r w:rsidR="00012B98" w:rsidRPr="00135D27">
              <w:rPr>
                <w:rFonts w:ascii="Book Antiqua" w:eastAsia="Calibri" w:hAnsi="Book Antiqua" w:cs="Arial"/>
                <w:b/>
                <w:bCs/>
                <w:color w:val="000000"/>
              </w:rPr>
              <w:t>SD</w:t>
            </w:r>
            <w:r w:rsidR="00012B98">
              <w:rPr>
                <w:rFonts w:ascii="Book Antiqua" w:eastAsia="Calibri" w:hAnsi="Book Antiqua" w:cs="Arial"/>
                <w:b/>
                <w:bCs/>
                <w:color w:val="000000"/>
              </w:rPr>
              <w:t>)</w:t>
            </w:r>
          </w:p>
        </w:tc>
        <w:tc>
          <w:tcPr>
            <w:tcW w:w="899" w:type="pct"/>
            <w:gridSpan w:val="2"/>
            <w:vMerge w:val="restart"/>
            <w:tcBorders>
              <w:top w:val="single" w:sz="4" w:space="0" w:color="auto"/>
              <w:bottom w:val="single" w:sz="4" w:space="0" w:color="auto"/>
            </w:tcBorders>
          </w:tcPr>
          <w:p w14:paraId="1A7AD02B" w14:textId="3FE9DB74" w:rsidR="00883011" w:rsidRPr="005F7902" w:rsidRDefault="005F7902" w:rsidP="00E95A64">
            <w:pPr>
              <w:spacing w:line="360" w:lineRule="auto"/>
              <w:jc w:val="both"/>
              <w:rPr>
                <w:rFonts w:ascii="Book Antiqua" w:eastAsia="Calibri" w:hAnsi="Book Antiqua" w:cs="Arial"/>
                <w:b/>
                <w:color w:val="000000"/>
              </w:rPr>
            </w:pPr>
            <w:r w:rsidRPr="005F7902">
              <w:rPr>
                <w:rFonts w:ascii="Book Antiqua" w:hAnsi="Book Antiqua" w:cs="Arial"/>
                <w:b/>
                <w:i/>
                <w:color w:val="000000"/>
                <w:lang w:eastAsia="zh-CN"/>
              </w:rPr>
              <w:t>P</w:t>
            </w:r>
            <w:r w:rsidRPr="005F7902">
              <w:rPr>
                <w:rFonts w:ascii="Book Antiqua" w:hAnsi="Book Antiqua" w:cs="Arial"/>
                <w:b/>
                <w:iCs/>
                <w:color w:val="000000"/>
                <w:lang w:eastAsia="zh-CN"/>
              </w:rPr>
              <w:t xml:space="preserve"> value</w:t>
            </w:r>
          </w:p>
        </w:tc>
      </w:tr>
      <w:tr w:rsidR="00883011" w:rsidRPr="00696F41" w14:paraId="05FFB212" w14:textId="77777777" w:rsidTr="005D76C3">
        <w:tc>
          <w:tcPr>
            <w:tcW w:w="1514" w:type="pct"/>
            <w:vMerge/>
            <w:tcBorders>
              <w:top w:val="nil"/>
              <w:bottom w:val="single" w:sz="4" w:space="0" w:color="auto"/>
            </w:tcBorders>
            <w:shd w:val="clear" w:color="auto" w:fill="auto"/>
          </w:tcPr>
          <w:p w14:paraId="6E2FD55F" w14:textId="77777777" w:rsidR="00883011" w:rsidRPr="00696F41" w:rsidRDefault="00883011" w:rsidP="00E95A64">
            <w:pPr>
              <w:spacing w:line="360" w:lineRule="auto"/>
              <w:jc w:val="both"/>
              <w:rPr>
                <w:rFonts w:ascii="Book Antiqua" w:eastAsia="Calibri" w:hAnsi="Book Antiqua" w:cs="Arial"/>
                <w:b/>
                <w:bCs/>
                <w:color w:val="000000"/>
              </w:rPr>
            </w:pPr>
          </w:p>
        </w:tc>
        <w:tc>
          <w:tcPr>
            <w:tcW w:w="1136" w:type="pct"/>
            <w:tcBorders>
              <w:top w:val="single" w:sz="4" w:space="0" w:color="auto"/>
              <w:bottom w:val="single" w:sz="4" w:space="0" w:color="auto"/>
            </w:tcBorders>
            <w:shd w:val="clear" w:color="auto" w:fill="auto"/>
          </w:tcPr>
          <w:p w14:paraId="3C199DB7" w14:textId="77777777" w:rsidR="00883011" w:rsidRPr="00696F41" w:rsidRDefault="00883011" w:rsidP="00E95A64">
            <w:pPr>
              <w:spacing w:line="360" w:lineRule="auto"/>
              <w:jc w:val="both"/>
              <w:rPr>
                <w:rFonts w:ascii="Book Antiqua" w:eastAsia="Calibri" w:hAnsi="Book Antiqua" w:cs="Arial"/>
                <w:b/>
                <w:bCs/>
                <w:color w:val="000000"/>
              </w:rPr>
            </w:pPr>
            <w:r w:rsidRPr="00696F41">
              <w:rPr>
                <w:rFonts w:ascii="Book Antiqua" w:eastAsia="Calibri" w:hAnsi="Book Antiqua" w:cs="Arial"/>
                <w:b/>
                <w:bCs/>
                <w:color w:val="000000"/>
              </w:rPr>
              <w:t>Infection</w:t>
            </w:r>
            <w:r w:rsidRPr="00696F41">
              <w:rPr>
                <w:rFonts w:ascii="Book Antiqua" w:hAnsi="Book Antiqua" w:cs="Arial"/>
                <w:b/>
                <w:bCs/>
                <w:color w:val="000000"/>
                <w:lang w:eastAsia="zh-CN"/>
              </w:rPr>
              <w:t xml:space="preserve"> </w:t>
            </w:r>
            <w:r w:rsidRPr="00696F41">
              <w:rPr>
                <w:rFonts w:ascii="Book Antiqua" w:eastAsia="Calibri" w:hAnsi="Book Antiqua" w:cs="Arial"/>
                <w:b/>
                <w:bCs/>
                <w:color w:val="000000"/>
              </w:rPr>
              <w:t>(</w:t>
            </w:r>
            <w:r w:rsidRPr="00696F41">
              <w:rPr>
                <w:rFonts w:ascii="Book Antiqua" w:eastAsia="Calibri" w:hAnsi="Book Antiqua" w:cs="Arial"/>
                <w:b/>
                <w:bCs/>
                <w:i/>
                <w:color w:val="000000"/>
              </w:rPr>
              <w:t>n</w:t>
            </w:r>
            <w:r w:rsidRPr="00696F41">
              <w:rPr>
                <w:rFonts w:ascii="Book Antiqua" w:hAnsi="Book Antiqua" w:cs="Arial"/>
                <w:b/>
                <w:bCs/>
                <w:color w:val="000000"/>
                <w:lang w:eastAsia="zh-CN"/>
              </w:rPr>
              <w:t xml:space="preserve"> </w:t>
            </w:r>
            <w:r w:rsidRPr="00696F41">
              <w:rPr>
                <w:rFonts w:ascii="Book Antiqua" w:eastAsia="Calibri" w:hAnsi="Book Antiqua" w:cs="Arial"/>
                <w:b/>
                <w:bCs/>
                <w:color w:val="000000"/>
              </w:rPr>
              <w:t>=</w:t>
            </w:r>
            <w:r w:rsidRPr="00696F41">
              <w:rPr>
                <w:rFonts w:ascii="Book Antiqua" w:hAnsi="Book Antiqua" w:cs="Arial"/>
                <w:b/>
                <w:bCs/>
                <w:color w:val="000000"/>
                <w:lang w:eastAsia="zh-CN"/>
              </w:rPr>
              <w:t xml:space="preserve"> </w:t>
            </w:r>
            <w:r w:rsidRPr="00696F41">
              <w:rPr>
                <w:rFonts w:ascii="Book Antiqua" w:eastAsia="Calibri" w:hAnsi="Book Antiqua" w:cs="Arial"/>
                <w:b/>
                <w:bCs/>
                <w:color w:val="000000"/>
              </w:rPr>
              <w:t>11)</w:t>
            </w:r>
          </w:p>
        </w:tc>
        <w:tc>
          <w:tcPr>
            <w:tcW w:w="1451" w:type="pct"/>
            <w:tcBorders>
              <w:top w:val="single" w:sz="4" w:space="0" w:color="auto"/>
              <w:bottom w:val="single" w:sz="4" w:space="0" w:color="auto"/>
            </w:tcBorders>
            <w:shd w:val="clear" w:color="auto" w:fill="auto"/>
          </w:tcPr>
          <w:p w14:paraId="3DC4473A" w14:textId="77777777" w:rsidR="00883011" w:rsidRPr="00696F41" w:rsidRDefault="00883011" w:rsidP="00E95A64">
            <w:pPr>
              <w:spacing w:line="360" w:lineRule="auto"/>
              <w:jc w:val="both"/>
              <w:rPr>
                <w:rFonts w:ascii="Book Antiqua" w:eastAsia="Calibri" w:hAnsi="Book Antiqua" w:cs="Arial"/>
                <w:b/>
                <w:bCs/>
                <w:color w:val="000000"/>
              </w:rPr>
            </w:pPr>
            <w:r w:rsidRPr="00696F41">
              <w:rPr>
                <w:rFonts w:ascii="Book Antiqua" w:eastAsia="Calibri" w:hAnsi="Book Antiqua" w:cs="Arial"/>
                <w:b/>
                <w:bCs/>
                <w:color w:val="000000"/>
              </w:rPr>
              <w:t>Non-infection (</w:t>
            </w:r>
            <w:r w:rsidRPr="00696F41">
              <w:rPr>
                <w:rFonts w:ascii="Book Antiqua" w:eastAsia="Calibri" w:hAnsi="Book Antiqua" w:cs="Arial"/>
                <w:b/>
                <w:bCs/>
                <w:i/>
                <w:color w:val="000000"/>
              </w:rPr>
              <w:t>n</w:t>
            </w:r>
            <w:r w:rsidRPr="00696F41">
              <w:rPr>
                <w:rFonts w:ascii="Book Antiqua" w:hAnsi="Book Antiqua" w:cs="Arial"/>
                <w:b/>
                <w:bCs/>
                <w:color w:val="000000"/>
                <w:lang w:eastAsia="zh-CN"/>
              </w:rPr>
              <w:t xml:space="preserve"> </w:t>
            </w:r>
            <w:r w:rsidRPr="00696F41">
              <w:rPr>
                <w:rFonts w:ascii="Book Antiqua" w:eastAsia="Calibri" w:hAnsi="Book Antiqua" w:cs="Arial"/>
                <w:b/>
                <w:bCs/>
                <w:color w:val="000000"/>
              </w:rPr>
              <w:t>=</w:t>
            </w:r>
            <w:r w:rsidRPr="00696F41">
              <w:rPr>
                <w:rFonts w:ascii="Book Antiqua" w:hAnsi="Book Antiqua" w:cs="Arial"/>
                <w:b/>
                <w:bCs/>
                <w:color w:val="000000"/>
                <w:lang w:eastAsia="zh-CN"/>
              </w:rPr>
              <w:t xml:space="preserve"> </w:t>
            </w:r>
            <w:r w:rsidRPr="00696F41">
              <w:rPr>
                <w:rFonts w:ascii="Book Antiqua" w:eastAsia="Calibri" w:hAnsi="Book Antiqua" w:cs="Arial"/>
                <w:b/>
                <w:bCs/>
                <w:color w:val="000000"/>
              </w:rPr>
              <w:t>19)</w:t>
            </w:r>
          </w:p>
        </w:tc>
        <w:tc>
          <w:tcPr>
            <w:tcW w:w="899" w:type="pct"/>
            <w:gridSpan w:val="2"/>
            <w:vMerge/>
            <w:tcBorders>
              <w:top w:val="nil"/>
              <w:bottom w:val="single" w:sz="4" w:space="0" w:color="auto"/>
            </w:tcBorders>
          </w:tcPr>
          <w:p w14:paraId="2DED5C6E" w14:textId="77777777" w:rsidR="00883011" w:rsidRPr="00696F41" w:rsidRDefault="00883011" w:rsidP="00E95A64">
            <w:pPr>
              <w:spacing w:line="360" w:lineRule="auto"/>
              <w:jc w:val="both"/>
              <w:rPr>
                <w:rFonts w:ascii="Book Antiqua" w:eastAsia="Calibri" w:hAnsi="Book Antiqua" w:cs="Arial"/>
                <w:b/>
                <w:bCs/>
                <w:i/>
                <w:iCs/>
                <w:color w:val="000000"/>
              </w:rPr>
            </w:pPr>
          </w:p>
        </w:tc>
      </w:tr>
      <w:tr w:rsidR="00883011" w:rsidRPr="00696F41" w14:paraId="2576B10B" w14:textId="77777777" w:rsidTr="005D76C3">
        <w:tc>
          <w:tcPr>
            <w:tcW w:w="1514" w:type="pct"/>
            <w:tcBorders>
              <w:top w:val="single" w:sz="4" w:space="0" w:color="auto"/>
              <w:bottom w:val="nil"/>
            </w:tcBorders>
            <w:shd w:val="clear" w:color="auto" w:fill="auto"/>
          </w:tcPr>
          <w:p w14:paraId="3D5F024E" w14:textId="77777777" w:rsidR="00883011" w:rsidRPr="00696F41" w:rsidRDefault="00883011" w:rsidP="00E95A64">
            <w:pPr>
              <w:spacing w:line="360" w:lineRule="auto"/>
              <w:jc w:val="both"/>
              <w:rPr>
                <w:rFonts w:ascii="Book Antiqua" w:eastAsia="Calibri" w:hAnsi="Book Antiqua" w:cs="Arial"/>
                <w:color w:val="000000"/>
              </w:rPr>
            </w:pPr>
            <w:r w:rsidRPr="00696F41">
              <w:rPr>
                <w:rFonts w:ascii="Book Antiqua" w:eastAsia="Calibri" w:hAnsi="Book Antiqua" w:cs="Arial"/>
                <w:color w:val="000000"/>
              </w:rPr>
              <w:t>Visit 2 (week 0; baseline)</w:t>
            </w:r>
          </w:p>
        </w:tc>
        <w:tc>
          <w:tcPr>
            <w:tcW w:w="1136" w:type="pct"/>
            <w:tcBorders>
              <w:top w:val="single" w:sz="4" w:space="0" w:color="auto"/>
              <w:bottom w:val="nil"/>
            </w:tcBorders>
            <w:shd w:val="clear" w:color="auto" w:fill="auto"/>
          </w:tcPr>
          <w:p w14:paraId="00E832CC" w14:textId="77777777" w:rsidR="00883011" w:rsidRPr="00696F41" w:rsidRDefault="00883011" w:rsidP="00E95A64">
            <w:pPr>
              <w:spacing w:line="360" w:lineRule="auto"/>
              <w:jc w:val="both"/>
              <w:rPr>
                <w:rFonts w:ascii="Book Antiqua" w:eastAsia="Calibri" w:hAnsi="Book Antiqua" w:cs="Arial"/>
                <w:color w:val="000000"/>
              </w:rPr>
            </w:pPr>
            <w:r w:rsidRPr="00696F41">
              <w:rPr>
                <w:rFonts w:ascii="Book Antiqua" w:eastAsia="Calibri" w:hAnsi="Book Antiqua" w:cs="Arial"/>
                <w:color w:val="000000"/>
              </w:rPr>
              <w:t>6.41(1.48)</w:t>
            </w:r>
          </w:p>
        </w:tc>
        <w:tc>
          <w:tcPr>
            <w:tcW w:w="1451" w:type="pct"/>
            <w:tcBorders>
              <w:top w:val="single" w:sz="4" w:space="0" w:color="auto"/>
              <w:bottom w:val="nil"/>
            </w:tcBorders>
            <w:shd w:val="clear" w:color="auto" w:fill="auto"/>
          </w:tcPr>
          <w:p w14:paraId="66F16205" w14:textId="77777777" w:rsidR="00883011" w:rsidRPr="00696F41" w:rsidRDefault="00883011" w:rsidP="00E95A64">
            <w:pPr>
              <w:spacing w:line="360" w:lineRule="auto"/>
              <w:jc w:val="both"/>
              <w:rPr>
                <w:rFonts w:ascii="Book Antiqua" w:eastAsia="Calibri" w:hAnsi="Book Antiqua" w:cs="Arial"/>
                <w:color w:val="000000"/>
              </w:rPr>
            </w:pPr>
            <w:r w:rsidRPr="00696F41">
              <w:rPr>
                <w:rFonts w:ascii="Book Antiqua" w:eastAsia="Calibri" w:hAnsi="Book Antiqua" w:cs="Arial"/>
                <w:color w:val="000000"/>
              </w:rPr>
              <w:t>7.95 (0.75)</w:t>
            </w:r>
          </w:p>
        </w:tc>
        <w:tc>
          <w:tcPr>
            <w:tcW w:w="447" w:type="pct"/>
            <w:tcBorders>
              <w:top w:val="single" w:sz="4" w:space="0" w:color="auto"/>
              <w:bottom w:val="nil"/>
            </w:tcBorders>
          </w:tcPr>
          <w:p w14:paraId="554A5692" w14:textId="77777777" w:rsidR="00883011" w:rsidRPr="00696F41" w:rsidRDefault="00883011" w:rsidP="00E95A64">
            <w:pPr>
              <w:spacing w:line="360" w:lineRule="auto"/>
              <w:jc w:val="both"/>
              <w:rPr>
                <w:rFonts w:ascii="Book Antiqua" w:eastAsia="Calibri" w:hAnsi="Book Antiqua" w:cs="Arial"/>
                <w:color w:val="000000"/>
              </w:rPr>
            </w:pPr>
            <w:r w:rsidRPr="00696F41">
              <w:rPr>
                <w:rFonts w:ascii="Book Antiqua" w:eastAsia="Calibri" w:hAnsi="Book Antiqua" w:cs="Arial"/>
                <w:color w:val="000000"/>
              </w:rPr>
              <w:t>0.001</w:t>
            </w:r>
            <w:r w:rsidRPr="00696F41">
              <w:rPr>
                <w:rFonts w:ascii="Book Antiqua" w:eastAsia="Calibri" w:hAnsi="Book Antiqua" w:cs="Arial"/>
                <w:color w:val="000000"/>
                <w:vertAlign w:val="superscript"/>
              </w:rPr>
              <w:t>a</w:t>
            </w:r>
          </w:p>
        </w:tc>
        <w:tc>
          <w:tcPr>
            <w:tcW w:w="451" w:type="pct"/>
            <w:vMerge w:val="restart"/>
            <w:tcBorders>
              <w:top w:val="single" w:sz="4" w:space="0" w:color="auto"/>
            </w:tcBorders>
          </w:tcPr>
          <w:p w14:paraId="1FE814E7" w14:textId="77777777" w:rsidR="00883011" w:rsidRPr="00696F41" w:rsidRDefault="00883011" w:rsidP="00E95A64">
            <w:pPr>
              <w:spacing w:line="360" w:lineRule="auto"/>
              <w:jc w:val="both"/>
              <w:rPr>
                <w:rFonts w:ascii="Book Antiqua" w:eastAsia="Calibri" w:hAnsi="Book Antiqua" w:cs="Arial"/>
                <w:color w:val="000000"/>
              </w:rPr>
            </w:pPr>
            <w:r w:rsidRPr="00696F41">
              <w:rPr>
                <w:rFonts w:ascii="Book Antiqua" w:eastAsia="Calibri" w:hAnsi="Book Antiqua" w:cs="Arial"/>
                <w:color w:val="000000"/>
              </w:rPr>
              <w:t>0.001</w:t>
            </w:r>
            <w:r w:rsidRPr="00696F41">
              <w:rPr>
                <w:rFonts w:ascii="Book Antiqua" w:eastAsia="Calibri" w:hAnsi="Book Antiqua" w:cs="Arial"/>
                <w:color w:val="000000"/>
                <w:vertAlign w:val="superscript"/>
              </w:rPr>
              <w:t>b</w:t>
            </w:r>
          </w:p>
        </w:tc>
      </w:tr>
      <w:tr w:rsidR="00883011" w:rsidRPr="00696F41" w14:paraId="302BA81B" w14:textId="77777777" w:rsidTr="005D76C3">
        <w:tc>
          <w:tcPr>
            <w:tcW w:w="1514" w:type="pct"/>
            <w:tcBorders>
              <w:top w:val="nil"/>
            </w:tcBorders>
            <w:shd w:val="clear" w:color="auto" w:fill="auto"/>
          </w:tcPr>
          <w:p w14:paraId="5572C5A4" w14:textId="79F1587F" w:rsidR="00883011" w:rsidRPr="00696F41" w:rsidRDefault="005D76C3" w:rsidP="00E95A64">
            <w:pPr>
              <w:spacing w:line="360" w:lineRule="auto"/>
              <w:jc w:val="both"/>
              <w:rPr>
                <w:rFonts w:ascii="Book Antiqua" w:eastAsia="Calibri" w:hAnsi="Book Antiqua" w:cs="Arial"/>
                <w:color w:val="000000"/>
              </w:rPr>
            </w:pPr>
            <w:r>
              <w:rPr>
                <w:rFonts w:ascii="Book Antiqua" w:eastAsia="Calibri" w:hAnsi="Book Antiqua" w:cs="Arial"/>
                <w:color w:val="000000"/>
              </w:rPr>
              <w:t>\</w:t>
            </w:r>
            <w:r w:rsidR="00883011" w:rsidRPr="00696F41">
              <w:rPr>
                <w:rFonts w:ascii="Book Antiqua" w:eastAsia="Calibri" w:hAnsi="Book Antiqua" w:cs="Arial"/>
                <w:color w:val="000000"/>
              </w:rPr>
              <w:t>Visit 3 (week 2)</w:t>
            </w:r>
          </w:p>
        </w:tc>
        <w:tc>
          <w:tcPr>
            <w:tcW w:w="1136" w:type="pct"/>
            <w:tcBorders>
              <w:top w:val="nil"/>
            </w:tcBorders>
            <w:shd w:val="clear" w:color="auto" w:fill="auto"/>
          </w:tcPr>
          <w:p w14:paraId="2F150BD5" w14:textId="77777777" w:rsidR="00883011" w:rsidRPr="00696F41" w:rsidRDefault="00883011" w:rsidP="00E95A64">
            <w:pPr>
              <w:spacing w:line="360" w:lineRule="auto"/>
              <w:jc w:val="both"/>
              <w:rPr>
                <w:rFonts w:ascii="Book Antiqua" w:eastAsia="Calibri" w:hAnsi="Book Antiqua" w:cs="Arial"/>
                <w:color w:val="000000"/>
              </w:rPr>
            </w:pPr>
            <w:r w:rsidRPr="00696F41">
              <w:rPr>
                <w:rFonts w:ascii="Book Antiqua" w:eastAsia="Calibri" w:hAnsi="Book Antiqua" w:cs="Arial"/>
                <w:color w:val="000000"/>
              </w:rPr>
              <w:t>7.00 (1.51)</w:t>
            </w:r>
          </w:p>
        </w:tc>
        <w:tc>
          <w:tcPr>
            <w:tcW w:w="1451" w:type="pct"/>
            <w:tcBorders>
              <w:top w:val="nil"/>
            </w:tcBorders>
            <w:shd w:val="clear" w:color="auto" w:fill="auto"/>
          </w:tcPr>
          <w:p w14:paraId="5573A965" w14:textId="77777777" w:rsidR="00883011" w:rsidRPr="00696F41" w:rsidRDefault="00883011" w:rsidP="00E95A64">
            <w:pPr>
              <w:spacing w:line="360" w:lineRule="auto"/>
              <w:jc w:val="both"/>
              <w:rPr>
                <w:rFonts w:ascii="Book Antiqua" w:eastAsia="Calibri" w:hAnsi="Book Antiqua" w:cs="Arial"/>
                <w:color w:val="000000"/>
              </w:rPr>
            </w:pPr>
            <w:r w:rsidRPr="00696F41">
              <w:rPr>
                <w:rFonts w:ascii="Book Antiqua" w:eastAsia="Calibri" w:hAnsi="Book Antiqua" w:cs="Arial"/>
                <w:color w:val="000000"/>
              </w:rPr>
              <w:t>8.68 (1.33)</w:t>
            </w:r>
          </w:p>
        </w:tc>
        <w:tc>
          <w:tcPr>
            <w:tcW w:w="447" w:type="pct"/>
            <w:tcBorders>
              <w:top w:val="nil"/>
            </w:tcBorders>
          </w:tcPr>
          <w:p w14:paraId="51365850" w14:textId="77777777" w:rsidR="00883011" w:rsidRPr="00696F41" w:rsidRDefault="00883011" w:rsidP="00E95A64">
            <w:pPr>
              <w:spacing w:line="360" w:lineRule="auto"/>
              <w:jc w:val="both"/>
              <w:rPr>
                <w:rFonts w:ascii="Book Antiqua" w:eastAsia="Calibri" w:hAnsi="Book Antiqua" w:cs="Arial"/>
                <w:color w:val="000000"/>
              </w:rPr>
            </w:pPr>
            <w:r w:rsidRPr="00696F41">
              <w:rPr>
                <w:rFonts w:ascii="Book Antiqua" w:eastAsia="Calibri" w:hAnsi="Book Antiqua" w:cs="Arial"/>
                <w:color w:val="000000"/>
              </w:rPr>
              <w:t>0.004</w:t>
            </w:r>
            <w:r w:rsidRPr="00696F41">
              <w:rPr>
                <w:rFonts w:ascii="Book Antiqua" w:eastAsia="Calibri" w:hAnsi="Book Antiqua" w:cs="Arial"/>
                <w:color w:val="000000"/>
                <w:vertAlign w:val="superscript"/>
              </w:rPr>
              <w:t>a</w:t>
            </w:r>
          </w:p>
        </w:tc>
        <w:tc>
          <w:tcPr>
            <w:tcW w:w="451" w:type="pct"/>
            <w:vMerge/>
          </w:tcPr>
          <w:p w14:paraId="2CE6DFFD" w14:textId="77777777" w:rsidR="00883011" w:rsidRPr="00696F41" w:rsidRDefault="00883011" w:rsidP="00E95A64">
            <w:pPr>
              <w:spacing w:line="360" w:lineRule="auto"/>
              <w:jc w:val="both"/>
              <w:rPr>
                <w:rFonts w:ascii="Book Antiqua" w:eastAsia="Calibri" w:hAnsi="Book Antiqua" w:cs="Arial"/>
                <w:color w:val="000000"/>
              </w:rPr>
            </w:pPr>
          </w:p>
        </w:tc>
      </w:tr>
      <w:tr w:rsidR="00883011" w:rsidRPr="00696F41" w14:paraId="0F2E71D3" w14:textId="77777777" w:rsidTr="005D76C3">
        <w:tc>
          <w:tcPr>
            <w:tcW w:w="1514" w:type="pct"/>
            <w:shd w:val="clear" w:color="auto" w:fill="auto"/>
          </w:tcPr>
          <w:p w14:paraId="15DCDA52" w14:textId="77777777" w:rsidR="00883011" w:rsidRPr="00696F41" w:rsidRDefault="00883011" w:rsidP="00E95A64">
            <w:pPr>
              <w:spacing w:line="360" w:lineRule="auto"/>
              <w:jc w:val="both"/>
              <w:rPr>
                <w:rFonts w:ascii="Book Antiqua" w:eastAsia="Calibri" w:hAnsi="Book Antiqua" w:cs="Arial"/>
                <w:color w:val="000000"/>
              </w:rPr>
            </w:pPr>
            <w:r w:rsidRPr="00696F41">
              <w:rPr>
                <w:rFonts w:ascii="Book Antiqua" w:eastAsia="Calibri" w:hAnsi="Book Antiqua" w:cs="Arial"/>
                <w:color w:val="000000"/>
              </w:rPr>
              <w:t>Visit 4 (week 4)</w:t>
            </w:r>
          </w:p>
        </w:tc>
        <w:tc>
          <w:tcPr>
            <w:tcW w:w="1136" w:type="pct"/>
            <w:shd w:val="clear" w:color="auto" w:fill="auto"/>
          </w:tcPr>
          <w:p w14:paraId="54B02C57" w14:textId="77777777" w:rsidR="00883011" w:rsidRPr="00696F41" w:rsidRDefault="00883011" w:rsidP="00E95A64">
            <w:pPr>
              <w:spacing w:line="360" w:lineRule="auto"/>
              <w:jc w:val="both"/>
              <w:rPr>
                <w:rFonts w:ascii="Book Antiqua" w:eastAsia="Calibri" w:hAnsi="Book Antiqua" w:cs="Arial"/>
                <w:color w:val="000000"/>
              </w:rPr>
            </w:pPr>
            <w:r w:rsidRPr="00696F41">
              <w:rPr>
                <w:rFonts w:ascii="Book Antiqua" w:eastAsia="Calibri" w:hAnsi="Book Antiqua" w:cs="Arial"/>
                <w:color w:val="000000"/>
              </w:rPr>
              <w:t>8.56 (1.53)</w:t>
            </w:r>
          </w:p>
        </w:tc>
        <w:tc>
          <w:tcPr>
            <w:tcW w:w="1451" w:type="pct"/>
            <w:shd w:val="clear" w:color="auto" w:fill="auto"/>
          </w:tcPr>
          <w:p w14:paraId="05A1FA6C" w14:textId="77777777" w:rsidR="00883011" w:rsidRPr="00696F41" w:rsidRDefault="00883011" w:rsidP="00E95A64">
            <w:pPr>
              <w:spacing w:line="360" w:lineRule="auto"/>
              <w:jc w:val="both"/>
              <w:rPr>
                <w:rFonts w:ascii="Book Antiqua" w:eastAsia="Calibri" w:hAnsi="Book Antiqua" w:cs="Arial"/>
                <w:color w:val="000000"/>
              </w:rPr>
            </w:pPr>
            <w:r w:rsidRPr="00696F41">
              <w:rPr>
                <w:rFonts w:ascii="Book Antiqua" w:eastAsia="Calibri" w:hAnsi="Book Antiqua" w:cs="Arial"/>
                <w:color w:val="000000"/>
              </w:rPr>
              <w:t>9.75 (1.33)</w:t>
            </w:r>
          </w:p>
        </w:tc>
        <w:tc>
          <w:tcPr>
            <w:tcW w:w="447" w:type="pct"/>
          </w:tcPr>
          <w:p w14:paraId="3210BB88" w14:textId="77777777" w:rsidR="00883011" w:rsidRPr="00696F41" w:rsidRDefault="00883011" w:rsidP="00E95A64">
            <w:pPr>
              <w:spacing w:line="360" w:lineRule="auto"/>
              <w:jc w:val="both"/>
              <w:rPr>
                <w:rFonts w:ascii="Book Antiqua" w:eastAsia="Calibri" w:hAnsi="Book Antiqua" w:cs="Arial"/>
                <w:color w:val="000000"/>
              </w:rPr>
            </w:pPr>
            <w:r w:rsidRPr="00696F41">
              <w:rPr>
                <w:rFonts w:ascii="Book Antiqua" w:eastAsia="Calibri" w:hAnsi="Book Antiqua" w:cs="Arial"/>
                <w:color w:val="000000"/>
              </w:rPr>
              <w:t>0.034</w:t>
            </w:r>
            <w:r w:rsidRPr="00696F41">
              <w:rPr>
                <w:rFonts w:ascii="Book Antiqua" w:eastAsia="Calibri" w:hAnsi="Book Antiqua" w:cs="Arial"/>
                <w:color w:val="000000"/>
                <w:vertAlign w:val="superscript"/>
              </w:rPr>
              <w:t>a</w:t>
            </w:r>
          </w:p>
        </w:tc>
        <w:tc>
          <w:tcPr>
            <w:tcW w:w="451" w:type="pct"/>
            <w:vMerge/>
          </w:tcPr>
          <w:p w14:paraId="46F71005" w14:textId="77777777" w:rsidR="00883011" w:rsidRPr="00696F41" w:rsidRDefault="00883011" w:rsidP="00E95A64">
            <w:pPr>
              <w:spacing w:line="360" w:lineRule="auto"/>
              <w:jc w:val="both"/>
              <w:rPr>
                <w:rFonts w:ascii="Book Antiqua" w:eastAsia="Calibri" w:hAnsi="Book Antiqua" w:cs="Arial"/>
                <w:color w:val="000000"/>
              </w:rPr>
            </w:pPr>
          </w:p>
        </w:tc>
      </w:tr>
      <w:tr w:rsidR="00883011" w:rsidRPr="00696F41" w14:paraId="0951AA7E" w14:textId="77777777" w:rsidTr="005D76C3">
        <w:tc>
          <w:tcPr>
            <w:tcW w:w="1514" w:type="pct"/>
            <w:shd w:val="clear" w:color="auto" w:fill="auto"/>
          </w:tcPr>
          <w:p w14:paraId="03D1759C" w14:textId="77777777" w:rsidR="00883011" w:rsidRPr="00696F41" w:rsidRDefault="00883011" w:rsidP="00E95A64">
            <w:pPr>
              <w:spacing w:line="360" w:lineRule="auto"/>
              <w:jc w:val="both"/>
              <w:rPr>
                <w:rFonts w:ascii="Book Antiqua" w:eastAsia="Calibri" w:hAnsi="Book Antiqua" w:cs="Arial"/>
                <w:color w:val="000000"/>
              </w:rPr>
            </w:pPr>
            <w:r w:rsidRPr="00696F41">
              <w:rPr>
                <w:rFonts w:ascii="Book Antiqua" w:eastAsia="Calibri" w:hAnsi="Book Antiqua" w:cs="Arial"/>
                <w:color w:val="000000"/>
              </w:rPr>
              <w:t>Visit 5 (week 8)</w:t>
            </w:r>
          </w:p>
        </w:tc>
        <w:tc>
          <w:tcPr>
            <w:tcW w:w="1136" w:type="pct"/>
            <w:shd w:val="clear" w:color="auto" w:fill="auto"/>
          </w:tcPr>
          <w:p w14:paraId="15999FDE" w14:textId="77777777" w:rsidR="00883011" w:rsidRPr="00696F41" w:rsidRDefault="00883011" w:rsidP="00E95A64">
            <w:pPr>
              <w:spacing w:line="360" w:lineRule="auto"/>
              <w:jc w:val="both"/>
              <w:rPr>
                <w:rFonts w:ascii="Book Antiqua" w:eastAsia="Calibri" w:hAnsi="Book Antiqua" w:cs="Arial"/>
                <w:color w:val="000000"/>
              </w:rPr>
            </w:pPr>
            <w:r w:rsidRPr="00696F41">
              <w:rPr>
                <w:rFonts w:ascii="Book Antiqua" w:eastAsia="Calibri" w:hAnsi="Book Antiqua" w:cs="Arial"/>
                <w:color w:val="000000"/>
              </w:rPr>
              <w:t>9.85 (1.40)</w:t>
            </w:r>
          </w:p>
        </w:tc>
        <w:tc>
          <w:tcPr>
            <w:tcW w:w="1451" w:type="pct"/>
            <w:shd w:val="clear" w:color="auto" w:fill="auto"/>
          </w:tcPr>
          <w:p w14:paraId="4196B1FC" w14:textId="77777777" w:rsidR="00883011" w:rsidRPr="00696F41" w:rsidRDefault="00883011" w:rsidP="00E95A64">
            <w:pPr>
              <w:spacing w:line="360" w:lineRule="auto"/>
              <w:jc w:val="both"/>
              <w:rPr>
                <w:rFonts w:ascii="Book Antiqua" w:eastAsia="Calibri" w:hAnsi="Book Antiqua" w:cs="Arial"/>
                <w:color w:val="000000"/>
              </w:rPr>
            </w:pPr>
            <w:r w:rsidRPr="00696F41">
              <w:rPr>
                <w:rFonts w:ascii="Book Antiqua" w:eastAsia="Calibri" w:hAnsi="Book Antiqua" w:cs="Arial"/>
                <w:color w:val="000000"/>
              </w:rPr>
              <w:t>11.00 (1.36)</w:t>
            </w:r>
          </w:p>
        </w:tc>
        <w:tc>
          <w:tcPr>
            <w:tcW w:w="447" w:type="pct"/>
          </w:tcPr>
          <w:p w14:paraId="4D36DC13" w14:textId="77777777" w:rsidR="00883011" w:rsidRPr="00696F41" w:rsidRDefault="00883011" w:rsidP="00E95A64">
            <w:pPr>
              <w:spacing w:line="360" w:lineRule="auto"/>
              <w:jc w:val="both"/>
              <w:rPr>
                <w:rFonts w:ascii="Book Antiqua" w:eastAsia="Calibri" w:hAnsi="Book Antiqua" w:cs="Arial"/>
                <w:color w:val="000000"/>
              </w:rPr>
            </w:pPr>
            <w:r w:rsidRPr="00696F41">
              <w:rPr>
                <w:rFonts w:ascii="Book Antiqua" w:eastAsia="Calibri" w:hAnsi="Book Antiqua" w:cs="Arial"/>
                <w:color w:val="000000"/>
              </w:rPr>
              <w:t>0.035</w:t>
            </w:r>
            <w:r w:rsidRPr="00696F41">
              <w:rPr>
                <w:rFonts w:ascii="Book Antiqua" w:eastAsia="Calibri" w:hAnsi="Book Antiqua" w:cs="Arial"/>
                <w:color w:val="000000"/>
                <w:vertAlign w:val="superscript"/>
              </w:rPr>
              <w:t>a</w:t>
            </w:r>
          </w:p>
        </w:tc>
        <w:tc>
          <w:tcPr>
            <w:tcW w:w="451" w:type="pct"/>
            <w:vMerge/>
          </w:tcPr>
          <w:p w14:paraId="4CA5A256" w14:textId="77777777" w:rsidR="00883011" w:rsidRPr="00696F41" w:rsidRDefault="00883011" w:rsidP="00E95A64">
            <w:pPr>
              <w:spacing w:line="360" w:lineRule="auto"/>
              <w:jc w:val="both"/>
              <w:rPr>
                <w:rFonts w:ascii="Book Antiqua" w:eastAsia="Calibri" w:hAnsi="Book Antiqua" w:cs="Arial"/>
                <w:color w:val="000000"/>
              </w:rPr>
            </w:pPr>
          </w:p>
        </w:tc>
      </w:tr>
      <w:tr w:rsidR="00883011" w:rsidRPr="00696F41" w14:paraId="1F73414E" w14:textId="77777777" w:rsidTr="005D76C3">
        <w:trPr>
          <w:trHeight w:val="51"/>
        </w:trPr>
        <w:tc>
          <w:tcPr>
            <w:tcW w:w="1514" w:type="pct"/>
            <w:shd w:val="clear" w:color="auto" w:fill="auto"/>
          </w:tcPr>
          <w:p w14:paraId="1D0650CF" w14:textId="77777777" w:rsidR="00883011" w:rsidRPr="00696F41" w:rsidRDefault="00883011" w:rsidP="00E95A64">
            <w:pPr>
              <w:spacing w:line="360" w:lineRule="auto"/>
              <w:jc w:val="both"/>
              <w:rPr>
                <w:rFonts w:ascii="Book Antiqua" w:eastAsia="Calibri" w:hAnsi="Book Antiqua" w:cs="Arial"/>
                <w:color w:val="000000"/>
              </w:rPr>
            </w:pPr>
            <w:r w:rsidRPr="00696F41">
              <w:rPr>
                <w:rFonts w:ascii="Book Antiqua" w:eastAsia="Calibri" w:hAnsi="Book Antiqua" w:cs="Arial"/>
                <w:color w:val="000000"/>
              </w:rPr>
              <w:t>Visit 6 (week 12)</w:t>
            </w:r>
          </w:p>
        </w:tc>
        <w:tc>
          <w:tcPr>
            <w:tcW w:w="1136" w:type="pct"/>
            <w:shd w:val="clear" w:color="auto" w:fill="auto"/>
          </w:tcPr>
          <w:p w14:paraId="1656CF0C" w14:textId="77777777" w:rsidR="00883011" w:rsidRPr="00696F41" w:rsidRDefault="00883011" w:rsidP="00E95A64">
            <w:pPr>
              <w:spacing w:line="360" w:lineRule="auto"/>
              <w:jc w:val="both"/>
              <w:rPr>
                <w:rFonts w:ascii="Book Antiqua" w:eastAsia="Calibri" w:hAnsi="Book Antiqua" w:cs="Arial"/>
                <w:color w:val="000000"/>
              </w:rPr>
            </w:pPr>
            <w:r w:rsidRPr="00696F41">
              <w:rPr>
                <w:rFonts w:ascii="Book Antiqua" w:eastAsia="Calibri" w:hAnsi="Book Antiqua" w:cs="Arial"/>
                <w:color w:val="000000"/>
              </w:rPr>
              <w:t>10.04 (1.73)</w:t>
            </w:r>
          </w:p>
        </w:tc>
        <w:tc>
          <w:tcPr>
            <w:tcW w:w="1451" w:type="pct"/>
            <w:shd w:val="clear" w:color="auto" w:fill="auto"/>
          </w:tcPr>
          <w:p w14:paraId="1B51BB88" w14:textId="77777777" w:rsidR="00883011" w:rsidRPr="00696F41" w:rsidRDefault="00883011" w:rsidP="00E95A64">
            <w:pPr>
              <w:spacing w:line="360" w:lineRule="auto"/>
              <w:jc w:val="both"/>
              <w:rPr>
                <w:rFonts w:ascii="Book Antiqua" w:eastAsia="Calibri" w:hAnsi="Book Antiqua" w:cs="Arial"/>
                <w:color w:val="000000"/>
              </w:rPr>
            </w:pPr>
            <w:r w:rsidRPr="00696F41">
              <w:rPr>
                <w:rFonts w:ascii="Book Antiqua" w:eastAsia="Calibri" w:hAnsi="Book Antiqua" w:cs="Arial"/>
                <w:color w:val="000000"/>
              </w:rPr>
              <w:t>11.80 (1.39)</w:t>
            </w:r>
          </w:p>
        </w:tc>
        <w:tc>
          <w:tcPr>
            <w:tcW w:w="447" w:type="pct"/>
          </w:tcPr>
          <w:p w14:paraId="2993FE6A" w14:textId="77777777" w:rsidR="00883011" w:rsidRPr="00696F41" w:rsidRDefault="00883011" w:rsidP="00E95A64">
            <w:pPr>
              <w:spacing w:line="360" w:lineRule="auto"/>
              <w:jc w:val="both"/>
              <w:rPr>
                <w:rFonts w:ascii="Book Antiqua" w:eastAsia="Calibri" w:hAnsi="Book Antiqua" w:cs="Arial"/>
                <w:color w:val="000000"/>
              </w:rPr>
            </w:pPr>
            <w:bookmarkStart w:id="6" w:name="_Hlk497679734"/>
            <w:r w:rsidRPr="00696F41">
              <w:rPr>
                <w:rFonts w:ascii="Book Antiqua" w:eastAsia="Calibri" w:hAnsi="Book Antiqua" w:cs="Arial"/>
                <w:color w:val="000000"/>
              </w:rPr>
              <w:t>0.005</w:t>
            </w:r>
            <w:bookmarkEnd w:id="6"/>
            <w:r w:rsidRPr="00696F41">
              <w:rPr>
                <w:rFonts w:ascii="Book Antiqua" w:eastAsia="Calibri" w:hAnsi="Book Antiqua" w:cs="Arial"/>
                <w:color w:val="000000"/>
                <w:vertAlign w:val="superscript"/>
              </w:rPr>
              <w:t>a</w:t>
            </w:r>
          </w:p>
        </w:tc>
        <w:tc>
          <w:tcPr>
            <w:tcW w:w="451" w:type="pct"/>
            <w:vMerge/>
          </w:tcPr>
          <w:p w14:paraId="2D93F037" w14:textId="77777777" w:rsidR="00883011" w:rsidRPr="00696F41" w:rsidRDefault="00883011" w:rsidP="00E95A64">
            <w:pPr>
              <w:spacing w:line="360" w:lineRule="auto"/>
              <w:jc w:val="both"/>
              <w:rPr>
                <w:rFonts w:ascii="Book Antiqua" w:eastAsia="Calibri" w:hAnsi="Book Antiqua" w:cs="Arial"/>
                <w:color w:val="000000"/>
              </w:rPr>
            </w:pPr>
          </w:p>
        </w:tc>
      </w:tr>
    </w:tbl>
    <w:p w14:paraId="7C19E541" w14:textId="30422CC1" w:rsidR="00582295" w:rsidRPr="00582295" w:rsidRDefault="00582295" w:rsidP="00941C6B">
      <w:pPr>
        <w:spacing w:line="360" w:lineRule="auto"/>
        <w:jc w:val="both"/>
        <w:rPr>
          <w:rFonts w:ascii="Book Antiqua" w:hAnsi="Book Antiqua"/>
        </w:rPr>
      </w:pPr>
      <w:r w:rsidRPr="00696F41">
        <w:rPr>
          <w:rFonts w:ascii="Book Antiqua" w:hAnsi="Book Antiqua"/>
        </w:rPr>
        <w:t xml:space="preserve">Data were presented as mean (standard deviation). </w:t>
      </w:r>
    </w:p>
    <w:p w14:paraId="3A6A9312" w14:textId="18A0FE6C" w:rsidR="00675ED1" w:rsidRPr="00696F41" w:rsidRDefault="00941C6B" w:rsidP="00941C6B">
      <w:pPr>
        <w:spacing w:line="360" w:lineRule="auto"/>
        <w:jc w:val="both"/>
        <w:rPr>
          <w:rFonts w:ascii="Book Antiqua" w:hAnsi="Book Antiqua" w:cs="Arial"/>
          <w:color w:val="000000"/>
          <w:lang w:eastAsia="zh-CN"/>
        </w:rPr>
      </w:pPr>
      <w:r w:rsidRPr="00696F41">
        <w:rPr>
          <w:rFonts w:ascii="Book Antiqua" w:eastAsia="Calibri" w:hAnsi="Book Antiqua" w:cs="Arial"/>
          <w:color w:val="000000"/>
          <w:vertAlign w:val="superscript"/>
        </w:rPr>
        <w:t>a</w:t>
      </w:r>
      <w:bookmarkEnd w:id="4"/>
      <w:r w:rsidRPr="00696F41">
        <w:rPr>
          <w:rFonts w:ascii="Book Antiqua" w:eastAsia="Calibri" w:hAnsi="Book Antiqua" w:cs="Arial"/>
          <w:color w:val="000000"/>
        </w:rPr>
        <w:t xml:space="preserve">Repeated measure ANOVA comparing </w:t>
      </w:r>
      <w:r w:rsidRPr="00696F41">
        <w:rPr>
          <w:rFonts w:ascii="Book Antiqua" w:hAnsi="Book Antiqua" w:cs="Book Antiqua"/>
          <w:color w:val="000000"/>
          <w:lang w:eastAsia="zh-CN"/>
        </w:rPr>
        <w:t>h</w:t>
      </w:r>
      <w:r w:rsidRPr="00696F41">
        <w:rPr>
          <w:rFonts w:ascii="Book Antiqua" w:eastAsia="Book Antiqua" w:hAnsi="Book Antiqua" w:cs="Book Antiqua"/>
          <w:color w:val="000000"/>
        </w:rPr>
        <w:t>emoglobin</w:t>
      </w:r>
      <w:r w:rsidRPr="00696F41">
        <w:rPr>
          <w:rFonts w:ascii="Book Antiqua" w:eastAsia="Calibri" w:hAnsi="Book Antiqua" w:cs="Arial"/>
          <w:color w:val="000000"/>
        </w:rPr>
        <w:t xml:space="preserve"> </w:t>
      </w:r>
      <w:r w:rsidRPr="00696F41">
        <w:rPr>
          <w:rFonts w:ascii="Book Antiqua" w:hAnsi="Book Antiqua" w:cs="Arial"/>
          <w:color w:val="000000"/>
          <w:lang w:eastAsia="zh-CN"/>
        </w:rPr>
        <w:t>(</w:t>
      </w:r>
      <w:r w:rsidRPr="00696F41">
        <w:rPr>
          <w:rFonts w:ascii="Book Antiqua" w:eastAsia="Calibri" w:hAnsi="Book Antiqua" w:cs="Arial"/>
          <w:color w:val="000000"/>
        </w:rPr>
        <w:t>Hb</w:t>
      </w:r>
      <w:r w:rsidRPr="00696F41">
        <w:rPr>
          <w:rFonts w:ascii="Book Antiqua" w:hAnsi="Book Antiqua" w:cs="Arial"/>
          <w:color w:val="000000"/>
          <w:lang w:eastAsia="zh-CN"/>
        </w:rPr>
        <w:t>)</w:t>
      </w:r>
      <w:r w:rsidRPr="00696F41">
        <w:rPr>
          <w:rFonts w:ascii="Book Antiqua" w:eastAsia="Calibri" w:hAnsi="Book Antiqua" w:cs="Arial"/>
          <w:color w:val="000000"/>
        </w:rPr>
        <w:t xml:space="preserve"> level between patients with and without infection within each visit</w:t>
      </w:r>
      <w:r w:rsidR="00D4431C">
        <w:rPr>
          <w:rFonts w:ascii="宋体" w:eastAsia="宋体" w:hAnsi="宋体" w:cs="宋体" w:hint="eastAsia"/>
          <w:color w:val="000000"/>
          <w:lang w:eastAsia="zh-CN"/>
        </w:rPr>
        <w:t>.</w:t>
      </w:r>
    </w:p>
    <w:p w14:paraId="105DAD6E" w14:textId="2F621079" w:rsidR="00941C6B" w:rsidRPr="00696F41" w:rsidRDefault="00941C6B" w:rsidP="00941C6B">
      <w:pPr>
        <w:spacing w:line="360" w:lineRule="auto"/>
        <w:jc w:val="both"/>
        <w:rPr>
          <w:rFonts w:ascii="Book Antiqua" w:eastAsia="Calibri" w:hAnsi="Book Antiqua" w:cs="Arial"/>
          <w:color w:val="000000"/>
        </w:rPr>
      </w:pPr>
      <w:r w:rsidRPr="00696F41">
        <w:rPr>
          <w:rFonts w:ascii="Book Antiqua" w:eastAsia="Calibri" w:hAnsi="Book Antiqua" w:cs="Arial"/>
          <w:color w:val="000000"/>
          <w:vertAlign w:val="superscript"/>
        </w:rPr>
        <w:t>b</w:t>
      </w:r>
      <w:bookmarkEnd w:id="5"/>
      <w:r w:rsidRPr="00696F41">
        <w:rPr>
          <w:rFonts w:ascii="Book Antiqua" w:eastAsia="Calibri" w:hAnsi="Book Antiqua" w:cs="Arial"/>
          <w:color w:val="000000"/>
        </w:rPr>
        <w:t xml:space="preserve">Repeated measure ANOVA testing the effect of infection on overall Hb level. </w:t>
      </w:r>
    </w:p>
    <w:p w14:paraId="601EB9F6" w14:textId="77777777" w:rsidR="00B20B1F" w:rsidRPr="00696F41" w:rsidRDefault="00B20B1F" w:rsidP="00941C6B">
      <w:pPr>
        <w:spacing w:line="360" w:lineRule="auto"/>
        <w:jc w:val="both"/>
        <w:rPr>
          <w:rFonts w:ascii="Book Antiqua" w:hAnsi="Book Antiqua" w:cs="Book Antiqua"/>
          <w:lang w:eastAsia="zh-CN"/>
        </w:rPr>
      </w:pPr>
    </w:p>
    <w:p w14:paraId="60C4C5C6" w14:textId="726F1789" w:rsidR="00DA4CF0" w:rsidRPr="00696F41" w:rsidRDefault="00941C6B" w:rsidP="00941C6B">
      <w:pPr>
        <w:keepNext/>
        <w:spacing w:line="360" w:lineRule="auto"/>
        <w:jc w:val="both"/>
        <w:outlineLvl w:val="0"/>
        <w:rPr>
          <w:rFonts w:ascii="Book Antiqua" w:eastAsia="Book Antiqua" w:hAnsi="Book Antiqua"/>
          <w:b/>
          <w:color w:val="000000"/>
        </w:rPr>
      </w:pPr>
      <w:r w:rsidRPr="00696F41">
        <w:rPr>
          <w:rFonts w:ascii="Book Antiqua" w:eastAsia="Book Antiqua" w:hAnsi="Book Antiqua" w:cs="Book Antiqua"/>
        </w:rPr>
        <w:br w:type="page"/>
      </w:r>
      <w:r w:rsidRPr="00696F41">
        <w:rPr>
          <w:rFonts w:ascii="Book Antiqua" w:eastAsia="Book Antiqua" w:hAnsi="Book Antiqua"/>
          <w:b/>
          <w:bCs/>
          <w:color w:val="000000"/>
        </w:rPr>
        <w:lastRenderedPageBreak/>
        <w:t>Table 5</w:t>
      </w:r>
      <w:r w:rsidRPr="00696F41">
        <w:rPr>
          <w:rFonts w:ascii="Book Antiqua" w:eastAsia="Book Antiqua" w:hAnsi="Book Antiqua"/>
          <w:color w:val="000000"/>
        </w:rPr>
        <w:t xml:space="preserve"> </w:t>
      </w:r>
      <w:r w:rsidRPr="00696F41">
        <w:rPr>
          <w:rFonts w:ascii="Book Antiqua" w:eastAsia="Book Antiqua" w:hAnsi="Book Antiqua"/>
          <w:b/>
          <w:color w:val="000000"/>
        </w:rPr>
        <w:t xml:space="preserve">Comparisons of </w:t>
      </w:r>
      <w:r w:rsidRPr="00696F41">
        <w:rPr>
          <w:rFonts w:ascii="Book Antiqua" w:hAnsi="Book Antiqua"/>
          <w:b/>
          <w:lang w:eastAsia="zh-CN"/>
        </w:rPr>
        <w:t>k</w:t>
      </w:r>
      <w:r w:rsidRPr="00696F41">
        <w:rPr>
          <w:rFonts w:ascii="Book Antiqua" w:hAnsi="Book Antiqua"/>
          <w:b/>
        </w:rPr>
        <w:t>idney disease quality of life instrument</w:t>
      </w:r>
      <w:r w:rsidRPr="00696F41">
        <w:rPr>
          <w:rFonts w:ascii="Book Antiqua" w:eastAsia="Book Antiqua" w:hAnsi="Book Antiqua"/>
          <w:b/>
          <w:color w:val="000000"/>
        </w:rPr>
        <w:t>–36 scores at baseline and week 12 (</w:t>
      </w:r>
      <w:r w:rsidRPr="00696F41">
        <w:rPr>
          <w:rFonts w:ascii="Book Antiqua" w:eastAsia="Book Antiqua" w:hAnsi="Book Antiqua"/>
          <w:b/>
          <w:i/>
          <w:color w:val="000000"/>
        </w:rPr>
        <w:t>n</w:t>
      </w:r>
      <w:r w:rsidRPr="00696F41">
        <w:rPr>
          <w:rFonts w:ascii="Book Antiqua" w:eastAsia="Book Antiqua" w:hAnsi="Book Antiqua"/>
          <w:b/>
          <w:color w:val="000000"/>
        </w:rPr>
        <w:t xml:space="preserve"> = 30)</w:t>
      </w:r>
    </w:p>
    <w:tbl>
      <w:tblPr>
        <w:tblW w:w="5000" w:type="pct"/>
        <w:tblLook w:val="04A0" w:firstRow="1" w:lastRow="0" w:firstColumn="1" w:lastColumn="0" w:noHBand="0" w:noVBand="1"/>
      </w:tblPr>
      <w:tblGrid>
        <w:gridCol w:w="2880"/>
        <w:gridCol w:w="786"/>
        <w:gridCol w:w="797"/>
        <w:gridCol w:w="829"/>
        <w:gridCol w:w="857"/>
        <w:gridCol w:w="985"/>
        <w:gridCol w:w="1114"/>
        <w:gridCol w:w="1112"/>
      </w:tblGrid>
      <w:tr w:rsidR="004F2C5C" w:rsidRPr="00696F41" w14:paraId="490B4EA4" w14:textId="5511CC5E" w:rsidTr="004F2C5C">
        <w:tc>
          <w:tcPr>
            <w:tcW w:w="1538" w:type="pct"/>
            <w:tcBorders>
              <w:top w:val="single" w:sz="4" w:space="0" w:color="auto"/>
              <w:bottom w:val="single" w:sz="4" w:space="0" w:color="auto"/>
            </w:tcBorders>
            <w:shd w:val="clear" w:color="auto" w:fill="auto"/>
          </w:tcPr>
          <w:p w14:paraId="724E6DDD" w14:textId="6D131243" w:rsidR="004F2C5C" w:rsidRPr="00696F41" w:rsidRDefault="004F2C5C" w:rsidP="00A15899">
            <w:pPr>
              <w:spacing w:line="360" w:lineRule="auto"/>
              <w:jc w:val="both"/>
              <w:rPr>
                <w:rFonts w:ascii="Book Antiqua" w:eastAsia="Calibri" w:hAnsi="Book Antiqua" w:cs="Angsana New"/>
                <w:b/>
                <w:bCs/>
                <w:color w:val="000000"/>
              </w:rPr>
            </w:pPr>
            <w:r w:rsidRPr="00696F41">
              <w:rPr>
                <w:rFonts w:ascii="Book Antiqua" w:eastAsia="Calibri" w:hAnsi="Book Antiqua" w:cs="Angsana New"/>
                <w:b/>
                <w:bCs/>
                <w:color w:val="000000"/>
              </w:rPr>
              <w:t>Parameter</w:t>
            </w:r>
          </w:p>
        </w:tc>
        <w:tc>
          <w:tcPr>
            <w:tcW w:w="846" w:type="pct"/>
            <w:gridSpan w:val="2"/>
            <w:tcBorders>
              <w:top w:val="single" w:sz="4" w:space="0" w:color="auto"/>
              <w:bottom w:val="single" w:sz="4" w:space="0" w:color="auto"/>
            </w:tcBorders>
            <w:shd w:val="clear" w:color="auto" w:fill="auto"/>
          </w:tcPr>
          <w:p w14:paraId="55D99F80" w14:textId="6C8FD5E0" w:rsidR="004F2C5C" w:rsidRPr="005F7902" w:rsidRDefault="004F2C5C" w:rsidP="00A15899">
            <w:pPr>
              <w:spacing w:line="360" w:lineRule="auto"/>
              <w:jc w:val="both"/>
              <w:rPr>
                <w:rFonts w:ascii="Book Antiqua" w:hAnsi="Book Antiqua" w:cs="Angsana New"/>
                <w:b/>
                <w:bCs/>
                <w:iCs/>
                <w:color w:val="000000"/>
                <w:lang w:eastAsia="zh-CN"/>
              </w:rPr>
            </w:pPr>
            <w:r w:rsidRPr="005F7902">
              <w:rPr>
                <w:rFonts w:ascii="Book Antiqua" w:hAnsi="Book Antiqua" w:cs="Angsana New"/>
                <w:b/>
                <w:bCs/>
                <w:iCs/>
                <w:color w:val="000000"/>
                <w:lang w:eastAsia="zh-CN"/>
              </w:rPr>
              <w:t>Week 0</w:t>
            </w:r>
          </w:p>
        </w:tc>
        <w:tc>
          <w:tcPr>
            <w:tcW w:w="901" w:type="pct"/>
            <w:gridSpan w:val="2"/>
            <w:tcBorders>
              <w:top w:val="single" w:sz="4" w:space="0" w:color="auto"/>
              <w:bottom w:val="single" w:sz="4" w:space="0" w:color="auto"/>
            </w:tcBorders>
          </w:tcPr>
          <w:p w14:paraId="31451CDA" w14:textId="1EA25C67" w:rsidR="004F2C5C" w:rsidRPr="005F7902" w:rsidRDefault="004F2C5C" w:rsidP="00A15899">
            <w:pPr>
              <w:spacing w:line="360" w:lineRule="auto"/>
              <w:jc w:val="both"/>
              <w:rPr>
                <w:rFonts w:ascii="Book Antiqua" w:hAnsi="Book Antiqua" w:cs="Angsana New"/>
                <w:b/>
                <w:bCs/>
                <w:iCs/>
                <w:color w:val="000000"/>
                <w:lang w:eastAsia="zh-CN"/>
              </w:rPr>
            </w:pPr>
            <w:r w:rsidRPr="005F7902">
              <w:rPr>
                <w:rFonts w:ascii="Book Antiqua" w:hAnsi="Book Antiqua" w:cs="Angsana New"/>
                <w:b/>
                <w:bCs/>
                <w:iCs/>
                <w:color w:val="000000"/>
                <w:lang w:eastAsia="zh-CN"/>
              </w:rPr>
              <w:t>Week 12</w:t>
            </w:r>
          </w:p>
        </w:tc>
        <w:tc>
          <w:tcPr>
            <w:tcW w:w="1121" w:type="pct"/>
            <w:gridSpan w:val="2"/>
            <w:tcBorders>
              <w:top w:val="single" w:sz="4" w:space="0" w:color="auto"/>
              <w:bottom w:val="single" w:sz="4" w:space="0" w:color="auto"/>
            </w:tcBorders>
          </w:tcPr>
          <w:p w14:paraId="06E87922" w14:textId="263EA1BC" w:rsidR="004F2C5C" w:rsidRPr="00696F41" w:rsidRDefault="004F2C5C" w:rsidP="00A15899">
            <w:pPr>
              <w:spacing w:line="360" w:lineRule="auto"/>
              <w:jc w:val="both"/>
              <w:rPr>
                <w:rFonts w:ascii="Book Antiqua" w:hAnsi="Book Antiqua" w:cs="Angsana New"/>
                <w:b/>
                <w:bCs/>
                <w:i/>
                <w:color w:val="000000"/>
                <w:lang w:eastAsia="zh-CN"/>
              </w:rPr>
            </w:pPr>
            <w:r w:rsidRPr="005F7902">
              <w:rPr>
                <w:rFonts w:ascii="Book Antiqua" w:hAnsi="Book Antiqua" w:cs="Angsana New"/>
                <w:b/>
                <w:bCs/>
                <w:iCs/>
                <w:color w:val="000000"/>
                <w:lang w:eastAsia="zh-CN"/>
              </w:rPr>
              <w:t>∆</w:t>
            </w:r>
          </w:p>
        </w:tc>
        <w:tc>
          <w:tcPr>
            <w:tcW w:w="594" w:type="pct"/>
            <w:tcBorders>
              <w:top w:val="single" w:sz="4" w:space="0" w:color="auto"/>
              <w:bottom w:val="single" w:sz="4" w:space="0" w:color="auto"/>
            </w:tcBorders>
          </w:tcPr>
          <w:p w14:paraId="26DA1D39" w14:textId="2F28C943" w:rsidR="004F2C5C" w:rsidRPr="005F7902" w:rsidRDefault="004F2C5C" w:rsidP="00A15899">
            <w:pPr>
              <w:spacing w:line="360" w:lineRule="auto"/>
              <w:jc w:val="both"/>
              <w:rPr>
                <w:rFonts w:ascii="Book Antiqua" w:hAnsi="Book Antiqua" w:cs="Angsana New"/>
                <w:b/>
                <w:i/>
                <w:iCs/>
                <w:color w:val="000000"/>
                <w:lang w:eastAsia="zh-CN"/>
              </w:rPr>
            </w:pPr>
            <w:r w:rsidRPr="005F7902">
              <w:rPr>
                <w:rFonts w:ascii="Book Antiqua" w:hAnsi="Book Antiqua" w:cs="Angsana New"/>
                <w:b/>
                <w:i/>
                <w:iCs/>
                <w:color w:val="000000"/>
                <w:lang w:eastAsia="zh-CN"/>
              </w:rPr>
              <w:t>P</w:t>
            </w:r>
            <w:r w:rsidRPr="005F7902">
              <w:rPr>
                <w:rFonts w:ascii="Book Antiqua" w:hAnsi="Book Antiqua" w:cs="Angsana New"/>
                <w:b/>
                <w:color w:val="000000"/>
                <w:lang w:eastAsia="zh-CN"/>
              </w:rPr>
              <w:t xml:space="preserve"> value</w:t>
            </w:r>
            <w:r w:rsidRPr="00696F41">
              <w:rPr>
                <w:rFonts w:ascii="Book Antiqua" w:hAnsi="Book Antiqua" w:cs="Angsana New"/>
                <w:b/>
                <w:bCs/>
                <w:iCs/>
                <w:color w:val="000000"/>
                <w:vertAlign w:val="superscript"/>
                <w:lang w:eastAsia="zh-CN"/>
              </w:rPr>
              <w:t>1</w:t>
            </w:r>
          </w:p>
        </w:tc>
      </w:tr>
      <w:tr w:rsidR="003D7937" w:rsidRPr="00696F41" w14:paraId="7C052A8F" w14:textId="189FDCD7" w:rsidTr="003D7937">
        <w:tc>
          <w:tcPr>
            <w:tcW w:w="1538" w:type="pct"/>
            <w:tcBorders>
              <w:top w:val="single" w:sz="4" w:space="0" w:color="auto"/>
            </w:tcBorders>
            <w:shd w:val="clear" w:color="auto" w:fill="auto"/>
          </w:tcPr>
          <w:p w14:paraId="51D4CD3B" w14:textId="518E5F3E" w:rsidR="003D7937" w:rsidRPr="00696F41" w:rsidRDefault="003D7937" w:rsidP="00A25079">
            <w:pPr>
              <w:spacing w:line="360" w:lineRule="auto"/>
              <w:jc w:val="both"/>
              <w:rPr>
                <w:rFonts w:ascii="Book Antiqua" w:eastAsia="Calibri" w:hAnsi="Book Antiqua" w:cs="Angsana New"/>
                <w:color w:val="000000"/>
              </w:rPr>
            </w:pPr>
            <w:r w:rsidRPr="00696F41">
              <w:t>SF-12 scores</w:t>
            </w:r>
          </w:p>
        </w:tc>
        <w:tc>
          <w:tcPr>
            <w:tcW w:w="2868" w:type="pct"/>
            <w:gridSpan w:val="6"/>
            <w:tcBorders>
              <w:top w:val="single" w:sz="4" w:space="0" w:color="auto"/>
            </w:tcBorders>
            <w:shd w:val="clear" w:color="auto" w:fill="auto"/>
          </w:tcPr>
          <w:p w14:paraId="6A4AEF0E" w14:textId="01DB9C4F" w:rsidR="003D7937" w:rsidRPr="00696F41" w:rsidRDefault="003D7937" w:rsidP="00A25079">
            <w:pPr>
              <w:spacing w:line="360" w:lineRule="auto"/>
              <w:jc w:val="both"/>
              <w:rPr>
                <w:rFonts w:ascii="Book Antiqua" w:eastAsia="Calibri" w:hAnsi="Book Antiqua" w:cs="Angsana New"/>
                <w:color w:val="000000"/>
              </w:rPr>
            </w:pPr>
          </w:p>
        </w:tc>
        <w:tc>
          <w:tcPr>
            <w:tcW w:w="594" w:type="pct"/>
            <w:tcBorders>
              <w:top w:val="single" w:sz="4" w:space="0" w:color="auto"/>
            </w:tcBorders>
          </w:tcPr>
          <w:p w14:paraId="47E7E25F" w14:textId="77777777" w:rsidR="003D7937" w:rsidRPr="00696F41" w:rsidRDefault="003D7937" w:rsidP="00A25079">
            <w:pPr>
              <w:spacing w:line="360" w:lineRule="auto"/>
              <w:jc w:val="both"/>
              <w:rPr>
                <w:rFonts w:ascii="Book Antiqua" w:eastAsia="Calibri" w:hAnsi="Book Antiqua" w:cs="Angsana New"/>
                <w:color w:val="000000"/>
              </w:rPr>
            </w:pPr>
          </w:p>
        </w:tc>
      </w:tr>
      <w:tr w:rsidR="003D7937" w:rsidRPr="00696F41" w14:paraId="68E88FC0" w14:textId="25E42E2E" w:rsidTr="003D7937">
        <w:tc>
          <w:tcPr>
            <w:tcW w:w="1538" w:type="pct"/>
            <w:shd w:val="clear" w:color="auto" w:fill="auto"/>
          </w:tcPr>
          <w:p w14:paraId="6D3EAF40" w14:textId="421024F5" w:rsidR="003D7937" w:rsidRPr="00696F41" w:rsidRDefault="003D7937" w:rsidP="003D7937">
            <w:pPr>
              <w:spacing w:line="360" w:lineRule="auto"/>
              <w:jc w:val="both"/>
              <w:rPr>
                <w:rFonts w:ascii="Book Antiqua" w:eastAsia="Calibri" w:hAnsi="Book Antiqua" w:cs="Angsana New"/>
                <w:color w:val="000000"/>
              </w:rPr>
            </w:pPr>
            <w:r w:rsidRPr="00696F41">
              <w:t>Physical health composite</w:t>
            </w:r>
          </w:p>
        </w:tc>
        <w:tc>
          <w:tcPr>
            <w:tcW w:w="420" w:type="pct"/>
            <w:shd w:val="clear" w:color="auto" w:fill="auto"/>
          </w:tcPr>
          <w:p w14:paraId="18D61B78" w14:textId="12BC1401" w:rsidR="003D7937" w:rsidRPr="00696F41" w:rsidRDefault="003D7937" w:rsidP="003D7937">
            <w:pPr>
              <w:spacing w:line="360" w:lineRule="auto"/>
              <w:jc w:val="both"/>
              <w:rPr>
                <w:rFonts w:ascii="Book Antiqua" w:eastAsia="Calibri" w:hAnsi="Book Antiqua" w:cs="Angsana New"/>
                <w:color w:val="000000"/>
              </w:rPr>
            </w:pPr>
            <w:r w:rsidRPr="00696F41">
              <w:t>36.8</w:t>
            </w:r>
          </w:p>
        </w:tc>
        <w:tc>
          <w:tcPr>
            <w:tcW w:w="426" w:type="pct"/>
          </w:tcPr>
          <w:p w14:paraId="6C1BDD00" w14:textId="0B50A48E" w:rsidR="003D7937" w:rsidRPr="00696F41" w:rsidRDefault="003D7937" w:rsidP="003D7937">
            <w:pPr>
              <w:spacing w:line="360" w:lineRule="auto"/>
              <w:jc w:val="both"/>
              <w:rPr>
                <w:rFonts w:ascii="Book Antiqua" w:eastAsia="Calibri" w:hAnsi="Book Antiqua" w:cs="Angsana New"/>
                <w:color w:val="000000"/>
              </w:rPr>
            </w:pPr>
            <w:r w:rsidRPr="00696F41">
              <w:t>(8.2)</w:t>
            </w:r>
          </w:p>
        </w:tc>
        <w:tc>
          <w:tcPr>
            <w:tcW w:w="443" w:type="pct"/>
          </w:tcPr>
          <w:p w14:paraId="6BEB7390" w14:textId="7E11FFF6" w:rsidR="003D7937" w:rsidRPr="00696F41" w:rsidRDefault="003D7937" w:rsidP="003D7937">
            <w:pPr>
              <w:spacing w:line="360" w:lineRule="auto"/>
              <w:jc w:val="both"/>
              <w:rPr>
                <w:rFonts w:ascii="Book Antiqua" w:eastAsia="Calibri" w:hAnsi="Book Antiqua" w:cs="Angsana New"/>
                <w:color w:val="000000"/>
              </w:rPr>
            </w:pPr>
            <w:r w:rsidRPr="00696F41">
              <w:t>41.5</w:t>
            </w:r>
          </w:p>
        </w:tc>
        <w:tc>
          <w:tcPr>
            <w:tcW w:w="458" w:type="pct"/>
          </w:tcPr>
          <w:p w14:paraId="07A5B989" w14:textId="13957A21" w:rsidR="003D7937" w:rsidRPr="00696F41" w:rsidRDefault="003D7937" w:rsidP="003D7937">
            <w:pPr>
              <w:spacing w:line="360" w:lineRule="auto"/>
              <w:jc w:val="both"/>
              <w:rPr>
                <w:rFonts w:ascii="Book Antiqua" w:eastAsia="Calibri" w:hAnsi="Book Antiqua" w:cs="Angsana New"/>
                <w:color w:val="000000"/>
              </w:rPr>
            </w:pPr>
            <w:r w:rsidRPr="00696F41">
              <w:t>(9.8)</w:t>
            </w:r>
          </w:p>
        </w:tc>
        <w:tc>
          <w:tcPr>
            <w:tcW w:w="526" w:type="pct"/>
          </w:tcPr>
          <w:p w14:paraId="7057448D" w14:textId="376CCBE6" w:rsidR="003D7937" w:rsidRPr="00696F41" w:rsidRDefault="003D7937" w:rsidP="003D7937">
            <w:pPr>
              <w:spacing w:line="360" w:lineRule="auto"/>
              <w:jc w:val="both"/>
              <w:rPr>
                <w:rFonts w:ascii="Book Antiqua" w:eastAsia="Calibri" w:hAnsi="Book Antiqua" w:cs="Angsana New"/>
                <w:color w:val="000000"/>
              </w:rPr>
            </w:pPr>
            <w:r w:rsidRPr="00135D27">
              <w:rPr>
                <w:rFonts w:ascii="Book Antiqua" w:eastAsia="Times New Roman" w:hAnsi="Book Antiqua"/>
                <w:color w:val="000000"/>
              </w:rPr>
              <w:t>4.8</w:t>
            </w:r>
          </w:p>
        </w:tc>
        <w:tc>
          <w:tcPr>
            <w:tcW w:w="595" w:type="pct"/>
          </w:tcPr>
          <w:p w14:paraId="43901BB4" w14:textId="489DB720" w:rsidR="003D7937" w:rsidRPr="00696F41" w:rsidRDefault="003D7937" w:rsidP="003D7937">
            <w:pPr>
              <w:spacing w:line="360" w:lineRule="auto"/>
              <w:jc w:val="both"/>
              <w:rPr>
                <w:rFonts w:ascii="Book Antiqua" w:eastAsia="Calibri" w:hAnsi="Book Antiqua" w:cs="Angsana New"/>
                <w:color w:val="000000"/>
              </w:rPr>
            </w:pPr>
            <w:r w:rsidRPr="00696F41">
              <w:t>(8.5)</w:t>
            </w:r>
          </w:p>
        </w:tc>
        <w:tc>
          <w:tcPr>
            <w:tcW w:w="594" w:type="pct"/>
          </w:tcPr>
          <w:p w14:paraId="3DCC621E" w14:textId="4C390D08" w:rsidR="003D7937" w:rsidRPr="00696F41" w:rsidRDefault="003D7937" w:rsidP="003D7937">
            <w:pPr>
              <w:spacing w:line="360" w:lineRule="auto"/>
              <w:jc w:val="both"/>
            </w:pPr>
            <w:r w:rsidRPr="00696F41">
              <w:t>0.004</w:t>
            </w:r>
          </w:p>
        </w:tc>
      </w:tr>
      <w:tr w:rsidR="003D7937" w:rsidRPr="00696F41" w14:paraId="5065B1CE" w14:textId="64DCF6B5" w:rsidTr="003D7937">
        <w:tc>
          <w:tcPr>
            <w:tcW w:w="1538" w:type="pct"/>
            <w:shd w:val="clear" w:color="auto" w:fill="auto"/>
          </w:tcPr>
          <w:p w14:paraId="3CDFABB1" w14:textId="7B6A542C" w:rsidR="003D7937" w:rsidRPr="00696F41" w:rsidRDefault="003D7937" w:rsidP="003D7937">
            <w:pPr>
              <w:spacing w:line="360" w:lineRule="auto"/>
              <w:jc w:val="both"/>
              <w:rPr>
                <w:rFonts w:ascii="Book Antiqua" w:eastAsia="Calibri" w:hAnsi="Book Antiqua" w:cs="Angsana New"/>
                <w:color w:val="000000"/>
              </w:rPr>
            </w:pPr>
            <w:r w:rsidRPr="00696F41">
              <w:t>Mental health composite</w:t>
            </w:r>
          </w:p>
        </w:tc>
        <w:tc>
          <w:tcPr>
            <w:tcW w:w="420" w:type="pct"/>
            <w:shd w:val="clear" w:color="auto" w:fill="auto"/>
          </w:tcPr>
          <w:p w14:paraId="6BCA7133" w14:textId="53D0EF07" w:rsidR="003D7937" w:rsidRPr="00696F41" w:rsidRDefault="003D7937" w:rsidP="003D7937">
            <w:pPr>
              <w:spacing w:line="360" w:lineRule="auto"/>
              <w:jc w:val="both"/>
              <w:rPr>
                <w:rFonts w:ascii="Book Antiqua" w:eastAsia="Calibri" w:hAnsi="Book Antiqua" w:cs="Angsana New"/>
                <w:color w:val="000000"/>
              </w:rPr>
            </w:pPr>
            <w:r w:rsidRPr="00696F41">
              <w:t>41.5</w:t>
            </w:r>
          </w:p>
        </w:tc>
        <w:tc>
          <w:tcPr>
            <w:tcW w:w="426" w:type="pct"/>
          </w:tcPr>
          <w:p w14:paraId="2FBDF0EB" w14:textId="2FC583E6" w:rsidR="003D7937" w:rsidRPr="00696F41" w:rsidRDefault="003D7937" w:rsidP="003D7937">
            <w:pPr>
              <w:spacing w:line="360" w:lineRule="auto"/>
              <w:jc w:val="both"/>
              <w:rPr>
                <w:rFonts w:ascii="Book Antiqua" w:eastAsia="Calibri" w:hAnsi="Book Antiqua" w:cs="Angsana New"/>
                <w:color w:val="000000"/>
              </w:rPr>
            </w:pPr>
            <w:r w:rsidRPr="00696F41">
              <w:t>(9.6)</w:t>
            </w:r>
          </w:p>
        </w:tc>
        <w:tc>
          <w:tcPr>
            <w:tcW w:w="443" w:type="pct"/>
          </w:tcPr>
          <w:p w14:paraId="706D8252" w14:textId="687AFDE8" w:rsidR="003D7937" w:rsidRPr="00696F41" w:rsidRDefault="003D7937" w:rsidP="003D7937">
            <w:pPr>
              <w:spacing w:line="360" w:lineRule="auto"/>
              <w:jc w:val="both"/>
              <w:rPr>
                <w:rFonts w:ascii="Book Antiqua" w:eastAsia="Calibri" w:hAnsi="Book Antiqua" w:cs="Angsana New"/>
                <w:color w:val="000000"/>
              </w:rPr>
            </w:pPr>
            <w:r w:rsidRPr="00696F41">
              <w:t>48.4</w:t>
            </w:r>
          </w:p>
        </w:tc>
        <w:tc>
          <w:tcPr>
            <w:tcW w:w="458" w:type="pct"/>
          </w:tcPr>
          <w:p w14:paraId="46BD9123" w14:textId="516B96C8" w:rsidR="003D7937" w:rsidRPr="00696F41" w:rsidRDefault="003D7937" w:rsidP="003D7937">
            <w:pPr>
              <w:spacing w:line="360" w:lineRule="auto"/>
              <w:jc w:val="both"/>
              <w:rPr>
                <w:rFonts w:ascii="Book Antiqua" w:eastAsia="Calibri" w:hAnsi="Book Antiqua" w:cs="Angsana New"/>
                <w:color w:val="000000"/>
              </w:rPr>
            </w:pPr>
            <w:r w:rsidRPr="00696F41">
              <w:t>(8.4)</w:t>
            </w:r>
          </w:p>
        </w:tc>
        <w:tc>
          <w:tcPr>
            <w:tcW w:w="526" w:type="pct"/>
          </w:tcPr>
          <w:p w14:paraId="614D5485" w14:textId="48E26F4D" w:rsidR="003D7937" w:rsidRPr="00696F41" w:rsidRDefault="003D7937" w:rsidP="003D7937">
            <w:pPr>
              <w:spacing w:line="360" w:lineRule="auto"/>
              <w:jc w:val="both"/>
              <w:rPr>
                <w:rFonts w:ascii="Book Antiqua" w:eastAsia="Calibri" w:hAnsi="Book Antiqua" w:cs="Angsana New"/>
                <w:color w:val="000000"/>
              </w:rPr>
            </w:pPr>
            <w:r w:rsidRPr="00135D27">
              <w:rPr>
                <w:rFonts w:ascii="Book Antiqua" w:eastAsia="Times New Roman" w:hAnsi="Book Antiqua"/>
                <w:color w:val="000000"/>
              </w:rPr>
              <w:t>6.9</w:t>
            </w:r>
          </w:p>
        </w:tc>
        <w:tc>
          <w:tcPr>
            <w:tcW w:w="595" w:type="pct"/>
          </w:tcPr>
          <w:p w14:paraId="783294BF" w14:textId="09E73E93" w:rsidR="003D7937" w:rsidRPr="00696F41" w:rsidRDefault="003D7937" w:rsidP="003D7937">
            <w:pPr>
              <w:spacing w:line="360" w:lineRule="auto"/>
              <w:jc w:val="both"/>
              <w:rPr>
                <w:rFonts w:ascii="Book Antiqua" w:eastAsia="Calibri" w:hAnsi="Book Antiqua" w:cs="Angsana New"/>
                <w:color w:val="000000"/>
              </w:rPr>
            </w:pPr>
            <w:r w:rsidRPr="00696F41">
              <w:t>(10.7)</w:t>
            </w:r>
          </w:p>
        </w:tc>
        <w:tc>
          <w:tcPr>
            <w:tcW w:w="594" w:type="pct"/>
          </w:tcPr>
          <w:p w14:paraId="0BF1677B" w14:textId="43B5BDCE" w:rsidR="003D7937" w:rsidRPr="00696F41" w:rsidRDefault="003D7937" w:rsidP="003D7937">
            <w:pPr>
              <w:spacing w:line="360" w:lineRule="auto"/>
              <w:jc w:val="both"/>
            </w:pPr>
            <w:r w:rsidRPr="00696F41">
              <w:t>0.001</w:t>
            </w:r>
          </w:p>
        </w:tc>
      </w:tr>
      <w:tr w:rsidR="003D7937" w:rsidRPr="00696F41" w14:paraId="1F711C75" w14:textId="471B9879" w:rsidTr="003D7937">
        <w:tc>
          <w:tcPr>
            <w:tcW w:w="1538" w:type="pct"/>
            <w:shd w:val="clear" w:color="auto" w:fill="auto"/>
          </w:tcPr>
          <w:p w14:paraId="68630479" w14:textId="6E086922" w:rsidR="003D7937" w:rsidRPr="00696F41" w:rsidRDefault="003D7937" w:rsidP="003D7937">
            <w:pPr>
              <w:spacing w:line="360" w:lineRule="auto"/>
              <w:jc w:val="both"/>
              <w:rPr>
                <w:rFonts w:ascii="Book Antiqua" w:eastAsia="Calibri" w:hAnsi="Book Antiqua" w:cs="Angsana New"/>
                <w:color w:val="000000"/>
              </w:rPr>
            </w:pPr>
            <w:r w:rsidRPr="00696F41">
              <w:t>Burden of kidney disease</w:t>
            </w:r>
          </w:p>
        </w:tc>
        <w:tc>
          <w:tcPr>
            <w:tcW w:w="420" w:type="pct"/>
            <w:shd w:val="clear" w:color="auto" w:fill="auto"/>
          </w:tcPr>
          <w:p w14:paraId="39AF9197" w14:textId="5F0FDEAE" w:rsidR="003D7937" w:rsidRPr="00696F41" w:rsidRDefault="003D7937" w:rsidP="003D7937">
            <w:pPr>
              <w:spacing w:line="360" w:lineRule="auto"/>
              <w:jc w:val="both"/>
              <w:rPr>
                <w:rFonts w:ascii="Book Antiqua" w:eastAsia="Calibri" w:hAnsi="Book Antiqua" w:cs="Angsana New"/>
                <w:color w:val="000000"/>
              </w:rPr>
            </w:pPr>
            <w:r w:rsidRPr="00696F41">
              <w:t>34.4</w:t>
            </w:r>
          </w:p>
        </w:tc>
        <w:tc>
          <w:tcPr>
            <w:tcW w:w="426" w:type="pct"/>
          </w:tcPr>
          <w:p w14:paraId="61DBC363" w14:textId="4761DDC1" w:rsidR="003D7937" w:rsidRPr="00696F41" w:rsidRDefault="003D7937" w:rsidP="003D7937">
            <w:pPr>
              <w:spacing w:line="360" w:lineRule="auto"/>
              <w:jc w:val="both"/>
              <w:rPr>
                <w:rFonts w:ascii="Book Antiqua" w:eastAsia="Calibri" w:hAnsi="Book Antiqua" w:cs="Angsana New"/>
                <w:color w:val="000000"/>
              </w:rPr>
            </w:pPr>
            <w:r w:rsidRPr="00696F41">
              <w:t>(28.4)</w:t>
            </w:r>
          </w:p>
        </w:tc>
        <w:tc>
          <w:tcPr>
            <w:tcW w:w="443" w:type="pct"/>
          </w:tcPr>
          <w:p w14:paraId="52108EE1" w14:textId="278446E8" w:rsidR="003D7937" w:rsidRPr="00696F41" w:rsidRDefault="003D7937" w:rsidP="003D7937">
            <w:pPr>
              <w:spacing w:line="360" w:lineRule="auto"/>
              <w:jc w:val="both"/>
              <w:rPr>
                <w:rFonts w:ascii="Book Antiqua" w:eastAsia="Calibri" w:hAnsi="Book Antiqua" w:cs="Angsana New"/>
                <w:color w:val="000000"/>
              </w:rPr>
            </w:pPr>
            <w:r w:rsidRPr="00696F41">
              <w:t>46.0</w:t>
            </w:r>
          </w:p>
        </w:tc>
        <w:tc>
          <w:tcPr>
            <w:tcW w:w="458" w:type="pct"/>
          </w:tcPr>
          <w:p w14:paraId="4D0EF6EE" w14:textId="18A0FA5D" w:rsidR="003D7937" w:rsidRPr="00696F41" w:rsidRDefault="003D7937" w:rsidP="003D7937">
            <w:pPr>
              <w:spacing w:line="360" w:lineRule="auto"/>
              <w:jc w:val="both"/>
              <w:rPr>
                <w:rFonts w:ascii="Book Antiqua" w:eastAsia="Calibri" w:hAnsi="Book Antiqua" w:cs="Angsana New"/>
                <w:color w:val="000000"/>
              </w:rPr>
            </w:pPr>
            <w:r w:rsidRPr="00696F41">
              <w:t>(31.3)</w:t>
            </w:r>
          </w:p>
        </w:tc>
        <w:tc>
          <w:tcPr>
            <w:tcW w:w="526" w:type="pct"/>
          </w:tcPr>
          <w:p w14:paraId="7C4C8D5D" w14:textId="46767241" w:rsidR="003D7937" w:rsidRPr="00696F41" w:rsidRDefault="003D7937" w:rsidP="003D7937">
            <w:pPr>
              <w:spacing w:line="360" w:lineRule="auto"/>
              <w:jc w:val="both"/>
              <w:rPr>
                <w:rFonts w:ascii="Book Antiqua" w:eastAsia="Calibri" w:hAnsi="Book Antiqua" w:cs="Angsana New"/>
                <w:color w:val="000000"/>
              </w:rPr>
            </w:pPr>
            <w:r w:rsidRPr="00135D27">
              <w:rPr>
                <w:rFonts w:ascii="Book Antiqua" w:eastAsia="Times New Roman" w:hAnsi="Book Antiqua"/>
                <w:color w:val="000000"/>
              </w:rPr>
              <w:t>11.7</w:t>
            </w:r>
          </w:p>
        </w:tc>
        <w:tc>
          <w:tcPr>
            <w:tcW w:w="595" w:type="pct"/>
          </w:tcPr>
          <w:p w14:paraId="4A354542" w14:textId="5DB580D1" w:rsidR="003D7937" w:rsidRPr="00696F41" w:rsidRDefault="003D7937" w:rsidP="003D7937">
            <w:pPr>
              <w:spacing w:line="360" w:lineRule="auto"/>
              <w:jc w:val="both"/>
              <w:rPr>
                <w:rFonts w:ascii="Book Antiqua" w:eastAsia="Calibri" w:hAnsi="Book Antiqua" w:cs="Angsana New"/>
                <w:color w:val="000000"/>
              </w:rPr>
            </w:pPr>
            <w:r w:rsidRPr="00696F41">
              <w:t>(25.0)</w:t>
            </w:r>
          </w:p>
        </w:tc>
        <w:tc>
          <w:tcPr>
            <w:tcW w:w="594" w:type="pct"/>
          </w:tcPr>
          <w:p w14:paraId="08B53C0B" w14:textId="2E3F66C6" w:rsidR="003D7937" w:rsidRPr="00696F41" w:rsidRDefault="003D7937" w:rsidP="003D7937">
            <w:pPr>
              <w:spacing w:line="360" w:lineRule="auto"/>
              <w:jc w:val="both"/>
            </w:pPr>
            <w:r w:rsidRPr="00696F41">
              <w:t>0.016</w:t>
            </w:r>
          </w:p>
        </w:tc>
      </w:tr>
      <w:tr w:rsidR="003D7937" w:rsidRPr="00696F41" w14:paraId="7B6513A9" w14:textId="2BCD1C8F" w:rsidTr="003D7937">
        <w:tc>
          <w:tcPr>
            <w:tcW w:w="1538" w:type="pct"/>
            <w:shd w:val="clear" w:color="auto" w:fill="auto"/>
          </w:tcPr>
          <w:p w14:paraId="515D7CBC" w14:textId="11CE9D7A" w:rsidR="003D7937" w:rsidRPr="00696F41" w:rsidRDefault="003D7937" w:rsidP="003D7937">
            <w:pPr>
              <w:spacing w:line="360" w:lineRule="auto"/>
              <w:jc w:val="both"/>
              <w:rPr>
                <w:rFonts w:ascii="Book Antiqua" w:eastAsia="Calibri" w:hAnsi="Book Antiqua" w:cs="Angsana New"/>
                <w:color w:val="000000"/>
              </w:rPr>
            </w:pPr>
            <w:r w:rsidRPr="00696F41">
              <w:t>Symptoms/problems of kidney disease</w:t>
            </w:r>
          </w:p>
        </w:tc>
        <w:tc>
          <w:tcPr>
            <w:tcW w:w="420" w:type="pct"/>
            <w:shd w:val="clear" w:color="auto" w:fill="auto"/>
          </w:tcPr>
          <w:p w14:paraId="0A871609" w14:textId="3B910D56" w:rsidR="003D7937" w:rsidRPr="00696F41" w:rsidRDefault="003D7937" w:rsidP="003D7937">
            <w:pPr>
              <w:spacing w:line="360" w:lineRule="auto"/>
              <w:jc w:val="both"/>
              <w:rPr>
                <w:rFonts w:ascii="Book Antiqua" w:eastAsia="Calibri" w:hAnsi="Book Antiqua" w:cs="Angsana New"/>
                <w:color w:val="000000"/>
              </w:rPr>
            </w:pPr>
            <w:r w:rsidRPr="00696F41">
              <w:t>65.6</w:t>
            </w:r>
          </w:p>
        </w:tc>
        <w:tc>
          <w:tcPr>
            <w:tcW w:w="426" w:type="pct"/>
          </w:tcPr>
          <w:p w14:paraId="22A03409" w14:textId="10850EBB" w:rsidR="003D7937" w:rsidRPr="00696F41" w:rsidRDefault="003D7937" w:rsidP="003D7937">
            <w:pPr>
              <w:spacing w:line="360" w:lineRule="auto"/>
              <w:jc w:val="both"/>
              <w:rPr>
                <w:rFonts w:ascii="Book Antiqua" w:eastAsia="Calibri" w:hAnsi="Book Antiqua" w:cs="Angsana New"/>
                <w:color w:val="000000"/>
              </w:rPr>
            </w:pPr>
            <w:r w:rsidRPr="00696F41">
              <w:t>(19.6)</w:t>
            </w:r>
          </w:p>
        </w:tc>
        <w:tc>
          <w:tcPr>
            <w:tcW w:w="443" w:type="pct"/>
          </w:tcPr>
          <w:p w14:paraId="7DA2D35C" w14:textId="72B19195" w:rsidR="003D7937" w:rsidRPr="00696F41" w:rsidRDefault="003D7937" w:rsidP="003D7937">
            <w:pPr>
              <w:spacing w:line="360" w:lineRule="auto"/>
              <w:jc w:val="both"/>
              <w:rPr>
                <w:rFonts w:ascii="Book Antiqua" w:eastAsia="Calibri" w:hAnsi="Book Antiqua" w:cs="Angsana New"/>
                <w:color w:val="000000"/>
              </w:rPr>
            </w:pPr>
            <w:r w:rsidRPr="00696F41">
              <w:t>79.4</w:t>
            </w:r>
          </w:p>
        </w:tc>
        <w:tc>
          <w:tcPr>
            <w:tcW w:w="458" w:type="pct"/>
          </w:tcPr>
          <w:p w14:paraId="48A45381" w14:textId="212AEC21" w:rsidR="003D7937" w:rsidRPr="00696F41" w:rsidRDefault="003D7937" w:rsidP="003D7937">
            <w:pPr>
              <w:spacing w:line="360" w:lineRule="auto"/>
              <w:jc w:val="both"/>
              <w:rPr>
                <w:rFonts w:ascii="Book Antiqua" w:eastAsia="Calibri" w:hAnsi="Book Antiqua" w:cs="Angsana New"/>
                <w:color w:val="000000"/>
              </w:rPr>
            </w:pPr>
            <w:r w:rsidRPr="00696F41">
              <w:t>(13.6)</w:t>
            </w:r>
          </w:p>
        </w:tc>
        <w:tc>
          <w:tcPr>
            <w:tcW w:w="526" w:type="pct"/>
          </w:tcPr>
          <w:p w14:paraId="426A0681" w14:textId="20878993" w:rsidR="003D7937" w:rsidRPr="00696F41" w:rsidRDefault="003D7937" w:rsidP="003D7937">
            <w:pPr>
              <w:spacing w:line="360" w:lineRule="auto"/>
              <w:jc w:val="both"/>
              <w:rPr>
                <w:rFonts w:ascii="Book Antiqua" w:eastAsia="Calibri" w:hAnsi="Book Antiqua" w:cs="Angsana New"/>
                <w:color w:val="000000"/>
              </w:rPr>
            </w:pPr>
            <w:r w:rsidRPr="00135D27">
              <w:rPr>
                <w:rFonts w:ascii="Book Antiqua" w:eastAsia="Times New Roman" w:hAnsi="Book Antiqua"/>
                <w:color w:val="000000"/>
                <w:cs/>
              </w:rPr>
              <w:t>13</w:t>
            </w:r>
            <w:r w:rsidRPr="00135D27">
              <w:rPr>
                <w:rFonts w:ascii="Book Antiqua" w:eastAsia="Times New Roman" w:hAnsi="Book Antiqua"/>
                <w:color w:val="000000"/>
              </w:rPr>
              <w:t>.</w:t>
            </w:r>
            <w:r w:rsidRPr="00135D27">
              <w:rPr>
                <w:rFonts w:ascii="Book Antiqua" w:eastAsia="Times New Roman" w:hAnsi="Book Antiqua"/>
                <w:color w:val="000000"/>
                <w:cs/>
              </w:rPr>
              <w:t>8</w:t>
            </w:r>
          </w:p>
        </w:tc>
        <w:tc>
          <w:tcPr>
            <w:tcW w:w="595" w:type="pct"/>
          </w:tcPr>
          <w:p w14:paraId="67CD7C3D" w14:textId="1E14934C" w:rsidR="003D7937" w:rsidRPr="00696F41" w:rsidRDefault="003D7937" w:rsidP="003D7937">
            <w:pPr>
              <w:spacing w:line="360" w:lineRule="auto"/>
              <w:jc w:val="both"/>
              <w:rPr>
                <w:rFonts w:ascii="Book Antiqua" w:eastAsia="Calibri" w:hAnsi="Book Antiqua" w:cs="Angsana New"/>
                <w:color w:val="000000"/>
              </w:rPr>
            </w:pPr>
            <w:r w:rsidRPr="00696F41">
              <w:t>(20.4)</w:t>
            </w:r>
          </w:p>
        </w:tc>
        <w:tc>
          <w:tcPr>
            <w:tcW w:w="594" w:type="pct"/>
          </w:tcPr>
          <w:p w14:paraId="76CD5404" w14:textId="515672B9" w:rsidR="003D7937" w:rsidRPr="00696F41" w:rsidRDefault="003D7937" w:rsidP="003D7937">
            <w:pPr>
              <w:spacing w:line="360" w:lineRule="auto"/>
              <w:jc w:val="both"/>
            </w:pPr>
            <w:r w:rsidRPr="00696F41">
              <w:t>0.001</w:t>
            </w:r>
          </w:p>
        </w:tc>
      </w:tr>
      <w:tr w:rsidR="003D7937" w:rsidRPr="00696F41" w14:paraId="0774D169" w14:textId="3E1D14E4" w:rsidTr="003D7937">
        <w:trPr>
          <w:trHeight w:val="75"/>
        </w:trPr>
        <w:tc>
          <w:tcPr>
            <w:tcW w:w="1538" w:type="pct"/>
            <w:tcBorders>
              <w:bottom w:val="single" w:sz="4" w:space="0" w:color="auto"/>
            </w:tcBorders>
            <w:shd w:val="clear" w:color="auto" w:fill="auto"/>
          </w:tcPr>
          <w:p w14:paraId="6FB023AB" w14:textId="36E4F6E0" w:rsidR="003D7937" w:rsidRPr="00696F41" w:rsidRDefault="003D7937" w:rsidP="003D7937">
            <w:pPr>
              <w:spacing w:line="360" w:lineRule="auto"/>
              <w:jc w:val="both"/>
              <w:rPr>
                <w:rFonts w:ascii="Book Antiqua" w:eastAsia="Calibri" w:hAnsi="Book Antiqua" w:cs="Angsana New"/>
                <w:color w:val="000000"/>
              </w:rPr>
            </w:pPr>
            <w:r w:rsidRPr="00696F41">
              <w:t>Effects of kidney disease</w:t>
            </w:r>
          </w:p>
        </w:tc>
        <w:tc>
          <w:tcPr>
            <w:tcW w:w="420" w:type="pct"/>
            <w:tcBorders>
              <w:bottom w:val="single" w:sz="4" w:space="0" w:color="auto"/>
            </w:tcBorders>
            <w:shd w:val="clear" w:color="auto" w:fill="auto"/>
          </w:tcPr>
          <w:p w14:paraId="535538E7" w14:textId="51A96FAF" w:rsidR="003D7937" w:rsidRPr="00696F41" w:rsidRDefault="003D7937" w:rsidP="003D7937">
            <w:pPr>
              <w:spacing w:line="360" w:lineRule="auto"/>
              <w:jc w:val="both"/>
              <w:rPr>
                <w:rFonts w:ascii="Book Antiqua" w:eastAsia="Calibri" w:hAnsi="Book Antiqua" w:cs="Angsana New"/>
                <w:color w:val="000000"/>
              </w:rPr>
            </w:pPr>
            <w:r w:rsidRPr="00696F41">
              <w:t>63.0</w:t>
            </w:r>
          </w:p>
        </w:tc>
        <w:tc>
          <w:tcPr>
            <w:tcW w:w="426" w:type="pct"/>
            <w:tcBorders>
              <w:bottom w:val="single" w:sz="4" w:space="0" w:color="auto"/>
            </w:tcBorders>
          </w:tcPr>
          <w:p w14:paraId="48DF2E0C" w14:textId="5B92D8B3" w:rsidR="003D7937" w:rsidRPr="00696F41" w:rsidRDefault="003D7937" w:rsidP="003D7937">
            <w:pPr>
              <w:spacing w:line="360" w:lineRule="auto"/>
              <w:jc w:val="both"/>
              <w:rPr>
                <w:rFonts w:ascii="Book Antiqua" w:eastAsia="Calibri" w:hAnsi="Book Antiqua" w:cs="Angsana New"/>
                <w:color w:val="000000"/>
              </w:rPr>
            </w:pPr>
            <w:r w:rsidRPr="00696F41">
              <w:t>(18.2)</w:t>
            </w:r>
          </w:p>
        </w:tc>
        <w:tc>
          <w:tcPr>
            <w:tcW w:w="443" w:type="pct"/>
            <w:tcBorders>
              <w:bottom w:val="single" w:sz="4" w:space="0" w:color="auto"/>
            </w:tcBorders>
          </w:tcPr>
          <w:p w14:paraId="31E20380" w14:textId="06B17027" w:rsidR="003D7937" w:rsidRPr="00696F41" w:rsidRDefault="003D7937" w:rsidP="003D7937">
            <w:pPr>
              <w:spacing w:line="360" w:lineRule="auto"/>
              <w:jc w:val="both"/>
              <w:rPr>
                <w:rFonts w:ascii="Book Antiqua" w:eastAsia="Calibri" w:hAnsi="Book Antiqua" w:cs="Angsana New"/>
                <w:color w:val="000000"/>
              </w:rPr>
            </w:pPr>
            <w:r w:rsidRPr="00696F41">
              <w:t>76.3</w:t>
            </w:r>
          </w:p>
        </w:tc>
        <w:tc>
          <w:tcPr>
            <w:tcW w:w="458" w:type="pct"/>
            <w:tcBorders>
              <w:bottom w:val="single" w:sz="4" w:space="0" w:color="auto"/>
            </w:tcBorders>
          </w:tcPr>
          <w:p w14:paraId="01D684A3" w14:textId="60284A8E" w:rsidR="003D7937" w:rsidRPr="00696F41" w:rsidRDefault="003D7937" w:rsidP="003D7937">
            <w:pPr>
              <w:spacing w:line="360" w:lineRule="auto"/>
              <w:jc w:val="both"/>
              <w:rPr>
                <w:rFonts w:ascii="Book Antiqua" w:eastAsia="Calibri" w:hAnsi="Book Antiqua" w:cs="Angsana New"/>
                <w:color w:val="000000"/>
              </w:rPr>
            </w:pPr>
            <w:r w:rsidRPr="00696F41">
              <w:t>(18.4)</w:t>
            </w:r>
          </w:p>
        </w:tc>
        <w:tc>
          <w:tcPr>
            <w:tcW w:w="526" w:type="pct"/>
            <w:tcBorders>
              <w:bottom w:val="single" w:sz="4" w:space="0" w:color="auto"/>
            </w:tcBorders>
          </w:tcPr>
          <w:p w14:paraId="1FAA35F9" w14:textId="6FCF6E38" w:rsidR="003D7937" w:rsidRPr="00696F41" w:rsidRDefault="003D7937" w:rsidP="003D7937">
            <w:pPr>
              <w:spacing w:line="360" w:lineRule="auto"/>
              <w:jc w:val="both"/>
              <w:rPr>
                <w:rFonts w:ascii="Book Antiqua" w:eastAsia="Calibri" w:hAnsi="Book Antiqua" w:cs="Angsana New"/>
                <w:color w:val="000000"/>
              </w:rPr>
            </w:pPr>
            <w:r w:rsidRPr="00135D27">
              <w:rPr>
                <w:rFonts w:ascii="Book Antiqua" w:eastAsia="Times New Roman" w:hAnsi="Book Antiqua"/>
                <w:color w:val="000000"/>
              </w:rPr>
              <w:t>13.3</w:t>
            </w:r>
          </w:p>
        </w:tc>
        <w:tc>
          <w:tcPr>
            <w:tcW w:w="595" w:type="pct"/>
            <w:tcBorders>
              <w:bottom w:val="single" w:sz="4" w:space="0" w:color="auto"/>
            </w:tcBorders>
          </w:tcPr>
          <w:p w14:paraId="721B8B94" w14:textId="0355F33E" w:rsidR="003D7937" w:rsidRPr="00696F41" w:rsidRDefault="003D7937" w:rsidP="003D7937">
            <w:pPr>
              <w:spacing w:line="360" w:lineRule="auto"/>
              <w:jc w:val="both"/>
              <w:rPr>
                <w:rFonts w:ascii="Book Antiqua" w:eastAsia="Calibri" w:hAnsi="Book Antiqua" w:cs="Angsana New"/>
                <w:color w:val="000000"/>
              </w:rPr>
            </w:pPr>
            <w:r w:rsidRPr="00696F41">
              <w:t>(23.6)</w:t>
            </w:r>
          </w:p>
        </w:tc>
        <w:tc>
          <w:tcPr>
            <w:tcW w:w="594" w:type="pct"/>
            <w:tcBorders>
              <w:bottom w:val="single" w:sz="4" w:space="0" w:color="auto"/>
            </w:tcBorders>
          </w:tcPr>
          <w:p w14:paraId="7CB736FB" w14:textId="7C7C1745" w:rsidR="003D7937" w:rsidRPr="00696F41" w:rsidRDefault="003D7937" w:rsidP="003D7937">
            <w:pPr>
              <w:spacing w:line="360" w:lineRule="auto"/>
              <w:jc w:val="both"/>
            </w:pPr>
            <w:r w:rsidRPr="00696F41">
              <w:t>0.004</w:t>
            </w:r>
          </w:p>
        </w:tc>
      </w:tr>
    </w:tbl>
    <w:p w14:paraId="457566C8" w14:textId="6E03452D" w:rsidR="000109D6" w:rsidRPr="000109D6" w:rsidRDefault="000109D6" w:rsidP="00941C6B">
      <w:pPr>
        <w:spacing w:line="360" w:lineRule="auto"/>
        <w:jc w:val="both"/>
        <w:rPr>
          <w:rFonts w:ascii="Book Antiqua" w:hAnsi="Book Antiqua"/>
        </w:rPr>
      </w:pPr>
      <w:r w:rsidRPr="00696F41">
        <w:rPr>
          <w:rFonts w:ascii="Book Antiqua" w:hAnsi="Book Antiqua"/>
        </w:rPr>
        <w:t xml:space="preserve">Data were presented as mean (standard deviation). </w:t>
      </w:r>
    </w:p>
    <w:p w14:paraId="00EEFC40" w14:textId="74F06591" w:rsidR="00941C6B" w:rsidRPr="00696F41" w:rsidRDefault="00941C6B" w:rsidP="00941C6B">
      <w:pPr>
        <w:spacing w:line="360" w:lineRule="auto"/>
        <w:jc w:val="both"/>
        <w:rPr>
          <w:rFonts w:ascii="Book Antiqua" w:hAnsi="Book Antiqua"/>
        </w:rPr>
      </w:pPr>
      <w:r w:rsidRPr="00696F41">
        <w:rPr>
          <w:rFonts w:ascii="Book Antiqua" w:hAnsi="Book Antiqua"/>
          <w:vertAlign w:val="superscript"/>
        </w:rPr>
        <w:t>1</w:t>
      </w:r>
      <w:r w:rsidRPr="00696F41">
        <w:rPr>
          <w:rFonts w:ascii="Book Antiqua" w:eastAsia="Times New Roman" w:hAnsi="Book Antiqua"/>
        </w:rPr>
        <w:t xml:space="preserve">Paired </w:t>
      </w:r>
      <w:r w:rsidRPr="00696F41">
        <w:rPr>
          <w:rFonts w:ascii="Book Antiqua" w:eastAsia="Times New Roman" w:hAnsi="Book Antiqua"/>
          <w:i/>
        </w:rPr>
        <w:t>t</w:t>
      </w:r>
      <w:r w:rsidRPr="00696F41">
        <w:rPr>
          <w:rFonts w:ascii="Book Antiqua" w:eastAsia="Times New Roman" w:hAnsi="Book Antiqua"/>
        </w:rPr>
        <w:t xml:space="preserve">-test. </w:t>
      </w:r>
      <w:r w:rsidRPr="00696F41">
        <w:rPr>
          <w:rFonts w:ascii="Book Antiqua" w:hAnsi="Book Antiqua"/>
        </w:rPr>
        <w:sym w:font="Symbol" w:char="F044"/>
      </w:r>
      <w:r w:rsidRPr="00696F41">
        <w:rPr>
          <w:rFonts w:ascii="Book Antiqua" w:hAnsi="Book Antiqua"/>
          <w:lang w:eastAsia="zh-CN"/>
        </w:rPr>
        <w:t>:</w:t>
      </w:r>
      <w:r w:rsidRPr="00696F41">
        <w:rPr>
          <w:rFonts w:ascii="Book Antiqua" w:hAnsi="Book Antiqua"/>
        </w:rPr>
        <w:t xml:space="preserve"> Differences in KDQOL–36 scores between week 0 and week 12</w:t>
      </w:r>
      <w:r w:rsidRPr="00696F41">
        <w:rPr>
          <w:rFonts w:ascii="Book Antiqua" w:hAnsi="Book Antiqua"/>
          <w:lang w:eastAsia="zh-CN"/>
        </w:rPr>
        <w:t>;</w:t>
      </w:r>
      <w:r w:rsidRPr="00696F41">
        <w:rPr>
          <w:rFonts w:ascii="Book Antiqua" w:hAnsi="Book Antiqua" w:cs="Book Antiqua"/>
        </w:rPr>
        <w:t xml:space="preserve"> </w:t>
      </w:r>
      <w:r w:rsidRPr="00696F41">
        <w:rPr>
          <w:rFonts w:ascii="Book Antiqua" w:hAnsi="Book Antiqua"/>
        </w:rPr>
        <w:t>KDQOL:</w:t>
      </w:r>
      <w:r w:rsidRPr="00696F41">
        <w:rPr>
          <w:rFonts w:ascii="Book Antiqua" w:hAnsi="Book Antiqua" w:cs="Book Antiqua"/>
        </w:rPr>
        <w:t xml:space="preserve"> </w:t>
      </w:r>
      <w:r w:rsidRPr="00696F41">
        <w:rPr>
          <w:rFonts w:ascii="Book Antiqua" w:hAnsi="Book Antiqua"/>
        </w:rPr>
        <w:t>Kidney disease quality of life instrument; SF: Short form health survey.</w:t>
      </w:r>
    </w:p>
    <w:p w14:paraId="2D7761FC" w14:textId="77777777" w:rsidR="00B20B1F" w:rsidRPr="00696F41" w:rsidRDefault="00B20B1F" w:rsidP="00941C6B">
      <w:pPr>
        <w:spacing w:line="360" w:lineRule="auto"/>
        <w:jc w:val="both"/>
        <w:rPr>
          <w:rFonts w:ascii="Book Antiqua" w:eastAsia="Book Antiqua" w:hAnsi="Book Antiqua" w:cs="Book Antiqua"/>
        </w:rPr>
      </w:pPr>
    </w:p>
    <w:p w14:paraId="6B4FDCB8" w14:textId="77777777" w:rsidR="00941C6B" w:rsidRPr="00696F41" w:rsidRDefault="00941C6B" w:rsidP="00941C6B">
      <w:pPr>
        <w:keepNext/>
        <w:keepLines/>
        <w:spacing w:line="360" w:lineRule="auto"/>
        <w:jc w:val="both"/>
        <w:outlineLvl w:val="0"/>
        <w:rPr>
          <w:rFonts w:ascii="Book Antiqua" w:eastAsia="宋体" w:hAnsi="Book Antiqua" w:cs="Book Antiqua"/>
          <w:b/>
          <w:bCs/>
          <w:color w:val="000000"/>
          <w:lang w:eastAsia="zh-CN"/>
        </w:rPr>
      </w:pPr>
      <w:r w:rsidRPr="00696F41">
        <w:rPr>
          <w:rFonts w:ascii="Book Antiqua" w:eastAsia="Book Antiqua" w:hAnsi="Book Antiqua" w:cs="Book Antiqua"/>
        </w:rPr>
        <w:br w:type="page"/>
      </w:r>
      <w:r w:rsidRPr="00696F41">
        <w:rPr>
          <w:rFonts w:ascii="Book Antiqua" w:eastAsia="宋体" w:hAnsi="Book Antiqua" w:cs="Book Antiqua"/>
          <w:b/>
          <w:bCs/>
          <w:color w:val="000000"/>
          <w:lang w:eastAsia="zh-CN"/>
        </w:rPr>
        <w:lastRenderedPageBreak/>
        <w:t>Table 6 Adverse events (</w:t>
      </w:r>
      <w:r w:rsidRPr="00696F41">
        <w:rPr>
          <w:rFonts w:ascii="Book Antiqua" w:eastAsia="宋体" w:hAnsi="Book Antiqua" w:cs="Book Antiqua"/>
          <w:b/>
          <w:bCs/>
          <w:i/>
          <w:iCs/>
          <w:color w:val="000000"/>
          <w:lang w:eastAsia="zh-CN"/>
        </w:rPr>
        <w:t>n</w:t>
      </w:r>
      <w:r w:rsidRPr="00696F41">
        <w:rPr>
          <w:rFonts w:ascii="Book Antiqua" w:eastAsia="宋体" w:hAnsi="Book Antiqua" w:cs="Book Antiqua"/>
          <w:b/>
          <w:bCs/>
          <w:color w:val="000000"/>
          <w:lang w:eastAsia="zh-CN"/>
        </w:rPr>
        <w:t xml:space="preserve"> = 37)</w:t>
      </w:r>
    </w:p>
    <w:tbl>
      <w:tblPr>
        <w:tblStyle w:val="TableGrid1"/>
        <w:tblW w:w="5000" w:type="pct"/>
        <w:tblBorders>
          <w:left w:val="none" w:sz="0" w:space="0" w:color="auto"/>
          <w:right w:val="none" w:sz="0" w:space="0" w:color="auto"/>
          <w:insideH w:val="none" w:sz="0" w:space="0" w:color="auto"/>
          <w:insideV w:val="none" w:sz="0" w:space="0" w:color="auto"/>
        </w:tblBorders>
        <w:tblCellMar>
          <w:left w:w="72" w:type="dxa"/>
          <w:right w:w="29" w:type="dxa"/>
        </w:tblCellMar>
        <w:tblLook w:val="04A0" w:firstRow="1" w:lastRow="0" w:firstColumn="1" w:lastColumn="0" w:noHBand="0" w:noVBand="1"/>
      </w:tblPr>
      <w:tblGrid>
        <w:gridCol w:w="4644"/>
        <w:gridCol w:w="2591"/>
        <w:gridCol w:w="2125"/>
      </w:tblGrid>
      <w:tr w:rsidR="00941C6B" w:rsidRPr="00696F41" w14:paraId="68C9531A" w14:textId="77777777" w:rsidTr="00C42F1F">
        <w:trPr>
          <w:trHeight w:val="288"/>
        </w:trPr>
        <w:tc>
          <w:tcPr>
            <w:tcW w:w="2481" w:type="pct"/>
            <w:tcBorders>
              <w:top w:val="single" w:sz="4" w:space="0" w:color="auto"/>
              <w:bottom w:val="single" w:sz="4" w:space="0" w:color="auto"/>
            </w:tcBorders>
            <w:vAlign w:val="center"/>
          </w:tcPr>
          <w:p w14:paraId="71D364E5" w14:textId="77777777" w:rsidR="00941C6B" w:rsidRPr="00696F41" w:rsidRDefault="00941C6B" w:rsidP="00C42F1F">
            <w:pPr>
              <w:spacing w:line="360" w:lineRule="auto"/>
              <w:jc w:val="both"/>
              <w:rPr>
                <w:rFonts w:ascii="Book Antiqua" w:eastAsia="Book Antiqua" w:hAnsi="Book Antiqua" w:cs="Times New Roman"/>
                <w:b/>
                <w:bCs/>
              </w:rPr>
            </w:pPr>
            <w:r w:rsidRPr="00696F41">
              <w:rPr>
                <w:rFonts w:ascii="Book Antiqua" w:eastAsia="Book Antiqua" w:hAnsi="Book Antiqua" w:cs="Times New Roman"/>
                <w:b/>
                <w:bCs/>
              </w:rPr>
              <w:t>Adverse events</w:t>
            </w:r>
          </w:p>
        </w:tc>
        <w:tc>
          <w:tcPr>
            <w:tcW w:w="1384" w:type="pct"/>
            <w:tcBorders>
              <w:top w:val="single" w:sz="4" w:space="0" w:color="auto"/>
              <w:bottom w:val="single" w:sz="4" w:space="0" w:color="auto"/>
            </w:tcBorders>
            <w:vAlign w:val="center"/>
          </w:tcPr>
          <w:p w14:paraId="55D299B4" w14:textId="77777777" w:rsidR="00941C6B" w:rsidRPr="00696F41" w:rsidRDefault="00941C6B" w:rsidP="00C42F1F">
            <w:pPr>
              <w:spacing w:line="360" w:lineRule="auto"/>
              <w:jc w:val="both"/>
              <w:rPr>
                <w:rFonts w:ascii="Book Antiqua" w:eastAsia="Book Antiqua" w:hAnsi="Book Antiqua" w:cs="Times New Roman"/>
                <w:b/>
                <w:bCs/>
              </w:rPr>
            </w:pPr>
            <w:r w:rsidRPr="00696F41">
              <w:rPr>
                <w:rFonts w:ascii="Book Antiqua" w:eastAsia="Book Antiqua" w:hAnsi="Book Antiqua" w:cs="Times New Roman"/>
                <w:b/>
                <w:bCs/>
              </w:rPr>
              <w:t>No. of patients (%)</w:t>
            </w:r>
          </w:p>
        </w:tc>
        <w:tc>
          <w:tcPr>
            <w:tcW w:w="1135" w:type="pct"/>
            <w:tcBorders>
              <w:top w:val="single" w:sz="4" w:space="0" w:color="auto"/>
              <w:bottom w:val="single" w:sz="4" w:space="0" w:color="auto"/>
            </w:tcBorders>
            <w:vAlign w:val="center"/>
          </w:tcPr>
          <w:p w14:paraId="0B5F799E" w14:textId="77777777" w:rsidR="00941C6B" w:rsidRPr="00696F41" w:rsidRDefault="00941C6B" w:rsidP="00C42F1F">
            <w:pPr>
              <w:spacing w:line="360" w:lineRule="auto"/>
              <w:jc w:val="both"/>
              <w:rPr>
                <w:rFonts w:ascii="Book Antiqua" w:eastAsia="Book Antiqua" w:hAnsi="Book Antiqua" w:cs="Times New Roman"/>
                <w:b/>
                <w:bCs/>
              </w:rPr>
            </w:pPr>
            <w:r w:rsidRPr="00696F41">
              <w:rPr>
                <w:rFonts w:ascii="Book Antiqua" w:eastAsia="Book Antiqua" w:hAnsi="Book Antiqua" w:cs="Times New Roman"/>
                <w:b/>
                <w:bCs/>
              </w:rPr>
              <w:t>No. of events</w:t>
            </w:r>
          </w:p>
        </w:tc>
      </w:tr>
      <w:tr w:rsidR="00941C6B" w:rsidRPr="00696F41" w14:paraId="650169EB" w14:textId="77777777" w:rsidTr="00C42F1F">
        <w:trPr>
          <w:trHeight w:val="288"/>
        </w:trPr>
        <w:tc>
          <w:tcPr>
            <w:tcW w:w="2481" w:type="pct"/>
            <w:tcBorders>
              <w:top w:val="single" w:sz="4" w:space="0" w:color="auto"/>
            </w:tcBorders>
            <w:vAlign w:val="center"/>
          </w:tcPr>
          <w:p w14:paraId="0E85E8D6" w14:textId="77777777" w:rsidR="00941C6B" w:rsidRPr="00696F41" w:rsidRDefault="00941C6B" w:rsidP="00C42F1F">
            <w:pPr>
              <w:spacing w:line="360" w:lineRule="auto"/>
              <w:jc w:val="both"/>
              <w:rPr>
                <w:rFonts w:ascii="Book Antiqua" w:eastAsia="Book Antiqua" w:hAnsi="Book Antiqua"/>
                <w:b/>
                <w:bCs/>
              </w:rPr>
            </w:pPr>
            <w:r w:rsidRPr="00696F41">
              <w:rPr>
                <w:rFonts w:ascii="Book Antiqua" w:eastAsia="Book Antiqua" w:hAnsi="Book Antiqua" w:cs="Times New Roman"/>
                <w:b/>
                <w:bCs/>
              </w:rPr>
              <w:t>Total</w:t>
            </w:r>
          </w:p>
        </w:tc>
        <w:tc>
          <w:tcPr>
            <w:tcW w:w="1384" w:type="pct"/>
            <w:tcBorders>
              <w:top w:val="single" w:sz="4" w:space="0" w:color="auto"/>
            </w:tcBorders>
            <w:vAlign w:val="center"/>
          </w:tcPr>
          <w:p w14:paraId="42420BCB" w14:textId="77777777" w:rsidR="00941C6B" w:rsidRPr="00696F41" w:rsidRDefault="00941C6B" w:rsidP="00C42F1F">
            <w:pPr>
              <w:spacing w:line="360" w:lineRule="auto"/>
              <w:jc w:val="both"/>
              <w:rPr>
                <w:rFonts w:ascii="Book Antiqua" w:eastAsia="Book Antiqua" w:hAnsi="Book Antiqua"/>
                <w:bCs/>
              </w:rPr>
            </w:pPr>
            <w:r w:rsidRPr="00696F41">
              <w:rPr>
                <w:rFonts w:ascii="Book Antiqua" w:eastAsia="Book Antiqua" w:hAnsi="Book Antiqua" w:cs="Times New Roman"/>
                <w:bCs/>
              </w:rPr>
              <w:t>18 (48.65)</w:t>
            </w:r>
          </w:p>
        </w:tc>
        <w:tc>
          <w:tcPr>
            <w:tcW w:w="1135" w:type="pct"/>
            <w:tcBorders>
              <w:top w:val="single" w:sz="4" w:space="0" w:color="auto"/>
            </w:tcBorders>
            <w:vAlign w:val="center"/>
          </w:tcPr>
          <w:p w14:paraId="7ACB5178" w14:textId="77777777" w:rsidR="00941C6B" w:rsidRPr="00696F41" w:rsidRDefault="00941C6B" w:rsidP="00C42F1F">
            <w:pPr>
              <w:spacing w:line="360" w:lineRule="auto"/>
              <w:jc w:val="both"/>
              <w:rPr>
                <w:rFonts w:ascii="Book Antiqua" w:eastAsia="Book Antiqua" w:hAnsi="Book Antiqua"/>
                <w:bCs/>
              </w:rPr>
            </w:pPr>
            <w:r w:rsidRPr="00696F41">
              <w:rPr>
                <w:rFonts w:ascii="Book Antiqua" w:eastAsia="Book Antiqua" w:hAnsi="Book Antiqua" w:cs="Times New Roman"/>
                <w:bCs/>
              </w:rPr>
              <w:t>39</w:t>
            </w:r>
          </w:p>
        </w:tc>
      </w:tr>
      <w:tr w:rsidR="00941C6B" w:rsidRPr="00696F41" w14:paraId="50A86525" w14:textId="77777777" w:rsidTr="00C42F1F">
        <w:trPr>
          <w:trHeight w:val="288"/>
        </w:trPr>
        <w:tc>
          <w:tcPr>
            <w:tcW w:w="5000" w:type="pct"/>
            <w:gridSpan w:val="3"/>
            <w:vAlign w:val="center"/>
          </w:tcPr>
          <w:p w14:paraId="024949FF" w14:textId="77777777" w:rsidR="00941C6B" w:rsidRPr="00696F41" w:rsidRDefault="00941C6B" w:rsidP="00C42F1F">
            <w:pPr>
              <w:spacing w:line="360" w:lineRule="auto"/>
              <w:jc w:val="both"/>
              <w:rPr>
                <w:rFonts w:ascii="Book Antiqua" w:eastAsia="Book Antiqua" w:hAnsi="Book Antiqua" w:cs="Times New Roman"/>
                <w:b/>
                <w:bCs/>
              </w:rPr>
            </w:pPr>
            <w:r w:rsidRPr="00696F41">
              <w:rPr>
                <w:rFonts w:ascii="Book Antiqua" w:eastAsia="Book Antiqua" w:hAnsi="Book Antiqua" w:cs="Times New Roman"/>
                <w:b/>
                <w:bCs/>
              </w:rPr>
              <w:t>Blood and lymphatic disorders</w:t>
            </w:r>
          </w:p>
        </w:tc>
      </w:tr>
      <w:tr w:rsidR="00941C6B" w:rsidRPr="00696F41" w14:paraId="358CC8BB" w14:textId="77777777" w:rsidTr="00C42F1F">
        <w:trPr>
          <w:trHeight w:val="288"/>
        </w:trPr>
        <w:tc>
          <w:tcPr>
            <w:tcW w:w="2481" w:type="pct"/>
            <w:vAlign w:val="center"/>
          </w:tcPr>
          <w:p w14:paraId="673D2E68" w14:textId="77777777" w:rsidR="00941C6B" w:rsidRPr="00696F41" w:rsidRDefault="00941C6B" w:rsidP="00C42F1F">
            <w:pPr>
              <w:spacing w:line="360" w:lineRule="auto"/>
              <w:ind w:left="288"/>
              <w:jc w:val="both"/>
              <w:rPr>
                <w:rFonts w:ascii="Book Antiqua" w:eastAsia="Book Antiqua" w:hAnsi="Book Antiqua" w:cs="Times New Roman"/>
              </w:rPr>
            </w:pPr>
            <w:r w:rsidRPr="00696F41">
              <w:rPr>
                <w:rFonts w:ascii="Book Antiqua" w:eastAsia="Book Antiqua" w:hAnsi="Book Antiqua" w:cs="Times New Roman"/>
              </w:rPr>
              <w:t>Bicytopenia</w:t>
            </w:r>
            <w:r w:rsidRPr="00696F41">
              <w:rPr>
                <w:rFonts w:ascii="Book Antiqua" w:eastAsia="Book Antiqua" w:hAnsi="Book Antiqua" w:cs="Times New Roman"/>
                <w:vertAlign w:val="superscript"/>
              </w:rPr>
              <w:t>1</w:t>
            </w:r>
          </w:p>
        </w:tc>
        <w:tc>
          <w:tcPr>
            <w:tcW w:w="1384" w:type="pct"/>
            <w:vAlign w:val="center"/>
          </w:tcPr>
          <w:p w14:paraId="312A4730"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rPr>
              <w:t>1</w:t>
            </w:r>
            <w:r w:rsidRPr="00696F41">
              <w:rPr>
                <w:rFonts w:ascii="Book Antiqua" w:hAnsi="Book Antiqua" w:cs="Times New Roman"/>
                <w:lang w:eastAsia="zh-CN"/>
              </w:rPr>
              <w:t xml:space="preserve"> </w:t>
            </w:r>
            <w:r w:rsidRPr="00696F41">
              <w:rPr>
                <w:rFonts w:ascii="Book Antiqua" w:eastAsia="Book Antiqua" w:hAnsi="Book Antiqua" w:cs="Times New Roman"/>
              </w:rPr>
              <w:t>(2.70)</w:t>
            </w:r>
          </w:p>
        </w:tc>
        <w:tc>
          <w:tcPr>
            <w:tcW w:w="1135" w:type="pct"/>
            <w:vAlign w:val="center"/>
          </w:tcPr>
          <w:p w14:paraId="3DF9DC7F"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rPr>
              <w:t>1</w:t>
            </w:r>
          </w:p>
        </w:tc>
      </w:tr>
      <w:tr w:rsidR="00941C6B" w:rsidRPr="00696F41" w14:paraId="3DB8E3D1" w14:textId="77777777" w:rsidTr="00C42F1F">
        <w:trPr>
          <w:trHeight w:val="288"/>
        </w:trPr>
        <w:tc>
          <w:tcPr>
            <w:tcW w:w="5000" w:type="pct"/>
            <w:gridSpan w:val="3"/>
            <w:vAlign w:val="center"/>
          </w:tcPr>
          <w:p w14:paraId="74FD8A8B"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b/>
                <w:bCs/>
              </w:rPr>
              <w:t>Gastrointestinal disorders</w:t>
            </w:r>
          </w:p>
        </w:tc>
      </w:tr>
      <w:tr w:rsidR="00941C6B" w:rsidRPr="00696F41" w14:paraId="6475CACA" w14:textId="77777777" w:rsidTr="00C42F1F">
        <w:trPr>
          <w:trHeight w:val="288"/>
        </w:trPr>
        <w:tc>
          <w:tcPr>
            <w:tcW w:w="2481" w:type="pct"/>
            <w:vAlign w:val="center"/>
          </w:tcPr>
          <w:p w14:paraId="7908A35C" w14:textId="77777777" w:rsidR="00941C6B" w:rsidRPr="00696F41" w:rsidRDefault="00941C6B" w:rsidP="00C42F1F">
            <w:pPr>
              <w:spacing w:line="360" w:lineRule="auto"/>
              <w:ind w:left="288"/>
              <w:jc w:val="both"/>
              <w:rPr>
                <w:rFonts w:ascii="Book Antiqua" w:eastAsia="Book Antiqua" w:hAnsi="Book Antiqua" w:cs="Times New Roman"/>
              </w:rPr>
            </w:pPr>
            <w:r w:rsidRPr="00696F41">
              <w:rPr>
                <w:rFonts w:ascii="Book Antiqua" w:eastAsia="Book Antiqua" w:hAnsi="Book Antiqua" w:cs="Times New Roman"/>
              </w:rPr>
              <w:t>Diarrhea</w:t>
            </w:r>
          </w:p>
        </w:tc>
        <w:tc>
          <w:tcPr>
            <w:tcW w:w="1384" w:type="pct"/>
            <w:vAlign w:val="center"/>
          </w:tcPr>
          <w:p w14:paraId="5B7009D7"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rPr>
              <w:t>1</w:t>
            </w:r>
            <w:r w:rsidRPr="00696F41">
              <w:rPr>
                <w:rFonts w:ascii="Book Antiqua" w:hAnsi="Book Antiqua" w:cs="Times New Roman"/>
                <w:lang w:eastAsia="zh-CN"/>
              </w:rPr>
              <w:t xml:space="preserve"> </w:t>
            </w:r>
            <w:r w:rsidRPr="00696F41">
              <w:rPr>
                <w:rFonts w:ascii="Book Antiqua" w:eastAsia="Book Antiqua" w:hAnsi="Book Antiqua" w:cs="Times New Roman"/>
              </w:rPr>
              <w:t>(2.70)</w:t>
            </w:r>
          </w:p>
        </w:tc>
        <w:tc>
          <w:tcPr>
            <w:tcW w:w="1135" w:type="pct"/>
            <w:vAlign w:val="center"/>
          </w:tcPr>
          <w:p w14:paraId="74365C09"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rPr>
              <w:t>1</w:t>
            </w:r>
          </w:p>
        </w:tc>
      </w:tr>
      <w:tr w:rsidR="00941C6B" w:rsidRPr="00696F41" w14:paraId="27C2912A" w14:textId="77777777" w:rsidTr="00C42F1F">
        <w:trPr>
          <w:trHeight w:val="288"/>
        </w:trPr>
        <w:tc>
          <w:tcPr>
            <w:tcW w:w="2481" w:type="pct"/>
            <w:vAlign w:val="center"/>
          </w:tcPr>
          <w:p w14:paraId="15F19B99" w14:textId="77777777" w:rsidR="00941C6B" w:rsidRPr="00696F41" w:rsidRDefault="00941C6B" w:rsidP="00C42F1F">
            <w:pPr>
              <w:spacing w:line="360" w:lineRule="auto"/>
              <w:ind w:left="288"/>
              <w:jc w:val="both"/>
              <w:rPr>
                <w:rFonts w:ascii="Book Antiqua" w:eastAsia="Book Antiqua" w:hAnsi="Book Antiqua" w:cs="Times New Roman"/>
              </w:rPr>
            </w:pPr>
            <w:r w:rsidRPr="00696F41">
              <w:rPr>
                <w:rFonts w:ascii="Book Antiqua" w:eastAsia="Book Antiqua" w:hAnsi="Book Antiqua" w:cs="Times New Roman"/>
              </w:rPr>
              <w:t>Nausea</w:t>
            </w:r>
          </w:p>
        </w:tc>
        <w:tc>
          <w:tcPr>
            <w:tcW w:w="1384" w:type="pct"/>
            <w:vAlign w:val="center"/>
          </w:tcPr>
          <w:p w14:paraId="70EB0BDA"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rPr>
              <w:t>1</w:t>
            </w:r>
            <w:r w:rsidRPr="00696F41">
              <w:rPr>
                <w:rFonts w:ascii="Book Antiqua" w:hAnsi="Book Antiqua" w:cs="Times New Roman"/>
                <w:lang w:eastAsia="zh-CN"/>
              </w:rPr>
              <w:t xml:space="preserve"> </w:t>
            </w:r>
            <w:r w:rsidRPr="00696F41">
              <w:rPr>
                <w:rFonts w:ascii="Book Antiqua" w:eastAsia="Book Antiqua" w:hAnsi="Book Antiqua" w:cs="Times New Roman"/>
              </w:rPr>
              <w:t>(2.70)</w:t>
            </w:r>
          </w:p>
        </w:tc>
        <w:tc>
          <w:tcPr>
            <w:tcW w:w="1135" w:type="pct"/>
            <w:vAlign w:val="center"/>
          </w:tcPr>
          <w:p w14:paraId="0432B125"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rPr>
              <w:t>1</w:t>
            </w:r>
          </w:p>
        </w:tc>
      </w:tr>
      <w:tr w:rsidR="00941C6B" w:rsidRPr="00696F41" w14:paraId="5176DBBB" w14:textId="77777777" w:rsidTr="00C42F1F">
        <w:trPr>
          <w:trHeight w:val="288"/>
        </w:trPr>
        <w:tc>
          <w:tcPr>
            <w:tcW w:w="5000" w:type="pct"/>
            <w:gridSpan w:val="3"/>
            <w:vAlign w:val="center"/>
          </w:tcPr>
          <w:p w14:paraId="6E47BEFD"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b/>
                <w:bCs/>
              </w:rPr>
              <w:t>Infections and infestations</w:t>
            </w:r>
          </w:p>
        </w:tc>
      </w:tr>
      <w:tr w:rsidR="00941C6B" w:rsidRPr="00696F41" w14:paraId="3F917D36" w14:textId="77777777" w:rsidTr="00C42F1F">
        <w:trPr>
          <w:trHeight w:val="288"/>
        </w:trPr>
        <w:tc>
          <w:tcPr>
            <w:tcW w:w="2481" w:type="pct"/>
            <w:vAlign w:val="center"/>
          </w:tcPr>
          <w:p w14:paraId="57D87D75" w14:textId="77777777" w:rsidR="00941C6B" w:rsidRPr="00696F41" w:rsidRDefault="00941C6B" w:rsidP="00C42F1F">
            <w:pPr>
              <w:spacing w:line="360" w:lineRule="auto"/>
              <w:ind w:left="562" w:hanging="274"/>
              <w:jc w:val="both"/>
              <w:rPr>
                <w:rFonts w:ascii="Book Antiqua" w:eastAsia="Book Antiqua" w:hAnsi="Book Antiqua" w:cs="Times New Roman"/>
              </w:rPr>
            </w:pPr>
            <w:r w:rsidRPr="00696F41">
              <w:rPr>
                <w:rFonts w:ascii="Book Antiqua" w:eastAsia="Book Antiqua" w:hAnsi="Book Antiqua" w:cs="Times New Roman"/>
              </w:rPr>
              <w:t>Exit site infection/inflammation</w:t>
            </w:r>
          </w:p>
        </w:tc>
        <w:tc>
          <w:tcPr>
            <w:tcW w:w="1384" w:type="pct"/>
            <w:vAlign w:val="center"/>
          </w:tcPr>
          <w:p w14:paraId="2751DA41"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rPr>
              <w:t>6</w:t>
            </w:r>
            <w:r w:rsidRPr="00696F41">
              <w:rPr>
                <w:rFonts w:ascii="Book Antiqua" w:hAnsi="Book Antiqua" w:cs="Times New Roman"/>
                <w:lang w:eastAsia="zh-CN"/>
              </w:rPr>
              <w:t xml:space="preserve"> </w:t>
            </w:r>
            <w:r w:rsidRPr="00696F41">
              <w:rPr>
                <w:rFonts w:ascii="Book Antiqua" w:eastAsia="Book Antiqua" w:hAnsi="Book Antiqua" w:cs="Times New Roman"/>
              </w:rPr>
              <w:t>(16.22)</w:t>
            </w:r>
          </w:p>
        </w:tc>
        <w:tc>
          <w:tcPr>
            <w:tcW w:w="1135" w:type="pct"/>
            <w:vAlign w:val="center"/>
          </w:tcPr>
          <w:p w14:paraId="0A2EC6E9"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rPr>
              <w:t>6</w:t>
            </w:r>
          </w:p>
        </w:tc>
      </w:tr>
      <w:tr w:rsidR="00941C6B" w:rsidRPr="00696F41" w14:paraId="69E0C293" w14:textId="77777777" w:rsidTr="00C42F1F">
        <w:trPr>
          <w:trHeight w:val="288"/>
        </w:trPr>
        <w:tc>
          <w:tcPr>
            <w:tcW w:w="2481" w:type="pct"/>
            <w:vAlign w:val="center"/>
          </w:tcPr>
          <w:p w14:paraId="4B7D4CAB" w14:textId="77777777" w:rsidR="00941C6B" w:rsidRPr="00696F41" w:rsidRDefault="00941C6B" w:rsidP="00C42F1F">
            <w:pPr>
              <w:spacing w:line="360" w:lineRule="auto"/>
              <w:ind w:left="562" w:hanging="274"/>
              <w:jc w:val="both"/>
              <w:rPr>
                <w:rFonts w:ascii="Book Antiqua" w:eastAsia="Book Antiqua" w:hAnsi="Book Antiqua" w:cs="Times New Roman"/>
              </w:rPr>
            </w:pPr>
            <w:r w:rsidRPr="00696F41">
              <w:rPr>
                <w:rFonts w:ascii="Book Antiqua" w:eastAsia="Book Antiqua" w:hAnsi="Book Antiqua" w:cs="Times New Roman"/>
              </w:rPr>
              <w:t>Pneumonia</w:t>
            </w:r>
            <w:r w:rsidRPr="00696F41">
              <w:rPr>
                <w:rFonts w:ascii="Book Antiqua" w:eastAsia="Book Antiqua" w:hAnsi="Book Antiqua" w:cs="Times New Roman"/>
                <w:vertAlign w:val="superscript"/>
              </w:rPr>
              <w:t>1</w:t>
            </w:r>
          </w:p>
        </w:tc>
        <w:tc>
          <w:tcPr>
            <w:tcW w:w="1384" w:type="pct"/>
            <w:vAlign w:val="center"/>
          </w:tcPr>
          <w:p w14:paraId="20F323F9"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rPr>
              <w:t>2</w:t>
            </w:r>
            <w:r w:rsidRPr="00696F41">
              <w:rPr>
                <w:rFonts w:ascii="Book Antiqua" w:hAnsi="Book Antiqua" w:cs="Times New Roman"/>
                <w:lang w:eastAsia="zh-CN"/>
              </w:rPr>
              <w:t xml:space="preserve"> </w:t>
            </w:r>
            <w:r w:rsidRPr="00696F41">
              <w:rPr>
                <w:rFonts w:ascii="Book Antiqua" w:eastAsia="Book Antiqua" w:hAnsi="Book Antiqua" w:cs="Times New Roman"/>
              </w:rPr>
              <w:t>(5.40)</w:t>
            </w:r>
          </w:p>
        </w:tc>
        <w:tc>
          <w:tcPr>
            <w:tcW w:w="1135" w:type="pct"/>
            <w:vAlign w:val="center"/>
          </w:tcPr>
          <w:p w14:paraId="2AB7D7DB"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rPr>
              <w:t>2</w:t>
            </w:r>
          </w:p>
        </w:tc>
      </w:tr>
      <w:tr w:rsidR="00941C6B" w:rsidRPr="00696F41" w14:paraId="3E6429F8" w14:textId="77777777" w:rsidTr="00C42F1F">
        <w:trPr>
          <w:trHeight w:val="288"/>
        </w:trPr>
        <w:tc>
          <w:tcPr>
            <w:tcW w:w="2481" w:type="pct"/>
            <w:vAlign w:val="center"/>
          </w:tcPr>
          <w:p w14:paraId="6E956F52" w14:textId="77777777" w:rsidR="00941C6B" w:rsidRPr="00696F41" w:rsidRDefault="00941C6B" w:rsidP="00C42F1F">
            <w:pPr>
              <w:spacing w:line="360" w:lineRule="auto"/>
              <w:ind w:left="562" w:hanging="274"/>
              <w:jc w:val="both"/>
              <w:rPr>
                <w:rFonts w:ascii="Book Antiqua" w:eastAsia="Book Antiqua" w:hAnsi="Book Antiqua" w:cs="Times New Roman"/>
              </w:rPr>
            </w:pPr>
            <w:r w:rsidRPr="00696F41">
              <w:rPr>
                <w:rFonts w:ascii="Book Antiqua" w:eastAsia="Book Antiqua" w:hAnsi="Book Antiqua" w:cs="Times New Roman"/>
              </w:rPr>
              <w:t>Eosinophilic peritonitis</w:t>
            </w:r>
          </w:p>
        </w:tc>
        <w:tc>
          <w:tcPr>
            <w:tcW w:w="1384" w:type="pct"/>
            <w:vAlign w:val="center"/>
          </w:tcPr>
          <w:p w14:paraId="75DC8888"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rPr>
              <w:t>2</w:t>
            </w:r>
            <w:r w:rsidRPr="00696F41">
              <w:rPr>
                <w:rFonts w:ascii="Book Antiqua" w:hAnsi="Book Antiqua" w:cs="Times New Roman"/>
                <w:lang w:eastAsia="zh-CN"/>
              </w:rPr>
              <w:t xml:space="preserve"> </w:t>
            </w:r>
            <w:r w:rsidRPr="00696F41">
              <w:rPr>
                <w:rFonts w:ascii="Book Antiqua" w:eastAsia="Book Antiqua" w:hAnsi="Book Antiqua" w:cs="Times New Roman"/>
              </w:rPr>
              <w:t>(5.40)</w:t>
            </w:r>
          </w:p>
        </w:tc>
        <w:tc>
          <w:tcPr>
            <w:tcW w:w="1135" w:type="pct"/>
            <w:vAlign w:val="center"/>
          </w:tcPr>
          <w:p w14:paraId="286ED167"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rPr>
              <w:t>2</w:t>
            </w:r>
          </w:p>
        </w:tc>
      </w:tr>
      <w:tr w:rsidR="00941C6B" w:rsidRPr="00696F41" w14:paraId="6EB40A9F" w14:textId="77777777" w:rsidTr="00C42F1F">
        <w:trPr>
          <w:trHeight w:val="288"/>
        </w:trPr>
        <w:tc>
          <w:tcPr>
            <w:tcW w:w="5000" w:type="pct"/>
            <w:gridSpan w:val="3"/>
            <w:vAlign w:val="center"/>
          </w:tcPr>
          <w:p w14:paraId="23AAE8DC"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b/>
                <w:bCs/>
              </w:rPr>
              <w:t>Injury, poisoning and procedural complications</w:t>
            </w:r>
          </w:p>
        </w:tc>
      </w:tr>
      <w:tr w:rsidR="00941C6B" w:rsidRPr="00696F41" w14:paraId="1EB0DB5D" w14:textId="77777777" w:rsidTr="00C42F1F">
        <w:trPr>
          <w:trHeight w:val="288"/>
        </w:trPr>
        <w:tc>
          <w:tcPr>
            <w:tcW w:w="2481" w:type="pct"/>
            <w:vAlign w:val="center"/>
          </w:tcPr>
          <w:p w14:paraId="0C0879A4" w14:textId="77777777" w:rsidR="00941C6B" w:rsidRPr="00696F41" w:rsidRDefault="00941C6B" w:rsidP="00C42F1F">
            <w:pPr>
              <w:spacing w:line="360" w:lineRule="auto"/>
              <w:ind w:left="288"/>
              <w:jc w:val="both"/>
              <w:rPr>
                <w:rFonts w:ascii="Book Antiqua" w:eastAsia="Book Antiqua" w:hAnsi="Book Antiqua" w:cs="Times New Roman"/>
              </w:rPr>
            </w:pPr>
            <w:r w:rsidRPr="00696F41">
              <w:rPr>
                <w:rFonts w:ascii="Book Antiqua" w:eastAsia="Book Antiqua" w:hAnsi="Book Antiqua" w:cs="Times New Roman"/>
              </w:rPr>
              <w:t>Closed fractures of femur</w:t>
            </w:r>
            <w:r w:rsidRPr="00696F41">
              <w:rPr>
                <w:rFonts w:ascii="Book Antiqua" w:eastAsia="Book Antiqua" w:hAnsi="Book Antiqua" w:cs="Times New Roman"/>
                <w:vertAlign w:val="superscript"/>
              </w:rPr>
              <w:t>1</w:t>
            </w:r>
          </w:p>
        </w:tc>
        <w:tc>
          <w:tcPr>
            <w:tcW w:w="1384" w:type="pct"/>
            <w:vAlign w:val="center"/>
          </w:tcPr>
          <w:p w14:paraId="3C2F3011"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rPr>
              <w:t>1</w:t>
            </w:r>
            <w:r w:rsidRPr="00696F41">
              <w:rPr>
                <w:rFonts w:ascii="Book Antiqua" w:hAnsi="Book Antiqua" w:cs="Times New Roman"/>
                <w:lang w:eastAsia="zh-CN"/>
              </w:rPr>
              <w:t xml:space="preserve"> </w:t>
            </w:r>
            <w:r w:rsidRPr="00696F41">
              <w:rPr>
                <w:rFonts w:ascii="Book Antiqua" w:eastAsia="Book Antiqua" w:hAnsi="Book Antiqua" w:cs="Times New Roman"/>
              </w:rPr>
              <w:t>(2.70)</w:t>
            </w:r>
          </w:p>
        </w:tc>
        <w:tc>
          <w:tcPr>
            <w:tcW w:w="1135" w:type="pct"/>
            <w:vAlign w:val="center"/>
          </w:tcPr>
          <w:p w14:paraId="7953CB72"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rPr>
              <w:t>1</w:t>
            </w:r>
          </w:p>
        </w:tc>
      </w:tr>
      <w:tr w:rsidR="00941C6B" w:rsidRPr="00696F41" w14:paraId="5ED5941B" w14:textId="77777777" w:rsidTr="00C42F1F">
        <w:trPr>
          <w:trHeight w:val="288"/>
        </w:trPr>
        <w:tc>
          <w:tcPr>
            <w:tcW w:w="2481" w:type="pct"/>
            <w:vAlign w:val="center"/>
          </w:tcPr>
          <w:p w14:paraId="01DC3783" w14:textId="77777777" w:rsidR="00941C6B" w:rsidRPr="00696F41" w:rsidRDefault="00941C6B" w:rsidP="00C42F1F">
            <w:pPr>
              <w:spacing w:line="360" w:lineRule="auto"/>
              <w:ind w:left="288"/>
              <w:jc w:val="both"/>
              <w:rPr>
                <w:rFonts w:ascii="Book Antiqua" w:eastAsia="Book Antiqua" w:hAnsi="Book Antiqua" w:cs="Times New Roman"/>
              </w:rPr>
            </w:pPr>
            <w:r w:rsidRPr="00696F41">
              <w:rPr>
                <w:rFonts w:ascii="Book Antiqua" w:eastAsia="Book Antiqua" w:hAnsi="Book Antiqua" w:cs="Times New Roman"/>
              </w:rPr>
              <w:t>Accidental tear small bowel</w:t>
            </w:r>
            <w:r w:rsidRPr="00696F41">
              <w:rPr>
                <w:rFonts w:ascii="Book Antiqua" w:eastAsia="Book Antiqua" w:hAnsi="Book Antiqua" w:cs="Times New Roman"/>
                <w:vertAlign w:val="superscript"/>
              </w:rPr>
              <w:t>1</w:t>
            </w:r>
          </w:p>
        </w:tc>
        <w:tc>
          <w:tcPr>
            <w:tcW w:w="1384" w:type="pct"/>
            <w:vAlign w:val="center"/>
          </w:tcPr>
          <w:p w14:paraId="784A3CF5"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rPr>
              <w:t>1</w:t>
            </w:r>
            <w:r w:rsidRPr="00696F41">
              <w:rPr>
                <w:rFonts w:ascii="Book Antiqua" w:hAnsi="Book Antiqua" w:cs="Times New Roman"/>
                <w:lang w:eastAsia="zh-CN"/>
              </w:rPr>
              <w:t xml:space="preserve"> </w:t>
            </w:r>
            <w:r w:rsidRPr="00696F41">
              <w:rPr>
                <w:rFonts w:ascii="Book Antiqua" w:eastAsia="Book Antiqua" w:hAnsi="Book Antiqua" w:cs="Times New Roman"/>
              </w:rPr>
              <w:t>(2.70)</w:t>
            </w:r>
          </w:p>
        </w:tc>
        <w:tc>
          <w:tcPr>
            <w:tcW w:w="1135" w:type="pct"/>
            <w:vAlign w:val="center"/>
          </w:tcPr>
          <w:p w14:paraId="53116ED4"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rPr>
              <w:t>1</w:t>
            </w:r>
          </w:p>
        </w:tc>
      </w:tr>
      <w:tr w:rsidR="00941C6B" w:rsidRPr="00696F41" w14:paraId="0210F8EC" w14:textId="77777777" w:rsidTr="00C42F1F">
        <w:trPr>
          <w:trHeight w:val="288"/>
        </w:trPr>
        <w:tc>
          <w:tcPr>
            <w:tcW w:w="5000" w:type="pct"/>
            <w:gridSpan w:val="3"/>
            <w:vAlign w:val="center"/>
          </w:tcPr>
          <w:p w14:paraId="429FA886"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b/>
                <w:bCs/>
              </w:rPr>
              <w:t>Investigations</w:t>
            </w:r>
          </w:p>
        </w:tc>
      </w:tr>
      <w:tr w:rsidR="00941C6B" w:rsidRPr="00696F41" w14:paraId="060A7863" w14:textId="77777777" w:rsidTr="00C42F1F">
        <w:trPr>
          <w:trHeight w:val="288"/>
        </w:trPr>
        <w:tc>
          <w:tcPr>
            <w:tcW w:w="2481" w:type="pct"/>
            <w:vAlign w:val="center"/>
          </w:tcPr>
          <w:p w14:paraId="602A19D9" w14:textId="77777777" w:rsidR="00941C6B" w:rsidRPr="00696F41" w:rsidRDefault="00941C6B" w:rsidP="00C42F1F">
            <w:pPr>
              <w:spacing w:line="360" w:lineRule="auto"/>
              <w:ind w:left="288"/>
              <w:jc w:val="both"/>
              <w:rPr>
                <w:rFonts w:ascii="Book Antiqua" w:eastAsia="Book Antiqua" w:hAnsi="Book Antiqua" w:cs="Times New Roman"/>
              </w:rPr>
            </w:pPr>
            <w:r w:rsidRPr="00696F41">
              <w:rPr>
                <w:rFonts w:ascii="Book Antiqua" w:eastAsia="Book Antiqua" w:hAnsi="Book Antiqua" w:cs="Times New Roman"/>
              </w:rPr>
              <w:t>Hyperkalemia</w:t>
            </w:r>
          </w:p>
        </w:tc>
        <w:tc>
          <w:tcPr>
            <w:tcW w:w="1384" w:type="pct"/>
            <w:vAlign w:val="center"/>
          </w:tcPr>
          <w:p w14:paraId="4A2E88CE"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rPr>
              <w:t>1</w:t>
            </w:r>
            <w:r w:rsidRPr="00696F41">
              <w:rPr>
                <w:rFonts w:ascii="Book Antiqua" w:hAnsi="Book Antiqua" w:cs="Times New Roman"/>
                <w:lang w:eastAsia="zh-CN"/>
              </w:rPr>
              <w:t xml:space="preserve"> </w:t>
            </w:r>
            <w:r w:rsidRPr="00696F41">
              <w:rPr>
                <w:rFonts w:ascii="Book Antiqua" w:eastAsia="Book Antiqua" w:hAnsi="Book Antiqua" w:cs="Times New Roman"/>
              </w:rPr>
              <w:t>(2.70)</w:t>
            </w:r>
          </w:p>
        </w:tc>
        <w:tc>
          <w:tcPr>
            <w:tcW w:w="1135" w:type="pct"/>
            <w:vAlign w:val="center"/>
          </w:tcPr>
          <w:p w14:paraId="764311B0"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rPr>
              <w:t>1</w:t>
            </w:r>
          </w:p>
        </w:tc>
      </w:tr>
      <w:tr w:rsidR="00941C6B" w:rsidRPr="00696F41" w14:paraId="3ECA9C48" w14:textId="77777777" w:rsidTr="00C42F1F">
        <w:trPr>
          <w:trHeight w:val="288"/>
        </w:trPr>
        <w:tc>
          <w:tcPr>
            <w:tcW w:w="2481" w:type="pct"/>
            <w:vAlign w:val="center"/>
          </w:tcPr>
          <w:p w14:paraId="5AB933B9" w14:textId="77777777" w:rsidR="00941C6B" w:rsidRPr="00696F41" w:rsidRDefault="00941C6B" w:rsidP="00C42F1F">
            <w:pPr>
              <w:spacing w:line="360" w:lineRule="auto"/>
              <w:ind w:left="288"/>
              <w:jc w:val="both"/>
              <w:rPr>
                <w:rFonts w:ascii="Book Antiqua" w:eastAsia="Book Antiqua" w:hAnsi="Book Antiqua" w:cs="Times New Roman"/>
              </w:rPr>
            </w:pPr>
            <w:r w:rsidRPr="00696F41">
              <w:rPr>
                <w:rFonts w:ascii="Book Antiqua" w:eastAsia="Book Antiqua" w:hAnsi="Book Antiqua" w:cs="Times New Roman"/>
              </w:rPr>
              <w:t>Hypokalemia</w:t>
            </w:r>
          </w:p>
        </w:tc>
        <w:tc>
          <w:tcPr>
            <w:tcW w:w="1384" w:type="pct"/>
            <w:vAlign w:val="center"/>
          </w:tcPr>
          <w:p w14:paraId="0E021E2C"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rPr>
              <w:t>1</w:t>
            </w:r>
            <w:r w:rsidRPr="00696F41">
              <w:rPr>
                <w:rFonts w:ascii="Book Antiqua" w:hAnsi="Book Antiqua" w:cs="Times New Roman"/>
                <w:lang w:eastAsia="zh-CN"/>
              </w:rPr>
              <w:t xml:space="preserve"> </w:t>
            </w:r>
            <w:r w:rsidRPr="00696F41">
              <w:rPr>
                <w:rFonts w:ascii="Book Antiqua" w:eastAsia="Book Antiqua" w:hAnsi="Book Antiqua" w:cs="Times New Roman"/>
              </w:rPr>
              <w:t>(2.70)</w:t>
            </w:r>
          </w:p>
        </w:tc>
        <w:tc>
          <w:tcPr>
            <w:tcW w:w="1135" w:type="pct"/>
            <w:vAlign w:val="center"/>
          </w:tcPr>
          <w:p w14:paraId="024C28EC"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rPr>
              <w:t>1</w:t>
            </w:r>
          </w:p>
        </w:tc>
      </w:tr>
      <w:tr w:rsidR="00941C6B" w:rsidRPr="00696F41" w14:paraId="07567838" w14:textId="77777777" w:rsidTr="00C42F1F">
        <w:trPr>
          <w:trHeight w:val="288"/>
        </w:trPr>
        <w:tc>
          <w:tcPr>
            <w:tcW w:w="2481" w:type="pct"/>
            <w:vAlign w:val="center"/>
          </w:tcPr>
          <w:p w14:paraId="7DDA58FC" w14:textId="77777777" w:rsidR="00941C6B" w:rsidRPr="00696F41" w:rsidRDefault="00941C6B" w:rsidP="00C42F1F">
            <w:pPr>
              <w:spacing w:line="360" w:lineRule="auto"/>
              <w:ind w:left="288"/>
              <w:jc w:val="both"/>
              <w:rPr>
                <w:rFonts w:ascii="Book Antiqua" w:eastAsia="Book Antiqua" w:hAnsi="Book Antiqua" w:cs="Times New Roman"/>
              </w:rPr>
            </w:pPr>
            <w:r w:rsidRPr="00696F41">
              <w:rPr>
                <w:rFonts w:ascii="Book Antiqua" w:eastAsia="Book Antiqua" w:hAnsi="Book Antiqua" w:cs="Times New Roman"/>
              </w:rPr>
              <w:t>Hyperphosphatemia</w:t>
            </w:r>
          </w:p>
        </w:tc>
        <w:tc>
          <w:tcPr>
            <w:tcW w:w="1384" w:type="pct"/>
            <w:vAlign w:val="center"/>
          </w:tcPr>
          <w:p w14:paraId="3C94C2CB"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rPr>
              <w:t>1</w:t>
            </w:r>
            <w:r w:rsidRPr="00696F41">
              <w:rPr>
                <w:rFonts w:ascii="Book Antiqua" w:hAnsi="Book Antiqua" w:cs="Times New Roman"/>
                <w:lang w:eastAsia="zh-CN"/>
              </w:rPr>
              <w:t xml:space="preserve"> </w:t>
            </w:r>
            <w:r w:rsidRPr="00696F41">
              <w:rPr>
                <w:rFonts w:ascii="Book Antiqua" w:eastAsia="Book Antiqua" w:hAnsi="Book Antiqua" w:cs="Times New Roman"/>
              </w:rPr>
              <w:t>(2.70)</w:t>
            </w:r>
          </w:p>
        </w:tc>
        <w:tc>
          <w:tcPr>
            <w:tcW w:w="1135" w:type="pct"/>
            <w:vAlign w:val="center"/>
          </w:tcPr>
          <w:p w14:paraId="3201BA57"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rPr>
              <w:t>1</w:t>
            </w:r>
          </w:p>
        </w:tc>
      </w:tr>
      <w:tr w:rsidR="00941C6B" w:rsidRPr="00696F41" w14:paraId="37A73B56" w14:textId="77777777" w:rsidTr="00C42F1F">
        <w:trPr>
          <w:trHeight w:val="288"/>
        </w:trPr>
        <w:tc>
          <w:tcPr>
            <w:tcW w:w="5000" w:type="pct"/>
            <w:gridSpan w:val="3"/>
            <w:vAlign w:val="center"/>
          </w:tcPr>
          <w:p w14:paraId="1B4EC34E"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b/>
                <w:bCs/>
              </w:rPr>
              <w:t>Metabolism and nutrition disorders</w:t>
            </w:r>
          </w:p>
        </w:tc>
      </w:tr>
      <w:tr w:rsidR="00941C6B" w:rsidRPr="00696F41" w14:paraId="48EAE62B" w14:textId="77777777" w:rsidTr="00C42F1F">
        <w:trPr>
          <w:trHeight w:val="288"/>
        </w:trPr>
        <w:tc>
          <w:tcPr>
            <w:tcW w:w="2481" w:type="pct"/>
            <w:vAlign w:val="center"/>
          </w:tcPr>
          <w:p w14:paraId="259C2E55" w14:textId="77777777" w:rsidR="00941C6B" w:rsidRPr="00696F41" w:rsidRDefault="00941C6B" w:rsidP="00C42F1F">
            <w:pPr>
              <w:spacing w:line="360" w:lineRule="auto"/>
              <w:ind w:left="288"/>
              <w:jc w:val="both"/>
              <w:rPr>
                <w:rFonts w:ascii="Book Antiqua" w:eastAsia="Book Antiqua" w:hAnsi="Book Antiqua" w:cs="Times New Roman"/>
              </w:rPr>
            </w:pPr>
            <w:r w:rsidRPr="00696F41">
              <w:rPr>
                <w:rFonts w:ascii="Book Antiqua" w:eastAsia="Book Antiqua" w:hAnsi="Book Antiqua" w:cs="Times New Roman"/>
              </w:rPr>
              <w:t>Hypoglycemia</w:t>
            </w:r>
          </w:p>
        </w:tc>
        <w:tc>
          <w:tcPr>
            <w:tcW w:w="1384" w:type="pct"/>
            <w:vAlign w:val="center"/>
          </w:tcPr>
          <w:p w14:paraId="73AA2F6B"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rPr>
              <w:t>2</w:t>
            </w:r>
            <w:r w:rsidRPr="00696F41">
              <w:rPr>
                <w:rFonts w:ascii="Book Antiqua" w:hAnsi="Book Antiqua" w:cs="Times New Roman"/>
                <w:lang w:eastAsia="zh-CN"/>
              </w:rPr>
              <w:t xml:space="preserve"> </w:t>
            </w:r>
            <w:r w:rsidRPr="00696F41">
              <w:rPr>
                <w:rFonts w:ascii="Book Antiqua" w:eastAsia="Book Antiqua" w:hAnsi="Book Antiqua" w:cs="Times New Roman"/>
              </w:rPr>
              <w:t>(5.40)</w:t>
            </w:r>
          </w:p>
        </w:tc>
        <w:tc>
          <w:tcPr>
            <w:tcW w:w="1135" w:type="pct"/>
            <w:vAlign w:val="center"/>
          </w:tcPr>
          <w:p w14:paraId="62EA1315"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rPr>
              <w:t>2</w:t>
            </w:r>
          </w:p>
        </w:tc>
      </w:tr>
      <w:tr w:rsidR="00941C6B" w:rsidRPr="00696F41" w14:paraId="14D87188" w14:textId="77777777" w:rsidTr="00C42F1F">
        <w:trPr>
          <w:trHeight w:val="288"/>
        </w:trPr>
        <w:tc>
          <w:tcPr>
            <w:tcW w:w="5000" w:type="pct"/>
            <w:gridSpan w:val="3"/>
            <w:vAlign w:val="center"/>
          </w:tcPr>
          <w:p w14:paraId="768CDBC8"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b/>
                <w:bCs/>
              </w:rPr>
              <w:t>Musculoskeletal and connective tissue disorders</w:t>
            </w:r>
          </w:p>
        </w:tc>
      </w:tr>
      <w:tr w:rsidR="00941C6B" w:rsidRPr="00696F41" w14:paraId="1956598D" w14:textId="77777777" w:rsidTr="00C42F1F">
        <w:trPr>
          <w:trHeight w:val="288"/>
        </w:trPr>
        <w:tc>
          <w:tcPr>
            <w:tcW w:w="2481" w:type="pct"/>
            <w:vAlign w:val="center"/>
          </w:tcPr>
          <w:p w14:paraId="4E883B35" w14:textId="77777777" w:rsidR="00941C6B" w:rsidRPr="00696F41" w:rsidRDefault="00941C6B" w:rsidP="00C42F1F">
            <w:pPr>
              <w:spacing w:line="360" w:lineRule="auto"/>
              <w:ind w:left="288"/>
              <w:jc w:val="both"/>
              <w:rPr>
                <w:rFonts w:ascii="Book Antiqua" w:eastAsia="Book Antiqua" w:hAnsi="Book Antiqua" w:cs="Times New Roman"/>
              </w:rPr>
            </w:pPr>
            <w:r w:rsidRPr="00696F41">
              <w:rPr>
                <w:rFonts w:ascii="Book Antiqua" w:eastAsia="Book Antiqua" w:hAnsi="Book Antiqua" w:cs="Times New Roman"/>
              </w:rPr>
              <w:t>Acute arthritis</w:t>
            </w:r>
          </w:p>
        </w:tc>
        <w:tc>
          <w:tcPr>
            <w:tcW w:w="1384" w:type="pct"/>
            <w:vAlign w:val="center"/>
          </w:tcPr>
          <w:p w14:paraId="5B54410F"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rPr>
              <w:t>1</w:t>
            </w:r>
            <w:r w:rsidRPr="00696F41">
              <w:rPr>
                <w:rFonts w:ascii="Book Antiqua" w:hAnsi="Book Antiqua" w:cs="Times New Roman"/>
                <w:lang w:eastAsia="zh-CN"/>
              </w:rPr>
              <w:t xml:space="preserve"> </w:t>
            </w:r>
            <w:r w:rsidRPr="00696F41">
              <w:rPr>
                <w:rFonts w:ascii="Book Antiqua" w:eastAsia="Book Antiqua" w:hAnsi="Book Antiqua" w:cs="Times New Roman"/>
              </w:rPr>
              <w:t>(2.70)</w:t>
            </w:r>
          </w:p>
        </w:tc>
        <w:tc>
          <w:tcPr>
            <w:tcW w:w="1135" w:type="pct"/>
            <w:vAlign w:val="center"/>
          </w:tcPr>
          <w:p w14:paraId="4A50D05D"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rPr>
              <w:t>1</w:t>
            </w:r>
          </w:p>
        </w:tc>
      </w:tr>
      <w:tr w:rsidR="00941C6B" w:rsidRPr="00696F41" w14:paraId="0AE5A19D" w14:textId="77777777" w:rsidTr="00C42F1F">
        <w:trPr>
          <w:trHeight w:val="288"/>
        </w:trPr>
        <w:tc>
          <w:tcPr>
            <w:tcW w:w="5000" w:type="pct"/>
            <w:gridSpan w:val="3"/>
            <w:vAlign w:val="center"/>
          </w:tcPr>
          <w:p w14:paraId="20B640EE"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b/>
                <w:bCs/>
              </w:rPr>
              <w:t>Nervous system disorders</w:t>
            </w:r>
          </w:p>
        </w:tc>
      </w:tr>
      <w:tr w:rsidR="00941C6B" w:rsidRPr="00696F41" w14:paraId="631F08B7" w14:textId="77777777" w:rsidTr="00C42F1F">
        <w:trPr>
          <w:trHeight w:val="288"/>
        </w:trPr>
        <w:tc>
          <w:tcPr>
            <w:tcW w:w="2481" w:type="pct"/>
            <w:vAlign w:val="center"/>
          </w:tcPr>
          <w:p w14:paraId="2675AB86" w14:textId="77777777" w:rsidR="00941C6B" w:rsidRPr="00696F41" w:rsidRDefault="00941C6B" w:rsidP="00C42F1F">
            <w:pPr>
              <w:spacing w:line="360" w:lineRule="auto"/>
              <w:ind w:left="288"/>
              <w:jc w:val="both"/>
              <w:rPr>
                <w:rFonts w:ascii="Book Antiqua" w:eastAsia="Book Antiqua" w:hAnsi="Book Antiqua" w:cs="Times New Roman"/>
              </w:rPr>
            </w:pPr>
            <w:r w:rsidRPr="00696F41">
              <w:rPr>
                <w:rFonts w:ascii="Book Antiqua" w:eastAsia="Book Antiqua" w:hAnsi="Book Antiqua" w:cs="Times New Roman"/>
              </w:rPr>
              <w:t>Headache</w:t>
            </w:r>
          </w:p>
        </w:tc>
        <w:tc>
          <w:tcPr>
            <w:tcW w:w="1384" w:type="pct"/>
            <w:vAlign w:val="center"/>
          </w:tcPr>
          <w:p w14:paraId="0B4202F5"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rPr>
              <w:t>1</w:t>
            </w:r>
            <w:r w:rsidRPr="00696F41">
              <w:rPr>
                <w:rFonts w:ascii="Book Antiqua" w:hAnsi="Book Antiqua" w:cs="Times New Roman"/>
                <w:lang w:eastAsia="zh-CN"/>
              </w:rPr>
              <w:t xml:space="preserve"> </w:t>
            </w:r>
            <w:r w:rsidRPr="00696F41">
              <w:rPr>
                <w:rFonts w:ascii="Book Antiqua" w:eastAsia="Book Antiqua" w:hAnsi="Book Antiqua" w:cs="Times New Roman"/>
              </w:rPr>
              <w:t>(2.70)</w:t>
            </w:r>
          </w:p>
        </w:tc>
        <w:tc>
          <w:tcPr>
            <w:tcW w:w="1135" w:type="pct"/>
            <w:vAlign w:val="center"/>
          </w:tcPr>
          <w:p w14:paraId="7E782B38"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rPr>
              <w:t>1</w:t>
            </w:r>
          </w:p>
        </w:tc>
      </w:tr>
      <w:tr w:rsidR="00941C6B" w:rsidRPr="00696F41" w14:paraId="27ED9475" w14:textId="77777777" w:rsidTr="00C42F1F">
        <w:trPr>
          <w:trHeight w:val="288"/>
        </w:trPr>
        <w:tc>
          <w:tcPr>
            <w:tcW w:w="2481" w:type="pct"/>
            <w:vAlign w:val="center"/>
          </w:tcPr>
          <w:p w14:paraId="389E3A9C" w14:textId="77777777" w:rsidR="00941C6B" w:rsidRPr="00696F41" w:rsidRDefault="00941C6B" w:rsidP="00C42F1F">
            <w:pPr>
              <w:spacing w:line="360" w:lineRule="auto"/>
              <w:ind w:left="288"/>
              <w:jc w:val="both"/>
              <w:rPr>
                <w:rFonts w:ascii="Book Antiqua" w:eastAsia="Book Antiqua" w:hAnsi="Book Antiqua" w:cs="Times New Roman"/>
              </w:rPr>
            </w:pPr>
            <w:r w:rsidRPr="00696F41">
              <w:rPr>
                <w:rFonts w:ascii="Book Antiqua" w:eastAsia="Book Antiqua" w:hAnsi="Book Antiqua" w:cs="Times New Roman"/>
              </w:rPr>
              <w:t>Dizziness</w:t>
            </w:r>
          </w:p>
        </w:tc>
        <w:tc>
          <w:tcPr>
            <w:tcW w:w="1384" w:type="pct"/>
            <w:vAlign w:val="center"/>
          </w:tcPr>
          <w:p w14:paraId="293B3C41"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rPr>
              <w:t>1</w:t>
            </w:r>
            <w:r w:rsidRPr="00696F41">
              <w:rPr>
                <w:rFonts w:ascii="Book Antiqua" w:hAnsi="Book Antiqua" w:cs="Times New Roman"/>
                <w:lang w:eastAsia="zh-CN"/>
              </w:rPr>
              <w:t xml:space="preserve"> </w:t>
            </w:r>
            <w:r w:rsidRPr="00696F41">
              <w:rPr>
                <w:rFonts w:ascii="Book Antiqua" w:eastAsia="Book Antiqua" w:hAnsi="Book Antiqua" w:cs="Times New Roman"/>
              </w:rPr>
              <w:t>(2.70)</w:t>
            </w:r>
          </w:p>
        </w:tc>
        <w:tc>
          <w:tcPr>
            <w:tcW w:w="1135" w:type="pct"/>
            <w:vAlign w:val="center"/>
          </w:tcPr>
          <w:p w14:paraId="60834B53"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rPr>
              <w:t>1</w:t>
            </w:r>
          </w:p>
        </w:tc>
      </w:tr>
      <w:tr w:rsidR="00941C6B" w:rsidRPr="00696F41" w14:paraId="210FEB94" w14:textId="77777777" w:rsidTr="00C42F1F">
        <w:trPr>
          <w:trHeight w:val="288"/>
        </w:trPr>
        <w:tc>
          <w:tcPr>
            <w:tcW w:w="5000" w:type="pct"/>
            <w:gridSpan w:val="3"/>
            <w:vAlign w:val="center"/>
          </w:tcPr>
          <w:p w14:paraId="60651628"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b/>
                <w:bCs/>
              </w:rPr>
              <w:t>Renal and urinary disorders</w:t>
            </w:r>
          </w:p>
        </w:tc>
      </w:tr>
      <w:tr w:rsidR="00941C6B" w:rsidRPr="00696F41" w14:paraId="34B0A0AF" w14:textId="77777777" w:rsidTr="00C42F1F">
        <w:trPr>
          <w:trHeight w:val="288"/>
        </w:trPr>
        <w:tc>
          <w:tcPr>
            <w:tcW w:w="2481" w:type="pct"/>
            <w:vAlign w:val="center"/>
          </w:tcPr>
          <w:p w14:paraId="7ACD4795" w14:textId="77777777" w:rsidR="00941C6B" w:rsidRPr="00696F41" w:rsidRDefault="00941C6B" w:rsidP="00C42F1F">
            <w:pPr>
              <w:spacing w:line="360" w:lineRule="auto"/>
              <w:ind w:left="288"/>
              <w:jc w:val="both"/>
              <w:rPr>
                <w:rFonts w:ascii="Book Antiqua" w:eastAsia="Book Antiqua" w:hAnsi="Book Antiqua" w:cs="Times New Roman"/>
              </w:rPr>
            </w:pPr>
            <w:r w:rsidRPr="00696F41">
              <w:rPr>
                <w:rFonts w:ascii="Book Antiqua" w:eastAsia="Book Antiqua" w:hAnsi="Book Antiqua" w:cs="Times New Roman"/>
              </w:rPr>
              <w:t>Volume overload</w:t>
            </w:r>
            <w:r w:rsidRPr="00696F41">
              <w:rPr>
                <w:rFonts w:ascii="Book Antiqua" w:eastAsia="Book Antiqua" w:hAnsi="Book Antiqua" w:cs="Times New Roman"/>
                <w:vertAlign w:val="superscript"/>
              </w:rPr>
              <w:t>1,2</w:t>
            </w:r>
          </w:p>
        </w:tc>
        <w:tc>
          <w:tcPr>
            <w:tcW w:w="1384" w:type="pct"/>
            <w:vAlign w:val="center"/>
          </w:tcPr>
          <w:p w14:paraId="30400F86"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rPr>
              <w:t>1</w:t>
            </w:r>
            <w:r w:rsidRPr="00696F41">
              <w:rPr>
                <w:rFonts w:ascii="Book Antiqua" w:hAnsi="Book Antiqua" w:cs="Times New Roman"/>
                <w:lang w:eastAsia="zh-CN"/>
              </w:rPr>
              <w:t xml:space="preserve"> </w:t>
            </w:r>
            <w:r w:rsidRPr="00696F41">
              <w:rPr>
                <w:rFonts w:ascii="Book Antiqua" w:eastAsia="Book Antiqua" w:hAnsi="Book Antiqua" w:cs="Times New Roman"/>
              </w:rPr>
              <w:t>(2.70)</w:t>
            </w:r>
          </w:p>
        </w:tc>
        <w:tc>
          <w:tcPr>
            <w:tcW w:w="1135" w:type="pct"/>
            <w:vAlign w:val="center"/>
          </w:tcPr>
          <w:p w14:paraId="24A04CD7"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rPr>
              <w:t>1</w:t>
            </w:r>
          </w:p>
        </w:tc>
      </w:tr>
      <w:tr w:rsidR="00941C6B" w:rsidRPr="00696F41" w14:paraId="67D7933B" w14:textId="77777777" w:rsidTr="00C42F1F">
        <w:trPr>
          <w:trHeight w:val="288"/>
        </w:trPr>
        <w:tc>
          <w:tcPr>
            <w:tcW w:w="5000" w:type="pct"/>
            <w:gridSpan w:val="3"/>
            <w:vAlign w:val="center"/>
          </w:tcPr>
          <w:p w14:paraId="77112579"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b/>
                <w:bCs/>
              </w:rPr>
              <w:t>Respiratory, thoracic and mediastinal disorders</w:t>
            </w:r>
          </w:p>
        </w:tc>
      </w:tr>
      <w:tr w:rsidR="00941C6B" w:rsidRPr="00696F41" w14:paraId="7BC9C989" w14:textId="77777777" w:rsidTr="00C42F1F">
        <w:trPr>
          <w:trHeight w:val="288"/>
        </w:trPr>
        <w:tc>
          <w:tcPr>
            <w:tcW w:w="2481" w:type="pct"/>
            <w:vAlign w:val="center"/>
          </w:tcPr>
          <w:p w14:paraId="54383D70" w14:textId="77777777" w:rsidR="00941C6B" w:rsidRPr="00696F41" w:rsidRDefault="00941C6B" w:rsidP="00C42F1F">
            <w:pPr>
              <w:spacing w:line="360" w:lineRule="auto"/>
              <w:ind w:left="288"/>
              <w:jc w:val="both"/>
              <w:rPr>
                <w:rFonts w:ascii="Book Antiqua" w:eastAsia="Book Antiqua" w:hAnsi="Book Antiqua" w:cs="Times New Roman"/>
              </w:rPr>
            </w:pPr>
            <w:r w:rsidRPr="00696F41">
              <w:rPr>
                <w:rFonts w:ascii="Book Antiqua" w:eastAsia="Book Antiqua" w:hAnsi="Book Antiqua" w:cs="Times New Roman"/>
              </w:rPr>
              <w:lastRenderedPageBreak/>
              <w:t>Chest discomfort</w:t>
            </w:r>
          </w:p>
        </w:tc>
        <w:tc>
          <w:tcPr>
            <w:tcW w:w="1384" w:type="pct"/>
            <w:vAlign w:val="center"/>
          </w:tcPr>
          <w:p w14:paraId="0C99C6F6"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rPr>
              <w:t>1</w:t>
            </w:r>
            <w:r w:rsidRPr="00696F41">
              <w:rPr>
                <w:rFonts w:ascii="Book Antiqua" w:hAnsi="Book Antiqua" w:cs="Times New Roman"/>
                <w:lang w:eastAsia="zh-CN"/>
              </w:rPr>
              <w:t xml:space="preserve"> </w:t>
            </w:r>
            <w:r w:rsidRPr="00696F41">
              <w:rPr>
                <w:rFonts w:ascii="Book Antiqua" w:eastAsia="Book Antiqua" w:hAnsi="Book Antiqua" w:cs="Times New Roman"/>
              </w:rPr>
              <w:t>(2.70)</w:t>
            </w:r>
          </w:p>
        </w:tc>
        <w:tc>
          <w:tcPr>
            <w:tcW w:w="1135" w:type="pct"/>
            <w:vAlign w:val="center"/>
          </w:tcPr>
          <w:p w14:paraId="0272739C"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rPr>
              <w:t>1</w:t>
            </w:r>
          </w:p>
        </w:tc>
      </w:tr>
      <w:tr w:rsidR="00941C6B" w:rsidRPr="00696F41" w14:paraId="17D7CB72" w14:textId="77777777" w:rsidTr="00C42F1F">
        <w:trPr>
          <w:trHeight w:val="288"/>
        </w:trPr>
        <w:tc>
          <w:tcPr>
            <w:tcW w:w="2481" w:type="pct"/>
            <w:vAlign w:val="center"/>
          </w:tcPr>
          <w:p w14:paraId="074590E0" w14:textId="77777777" w:rsidR="00941C6B" w:rsidRPr="00696F41" w:rsidRDefault="00941C6B" w:rsidP="00C42F1F">
            <w:pPr>
              <w:spacing w:line="360" w:lineRule="auto"/>
              <w:ind w:left="288"/>
              <w:jc w:val="both"/>
              <w:rPr>
                <w:rFonts w:ascii="Book Antiqua" w:eastAsia="Book Antiqua" w:hAnsi="Book Antiqua" w:cs="Times New Roman"/>
              </w:rPr>
            </w:pPr>
            <w:r w:rsidRPr="00696F41">
              <w:rPr>
                <w:rFonts w:ascii="Book Antiqua" w:eastAsia="Book Antiqua" w:hAnsi="Book Antiqua" w:cs="Times New Roman"/>
              </w:rPr>
              <w:t>Bronchospasm</w:t>
            </w:r>
          </w:p>
        </w:tc>
        <w:tc>
          <w:tcPr>
            <w:tcW w:w="1384" w:type="pct"/>
            <w:vAlign w:val="center"/>
          </w:tcPr>
          <w:p w14:paraId="12D38E69"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rPr>
              <w:t>1</w:t>
            </w:r>
            <w:r w:rsidRPr="00696F41">
              <w:rPr>
                <w:rFonts w:ascii="Book Antiqua" w:hAnsi="Book Antiqua" w:cs="Times New Roman"/>
                <w:lang w:eastAsia="zh-CN"/>
              </w:rPr>
              <w:t xml:space="preserve"> </w:t>
            </w:r>
            <w:r w:rsidRPr="00696F41">
              <w:rPr>
                <w:rFonts w:ascii="Book Antiqua" w:eastAsia="Book Antiqua" w:hAnsi="Book Antiqua" w:cs="Times New Roman"/>
              </w:rPr>
              <w:t>(2.70)</w:t>
            </w:r>
          </w:p>
        </w:tc>
        <w:tc>
          <w:tcPr>
            <w:tcW w:w="1135" w:type="pct"/>
            <w:vAlign w:val="center"/>
          </w:tcPr>
          <w:p w14:paraId="590B0BFD"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rPr>
              <w:t>1</w:t>
            </w:r>
          </w:p>
        </w:tc>
      </w:tr>
      <w:tr w:rsidR="00941C6B" w:rsidRPr="00696F41" w14:paraId="1FB72441" w14:textId="77777777" w:rsidTr="00C42F1F">
        <w:trPr>
          <w:trHeight w:val="288"/>
        </w:trPr>
        <w:tc>
          <w:tcPr>
            <w:tcW w:w="2481" w:type="pct"/>
            <w:vAlign w:val="center"/>
          </w:tcPr>
          <w:p w14:paraId="4CA4826B" w14:textId="77777777" w:rsidR="00941C6B" w:rsidRPr="00696F41" w:rsidRDefault="00941C6B" w:rsidP="00C42F1F">
            <w:pPr>
              <w:spacing w:line="360" w:lineRule="auto"/>
              <w:ind w:left="288"/>
              <w:jc w:val="both"/>
              <w:rPr>
                <w:rFonts w:ascii="Book Antiqua" w:eastAsia="Book Antiqua" w:hAnsi="Book Antiqua" w:cs="Times New Roman"/>
              </w:rPr>
            </w:pPr>
            <w:r w:rsidRPr="00696F41">
              <w:rPr>
                <w:rFonts w:ascii="Book Antiqua" w:eastAsia="Book Antiqua" w:hAnsi="Book Antiqua" w:cs="Times New Roman"/>
              </w:rPr>
              <w:t>Pleural effusion</w:t>
            </w:r>
            <w:r w:rsidRPr="00696F41">
              <w:rPr>
                <w:rFonts w:ascii="Book Antiqua" w:eastAsia="Book Antiqua" w:hAnsi="Book Antiqua" w:cs="Times New Roman"/>
                <w:vertAlign w:val="superscript"/>
              </w:rPr>
              <w:t>1</w:t>
            </w:r>
          </w:p>
        </w:tc>
        <w:tc>
          <w:tcPr>
            <w:tcW w:w="1384" w:type="pct"/>
            <w:vAlign w:val="center"/>
          </w:tcPr>
          <w:p w14:paraId="5E2C30F0"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rPr>
              <w:t>1</w:t>
            </w:r>
            <w:r w:rsidRPr="00696F41">
              <w:rPr>
                <w:rFonts w:ascii="Book Antiqua" w:hAnsi="Book Antiqua" w:cs="Times New Roman"/>
                <w:lang w:eastAsia="zh-CN"/>
              </w:rPr>
              <w:t xml:space="preserve"> </w:t>
            </w:r>
            <w:r w:rsidRPr="00696F41">
              <w:rPr>
                <w:rFonts w:ascii="Book Antiqua" w:eastAsia="Book Antiqua" w:hAnsi="Book Antiqua" w:cs="Times New Roman"/>
              </w:rPr>
              <w:t>(2.70)</w:t>
            </w:r>
          </w:p>
        </w:tc>
        <w:tc>
          <w:tcPr>
            <w:tcW w:w="1135" w:type="pct"/>
            <w:vAlign w:val="center"/>
          </w:tcPr>
          <w:p w14:paraId="605E60DF"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rPr>
              <w:t>1</w:t>
            </w:r>
          </w:p>
        </w:tc>
      </w:tr>
      <w:tr w:rsidR="00941C6B" w:rsidRPr="00696F41" w14:paraId="41481EEA" w14:textId="77777777" w:rsidTr="00C42F1F">
        <w:trPr>
          <w:trHeight w:val="288"/>
        </w:trPr>
        <w:tc>
          <w:tcPr>
            <w:tcW w:w="5000" w:type="pct"/>
            <w:gridSpan w:val="3"/>
            <w:vAlign w:val="center"/>
          </w:tcPr>
          <w:p w14:paraId="4FF691E7"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b/>
                <w:bCs/>
              </w:rPr>
              <w:t>Skin and subcutaneous tissue disorders</w:t>
            </w:r>
          </w:p>
        </w:tc>
      </w:tr>
      <w:tr w:rsidR="00941C6B" w:rsidRPr="00696F41" w14:paraId="1742C074" w14:textId="77777777" w:rsidTr="00C42F1F">
        <w:trPr>
          <w:trHeight w:val="288"/>
        </w:trPr>
        <w:tc>
          <w:tcPr>
            <w:tcW w:w="2481" w:type="pct"/>
            <w:vAlign w:val="center"/>
          </w:tcPr>
          <w:p w14:paraId="06D6C23D" w14:textId="77777777" w:rsidR="00941C6B" w:rsidRPr="00696F41" w:rsidRDefault="00941C6B" w:rsidP="00C42F1F">
            <w:pPr>
              <w:spacing w:line="360" w:lineRule="auto"/>
              <w:ind w:left="288"/>
              <w:jc w:val="both"/>
              <w:rPr>
                <w:rFonts w:ascii="Book Antiqua" w:eastAsia="Book Antiqua" w:hAnsi="Book Antiqua" w:cs="Times New Roman"/>
              </w:rPr>
            </w:pPr>
            <w:r w:rsidRPr="00696F41">
              <w:rPr>
                <w:rFonts w:ascii="Book Antiqua" w:eastAsia="Book Antiqua" w:hAnsi="Book Antiqua" w:cs="Times New Roman"/>
              </w:rPr>
              <w:t>Edema</w:t>
            </w:r>
          </w:p>
        </w:tc>
        <w:tc>
          <w:tcPr>
            <w:tcW w:w="1384" w:type="pct"/>
            <w:vAlign w:val="center"/>
          </w:tcPr>
          <w:p w14:paraId="77E65FB8"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rPr>
              <w:t>4</w:t>
            </w:r>
            <w:r w:rsidRPr="00696F41">
              <w:rPr>
                <w:rFonts w:ascii="Book Antiqua" w:hAnsi="Book Antiqua" w:cs="Times New Roman"/>
                <w:lang w:eastAsia="zh-CN"/>
              </w:rPr>
              <w:t xml:space="preserve"> </w:t>
            </w:r>
            <w:r w:rsidRPr="00696F41">
              <w:rPr>
                <w:rFonts w:ascii="Book Antiqua" w:eastAsia="Book Antiqua" w:hAnsi="Book Antiqua" w:cs="Times New Roman"/>
              </w:rPr>
              <w:t>(10.81)</w:t>
            </w:r>
          </w:p>
        </w:tc>
        <w:tc>
          <w:tcPr>
            <w:tcW w:w="1135" w:type="pct"/>
            <w:vAlign w:val="center"/>
          </w:tcPr>
          <w:p w14:paraId="5BF31392"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rPr>
              <w:t>4</w:t>
            </w:r>
          </w:p>
        </w:tc>
      </w:tr>
      <w:tr w:rsidR="00941C6B" w:rsidRPr="00696F41" w14:paraId="41D61CCF" w14:textId="77777777" w:rsidTr="00C42F1F">
        <w:trPr>
          <w:trHeight w:val="288"/>
        </w:trPr>
        <w:tc>
          <w:tcPr>
            <w:tcW w:w="2481" w:type="pct"/>
            <w:vAlign w:val="center"/>
          </w:tcPr>
          <w:p w14:paraId="76DDD1A4" w14:textId="77777777" w:rsidR="00941C6B" w:rsidRPr="00696F41" w:rsidRDefault="00941C6B" w:rsidP="00C42F1F">
            <w:pPr>
              <w:spacing w:line="360" w:lineRule="auto"/>
              <w:ind w:left="288"/>
              <w:jc w:val="both"/>
              <w:rPr>
                <w:rFonts w:ascii="Book Antiqua" w:eastAsia="Book Antiqua" w:hAnsi="Book Antiqua" w:cs="Times New Roman"/>
              </w:rPr>
            </w:pPr>
            <w:r w:rsidRPr="00696F41">
              <w:rPr>
                <w:rFonts w:ascii="Book Antiqua" w:eastAsia="Book Antiqua" w:hAnsi="Book Antiqua" w:cs="Times New Roman"/>
              </w:rPr>
              <w:t>Paleness</w:t>
            </w:r>
          </w:p>
        </w:tc>
        <w:tc>
          <w:tcPr>
            <w:tcW w:w="1384" w:type="pct"/>
            <w:vAlign w:val="center"/>
          </w:tcPr>
          <w:p w14:paraId="36C086ED"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rPr>
              <w:t>1</w:t>
            </w:r>
            <w:r w:rsidRPr="00696F41">
              <w:rPr>
                <w:rFonts w:ascii="Book Antiqua" w:hAnsi="Book Antiqua" w:cs="Times New Roman"/>
                <w:lang w:eastAsia="zh-CN"/>
              </w:rPr>
              <w:t xml:space="preserve"> </w:t>
            </w:r>
            <w:r w:rsidRPr="00696F41">
              <w:rPr>
                <w:rFonts w:ascii="Book Antiqua" w:eastAsia="Book Antiqua" w:hAnsi="Book Antiqua" w:cs="Times New Roman"/>
              </w:rPr>
              <w:t>(2.70)</w:t>
            </w:r>
          </w:p>
        </w:tc>
        <w:tc>
          <w:tcPr>
            <w:tcW w:w="1135" w:type="pct"/>
            <w:vAlign w:val="center"/>
          </w:tcPr>
          <w:p w14:paraId="1304FFCD"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rPr>
              <w:t>2</w:t>
            </w:r>
          </w:p>
        </w:tc>
      </w:tr>
      <w:tr w:rsidR="00941C6B" w:rsidRPr="00696F41" w14:paraId="6A35EB59" w14:textId="77777777" w:rsidTr="00C42F1F">
        <w:trPr>
          <w:trHeight w:val="288"/>
        </w:trPr>
        <w:tc>
          <w:tcPr>
            <w:tcW w:w="2481" w:type="pct"/>
            <w:vAlign w:val="center"/>
          </w:tcPr>
          <w:p w14:paraId="4E1C1A06" w14:textId="77777777" w:rsidR="00941C6B" w:rsidRPr="00696F41" w:rsidRDefault="00941C6B" w:rsidP="00C42F1F">
            <w:pPr>
              <w:spacing w:line="360" w:lineRule="auto"/>
              <w:ind w:left="288"/>
              <w:jc w:val="both"/>
              <w:rPr>
                <w:rFonts w:ascii="Book Antiqua" w:eastAsia="Book Antiqua" w:hAnsi="Book Antiqua" w:cs="Times New Roman"/>
              </w:rPr>
            </w:pPr>
            <w:r w:rsidRPr="00696F41">
              <w:rPr>
                <w:rFonts w:ascii="Book Antiqua" w:eastAsia="Book Antiqua" w:hAnsi="Book Antiqua" w:cs="Times New Roman"/>
              </w:rPr>
              <w:t>Cellulitis</w:t>
            </w:r>
          </w:p>
        </w:tc>
        <w:tc>
          <w:tcPr>
            <w:tcW w:w="1384" w:type="pct"/>
            <w:vAlign w:val="center"/>
          </w:tcPr>
          <w:p w14:paraId="271F3671"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rPr>
              <w:t>1</w:t>
            </w:r>
            <w:r w:rsidRPr="00696F41">
              <w:rPr>
                <w:rFonts w:ascii="Book Antiqua" w:hAnsi="Book Antiqua" w:cs="Times New Roman"/>
                <w:lang w:eastAsia="zh-CN"/>
              </w:rPr>
              <w:t xml:space="preserve"> </w:t>
            </w:r>
            <w:r w:rsidRPr="00696F41">
              <w:rPr>
                <w:rFonts w:ascii="Book Antiqua" w:eastAsia="Book Antiqua" w:hAnsi="Book Antiqua" w:cs="Times New Roman"/>
              </w:rPr>
              <w:t>(2.70)</w:t>
            </w:r>
          </w:p>
        </w:tc>
        <w:tc>
          <w:tcPr>
            <w:tcW w:w="1135" w:type="pct"/>
            <w:vAlign w:val="center"/>
          </w:tcPr>
          <w:p w14:paraId="737853DB"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rPr>
              <w:t>1</w:t>
            </w:r>
          </w:p>
        </w:tc>
      </w:tr>
      <w:tr w:rsidR="00941C6B" w:rsidRPr="00696F41" w14:paraId="2CE443D9" w14:textId="77777777" w:rsidTr="00C42F1F">
        <w:trPr>
          <w:trHeight w:val="288"/>
        </w:trPr>
        <w:tc>
          <w:tcPr>
            <w:tcW w:w="2481" w:type="pct"/>
            <w:vAlign w:val="center"/>
          </w:tcPr>
          <w:p w14:paraId="319299AA" w14:textId="77777777" w:rsidR="00941C6B" w:rsidRPr="00696F41" w:rsidRDefault="00941C6B" w:rsidP="00C42F1F">
            <w:pPr>
              <w:spacing w:line="360" w:lineRule="auto"/>
              <w:ind w:left="288"/>
              <w:jc w:val="both"/>
              <w:rPr>
                <w:rFonts w:ascii="Book Antiqua" w:eastAsia="Book Antiqua" w:hAnsi="Book Antiqua" w:cs="Times New Roman"/>
              </w:rPr>
            </w:pPr>
            <w:r w:rsidRPr="00696F41">
              <w:rPr>
                <w:rFonts w:ascii="Book Antiqua" w:eastAsia="Book Antiqua" w:hAnsi="Book Antiqua" w:cs="Times New Roman"/>
              </w:rPr>
              <w:t>Itching from dry skin</w:t>
            </w:r>
          </w:p>
        </w:tc>
        <w:tc>
          <w:tcPr>
            <w:tcW w:w="1384" w:type="pct"/>
            <w:vAlign w:val="center"/>
          </w:tcPr>
          <w:p w14:paraId="601DCA8D"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rPr>
              <w:t>1</w:t>
            </w:r>
            <w:r w:rsidRPr="00696F41">
              <w:rPr>
                <w:rFonts w:ascii="Book Antiqua" w:hAnsi="Book Antiqua" w:cs="Times New Roman"/>
                <w:lang w:eastAsia="zh-CN"/>
              </w:rPr>
              <w:t xml:space="preserve"> </w:t>
            </w:r>
            <w:r w:rsidRPr="00696F41">
              <w:rPr>
                <w:rFonts w:ascii="Book Antiqua" w:eastAsia="Book Antiqua" w:hAnsi="Book Antiqua" w:cs="Times New Roman"/>
              </w:rPr>
              <w:t>(2.70)</w:t>
            </w:r>
          </w:p>
        </w:tc>
        <w:tc>
          <w:tcPr>
            <w:tcW w:w="1135" w:type="pct"/>
            <w:vAlign w:val="center"/>
          </w:tcPr>
          <w:p w14:paraId="71F05B1C"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rPr>
              <w:t>1</w:t>
            </w:r>
          </w:p>
        </w:tc>
      </w:tr>
      <w:tr w:rsidR="00941C6B" w:rsidRPr="00696F41" w14:paraId="770367A3" w14:textId="77777777" w:rsidTr="00C42F1F">
        <w:trPr>
          <w:trHeight w:val="288"/>
        </w:trPr>
        <w:tc>
          <w:tcPr>
            <w:tcW w:w="5000" w:type="pct"/>
            <w:gridSpan w:val="3"/>
            <w:vAlign w:val="center"/>
          </w:tcPr>
          <w:p w14:paraId="4C0BAD47"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b/>
                <w:bCs/>
              </w:rPr>
              <w:t>Surgical and medical procedures</w:t>
            </w:r>
          </w:p>
        </w:tc>
      </w:tr>
      <w:tr w:rsidR="00941C6B" w:rsidRPr="00696F41" w14:paraId="460E999C" w14:textId="77777777" w:rsidTr="00C42F1F">
        <w:trPr>
          <w:trHeight w:val="288"/>
        </w:trPr>
        <w:tc>
          <w:tcPr>
            <w:tcW w:w="2481" w:type="pct"/>
            <w:vAlign w:val="center"/>
          </w:tcPr>
          <w:p w14:paraId="58ABD92A" w14:textId="77777777" w:rsidR="00941C6B" w:rsidRPr="00696F41" w:rsidRDefault="00941C6B" w:rsidP="00C42F1F">
            <w:pPr>
              <w:spacing w:line="360" w:lineRule="auto"/>
              <w:ind w:left="288"/>
              <w:jc w:val="both"/>
              <w:rPr>
                <w:rFonts w:ascii="Book Antiqua" w:eastAsia="Book Antiqua" w:hAnsi="Book Antiqua" w:cs="Times New Roman"/>
              </w:rPr>
            </w:pPr>
            <w:r w:rsidRPr="00696F41">
              <w:rPr>
                <w:rFonts w:ascii="Book Antiqua" w:eastAsia="Book Antiqua" w:hAnsi="Book Antiqua" w:cs="Times New Roman"/>
              </w:rPr>
              <w:t>Catheter malfunction/ malposition</w:t>
            </w:r>
            <w:r w:rsidRPr="00696F41">
              <w:rPr>
                <w:rFonts w:ascii="Book Antiqua" w:eastAsia="Book Antiqua" w:hAnsi="Book Antiqua" w:cs="Times New Roman"/>
                <w:vertAlign w:val="superscript"/>
              </w:rPr>
              <w:t>3</w:t>
            </w:r>
          </w:p>
        </w:tc>
        <w:tc>
          <w:tcPr>
            <w:tcW w:w="1384" w:type="pct"/>
            <w:vAlign w:val="center"/>
          </w:tcPr>
          <w:p w14:paraId="53B71153"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rPr>
              <w:t>2</w:t>
            </w:r>
            <w:r w:rsidRPr="00696F41">
              <w:rPr>
                <w:rFonts w:ascii="Book Antiqua" w:hAnsi="Book Antiqua" w:cs="Times New Roman"/>
                <w:lang w:eastAsia="zh-CN"/>
              </w:rPr>
              <w:t xml:space="preserve"> </w:t>
            </w:r>
            <w:r w:rsidRPr="00696F41">
              <w:rPr>
                <w:rFonts w:ascii="Book Antiqua" w:eastAsia="Book Antiqua" w:hAnsi="Book Antiqua" w:cs="Times New Roman"/>
              </w:rPr>
              <w:t>(5.40)</w:t>
            </w:r>
          </w:p>
        </w:tc>
        <w:tc>
          <w:tcPr>
            <w:tcW w:w="1135" w:type="pct"/>
            <w:vAlign w:val="center"/>
          </w:tcPr>
          <w:p w14:paraId="31207AAA"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rPr>
              <w:t>2</w:t>
            </w:r>
          </w:p>
        </w:tc>
      </w:tr>
      <w:tr w:rsidR="00941C6B" w:rsidRPr="00696F41" w14:paraId="45BB587F" w14:textId="77777777" w:rsidTr="00C42F1F">
        <w:trPr>
          <w:trHeight w:val="288"/>
        </w:trPr>
        <w:tc>
          <w:tcPr>
            <w:tcW w:w="5000" w:type="pct"/>
            <w:gridSpan w:val="3"/>
            <w:vAlign w:val="center"/>
          </w:tcPr>
          <w:p w14:paraId="3927C4F2"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b/>
                <w:bCs/>
              </w:rPr>
              <w:t>Vascular disorder</w:t>
            </w:r>
          </w:p>
        </w:tc>
      </w:tr>
      <w:tr w:rsidR="00941C6B" w:rsidRPr="00696F41" w14:paraId="71526B79" w14:textId="77777777" w:rsidTr="00C42F1F">
        <w:trPr>
          <w:trHeight w:val="288"/>
        </w:trPr>
        <w:tc>
          <w:tcPr>
            <w:tcW w:w="2481" w:type="pct"/>
            <w:vAlign w:val="center"/>
          </w:tcPr>
          <w:p w14:paraId="3F3EDF25" w14:textId="77777777" w:rsidR="00941C6B" w:rsidRPr="00696F41" w:rsidRDefault="00941C6B" w:rsidP="00C42F1F">
            <w:pPr>
              <w:spacing w:line="360" w:lineRule="auto"/>
              <w:ind w:left="288"/>
              <w:jc w:val="both"/>
              <w:rPr>
                <w:rFonts w:ascii="Book Antiqua" w:eastAsia="Book Antiqua" w:hAnsi="Book Antiqua" w:cs="Times New Roman"/>
              </w:rPr>
            </w:pPr>
            <w:r w:rsidRPr="00696F41">
              <w:rPr>
                <w:rFonts w:ascii="Book Antiqua" w:eastAsia="Book Antiqua" w:hAnsi="Book Antiqua" w:cs="Times New Roman"/>
              </w:rPr>
              <w:t>Hypertensive urgency</w:t>
            </w:r>
            <w:r w:rsidRPr="00696F41">
              <w:rPr>
                <w:rFonts w:ascii="Book Antiqua" w:eastAsia="Book Antiqua" w:hAnsi="Book Antiqua" w:cs="Times New Roman"/>
                <w:vertAlign w:val="superscript"/>
              </w:rPr>
              <w:t>1,4</w:t>
            </w:r>
          </w:p>
        </w:tc>
        <w:tc>
          <w:tcPr>
            <w:tcW w:w="1384" w:type="pct"/>
            <w:vAlign w:val="center"/>
          </w:tcPr>
          <w:p w14:paraId="6A037491"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rPr>
              <w:t>2</w:t>
            </w:r>
            <w:r w:rsidRPr="00696F41">
              <w:rPr>
                <w:rFonts w:ascii="Book Antiqua" w:hAnsi="Book Antiqua" w:cs="Times New Roman"/>
                <w:lang w:eastAsia="zh-CN"/>
              </w:rPr>
              <w:t xml:space="preserve"> </w:t>
            </w:r>
            <w:r w:rsidRPr="00696F41">
              <w:rPr>
                <w:rFonts w:ascii="Book Antiqua" w:eastAsia="Book Antiqua" w:hAnsi="Book Antiqua" w:cs="Times New Roman"/>
              </w:rPr>
              <w:t>(5.40)</w:t>
            </w:r>
          </w:p>
        </w:tc>
        <w:tc>
          <w:tcPr>
            <w:tcW w:w="1135" w:type="pct"/>
            <w:vAlign w:val="center"/>
          </w:tcPr>
          <w:p w14:paraId="219BCE9F" w14:textId="77777777" w:rsidR="00941C6B" w:rsidRPr="00696F41" w:rsidRDefault="00941C6B" w:rsidP="00C42F1F">
            <w:pPr>
              <w:spacing w:line="360" w:lineRule="auto"/>
              <w:jc w:val="both"/>
              <w:rPr>
                <w:rFonts w:ascii="Book Antiqua" w:eastAsia="Book Antiqua" w:hAnsi="Book Antiqua" w:cs="Times New Roman"/>
              </w:rPr>
            </w:pPr>
            <w:r w:rsidRPr="00696F41">
              <w:rPr>
                <w:rFonts w:ascii="Book Antiqua" w:eastAsia="Book Antiqua" w:hAnsi="Book Antiqua" w:cs="Times New Roman"/>
              </w:rPr>
              <w:t>2</w:t>
            </w:r>
          </w:p>
        </w:tc>
      </w:tr>
    </w:tbl>
    <w:p w14:paraId="068CB3A9" w14:textId="77777777" w:rsidR="00941C6B" w:rsidRPr="00696F41" w:rsidRDefault="00941C6B" w:rsidP="00941C6B">
      <w:pPr>
        <w:spacing w:line="360" w:lineRule="auto"/>
        <w:jc w:val="both"/>
        <w:rPr>
          <w:rFonts w:ascii="Book Antiqua" w:eastAsia="Book Antiqua" w:hAnsi="Book Antiqua"/>
        </w:rPr>
      </w:pPr>
      <w:r w:rsidRPr="00696F41">
        <w:rPr>
          <w:rFonts w:ascii="Book Antiqua" w:eastAsia="Book Antiqua" w:hAnsi="Book Antiqua"/>
          <w:vertAlign w:val="superscript"/>
        </w:rPr>
        <w:t>1</w:t>
      </w:r>
      <w:r w:rsidRPr="00696F41">
        <w:rPr>
          <w:rFonts w:ascii="Book Antiqua" w:eastAsia="Book Antiqua" w:hAnsi="Book Antiqua"/>
        </w:rPr>
        <w:t xml:space="preserve">Serious adverse event; </w:t>
      </w:r>
    </w:p>
    <w:p w14:paraId="2F22EE71" w14:textId="77777777" w:rsidR="00941C6B" w:rsidRPr="00696F41" w:rsidRDefault="00941C6B" w:rsidP="00941C6B">
      <w:pPr>
        <w:spacing w:line="360" w:lineRule="auto"/>
        <w:jc w:val="both"/>
        <w:rPr>
          <w:rFonts w:ascii="Book Antiqua" w:eastAsia="Book Antiqua" w:hAnsi="Book Antiqua"/>
        </w:rPr>
      </w:pPr>
      <w:r w:rsidRPr="00696F41">
        <w:rPr>
          <w:rFonts w:ascii="Book Antiqua" w:eastAsia="Book Antiqua" w:hAnsi="Book Antiqua"/>
          <w:vertAlign w:val="superscript"/>
        </w:rPr>
        <w:t>2</w:t>
      </w:r>
      <w:r w:rsidRPr="00696F41">
        <w:rPr>
          <w:rFonts w:ascii="Book Antiqua" w:eastAsia="Book Antiqua" w:hAnsi="Book Antiqua"/>
        </w:rPr>
        <w:t xml:space="preserve">Severe adverse event; </w:t>
      </w:r>
    </w:p>
    <w:p w14:paraId="3EAB4450" w14:textId="77777777" w:rsidR="00941C6B" w:rsidRPr="00696F41" w:rsidRDefault="00941C6B" w:rsidP="00941C6B">
      <w:pPr>
        <w:spacing w:line="360" w:lineRule="auto"/>
        <w:jc w:val="both"/>
        <w:rPr>
          <w:rFonts w:ascii="Book Antiqua" w:eastAsia="Book Antiqua" w:hAnsi="Book Antiqua"/>
        </w:rPr>
      </w:pPr>
      <w:r w:rsidRPr="00696F41">
        <w:rPr>
          <w:rFonts w:ascii="Book Antiqua" w:eastAsia="Book Antiqua" w:hAnsi="Book Antiqua"/>
          <w:vertAlign w:val="superscript"/>
        </w:rPr>
        <w:t>3</w:t>
      </w:r>
      <w:r w:rsidRPr="00696F41">
        <w:rPr>
          <w:rFonts w:ascii="Book Antiqua" w:eastAsia="Book Antiqua" w:hAnsi="Book Antiqua"/>
        </w:rPr>
        <w:t xml:space="preserve">Only one out of two events were serious adverse event; </w:t>
      </w:r>
    </w:p>
    <w:p w14:paraId="01F1E644" w14:textId="6A223DD7" w:rsidR="00941C6B" w:rsidRPr="00107B1E" w:rsidRDefault="00941C6B" w:rsidP="00941C6B">
      <w:pPr>
        <w:spacing w:line="360" w:lineRule="auto"/>
        <w:jc w:val="both"/>
        <w:rPr>
          <w:rFonts w:ascii="Book Antiqua" w:hAnsi="Book Antiqua"/>
          <w:lang w:eastAsia="zh-CN"/>
        </w:rPr>
      </w:pPr>
      <w:r w:rsidRPr="00696F41">
        <w:rPr>
          <w:rFonts w:ascii="Book Antiqua" w:eastAsia="Book Antiqua" w:hAnsi="Book Antiqua"/>
          <w:vertAlign w:val="superscript"/>
        </w:rPr>
        <w:t>4</w:t>
      </w:r>
      <w:r w:rsidRPr="00696F41">
        <w:rPr>
          <w:rFonts w:ascii="Book Antiqua" w:eastAsia="Book Antiqua" w:hAnsi="Book Antiqua"/>
        </w:rPr>
        <w:t>The causality was deemed as probable.</w:t>
      </w:r>
    </w:p>
    <w:p w14:paraId="600A3680" w14:textId="168AF822" w:rsidR="00ED32DD" w:rsidRDefault="00ED32DD" w:rsidP="00941C6B">
      <w:pPr>
        <w:spacing w:line="360" w:lineRule="auto"/>
        <w:jc w:val="both"/>
        <w:rPr>
          <w:rFonts w:ascii="Book Antiqua" w:hAnsi="Book Antiqua"/>
          <w:lang w:eastAsia="zh-CN"/>
        </w:rPr>
      </w:pPr>
    </w:p>
    <w:p w14:paraId="6C5DE8B2" w14:textId="77777777" w:rsidR="00ED32DD" w:rsidRDefault="00ED32DD">
      <w:pPr>
        <w:rPr>
          <w:rFonts w:ascii="Book Antiqua" w:hAnsi="Book Antiqua"/>
          <w:lang w:eastAsia="zh-CN"/>
        </w:rPr>
      </w:pPr>
      <w:r>
        <w:rPr>
          <w:rFonts w:ascii="Book Antiqua" w:hAnsi="Book Antiqua"/>
          <w:lang w:eastAsia="zh-CN"/>
        </w:rPr>
        <w:br w:type="page"/>
      </w:r>
    </w:p>
    <w:p w14:paraId="69B4E547" w14:textId="77777777" w:rsidR="00ED32DD" w:rsidRPr="00194E16" w:rsidRDefault="00ED32DD" w:rsidP="00ED32DD">
      <w:pPr>
        <w:spacing w:line="360" w:lineRule="auto"/>
        <w:jc w:val="both"/>
        <w:rPr>
          <w:rFonts w:ascii="Book Antiqua" w:eastAsia="Book Antiqua" w:hAnsi="Book Antiqua" w:cs="Book Antiqua"/>
          <w:b/>
          <w:color w:val="000000"/>
        </w:rPr>
      </w:pPr>
    </w:p>
    <w:p w14:paraId="5BCCD54B" w14:textId="77777777" w:rsidR="00ED32DD" w:rsidRPr="00194E16" w:rsidRDefault="00ED32DD" w:rsidP="00ED32DD">
      <w:pPr>
        <w:rPr>
          <w:rFonts w:ascii="Book Antiqua" w:hAnsi="Book Antiqua"/>
          <w:lang w:eastAsia="zh-CN"/>
        </w:rPr>
      </w:pPr>
    </w:p>
    <w:p w14:paraId="5C1F8BCA" w14:textId="77777777" w:rsidR="00ED32DD" w:rsidRPr="00194E16" w:rsidRDefault="00ED32DD" w:rsidP="00ED32DD">
      <w:pPr>
        <w:jc w:val="center"/>
        <w:rPr>
          <w:rFonts w:ascii="Book Antiqua" w:hAnsi="Book Antiqua"/>
          <w:lang w:eastAsia="zh-CN"/>
        </w:rPr>
      </w:pPr>
    </w:p>
    <w:p w14:paraId="4142B3A7" w14:textId="77777777" w:rsidR="00ED32DD" w:rsidRPr="00194E16" w:rsidRDefault="00ED32DD" w:rsidP="00ED32DD">
      <w:pPr>
        <w:jc w:val="center"/>
        <w:rPr>
          <w:rFonts w:ascii="Book Antiqua" w:hAnsi="Book Antiqua"/>
          <w:lang w:eastAsia="zh-CN"/>
        </w:rPr>
      </w:pPr>
    </w:p>
    <w:p w14:paraId="36F2DD64" w14:textId="77777777" w:rsidR="00ED32DD" w:rsidRPr="00194E16" w:rsidRDefault="00ED32DD" w:rsidP="00ED32DD">
      <w:pPr>
        <w:rPr>
          <w:rFonts w:ascii="Book Antiqua" w:hAnsi="Book Antiqua"/>
          <w:lang w:eastAsia="zh-CN"/>
        </w:rPr>
      </w:pPr>
    </w:p>
    <w:p w14:paraId="1E24295C" w14:textId="77777777" w:rsidR="00ED32DD" w:rsidRPr="00194E16" w:rsidRDefault="00ED32DD" w:rsidP="00ED32DD">
      <w:pPr>
        <w:jc w:val="center"/>
        <w:rPr>
          <w:rFonts w:ascii="Book Antiqua" w:hAnsi="Book Antiqua"/>
          <w:lang w:eastAsia="zh-CN"/>
        </w:rPr>
      </w:pPr>
      <w:r w:rsidRPr="00194E16">
        <w:rPr>
          <w:rFonts w:ascii="Book Antiqua" w:hAnsi="Book Antiqua"/>
          <w:noProof/>
          <w:lang w:eastAsia="zh-CN"/>
        </w:rPr>
        <w:drawing>
          <wp:inline distT="0" distB="0" distL="0" distR="0" wp14:anchorId="5A568EDC" wp14:editId="45B36EA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C5374B4" w14:textId="77777777" w:rsidR="00ED32DD" w:rsidRPr="00194E16" w:rsidRDefault="00ED32DD" w:rsidP="00ED32DD">
      <w:pPr>
        <w:jc w:val="center"/>
        <w:rPr>
          <w:rFonts w:ascii="Book Antiqua" w:hAnsi="Book Antiqua"/>
          <w:lang w:eastAsia="zh-CN"/>
        </w:rPr>
      </w:pPr>
    </w:p>
    <w:p w14:paraId="58B105C4" w14:textId="77777777" w:rsidR="00ED32DD" w:rsidRPr="00194E16" w:rsidRDefault="00ED32DD" w:rsidP="00ED32DD">
      <w:pPr>
        <w:autoSpaceDE w:val="0"/>
        <w:autoSpaceDN w:val="0"/>
        <w:adjustRightInd w:val="0"/>
        <w:jc w:val="center"/>
        <w:rPr>
          <w:rFonts w:ascii="Book Antiqua" w:eastAsia="Garamond-Bold" w:hAnsi="Book Antiqua" w:cs="Garamond-Bold"/>
          <w:b/>
          <w:bCs/>
          <w:color w:val="000000"/>
          <w:sz w:val="28"/>
          <w:szCs w:val="28"/>
        </w:rPr>
      </w:pPr>
      <w:r w:rsidRPr="00194E16">
        <w:rPr>
          <w:rFonts w:ascii="Book Antiqua" w:eastAsia="TimesNewRomanPSMT" w:hAnsi="Book Antiqua" w:cs="TimesNewRomanPSMT"/>
          <w:color w:val="000000"/>
          <w:sz w:val="28"/>
          <w:szCs w:val="28"/>
        </w:rPr>
        <w:t xml:space="preserve">Published by </w:t>
      </w:r>
      <w:r w:rsidRPr="00194E16">
        <w:rPr>
          <w:rFonts w:ascii="Book Antiqua" w:eastAsia="Garamond-Bold" w:hAnsi="Book Antiqua" w:cs="Garamond-Bold"/>
          <w:b/>
          <w:bCs/>
          <w:color w:val="000000"/>
          <w:sz w:val="28"/>
          <w:szCs w:val="28"/>
        </w:rPr>
        <w:t>Baishideng Publishing Group Inc</w:t>
      </w:r>
    </w:p>
    <w:p w14:paraId="1A370B18" w14:textId="77777777" w:rsidR="00ED32DD" w:rsidRPr="00194E16" w:rsidRDefault="00ED32DD" w:rsidP="00ED32DD">
      <w:pPr>
        <w:autoSpaceDE w:val="0"/>
        <w:autoSpaceDN w:val="0"/>
        <w:adjustRightInd w:val="0"/>
        <w:jc w:val="center"/>
        <w:rPr>
          <w:rFonts w:ascii="Book Antiqua" w:eastAsia="TimesNewRomanPSMT" w:hAnsi="Book Antiqua" w:cs="Garamond"/>
          <w:color w:val="000000"/>
          <w:sz w:val="28"/>
          <w:szCs w:val="28"/>
        </w:rPr>
      </w:pPr>
      <w:r w:rsidRPr="00194E16">
        <w:rPr>
          <w:rFonts w:ascii="Book Antiqua" w:eastAsia="TimesNewRomanPSMT" w:hAnsi="Book Antiqua" w:cs="Garamond"/>
          <w:color w:val="000000"/>
          <w:sz w:val="28"/>
          <w:szCs w:val="28"/>
        </w:rPr>
        <w:t>7041 Koll Center Parkway, Suite 160, Pleasanton, CA 94566, USA</w:t>
      </w:r>
    </w:p>
    <w:p w14:paraId="4CB157DB" w14:textId="77777777" w:rsidR="00ED32DD" w:rsidRPr="00194E16" w:rsidRDefault="00ED32DD" w:rsidP="00ED32DD">
      <w:pPr>
        <w:autoSpaceDE w:val="0"/>
        <w:autoSpaceDN w:val="0"/>
        <w:adjustRightInd w:val="0"/>
        <w:jc w:val="center"/>
        <w:rPr>
          <w:rFonts w:ascii="Book Antiqua" w:eastAsia="TimesNewRomanPSMT" w:hAnsi="Book Antiqua" w:cs="Garamond"/>
          <w:color w:val="000000"/>
          <w:sz w:val="28"/>
          <w:szCs w:val="28"/>
        </w:rPr>
      </w:pPr>
      <w:r w:rsidRPr="00194E16">
        <w:rPr>
          <w:rFonts w:ascii="Book Antiqua" w:eastAsia="Garamond-Bold" w:hAnsi="Book Antiqua" w:cs="Garamond-Bold"/>
          <w:b/>
          <w:bCs/>
          <w:color w:val="000000"/>
          <w:sz w:val="28"/>
          <w:szCs w:val="28"/>
        </w:rPr>
        <w:t xml:space="preserve">Telephone: </w:t>
      </w:r>
      <w:r w:rsidRPr="00194E16">
        <w:rPr>
          <w:rFonts w:ascii="Book Antiqua" w:eastAsia="TimesNewRomanPSMT" w:hAnsi="Book Antiqua" w:cs="Garamond"/>
          <w:color w:val="000000"/>
          <w:sz w:val="28"/>
          <w:szCs w:val="28"/>
        </w:rPr>
        <w:t>+1-925-3991568</w:t>
      </w:r>
    </w:p>
    <w:p w14:paraId="4A8458FB" w14:textId="77777777" w:rsidR="00ED32DD" w:rsidRPr="00194E16" w:rsidRDefault="00ED32DD" w:rsidP="00ED32DD">
      <w:pPr>
        <w:autoSpaceDE w:val="0"/>
        <w:autoSpaceDN w:val="0"/>
        <w:adjustRightInd w:val="0"/>
        <w:jc w:val="center"/>
        <w:rPr>
          <w:rFonts w:ascii="Book Antiqua" w:eastAsia="TimesNewRomanPSMT" w:hAnsi="Book Antiqua" w:cs="Garamond"/>
          <w:color w:val="D56400"/>
          <w:sz w:val="28"/>
          <w:szCs w:val="28"/>
        </w:rPr>
      </w:pPr>
      <w:r w:rsidRPr="00194E16">
        <w:rPr>
          <w:rFonts w:ascii="Book Antiqua" w:eastAsia="Garamond-Bold" w:hAnsi="Book Antiqua" w:cs="Garamond-Bold"/>
          <w:b/>
          <w:bCs/>
          <w:color w:val="000000"/>
          <w:sz w:val="28"/>
          <w:szCs w:val="28"/>
        </w:rPr>
        <w:t xml:space="preserve">E-mail: </w:t>
      </w:r>
      <w:r w:rsidRPr="00194E16">
        <w:rPr>
          <w:rFonts w:ascii="Book Antiqua" w:eastAsia="TimesNewRomanPSMT" w:hAnsi="Book Antiqua" w:cs="Garamond"/>
          <w:color w:val="D56400"/>
          <w:sz w:val="28"/>
          <w:szCs w:val="28"/>
        </w:rPr>
        <w:t>bpgoffice@wjgnet.com</w:t>
      </w:r>
    </w:p>
    <w:p w14:paraId="525668A7" w14:textId="77777777" w:rsidR="00ED32DD" w:rsidRPr="00194E16" w:rsidRDefault="00ED32DD" w:rsidP="00ED32DD">
      <w:pPr>
        <w:autoSpaceDE w:val="0"/>
        <w:autoSpaceDN w:val="0"/>
        <w:adjustRightInd w:val="0"/>
        <w:jc w:val="center"/>
        <w:rPr>
          <w:rFonts w:ascii="Book Antiqua" w:eastAsia="TimesNewRomanPSMT" w:hAnsi="Book Antiqua" w:cs="Garamond"/>
          <w:color w:val="D56400"/>
          <w:sz w:val="28"/>
          <w:szCs w:val="28"/>
        </w:rPr>
      </w:pPr>
      <w:r w:rsidRPr="00194E16">
        <w:rPr>
          <w:rFonts w:ascii="Book Antiqua" w:eastAsia="Garamond-Bold" w:hAnsi="Book Antiqua" w:cs="Garamond-Bold"/>
          <w:b/>
          <w:bCs/>
          <w:color w:val="000000"/>
          <w:sz w:val="28"/>
          <w:szCs w:val="28"/>
        </w:rPr>
        <w:t xml:space="preserve">Help Desk: </w:t>
      </w:r>
      <w:r w:rsidRPr="00194E16">
        <w:rPr>
          <w:rFonts w:ascii="Book Antiqua" w:eastAsia="TimesNewRomanPSMT" w:hAnsi="Book Antiqua" w:cs="Garamond"/>
          <w:color w:val="D56400"/>
          <w:sz w:val="28"/>
          <w:szCs w:val="28"/>
        </w:rPr>
        <w:t>https://www.f6publishing.com/helpdesk</w:t>
      </w:r>
    </w:p>
    <w:p w14:paraId="57F9B5D8" w14:textId="77777777" w:rsidR="00ED32DD" w:rsidRPr="00194E16" w:rsidRDefault="00ED32DD" w:rsidP="00ED32DD">
      <w:pPr>
        <w:jc w:val="center"/>
        <w:rPr>
          <w:rFonts w:ascii="Book Antiqua" w:hAnsi="Book Antiqua"/>
          <w:lang w:eastAsia="zh-CN"/>
        </w:rPr>
      </w:pPr>
      <w:r w:rsidRPr="00194E16">
        <w:rPr>
          <w:rFonts w:ascii="Book Antiqua" w:eastAsia="TimesNewRomanPSMT" w:hAnsi="Book Antiqua" w:cs="Garamond"/>
          <w:color w:val="D56400"/>
          <w:sz w:val="28"/>
          <w:szCs w:val="28"/>
        </w:rPr>
        <w:t>https://www.wjgnet.com</w:t>
      </w:r>
    </w:p>
    <w:p w14:paraId="21C1FDE1" w14:textId="77777777" w:rsidR="00ED32DD" w:rsidRPr="00194E16" w:rsidRDefault="00ED32DD" w:rsidP="00ED32DD">
      <w:pPr>
        <w:jc w:val="center"/>
        <w:rPr>
          <w:rFonts w:ascii="Book Antiqua" w:hAnsi="Book Antiqua"/>
          <w:lang w:eastAsia="zh-CN"/>
        </w:rPr>
      </w:pPr>
    </w:p>
    <w:p w14:paraId="2A35757C" w14:textId="77777777" w:rsidR="00ED32DD" w:rsidRPr="00194E16" w:rsidRDefault="00ED32DD" w:rsidP="00ED32DD">
      <w:pPr>
        <w:jc w:val="center"/>
        <w:rPr>
          <w:rFonts w:ascii="Book Antiqua" w:hAnsi="Book Antiqua"/>
          <w:lang w:eastAsia="zh-CN"/>
        </w:rPr>
      </w:pPr>
    </w:p>
    <w:p w14:paraId="5FE8DA3B" w14:textId="77777777" w:rsidR="00ED32DD" w:rsidRPr="00194E16" w:rsidRDefault="00ED32DD" w:rsidP="00ED32DD">
      <w:pPr>
        <w:jc w:val="center"/>
        <w:rPr>
          <w:rFonts w:ascii="Book Antiqua" w:hAnsi="Book Antiqua"/>
          <w:lang w:eastAsia="zh-CN"/>
        </w:rPr>
      </w:pPr>
    </w:p>
    <w:p w14:paraId="0308EE84" w14:textId="77777777" w:rsidR="00ED32DD" w:rsidRPr="00194E16" w:rsidRDefault="00ED32DD" w:rsidP="00ED32DD">
      <w:pPr>
        <w:jc w:val="center"/>
        <w:rPr>
          <w:rFonts w:ascii="Book Antiqua" w:hAnsi="Book Antiqua"/>
          <w:lang w:eastAsia="zh-CN"/>
        </w:rPr>
      </w:pPr>
      <w:r w:rsidRPr="00194E16">
        <w:rPr>
          <w:rFonts w:ascii="Book Antiqua" w:hAnsi="Book Antiqua"/>
          <w:noProof/>
          <w:lang w:eastAsia="zh-CN"/>
        </w:rPr>
        <w:drawing>
          <wp:inline distT="0" distB="0" distL="0" distR="0" wp14:anchorId="0FA8E99E" wp14:editId="5E1709E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8B2F2B5" w14:textId="77777777" w:rsidR="00ED32DD" w:rsidRPr="00194E16" w:rsidRDefault="00ED32DD" w:rsidP="00ED32DD">
      <w:pPr>
        <w:jc w:val="center"/>
        <w:rPr>
          <w:rFonts w:ascii="Book Antiqua" w:hAnsi="Book Antiqua"/>
          <w:lang w:eastAsia="zh-CN"/>
        </w:rPr>
      </w:pPr>
    </w:p>
    <w:p w14:paraId="5415B870" w14:textId="77777777" w:rsidR="00ED32DD" w:rsidRPr="00194E16" w:rsidRDefault="00ED32DD" w:rsidP="00ED32DD">
      <w:pPr>
        <w:jc w:val="center"/>
        <w:rPr>
          <w:rFonts w:ascii="Book Antiqua" w:hAnsi="Book Antiqua"/>
          <w:lang w:eastAsia="zh-CN"/>
        </w:rPr>
      </w:pPr>
    </w:p>
    <w:p w14:paraId="60517160" w14:textId="77777777" w:rsidR="00ED32DD" w:rsidRPr="00194E16" w:rsidRDefault="00ED32DD" w:rsidP="00ED32DD">
      <w:pPr>
        <w:jc w:val="center"/>
        <w:rPr>
          <w:rFonts w:ascii="Book Antiqua" w:hAnsi="Book Antiqua"/>
          <w:lang w:eastAsia="zh-CN"/>
        </w:rPr>
      </w:pPr>
    </w:p>
    <w:p w14:paraId="2F77527B" w14:textId="77777777" w:rsidR="00ED32DD" w:rsidRPr="00194E16" w:rsidRDefault="00ED32DD" w:rsidP="00ED32DD">
      <w:pPr>
        <w:jc w:val="center"/>
        <w:rPr>
          <w:rFonts w:ascii="Book Antiqua" w:hAnsi="Book Antiqua"/>
          <w:lang w:eastAsia="zh-CN"/>
        </w:rPr>
      </w:pPr>
    </w:p>
    <w:p w14:paraId="0FA41406" w14:textId="77777777" w:rsidR="00ED32DD" w:rsidRPr="00194E16" w:rsidRDefault="00ED32DD" w:rsidP="00ED32DD">
      <w:pPr>
        <w:jc w:val="center"/>
        <w:rPr>
          <w:rFonts w:ascii="Book Antiqua" w:hAnsi="Book Antiqua"/>
          <w:lang w:eastAsia="zh-CN"/>
        </w:rPr>
      </w:pPr>
    </w:p>
    <w:p w14:paraId="24A0EDC4" w14:textId="77777777" w:rsidR="00ED32DD" w:rsidRPr="00194E16" w:rsidRDefault="00ED32DD" w:rsidP="00ED32DD">
      <w:pPr>
        <w:jc w:val="center"/>
        <w:rPr>
          <w:rFonts w:ascii="Book Antiqua" w:hAnsi="Book Antiqua"/>
          <w:lang w:eastAsia="zh-CN"/>
        </w:rPr>
      </w:pPr>
    </w:p>
    <w:p w14:paraId="4CCE4BE6" w14:textId="77777777" w:rsidR="00ED32DD" w:rsidRPr="00194E16" w:rsidRDefault="00ED32DD" w:rsidP="00ED32DD">
      <w:pPr>
        <w:jc w:val="center"/>
        <w:rPr>
          <w:rFonts w:ascii="Book Antiqua" w:hAnsi="Book Antiqua"/>
          <w:lang w:eastAsia="zh-CN"/>
        </w:rPr>
      </w:pPr>
    </w:p>
    <w:p w14:paraId="21428C46" w14:textId="77777777" w:rsidR="00ED32DD" w:rsidRPr="00194E16" w:rsidRDefault="00ED32DD" w:rsidP="00ED32DD">
      <w:pPr>
        <w:jc w:val="center"/>
        <w:rPr>
          <w:rFonts w:ascii="Book Antiqua" w:hAnsi="Book Antiqua"/>
          <w:lang w:eastAsia="zh-CN"/>
        </w:rPr>
      </w:pPr>
    </w:p>
    <w:p w14:paraId="110C2B7B" w14:textId="77777777" w:rsidR="00ED32DD" w:rsidRPr="00194E16" w:rsidRDefault="00ED32DD" w:rsidP="00ED32DD">
      <w:pPr>
        <w:jc w:val="center"/>
        <w:rPr>
          <w:rFonts w:ascii="Book Antiqua" w:hAnsi="Book Antiqua"/>
          <w:lang w:eastAsia="zh-CN"/>
        </w:rPr>
      </w:pPr>
    </w:p>
    <w:p w14:paraId="1AECBD31" w14:textId="77777777" w:rsidR="00ED32DD" w:rsidRPr="00194E16" w:rsidRDefault="00ED32DD" w:rsidP="00ED32DD">
      <w:pPr>
        <w:jc w:val="right"/>
        <w:rPr>
          <w:rFonts w:ascii="Book Antiqua" w:hAnsi="Book Antiqua"/>
          <w:color w:val="000000" w:themeColor="text1"/>
          <w:lang w:eastAsia="zh-CN"/>
        </w:rPr>
      </w:pPr>
    </w:p>
    <w:p w14:paraId="1364A141" w14:textId="32F043ED" w:rsidR="00A77B3E" w:rsidRPr="00ED32DD" w:rsidRDefault="00ED32DD" w:rsidP="00ED32DD">
      <w:pPr>
        <w:jc w:val="center"/>
        <w:rPr>
          <w:rFonts w:ascii="Book Antiqua" w:hAnsi="Book Antiqua"/>
          <w:color w:val="000000" w:themeColor="text1"/>
          <w:lang w:eastAsia="zh-CN"/>
        </w:rPr>
      </w:pPr>
      <w:r w:rsidRPr="00194E16">
        <w:rPr>
          <w:rFonts w:ascii="Book Antiqua" w:eastAsia="BookAntiqua-Bold" w:hAnsi="Book Antiqua" w:cs="BookAntiqua-Bold"/>
          <w:b/>
          <w:bCs/>
          <w:color w:val="000000" w:themeColor="text1"/>
        </w:rPr>
        <w:t>© 2021 Baishideng Publishing Group Inc. All rights reserved.</w:t>
      </w:r>
      <w:r w:rsidRPr="00194E16">
        <w:rPr>
          <w:rFonts w:ascii="Book Antiqua" w:hAnsi="Book Antiqua"/>
          <w:color w:val="000000" w:themeColor="text1"/>
          <w:lang w:eastAsia="zh-CN"/>
        </w:rPr>
        <w:fldChar w:fldCharType="begin"/>
      </w:r>
      <w:r w:rsidRPr="00194E16">
        <w:rPr>
          <w:rFonts w:ascii="Book Antiqua" w:hAnsi="Book Antiqua"/>
          <w:color w:val="000000" w:themeColor="text1"/>
          <w:lang w:eastAsia="zh-CN"/>
        </w:rPr>
        <w:instrText xml:space="preserve"> ADDIN EN.REFLIST </w:instrText>
      </w:r>
      <w:r w:rsidRPr="00194E16">
        <w:rPr>
          <w:rFonts w:ascii="Book Antiqua" w:hAnsi="Book Antiqua"/>
          <w:color w:val="000000" w:themeColor="text1"/>
          <w:lang w:eastAsia="zh-CN"/>
        </w:rPr>
        <w:fldChar w:fldCharType="end"/>
      </w:r>
    </w:p>
    <w:sectPr w:rsidR="00A77B3E" w:rsidRPr="00ED32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15EA1" w14:textId="77777777" w:rsidR="00EC530D" w:rsidRDefault="00EC530D" w:rsidP="00876790">
      <w:r>
        <w:separator/>
      </w:r>
    </w:p>
  </w:endnote>
  <w:endnote w:type="continuationSeparator" w:id="0">
    <w:p w14:paraId="6AFA6461" w14:textId="77777777" w:rsidR="00EC530D" w:rsidRDefault="00EC530D" w:rsidP="0087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Angsana New">
    <w:altName w:val="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Browallia New">
    <w:charset w:val="DE"/>
    <w:family w:val="swiss"/>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TimesNewRomanPSMT">
    <w:altName w:val="微软雅黑"/>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71772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FA23F29" w14:textId="77777777" w:rsidR="00BE1C71" w:rsidRPr="00876790" w:rsidRDefault="00BE1C71">
            <w:pPr>
              <w:pStyle w:val="a5"/>
              <w:jc w:val="right"/>
              <w:rPr>
                <w:rFonts w:ascii="Book Antiqua" w:hAnsi="Book Antiqua"/>
                <w:sz w:val="24"/>
                <w:szCs w:val="24"/>
              </w:rPr>
            </w:pPr>
            <w:r w:rsidRPr="00876790">
              <w:rPr>
                <w:rFonts w:ascii="Book Antiqua" w:hAnsi="Book Antiqua"/>
                <w:sz w:val="24"/>
                <w:szCs w:val="24"/>
                <w:lang w:val="zh-CN" w:eastAsia="zh-CN"/>
              </w:rPr>
              <w:t xml:space="preserve"> </w:t>
            </w:r>
            <w:r w:rsidRPr="00876790">
              <w:rPr>
                <w:rFonts w:ascii="Book Antiqua" w:hAnsi="Book Antiqua"/>
                <w:b/>
                <w:bCs/>
                <w:sz w:val="24"/>
                <w:szCs w:val="24"/>
              </w:rPr>
              <w:fldChar w:fldCharType="begin"/>
            </w:r>
            <w:r w:rsidRPr="00876790">
              <w:rPr>
                <w:rFonts w:ascii="Book Antiqua" w:hAnsi="Book Antiqua"/>
                <w:b/>
                <w:bCs/>
                <w:sz w:val="24"/>
                <w:szCs w:val="24"/>
              </w:rPr>
              <w:instrText>PAGE</w:instrText>
            </w:r>
            <w:r w:rsidRPr="00876790">
              <w:rPr>
                <w:rFonts w:ascii="Book Antiqua" w:hAnsi="Book Antiqua"/>
                <w:b/>
                <w:bCs/>
                <w:sz w:val="24"/>
                <w:szCs w:val="24"/>
              </w:rPr>
              <w:fldChar w:fldCharType="separate"/>
            </w:r>
            <w:r w:rsidR="002D1632">
              <w:rPr>
                <w:rFonts w:ascii="Book Antiqua" w:hAnsi="Book Antiqua"/>
                <w:b/>
                <w:bCs/>
                <w:noProof/>
                <w:sz w:val="24"/>
                <w:szCs w:val="24"/>
              </w:rPr>
              <w:t>18</w:t>
            </w:r>
            <w:r w:rsidRPr="00876790">
              <w:rPr>
                <w:rFonts w:ascii="Book Antiqua" w:hAnsi="Book Antiqua"/>
                <w:b/>
                <w:bCs/>
                <w:sz w:val="24"/>
                <w:szCs w:val="24"/>
              </w:rPr>
              <w:fldChar w:fldCharType="end"/>
            </w:r>
            <w:r w:rsidRPr="00876790">
              <w:rPr>
                <w:rFonts w:ascii="Book Antiqua" w:hAnsi="Book Antiqua"/>
                <w:sz w:val="24"/>
                <w:szCs w:val="24"/>
                <w:lang w:val="zh-CN" w:eastAsia="zh-CN"/>
              </w:rPr>
              <w:t xml:space="preserve"> / </w:t>
            </w:r>
            <w:r w:rsidRPr="00876790">
              <w:rPr>
                <w:rFonts w:ascii="Book Antiqua" w:hAnsi="Book Antiqua"/>
                <w:b/>
                <w:bCs/>
                <w:sz w:val="24"/>
                <w:szCs w:val="24"/>
              </w:rPr>
              <w:fldChar w:fldCharType="begin"/>
            </w:r>
            <w:r w:rsidRPr="00876790">
              <w:rPr>
                <w:rFonts w:ascii="Book Antiqua" w:hAnsi="Book Antiqua"/>
                <w:b/>
                <w:bCs/>
                <w:sz w:val="24"/>
                <w:szCs w:val="24"/>
              </w:rPr>
              <w:instrText>NUMPAGES</w:instrText>
            </w:r>
            <w:r w:rsidRPr="00876790">
              <w:rPr>
                <w:rFonts w:ascii="Book Antiqua" w:hAnsi="Book Antiqua"/>
                <w:b/>
                <w:bCs/>
                <w:sz w:val="24"/>
                <w:szCs w:val="24"/>
              </w:rPr>
              <w:fldChar w:fldCharType="separate"/>
            </w:r>
            <w:r w:rsidR="002D1632">
              <w:rPr>
                <w:rFonts w:ascii="Book Antiqua" w:hAnsi="Book Antiqua"/>
                <w:b/>
                <w:bCs/>
                <w:noProof/>
                <w:sz w:val="24"/>
                <w:szCs w:val="24"/>
              </w:rPr>
              <w:t>32</w:t>
            </w:r>
            <w:r w:rsidRPr="00876790">
              <w:rPr>
                <w:rFonts w:ascii="Book Antiqua" w:hAnsi="Book Antiqua"/>
                <w:b/>
                <w:bCs/>
                <w:sz w:val="24"/>
                <w:szCs w:val="24"/>
              </w:rPr>
              <w:fldChar w:fldCharType="end"/>
            </w:r>
          </w:p>
        </w:sdtContent>
      </w:sdt>
    </w:sdtContent>
  </w:sdt>
  <w:p w14:paraId="5E5DC137" w14:textId="77777777" w:rsidR="00BE1C71" w:rsidRDefault="00BE1C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C347D" w14:textId="77777777" w:rsidR="00EC530D" w:rsidRDefault="00EC530D" w:rsidP="00876790">
      <w:r>
        <w:separator/>
      </w:r>
    </w:p>
  </w:footnote>
  <w:footnote w:type="continuationSeparator" w:id="0">
    <w:p w14:paraId="56F74020" w14:textId="77777777" w:rsidR="00EC530D" w:rsidRDefault="00EC530D" w:rsidP="008767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9C5"/>
    <w:rsid w:val="00001F65"/>
    <w:rsid w:val="000107F1"/>
    <w:rsid w:val="000109D6"/>
    <w:rsid w:val="00012B98"/>
    <w:rsid w:val="00051E3F"/>
    <w:rsid w:val="00066DC9"/>
    <w:rsid w:val="000C0A6A"/>
    <w:rsid w:val="000E2FFD"/>
    <w:rsid w:val="00105082"/>
    <w:rsid w:val="00107B1E"/>
    <w:rsid w:val="001178D1"/>
    <w:rsid w:val="001261C0"/>
    <w:rsid w:val="00133882"/>
    <w:rsid w:val="00135D27"/>
    <w:rsid w:val="001638C1"/>
    <w:rsid w:val="00166E9F"/>
    <w:rsid w:val="00182690"/>
    <w:rsid w:val="001A2BB1"/>
    <w:rsid w:val="002008CE"/>
    <w:rsid w:val="00203F96"/>
    <w:rsid w:val="00233504"/>
    <w:rsid w:val="00237EC6"/>
    <w:rsid w:val="002B3A27"/>
    <w:rsid w:val="002D1632"/>
    <w:rsid w:val="0032330A"/>
    <w:rsid w:val="0032779C"/>
    <w:rsid w:val="003654F1"/>
    <w:rsid w:val="00365AB7"/>
    <w:rsid w:val="003B4089"/>
    <w:rsid w:val="003C33A6"/>
    <w:rsid w:val="003C4F26"/>
    <w:rsid w:val="003D4E65"/>
    <w:rsid w:val="003D7937"/>
    <w:rsid w:val="003F7ADF"/>
    <w:rsid w:val="00427864"/>
    <w:rsid w:val="00440333"/>
    <w:rsid w:val="004543E1"/>
    <w:rsid w:val="00454C3A"/>
    <w:rsid w:val="00467345"/>
    <w:rsid w:val="00471F75"/>
    <w:rsid w:val="00485933"/>
    <w:rsid w:val="004B51B2"/>
    <w:rsid w:val="004F2C5C"/>
    <w:rsid w:val="005004EE"/>
    <w:rsid w:val="00502612"/>
    <w:rsid w:val="00521AAE"/>
    <w:rsid w:val="00534CB2"/>
    <w:rsid w:val="00555922"/>
    <w:rsid w:val="00582295"/>
    <w:rsid w:val="00582CA1"/>
    <w:rsid w:val="00592637"/>
    <w:rsid w:val="00595476"/>
    <w:rsid w:val="005C06BD"/>
    <w:rsid w:val="005C1190"/>
    <w:rsid w:val="005D76C3"/>
    <w:rsid w:val="005F7902"/>
    <w:rsid w:val="00675ED1"/>
    <w:rsid w:val="00695CAB"/>
    <w:rsid w:val="00696F41"/>
    <w:rsid w:val="006A6AE9"/>
    <w:rsid w:val="006A6FAA"/>
    <w:rsid w:val="006B6A28"/>
    <w:rsid w:val="006C20BC"/>
    <w:rsid w:val="006D6E01"/>
    <w:rsid w:val="006E050F"/>
    <w:rsid w:val="006F23C9"/>
    <w:rsid w:val="00701262"/>
    <w:rsid w:val="00776EE6"/>
    <w:rsid w:val="0078297B"/>
    <w:rsid w:val="007A6975"/>
    <w:rsid w:val="007E44F4"/>
    <w:rsid w:val="007E63DD"/>
    <w:rsid w:val="00827891"/>
    <w:rsid w:val="008477D7"/>
    <w:rsid w:val="00857D5B"/>
    <w:rsid w:val="0086290C"/>
    <w:rsid w:val="008748C7"/>
    <w:rsid w:val="008757D5"/>
    <w:rsid w:val="00876790"/>
    <w:rsid w:val="00883011"/>
    <w:rsid w:val="008C503E"/>
    <w:rsid w:val="00941C6B"/>
    <w:rsid w:val="00957520"/>
    <w:rsid w:val="00977B6F"/>
    <w:rsid w:val="0098561A"/>
    <w:rsid w:val="00995DB3"/>
    <w:rsid w:val="009F60EF"/>
    <w:rsid w:val="00A25079"/>
    <w:rsid w:val="00A77B3E"/>
    <w:rsid w:val="00AA2F8B"/>
    <w:rsid w:val="00AB09F3"/>
    <w:rsid w:val="00AE12BA"/>
    <w:rsid w:val="00AE1F51"/>
    <w:rsid w:val="00B20B1F"/>
    <w:rsid w:val="00B24503"/>
    <w:rsid w:val="00B2454B"/>
    <w:rsid w:val="00B50C0C"/>
    <w:rsid w:val="00B72FDF"/>
    <w:rsid w:val="00BA3391"/>
    <w:rsid w:val="00BE1C71"/>
    <w:rsid w:val="00BE3A60"/>
    <w:rsid w:val="00C167CE"/>
    <w:rsid w:val="00C23DD7"/>
    <w:rsid w:val="00C300A7"/>
    <w:rsid w:val="00C42CC3"/>
    <w:rsid w:val="00C47993"/>
    <w:rsid w:val="00C630BC"/>
    <w:rsid w:val="00C752E4"/>
    <w:rsid w:val="00CA2A55"/>
    <w:rsid w:val="00CA5824"/>
    <w:rsid w:val="00CB64BE"/>
    <w:rsid w:val="00CC7019"/>
    <w:rsid w:val="00CD0CFF"/>
    <w:rsid w:val="00D11DC7"/>
    <w:rsid w:val="00D1363A"/>
    <w:rsid w:val="00D21F92"/>
    <w:rsid w:val="00D23C58"/>
    <w:rsid w:val="00D366C0"/>
    <w:rsid w:val="00D4431C"/>
    <w:rsid w:val="00D80856"/>
    <w:rsid w:val="00D9204E"/>
    <w:rsid w:val="00DA4CF0"/>
    <w:rsid w:val="00DB3B0A"/>
    <w:rsid w:val="00DB6B66"/>
    <w:rsid w:val="00DF57BC"/>
    <w:rsid w:val="00E04CEA"/>
    <w:rsid w:val="00E33A80"/>
    <w:rsid w:val="00EA0D82"/>
    <w:rsid w:val="00EC530D"/>
    <w:rsid w:val="00ED009A"/>
    <w:rsid w:val="00ED32DD"/>
    <w:rsid w:val="00F05368"/>
    <w:rsid w:val="00F16E70"/>
    <w:rsid w:val="00F92ADE"/>
    <w:rsid w:val="00F95DB0"/>
    <w:rsid w:val="00FE1940"/>
    <w:rsid w:val="00FE594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9F1F09"/>
  <w15:docId w15:val="{963F319B-4733-4697-8D9A-7D9000A0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76790"/>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876790"/>
    <w:rPr>
      <w:sz w:val="18"/>
      <w:szCs w:val="18"/>
    </w:rPr>
  </w:style>
  <w:style w:type="paragraph" w:styleId="a5">
    <w:name w:val="footer"/>
    <w:basedOn w:val="a"/>
    <w:link w:val="a6"/>
    <w:uiPriority w:val="99"/>
    <w:rsid w:val="00876790"/>
    <w:pPr>
      <w:tabs>
        <w:tab w:val="center" w:pos="4320"/>
        <w:tab w:val="right" w:pos="8640"/>
      </w:tabs>
      <w:snapToGrid w:val="0"/>
    </w:pPr>
    <w:rPr>
      <w:sz w:val="18"/>
      <w:szCs w:val="18"/>
    </w:rPr>
  </w:style>
  <w:style w:type="character" w:customStyle="1" w:styleId="a6">
    <w:name w:val="页脚 字符"/>
    <w:basedOn w:val="a0"/>
    <w:link w:val="a5"/>
    <w:uiPriority w:val="99"/>
    <w:rsid w:val="00876790"/>
    <w:rPr>
      <w:sz w:val="18"/>
      <w:szCs w:val="18"/>
    </w:rPr>
  </w:style>
  <w:style w:type="character" w:customStyle="1" w:styleId="dxdefaultcursor">
    <w:name w:val="dxdefaultcursor"/>
    <w:basedOn w:val="a0"/>
    <w:rsid w:val="00233504"/>
  </w:style>
  <w:style w:type="paragraph" w:styleId="a7">
    <w:name w:val="Balloon Text"/>
    <w:basedOn w:val="a"/>
    <w:link w:val="a8"/>
    <w:rsid w:val="00427864"/>
    <w:rPr>
      <w:sz w:val="18"/>
      <w:szCs w:val="18"/>
    </w:rPr>
  </w:style>
  <w:style w:type="character" w:customStyle="1" w:styleId="a8">
    <w:name w:val="批注框文本 字符"/>
    <w:basedOn w:val="a0"/>
    <w:link w:val="a7"/>
    <w:rsid w:val="00427864"/>
    <w:rPr>
      <w:sz w:val="18"/>
      <w:szCs w:val="18"/>
    </w:rPr>
  </w:style>
  <w:style w:type="table" w:customStyle="1" w:styleId="TableGrid1">
    <w:name w:val="Table Grid1"/>
    <w:basedOn w:val="a1"/>
    <w:next w:val="a9"/>
    <w:uiPriority w:val="59"/>
    <w:rsid w:val="007E44F4"/>
    <w:rPr>
      <w:rFonts w:asciiTheme="minorHAnsi" w:hAnsiTheme="minorHAnsi" w:cstheme="minorBidi"/>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rsid w:val="007E4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7E44F4"/>
    <w:rPr>
      <w:rFonts w:asciiTheme="minorHAnsi" w:hAnsiTheme="minorHAnsi" w:cstheme="minorBidi"/>
      <w:sz w:val="22"/>
      <w:szCs w:val="28"/>
      <w:lang w:bidi="th-TH"/>
    </w:rPr>
  </w:style>
  <w:style w:type="character" w:styleId="ab">
    <w:name w:val="Hyperlink"/>
    <w:basedOn w:val="a0"/>
    <w:unhideWhenUsed/>
    <w:rsid w:val="00E33A80"/>
    <w:rPr>
      <w:color w:val="0000FF" w:themeColor="hyperlink"/>
      <w:u w:val="single"/>
    </w:rPr>
  </w:style>
  <w:style w:type="character" w:styleId="ac">
    <w:name w:val="Unresolved Mention"/>
    <w:basedOn w:val="a0"/>
    <w:uiPriority w:val="99"/>
    <w:semiHidden/>
    <w:unhideWhenUsed/>
    <w:rsid w:val="00E33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www.thaiclinicaltrials.org/"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wjgnet.com/2220-6124/full/v10/i6/109.htm"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www.thaiclinicaltrials.or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33</Pages>
  <Words>6426</Words>
  <Characters>36632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Wu ruirui</cp:lastModifiedBy>
  <cp:revision>72</cp:revision>
  <dcterms:created xsi:type="dcterms:W3CDTF">2021-09-15T15:30:00Z</dcterms:created>
  <dcterms:modified xsi:type="dcterms:W3CDTF">2021-11-23T05:47:00Z</dcterms:modified>
</cp:coreProperties>
</file>