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F67D1"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Name of Journal: </w:t>
      </w:r>
      <w:r w:rsidRPr="005F0812">
        <w:rPr>
          <w:rFonts w:ascii="Book Antiqua" w:eastAsia="Book Antiqua" w:hAnsi="Book Antiqua" w:cs="Book Antiqua"/>
          <w:i/>
          <w:color w:val="000000"/>
          <w:lang w:val="en-GB"/>
        </w:rPr>
        <w:t>World Journal of Hepatology</w:t>
      </w:r>
    </w:p>
    <w:p w14:paraId="142EB317"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Manuscript NO: </w:t>
      </w:r>
      <w:r w:rsidRPr="005F0812">
        <w:rPr>
          <w:rFonts w:ascii="Book Antiqua" w:eastAsia="Book Antiqua" w:hAnsi="Book Antiqua" w:cs="Book Antiqua"/>
          <w:color w:val="000000"/>
          <w:lang w:val="en-GB"/>
        </w:rPr>
        <w:t>68060</w:t>
      </w:r>
    </w:p>
    <w:p w14:paraId="5E993E10"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Manuscript Type: </w:t>
      </w:r>
      <w:r w:rsidRPr="005F0812">
        <w:rPr>
          <w:rFonts w:ascii="Book Antiqua" w:eastAsia="Book Antiqua" w:hAnsi="Book Antiqua" w:cs="Book Antiqua"/>
          <w:color w:val="000000"/>
          <w:lang w:val="en-GB"/>
        </w:rPr>
        <w:t>ORIGINAL ARTICLE</w:t>
      </w:r>
    </w:p>
    <w:p w14:paraId="37EEDB4E" w14:textId="77777777" w:rsidR="00A77B3E" w:rsidRPr="005F0812" w:rsidRDefault="00A77B3E" w:rsidP="006309ED">
      <w:pPr>
        <w:spacing w:line="360" w:lineRule="auto"/>
        <w:jc w:val="both"/>
        <w:rPr>
          <w:rFonts w:ascii="Book Antiqua" w:hAnsi="Book Antiqua"/>
          <w:lang w:val="en-GB"/>
        </w:rPr>
      </w:pPr>
    </w:p>
    <w:p w14:paraId="616023F7"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Retrospective Cohort Study</w:t>
      </w:r>
    </w:p>
    <w:p w14:paraId="40509266"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Hepatocellular injury and the mortality risk among patients with </w:t>
      </w:r>
      <w:r w:rsidR="00457F6E" w:rsidRPr="005F0812">
        <w:rPr>
          <w:rFonts w:ascii="Book Antiqua" w:eastAsia="Book Antiqua" w:hAnsi="Book Antiqua" w:cs="Book Antiqua"/>
          <w:b/>
          <w:color w:val="000000"/>
          <w:lang w:val="en-GB"/>
        </w:rPr>
        <w:t>COVID-19</w:t>
      </w:r>
      <w:r w:rsidRPr="005F0812">
        <w:rPr>
          <w:rFonts w:ascii="Book Antiqua" w:eastAsia="Book Antiqua" w:hAnsi="Book Antiqua" w:cs="Book Antiqua"/>
          <w:b/>
          <w:bCs/>
          <w:color w:val="000000"/>
          <w:lang w:val="en-GB"/>
        </w:rPr>
        <w:t xml:space="preserve">: </w:t>
      </w:r>
      <w:r w:rsidR="00457F6E" w:rsidRPr="005F0812">
        <w:rPr>
          <w:rFonts w:ascii="Book Antiqua" w:hAnsi="Book Antiqua" w:cs="Book Antiqua"/>
          <w:b/>
          <w:bCs/>
          <w:color w:val="000000"/>
          <w:lang w:val="en-GB" w:eastAsia="zh-CN"/>
        </w:rPr>
        <w:t>A</w:t>
      </w:r>
      <w:r w:rsidRPr="005F0812">
        <w:rPr>
          <w:rFonts w:ascii="Book Antiqua" w:eastAsia="Book Antiqua" w:hAnsi="Book Antiqua" w:cs="Book Antiqua"/>
          <w:b/>
          <w:bCs/>
          <w:color w:val="000000"/>
          <w:lang w:val="en-GB"/>
        </w:rPr>
        <w:t xml:space="preserve"> retrospective cohort study</w:t>
      </w:r>
    </w:p>
    <w:p w14:paraId="6E0D1A75" w14:textId="77777777" w:rsidR="00A77B3E" w:rsidRPr="005F0812" w:rsidRDefault="00A77B3E" w:rsidP="006309ED">
      <w:pPr>
        <w:spacing w:line="360" w:lineRule="auto"/>
        <w:jc w:val="both"/>
        <w:rPr>
          <w:rFonts w:ascii="Book Antiqua" w:hAnsi="Book Antiqua"/>
          <w:lang w:val="en-GB"/>
        </w:rPr>
      </w:pPr>
    </w:p>
    <w:p w14:paraId="07BCFEA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Madian A </w:t>
      </w:r>
      <w:r w:rsidRPr="005F0812">
        <w:rPr>
          <w:rFonts w:ascii="Book Antiqua" w:eastAsia="Book Antiqua" w:hAnsi="Book Antiqua" w:cs="Book Antiqua"/>
          <w:i/>
          <w:iCs/>
          <w:color w:val="000000"/>
          <w:lang w:val="en-GB"/>
        </w:rPr>
        <w:t>et al</w:t>
      </w:r>
      <w:r w:rsidRPr="005F0812">
        <w:rPr>
          <w:rFonts w:ascii="Book Antiqua" w:eastAsia="Book Antiqua" w:hAnsi="Book Antiqua" w:cs="Book Antiqua"/>
          <w:color w:val="000000"/>
          <w:lang w:val="en-GB"/>
        </w:rPr>
        <w:t>. Hepatocellular injury among patients with COVID-19</w:t>
      </w:r>
    </w:p>
    <w:p w14:paraId="78831C91" w14:textId="77777777" w:rsidR="00A77B3E" w:rsidRPr="005F0812" w:rsidRDefault="00A77B3E" w:rsidP="006309ED">
      <w:pPr>
        <w:spacing w:line="360" w:lineRule="auto"/>
        <w:jc w:val="both"/>
        <w:rPr>
          <w:rFonts w:ascii="Book Antiqua" w:hAnsi="Book Antiqua"/>
          <w:lang w:val="en-GB"/>
        </w:rPr>
      </w:pPr>
    </w:p>
    <w:p w14:paraId="58EBF231"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Ali Madian, Ahmed Eliwa, Hytham Abdalla, Haitham A</w:t>
      </w:r>
      <w:r w:rsidR="00800400"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Azeem Aly</w:t>
      </w:r>
    </w:p>
    <w:p w14:paraId="6EB72407" w14:textId="77777777" w:rsidR="00A77B3E" w:rsidRPr="005F0812" w:rsidRDefault="00A77B3E" w:rsidP="006309ED">
      <w:pPr>
        <w:spacing w:line="360" w:lineRule="auto"/>
        <w:jc w:val="both"/>
        <w:rPr>
          <w:rFonts w:ascii="Book Antiqua" w:hAnsi="Book Antiqua"/>
          <w:lang w:val="en-GB"/>
        </w:rPr>
      </w:pPr>
    </w:p>
    <w:p w14:paraId="02EE25C5" w14:textId="76EE787D"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Ali Madian, </w:t>
      </w:r>
      <w:r w:rsidR="00457F6E" w:rsidRPr="005F0812">
        <w:rPr>
          <w:rFonts w:ascii="Book Antiqua" w:eastAsia="Book Antiqua" w:hAnsi="Book Antiqua" w:cs="Book Antiqua"/>
          <w:color w:val="000000"/>
          <w:lang w:val="en-GB"/>
        </w:rPr>
        <w:t xml:space="preserve">Division </w:t>
      </w:r>
      <w:r w:rsidR="00457F6E" w:rsidRPr="005F0812">
        <w:rPr>
          <w:rFonts w:ascii="Book Antiqua" w:hAnsi="Book Antiqua" w:cs="Book Antiqua"/>
          <w:color w:val="000000"/>
          <w:lang w:val="en-GB" w:eastAsia="zh-CN"/>
        </w:rPr>
        <w:t xml:space="preserve">of </w:t>
      </w:r>
      <w:r w:rsidRPr="005F0812">
        <w:rPr>
          <w:rFonts w:ascii="Book Antiqua" w:eastAsia="Book Antiqua" w:hAnsi="Book Antiqua" w:cs="Book Antiqua"/>
          <w:color w:val="000000"/>
          <w:lang w:val="en-GB"/>
        </w:rPr>
        <w:t>Gastroen</w:t>
      </w:r>
      <w:r w:rsidR="00071E2E" w:rsidRPr="005F0812">
        <w:rPr>
          <w:rFonts w:ascii="Book Antiqua" w:hAnsi="Book Antiqua" w:cs="Book Antiqua"/>
          <w:color w:val="000000"/>
          <w:lang w:val="en-GB" w:eastAsia="zh-CN"/>
        </w:rPr>
        <w:t>t</w:t>
      </w:r>
      <w:r w:rsidRPr="005F0812">
        <w:rPr>
          <w:rFonts w:ascii="Book Antiqua" w:eastAsia="Book Antiqua" w:hAnsi="Book Antiqua" w:cs="Book Antiqua"/>
          <w:color w:val="000000"/>
          <w:lang w:val="en-GB"/>
        </w:rPr>
        <w:t>erology and Hepatology, Department of Internal Medicine, Faculty of</w:t>
      </w:r>
      <w:r w:rsidR="00644732" w:rsidRPr="005F0812">
        <w:rPr>
          <w:rFonts w:ascii="Book Antiqua" w:eastAsia="Book Antiqua" w:hAnsi="Book Antiqua" w:cs="Book Antiqua"/>
          <w:color w:val="000000"/>
          <w:lang w:val="en-GB"/>
        </w:rPr>
        <w:t xml:space="preserve"> Medicine</w:t>
      </w:r>
      <w:r w:rsidR="00800400" w:rsidRPr="005F0812">
        <w:rPr>
          <w:rFonts w:ascii="Book Antiqua" w:eastAsia="Book Antiqua" w:hAnsi="Book Antiqua" w:cs="Book Antiqua"/>
          <w:color w:val="000000"/>
          <w:lang w:val="en-GB"/>
        </w:rPr>
        <w:t xml:space="preserve">, </w:t>
      </w:r>
      <w:r w:rsidR="00071E2E" w:rsidRPr="005F0812">
        <w:rPr>
          <w:rFonts w:ascii="Book Antiqua" w:hAnsi="Book Antiqua"/>
          <w:lang w:val="en-GB"/>
        </w:rPr>
        <w:t>Al-Azhar University-Assiut, Assiut</w:t>
      </w:r>
      <w:r w:rsidR="00435E98" w:rsidRPr="005F0812">
        <w:rPr>
          <w:rFonts w:ascii="Book Antiqua" w:hAnsi="Book Antiqua"/>
          <w:lang w:val="en-GB" w:eastAsia="zh-CN"/>
        </w:rPr>
        <w:t xml:space="preserve"> </w:t>
      </w:r>
      <w:r w:rsidR="00435E98" w:rsidRPr="005F0812">
        <w:rPr>
          <w:rFonts w:ascii="Book Antiqua" w:hAnsi="Book Antiqua"/>
          <w:lang w:val="en-GB"/>
        </w:rPr>
        <w:t>71524</w:t>
      </w:r>
      <w:r w:rsidR="00071E2E" w:rsidRPr="005F0812">
        <w:rPr>
          <w:rFonts w:ascii="Book Antiqua" w:hAnsi="Book Antiqua"/>
          <w:lang w:val="en-GB"/>
        </w:rPr>
        <w:t>, Egypt</w:t>
      </w:r>
    </w:p>
    <w:p w14:paraId="052BA88C" w14:textId="77777777" w:rsidR="00A77B3E" w:rsidRPr="005F0812" w:rsidRDefault="00A77B3E" w:rsidP="006309ED">
      <w:pPr>
        <w:spacing w:line="360" w:lineRule="auto"/>
        <w:jc w:val="both"/>
        <w:rPr>
          <w:rFonts w:ascii="Book Antiqua" w:hAnsi="Book Antiqua"/>
          <w:lang w:val="en-GB"/>
        </w:rPr>
      </w:pPr>
    </w:p>
    <w:p w14:paraId="76EDBC41" w14:textId="4C1C5B7C"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Ahmed Eliwa, </w:t>
      </w:r>
      <w:r w:rsidR="00457F6E" w:rsidRPr="005F0812">
        <w:rPr>
          <w:rFonts w:ascii="Book Antiqua" w:eastAsia="Book Antiqua" w:hAnsi="Book Antiqua" w:cs="Book Antiqua"/>
          <w:color w:val="000000"/>
          <w:lang w:val="en-GB"/>
        </w:rPr>
        <w:t xml:space="preserve">Division </w:t>
      </w:r>
      <w:r w:rsidR="00457F6E" w:rsidRPr="005F0812">
        <w:rPr>
          <w:rFonts w:ascii="Book Antiqua" w:hAnsi="Book Antiqua" w:cs="Book Antiqua"/>
          <w:color w:val="000000"/>
          <w:lang w:val="en-GB" w:eastAsia="zh-CN"/>
        </w:rPr>
        <w:t xml:space="preserve">of </w:t>
      </w:r>
      <w:r w:rsidR="00071E2E" w:rsidRPr="005F0812">
        <w:rPr>
          <w:rFonts w:ascii="Book Antiqua" w:hAnsi="Book Antiqua"/>
          <w:lang w:val="en-GB"/>
        </w:rPr>
        <w:t>Gastroenterology</w:t>
      </w:r>
      <w:r w:rsidRPr="005F0812">
        <w:rPr>
          <w:rFonts w:ascii="Book Antiqua" w:eastAsia="Book Antiqua" w:hAnsi="Book Antiqua" w:cs="Book Antiqua"/>
          <w:color w:val="000000"/>
          <w:lang w:val="en-GB"/>
        </w:rPr>
        <w:t xml:space="preserve"> and Hepatology, Department of Internal Medicine, Faculty of</w:t>
      </w:r>
      <w:r w:rsidR="00800400" w:rsidRPr="005F0812">
        <w:rPr>
          <w:rFonts w:ascii="Book Antiqua" w:eastAsia="Book Antiqua" w:hAnsi="Book Antiqua" w:cs="Book Antiqua"/>
          <w:color w:val="000000"/>
          <w:lang w:val="en-GB"/>
        </w:rPr>
        <w:t xml:space="preserve"> Medi</w:t>
      </w:r>
      <w:r w:rsidR="00644732" w:rsidRPr="005F0812">
        <w:rPr>
          <w:rFonts w:ascii="Book Antiqua" w:eastAsia="Book Antiqua" w:hAnsi="Book Antiqua" w:cs="Book Antiqua"/>
          <w:color w:val="000000"/>
          <w:lang w:val="en-GB"/>
        </w:rPr>
        <w:t>cine</w:t>
      </w:r>
      <w:r w:rsidR="00800400" w:rsidRPr="005F0812">
        <w:rPr>
          <w:rFonts w:ascii="Book Antiqua" w:eastAsia="Book Antiqua" w:hAnsi="Book Antiqua" w:cs="Book Antiqua"/>
          <w:color w:val="000000"/>
          <w:lang w:val="en-GB"/>
        </w:rPr>
        <w:t xml:space="preserve">, </w:t>
      </w:r>
      <w:r w:rsidR="00071E2E" w:rsidRPr="005F0812">
        <w:rPr>
          <w:rFonts w:ascii="Book Antiqua" w:hAnsi="Book Antiqua"/>
          <w:lang w:val="en-GB"/>
        </w:rPr>
        <w:t>Al-Azhar University-Cairo, Cairo</w:t>
      </w:r>
      <w:r w:rsidR="00435E98" w:rsidRPr="005F0812">
        <w:rPr>
          <w:rFonts w:ascii="Book Antiqua" w:hAnsi="Book Antiqua"/>
          <w:lang w:val="en-GB" w:eastAsia="zh-CN"/>
        </w:rPr>
        <w:t xml:space="preserve"> </w:t>
      </w:r>
      <w:r w:rsidR="00435E98" w:rsidRPr="005F0812">
        <w:rPr>
          <w:rFonts w:ascii="Book Antiqua" w:hAnsi="Book Antiqua"/>
          <w:lang w:val="en-GB"/>
        </w:rPr>
        <w:t>11754</w:t>
      </w:r>
      <w:r w:rsidR="00071E2E" w:rsidRPr="005F0812">
        <w:rPr>
          <w:rFonts w:ascii="Book Antiqua" w:hAnsi="Book Antiqua"/>
          <w:lang w:val="en-GB"/>
        </w:rPr>
        <w:t>, Egypt</w:t>
      </w:r>
    </w:p>
    <w:p w14:paraId="195BFFB2" w14:textId="77777777" w:rsidR="00A77B3E" w:rsidRPr="005F0812" w:rsidRDefault="00A77B3E" w:rsidP="006309ED">
      <w:pPr>
        <w:spacing w:line="360" w:lineRule="auto"/>
        <w:jc w:val="both"/>
        <w:rPr>
          <w:rFonts w:ascii="Book Antiqua" w:hAnsi="Book Antiqua"/>
          <w:lang w:val="en-GB"/>
        </w:rPr>
      </w:pPr>
    </w:p>
    <w:p w14:paraId="796CFE31" w14:textId="318B67DD"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Hytham Abdalla, </w:t>
      </w:r>
      <w:r w:rsidR="00B41956" w:rsidRPr="005F0812">
        <w:rPr>
          <w:rFonts w:ascii="Book Antiqua" w:eastAsia="Book Antiqua" w:hAnsi="Book Antiqua" w:cs="Book Antiqua"/>
          <w:color w:val="000000"/>
          <w:lang w:val="en-GB"/>
        </w:rPr>
        <w:t xml:space="preserve">Department of Chest Diseases, </w:t>
      </w:r>
      <w:r w:rsidR="00800400" w:rsidRPr="005F0812">
        <w:rPr>
          <w:rFonts w:ascii="Book Antiqua" w:eastAsia="Book Antiqua" w:hAnsi="Book Antiqua" w:cs="Book Antiqua"/>
          <w:color w:val="000000"/>
          <w:lang w:val="en-GB"/>
        </w:rPr>
        <w:t>Faculty of Medicine</w:t>
      </w:r>
      <w:r w:rsidRPr="005F0812">
        <w:rPr>
          <w:rFonts w:ascii="Book Antiqua" w:eastAsia="Book Antiqua" w:hAnsi="Book Antiqua" w:cs="Book Antiqua"/>
          <w:color w:val="000000"/>
          <w:lang w:val="en-GB"/>
        </w:rPr>
        <w:t xml:space="preserve">, </w:t>
      </w:r>
      <w:r w:rsidR="00071E2E" w:rsidRPr="005F0812">
        <w:rPr>
          <w:rFonts w:ascii="Book Antiqua" w:hAnsi="Book Antiqua"/>
          <w:lang w:val="en-GB"/>
        </w:rPr>
        <w:t>Al-Azhar University-Assiut, Assiut</w:t>
      </w:r>
      <w:r w:rsidR="00435E98" w:rsidRPr="005F0812">
        <w:rPr>
          <w:rFonts w:ascii="Book Antiqua" w:hAnsi="Book Antiqua"/>
          <w:lang w:val="en-GB" w:eastAsia="zh-CN"/>
        </w:rPr>
        <w:t xml:space="preserve"> </w:t>
      </w:r>
      <w:r w:rsidR="00435E98" w:rsidRPr="005F0812">
        <w:rPr>
          <w:rFonts w:ascii="Book Antiqua" w:hAnsi="Book Antiqua"/>
          <w:lang w:val="en-GB"/>
        </w:rPr>
        <w:t>71524</w:t>
      </w:r>
      <w:r w:rsidR="00071E2E" w:rsidRPr="005F0812">
        <w:rPr>
          <w:rFonts w:ascii="Book Antiqua" w:hAnsi="Book Antiqua"/>
          <w:lang w:val="en-GB"/>
        </w:rPr>
        <w:t>, Egypt</w:t>
      </w:r>
    </w:p>
    <w:p w14:paraId="65609649" w14:textId="77777777" w:rsidR="00A77B3E" w:rsidRPr="005F0812" w:rsidRDefault="00A77B3E" w:rsidP="006309ED">
      <w:pPr>
        <w:spacing w:line="360" w:lineRule="auto"/>
        <w:jc w:val="both"/>
        <w:rPr>
          <w:rFonts w:ascii="Book Antiqua" w:hAnsi="Book Antiqua"/>
          <w:lang w:val="en-GB"/>
        </w:rPr>
      </w:pPr>
    </w:p>
    <w:p w14:paraId="45724B5B" w14:textId="0324B048"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Haitham A</w:t>
      </w:r>
      <w:r w:rsidR="00800400" w:rsidRPr="005F0812">
        <w:rPr>
          <w:rFonts w:ascii="Book Antiqua" w:hAnsi="Book Antiqua" w:cs="Book Antiqua"/>
          <w:b/>
          <w:bCs/>
          <w:color w:val="000000"/>
          <w:lang w:val="en-GB" w:eastAsia="zh-CN"/>
        </w:rPr>
        <w:t xml:space="preserve"> </w:t>
      </w:r>
      <w:r w:rsidRPr="005F0812">
        <w:rPr>
          <w:rFonts w:ascii="Book Antiqua" w:eastAsia="Book Antiqua" w:hAnsi="Book Antiqua" w:cs="Book Antiqua"/>
          <w:b/>
          <w:bCs/>
          <w:color w:val="000000"/>
          <w:lang w:val="en-GB"/>
        </w:rPr>
        <w:t>Azeem Aly,</w:t>
      </w:r>
      <w:r w:rsidR="00800400" w:rsidRPr="001E4DB4">
        <w:rPr>
          <w:rFonts w:ascii="Book Antiqua" w:eastAsia="Book Antiqua" w:hAnsi="Book Antiqua" w:cs="Book Antiqua"/>
          <w:color w:val="000000"/>
          <w:lang w:val="en-GB"/>
        </w:rPr>
        <w:t xml:space="preserve"> Department of</w:t>
      </w:r>
      <w:r w:rsidRPr="001E4DB4">
        <w:rPr>
          <w:rFonts w:ascii="Book Antiqua" w:eastAsia="Book Antiqua" w:hAnsi="Book Antiqua" w:cs="Book Antiqua"/>
          <w:color w:val="000000"/>
          <w:lang w:val="en-GB"/>
        </w:rPr>
        <w:t xml:space="preserve"> </w:t>
      </w:r>
      <w:r w:rsidR="00800400" w:rsidRPr="001E4DB4">
        <w:rPr>
          <w:rFonts w:ascii="Book Antiqua" w:hAnsi="Book Antiqua" w:cs="Book Antiqua"/>
          <w:color w:val="000000"/>
          <w:lang w:val="en-GB" w:eastAsia="zh-CN"/>
        </w:rPr>
        <w:t>I</w:t>
      </w:r>
      <w:r w:rsidRPr="001E4DB4">
        <w:rPr>
          <w:rFonts w:ascii="Book Antiqua" w:eastAsia="Book Antiqua" w:hAnsi="Book Antiqua" w:cs="Book Antiqua"/>
          <w:color w:val="000000"/>
          <w:lang w:val="en-GB"/>
        </w:rPr>
        <w:t xml:space="preserve">nternal </w:t>
      </w:r>
      <w:r w:rsidR="00800400" w:rsidRPr="001E4DB4">
        <w:rPr>
          <w:rFonts w:ascii="Book Antiqua" w:hAnsi="Book Antiqua" w:cs="Book Antiqua"/>
          <w:color w:val="000000"/>
          <w:lang w:val="en-GB" w:eastAsia="zh-CN"/>
        </w:rPr>
        <w:t>M</w:t>
      </w:r>
      <w:r w:rsidRPr="001E4DB4">
        <w:rPr>
          <w:rFonts w:ascii="Book Antiqua" w:eastAsia="Book Antiqua" w:hAnsi="Book Antiqua" w:cs="Book Antiqua"/>
          <w:color w:val="000000"/>
          <w:lang w:val="en-GB"/>
        </w:rPr>
        <w:t xml:space="preserve">edicine, </w:t>
      </w:r>
      <w:r w:rsidR="003B3BEC" w:rsidRPr="005F0812">
        <w:rPr>
          <w:rFonts w:ascii="Book Antiqua" w:hAnsi="Book Antiqua" w:cs="Book Antiqua"/>
          <w:color w:val="000000"/>
          <w:lang w:val="en-GB" w:eastAsia="zh-CN"/>
        </w:rPr>
        <w:t>F</w:t>
      </w:r>
      <w:r w:rsidR="003B3BEC" w:rsidRPr="005F0812">
        <w:rPr>
          <w:rFonts w:ascii="Book Antiqua" w:eastAsia="Book Antiqua" w:hAnsi="Book Antiqua" w:cs="Book Antiqua"/>
          <w:color w:val="000000"/>
          <w:lang w:val="en-GB"/>
        </w:rPr>
        <w:t xml:space="preserve">aculty of </w:t>
      </w:r>
      <w:r w:rsidR="003B3BEC" w:rsidRPr="005F0812">
        <w:rPr>
          <w:rFonts w:ascii="Book Antiqua" w:hAnsi="Book Antiqua" w:cs="Book Antiqua"/>
          <w:color w:val="000000"/>
          <w:lang w:val="en-GB" w:eastAsia="zh-CN"/>
        </w:rPr>
        <w:t>M</w:t>
      </w:r>
      <w:r w:rsidR="003B3BEC" w:rsidRPr="005F0812">
        <w:rPr>
          <w:rFonts w:ascii="Book Antiqua" w:eastAsia="Book Antiqua" w:hAnsi="Book Antiqua" w:cs="Book Antiqua"/>
          <w:color w:val="000000"/>
          <w:lang w:val="en-GB"/>
        </w:rPr>
        <w:t>edicine,</w:t>
      </w:r>
      <w:r w:rsidR="003B3BEC" w:rsidRPr="005F0812">
        <w:rPr>
          <w:rFonts w:ascii="Book Antiqua" w:hAnsi="Book Antiqua" w:cs="Book Antiqua"/>
          <w:color w:val="000000"/>
          <w:lang w:val="en-GB" w:eastAsia="zh-CN"/>
        </w:rPr>
        <w:t xml:space="preserve"> </w:t>
      </w:r>
      <w:r w:rsidR="00071E2E" w:rsidRPr="005F0812">
        <w:rPr>
          <w:rFonts w:ascii="Book Antiqua" w:hAnsi="Book Antiqua"/>
          <w:lang w:val="en-GB"/>
        </w:rPr>
        <w:t>Al-Azhar University-Assiut, Assiut</w:t>
      </w:r>
      <w:r w:rsidR="00435E98" w:rsidRPr="005F0812">
        <w:rPr>
          <w:rFonts w:ascii="Book Antiqua" w:hAnsi="Book Antiqua"/>
          <w:lang w:val="en-GB" w:eastAsia="zh-CN"/>
        </w:rPr>
        <w:t xml:space="preserve"> </w:t>
      </w:r>
      <w:r w:rsidR="00435E98" w:rsidRPr="005F0812">
        <w:rPr>
          <w:rFonts w:ascii="Book Antiqua" w:hAnsi="Book Antiqua"/>
          <w:lang w:val="en-GB"/>
        </w:rPr>
        <w:t>71524</w:t>
      </w:r>
      <w:r w:rsidR="00071E2E" w:rsidRPr="005F0812">
        <w:rPr>
          <w:rFonts w:ascii="Book Antiqua" w:hAnsi="Book Antiqua"/>
          <w:lang w:val="en-GB"/>
        </w:rPr>
        <w:t>, Egypt</w:t>
      </w:r>
    </w:p>
    <w:p w14:paraId="4CC1BDEC" w14:textId="77777777" w:rsidR="00A77B3E" w:rsidRPr="005F0812" w:rsidRDefault="00A77B3E" w:rsidP="006309ED">
      <w:pPr>
        <w:spacing w:line="360" w:lineRule="auto"/>
        <w:jc w:val="both"/>
        <w:rPr>
          <w:rFonts w:ascii="Book Antiqua" w:hAnsi="Book Antiqua"/>
          <w:lang w:val="en-GB"/>
        </w:rPr>
      </w:pPr>
    </w:p>
    <w:p w14:paraId="3F9FD4BC" w14:textId="638A7FAE"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Author contributions: </w:t>
      </w:r>
      <w:r w:rsidRPr="005F0812">
        <w:rPr>
          <w:rFonts w:ascii="Book Antiqua" w:eastAsia="Book Antiqua" w:hAnsi="Book Antiqua" w:cs="Book Antiqua"/>
          <w:color w:val="000000"/>
          <w:lang w:val="en-GB"/>
        </w:rPr>
        <w:t xml:space="preserve">Madian </w:t>
      </w:r>
      <w:r w:rsidR="00CD2361" w:rsidRPr="005F0812">
        <w:rPr>
          <w:rFonts w:ascii="Book Antiqua" w:hAnsi="Book Antiqua" w:cs="Book Antiqua"/>
          <w:color w:val="000000"/>
          <w:lang w:val="en-GB" w:eastAsia="zh-CN"/>
        </w:rPr>
        <w:t xml:space="preserve">A </w:t>
      </w:r>
      <w:r w:rsidRPr="005F0812">
        <w:rPr>
          <w:rFonts w:ascii="Book Antiqua" w:eastAsia="Book Antiqua" w:hAnsi="Book Antiqua" w:cs="Book Antiqua"/>
          <w:color w:val="000000"/>
          <w:lang w:val="en-GB"/>
        </w:rPr>
        <w:t xml:space="preserve">was responsible for study concept, design, </w:t>
      </w:r>
      <w:r w:rsidR="006309ED" w:rsidRPr="005F0812">
        <w:rPr>
          <w:rFonts w:ascii="Book Antiqua" w:eastAsia="Book Antiqua" w:hAnsi="Book Antiqua" w:cs="Book Antiqua"/>
          <w:color w:val="000000"/>
          <w:lang w:val="en-GB"/>
        </w:rPr>
        <w:t>a</w:t>
      </w:r>
      <w:r w:rsidRPr="005F0812">
        <w:rPr>
          <w:rFonts w:ascii="Book Antiqua" w:eastAsia="Book Antiqua" w:hAnsi="Book Antiqua" w:cs="Book Antiqua"/>
          <w:color w:val="000000"/>
          <w:lang w:val="en-GB"/>
        </w:rPr>
        <w:t xml:space="preserve">cquisition, analysis, interpretation of data, </w:t>
      </w:r>
      <w:r w:rsidR="00DD368A" w:rsidRPr="005F0812">
        <w:rPr>
          <w:rFonts w:ascii="Book Antiqua" w:hAnsi="Book Antiqua" w:cs="Book Antiqua"/>
          <w:color w:val="000000"/>
          <w:lang w:val="en-GB" w:eastAsia="zh-CN"/>
        </w:rPr>
        <w:t>s</w:t>
      </w:r>
      <w:r w:rsidRPr="005F0812">
        <w:rPr>
          <w:rFonts w:ascii="Book Antiqua" w:eastAsia="Book Antiqua" w:hAnsi="Book Antiqua" w:cs="Book Antiqua"/>
          <w:color w:val="000000"/>
          <w:lang w:val="en-GB"/>
        </w:rPr>
        <w:t>tatistical analysis and wrote draft of manuscript</w:t>
      </w:r>
      <w:r w:rsidR="00CD2361"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Eliwa </w:t>
      </w:r>
      <w:r w:rsidR="00CD2361" w:rsidRPr="005F0812">
        <w:rPr>
          <w:rFonts w:ascii="Book Antiqua" w:hAnsi="Book Antiqua" w:cs="Book Antiqua"/>
          <w:color w:val="000000"/>
          <w:lang w:val="en-GB" w:eastAsia="zh-CN"/>
        </w:rPr>
        <w:t xml:space="preserve">A </w:t>
      </w:r>
      <w:r w:rsidRPr="005F0812">
        <w:rPr>
          <w:rFonts w:ascii="Book Antiqua" w:eastAsia="Book Antiqua" w:hAnsi="Book Antiqua" w:cs="Book Antiqua"/>
          <w:color w:val="000000"/>
          <w:lang w:val="en-GB"/>
        </w:rPr>
        <w:t>and Abdalla</w:t>
      </w:r>
      <w:r w:rsidR="00CD2361" w:rsidRPr="005F0812">
        <w:rPr>
          <w:rFonts w:ascii="Book Antiqua" w:hAnsi="Book Antiqua" w:cs="Book Antiqua"/>
          <w:color w:val="000000"/>
          <w:lang w:val="en-GB" w:eastAsia="zh-CN"/>
        </w:rPr>
        <w:t xml:space="preserve"> H</w:t>
      </w:r>
      <w:r w:rsidRPr="005F0812">
        <w:rPr>
          <w:rFonts w:ascii="Book Antiqua" w:eastAsia="Book Antiqua" w:hAnsi="Book Antiqua" w:cs="Book Antiqua"/>
          <w:color w:val="000000"/>
          <w:lang w:val="en-GB"/>
        </w:rPr>
        <w:t xml:space="preserve"> collected data</w:t>
      </w:r>
      <w:r w:rsidR="00CD2361"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w:t>
      </w:r>
      <w:r w:rsidR="00CD2361" w:rsidRPr="005F0812">
        <w:rPr>
          <w:rFonts w:ascii="Book Antiqua" w:eastAsia="Book Antiqua" w:hAnsi="Book Antiqua" w:cs="Book Antiqua"/>
          <w:bCs/>
          <w:color w:val="000000"/>
          <w:lang w:val="en-GB"/>
        </w:rPr>
        <w:t>Aly</w:t>
      </w:r>
      <w:r w:rsidR="00CD2361" w:rsidRPr="005F0812">
        <w:rPr>
          <w:rFonts w:ascii="Book Antiqua" w:eastAsia="Book Antiqua" w:hAnsi="Book Antiqua" w:cs="Book Antiqua"/>
          <w:color w:val="000000"/>
          <w:lang w:val="en-GB"/>
        </w:rPr>
        <w:t xml:space="preserve"> </w:t>
      </w:r>
      <w:r w:rsidRPr="005F0812">
        <w:rPr>
          <w:rFonts w:ascii="Book Antiqua" w:eastAsia="Book Antiqua" w:hAnsi="Book Antiqua" w:cs="Book Antiqua"/>
          <w:color w:val="000000"/>
          <w:lang w:val="en-GB"/>
        </w:rPr>
        <w:t>H</w:t>
      </w:r>
      <w:r w:rsidR="00CD2361" w:rsidRPr="005F0812">
        <w:rPr>
          <w:rFonts w:ascii="Book Antiqua" w:hAnsi="Book Antiqua" w:cs="Book Antiqua"/>
          <w:color w:val="000000"/>
          <w:lang w:val="en-GB" w:eastAsia="zh-CN"/>
        </w:rPr>
        <w:t>AA</w:t>
      </w:r>
      <w:r w:rsidRPr="005F0812">
        <w:rPr>
          <w:rFonts w:ascii="Book Antiqua" w:eastAsia="Book Antiqua" w:hAnsi="Book Antiqua" w:cs="Book Antiqua"/>
          <w:color w:val="000000"/>
          <w:lang w:val="en-GB"/>
        </w:rPr>
        <w:t xml:space="preserve"> reviewed manuscript and provided critical scientific input</w:t>
      </w:r>
      <w:r w:rsidR="00CD2361"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w:t>
      </w:r>
      <w:r w:rsidR="00CD2361" w:rsidRPr="005F0812">
        <w:rPr>
          <w:rFonts w:ascii="Book Antiqua" w:hAnsi="Book Antiqua" w:cs="Book Antiqua"/>
          <w:color w:val="000000"/>
          <w:lang w:val="en-GB" w:eastAsia="zh-CN"/>
        </w:rPr>
        <w:t>a</w:t>
      </w:r>
      <w:r w:rsidRPr="005F0812">
        <w:rPr>
          <w:rFonts w:ascii="Book Antiqua" w:eastAsia="Book Antiqua" w:hAnsi="Book Antiqua" w:cs="Book Antiqua"/>
          <w:color w:val="000000"/>
          <w:lang w:val="en-GB"/>
        </w:rPr>
        <w:t>ll authors approved of final manuscript draft.</w:t>
      </w:r>
    </w:p>
    <w:p w14:paraId="71B10D81" w14:textId="77777777" w:rsidR="00A77B3E" w:rsidRPr="005F0812" w:rsidRDefault="00A77B3E" w:rsidP="006309ED">
      <w:pPr>
        <w:spacing w:line="360" w:lineRule="auto"/>
        <w:jc w:val="both"/>
        <w:rPr>
          <w:rFonts w:ascii="Book Antiqua" w:hAnsi="Book Antiqua"/>
          <w:lang w:val="en-GB"/>
        </w:rPr>
      </w:pPr>
    </w:p>
    <w:p w14:paraId="30600C91" w14:textId="609D070F"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lastRenderedPageBreak/>
        <w:t xml:space="preserve">Corresponding author: Ali Madian, </w:t>
      </w:r>
      <w:r w:rsidR="00071E2E" w:rsidRPr="005F0812">
        <w:rPr>
          <w:rFonts w:ascii="Book Antiqua" w:eastAsia="Book Antiqua" w:hAnsi="Book Antiqua" w:cs="Book Antiqua"/>
          <w:b/>
          <w:bCs/>
          <w:color w:val="000000"/>
          <w:lang w:val="en-GB"/>
        </w:rPr>
        <w:t xml:space="preserve">MSc, </w:t>
      </w:r>
      <w:r w:rsidR="00467EEB" w:rsidRPr="005F0812">
        <w:rPr>
          <w:rFonts w:ascii="Book Antiqua" w:eastAsia="Book Antiqua" w:hAnsi="Book Antiqua" w:cs="Book Antiqua"/>
          <w:b/>
          <w:bCs/>
          <w:color w:val="000000"/>
          <w:lang w:val="en-GB"/>
        </w:rPr>
        <w:t xml:space="preserve">MD, </w:t>
      </w:r>
      <w:r w:rsidRPr="005F0812">
        <w:rPr>
          <w:rFonts w:ascii="Book Antiqua" w:eastAsia="Book Antiqua" w:hAnsi="Book Antiqua" w:cs="Book Antiqua"/>
          <w:b/>
          <w:bCs/>
          <w:color w:val="000000"/>
          <w:lang w:val="en-GB"/>
        </w:rPr>
        <w:t xml:space="preserve">Lecturer, </w:t>
      </w:r>
      <w:r w:rsidR="00644732" w:rsidRPr="005F0812">
        <w:rPr>
          <w:rFonts w:ascii="Book Antiqua" w:eastAsia="Book Antiqua" w:hAnsi="Book Antiqua" w:cs="Book Antiqua"/>
          <w:color w:val="000000"/>
          <w:lang w:val="en-GB"/>
        </w:rPr>
        <w:t xml:space="preserve">Division </w:t>
      </w:r>
      <w:r w:rsidR="00644732" w:rsidRPr="005F0812">
        <w:rPr>
          <w:rFonts w:ascii="Book Antiqua" w:hAnsi="Book Antiqua" w:cs="Book Antiqua"/>
          <w:color w:val="000000"/>
          <w:lang w:val="en-GB" w:eastAsia="zh-CN"/>
        </w:rPr>
        <w:t xml:space="preserve">of </w:t>
      </w:r>
      <w:r w:rsidR="00071E2E" w:rsidRPr="005F0812">
        <w:rPr>
          <w:rFonts w:ascii="Book Antiqua" w:hAnsi="Book Antiqua"/>
          <w:lang w:val="en-GB"/>
        </w:rPr>
        <w:t>Gastroenterology</w:t>
      </w:r>
      <w:r w:rsidRPr="005F0812">
        <w:rPr>
          <w:rFonts w:ascii="Book Antiqua" w:eastAsia="Book Antiqua" w:hAnsi="Book Antiqua" w:cs="Book Antiqua"/>
          <w:color w:val="000000"/>
          <w:lang w:val="en-GB"/>
        </w:rPr>
        <w:t xml:space="preserve"> and Hepatology, Department of Interna</w:t>
      </w:r>
      <w:r w:rsidR="00644732" w:rsidRPr="005F0812">
        <w:rPr>
          <w:rFonts w:ascii="Book Antiqua" w:eastAsia="Book Antiqua" w:hAnsi="Book Antiqua" w:cs="Book Antiqua"/>
          <w:color w:val="000000"/>
          <w:lang w:val="en-GB"/>
        </w:rPr>
        <w:t xml:space="preserve">l Medicine, Faculty of Medicine, </w:t>
      </w:r>
      <w:r w:rsidR="00071E2E" w:rsidRPr="005F0812">
        <w:rPr>
          <w:rFonts w:ascii="Book Antiqua" w:hAnsi="Book Antiqua"/>
          <w:lang w:val="en-GB"/>
        </w:rPr>
        <w:t>Al-Azhar University-Assiut</w:t>
      </w:r>
      <w:r w:rsidR="00071E2E" w:rsidRPr="005F0812">
        <w:rPr>
          <w:rFonts w:ascii="Book Antiqua" w:eastAsia="Book Antiqua" w:hAnsi="Book Antiqua" w:cs="Book Antiqua"/>
          <w:color w:val="000000"/>
          <w:lang w:val="en-GB"/>
        </w:rPr>
        <w:t>, Al Walideyah Al Bahreyah, Assiut</w:t>
      </w:r>
      <w:r w:rsidR="00C52766" w:rsidRPr="005F0812">
        <w:rPr>
          <w:rFonts w:ascii="Book Antiqua" w:hAnsi="Book Antiqua" w:cs="Book Antiqua"/>
          <w:color w:val="000000"/>
          <w:lang w:val="en-GB" w:eastAsia="zh-CN"/>
        </w:rPr>
        <w:t xml:space="preserve"> </w:t>
      </w:r>
      <w:r w:rsidR="00C52766" w:rsidRPr="005F0812">
        <w:rPr>
          <w:rFonts w:ascii="Book Antiqua" w:eastAsia="Book Antiqua" w:hAnsi="Book Antiqua" w:cs="Book Antiqua"/>
          <w:color w:val="000000"/>
          <w:lang w:val="en-GB"/>
        </w:rPr>
        <w:t>71524</w:t>
      </w:r>
      <w:r w:rsidR="00071E2E" w:rsidRPr="005F0812">
        <w:rPr>
          <w:rFonts w:ascii="Book Antiqua" w:eastAsia="Book Antiqua" w:hAnsi="Book Antiqua" w:cs="Book Antiqua"/>
          <w:color w:val="000000"/>
          <w:lang w:val="en-GB"/>
        </w:rPr>
        <w:t xml:space="preserve">, </w:t>
      </w:r>
      <w:r w:rsidR="00071E2E" w:rsidRPr="005F0812">
        <w:rPr>
          <w:rFonts w:ascii="Book Antiqua" w:hAnsi="Book Antiqua"/>
          <w:lang w:val="en-GB"/>
        </w:rPr>
        <w:t>Egypt</w:t>
      </w:r>
      <w:r w:rsidRPr="005F0812">
        <w:rPr>
          <w:rFonts w:ascii="Book Antiqua" w:eastAsia="Book Antiqua" w:hAnsi="Book Antiqua" w:cs="Book Antiqua"/>
          <w:color w:val="000000"/>
          <w:lang w:val="en-GB"/>
        </w:rPr>
        <w:t>. a.madian@azhar.edu.eg</w:t>
      </w:r>
    </w:p>
    <w:p w14:paraId="6FCEF682" w14:textId="77777777" w:rsidR="00A77B3E" w:rsidRPr="005F0812" w:rsidRDefault="00A77B3E" w:rsidP="006309ED">
      <w:pPr>
        <w:spacing w:line="360" w:lineRule="auto"/>
        <w:jc w:val="both"/>
        <w:rPr>
          <w:rFonts w:ascii="Book Antiqua" w:hAnsi="Book Antiqua"/>
          <w:lang w:val="en-GB"/>
        </w:rPr>
      </w:pPr>
    </w:p>
    <w:p w14:paraId="71D3BF47"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Received: </w:t>
      </w:r>
      <w:r w:rsidRPr="005F0812">
        <w:rPr>
          <w:rFonts w:ascii="Book Antiqua" w:eastAsia="Book Antiqua" w:hAnsi="Book Antiqua" w:cs="Book Antiqua"/>
          <w:color w:val="000000"/>
          <w:lang w:val="en-GB"/>
        </w:rPr>
        <w:t>May 11, 2021</w:t>
      </w:r>
    </w:p>
    <w:p w14:paraId="635DEFEA"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Revised: </w:t>
      </w:r>
      <w:r w:rsidRPr="005F0812">
        <w:rPr>
          <w:rFonts w:ascii="Book Antiqua" w:eastAsia="Book Antiqua" w:hAnsi="Book Antiqua" w:cs="Book Antiqua"/>
          <w:color w:val="000000"/>
          <w:lang w:val="en-GB"/>
        </w:rPr>
        <w:t>July 7, 2021</w:t>
      </w:r>
    </w:p>
    <w:p w14:paraId="25C9DE38" w14:textId="0ECFA978"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Accepted: </w:t>
      </w:r>
      <w:bookmarkStart w:id="0" w:name="OLE_LINK15"/>
      <w:bookmarkStart w:id="1" w:name="OLE_LINK33"/>
      <w:bookmarkStart w:id="2" w:name="OLE_LINK48"/>
      <w:r w:rsidR="002977F8" w:rsidRPr="005F0812">
        <w:rPr>
          <w:rFonts w:ascii="Book Antiqua" w:eastAsia="宋体" w:hAnsi="Book Antiqua"/>
          <w:color w:val="000000" w:themeColor="text1"/>
          <w:lang w:val="en-GB"/>
        </w:rPr>
        <w:t>July 14, 2021</w:t>
      </w:r>
      <w:bookmarkEnd w:id="0"/>
      <w:bookmarkEnd w:id="1"/>
      <w:bookmarkEnd w:id="2"/>
    </w:p>
    <w:p w14:paraId="4C5EC7A2" w14:textId="19C7D605" w:rsidR="00A77B3E" w:rsidRPr="001E08D0" w:rsidRDefault="00136BCD" w:rsidP="006309ED">
      <w:pPr>
        <w:spacing w:line="360" w:lineRule="auto"/>
        <w:jc w:val="both"/>
        <w:rPr>
          <w:rFonts w:ascii="Book Antiqua" w:eastAsia="宋体" w:hAnsi="Book Antiqua"/>
          <w:color w:val="000000" w:themeColor="text1"/>
          <w:lang w:val="en-GB"/>
        </w:rPr>
      </w:pPr>
      <w:r w:rsidRPr="005F0812">
        <w:rPr>
          <w:rFonts w:ascii="Book Antiqua" w:eastAsia="Book Antiqua" w:hAnsi="Book Antiqua" w:cs="Book Antiqua"/>
          <w:b/>
          <w:bCs/>
          <w:color w:val="000000"/>
          <w:lang w:val="en-GB"/>
        </w:rPr>
        <w:t xml:space="preserve">Published online: </w:t>
      </w:r>
      <w:r w:rsidR="001E08D0" w:rsidRPr="001E08D0">
        <w:rPr>
          <w:rFonts w:ascii="Book Antiqua" w:eastAsia="宋体" w:hAnsi="Book Antiqua"/>
          <w:color w:val="000000" w:themeColor="text1"/>
          <w:lang w:val="en-GB"/>
        </w:rPr>
        <w:t>A</w:t>
      </w:r>
      <w:r w:rsidR="001E08D0" w:rsidRPr="001E08D0">
        <w:rPr>
          <w:rFonts w:ascii="Book Antiqua" w:eastAsia="宋体" w:hAnsi="Book Antiqua" w:hint="eastAsia"/>
          <w:color w:val="000000" w:themeColor="text1"/>
          <w:lang w:val="en-GB"/>
        </w:rPr>
        <w:t>u</w:t>
      </w:r>
      <w:r w:rsidR="001E08D0" w:rsidRPr="001E08D0">
        <w:rPr>
          <w:rFonts w:ascii="Book Antiqua" w:eastAsia="宋体" w:hAnsi="Book Antiqua"/>
          <w:color w:val="000000" w:themeColor="text1"/>
          <w:lang w:val="en-GB"/>
        </w:rPr>
        <w:t>gust 27, 2021</w:t>
      </w:r>
    </w:p>
    <w:p w14:paraId="0A50D94E" w14:textId="77777777" w:rsidR="00A77B3E" w:rsidRDefault="00A77B3E" w:rsidP="006309ED">
      <w:pPr>
        <w:spacing w:line="360" w:lineRule="auto"/>
        <w:jc w:val="both"/>
        <w:rPr>
          <w:rFonts w:ascii="Book Antiqua" w:hAnsi="Book Antiqua"/>
          <w:lang w:val="en-GB"/>
        </w:rPr>
      </w:pPr>
    </w:p>
    <w:p w14:paraId="20B2F12D" w14:textId="77777777" w:rsidR="001E08D0" w:rsidRDefault="001E08D0" w:rsidP="006309ED">
      <w:pPr>
        <w:spacing w:line="360" w:lineRule="auto"/>
        <w:jc w:val="both"/>
        <w:rPr>
          <w:rFonts w:ascii="Book Antiqua" w:hAnsi="Book Antiqua"/>
          <w:lang w:val="en-GB"/>
        </w:rPr>
      </w:pPr>
    </w:p>
    <w:p w14:paraId="6B1D8204" w14:textId="43BF65D8" w:rsidR="001E08D0" w:rsidRPr="001E08D0" w:rsidRDefault="001E08D0" w:rsidP="006309ED">
      <w:pPr>
        <w:spacing w:line="360" w:lineRule="auto"/>
        <w:jc w:val="both"/>
        <w:rPr>
          <w:rFonts w:ascii="Book Antiqua" w:hAnsi="Book Antiqua"/>
          <w:lang w:val="en-GB"/>
        </w:rPr>
        <w:sectPr w:rsidR="001E08D0" w:rsidRPr="001E08D0" w:rsidSect="006309ED">
          <w:footerReference w:type="default" r:id="rId7"/>
          <w:pgSz w:w="12240" w:h="15840"/>
          <w:pgMar w:top="1440" w:right="1440" w:bottom="1440" w:left="1440" w:header="720" w:footer="720" w:gutter="0"/>
          <w:cols w:space="720"/>
          <w:docGrid w:linePitch="360"/>
        </w:sectPr>
      </w:pPr>
    </w:p>
    <w:p w14:paraId="6611D06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Abstract</w:t>
      </w:r>
    </w:p>
    <w:p w14:paraId="54760B43"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BACKGROUND</w:t>
      </w:r>
    </w:p>
    <w:p w14:paraId="4F9AFA7B"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Clearly, infection with severe acute respiratory syndrome coronavirus 2 is not limited to the lung but also affects other organs. We need predictive models to determine patients’ prognoses and to improve health care resource allocation during the coronavirus disease 2019 (COVID-19) pandemic. While treating COVID-19, we observed differential outcome prediction weights for markers of hepatocellular injury among hospitalized patients.</w:t>
      </w:r>
    </w:p>
    <w:p w14:paraId="0788252B" w14:textId="77777777" w:rsidR="00A77B3E" w:rsidRPr="005F0812" w:rsidRDefault="00A77B3E" w:rsidP="006309ED">
      <w:pPr>
        <w:spacing w:line="360" w:lineRule="auto"/>
        <w:jc w:val="both"/>
        <w:rPr>
          <w:rFonts w:ascii="Book Antiqua" w:hAnsi="Book Antiqua"/>
          <w:lang w:val="en-GB"/>
        </w:rPr>
      </w:pPr>
    </w:p>
    <w:p w14:paraId="0D0685F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AIM</w:t>
      </w:r>
    </w:p>
    <w:p w14:paraId="4E4F0A8F"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To investigate the association between hepatocellular injury and all-cause in-hospital mortality among patients with COVID-19.</w:t>
      </w:r>
    </w:p>
    <w:p w14:paraId="4954ED03" w14:textId="77777777" w:rsidR="00A77B3E" w:rsidRPr="005F0812" w:rsidRDefault="00A77B3E" w:rsidP="006309ED">
      <w:pPr>
        <w:spacing w:line="360" w:lineRule="auto"/>
        <w:jc w:val="both"/>
        <w:rPr>
          <w:rFonts w:ascii="Book Antiqua" w:hAnsi="Book Antiqua"/>
          <w:lang w:val="en-GB"/>
        </w:rPr>
      </w:pPr>
    </w:p>
    <w:p w14:paraId="5A15567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METHODS</w:t>
      </w:r>
    </w:p>
    <w:p w14:paraId="7FA407C5" w14:textId="765BD1DB"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This multicentre study employed a retrospective cohort design. All adult patients admitted to Al-Azhar University Hospital, Assiut, Egypt and Abo Teeg General Hospital, Assiut, Egypt with confirmed COVID-19 from June 1, 2020, to July 30, 2020 were eligible.</w:t>
      </w:r>
      <w:r w:rsidRPr="005F0812">
        <w:rPr>
          <w:rFonts w:ascii="Book Antiqua" w:eastAsia="Book Antiqua" w:hAnsi="Book Antiqua" w:cs="Book Antiqua"/>
          <w:b/>
          <w:bCs/>
          <w:color w:val="000000"/>
          <w:lang w:val="en-GB"/>
        </w:rPr>
        <w:t xml:space="preserve"> </w:t>
      </w:r>
      <w:r w:rsidRPr="005F0812">
        <w:rPr>
          <w:rFonts w:ascii="Book Antiqua" w:eastAsia="Book Antiqua" w:hAnsi="Book Antiqua" w:cs="Book Antiqua"/>
          <w:color w:val="000000"/>
          <w:lang w:val="en-GB"/>
        </w:rPr>
        <w:t>We categorized our cohort into three groups of</w:t>
      </w:r>
      <w:r w:rsidRPr="005F0812">
        <w:rPr>
          <w:rFonts w:ascii="Book Antiqua" w:eastAsia="Book Antiqua" w:hAnsi="Book Antiqua" w:cs="Book Antiqua"/>
          <w:b/>
          <w:bCs/>
          <w:color w:val="000000"/>
          <w:lang w:val="en-GB"/>
        </w:rPr>
        <w:t xml:space="preserve"> </w:t>
      </w:r>
      <w:r w:rsidR="00BA1C6F" w:rsidRPr="005F0812">
        <w:rPr>
          <w:rFonts w:ascii="Book Antiqua" w:hAnsi="Book Antiqua" w:cs="Book Antiqua"/>
          <w:bCs/>
          <w:color w:val="000000"/>
          <w:lang w:val="en-GB" w:eastAsia="zh-CN"/>
        </w:rPr>
        <w:t>(1)</w:t>
      </w:r>
      <w:r w:rsidRPr="005F0812">
        <w:rPr>
          <w:rFonts w:ascii="Book Antiqua" w:eastAsia="Book Antiqua" w:hAnsi="Book Antiqua" w:cs="Book Antiqua"/>
          <w:color w:val="000000"/>
          <w:lang w:val="en-GB"/>
        </w:rPr>
        <w:t xml:space="preserve"> </w:t>
      </w:r>
      <w:r w:rsidR="00991976" w:rsidRPr="005F0812">
        <w:rPr>
          <w:rFonts w:ascii="Book Antiqua" w:hAnsi="Book Antiqua" w:cs="Book Antiqua"/>
          <w:color w:val="000000"/>
          <w:lang w:val="en-GB" w:eastAsia="zh-CN"/>
        </w:rPr>
        <w:t>p</w:t>
      </w:r>
      <w:r w:rsidRPr="005F0812">
        <w:rPr>
          <w:rFonts w:ascii="Book Antiqua" w:eastAsia="Book Antiqua" w:hAnsi="Book Antiqua" w:cs="Book Antiqua"/>
          <w:color w:val="000000"/>
          <w:lang w:val="en-GB"/>
        </w:rPr>
        <w:t>atients with COVID-19 presenting normal aminotransferase levels</w:t>
      </w:r>
      <w:r w:rsidR="00BA1C6F"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w:t>
      </w:r>
      <w:r w:rsidR="00BA1C6F" w:rsidRPr="005F0812">
        <w:rPr>
          <w:rFonts w:ascii="Book Antiqua" w:hAnsi="Book Antiqua" w:cs="Book Antiqua"/>
          <w:color w:val="000000"/>
          <w:lang w:val="en-GB" w:eastAsia="zh-CN"/>
        </w:rPr>
        <w:t>(2)</w:t>
      </w:r>
      <w:r w:rsidRPr="005F0812">
        <w:rPr>
          <w:rFonts w:ascii="Book Antiqua" w:eastAsia="Book Antiqua" w:hAnsi="Book Antiqua" w:cs="Book Antiqua"/>
          <w:color w:val="000000"/>
          <w:lang w:val="en-GB"/>
        </w:rPr>
        <w:t xml:space="preserve"> </w:t>
      </w:r>
      <w:r w:rsidR="00991976" w:rsidRPr="005F0812">
        <w:rPr>
          <w:rFonts w:ascii="Book Antiqua" w:hAnsi="Book Antiqua" w:cs="Book Antiqua"/>
          <w:color w:val="000000"/>
          <w:lang w:val="en-GB" w:eastAsia="zh-CN"/>
        </w:rPr>
        <w:t>p</w:t>
      </w:r>
      <w:r w:rsidRPr="005F0812">
        <w:rPr>
          <w:rFonts w:ascii="Book Antiqua" w:eastAsia="Book Antiqua" w:hAnsi="Book Antiqua" w:cs="Book Antiqua"/>
          <w:color w:val="000000"/>
          <w:lang w:val="en-GB"/>
        </w:rPr>
        <w:t>atients with COVID-19 presenting one-fold higher aminotransferase levels</w:t>
      </w:r>
      <w:r w:rsidR="00BA1C6F"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and </w:t>
      </w:r>
      <w:r w:rsidR="00BA1C6F" w:rsidRPr="005F0812">
        <w:rPr>
          <w:rFonts w:ascii="Book Antiqua" w:hAnsi="Book Antiqua" w:cs="Book Antiqua"/>
          <w:color w:val="000000"/>
          <w:lang w:val="en-GB" w:eastAsia="zh-CN"/>
        </w:rPr>
        <w:t>(3)</w:t>
      </w:r>
      <w:r w:rsidRPr="005F0812">
        <w:rPr>
          <w:rFonts w:ascii="Book Antiqua" w:eastAsia="Book Antiqua" w:hAnsi="Book Antiqua" w:cs="Book Antiqua"/>
          <w:color w:val="000000"/>
          <w:lang w:val="en-GB"/>
        </w:rPr>
        <w:t xml:space="preserve"> </w:t>
      </w:r>
      <w:r w:rsidR="00991976" w:rsidRPr="005F0812">
        <w:rPr>
          <w:rFonts w:ascii="Book Antiqua" w:hAnsi="Book Antiqua" w:cs="Book Antiqua"/>
          <w:color w:val="000000"/>
          <w:lang w:val="en-GB" w:eastAsia="zh-CN"/>
        </w:rPr>
        <w:t>p</w:t>
      </w:r>
      <w:r w:rsidRPr="005F0812">
        <w:rPr>
          <w:rFonts w:ascii="Book Antiqua" w:eastAsia="Book Antiqua" w:hAnsi="Book Antiqua" w:cs="Book Antiqua"/>
          <w:color w:val="000000"/>
          <w:lang w:val="en-GB"/>
        </w:rPr>
        <w:t>atients with COVID-19 presenting two-fold higher aminotransferase levels. We analysed the association between elevated aminotransferase levels and all-cause in-hospital mortality. The survival analysis was performed using the Kaplan–Meier method and tested by log-rank analysis.</w:t>
      </w:r>
    </w:p>
    <w:p w14:paraId="52CB1543" w14:textId="77777777" w:rsidR="00A77B3E" w:rsidRPr="005F0812" w:rsidRDefault="00A77B3E" w:rsidP="006309ED">
      <w:pPr>
        <w:spacing w:line="360" w:lineRule="auto"/>
        <w:jc w:val="both"/>
        <w:rPr>
          <w:rFonts w:ascii="Book Antiqua" w:hAnsi="Book Antiqua"/>
          <w:lang w:val="en-GB"/>
        </w:rPr>
      </w:pPr>
    </w:p>
    <w:p w14:paraId="53FB9F8D"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RESULTS</w:t>
      </w:r>
    </w:p>
    <w:p w14:paraId="7724D9DB" w14:textId="6A17402D" w:rsidR="00A77B3E" w:rsidRPr="005F0812" w:rsidRDefault="00991976"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In total, 376</w:t>
      </w:r>
      <w:r w:rsidR="00136BCD" w:rsidRPr="005F0812">
        <w:rPr>
          <w:rFonts w:ascii="Book Antiqua" w:eastAsia="Book Antiqua" w:hAnsi="Book Antiqua" w:cs="Book Antiqua"/>
          <w:color w:val="000000"/>
          <w:lang w:val="en-GB"/>
        </w:rPr>
        <w:t xml:space="preserve"> of 419 patients met the inclusion criteria, while 29 (8%) patients in our cohort died during the hospital stay. The median age was 40 years (range: 28-56 years), and 51% were males (</w:t>
      </w:r>
      <w:r w:rsidR="00136BCD" w:rsidRPr="005F0812">
        <w:rPr>
          <w:rFonts w:ascii="Book Antiqua" w:eastAsia="Book Antiqua" w:hAnsi="Book Antiqua" w:cs="Book Antiqua"/>
          <w:i/>
          <w:iCs/>
          <w:color w:val="000000"/>
          <w:lang w:val="en-GB"/>
        </w:rPr>
        <w:t>n</w:t>
      </w:r>
      <w:r w:rsidR="00136BCD" w:rsidRPr="005F0812">
        <w:rPr>
          <w:rFonts w:ascii="Book Antiqua" w:eastAsia="Book Antiqua" w:hAnsi="Book Antiqua" w:cs="Book Antiqua"/>
          <w:color w:val="000000"/>
          <w:lang w:val="en-GB"/>
        </w:rPr>
        <w:t xml:space="preserve"> = 194). At admission, 54% of the study cohort had liver injury. The pattern of liver injury was hepatocellular injury with an aspartate </w:t>
      </w:r>
      <w:r w:rsidR="008F214D" w:rsidRPr="005F0812">
        <w:rPr>
          <w:rFonts w:ascii="Book Antiqua" w:eastAsia="Book Antiqua" w:hAnsi="Book Antiqua" w:cs="Book Antiqua"/>
          <w:color w:val="000000"/>
          <w:lang w:val="en-GB"/>
        </w:rPr>
        <w:t>amino</w:t>
      </w:r>
      <w:r w:rsidR="00136BCD" w:rsidRPr="005F0812">
        <w:rPr>
          <w:rFonts w:ascii="Book Antiqua" w:eastAsia="Book Antiqua" w:hAnsi="Book Antiqua" w:cs="Book Antiqua"/>
          <w:color w:val="000000"/>
          <w:lang w:val="en-GB"/>
        </w:rPr>
        <w:t xml:space="preserve">transferase (AST) predominance. Admission AST levels were independently associated with all-cause in-hospital mortality in the logistic regression analysis. A one-fold increase in serum AST levels among patients with COVID-19 </w:t>
      </w:r>
      <w:r w:rsidR="00C22E50" w:rsidRPr="005F0812">
        <w:rPr>
          <w:rFonts w:ascii="Book Antiqua" w:hAnsi="Book Antiqua" w:cs="Book Antiqua"/>
          <w:color w:val="000000"/>
          <w:lang w:val="en-GB" w:eastAsia="zh-CN"/>
        </w:rPr>
        <w:t>l</w:t>
      </w:r>
      <w:r w:rsidR="00136BCD" w:rsidRPr="005F0812">
        <w:rPr>
          <w:rFonts w:ascii="Book Antiqua" w:eastAsia="Book Antiqua" w:hAnsi="Book Antiqua" w:cs="Book Antiqua"/>
          <w:color w:val="000000"/>
          <w:lang w:val="en-GB"/>
        </w:rPr>
        <w:t>ed to an eleven-fold increase in in-hospital mortality (</w:t>
      </w:r>
      <w:r w:rsidR="00C22E50" w:rsidRPr="005F0812">
        <w:rPr>
          <w:rFonts w:ascii="Book Antiqua" w:hAnsi="Book Antiqua" w:cs="Book Antiqua"/>
          <w:i/>
          <w:color w:val="000000"/>
          <w:lang w:val="en-GB" w:eastAsia="zh-CN"/>
        </w:rPr>
        <w:t>P</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&lt;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0.001). Admission AST levels correlated with C-reactive protein (</w:t>
      </w:r>
      <w:r w:rsidR="00136BCD" w:rsidRPr="005F0812">
        <w:rPr>
          <w:rFonts w:ascii="Book Antiqua" w:eastAsia="Book Antiqua" w:hAnsi="Book Antiqua" w:cs="Book Antiqua"/>
          <w:i/>
          <w:iCs/>
          <w:color w:val="000000"/>
          <w:lang w:val="en-GB"/>
        </w:rPr>
        <w:t>r</w:t>
      </w:r>
      <w:r w:rsidR="00C22E50" w:rsidRPr="005F0812">
        <w:rPr>
          <w:rFonts w:ascii="Book Antiqua" w:hAnsi="Book Antiqua" w:cs="Book Antiqua"/>
          <w:i/>
          <w:iCs/>
          <w:color w:val="000000"/>
          <w:lang w:val="en-GB" w:eastAsia="zh-CN"/>
        </w:rPr>
        <w:t xml:space="preserve"> </w:t>
      </w:r>
      <w:r w:rsidR="00136BCD" w:rsidRPr="005F0812">
        <w:rPr>
          <w:rFonts w:ascii="Book Antiqua" w:eastAsia="Book Antiqua" w:hAnsi="Book Antiqua" w:cs="Book Antiqua"/>
          <w:color w:val="000000"/>
          <w:lang w:val="en-GB"/>
        </w:rPr>
        <w: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 xml:space="preserve">0.2; </w:t>
      </w:r>
      <w:r w:rsidR="00C22E50" w:rsidRPr="005F0812">
        <w:rPr>
          <w:rFonts w:ascii="Book Antiqua" w:hAnsi="Book Antiqua" w:cs="Book Antiqua"/>
          <w:i/>
          <w:iCs/>
          <w:color w:val="000000"/>
          <w:lang w:val="en-GB" w:eastAsia="zh-CN"/>
        </w:rPr>
        <w:t xml:space="preserve">P </w:t>
      </w:r>
      <w:r w:rsidR="00136BCD" w:rsidRPr="005F0812">
        <w:rPr>
          <w:rFonts w:ascii="Book Antiqua" w:eastAsia="Book Antiqua" w:hAnsi="Book Antiqua" w:cs="Book Antiqua"/>
          <w:color w:val="000000"/>
          <w:lang w:val="en-GB"/>
        </w:rPr>
        <w:t>&lt;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0.003) and serum ferritin (</w:t>
      </w:r>
      <w:r w:rsidR="00136BCD" w:rsidRPr="005F0812">
        <w:rPr>
          <w:rFonts w:ascii="Book Antiqua" w:eastAsia="Book Antiqua" w:hAnsi="Book Antiqua" w:cs="Book Antiqua"/>
          <w:i/>
          <w:iCs/>
          <w:color w:val="000000"/>
          <w:lang w:val="en-GB"/>
        </w:rPr>
        <w:t>r</w:t>
      </w:r>
      <w:r w:rsidR="00C22E50" w:rsidRPr="005F0812">
        <w:rPr>
          <w:rFonts w:ascii="Book Antiqua" w:hAnsi="Book Antiqua" w:cs="Book Antiqua"/>
          <w:i/>
          <w:iCs/>
          <w:color w:val="000000"/>
          <w:lang w:val="en-GB" w:eastAsia="zh-CN"/>
        </w:rPr>
        <w:t xml:space="preserve"> </w:t>
      </w:r>
      <w:r w:rsidR="00136BCD" w:rsidRPr="005F0812">
        <w:rPr>
          <w:rFonts w:ascii="Book Antiqua" w:eastAsia="Book Antiqua" w:hAnsi="Book Antiqua" w:cs="Book Antiqua"/>
          <w:color w:val="000000"/>
          <w:lang w:val="en-GB"/>
        </w:rPr>
        <w: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 xml:space="preserve">0.2; </w:t>
      </w:r>
      <w:r w:rsidR="00C22E50" w:rsidRPr="005F0812">
        <w:rPr>
          <w:rFonts w:ascii="Book Antiqua" w:hAnsi="Book Antiqua" w:cs="Book Antiqua"/>
          <w:i/>
          <w:iCs/>
          <w:color w:val="000000"/>
          <w:lang w:val="en-GB" w:eastAsia="zh-CN"/>
        </w:rPr>
        <w:t xml:space="preserve">P </w:t>
      </w:r>
      <w:r w:rsidR="00136BCD" w:rsidRPr="005F0812">
        <w:rPr>
          <w:rFonts w:ascii="Book Antiqua" w:eastAsia="Book Antiqua" w:hAnsi="Book Antiqua" w:cs="Book Antiqua"/>
          <w:color w:val="000000"/>
          <w:lang w:val="en-GB"/>
        </w:rPr>
        <w:t>&lt;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 xml:space="preserve">0.0002) levels. Admission alanine </w:t>
      </w:r>
      <w:r w:rsidR="008F214D" w:rsidRPr="005F0812">
        <w:rPr>
          <w:rFonts w:ascii="Book Antiqua" w:eastAsia="Book Antiqua" w:hAnsi="Book Antiqua" w:cs="Book Antiqua"/>
          <w:color w:val="000000"/>
          <w:lang w:val="en-GB"/>
        </w:rPr>
        <w:t>amino</w:t>
      </w:r>
      <w:r w:rsidR="00136BCD" w:rsidRPr="005F0812">
        <w:rPr>
          <w:rFonts w:ascii="Book Antiqua" w:eastAsia="Book Antiqua" w:hAnsi="Book Antiqua" w:cs="Book Antiqua"/>
          <w:color w:val="000000"/>
          <w:lang w:val="en-GB"/>
        </w:rPr>
        <w:t>transferase levels correlated with serum ferritin levels (</w:t>
      </w:r>
      <w:r w:rsidR="00136BCD" w:rsidRPr="005F0812">
        <w:rPr>
          <w:rFonts w:ascii="Book Antiqua" w:eastAsia="Book Antiqua" w:hAnsi="Book Antiqua" w:cs="Book Antiqua"/>
          <w:i/>
          <w:iCs/>
          <w:color w:val="000000"/>
          <w:lang w:val="en-GB"/>
        </w:rPr>
        <w:t>r</w:t>
      </w:r>
      <w:r w:rsidR="00C22E50" w:rsidRPr="005F0812">
        <w:rPr>
          <w:rFonts w:ascii="Book Antiqua" w:hAnsi="Book Antiqua" w:cs="Book Antiqua"/>
          <w:i/>
          <w:iCs/>
          <w:color w:val="000000"/>
          <w:lang w:val="en-GB" w:eastAsia="zh-CN"/>
        </w:rPr>
        <w:t xml:space="preserve"> </w:t>
      </w:r>
      <w:r w:rsidR="00136BCD" w:rsidRPr="005F0812">
        <w:rPr>
          <w:rFonts w:ascii="Book Antiqua" w:eastAsia="Book Antiqua" w:hAnsi="Book Antiqua" w:cs="Book Antiqua"/>
          <w:color w:val="000000"/>
          <w:lang w:val="en-GB"/>
        </w:rPr>
        <w: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 xml:space="preserve">0.1; </w:t>
      </w:r>
      <w:r w:rsidR="00C22E50" w:rsidRPr="005F0812">
        <w:rPr>
          <w:rFonts w:ascii="Book Antiqua" w:hAnsi="Book Antiqua" w:cs="Book Antiqua"/>
          <w:i/>
          <w:iCs/>
          <w:color w:val="000000"/>
          <w:lang w:val="en-GB" w:eastAsia="zh-CN"/>
        </w:rPr>
        <w:t xml:space="preserve">P </w:t>
      </w:r>
      <w:r w:rsidR="00136BCD" w:rsidRPr="005F0812">
        <w:rPr>
          <w:rFonts w:ascii="Book Antiqua" w:eastAsia="Book Antiqua" w:hAnsi="Book Antiqua" w:cs="Book Antiqua"/>
          <w:color w:val="000000"/>
          <w:lang w:val="en-GB"/>
        </w:rPr>
        <w:t>&lt;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0.04). Serum total bilirubin levels were independently associated with in-hospital mortality in the binary logistic regression analysis after adjusting for age and sex but lost its statistical significance in the fully adjusted model. Serum ferritin levels were significantly associated with in-hospital mortality (</w:t>
      </w:r>
      <w:r w:rsidR="00C22E50" w:rsidRPr="005F0812">
        <w:rPr>
          <w:rFonts w:ascii="Book Antiqua" w:hAnsi="Book Antiqua" w:cs="Book Antiqua"/>
          <w:i/>
          <w:iCs/>
          <w:color w:val="000000"/>
          <w:lang w:val="en-GB" w:eastAsia="zh-CN"/>
        </w:rPr>
        <w:t>P</w:t>
      </w:r>
      <w:r w:rsidR="00C22E50" w:rsidRPr="005F0812">
        <w:rPr>
          <w:rFonts w:ascii="Book Antiqua" w:eastAsia="Book Antiqua" w:hAnsi="Book Antiqua" w:cs="Book Antiqua"/>
          <w:color w:val="000000"/>
          <w:lang w:val="en-GB"/>
        </w:rPr>
        <w:t xml:space="preserve"> </w:t>
      </w:r>
      <w:r w:rsidR="00136BCD" w:rsidRPr="005F0812">
        <w:rPr>
          <w:rFonts w:ascii="Book Antiqua" w:eastAsia="Book Antiqua" w:hAnsi="Book Antiqua" w:cs="Book Antiqua"/>
          <w:color w:val="000000"/>
          <w:lang w:val="en-GB"/>
        </w:rPr>
        <w:t>&lt;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0.01). The probability of survival was significantly different between the AST groups and showed the following order: a two-fold increase in AST levels</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&gt; a one-fold increase in in AST levels</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&gt;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normal AST levels (</w:t>
      </w:r>
      <w:r w:rsidR="00C22E50" w:rsidRPr="005F0812">
        <w:rPr>
          <w:rFonts w:ascii="Book Antiqua" w:hAnsi="Book Antiqua" w:cs="Book Antiqua"/>
          <w:i/>
          <w:iCs/>
          <w:color w:val="000000"/>
          <w:lang w:val="en-GB" w:eastAsia="zh-CN"/>
        </w:rPr>
        <w:t xml:space="preserve">P </w:t>
      </w:r>
      <w:r w:rsidR="00136BCD" w:rsidRPr="005F0812">
        <w:rPr>
          <w:rFonts w:ascii="Book Antiqua" w:eastAsia="Book Antiqua" w:hAnsi="Book Antiqua" w:cs="Book Antiqua"/>
          <w:color w:val="000000"/>
          <w:lang w:val="en-GB"/>
        </w:rPr>
        <w:t>&lt;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0.0001).</w:t>
      </w:r>
    </w:p>
    <w:p w14:paraId="5BC6AD81" w14:textId="77777777" w:rsidR="00A77B3E" w:rsidRPr="005F0812" w:rsidRDefault="00A77B3E" w:rsidP="006309ED">
      <w:pPr>
        <w:spacing w:line="360" w:lineRule="auto"/>
        <w:jc w:val="both"/>
        <w:rPr>
          <w:rFonts w:ascii="Book Antiqua" w:hAnsi="Book Antiqua"/>
          <w:lang w:val="en-GB"/>
        </w:rPr>
      </w:pPr>
    </w:p>
    <w:p w14:paraId="6FFB0CF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CONCLUSION</w:t>
      </w:r>
    </w:p>
    <w:p w14:paraId="0D2C8D03"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Liver injury with an AST-dominant pattern predicts the severity of COVID-19. Elevated serum ferritin levels are associated with fatal outcomes.</w:t>
      </w:r>
    </w:p>
    <w:p w14:paraId="012A718D" w14:textId="77777777" w:rsidR="00A77B3E" w:rsidRPr="005F0812" w:rsidRDefault="00A77B3E" w:rsidP="006309ED">
      <w:pPr>
        <w:spacing w:line="360" w:lineRule="auto"/>
        <w:ind w:firstLine="720"/>
        <w:jc w:val="both"/>
        <w:rPr>
          <w:rFonts w:ascii="Book Antiqua" w:hAnsi="Book Antiqua"/>
          <w:lang w:val="en-GB"/>
        </w:rPr>
      </w:pPr>
    </w:p>
    <w:p w14:paraId="5452F04F" w14:textId="77777777" w:rsidR="00A77B3E" w:rsidRPr="005F0812" w:rsidRDefault="00136BCD" w:rsidP="006309ED">
      <w:pPr>
        <w:spacing w:line="360" w:lineRule="auto"/>
        <w:jc w:val="both"/>
        <w:rPr>
          <w:rFonts w:ascii="Book Antiqua" w:eastAsia="Book Antiqua" w:hAnsi="Book Antiqua" w:cs="Book Antiqua"/>
          <w:color w:val="000000"/>
          <w:lang w:val="en-GB"/>
        </w:rPr>
      </w:pPr>
      <w:r w:rsidRPr="005F0812">
        <w:rPr>
          <w:rFonts w:ascii="Book Antiqua" w:eastAsia="Book Antiqua" w:hAnsi="Book Antiqua" w:cs="Book Antiqua"/>
          <w:b/>
          <w:bCs/>
          <w:color w:val="000000"/>
          <w:lang w:val="en-GB"/>
        </w:rPr>
        <w:t xml:space="preserve">Key Words: </w:t>
      </w:r>
      <w:r w:rsidRPr="005F0812">
        <w:rPr>
          <w:rFonts w:ascii="Book Antiqua" w:eastAsia="Book Antiqua" w:hAnsi="Book Antiqua" w:cs="Book Antiqua"/>
          <w:color w:val="000000"/>
          <w:lang w:val="en-GB"/>
        </w:rPr>
        <w:t xml:space="preserve">COVID-19; </w:t>
      </w:r>
      <w:r w:rsidR="00C22E50" w:rsidRPr="005F0812">
        <w:rPr>
          <w:rFonts w:ascii="Book Antiqua" w:hAnsi="Book Antiqua" w:cs="Book Antiqua"/>
          <w:color w:val="000000"/>
          <w:lang w:val="en-GB" w:eastAsia="zh-CN"/>
        </w:rPr>
        <w:t>L</w:t>
      </w:r>
      <w:r w:rsidRPr="005F0812">
        <w:rPr>
          <w:rFonts w:ascii="Book Antiqua" w:eastAsia="Book Antiqua" w:hAnsi="Book Antiqua" w:cs="Book Antiqua"/>
          <w:color w:val="000000"/>
          <w:lang w:val="en-GB"/>
        </w:rPr>
        <w:t xml:space="preserve">iver injury; Aspartate amino transferase; </w:t>
      </w:r>
      <w:r w:rsidR="00C22E50" w:rsidRPr="005F0812">
        <w:rPr>
          <w:rFonts w:ascii="Book Antiqua" w:hAnsi="Book Antiqua" w:cs="Book Antiqua"/>
          <w:color w:val="000000"/>
          <w:lang w:val="en-GB" w:eastAsia="zh-CN"/>
        </w:rPr>
        <w:t>A</w:t>
      </w:r>
      <w:r w:rsidRPr="005F0812">
        <w:rPr>
          <w:rFonts w:ascii="Book Antiqua" w:eastAsia="Book Antiqua" w:hAnsi="Book Antiqua" w:cs="Book Antiqua"/>
          <w:color w:val="000000"/>
          <w:lang w:val="en-GB"/>
        </w:rPr>
        <w:t xml:space="preserve">ll-cause in-hospital mortality; Serum ferritin; </w:t>
      </w:r>
      <w:r w:rsidR="00C22E50" w:rsidRPr="005F0812">
        <w:rPr>
          <w:rFonts w:ascii="Book Antiqua" w:eastAsia="Book Antiqua" w:hAnsi="Book Antiqua" w:cs="Book Antiqua"/>
          <w:color w:val="000000"/>
          <w:lang w:val="en-GB"/>
        </w:rPr>
        <w:t>SARS-CoV-2</w:t>
      </w:r>
    </w:p>
    <w:p w14:paraId="61DCF816" w14:textId="77777777" w:rsidR="000228C3" w:rsidRDefault="000228C3" w:rsidP="000228C3">
      <w:pPr>
        <w:spacing w:line="360" w:lineRule="auto"/>
        <w:jc w:val="both"/>
        <w:rPr>
          <w:lang w:eastAsia="zh-CN"/>
        </w:rPr>
      </w:pPr>
    </w:p>
    <w:p w14:paraId="75266098" w14:textId="77777777" w:rsidR="000228C3" w:rsidRPr="00026CB8" w:rsidRDefault="000228C3" w:rsidP="000228C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CD9E87C" w14:textId="77777777" w:rsidR="00A77B3E" w:rsidRPr="005F0812" w:rsidRDefault="00A77B3E" w:rsidP="006309ED">
      <w:pPr>
        <w:spacing w:line="360" w:lineRule="auto"/>
        <w:jc w:val="both"/>
        <w:rPr>
          <w:rFonts w:ascii="Book Antiqua" w:hAnsi="Book Antiqua"/>
          <w:lang w:val="en-GB"/>
        </w:rPr>
      </w:pPr>
    </w:p>
    <w:p w14:paraId="25FFDC3D" w14:textId="2B0D63B3" w:rsidR="00213E92" w:rsidRDefault="00213E92" w:rsidP="006309ED">
      <w:pPr>
        <w:spacing w:line="360" w:lineRule="auto"/>
        <w:jc w:val="both"/>
        <w:rPr>
          <w:rFonts w:ascii="Book Antiqua" w:hAnsi="Book Antiqua" w:cs="Book Antiqua" w:hint="eastAsia"/>
          <w:color w:val="000000"/>
          <w:lang w:eastAsia="zh-CN"/>
        </w:rPr>
      </w:pPr>
      <w:r w:rsidRPr="00213E92">
        <w:rPr>
          <w:rFonts w:ascii="Book Antiqua" w:hAnsi="Book Antiqua" w:cs="Book Antiqua" w:hint="eastAsia"/>
          <w:b/>
          <w:color w:val="000000"/>
          <w:lang w:val="en-GB" w:eastAsia="zh-CN"/>
        </w:rPr>
        <w:t xml:space="preserve">Citation: </w:t>
      </w:r>
      <w:r w:rsidR="00136BCD" w:rsidRPr="005F0812">
        <w:rPr>
          <w:rFonts w:ascii="Book Antiqua" w:eastAsia="Book Antiqua" w:hAnsi="Book Antiqua" w:cs="Book Antiqua"/>
          <w:color w:val="000000"/>
          <w:lang w:val="en-GB"/>
        </w:rPr>
        <w:t>Madian A, Eliwa A, Abdalla H, Aly HA</w:t>
      </w:r>
      <w:r w:rsidR="00375008" w:rsidRPr="005F0812">
        <w:rPr>
          <w:rFonts w:ascii="Book Antiqua" w:hAnsi="Book Antiqua" w:cs="Book Antiqua"/>
          <w:color w:val="000000"/>
          <w:lang w:val="en-GB" w:eastAsia="zh-CN"/>
        </w:rPr>
        <w:t>A</w:t>
      </w:r>
      <w:r w:rsidR="00136BCD" w:rsidRPr="005F0812">
        <w:rPr>
          <w:rFonts w:ascii="Book Antiqua" w:eastAsia="Book Antiqua" w:hAnsi="Book Antiqua" w:cs="Book Antiqua"/>
          <w:color w:val="000000"/>
          <w:lang w:val="en-GB"/>
        </w:rPr>
        <w:t xml:space="preserve">. Hepatocellular injury and the mortality risk among patients with </w:t>
      </w:r>
      <w:r w:rsidR="00375008" w:rsidRPr="005F0812">
        <w:rPr>
          <w:rFonts w:ascii="Book Antiqua" w:eastAsia="Book Antiqua" w:hAnsi="Book Antiqua" w:cs="Book Antiqua"/>
          <w:color w:val="000000"/>
          <w:lang w:val="en-GB"/>
        </w:rPr>
        <w:t>COVID-19</w:t>
      </w:r>
      <w:r w:rsidR="00136BCD" w:rsidRPr="005F0812">
        <w:rPr>
          <w:rFonts w:ascii="Book Antiqua" w:eastAsia="Book Antiqua" w:hAnsi="Book Antiqua" w:cs="Book Antiqua"/>
          <w:color w:val="000000"/>
          <w:lang w:val="en-GB"/>
        </w:rPr>
        <w:t xml:space="preserve">: </w:t>
      </w:r>
      <w:r w:rsidR="00375008" w:rsidRPr="005F0812">
        <w:rPr>
          <w:rFonts w:ascii="Book Antiqua" w:hAnsi="Book Antiqua" w:cs="Book Antiqua"/>
          <w:color w:val="000000"/>
          <w:lang w:val="en-GB" w:eastAsia="zh-CN"/>
        </w:rPr>
        <w:t>A</w:t>
      </w:r>
      <w:r w:rsidR="00136BCD" w:rsidRPr="005F0812">
        <w:rPr>
          <w:rFonts w:ascii="Book Antiqua" w:eastAsia="Book Antiqua" w:hAnsi="Book Antiqua" w:cs="Book Antiqua"/>
          <w:color w:val="000000"/>
          <w:lang w:val="en-GB"/>
        </w:rPr>
        <w:t xml:space="preserve"> retrospective cohort study. </w:t>
      </w:r>
      <w:r w:rsidR="00136BCD" w:rsidRPr="005F0812">
        <w:rPr>
          <w:rFonts w:ascii="Book Antiqua" w:eastAsia="Book Antiqua" w:hAnsi="Book Antiqua" w:cs="Book Antiqua"/>
          <w:i/>
          <w:iCs/>
          <w:color w:val="000000"/>
          <w:lang w:val="en-GB"/>
        </w:rPr>
        <w:t>World J Hepatol</w:t>
      </w:r>
      <w:r w:rsidR="00136BCD" w:rsidRPr="005F0812">
        <w:rPr>
          <w:rFonts w:ascii="Book Antiqua" w:eastAsia="Book Antiqua" w:hAnsi="Book Antiqua" w:cs="Book Antiqua"/>
          <w:color w:val="000000"/>
          <w:lang w:val="en-GB"/>
        </w:rPr>
        <w:t xml:space="preserve"> </w:t>
      </w:r>
      <w:r w:rsidR="00E84D2E">
        <w:rPr>
          <w:rFonts w:ascii="Book Antiqua" w:eastAsia="Book Antiqua" w:hAnsi="Book Antiqua" w:cs="Book Antiqua"/>
          <w:color w:val="000000"/>
        </w:rPr>
        <w:t xml:space="preserve">2021; </w:t>
      </w:r>
      <w:r w:rsidR="00E84D2E" w:rsidRPr="00F36C36">
        <w:rPr>
          <w:rFonts w:ascii="Book Antiqua" w:eastAsia="Book Antiqua" w:hAnsi="Book Antiqua" w:cs="Book Antiqua"/>
          <w:color w:val="000000"/>
        </w:rPr>
        <w:t>13(</w:t>
      </w:r>
      <w:r w:rsidR="00E84D2E">
        <w:rPr>
          <w:rFonts w:ascii="Book Antiqua" w:eastAsia="Book Antiqua" w:hAnsi="Book Antiqua" w:cs="Book Antiqua"/>
          <w:color w:val="000000"/>
        </w:rPr>
        <w:t>8</w:t>
      </w:r>
      <w:r w:rsidR="00E84D2E" w:rsidRPr="00F36C36">
        <w:rPr>
          <w:rFonts w:ascii="Book Antiqua" w:eastAsia="Book Antiqua" w:hAnsi="Book Antiqua" w:cs="Book Antiqua"/>
          <w:color w:val="000000"/>
        </w:rPr>
        <w:t xml:space="preserve">): </w:t>
      </w:r>
      <w:r w:rsidR="005E5BFF" w:rsidRPr="005E5BFF">
        <w:rPr>
          <w:rFonts w:ascii="Book Antiqua" w:eastAsia="Book Antiqua" w:hAnsi="Book Antiqua" w:cs="Book Antiqua"/>
          <w:color w:val="000000"/>
        </w:rPr>
        <w:t>939-948</w:t>
      </w:r>
      <w:r w:rsidR="00E84D2E" w:rsidRPr="00F36C36">
        <w:rPr>
          <w:rFonts w:ascii="Book Antiqua" w:eastAsia="Book Antiqua" w:hAnsi="Book Antiqua" w:cs="Book Antiqua"/>
          <w:color w:val="000000"/>
        </w:rPr>
        <w:t xml:space="preserve">  </w:t>
      </w:r>
    </w:p>
    <w:p w14:paraId="14AC1812" w14:textId="77777777" w:rsidR="00213E92" w:rsidRDefault="00E84D2E" w:rsidP="006309ED">
      <w:pPr>
        <w:spacing w:line="360" w:lineRule="auto"/>
        <w:jc w:val="both"/>
        <w:rPr>
          <w:rFonts w:ascii="Book Antiqua" w:hAnsi="Book Antiqua" w:cs="Book Antiqua" w:hint="eastAsia"/>
          <w:color w:val="000000"/>
          <w:lang w:eastAsia="zh-CN"/>
        </w:rPr>
      </w:pPr>
      <w:r w:rsidRPr="00213E92">
        <w:rPr>
          <w:rFonts w:ascii="Book Antiqua" w:eastAsia="Book Antiqua" w:hAnsi="Book Antiqua" w:cs="Book Antiqua"/>
          <w:b/>
          <w:color w:val="000000"/>
        </w:rPr>
        <w:t xml:space="preserve">URL: </w:t>
      </w:r>
      <w:r w:rsidRPr="00F36C36">
        <w:rPr>
          <w:rFonts w:ascii="Book Antiqua" w:eastAsia="Book Antiqua" w:hAnsi="Book Antiqua" w:cs="Book Antiqua"/>
          <w:color w:val="000000"/>
        </w:rPr>
        <w:t>https://www.wjgnet.com/1948-5182/full/v13/i</w:t>
      </w:r>
      <w:r>
        <w:rPr>
          <w:rFonts w:ascii="Book Antiqua" w:eastAsia="Book Antiqua" w:hAnsi="Book Antiqua" w:cs="Book Antiqua"/>
          <w:color w:val="000000"/>
        </w:rPr>
        <w:t>8</w:t>
      </w:r>
      <w:r w:rsidRPr="00F36C36">
        <w:rPr>
          <w:rFonts w:ascii="Book Antiqua" w:eastAsia="Book Antiqua" w:hAnsi="Book Antiqua" w:cs="Book Antiqua"/>
          <w:color w:val="000000"/>
        </w:rPr>
        <w:t>/</w:t>
      </w:r>
      <w:r w:rsidR="005E5BFF" w:rsidRPr="005E5BFF">
        <w:rPr>
          <w:rFonts w:ascii="Book Antiqua" w:eastAsia="Book Antiqua" w:hAnsi="Book Antiqua" w:cs="Book Antiqua"/>
          <w:color w:val="000000"/>
        </w:rPr>
        <w:t>939</w:t>
      </w:r>
      <w:r w:rsidRPr="00F36C36">
        <w:rPr>
          <w:rFonts w:ascii="Book Antiqua" w:eastAsia="Book Antiqua" w:hAnsi="Book Antiqua" w:cs="Book Antiqua"/>
          <w:color w:val="000000"/>
        </w:rPr>
        <w:t xml:space="preserve">.htm  </w:t>
      </w:r>
    </w:p>
    <w:p w14:paraId="1EB89D90" w14:textId="29243698" w:rsidR="00A77B3E" w:rsidRPr="005F0812" w:rsidRDefault="00E84D2E" w:rsidP="006309ED">
      <w:pPr>
        <w:spacing w:line="360" w:lineRule="auto"/>
        <w:jc w:val="both"/>
        <w:rPr>
          <w:rFonts w:ascii="Book Antiqua" w:hAnsi="Book Antiqua"/>
          <w:lang w:val="en-GB"/>
        </w:rPr>
      </w:pPr>
      <w:r w:rsidRPr="00213E92">
        <w:rPr>
          <w:rFonts w:ascii="Book Antiqua" w:eastAsia="Book Antiqua" w:hAnsi="Book Antiqua" w:cs="Book Antiqua"/>
          <w:b/>
          <w:color w:val="000000"/>
        </w:rPr>
        <w:t>DOI:</w:t>
      </w:r>
      <w:r w:rsidRPr="00F36C36">
        <w:rPr>
          <w:rFonts w:ascii="Book Antiqua" w:eastAsia="Book Antiqua" w:hAnsi="Book Antiqua" w:cs="Book Antiqua"/>
          <w:color w:val="000000"/>
        </w:rPr>
        <w:t xml:space="preserve"> </w:t>
      </w:r>
      <w:r w:rsidR="0072009E" w:rsidRPr="005E5BFF">
        <w:rPr>
          <w:rFonts w:ascii="Book Antiqua" w:eastAsia="Book Antiqua" w:hAnsi="Book Antiqua" w:cs="Book Antiqua"/>
        </w:rPr>
        <w:t>https://dx.doi.org/10.4254/wjh.v13.i8.</w:t>
      </w:r>
      <w:r w:rsidR="005E5BFF" w:rsidRPr="005E5BFF">
        <w:rPr>
          <w:rFonts w:ascii="Book Antiqua" w:eastAsia="Book Antiqua" w:hAnsi="Book Antiqua" w:cs="Book Antiqua"/>
          <w:color w:val="000000"/>
        </w:rPr>
        <w:t>939</w:t>
      </w:r>
    </w:p>
    <w:p w14:paraId="2B815FDA" w14:textId="77777777" w:rsidR="00A77B3E" w:rsidRPr="005F0812" w:rsidRDefault="00A77B3E" w:rsidP="006309ED">
      <w:pPr>
        <w:spacing w:line="360" w:lineRule="auto"/>
        <w:jc w:val="both"/>
        <w:rPr>
          <w:rFonts w:ascii="Book Antiqua" w:hAnsi="Book Antiqua"/>
          <w:lang w:val="en-GB"/>
        </w:rPr>
      </w:pPr>
    </w:p>
    <w:p w14:paraId="1D46ED10" w14:textId="703DF0BE"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Core Tip: </w:t>
      </w:r>
      <w:r w:rsidRPr="005F0812">
        <w:rPr>
          <w:rFonts w:ascii="Book Antiqua" w:eastAsia="Book Antiqua" w:hAnsi="Book Antiqua" w:cs="Book Antiqua"/>
          <w:color w:val="000000"/>
          <w:lang w:val="en-GB"/>
        </w:rPr>
        <w:t xml:space="preserve">Liver injury with an aspartate </w:t>
      </w:r>
      <w:r w:rsidR="009D0ADA" w:rsidRPr="005F0812">
        <w:rPr>
          <w:rFonts w:ascii="Book Antiqua" w:eastAsia="Book Antiqua" w:hAnsi="Book Antiqua" w:cs="Book Antiqua"/>
          <w:color w:val="000000"/>
          <w:lang w:val="en-GB"/>
        </w:rPr>
        <w:t>amino</w:t>
      </w:r>
      <w:r w:rsidRPr="005F0812">
        <w:rPr>
          <w:rFonts w:ascii="Book Antiqua" w:eastAsia="Book Antiqua" w:hAnsi="Book Antiqua" w:cs="Book Antiqua"/>
          <w:color w:val="000000"/>
          <w:lang w:val="en-GB"/>
        </w:rPr>
        <w:t xml:space="preserve">transferase (AST)-dominant pattern can predict the severity of </w:t>
      </w:r>
      <w:r w:rsidR="00633ABD" w:rsidRPr="005F0812">
        <w:rPr>
          <w:rFonts w:ascii="Book Antiqua" w:eastAsia="Book Antiqua" w:hAnsi="Book Antiqua" w:cs="Book Antiqua"/>
          <w:color w:val="000000"/>
          <w:lang w:val="en-GB"/>
        </w:rPr>
        <w:t>coronavirus disease 2019 (COVID-19)</w:t>
      </w:r>
      <w:r w:rsidRPr="005F0812">
        <w:rPr>
          <w:rFonts w:ascii="Book Antiqua" w:eastAsia="Book Antiqua" w:hAnsi="Book Antiqua" w:cs="Book Antiqua"/>
          <w:color w:val="000000"/>
          <w:lang w:val="en-GB"/>
        </w:rPr>
        <w:t xml:space="preserve">. A one-fold </w:t>
      </w:r>
      <w:r w:rsidR="00C33A21" w:rsidRPr="005F0812">
        <w:rPr>
          <w:rFonts w:ascii="Book Antiqua" w:eastAsia="Book Antiqua" w:hAnsi="Book Antiqua" w:cs="Book Antiqua"/>
          <w:color w:val="000000"/>
          <w:lang w:val="en-GB"/>
        </w:rPr>
        <w:t xml:space="preserve">and two-fold </w:t>
      </w:r>
      <w:r w:rsidRPr="005F0812">
        <w:rPr>
          <w:rFonts w:ascii="Book Antiqua" w:eastAsia="Book Antiqua" w:hAnsi="Book Antiqua" w:cs="Book Antiqua"/>
          <w:color w:val="000000"/>
          <w:lang w:val="en-GB"/>
        </w:rPr>
        <w:t>increase in serum AST level</w:t>
      </w:r>
      <w:r w:rsidR="00C33A21" w:rsidRPr="005F0812">
        <w:rPr>
          <w:rFonts w:ascii="Book Antiqua" w:eastAsia="Book Antiqua" w:hAnsi="Book Antiqua" w:cs="Book Antiqua"/>
          <w:color w:val="000000"/>
          <w:lang w:val="en-GB"/>
        </w:rPr>
        <w:t>s</w:t>
      </w:r>
      <w:r w:rsidRPr="005F0812">
        <w:rPr>
          <w:rFonts w:ascii="Book Antiqua" w:eastAsia="Book Antiqua" w:hAnsi="Book Antiqua" w:cs="Book Antiqua"/>
          <w:color w:val="000000"/>
          <w:lang w:val="en-GB"/>
        </w:rPr>
        <w:t xml:space="preserve"> increase</w:t>
      </w:r>
      <w:r w:rsidR="00A61DBD" w:rsidRPr="005F0812">
        <w:rPr>
          <w:rFonts w:ascii="Book Antiqua" w:eastAsia="Book Antiqua" w:hAnsi="Book Antiqua" w:cs="Book Antiqua"/>
          <w:color w:val="000000"/>
          <w:lang w:val="en-GB"/>
        </w:rPr>
        <w:t>d</w:t>
      </w:r>
      <w:r w:rsidRPr="005F0812">
        <w:rPr>
          <w:rFonts w:ascii="Book Antiqua" w:eastAsia="Book Antiqua" w:hAnsi="Book Antiqua" w:cs="Book Antiqua"/>
          <w:color w:val="000000"/>
          <w:lang w:val="en-GB"/>
        </w:rPr>
        <w:t xml:space="preserve"> the odds of in-hospital mortality by eleven-fold </w:t>
      </w:r>
      <w:r w:rsidR="00C33A21" w:rsidRPr="005F0812">
        <w:rPr>
          <w:rFonts w:ascii="Book Antiqua" w:eastAsia="Book Antiqua" w:hAnsi="Book Antiqua" w:cs="Book Antiqua"/>
          <w:color w:val="000000"/>
          <w:lang w:val="en-GB"/>
        </w:rPr>
        <w:t xml:space="preserve">and thirteen-fold, respectively, </w:t>
      </w:r>
      <w:r w:rsidRPr="005F0812">
        <w:rPr>
          <w:rFonts w:ascii="Book Antiqua" w:eastAsia="Book Antiqua" w:hAnsi="Book Antiqua" w:cs="Book Antiqua"/>
          <w:color w:val="000000"/>
          <w:lang w:val="en-GB"/>
        </w:rPr>
        <w:t xml:space="preserve">compared with individuals with normal AST levels. </w:t>
      </w:r>
      <w:r w:rsidR="00A61DBD" w:rsidRPr="005F0812">
        <w:rPr>
          <w:rFonts w:ascii="Book Antiqua" w:eastAsia="Book Antiqua" w:hAnsi="Book Antiqua" w:cs="Book Antiqua"/>
          <w:color w:val="000000"/>
          <w:lang w:val="en-GB"/>
        </w:rPr>
        <w:t>O</w:t>
      </w:r>
      <w:r w:rsidRPr="005F0812">
        <w:rPr>
          <w:rFonts w:ascii="Book Antiqua" w:eastAsia="Book Antiqua" w:hAnsi="Book Antiqua" w:cs="Book Antiqua"/>
          <w:color w:val="000000"/>
          <w:lang w:val="en-GB"/>
        </w:rPr>
        <w:t xml:space="preserve">ur study confirmed an elevated level of ferritin in patients with </w:t>
      </w:r>
      <w:r w:rsidR="00633ABD" w:rsidRPr="005F0812">
        <w:rPr>
          <w:rFonts w:ascii="Book Antiqua" w:eastAsia="Book Antiqua" w:hAnsi="Book Antiqua" w:cs="Book Antiqua"/>
          <w:color w:val="000000"/>
          <w:lang w:val="en-GB"/>
        </w:rPr>
        <w:t>COVID-19</w:t>
      </w:r>
      <w:r w:rsidR="00A61DBD" w:rsidRPr="005F0812">
        <w:rPr>
          <w:rFonts w:ascii="Book Antiqua" w:eastAsia="Book Antiqua" w:hAnsi="Book Antiqua" w:cs="Book Antiqua"/>
          <w:color w:val="000000"/>
          <w:lang w:val="en-GB"/>
        </w:rPr>
        <w:t xml:space="preserve"> that was</w:t>
      </w:r>
      <w:r w:rsidRPr="005F0812">
        <w:rPr>
          <w:rFonts w:ascii="Book Antiqua" w:eastAsia="Book Antiqua" w:hAnsi="Book Antiqua" w:cs="Book Antiqua"/>
          <w:color w:val="000000"/>
          <w:lang w:val="en-GB"/>
        </w:rPr>
        <w:t xml:space="preserve"> associated with fatal outcomes. Meticulous monitoring is highly recommended for patients with </w:t>
      </w:r>
      <w:r w:rsidR="00633ABD" w:rsidRPr="005F0812">
        <w:rPr>
          <w:rFonts w:ascii="Book Antiqua" w:eastAsia="Book Antiqua" w:hAnsi="Book Antiqua" w:cs="Book Antiqua"/>
          <w:color w:val="000000"/>
          <w:lang w:val="en-GB"/>
        </w:rPr>
        <w:t>COVID-19</w:t>
      </w:r>
      <w:r w:rsidRPr="005F0812">
        <w:rPr>
          <w:rFonts w:ascii="Book Antiqua" w:eastAsia="Book Antiqua" w:hAnsi="Book Antiqua" w:cs="Book Antiqua"/>
          <w:color w:val="000000"/>
          <w:lang w:val="en-GB"/>
        </w:rPr>
        <w:t xml:space="preserve"> presenting AST-dominant hepatocellular injury, especially those older than 60 years, those with elevated ferritin levels or those with diabetes mellitus.</w:t>
      </w:r>
    </w:p>
    <w:p w14:paraId="45014180" w14:textId="77777777" w:rsidR="00A77B3E" w:rsidRPr="005F0812" w:rsidRDefault="00A77B3E" w:rsidP="006309ED">
      <w:pPr>
        <w:spacing w:line="360" w:lineRule="auto"/>
        <w:jc w:val="both"/>
        <w:rPr>
          <w:rFonts w:ascii="Book Antiqua" w:hAnsi="Book Antiqua"/>
          <w:lang w:val="en-GB"/>
        </w:rPr>
      </w:pPr>
    </w:p>
    <w:p w14:paraId="5C3A984D" w14:textId="77777777" w:rsidR="00A77B3E" w:rsidRPr="005F0812" w:rsidRDefault="00EE5B92"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br w:type="page"/>
      </w:r>
      <w:r w:rsidR="00136BCD" w:rsidRPr="005F0812">
        <w:rPr>
          <w:rFonts w:ascii="Book Antiqua" w:eastAsia="Book Antiqua" w:hAnsi="Book Antiqua" w:cs="Book Antiqua"/>
          <w:b/>
          <w:caps/>
          <w:color w:val="000000"/>
          <w:u w:val="single"/>
          <w:lang w:val="en-GB"/>
        </w:rPr>
        <w:t>INTRODUCTION</w:t>
      </w:r>
    </w:p>
    <w:p w14:paraId="4EF1A2C8" w14:textId="35DC1A1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Globally, coronavirus disease 2019 (COVID-19) has a substantial impact on the healthcare system. Over time, clinicians have clearly determined that the infection caused by severe acute respiratory syndrome coronavirus 2 (SARS-CoV-2) is not limited to the lung but also affects the nervous system, gastrointestinal tract and hepatobiliary system</w:t>
      </w:r>
      <w:r w:rsidRPr="005F0812">
        <w:rPr>
          <w:rFonts w:ascii="Book Antiqua" w:eastAsia="Book Antiqua" w:hAnsi="Book Antiqua" w:cs="Book Antiqua"/>
          <w:bCs/>
          <w:color w:val="000000"/>
          <w:vertAlign w:val="superscript"/>
          <w:lang w:val="en-GB"/>
        </w:rPr>
        <w:t>[1]</w:t>
      </w:r>
      <w:r w:rsidRPr="005F0812">
        <w:rPr>
          <w:rFonts w:ascii="Book Antiqua" w:eastAsia="Book Antiqua" w:hAnsi="Book Antiqua" w:cs="Book Antiqua"/>
          <w:color w:val="000000"/>
          <w:lang w:val="en-GB"/>
        </w:rPr>
        <w:t>.</w:t>
      </w:r>
    </w:p>
    <w:p w14:paraId="26FEA035" w14:textId="57E1B534"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 xml:space="preserve">The entry of SARS-CoV-2 into target cells is facilitated by angiotensin-converting enzyme 2 </w:t>
      </w:r>
      <w:r w:rsidR="007A0708" w:rsidRPr="005F0812">
        <w:rPr>
          <w:rFonts w:ascii="Book Antiqua" w:eastAsia="Book Antiqua" w:hAnsi="Book Antiqua" w:cs="Book Antiqua"/>
          <w:color w:val="000000"/>
          <w:lang w:val="en-GB"/>
        </w:rPr>
        <w:t>(ACE2)</w:t>
      </w:r>
      <w:r w:rsidR="007A0708"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receptors. ACE2 receptors are expressed at high levels in lung alveolar epithelial cells, vascular endothelium and epithelium of the small intestine</w:t>
      </w:r>
      <w:r w:rsidRPr="005F0812">
        <w:rPr>
          <w:rFonts w:ascii="Book Antiqua" w:eastAsia="Book Antiqua" w:hAnsi="Book Antiqua" w:cs="Book Antiqua"/>
          <w:bCs/>
          <w:color w:val="000000"/>
          <w:vertAlign w:val="superscript"/>
          <w:lang w:val="en-GB"/>
        </w:rPr>
        <w:t>[2]</w:t>
      </w:r>
      <w:r w:rsidRPr="005F0812">
        <w:rPr>
          <w:rFonts w:ascii="Book Antiqua" w:eastAsia="Book Antiqua" w:hAnsi="Book Antiqua" w:cs="Book Antiqua"/>
          <w:color w:val="000000"/>
          <w:lang w:val="en-GB"/>
        </w:rPr>
        <w:t>. This pattern might explain the pathophysiology of gastrointestinal manifestations associated with COVID-19, such as vomiting and diarrhoea. Moreover, ACE2 receptors are expressed at high levels on cholangiocytes (60% of cells) and to a lesser extent on hepatocytes (3% of cells)</w:t>
      </w:r>
      <w:r w:rsidRPr="005F0812">
        <w:rPr>
          <w:rFonts w:ascii="Book Antiqua" w:eastAsia="Book Antiqua" w:hAnsi="Book Antiqua" w:cs="Book Antiqua"/>
          <w:bCs/>
          <w:color w:val="000000"/>
          <w:vertAlign w:val="superscript"/>
          <w:lang w:val="en-GB"/>
        </w:rPr>
        <w:t>[3]</w:t>
      </w:r>
      <w:r w:rsidRPr="005F0812">
        <w:rPr>
          <w:rFonts w:ascii="Book Antiqua" w:eastAsia="Book Antiqua" w:hAnsi="Book Antiqua" w:cs="Book Antiqua"/>
          <w:bCs/>
          <w:color w:val="000000"/>
          <w:lang w:val="en-GB"/>
        </w:rPr>
        <w:t>.</w:t>
      </w:r>
      <w:r w:rsidRPr="005F0812">
        <w:rPr>
          <w:rFonts w:ascii="Book Antiqua" w:eastAsia="Book Antiqua" w:hAnsi="Book Antiqua" w:cs="Book Antiqua"/>
          <w:color w:val="000000"/>
          <w:lang w:val="en-GB"/>
        </w:rPr>
        <w:t xml:space="preserve"> Therefore, the hepatobiliary system may be at increased risk of SARS-CoV-2 infection. The liver appears to be the second most affected organ after the lung</w:t>
      </w:r>
      <w:r w:rsidRPr="005F0812">
        <w:rPr>
          <w:rFonts w:ascii="Book Antiqua" w:eastAsia="Book Antiqua" w:hAnsi="Book Antiqua" w:cs="Book Antiqua"/>
          <w:bCs/>
          <w:color w:val="000000"/>
          <w:vertAlign w:val="superscript"/>
          <w:lang w:val="en-GB"/>
        </w:rPr>
        <w:t>[4]</w:t>
      </w:r>
      <w:r w:rsidRPr="005F0812">
        <w:rPr>
          <w:rFonts w:ascii="Book Antiqua" w:eastAsia="Book Antiqua" w:hAnsi="Book Antiqua" w:cs="Book Antiqua"/>
          <w:bCs/>
          <w:color w:val="000000"/>
          <w:lang w:val="en-GB"/>
        </w:rPr>
        <w:t>.</w:t>
      </w:r>
    </w:p>
    <w:p w14:paraId="1154EB05"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In fact, many case series identified abnormal elevations in the levels of aminotransferases and hypoalbuminemia early and during the progression of COVID-19</w:t>
      </w:r>
      <w:r w:rsidR="007A0708" w:rsidRPr="005F0812">
        <w:rPr>
          <w:rFonts w:ascii="Book Antiqua" w:eastAsia="Book Antiqua" w:hAnsi="Book Antiqua" w:cs="Book Antiqua"/>
          <w:bCs/>
          <w:color w:val="000000"/>
          <w:vertAlign w:val="superscript"/>
          <w:lang w:val="en-GB"/>
        </w:rPr>
        <w:t>[5,</w:t>
      </w:r>
      <w:r w:rsidRPr="005F0812">
        <w:rPr>
          <w:rFonts w:ascii="Book Antiqua" w:eastAsia="Book Antiqua" w:hAnsi="Book Antiqua" w:cs="Book Antiqua"/>
          <w:bCs/>
          <w:color w:val="000000"/>
          <w:vertAlign w:val="superscript"/>
          <w:lang w:val="en-GB"/>
        </w:rPr>
        <w:t>6]</w:t>
      </w:r>
      <w:r w:rsidRPr="005F0812">
        <w:rPr>
          <w:rFonts w:ascii="Book Antiqua" w:eastAsia="Book Antiqua" w:hAnsi="Book Antiqua" w:cs="Book Antiqua"/>
          <w:color w:val="000000"/>
          <w:lang w:val="en-GB"/>
        </w:rPr>
        <w:t>. However, substantial variability in the reported prevalence of liver injury among patients with COVID-19 was noted (14% to 50%)</w:t>
      </w:r>
      <w:r w:rsidRPr="005F0812">
        <w:rPr>
          <w:rFonts w:ascii="Book Antiqua" w:eastAsia="Book Antiqua" w:hAnsi="Book Antiqua" w:cs="Book Antiqua"/>
          <w:bCs/>
          <w:color w:val="000000"/>
          <w:vertAlign w:val="superscript"/>
          <w:lang w:val="en-GB"/>
        </w:rPr>
        <w:t>[3]</w:t>
      </w:r>
      <w:r w:rsidRPr="005F0812">
        <w:rPr>
          <w:rFonts w:ascii="Book Antiqua" w:eastAsia="Book Antiqua" w:hAnsi="Book Antiqua" w:cs="Book Antiqua"/>
          <w:color w:val="000000"/>
          <w:lang w:val="en-GB"/>
        </w:rPr>
        <w:t>. Moreover, the clinical effect of de novo liver injury on the prognosis of patients with COVID-19 has not been investigated in detail. In addition, multiple clinical comorbidities that might confound liver injury-associated mortality should be studied</w:t>
      </w:r>
      <w:r w:rsidRPr="005F0812">
        <w:rPr>
          <w:rFonts w:ascii="Book Antiqua" w:eastAsia="Book Antiqua" w:hAnsi="Book Antiqua" w:cs="Book Antiqua"/>
          <w:bCs/>
          <w:color w:val="000000"/>
          <w:vertAlign w:val="superscript"/>
          <w:lang w:val="en-GB"/>
        </w:rPr>
        <w:t>[7]</w:t>
      </w:r>
      <w:r w:rsidRPr="005F0812">
        <w:rPr>
          <w:rFonts w:ascii="Book Antiqua" w:eastAsia="Book Antiqua" w:hAnsi="Book Antiqua" w:cs="Book Antiqua"/>
          <w:bCs/>
          <w:color w:val="000000"/>
          <w:lang w:val="en-GB"/>
        </w:rPr>
        <w:t>.</w:t>
      </w:r>
    </w:p>
    <w:p w14:paraId="01C8E986"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Ideally, clinicians should be able to identify patient outcomes to improve health care resource allocation.</w:t>
      </w:r>
    </w:p>
    <w:p w14:paraId="13B370D4"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The aim of the present study was to investigate whether biomarkers of hepatocellular injury have prognostic value in predicting all-cause in-hospital mortality among patients with COVID-19.</w:t>
      </w:r>
    </w:p>
    <w:p w14:paraId="65FC42DE" w14:textId="77777777" w:rsidR="00A77B3E" w:rsidRPr="005F0812" w:rsidRDefault="00A77B3E" w:rsidP="006309ED">
      <w:pPr>
        <w:spacing w:line="360" w:lineRule="auto"/>
        <w:jc w:val="both"/>
        <w:rPr>
          <w:rFonts w:ascii="Book Antiqua" w:hAnsi="Book Antiqua"/>
          <w:lang w:val="en-GB"/>
        </w:rPr>
      </w:pPr>
    </w:p>
    <w:p w14:paraId="199E24E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t>MATERIALS AND METHODS</w:t>
      </w:r>
    </w:p>
    <w:p w14:paraId="62FB6F9D" w14:textId="4B84E169" w:rsidR="00A77B3E" w:rsidRPr="005F0812" w:rsidRDefault="00136BCD" w:rsidP="006309ED">
      <w:pPr>
        <w:spacing w:line="360" w:lineRule="auto"/>
        <w:jc w:val="both"/>
        <w:rPr>
          <w:rFonts w:ascii="Book Antiqua" w:hAnsi="Book Antiqua" w:cs="Book Antiqua"/>
          <w:color w:val="000000"/>
          <w:lang w:val="en-GB" w:eastAsia="zh-CN"/>
        </w:rPr>
      </w:pPr>
      <w:r w:rsidRPr="005F0812">
        <w:rPr>
          <w:rFonts w:ascii="Book Antiqua" w:eastAsia="Book Antiqua" w:hAnsi="Book Antiqua" w:cs="Book Antiqua"/>
          <w:color w:val="000000"/>
          <w:lang w:val="en-GB"/>
        </w:rPr>
        <w:t>This multicentre study employed a retrospective cohort design. The medical records of all consecutive adult patients admitted to Al-Azhar University Hospital, Assiut, Egypt and Abo Teeg General Hospital, Assiut, Egypt with confirmed COVID-19 from June 1, 2020, to July 30, 2020 were retrieved and analysed. Both hospitals were designated to treat patients with confirmed COVID-19 by the Egyptian Ministry of Health. The inclusion criteria were hospitalization and adult patients &gt;</w:t>
      </w:r>
      <w:r w:rsidR="007A0708"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18</w:t>
      </w:r>
      <w:r w:rsidR="00DD1DC9">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years</w:t>
      </w:r>
      <w:r w:rsidR="00DD1DC9">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old with confirmed COVID-19 based on a positive nasopharyngeal swab for SARS-CoV-2. Exclusion criteria were non-hospitalized patients, pregnant females, patients with chronic liver disease </w:t>
      </w:r>
      <w:r w:rsidR="00DD1DC9">
        <w:rPr>
          <w:rFonts w:ascii="Book Antiqua" w:eastAsia="Book Antiqua" w:hAnsi="Book Antiqua" w:cs="Book Antiqua"/>
          <w:iCs/>
          <w:color w:val="000000"/>
          <w:lang w:val="en-GB"/>
        </w:rPr>
        <w:t>(</w:t>
      </w:r>
      <w:r w:rsidRPr="005F0812">
        <w:rPr>
          <w:rFonts w:ascii="Book Antiqua" w:eastAsia="Book Antiqua" w:hAnsi="Book Antiqua" w:cs="Book Antiqua"/>
          <w:iCs/>
          <w:color w:val="000000"/>
          <w:lang w:val="en-GB"/>
        </w:rPr>
        <w:t>in accordance with institutional clinical guidelines</w:t>
      </w:r>
      <w:r w:rsidR="00FC6E44">
        <w:rPr>
          <w:rFonts w:ascii="Book Antiqua" w:eastAsia="Book Antiqua" w:hAnsi="Book Antiqua" w:cs="Book Antiqua"/>
          <w:iCs/>
          <w:color w:val="000000"/>
          <w:lang w:val="en-GB"/>
        </w:rPr>
        <w:t>,</w:t>
      </w:r>
      <w:r w:rsidRPr="005F0812">
        <w:rPr>
          <w:rFonts w:ascii="Book Antiqua" w:eastAsia="Book Antiqua" w:hAnsi="Book Antiqua" w:cs="Book Antiqua"/>
          <w:iCs/>
          <w:color w:val="000000"/>
          <w:lang w:val="en-GB"/>
        </w:rPr>
        <w:t xml:space="preserve"> patients with elevated aminotransferase levels were screened for markers of viral hepatitis and markers of autoimmune hepatitis</w:t>
      </w:r>
      <w:r w:rsidR="00FC6E44">
        <w:rPr>
          <w:rFonts w:ascii="Book Antiqua" w:eastAsia="Book Antiqua" w:hAnsi="Book Antiqua" w:cs="Book Antiqua"/>
          <w:iCs/>
          <w:color w:val="000000"/>
          <w:lang w:val="en-GB"/>
        </w:rPr>
        <w:t>)</w:t>
      </w:r>
      <w:r w:rsidRPr="005F0812">
        <w:rPr>
          <w:rFonts w:ascii="Book Antiqua" w:eastAsia="Book Antiqua" w:hAnsi="Book Antiqua" w:cs="Book Antiqua"/>
          <w:color w:val="000000"/>
          <w:lang w:val="en-GB"/>
        </w:rPr>
        <w:t>, patients who refused to participate in the study and patients with incomplete data. The institutional review board granted approval for the study protocol.</w:t>
      </w:r>
    </w:p>
    <w:p w14:paraId="62F5B9DE" w14:textId="77777777" w:rsidR="007A0708" w:rsidRPr="005F0812" w:rsidRDefault="007A0708" w:rsidP="006309ED">
      <w:pPr>
        <w:spacing w:line="360" w:lineRule="auto"/>
        <w:jc w:val="both"/>
        <w:rPr>
          <w:rFonts w:ascii="Book Antiqua" w:hAnsi="Book Antiqua"/>
          <w:lang w:val="en-GB" w:eastAsia="zh-CN"/>
        </w:rPr>
      </w:pPr>
    </w:p>
    <w:p w14:paraId="07E85FB4"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Exposure measurement</w:t>
      </w:r>
    </w:p>
    <w:p w14:paraId="78AC3F00" w14:textId="46E67079" w:rsidR="00A77B3E" w:rsidRPr="005F0812" w:rsidRDefault="00136BCD" w:rsidP="006309ED">
      <w:pPr>
        <w:spacing w:line="360" w:lineRule="auto"/>
        <w:jc w:val="both"/>
        <w:rPr>
          <w:rFonts w:ascii="Book Antiqua" w:hAnsi="Book Antiqua" w:cs="Book Antiqua"/>
          <w:color w:val="000000"/>
          <w:lang w:val="en-GB" w:eastAsia="zh-CN"/>
        </w:rPr>
      </w:pPr>
      <w:r w:rsidRPr="005F0812">
        <w:rPr>
          <w:rFonts w:ascii="Book Antiqua" w:eastAsia="Book Antiqua" w:hAnsi="Book Antiqua" w:cs="Book Antiqua"/>
          <w:color w:val="000000"/>
          <w:lang w:val="en-GB"/>
        </w:rPr>
        <w:t xml:space="preserve">The exposure of interest was the serum levels of aminotransferases at the time of hospital admission. We measured the levels of aminotransferases within 24 h of hospital admission. Elevated aminotransferase levels were defined as either an increase in the levels of </w:t>
      </w:r>
      <w:r w:rsidR="00BB0F7E" w:rsidRPr="005F0812">
        <w:rPr>
          <w:rFonts w:ascii="Book Antiqua" w:eastAsia="Book Antiqua" w:hAnsi="Book Antiqua" w:cs="Book Antiqua"/>
          <w:color w:val="000000"/>
          <w:lang w:val="en-GB"/>
        </w:rPr>
        <w:t xml:space="preserve">aspartate </w:t>
      </w:r>
      <w:r w:rsidR="00EE63ED">
        <w:rPr>
          <w:rFonts w:ascii="Book Antiqua" w:eastAsia="Book Antiqua" w:hAnsi="Book Antiqua" w:cs="Book Antiqua"/>
          <w:color w:val="000000"/>
          <w:lang w:val="en-GB"/>
        </w:rPr>
        <w:t>amino</w:t>
      </w:r>
      <w:r w:rsidR="00BB0F7E" w:rsidRPr="005F0812">
        <w:rPr>
          <w:rFonts w:ascii="Book Antiqua" w:eastAsia="Book Antiqua" w:hAnsi="Book Antiqua" w:cs="Book Antiqua"/>
          <w:color w:val="000000"/>
          <w:lang w:val="en-GB"/>
        </w:rPr>
        <w:t>transferase (AST)</w:t>
      </w:r>
      <w:r w:rsidRPr="005F0812">
        <w:rPr>
          <w:rFonts w:ascii="Book Antiqua" w:eastAsia="Book Antiqua" w:hAnsi="Book Antiqua" w:cs="Book Antiqua"/>
          <w:color w:val="000000"/>
          <w:lang w:val="en-GB"/>
        </w:rPr>
        <w:t xml:space="preserve"> (&gt;</w:t>
      </w:r>
      <w:r w:rsidR="007A0708"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40 U/L), alanine aminotransferase (ALT) (&gt;</w:t>
      </w:r>
      <w:r w:rsidR="007A0708"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40 U/L) or both proteins compared with the upper limit of normal. We classified our cohort into three groups based on serum levels of aminotransferases: </w:t>
      </w:r>
      <w:r w:rsidR="007A0708" w:rsidRPr="005F0812">
        <w:rPr>
          <w:rFonts w:ascii="Book Antiqua" w:hAnsi="Book Antiqua" w:cs="Book Antiqua"/>
          <w:color w:val="000000"/>
          <w:lang w:val="en-GB" w:eastAsia="zh-CN"/>
        </w:rPr>
        <w:t xml:space="preserve">(1) </w:t>
      </w:r>
      <w:r w:rsidR="00F75CD9">
        <w:rPr>
          <w:rFonts w:ascii="Book Antiqua" w:hAnsi="Book Antiqua" w:cs="Book Antiqua"/>
          <w:color w:val="000000"/>
          <w:lang w:val="en-GB" w:eastAsia="zh-CN"/>
        </w:rPr>
        <w:t>P</w:t>
      </w:r>
      <w:r w:rsidRPr="005F0812">
        <w:rPr>
          <w:rFonts w:ascii="Book Antiqua" w:eastAsia="Book Antiqua" w:hAnsi="Book Antiqua" w:cs="Book Antiqua"/>
          <w:color w:val="000000"/>
          <w:lang w:val="en-GB"/>
        </w:rPr>
        <w:t>atients with COVID-19 presenting normal aminotransferase levels</w:t>
      </w:r>
      <w:r w:rsidR="007A0708"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w:t>
      </w:r>
      <w:r w:rsidR="007A0708" w:rsidRPr="005F0812">
        <w:rPr>
          <w:rFonts w:ascii="Book Antiqua" w:hAnsi="Book Antiqua" w:cs="Book Antiqua"/>
          <w:color w:val="000000"/>
          <w:lang w:val="en-GB" w:eastAsia="zh-CN"/>
        </w:rPr>
        <w:t xml:space="preserve">(2) </w:t>
      </w:r>
      <w:r w:rsidR="00F75CD9">
        <w:rPr>
          <w:rFonts w:ascii="Book Antiqua" w:hAnsi="Book Antiqua" w:cs="Book Antiqua"/>
          <w:color w:val="000000"/>
          <w:lang w:val="en-GB" w:eastAsia="zh-CN"/>
        </w:rPr>
        <w:t>P</w:t>
      </w:r>
      <w:r w:rsidRPr="005F0812">
        <w:rPr>
          <w:rFonts w:ascii="Book Antiqua" w:eastAsia="Book Antiqua" w:hAnsi="Book Antiqua" w:cs="Book Antiqua"/>
          <w:color w:val="000000"/>
          <w:lang w:val="en-GB"/>
        </w:rPr>
        <w:t>atients with COVID-19 presenting a one-fold increase in aminotransferase levels</w:t>
      </w:r>
      <w:r w:rsidR="007A0708"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and </w:t>
      </w:r>
      <w:r w:rsidR="007A0708" w:rsidRPr="005F0812">
        <w:rPr>
          <w:rFonts w:ascii="Book Antiqua" w:hAnsi="Book Antiqua" w:cs="Book Antiqua"/>
          <w:color w:val="000000"/>
          <w:lang w:val="en-GB" w:eastAsia="zh-CN"/>
        </w:rPr>
        <w:t xml:space="preserve">(3) </w:t>
      </w:r>
      <w:r w:rsidR="00F75CD9">
        <w:rPr>
          <w:rFonts w:ascii="Book Antiqua" w:hAnsi="Book Antiqua" w:cs="Book Antiqua"/>
          <w:color w:val="000000"/>
          <w:lang w:val="en-GB" w:eastAsia="zh-CN"/>
        </w:rPr>
        <w:t>P</w:t>
      </w:r>
      <w:r w:rsidRPr="005F0812">
        <w:rPr>
          <w:rFonts w:ascii="Book Antiqua" w:eastAsia="Book Antiqua" w:hAnsi="Book Antiqua" w:cs="Book Antiqua"/>
          <w:color w:val="000000"/>
          <w:lang w:val="en-GB"/>
        </w:rPr>
        <w:t>atients with COVID-19 presenting a two-fold increase in aminotransferase levels.</w:t>
      </w:r>
    </w:p>
    <w:p w14:paraId="02F9CF33" w14:textId="77777777" w:rsidR="007A0708" w:rsidRPr="005F0812" w:rsidRDefault="007A0708" w:rsidP="006309ED">
      <w:pPr>
        <w:spacing w:line="360" w:lineRule="auto"/>
        <w:jc w:val="both"/>
        <w:rPr>
          <w:rFonts w:ascii="Book Antiqua" w:hAnsi="Book Antiqua"/>
          <w:lang w:val="en-GB" w:eastAsia="zh-CN"/>
        </w:rPr>
      </w:pPr>
    </w:p>
    <w:p w14:paraId="448E9618"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Covariates</w:t>
      </w:r>
    </w:p>
    <w:p w14:paraId="2D20E3E6" w14:textId="7ED12CAC" w:rsidR="00A77B3E" w:rsidRPr="005F0812" w:rsidRDefault="00136BCD" w:rsidP="006309ED">
      <w:pPr>
        <w:spacing w:line="360" w:lineRule="auto"/>
        <w:jc w:val="both"/>
        <w:rPr>
          <w:rFonts w:ascii="Book Antiqua" w:hAnsi="Book Antiqua" w:cs="Book Antiqua"/>
          <w:color w:val="000000"/>
          <w:lang w:val="en-GB" w:eastAsia="zh-CN"/>
        </w:rPr>
      </w:pPr>
      <w:r w:rsidRPr="005F0812">
        <w:rPr>
          <w:rFonts w:ascii="Book Antiqua" w:eastAsia="Book Antiqua" w:hAnsi="Book Antiqua" w:cs="Book Antiqua"/>
          <w:color w:val="000000"/>
          <w:lang w:val="en-GB"/>
        </w:rPr>
        <w:t>In every enrolled participant, covariates analysed included baseline patient characteristics</w:t>
      </w:r>
      <w:r w:rsidR="008C2AEB">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such as age, sex and smoking status</w:t>
      </w:r>
      <w:r w:rsidR="008C2AEB">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comorbidities</w:t>
      </w:r>
      <w:r w:rsidR="008C2AEB">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such as diabetes mellitus, hypertension, ischaemic heart disease, chronic kidney disease and chronic obstructive pulmonary disease</w:t>
      </w:r>
      <w:r w:rsidR="008C2AEB">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Deyo–Charlson index</w:t>
      </w:r>
      <w:r w:rsidR="008C2AEB">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obesity and initial laboratory investigations and AST/ALT, serum total bilirubin, serum albumin, blood urea, serum creatinine, C-reactive protein (CRP), creatine kinase (CK), serum ferritin and D-dimer levels.</w:t>
      </w:r>
    </w:p>
    <w:p w14:paraId="61D3BC7A" w14:textId="77777777" w:rsidR="00CA3976" w:rsidRPr="005F0812" w:rsidRDefault="00CA3976" w:rsidP="006309ED">
      <w:pPr>
        <w:spacing w:line="360" w:lineRule="auto"/>
        <w:jc w:val="both"/>
        <w:rPr>
          <w:rFonts w:ascii="Book Antiqua" w:hAnsi="Book Antiqua"/>
          <w:lang w:val="en-GB" w:eastAsia="zh-CN"/>
        </w:rPr>
      </w:pPr>
    </w:p>
    <w:p w14:paraId="12F290EE"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Outcome measurement</w:t>
      </w:r>
    </w:p>
    <w:p w14:paraId="7EAEB08E" w14:textId="39ABCCBA" w:rsidR="00A77B3E" w:rsidRPr="005F0812" w:rsidRDefault="00136BCD" w:rsidP="006309ED">
      <w:pPr>
        <w:spacing w:line="360" w:lineRule="auto"/>
        <w:jc w:val="both"/>
        <w:rPr>
          <w:rFonts w:ascii="Book Antiqua" w:hAnsi="Book Antiqua" w:cs="Book Antiqua"/>
          <w:color w:val="000000"/>
          <w:lang w:val="en-GB" w:eastAsia="zh-CN"/>
        </w:rPr>
      </w:pPr>
      <w:r w:rsidRPr="005F0812">
        <w:rPr>
          <w:rFonts w:ascii="Book Antiqua" w:eastAsia="Book Antiqua" w:hAnsi="Book Antiqua" w:cs="Book Antiqua"/>
          <w:color w:val="000000"/>
          <w:lang w:val="en-GB"/>
        </w:rPr>
        <w:t>The predefined primary outcome of the study was all-cause in-hospital mortality. The secondary outcome was the length of the hospital stay. The vital status of the study participants was obtained from hospital records. The censoring date for follow</w:t>
      </w:r>
      <w:r w:rsidR="00555AD1">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up of the outcome was August 15, 2020.</w:t>
      </w:r>
    </w:p>
    <w:p w14:paraId="0EB83D56" w14:textId="77777777" w:rsidR="00CA3976" w:rsidRPr="005F0812" w:rsidRDefault="00CA3976" w:rsidP="006309ED">
      <w:pPr>
        <w:spacing w:line="360" w:lineRule="auto"/>
        <w:jc w:val="both"/>
        <w:rPr>
          <w:rFonts w:ascii="Book Antiqua" w:hAnsi="Book Antiqua"/>
          <w:lang w:val="en-GB" w:eastAsia="zh-CN"/>
        </w:rPr>
      </w:pPr>
    </w:p>
    <w:p w14:paraId="4D15C88F"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Statistical analysis</w:t>
      </w:r>
    </w:p>
    <w:p w14:paraId="57BBF841" w14:textId="7A601C08"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Continuous variables </w:t>
      </w:r>
      <w:r w:rsidR="00555AD1">
        <w:rPr>
          <w:rFonts w:ascii="Book Antiqua" w:eastAsia="Book Antiqua" w:hAnsi="Book Antiqua" w:cs="Book Antiqua"/>
          <w:color w:val="000000"/>
          <w:lang w:val="en-GB"/>
        </w:rPr>
        <w:t>we</w:t>
      </w:r>
      <w:r w:rsidRPr="005F0812">
        <w:rPr>
          <w:rFonts w:ascii="Book Antiqua" w:eastAsia="Book Antiqua" w:hAnsi="Book Antiqua" w:cs="Book Antiqua"/>
          <w:color w:val="000000"/>
          <w:lang w:val="en-GB"/>
        </w:rPr>
        <w:t xml:space="preserve">re presented as medians and interquartile ranges, and categorical variables </w:t>
      </w:r>
      <w:r w:rsidR="00555AD1">
        <w:rPr>
          <w:rFonts w:ascii="Book Antiqua" w:eastAsia="Book Antiqua" w:hAnsi="Book Antiqua" w:cs="Book Antiqua"/>
          <w:color w:val="000000"/>
          <w:lang w:val="en-GB"/>
        </w:rPr>
        <w:t>we</w:t>
      </w:r>
      <w:r w:rsidRPr="005F0812">
        <w:rPr>
          <w:rFonts w:ascii="Book Antiqua" w:eastAsia="Book Antiqua" w:hAnsi="Book Antiqua" w:cs="Book Antiqua"/>
          <w:color w:val="000000"/>
          <w:lang w:val="en-GB"/>
        </w:rPr>
        <w:t xml:space="preserve">re presented as absolute numbers and percentages. For the statistical analysis of group differences, we performed unadjusted binary logistic regression analyses. We utilized a stepwise analysis adjusted for sex and age as well as for clinically relevant confounders listed above to investigate confounding factors. Spearman’s correlation coefficients were calculated to analyse the relationships between variables. All </w:t>
      </w:r>
      <w:r w:rsidR="00CA3976" w:rsidRPr="005F0812">
        <w:rPr>
          <w:rFonts w:ascii="Book Antiqua" w:hAnsi="Book Antiqua" w:cs="Book Antiqua"/>
          <w:i/>
          <w:iCs/>
          <w:color w:val="000000"/>
          <w:lang w:val="en-GB" w:eastAsia="zh-CN"/>
        </w:rPr>
        <w:t>P</w:t>
      </w:r>
      <w:r w:rsidR="00CA3976"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values presented </w:t>
      </w:r>
      <w:r w:rsidR="00555AD1">
        <w:rPr>
          <w:rFonts w:ascii="Book Antiqua" w:eastAsia="Book Antiqua" w:hAnsi="Book Antiqua" w:cs="Book Antiqua"/>
          <w:color w:val="000000"/>
          <w:lang w:val="en-GB"/>
        </w:rPr>
        <w:t>we</w:t>
      </w:r>
      <w:r w:rsidRPr="005F0812">
        <w:rPr>
          <w:rFonts w:ascii="Book Antiqua" w:eastAsia="Book Antiqua" w:hAnsi="Book Antiqua" w:cs="Book Antiqua"/>
          <w:color w:val="000000"/>
          <w:lang w:val="en-GB"/>
        </w:rPr>
        <w:t>re two-tailed; values less than 0.05 were considered statistically significant. We used Stata Software (Stata Statistical Software: Release 16. College Station, TX: Stata Corp LP) for data visualization and analysis.</w:t>
      </w:r>
    </w:p>
    <w:p w14:paraId="612FBB70" w14:textId="77777777" w:rsidR="00A77B3E" w:rsidRPr="005F0812" w:rsidRDefault="00A77B3E" w:rsidP="006309ED">
      <w:pPr>
        <w:spacing w:line="360" w:lineRule="auto"/>
        <w:ind w:firstLine="720"/>
        <w:jc w:val="both"/>
        <w:rPr>
          <w:rFonts w:ascii="Book Antiqua" w:hAnsi="Book Antiqua"/>
          <w:lang w:val="en-GB"/>
        </w:rPr>
      </w:pPr>
    </w:p>
    <w:p w14:paraId="7F36B21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t>RESULTS</w:t>
      </w:r>
    </w:p>
    <w:p w14:paraId="705C2175" w14:textId="54204EC6" w:rsidR="00A77B3E" w:rsidRPr="005F0812" w:rsidRDefault="00721537" w:rsidP="006309ED">
      <w:pPr>
        <w:spacing w:line="360" w:lineRule="auto"/>
        <w:jc w:val="both"/>
        <w:rPr>
          <w:rFonts w:ascii="Book Antiqua" w:hAnsi="Book Antiqua" w:cs="Book Antiqua"/>
          <w:color w:val="000000"/>
          <w:lang w:val="en-GB" w:eastAsia="zh-CN"/>
        </w:rPr>
      </w:pPr>
      <w:r>
        <w:rPr>
          <w:rFonts w:ascii="Book Antiqua" w:eastAsia="Book Antiqua" w:hAnsi="Book Antiqua" w:cs="Book Antiqua"/>
          <w:color w:val="000000"/>
          <w:lang w:val="en-GB"/>
        </w:rPr>
        <w:t>In total, 376</w:t>
      </w:r>
      <w:r w:rsidR="00136BCD" w:rsidRPr="005F0812">
        <w:rPr>
          <w:rFonts w:ascii="Book Antiqua" w:eastAsia="Book Antiqua" w:hAnsi="Book Antiqua" w:cs="Book Antiqua"/>
          <w:color w:val="000000"/>
          <w:lang w:val="en-GB"/>
        </w:rPr>
        <w:t xml:space="preserve"> of 419 patients met the inclusion criteria, and 8% of these patients died during the hospital stay (</w:t>
      </w:r>
      <w:r w:rsidR="00136BCD" w:rsidRPr="005F0812">
        <w:rPr>
          <w:rFonts w:ascii="Book Antiqua" w:eastAsia="Book Antiqua" w:hAnsi="Book Antiqua" w:cs="Book Antiqua"/>
          <w:i/>
          <w:iCs/>
          <w:color w:val="000000"/>
          <w:lang w:val="en-GB"/>
        </w:rPr>
        <w:t>n</w:t>
      </w:r>
      <w:r w:rsidR="00136BCD" w:rsidRPr="005F0812">
        <w:rPr>
          <w:rFonts w:ascii="Book Antiqua" w:eastAsia="Book Antiqua" w:hAnsi="Book Antiqua" w:cs="Book Antiqua"/>
          <w:color w:val="000000"/>
          <w:lang w:val="en-GB"/>
        </w:rPr>
        <w:t xml:space="preserve"> = 29) </w:t>
      </w:r>
      <w:r w:rsidR="00136BCD" w:rsidRPr="005F0812">
        <w:rPr>
          <w:rFonts w:ascii="Book Antiqua" w:eastAsia="Book Antiqua" w:hAnsi="Book Antiqua" w:cs="Book Antiqua"/>
          <w:bCs/>
          <w:color w:val="000000"/>
          <w:lang w:val="en-GB"/>
        </w:rPr>
        <w:t>(Figure 1).</w:t>
      </w:r>
      <w:r w:rsidR="00136BCD" w:rsidRPr="005F0812">
        <w:rPr>
          <w:rFonts w:ascii="Book Antiqua" w:eastAsia="Book Antiqua" w:hAnsi="Book Antiqua" w:cs="Book Antiqua"/>
          <w:color w:val="000000"/>
          <w:lang w:val="en-GB"/>
        </w:rPr>
        <w:t xml:space="preserve"> The median age was 40 years (range: 28-56 years), and 51% were males (</w:t>
      </w:r>
      <w:r w:rsidR="00136BCD" w:rsidRPr="005F0812">
        <w:rPr>
          <w:rFonts w:ascii="Book Antiqua" w:eastAsia="Book Antiqua" w:hAnsi="Book Antiqua" w:cs="Book Antiqua"/>
          <w:i/>
          <w:iCs/>
          <w:color w:val="000000"/>
          <w:lang w:val="en-GB"/>
        </w:rPr>
        <w:t>n</w:t>
      </w:r>
      <w:r w:rsidR="00136BCD" w:rsidRPr="005F0812">
        <w:rPr>
          <w:rFonts w:ascii="Book Antiqua" w:eastAsia="Book Antiqua" w:hAnsi="Book Antiqua" w:cs="Book Antiqua"/>
          <w:color w:val="000000"/>
          <w:lang w:val="en-GB"/>
        </w:rPr>
        <w:t xml:space="preserve"> = 194) </w:t>
      </w:r>
      <w:r w:rsidR="00136BCD" w:rsidRPr="005F0812">
        <w:rPr>
          <w:rFonts w:ascii="Book Antiqua" w:eastAsia="Book Antiqua" w:hAnsi="Book Antiqua" w:cs="Book Antiqua"/>
          <w:bCs/>
          <w:color w:val="000000"/>
          <w:lang w:val="en-GB"/>
        </w:rPr>
        <w:t xml:space="preserve">(Table 1). </w:t>
      </w:r>
      <w:r w:rsidR="00136BCD" w:rsidRPr="005F0812">
        <w:rPr>
          <w:rFonts w:ascii="Book Antiqua" w:eastAsia="Book Antiqua" w:hAnsi="Book Antiqua" w:cs="Book Antiqua"/>
          <w:color w:val="000000"/>
          <w:lang w:val="en-GB"/>
        </w:rPr>
        <w:t xml:space="preserve">Patients in our study cohort were stratified according to all-cause in-hospital mortality into alive and dead groups, and their characteristics are presented in </w:t>
      </w:r>
      <w:r w:rsidR="00136BCD" w:rsidRPr="005F0812">
        <w:rPr>
          <w:rFonts w:ascii="Book Antiqua" w:eastAsia="Book Antiqua" w:hAnsi="Book Antiqua" w:cs="Book Antiqua"/>
          <w:bCs/>
          <w:color w:val="000000"/>
          <w:lang w:val="en-GB"/>
        </w:rPr>
        <w:t>Table 1</w:t>
      </w:r>
      <w:r w:rsidR="00136BCD" w:rsidRPr="005F0812">
        <w:rPr>
          <w:rFonts w:ascii="Book Antiqua" w:eastAsia="Book Antiqua" w:hAnsi="Book Antiqua" w:cs="Book Antiqua"/>
          <w:color w:val="000000"/>
          <w:lang w:val="en-GB"/>
        </w:rPr>
        <w:t>.</w:t>
      </w:r>
    </w:p>
    <w:p w14:paraId="197C6963" w14:textId="77777777" w:rsidR="00CA3976" w:rsidRPr="005F0812" w:rsidRDefault="00CA3976" w:rsidP="006309ED">
      <w:pPr>
        <w:spacing w:line="360" w:lineRule="auto"/>
        <w:jc w:val="both"/>
        <w:rPr>
          <w:rFonts w:ascii="Book Antiqua" w:hAnsi="Book Antiqua"/>
          <w:lang w:val="en-GB" w:eastAsia="zh-CN"/>
        </w:rPr>
      </w:pPr>
    </w:p>
    <w:p w14:paraId="54E3B363"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Predictors of the outcome</w:t>
      </w:r>
    </w:p>
    <w:p w14:paraId="3E65AE30" w14:textId="7BD04EDB" w:rsidR="00A77B3E" w:rsidRPr="005F0812" w:rsidRDefault="00136BCD" w:rsidP="006309ED">
      <w:pPr>
        <w:spacing w:line="360" w:lineRule="auto"/>
        <w:jc w:val="both"/>
        <w:rPr>
          <w:rFonts w:ascii="Book Antiqua" w:hAnsi="Book Antiqua" w:cs="Book Antiqua"/>
          <w:color w:val="000000"/>
          <w:lang w:val="en-GB" w:eastAsia="zh-CN"/>
        </w:rPr>
      </w:pPr>
      <w:r w:rsidRPr="005F0812">
        <w:rPr>
          <w:rFonts w:ascii="Book Antiqua" w:eastAsia="Book Antiqua" w:hAnsi="Book Antiqua" w:cs="Book Antiqua"/>
          <w:b/>
          <w:bCs/>
          <w:iCs/>
          <w:color w:val="000000"/>
          <w:lang w:val="en-GB"/>
        </w:rPr>
        <w:t>Regression analysis</w:t>
      </w:r>
      <w:r w:rsidR="00F27775" w:rsidRPr="005F0812">
        <w:rPr>
          <w:rFonts w:ascii="Book Antiqua" w:hAnsi="Book Antiqua" w:cs="Book Antiqua"/>
          <w:b/>
          <w:bCs/>
          <w:iCs/>
          <w:color w:val="000000"/>
          <w:lang w:val="en-GB" w:eastAsia="zh-CN"/>
        </w:rPr>
        <w:t>:</w:t>
      </w:r>
      <w:r w:rsidR="00F27775" w:rsidRPr="005F0812">
        <w:rPr>
          <w:rFonts w:ascii="Book Antiqua" w:hAnsi="Book Antiqua"/>
          <w:lang w:val="en-GB" w:eastAsia="zh-CN"/>
        </w:rPr>
        <w:t xml:space="preserve"> (1) </w:t>
      </w:r>
      <w:r w:rsidR="00F75CD9">
        <w:rPr>
          <w:rFonts w:ascii="Book Antiqua" w:hAnsi="Book Antiqua"/>
          <w:lang w:val="en-GB" w:eastAsia="zh-CN"/>
        </w:rPr>
        <w:t>U</w:t>
      </w:r>
      <w:r w:rsidRPr="005F0812">
        <w:rPr>
          <w:rFonts w:ascii="Book Antiqua" w:eastAsia="Book Antiqua" w:hAnsi="Book Antiqua" w:cs="Book Antiqua"/>
          <w:bCs/>
          <w:iCs/>
          <w:color w:val="000000"/>
          <w:lang w:val="en-GB"/>
        </w:rPr>
        <w:t>nadjusted analysis</w:t>
      </w:r>
      <w:r w:rsidR="000B4258">
        <w:rPr>
          <w:rFonts w:ascii="Book Antiqua" w:hAnsi="Book Antiqua" w:cs="Book Antiqua"/>
          <w:bCs/>
          <w:iCs/>
          <w:color w:val="000000"/>
          <w:lang w:val="en-GB" w:eastAsia="zh-CN"/>
        </w:rPr>
        <w:t>.</w:t>
      </w:r>
      <w:r w:rsidR="00F27775" w:rsidRPr="005F0812">
        <w:rPr>
          <w:rFonts w:ascii="Book Antiqua" w:hAnsi="Book Antiqua"/>
          <w:lang w:val="en-GB" w:eastAsia="zh-CN"/>
        </w:rPr>
        <w:t xml:space="preserve"> </w:t>
      </w:r>
      <w:r w:rsidRPr="005F0812">
        <w:rPr>
          <w:rFonts w:ascii="Book Antiqua" w:eastAsia="Book Antiqua" w:hAnsi="Book Antiqua" w:cs="Book Antiqua"/>
          <w:color w:val="000000"/>
          <w:lang w:val="en-GB"/>
        </w:rPr>
        <w:t>The unadjusted binary logistic regression analysis revealed that age, diabetes, hypertension, ischaemic heart disease, chronic kidney disease, obesity and Deyo-Charlson index were significant clinical factors associated with all-cause in-hospital mortality. In addition, AST, serum total bilirubin, serum albumin, serum creatinine and serum ferritin levels were the laboratory biomarkers significantly associated with all-cause in-hospital mortality. However, sex, chronic obstructive pulmonary disease and ALT, CRP, CK and D-dimer levels were not associated with all-cause in-hospital mortality</w:t>
      </w:r>
      <w:r w:rsidR="00F27775" w:rsidRPr="005F0812">
        <w:rPr>
          <w:rFonts w:ascii="Book Antiqua" w:hAnsi="Book Antiqua" w:cs="Book Antiqua"/>
          <w:color w:val="000000"/>
          <w:lang w:val="en-GB" w:eastAsia="zh-CN"/>
        </w:rPr>
        <w:t>;</w:t>
      </w:r>
      <w:r w:rsidR="00F27775" w:rsidRPr="005F0812">
        <w:rPr>
          <w:rFonts w:ascii="Book Antiqua" w:hAnsi="Book Antiqua"/>
          <w:lang w:val="en-GB" w:eastAsia="zh-CN"/>
        </w:rPr>
        <w:t xml:space="preserve"> and (2) </w:t>
      </w:r>
      <w:r w:rsidR="00F75CD9">
        <w:rPr>
          <w:rFonts w:ascii="Book Antiqua" w:eastAsia="Book Antiqua" w:hAnsi="Book Antiqua" w:cs="Book Antiqua"/>
          <w:bCs/>
          <w:iCs/>
          <w:color w:val="000000"/>
          <w:lang w:val="en-GB"/>
        </w:rPr>
        <w:t>A</w:t>
      </w:r>
      <w:r w:rsidRPr="005F0812">
        <w:rPr>
          <w:rFonts w:ascii="Book Antiqua" w:eastAsia="Book Antiqua" w:hAnsi="Book Antiqua" w:cs="Book Antiqua"/>
          <w:bCs/>
          <w:iCs/>
          <w:color w:val="000000"/>
          <w:lang w:val="en-GB"/>
        </w:rPr>
        <w:t>djusted analysis</w:t>
      </w:r>
      <w:r w:rsidR="00A2248D">
        <w:rPr>
          <w:rFonts w:ascii="Book Antiqua" w:hAnsi="Book Antiqua"/>
          <w:lang w:val="en-GB" w:eastAsia="zh-CN"/>
        </w:rPr>
        <w:t>.</w:t>
      </w:r>
      <w:r w:rsidR="00F27775" w:rsidRPr="005F0812">
        <w:rPr>
          <w:rFonts w:ascii="Book Antiqua" w:hAnsi="Book Antiqua"/>
          <w:lang w:val="en-GB" w:eastAsia="zh-CN"/>
        </w:rPr>
        <w:t xml:space="preserve"> </w:t>
      </w:r>
      <w:r w:rsidRPr="005F0812">
        <w:rPr>
          <w:rFonts w:ascii="Book Antiqua" w:eastAsia="Book Antiqua" w:hAnsi="Book Antiqua" w:cs="Book Antiqua"/>
          <w:color w:val="000000"/>
          <w:lang w:val="en-GB"/>
        </w:rPr>
        <w:t xml:space="preserve">The AST level at admission was the only biomarker of liver injury that was independently associated with all-cause in-hospital mortality in the unadjusted binary logistic regression analysis and model 1 adjusted for age and sex </w:t>
      </w:r>
      <w:r w:rsidRPr="005F0812">
        <w:rPr>
          <w:rFonts w:ascii="Book Antiqua" w:eastAsia="Book Antiqua" w:hAnsi="Book Antiqua" w:cs="Book Antiqua"/>
          <w:bCs/>
          <w:color w:val="000000"/>
          <w:lang w:val="en-GB"/>
        </w:rPr>
        <w:t>(Table 2</w:t>
      </w:r>
      <w:r w:rsidRPr="005F0812">
        <w:rPr>
          <w:rFonts w:ascii="Book Antiqua" w:eastAsia="Book Antiqua" w:hAnsi="Book Antiqua" w:cs="Book Antiqua"/>
          <w:color w:val="000000"/>
          <w:lang w:val="en-GB"/>
        </w:rPr>
        <w:t>). In addition, in model 2, after stepwise adjustment for several clinically relevant confounders, AST levels were still significantly associated with all-cause in-hospital mortality. Serum total bilirubin levels were independently associated with in-hospital mortality in the binary logistic regression after adjusting for age and sex but lost its statistical significance in the fully adjusted model.</w:t>
      </w:r>
    </w:p>
    <w:p w14:paraId="5DD83D61" w14:textId="77777777" w:rsidR="00F27775" w:rsidRPr="005F0812" w:rsidRDefault="00F27775" w:rsidP="006309ED">
      <w:pPr>
        <w:spacing w:line="360" w:lineRule="auto"/>
        <w:jc w:val="both"/>
        <w:rPr>
          <w:rFonts w:ascii="Book Antiqua" w:hAnsi="Book Antiqua"/>
          <w:lang w:val="en-GB" w:eastAsia="zh-CN"/>
        </w:rPr>
      </w:pPr>
    </w:p>
    <w:p w14:paraId="4BB79930"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 xml:space="preserve">Association of aminotransferase levels with </w:t>
      </w:r>
      <w:r w:rsidR="00CA3976" w:rsidRPr="005F0812">
        <w:rPr>
          <w:rFonts w:ascii="Book Antiqua" w:hAnsi="Book Antiqua" w:cs="Book Antiqua"/>
          <w:b/>
          <w:bCs/>
          <w:i/>
          <w:color w:val="000000"/>
          <w:lang w:val="en-GB" w:eastAsia="zh-CN"/>
        </w:rPr>
        <w:t>CK</w:t>
      </w:r>
      <w:r w:rsidRPr="005F0812">
        <w:rPr>
          <w:rFonts w:ascii="Book Antiqua" w:eastAsia="Book Antiqua" w:hAnsi="Book Antiqua" w:cs="Book Antiqua"/>
          <w:b/>
          <w:bCs/>
          <w:i/>
          <w:color w:val="000000"/>
          <w:lang w:val="en-GB"/>
        </w:rPr>
        <w:t xml:space="preserve"> levels</w:t>
      </w:r>
    </w:p>
    <w:p w14:paraId="5D7CB64E" w14:textId="77777777" w:rsidR="00A77B3E" w:rsidRPr="005F0812" w:rsidRDefault="00CA3976" w:rsidP="006309ED">
      <w:pPr>
        <w:spacing w:line="360" w:lineRule="auto"/>
        <w:jc w:val="both"/>
        <w:rPr>
          <w:rFonts w:ascii="Book Antiqua" w:hAnsi="Book Antiqua" w:cs="Book Antiqua"/>
          <w:color w:val="000000"/>
          <w:lang w:val="en-GB" w:eastAsia="zh-CN"/>
        </w:rPr>
      </w:pPr>
      <w:r w:rsidRPr="005F0812">
        <w:rPr>
          <w:rFonts w:ascii="Book Antiqua" w:hAnsi="Book Antiqua" w:cs="Book Antiqua"/>
          <w:color w:val="000000"/>
          <w:lang w:val="en-GB" w:eastAsia="zh-CN"/>
        </w:rPr>
        <w:t>CK</w:t>
      </w:r>
      <w:r w:rsidR="00136BCD" w:rsidRPr="005F0812">
        <w:rPr>
          <w:rFonts w:ascii="Book Antiqua" w:eastAsia="Book Antiqua" w:hAnsi="Book Antiqua" w:cs="Book Antiqua"/>
          <w:color w:val="000000"/>
          <w:lang w:val="en-GB"/>
        </w:rPr>
        <w:t xml:space="preserve"> was studied as a marker of muscle injury. At admission, AST levels did not correlate with CK levels (</w:t>
      </w:r>
      <w:r w:rsidR="00136BCD" w:rsidRPr="005F0812">
        <w:rPr>
          <w:rFonts w:ascii="Book Antiqua" w:eastAsia="Book Antiqua" w:hAnsi="Book Antiqua" w:cs="Book Antiqua"/>
          <w:i/>
          <w:iCs/>
          <w:color w:val="000000"/>
          <w:lang w:val="en-GB"/>
        </w:rPr>
        <w:t>r</w:t>
      </w:r>
      <w:r w:rsidR="00F27775" w:rsidRPr="005F0812">
        <w:rPr>
          <w:rFonts w:ascii="Book Antiqua" w:hAnsi="Book Antiqua" w:cs="Book Antiqua"/>
          <w:i/>
          <w:iCs/>
          <w:color w:val="000000"/>
          <w:lang w:val="en-GB" w:eastAsia="zh-CN"/>
        </w:rPr>
        <w:t xml:space="preserve"> </w:t>
      </w:r>
      <w:r w:rsidR="00136BCD"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 xml:space="preserve">-0.006; </w:t>
      </w:r>
      <w:r w:rsidR="00F27775" w:rsidRPr="005F0812">
        <w:rPr>
          <w:rFonts w:ascii="Book Antiqua" w:hAnsi="Book Antiqua" w:cs="Book Antiqua"/>
          <w:i/>
          <w:iCs/>
          <w:color w:val="000000"/>
          <w:lang w:val="en-GB" w:eastAsia="zh-CN"/>
        </w:rPr>
        <w:t xml:space="preserve">P </w:t>
      </w:r>
      <w:r w:rsidR="00136BCD"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0.9). In addition, admission ALT levels did not correlate with CK levels (</w:t>
      </w:r>
      <w:r w:rsidR="00136BCD" w:rsidRPr="005F0812">
        <w:rPr>
          <w:rFonts w:ascii="Book Antiqua" w:eastAsia="Book Antiqua" w:hAnsi="Book Antiqua" w:cs="Book Antiqua"/>
          <w:i/>
          <w:iCs/>
          <w:color w:val="000000"/>
          <w:lang w:val="en-GB"/>
        </w:rPr>
        <w:t>r</w:t>
      </w:r>
      <w:r w:rsidR="00F27775" w:rsidRPr="005F0812">
        <w:rPr>
          <w:rFonts w:ascii="Book Antiqua" w:hAnsi="Book Antiqua" w:cs="Book Antiqua"/>
          <w:i/>
          <w:iCs/>
          <w:color w:val="000000"/>
          <w:lang w:val="en-GB" w:eastAsia="zh-CN"/>
        </w:rPr>
        <w:t xml:space="preserve"> </w:t>
      </w:r>
      <w:r w:rsidR="00136BCD"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 xml:space="preserve">-0.02; </w:t>
      </w:r>
      <w:r w:rsidR="00F27775" w:rsidRPr="005F0812">
        <w:rPr>
          <w:rFonts w:ascii="Book Antiqua" w:hAnsi="Book Antiqua" w:cs="Book Antiqua"/>
          <w:i/>
          <w:iCs/>
          <w:color w:val="000000"/>
          <w:lang w:val="en-GB" w:eastAsia="zh-CN"/>
        </w:rPr>
        <w:t xml:space="preserve">P </w:t>
      </w:r>
      <w:r w:rsidR="00136BCD"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0.6).</w:t>
      </w:r>
    </w:p>
    <w:p w14:paraId="146AAF72" w14:textId="77777777" w:rsidR="00F27775" w:rsidRPr="005F0812" w:rsidRDefault="00F27775" w:rsidP="006309ED">
      <w:pPr>
        <w:spacing w:line="360" w:lineRule="auto"/>
        <w:jc w:val="both"/>
        <w:rPr>
          <w:rFonts w:ascii="Book Antiqua" w:hAnsi="Book Antiqua"/>
          <w:lang w:val="en-GB" w:eastAsia="zh-CN"/>
        </w:rPr>
      </w:pPr>
    </w:p>
    <w:p w14:paraId="5BD96B79"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Association of aminotransferase levels with inflammatory markers</w:t>
      </w:r>
    </w:p>
    <w:p w14:paraId="3EFCF09A" w14:textId="77777777" w:rsidR="00A77B3E" w:rsidRPr="005F0812" w:rsidRDefault="00136BCD" w:rsidP="006309ED">
      <w:pPr>
        <w:spacing w:line="360" w:lineRule="auto"/>
        <w:jc w:val="both"/>
        <w:rPr>
          <w:rFonts w:ascii="Book Antiqua" w:hAnsi="Book Antiqua" w:cs="Book Antiqua"/>
          <w:color w:val="000000"/>
          <w:lang w:val="en-GB" w:eastAsia="zh-CN"/>
        </w:rPr>
      </w:pPr>
      <w:r w:rsidRPr="005F0812">
        <w:rPr>
          <w:rFonts w:ascii="Book Antiqua" w:eastAsia="Book Antiqua" w:hAnsi="Book Antiqua" w:cs="Book Antiqua"/>
          <w:color w:val="000000"/>
          <w:lang w:val="en-GB"/>
        </w:rPr>
        <w:t>Serum ferritin and CRP levels were examined as markers of inflammation. At admission, AST levels correlated with CRP (</w:t>
      </w:r>
      <w:r w:rsidRPr="005F0812">
        <w:rPr>
          <w:rFonts w:ascii="Book Antiqua" w:eastAsia="Book Antiqua" w:hAnsi="Book Antiqua" w:cs="Book Antiqua"/>
          <w:i/>
          <w:iCs/>
          <w:color w:val="000000"/>
          <w:lang w:val="en-GB"/>
        </w:rPr>
        <w:t>r</w:t>
      </w:r>
      <w:r w:rsidR="00F27775" w:rsidRPr="005F0812">
        <w:rPr>
          <w:rFonts w:ascii="Book Antiqua" w:hAnsi="Book Antiqua" w:cs="Book Antiqua"/>
          <w:i/>
          <w:iCs/>
          <w:color w:val="000000"/>
          <w:lang w:val="en-GB" w:eastAsia="zh-CN"/>
        </w:rPr>
        <w:t xml:space="preserve"> </w:t>
      </w:r>
      <w:r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0.2; </w:t>
      </w:r>
      <w:r w:rsidR="00F27775" w:rsidRPr="005F0812">
        <w:rPr>
          <w:rFonts w:ascii="Book Antiqua" w:hAnsi="Book Antiqua" w:cs="Book Antiqua"/>
          <w:i/>
          <w:iCs/>
          <w:color w:val="000000"/>
          <w:lang w:val="en-GB" w:eastAsia="zh-CN"/>
        </w:rPr>
        <w:t xml:space="preserve">P </w:t>
      </w:r>
      <w:r w:rsidRPr="005F0812">
        <w:rPr>
          <w:rFonts w:ascii="Book Antiqua" w:eastAsia="Book Antiqua" w:hAnsi="Book Antiqua" w:cs="Book Antiqua"/>
          <w:color w:val="000000"/>
          <w:lang w:val="en-GB"/>
        </w:rPr>
        <w:t>&lt;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0.003) and serum ferritin (</w:t>
      </w:r>
      <w:r w:rsidRPr="005F0812">
        <w:rPr>
          <w:rFonts w:ascii="Book Antiqua" w:eastAsia="Book Antiqua" w:hAnsi="Book Antiqua" w:cs="Book Antiqua"/>
          <w:i/>
          <w:iCs/>
          <w:color w:val="000000"/>
          <w:lang w:val="en-GB"/>
        </w:rPr>
        <w:t>r</w:t>
      </w:r>
      <w:r w:rsidR="00F27775" w:rsidRPr="005F0812">
        <w:rPr>
          <w:rFonts w:ascii="Book Antiqua" w:hAnsi="Book Antiqua" w:cs="Book Antiqua"/>
          <w:i/>
          <w:iCs/>
          <w:color w:val="000000"/>
          <w:lang w:val="en-GB" w:eastAsia="zh-CN"/>
        </w:rPr>
        <w:t xml:space="preserve"> </w:t>
      </w:r>
      <w:r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0.2; </w:t>
      </w:r>
      <w:r w:rsidR="00F27775" w:rsidRPr="005F0812">
        <w:rPr>
          <w:rFonts w:ascii="Book Antiqua" w:hAnsi="Book Antiqua" w:cs="Book Antiqua"/>
          <w:i/>
          <w:iCs/>
          <w:color w:val="000000"/>
          <w:lang w:val="en-GB" w:eastAsia="zh-CN"/>
        </w:rPr>
        <w:t xml:space="preserve">P </w:t>
      </w:r>
      <w:r w:rsidRPr="005F0812">
        <w:rPr>
          <w:rFonts w:ascii="Book Antiqua" w:eastAsia="Book Antiqua" w:hAnsi="Book Antiqua" w:cs="Book Antiqua"/>
          <w:color w:val="000000"/>
          <w:lang w:val="en-GB"/>
        </w:rPr>
        <w:t>&lt;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0.0002) levels. Admission ALT levels correlated with serum ferritin levels (</w:t>
      </w:r>
      <w:r w:rsidRPr="005F0812">
        <w:rPr>
          <w:rFonts w:ascii="Book Antiqua" w:eastAsia="Book Antiqua" w:hAnsi="Book Antiqua" w:cs="Book Antiqua"/>
          <w:i/>
          <w:iCs/>
          <w:color w:val="000000"/>
          <w:lang w:val="en-GB"/>
        </w:rPr>
        <w:t>r</w:t>
      </w:r>
      <w:r w:rsidR="00F27775" w:rsidRPr="005F0812">
        <w:rPr>
          <w:rFonts w:ascii="Book Antiqua" w:hAnsi="Book Antiqua" w:cs="Book Antiqua"/>
          <w:i/>
          <w:iCs/>
          <w:color w:val="000000"/>
          <w:lang w:val="en-GB" w:eastAsia="zh-CN"/>
        </w:rPr>
        <w:t xml:space="preserve"> </w:t>
      </w:r>
      <w:r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0.1; </w:t>
      </w:r>
      <w:r w:rsidR="00F27775" w:rsidRPr="005F0812">
        <w:rPr>
          <w:rFonts w:ascii="Book Antiqua" w:hAnsi="Book Antiqua" w:cs="Book Antiqua"/>
          <w:i/>
          <w:iCs/>
          <w:color w:val="000000"/>
          <w:lang w:val="en-GB" w:eastAsia="zh-CN"/>
        </w:rPr>
        <w:t xml:space="preserve">P </w:t>
      </w:r>
      <w:r w:rsidRPr="005F0812">
        <w:rPr>
          <w:rFonts w:ascii="Book Antiqua" w:eastAsia="Book Antiqua" w:hAnsi="Book Antiqua" w:cs="Book Antiqua"/>
          <w:color w:val="000000"/>
          <w:lang w:val="en-GB"/>
        </w:rPr>
        <w:t>&lt;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0.04) but not with CRP (</w:t>
      </w:r>
      <w:r w:rsidRPr="005F0812">
        <w:rPr>
          <w:rFonts w:ascii="Book Antiqua" w:eastAsia="Book Antiqua" w:hAnsi="Book Antiqua" w:cs="Book Antiqua"/>
          <w:i/>
          <w:iCs/>
          <w:color w:val="000000"/>
          <w:lang w:val="en-GB"/>
        </w:rPr>
        <w:t>r</w:t>
      </w:r>
      <w:r w:rsidR="00F27775" w:rsidRPr="005F0812">
        <w:rPr>
          <w:rFonts w:ascii="Book Antiqua" w:hAnsi="Book Antiqua" w:cs="Book Antiqua"/>
          <w:i/>
          <w:iCs/>
          <w:color w:val="000000"/>
          <w:lang w:val="en-GB" w:eastAsia="zh-CN"/>
        </w:rPr>
        <w:t xml:space="preserve"> </w:t>
      </w:r>
      <w:r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0.09; </w:t>
      </w:r>
      <w:r w:rsidR="00F27775" w:rsidRPr="005F0812">
        <w:rPr>
          <w:rFonts w:ascii="Book Antiqua" w:hAnsi="Book Antiqua" w:cs="Book Antiqua"/>
          <w:i/>
          <w:iCs/>
          <w:color w:val="000000"/>
          <w:lang w:val="en-GB" w:eastAsia="zh-CN"/>
        </w:rPr>
        <w:t xml:space="preserve">P </w:t>
      </w:r>
      <w:r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0.08).</w:t>
      </w:r>
    </w:p>
    <w:p w14:paraId="08A71027" w14:textId="77777777" w:rsidR="00F27775" w:rsidRPr="005F0812" w:rsidRDefault="00F27775" w:rsidP="006309ED">
      <w:pPr>
        <w:spacing w:line="360" w:lineRule="auto"/>
        <w:jc w:val="both"/>
        <w:rPr>
          <w:rFonts w:ascii="Book Antiqua" w:hAnsi="Book Antiqua"/>
          <w:lang w:val="en-GB" w:eastAsia="zh-CN"/>
        </w:rPr>
      </w:pPr>
    </w:p>
    <w:p w14:paraId="0C23513B"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Association of serum ferritin levels with inflammatory markers</w:t>
      </w:r>
    </w:p>
    <w:p w14:paraId="41F00C97"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Admission serum ferritin levels correlated with CRP levels (</w:t>
      </w:r>
      <w:r w:rsidRPr="005F0812">
        <w:rPr>
          <w:rFonts w:ascii="Book Antiqua" w:eastAsia="Book Antiqua" w:hAnsi="Book Antiqua" w:cs="Book Antiqua"/>
          <w:i/>
          <w:iCs/>
          <w:color w:val="000000"/>
          <w:lang w:val="en-GB"/>
        </w:rPr>
        <w:t>r</w:t>
      </w:r>
      <w:r w:rsidR="00B6438F" w:rsidRPr="005F0812">
        <w:rPr>
          <w:rFonts w:ascii="Book Antiqua" w:hAnsi="Book Antiqua" w:cs="Book Antiqua"/>
          <w:i/>
          <w:iCs/>
          <w:color w:val="000000"/>
          <w:lang w:val="en-GB" w:eastAsia="zh-CN"/>
        </w:rPr>
        <w:t xml:space="preserve"> </w:t>
      </w:r>
      <w:r w:rsidRPr="005F0812">
        <w:rPr>
          <w:rFonts w:ascii="Book Antiqua" w:eastAsia="Book Antiqua" w:hAnsi="Book Antiqua" w:cs="Book Antiqua"/>
          <w:color w:val="000000"/>
          <w:lang w:val="en-GB"/>
        </w:rPr>
        <w:t>=</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0.4; </w:t>
      </w:r>
      <w:r w:rsidR="00B6438F" w:rsidRPr="005F0812">
        <w:rPr>
          <w:rFonts w:ascii="Book Antiqua" w:hAnsi="Book Antiqua" w:cs="Book Antiqua"/>
          <w:i/>
          <w:iCs/>
          <w:color w:val="000000"/>
          <w:lang w:val="en-GB" w:eastAsia="zh-CN"/>
        </w:rPr>
        <w:t xml:space="preserve">P </w:t>
      </w:r>
      <w:r w:rsidRPr="005F0812">
        <w:rPr>
          <w:rFonts w:ascii="Book Antiqua" w:eastAsia="Book Antiqua" w:hAnsi="Book Antiqua" w:cs="Book Antiqua"/>
          <w:color w:val="000000"/>
          <w:lang w:val="en-GB"/>
        </w:rPr>
        <w:t>&lt;</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0.0001).</w:t>
      </w:r>
    </w:p>
    <w:p w14:paraId="311FD3A0" w14:textId="77777777" w:rsidR="00A77B3E" w:rsidRPr="005F0812" w:rsidRDefault="00136BCD" w:rsidP="006309ED">
      <w:pPr>
        <w:spacing w:line="360" w:lineRule="auto"/>
        <w:ind w:firstLineChars="200" w:firstLine="480"/>
        <w:jc w:val="both"/>
        <w:rPr>
          <w:rFonts w:ascii="Book Antiqua" w:hAnsi="Book Antiqua" w:cs="Book Antiqua"/>
          <w:color w:val="000000"/>
          <w:lang w:val="en-GB" w:eastAsia="zh-CN"/>
        </w:rPr>
      </w:pPr>
      <w:r w:rsidRPr="005F0812">
        <w:rPr>
          <w:rFonts w:ascii="Book Antiqua" w:eastAsia="Book Antiqua" w:hAnsi="Book Antiqua" w:cs="Book Antiqua"/>
          <w:color w:val="000000"/>
          <w:lang w:val="en-GB"/>
        </w:rPr>
        <w:t xml:space="preserve">Among our cohort, we identified 6 patients with </w:t>
      </w:r>
      <w:r w:rsidRPr="005F0812">
        <w:rPr>
          <w:rFonts w:ascii="Book Antiqua" w:eastAsia="Book Antiqua" w:hAnsi="Book Antiqua" w:cs="Book Antiqua"/>
          <w:iCs/>
          <w:color w:val="000000"/>
          <w:lang w:val="en-GB"/>
        </w:rPr>
        <w:t>biphasic</w:t>
      </w:r>
      <w:r w:rsidRPr="005F0812">
        <w:rPr>
          <w:rFonts w:ascii="Book Antiqua" w:eastAsia="Book Antiqua" w:hAnsi="Book Antiqua" w:cs="Book Antiqua"/>
          <w:color w:val="000000"/>
          <w:lang w:val="en-GB"/>
        </w:rPr>
        <w:t xml:space="preserve"> </w:t>
      </w:r>
      <w:r w:rsidRPr="005F0812">
        <w:rPr>
          <w:rFonts w:ascii="Book Antiqua" w:eastAsia="Book Antiqua" w:hAnsi="Book Antiqua" w:cs="Book Antiqua"/>
          <w:iCs/>
          <w:color w:val="000000"/>
          <w:lang w:val="en-GB"/>
        </w:rPr>
        <w:t>hyperbilirubinemia</w:t>
      </w:r>
      <w:r w:rsidRPr="005F0812">
        <w:rPr>
          <w:rFonts w:ascii="Book Antiqua" w:eastAsia="Book Antiqua" w:hAnsi="Book Antiqua" w:cs="Book Antiqua"/>
          <w:color w:val="000000"/>
          <w:lang w:val="en-GB"/>
        </w:rPr>
        <w:t>. ALT levels correlated with serum total bilirubin levels (</w:t>
      </w:r>
      <w:r w:rsidRPr="005F0812">
        <w:rPr>
          <w:rFonts w:ascii="Book Antiqua" w:eastAsia="Book Antiqua" w:hAnsi="Book Antiqua" w:cs="Book Antiqua"/>
          <w:i/>
          <w:iCs/>
          <w:color w:val="000000"/>
          <w:lang w:val="en-GB"/>
        </w:rPr>
        <w:t>r</w:t>
      </w:r>
      <w:r w:rsidR="00B6438F" w:rsidRPr="005F0812">
        <w:rPr>
          <w:rFonts w:ascii="Book Antiqua" w:hAnsi="Book Antiqua" w:cs="Book Antiqua"/>
          <w:i/>
          <w:iCs/>
          <w:color w:val="000000"/>
          <w:lang w:val="en-GB" w:eastAsia="zh-CN"/>
        </w:rPr>
        <w:t xml:space="preserve"> </w:t>
      </w:r>
      <w:r w:rsidRPr="005F0812">
        <w:rPr>
          <w:rFonts w:ascii="Book Antiqua" w:eastAsia="Book Antiqua" w:hAnsi="Book Antiqua" w:cs="Book Antiqua"/>
          <w:color w:val="000000"/>
          <w:lang w:val="en-GB"/>
        </w:rPr>
        <w:t>=</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0.2; </w:t>
      </w:r>
      <w:r w:rsidR="00B6438F" w:rsidRPr="005F0812">
        <w:rPr>
          <w:rFonts w:ascii="Book Antiqua" w:hAnsi="Book Antiqua" w:cs="Book Antiqua"/>
          <w:i/>
          <w:iCs/>
          <w:color w:val="000000"/>
          <w:lang w:val="en-GB" w:eastAsia="zh-CN"/>
        </w:rPr>
        <w:t xml:space="preserve">P </w:t>
      </w:r>
      <w:r w:rsidRPr="005F0812">
        <w:rPr>
          <w:rFonts w:ascii="Book Antiqua" w:eastAsia="Book Antiqua" w:hAnsi="Book Antiqua" w:cs="Book Antiqua"/>
          <w:color w:val="000000"/>
          <w:lang w:val="en-GB"/>
        </w:rPr>
        <w:t>&lt;</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0.003). Therefore, hyperbilirubinemia was due to liver injury and not haemolysis.</w:t>
      </w:r>
    </w:p>
    <w:p w14:paraId="2D0661A4" w14:textId="77777777" w:rsidR="00B6438F" w:rsidRPr="005F0812" w:rsidRDefault="00B6438F" w:rsidP="006309ED">
      <w:pPr>
        <w:spacing w:line="360" w:lineRule="auto"/>
        <w:ind w:firstLineChars="200" w:firstLine="480"/>
        <w:jc w:val="both"/>
        <w:rPr>
          <w:rFonts w:ascii="Book Antiqua" w:hAnsi="Book Antiqua"/>
          <w:lang w:val="en-GB" w:eastAsia="zh-CN"/>
        </w:rPr>
      </w:pPr>
    </w:p>
    <w:p w14:paraId="68DC931D"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Probability of survival</w:t>
      </w:r>
    </w:p>
    <w:p w14:paraId="7104A4C3" w14:textId="56F3E275"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The probability of survival was significantly different between AST groups. As shown in the Kaplan-Meier curves (</w:t>
      </w:r>
      <w:r w:rsidRPr="005F0812">
        <w:rPr>
          <w:rFonts w:ascii="Book Antiqua" w:eastAsia="Book Antiqua" w:hAnsi="Book Antiqua" w:cs="Book Antiqua"/>
          <w:bCs/>
          <w:color w:val="000000"/>
          <w:lang w:val="en-GB"/>
        </w:rPr>
        <w:t>Fig</w:t>
      </w:r>
      <w:r w:rsidR="00B6438F" w:rsidRPr="005F0812">
        <w:rPr>
          <w:rFonts w:ascii="Book Antiqua" w:hAnsi="Book Antiqua" w:cs="Book Antiqua"/>
          <w:bCs/>
          <w:color w:val="000000"/>
          <w:lang w:val="en-GB" w:eastAsia="zh-CN"/>
        </w:rPr>
        <w:t>ure</w:t>
      </w:r>
      <w:r w:rsidRPr="005F0812">
        <w:rPr>
          <w:rFonts w:ascii="Book Antiqua" w:eastAsia="Book Antiqua" w:hAnsi="Book Antiqua" w:cs="Book Antiqua"/>
          <w:bCs/>
          <w:color w:val="000000"/>
          <w:lang w:val="en-GB"/>
        </w:rPr>
        <w:t xml:space="preserve"> 2</w:t>
      </w:r>
      <w:r w:rsidRPr="005F0812">
        <w:rPr>
          <w:rFonts w:ascii="Book Antiqua" w:eastAsia="Book Antiqua" w:hAnsi="Book Antiqua" w:cs="Book Antiqua"/>
          <w:color w:val="000000"/>
          <w:lang w:val="en-GB"/>
        </w:rPr>
        <w:t xml:space="preserve">), the probability of mortality progressively increased as the serum level of AST increased in the following order: </w:t>
      </w:r>
      <w:r w:rsidR="00497AD5">
        <w:rPr>
          <w:rFonts w:ascii="Book Antiqua" w:hAnsi="Book Antiqua" w:cs="Book Antiqua"/>
          <w:color w:val="000000"/>
          <w:lang w:val="en-GB" w:eastAsia="zh-CN"/>
        </w:rPr>
        <w:t>t</w:t>
      </w:r>
      <w:r w:rsidRPr="005F0812">
        <w:rPr>
          <w:rFonts w:ascii="Book Antiqua" w:eastAsia="Book Antiqua" w:hAnsi="Book Antiqua" w:cs="Book Antiqua"/>
          <w:color w:val="000000"/>
          <w:lang w:val="en-GB"/>
        </w:rPr>
        <w:t>wo-fold increase in AST levels</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&gt; a one-fold increase in AST levels</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&gt;</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normal AST levels</w:t>
      </w:r>
      <w:r w:rsidRPr="005F0812">
        <w:rPr>
          <w:rFonts w:ascii="Book Antiqua" w:eastAsia="Book Antiqua" w:hAnsi="Book Antiqua" w:cs="Book Antiqua"/>
          <w:b/>
          <w:bCs/>
          <w:color w:val="000000"/>
          <w:lang w:val="en-GB"/>
        </w:rPr>
        <w:t>.</w:t>
      </w:r>
    </w:p>
    <w:p w14:paraId="5A31B5E3" w14:textId="77777777" w:rsidR="00A77B3E" w:rsidRPr="005F0812" w:rsidRDefault="00A77B3E" w:rsidP="006309ED">
      <w:pPr>
        <w:spacing w:line="360" w:lineRule="auto"/>
        <w:ind w:firstLine="720"/>
        <w:jc w:val="both"/>
        <w:rPr>
          <w:rFonts w:ascii="Book Antiqua" w:hAnsi="Book Antiqua"/>
          <w:lang w:val="en-GB"/>
        </w:rPr>
      </w:pPr>
    </w:p>
    <w:p w14:paraId="401BB8C8"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t>DISCUSSION</w:t>
      </w:r>
    </w:p>
    <w:p w14:paraId="028C990B"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Numerous studies have reported the effect of liver injury on the outcomes of hospitalized patients with COVID-19</w:t>
      </w:r>
      <w:r w:rsidRPr="005F0812">
        <w:rPr>
          <w:rFonts w:ascii="Book Antiqua" w:eastAsia="Book Antiqua" w:hAnsi="Book Antiqua" w:cs="Book Antiqua"/>
          <w:bCs/>
          <w:color w:val="000000"/>
          <w:vertAlign w:val="superscript"/>
          <w:lang w:val="en-GB"/>
        </w:rPr>
        <w:t>[8]</w:t>
      </w:r>
      <w:r w:rsidRPr="005F0812">
        <w:rPr>
          <w:rFonts w:ascii="Book Antiqua" w:eastAsia="Book Antiqua" w:hAnsi="Book Antiqua" w:cs="Book Antiqua"/>
          <w:color w:val="000000"/>
          <w:lang w:val="en-GB"/>
        </w:rPr>
        <w:t>. However, a growing concern is that many demographic, clinical and laboratory markers might confound this association. These potential confounders should be recognized, and their effects on the association between biomarkers of hepatocellular injury and patient outcomes should be investigated. In fact, while treating COVID-19, we observed differential outcome prediction weights for markers of hepatocellular injury among hospitalized patients.</w:t>
      </w:r>
    </w:p>
    <w:p w14:paraId="66D7D9F0" w14:textId="5B7C383E"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At admission, 54</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patients in our cohort had liver injury. AST levels were elevated in 32.5% (</w:t>
      </w:r>
      <w:r w:rsidRPr="005F0812">
        <w:rPr>
          <w:rFonts w:ascii="Book Antiqua" w:eastAsia="Book Antiqua" w:hAnsi="Book Antiqua" w:cs="Book Antiqua"/>
          <w:i/>
          <w:iCs/>
          <w:color w:val="000000"/>
          <w:lang w:val="en-GB"/>
        </w:rPr>
        <w:t>n</w:t>
      </w:r>
      <w:r w:rsidRPr="005F0812">
        <w:rPr>
          <w:rFonts w:ascii="Book Antiqua" w:eastAsia="Book Antiqua" w:hAnsi="Book Antiqua" w:cs="Book Antiqua"/>
          <w:color w:val="000000"/>
          <w:lang w:val="en-GB"/>
        </w:rPr>
        <w:t xml:space="preserve"> = 122), ALT levels were elevated in 36</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w:t>
      </w:r>
      <w:r w:rsidRPr="005F0812">
        <w:rPr>
          <w:rFonts w:ascii="Book Antiqua" w:eastAsia="Book Antiqua" w:hAnsi="Book Antiqua" w:cs="Book Antiqua"/>
          <w:i/>
          <w:iCs/>
          <w:color w:val="000000"/>
          <w:lang w:val="en-GB"/>
        </w:rPr>
        <w:t>n</w:t>
      </w:r>
      <w:r w:rsidRPr="005F0812">
        <w:rPr>
          <w:rFonts w:ascii="Book Antiqua" w:eastAsia="Book Antiqua" w:hAnsi="Book Antiqua" w:cs="Book Antiqua"/>
          <w:color w:val="000000"/>
          <w:lang w:val="en-GB"/>
        </w:rPr>
        <w:t xml:space="preserve"> = 135), and both ALT and AST levels were increased in 23</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w:t>
      </w:r>
      <w:r w:rsidRPr="005F0812">
        <w:rPr>
          <w:rFonts w:ascii="Book Antiqua" w:eastAsia="Book Antiqua" w:hAnsi="Book Antiqua" w:cs="Book Antiqua"/>
          <w:i/>
          <w:iCs/>
          <w:color w:val="000000"/>
          <w:lang w:val="en-GB"/>
        </w:rPr>
        <w:t>n</w:t>
      </w:r>
      <w:r w:rsidRPr="005F0812">
        <w:rPr>
          <w:rFonts w:ascii="Book Antiqua" w:eastAsia="Book Antiqua" w:hAnsi="Book Antiqua" w:cs="Book Antiqua"/>
          <w:color w:val="000000"/>
          <w:lang w:val="en-GB"/>
        </w:rPr>
        <w:t xml:space="preserve"> = 87). Among nonsurvivors, the pattern of liver injury was hepatocellular injury with an AST predominance. Both ALT and AST levels were elevated in 45</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nonsurvivors. An isolated elevation of AST levels was detected in 31</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nonsurvivors, while an isolated elevation of ALT levels was detected in 3</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Notably, 48</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nonsurvivors presented an AST/ALT ratio &gt; 1.2, and serum total bilirubin levels were increased in 1.6% of patients in our study cohort.</w:t>
      </w:r>
    </w:p>
    <w:p w14:paraId="01D0CD12" w14:textId="3CBC499C"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 xml:space="preserve">We observed an obvious increase in mortality among patients with COVID-19 presenting elevated serum AST levels at the time of admission. A one-fold increase in the serum level of AST increased the odds of in-hospital mortality eleven-fold compared to those with normal AST levels at admission. Moreover, a two-fold increase in serum AST levels predicated a </w:t>
      </w:r>
      <w:r w:rsidR="00311DB3">
        <w:rPr>
          <w:rFonts w:ascii="Book Antiqua" w:eastAsia="Book Antiqua" w:hAnsi="Book Antiqua" w:cs="Book Antiqua"/>
          <w:color w:val="000000"/>
          <w:lang w:val="en-GB"/>
        </w:rPr>
        <w:t>thirteen</w:t>
      </w:r>
      <w:r w:rsidRPr="005F0812">
        <w:rPr>
          <w:rFonts w:ascii="Book Antiqua" w:eastAsia="Book Antiqua" w:hAnsi="Book Antiqua" w:cs="Book Antiqua"/>
          <w:color w:val="000000"/>
          <w:lang w:val="en-GB"/>
        </w:rPr>
        <w:t>-fold increase in mortality. We can thus postulate from the findings of the present study that elevated AST levels at admission are a harbinger of a worse prognosis for patients with COVID-19. On the other hand, serum ALT, bilirubin and albumin levels did not alter mortality after correction for age, sex and other relevant clinical factors. Our findings are consistent with recent reports investigating progressive liver injury and the risk of mortality among patients with COVID-19 where AST levels but not ALT level</w:t>
      </w:r>
      <w:r w:rsidR="00807D8D">
        <w:rPr>
          <w:rFonts w:ascii="Book Antiqua" w:eastAsia="Book Antiqua" w:hAnsi="Book Antiqua" w:cs="Book Antiqua"/>
          <w:color w:val="000000"/>
          <w:lang w:val="en-GB"/>
        </w:rPr>
        <w:t>s</w:t>
      </w:r>
      <w:r w:rsidRPr="005F0812">
        <w:rPr>
          <w:rFonts w:ascii="Book Antiqua" w:eastAsia="Book Antiqua" w:hAnsi="Book Antiqua" w:cs="Book Antiqua"/>
          <w:color w:val="000000"/>
          <w:lang w:val="en-GB"/>
        </w:rPr>
        <w:t xml:space="preserve"> at admission were a strong predictor of mortality</w:t>
      </w:r>
      <w:r w:rsidR="00164800" w:rsidRPr="005F0812">
        <w:rPr>
          <w:rFonts w:ascii="Book Antiqua" w:eastAsia="Book Antiqua" w:hAnsi="Book Antiqua" w:cs="Book Antiqua"/>
          <w:bCs/>
          <w:color w:val="000000"/>
          <w:vertAlign w:val="superscript"/>
          <w:lang w:val="en-GB"/>
        </w:rPr>
        <w:t>[9-</w:t>
      </w:r>
      <w:r w:rsidRPr="005F0812">
        <w:rPr>
          <w:rFonts w:ascii="Book Antiqua" w:eastAsia="Book Antiqua" w:hAnsi="Book Antiqua" w:cs="Book Antiqua"/>
          <w:bCs/>
          <w:color w:val="000000"/>
          <w:vertAlign w:val="superscript"/>
          <w:lang w:val="en-GB"/>
        </w:rPr>
        <w:t>11]</w:t>
      </w:r>
      <w:r w:rsidRPr="00FE74FB">
        <w:rPr>
          <w:rFonts w:ascii="Book Antiqua" w:eastAsia="Book Antiqua" w:hAnsi="Book Antiqua" w:cs="Book Antiqua"/>
          <w:bCs/>
          <w:color w:val="000000"/>
          <w:lang w:val="en-GB"/>
        </w:rPr>
        <w:t>.</w:t>
      </w:r>
    </w:p>
    <w:p w14:paraId="4257DFD7"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In our cohort, AST levels did not correlate with the levels of CK, a marker of muscle injury, at admission. Moreover, AST levels correlated moderately with inflammatory markers at admission. Based on these findings, liver injury in patients with COVID-19 may be related to the proinflammatory state associated with cytokine release.</w:t>
      </w:r>
    </w:p>
    <w:p w14:paraId="40330CB4"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In healthy individuals, plasma levels of ALT and AST represent the balance between normal turnover of hepatocytes by apoptosis and the clearance rates of these enzymes from hepatic sinusoids. Normally, ALT is present in the cytoplasm of hepatocytes, whereas AST is present in the cytoplasm and mitochondria of hepatocytes. Although the ratio of hepatic AST/ALT is 2.5:1, the serum levels of AST and ALT are similar after hepatocyte turnover because the clearance rate of AST is two times faster than the clearance rate of ALT</w:t>
      </w:r>
      <w:r w:rsidRPr="005F0812">
        <w:rPr>
          <w:rFonts w:ascii="Book Antiqua" w:eastAsia="Book Antiqua" w:hAnsi="Book Antiqua" w:cs="Book Antiqua"/>
          <w:bCs/>
          <w:color w:val="000000"/>
          <w:vertAlign w:val="superscript"/>
          <w:lang w:val="en-GB"/>
        </w:rPr>
        <w:t>[12,13]</w:t>
      </w:r>
      <w:r w:rsidRPr="005F0812">
        <w:rPr>
          <w:rFonts w:ascii="Book Antiqua" w:eastAsia="Book Antiqua" w:hAnsi="Book Antiqua" w:cs="Book Antiqua"/>
          <w:color w:val="000000"/>
          <w:lang w:val="en-GB"/>
        </w:rPr>
        <w:t>.</w:t>
      </w:r>
    </w:p>
    <w:p w14:paraId="017B3ED2"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In individuals with hepatocellular injury, serum levels of AST and ALT reflect the time course of hepatic injury and prognosis of hepatic insult. Early hepatocyte injury results in the release of cytosolic AST and ALT. If hepatocyte injury is severe, mitochondrial damage will result in increased release of mitochondrial AST in serum. Therefore, the predominant increase in the admission AST levels in our cohort might reflect early and severe hepatocyte injury. Furthermore, SARS-CoV-2 may induce endothelial cell injury in the hepatic microcirculation and promote portal or sinusoidal microthrombosis. In individuals with ischaemic liver injury (due to microthrombosis), serum AST levels peak before ALT levels, a pattern that was observed in our cohort</w:t>
      </w:r>
      <w:r w:rsidRPr="005F0812">
        <w:rPr>
          <w:rFonts w:ascii="Book Antiqua" w:eastAsia="Book Antiqua" w:hAnsi="Book Antiqua" w:cs="Book Antiqua"/>
          <w:bCs/>
          <w:color w:val="000000"/>
          <w:vertAlign w:val="superscript"/>
          <w:lang w:val="en-GB"/>
        </w:rPr>
        <w:t>[9,11,13]</w:t>
      </w:r>
      <w:r w:rsidRPr="005F0812">
        <w:rPr>
          <w:rFonts w:ascii="Book Antiqua" w:eastAsia="Book Antiqua" w:hAnsi="Book Antiqua" w:cs="Book Antiqua"/>
          <w:bCs/>
          <w:color w:val="000000"/>
          <w:lang w:val="en-GB"/>
        </w:rPr>
        <w:t>.</w:t>
      </w:r>
    </w:p>
    <w:p w14:paraId="7025A134"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 xml:space="preserve">In practice, an isolated and predominant elevation of AST levels indicates a nonhepatic source of AST, </w:t>
      </w:r>
      <w:r w:rsidRPr="005F0812">
        <w:rPr>
          <w:rFonts w:ascii="Book Antiqua" w:eastAsia="Book Antiqua" w:hAnsi="Book Antiqua" w:cs="Book Antiqua"/>
          <w:i/>
          <w:iCs/>
          <w:color w:val="000000"/>
          <w:lang w:val="en-GB"/>
        </w:rPr>
        <w:t>e.g.</w:t>
      </w:r>
      <w:r w:rsidRPr="005F0812">
        <w:rPr>
          <w:rFonts w:ascii="Book Antiqua" w:eastAsia="Book Antiqua" w:hAnsi="Book Antiqua" w:cs="Book Antiqua"/>
          <w:color w:val="000000"/>
          <w:lang w:val="en-GB"/>
        </w:rPr>
        <w:t>, muscle, and haemolysis.</w:t>
      </w:r>
    </w:p>
    <w:p w14:paraId="6EA63A74"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Myositis results in increased levels of AST and, to a lesser extent, ALT; however, the increased serum levels of muscular aminotransferases should be associated with increased serum levels of CK. In our cohort, no significant correlation between AST and CK levels at admission was observed. This finding suggests true hepatic injury as the main source of elevated AST levels.</w:t>
      </w:r>
    </w:p>
    <w:p w14:paraId="7A1D758A"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 xml:space="preserve">Haemolysis results in increased levels of AST and unconjugated bilirubin. In our cohort, we identified 6 patients with </w:t>
      </w:r>
      <w:r w:rsidRPr="005F0812">
        <w:rPr>
          <w:rFonts w:ascii="Book Antiqua" w:eastAsia="Book Antiqua" w:hAnsi="Book Antiqua" w:cs="Book Antiqua"/>
          <w:iCs/>
          <w:color w:val="000000"/>
          <w:lang w:val="en-GB"/>
        </w:rPr>
        <w:t>biphasic</w:t>
      </w:r>
      <w:r w:rsidRPr="005F0812">
        <w:rPr>
          <w:rFonts w:ascii="Book Antiqua" w:eastAsia="Book Antiqua" w:hAnsi="Book Antiqua" w:cs="Book Antiqua"/>
          <w:color w:val="000000"/>
          <w:lang w:val="en-GB"/>
        </w:rPr>
        <w:t xml:space="preserve"> </w:t>
      </w:r>
      <w:r w:rsidRPr="005F0812">
        <w:rPr>
          <w:rFonts w:ascii="Book Antiqua" w:eastAsia="Book Antiqua" w:hAnsi="Book Antiqua" w:cs="Book Antiqua"/>
          <w:iCs/>
          <w:color w:val="000000"/>
          <w:lang w:val="en-GB"/>
        </w:rPr>
        <w:t>hyperbilirubinemia</w:t>
      </w:r>
      <w:r w:rsidRPr="005F0812">
        <w:rPr>
          <w:rFonts w:ascii="Book Antiqua" w:eastAsia="Book Antiqua" w:hAnsi="Book Antiqua" w:cs="Book Antiqua"/>
          <w:color w:val="000000"/>
          <w:lang w:val="en-GB"/>
        </w:rPr>
        <w:t>. ALT levels correlated with serum total bilirubin levels. Therefore, hyperbilirubinemia was due to liver injury and not haemolysis.</w:t>
      </w:r>
    </w:p>
    <w:p w14:paraId="573323A5" w14:textId="154BD8D1"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Among our cohort, 33</w:t>
      </w:r>
      <w:r w:rsidR="0079637A">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patients were obese, perhaps with underdiagnosed nonalcoholic fatty liver disease. In addition, 20</w:t>
      </w:r>
      <w:r w:rsidR="0079637A">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patients in our cohort were diagnosed with diabetes. Both diabetes mellitus and obesity increase serum levels of AST and ALT, but this change is more prominent for ALT than for AST</w:t>
      </w:r>
      <w:r w:rsidRPr="005F0812">
        <w:rPr>
          <w:rFonts w:ascii="Book Antiqua" w:eastAsia="Book Antiqua" w:hAnsi="Book Antiqua" w:cs="Book Antiqua"/>
          <w:bCs/>
          <w:color w:val="000000"/>
          <w:vertAlign w:val="superscript"/>
          <w:lang w:val="en-GB"/>
        </w:rPr>
        <w:t>[14]</w:t>
      </w:r>
      <w:r w:rsidRPr="005F0812">
        <w:rPr>
          <w:rFonts w:ascii="Book Antiqua" w:eastAsia="Book Antiqua" w:hAnsi="Book Antiqua" w:cs="Book Antiqua"/>
          <w:bCs/>
          <w:color w:val="000000"/>
          <w:lang w:val="en-GB"/>
        </w:rPr>
        <w:t>.</w:t>
      </w:r>
    </w:p>
    <w:p w14:paraId="5FEB5C2A"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The mechanism of liver injury among patients with COVID-19 is unclear and possibly multifactorial. The entry of SARS-CoV-2 into hepatocytes and cholangiocytes is mediated by ACE2 receptors. Liver biopsies obtained from deceased patients diagnosed with COVID-19 revealed focal degeneration and necrosis. In addition, SARS-CoV-2 particles were detected in hepatocytes</w:t>
      </w:r>
      <w:r w:rsidRPr="005F0812">
        <w:rPr>
          <w:rFonts w:ascii="Book Antiqua" w:eastAsia="Book Antiqua" w:hAnsi="Book Antiqua" w:cs="Book Antiqua"/>
          <w:bCs/>
          <w:color w:val="000000"/>
          <w:vertAlign w:val="superscript"/>
          <w:lang w:val="en-GB"/>
        </w:rPr>
        <w:t>[4]</w:t>
      </w:r>
      <w:r w:rsidRPr="005F0812">
        <w:rPr>
          <w:rFonts w:ascii="Book Antiqua" w:eastAsia="Book Antiqua" w:hAnsi="Book Antiqua" w:cs="Book Antiqua"/>
          <w:color w:val="000000"/>
          <w:lang w:val="en-GB"/>
        </w:rPr>
        <w:t>. Focal hepatic degeneration and necrosis may be due to the direct cytopathic effect of viral entry or could be an immune-mediated process. Entry of SARS-CoV-2 into hepatocytes triggers an innate and adaptive immune response that results in clearing of virus-infected cells. However, if the mounted immune response is exaggerated and uncontrolled, this aberrant immune response may contribute to the development of a cytokine storm and multisystem dysfunction</w:t>
      </w:r>
      <w:r w:rsidRPr="005F0812">
        <w:rPr>
          <w:rFonts w:ascii="Book Antiqua" w:eastAsia="Book Antiqua" w:hAnsi="Book Antiqua" w:cs="Book Antiqua"/>
          <w:bCs/>
          <w:color w:val="000000"/>
          <w:vertAlign w:val="superscript"/>
          <w:lang w:val="en-GB"/>
        </w:rPr>
        <w:t>[4,15]</w:t>
      </w:r>
      <w:r w:rsidRPr="005F0812">
        <w:rPr>
          <w:rFonts w:ascii="Book Antiqua" w:eastAsia="Book Antiqua" w:hAnsi="Book Antiqua" w:cs="Book Antiqua"/>
          <w:color w:val="000000"/>
          <w:lang w:val="en-GB"/>
        </w:rPr>
        <w:t>. Moreover, hyperinflammatory syndrome can induce disseminated intravascular coagulation with ischaemic hepatocellular injury by microvascular thrombosis in the hepatic microcirculation. In addition, direct endothelial cell damage in the hepatic microcirculation induced by SARS-CoV-2 may promote microvascular thrombosis and ischaemic liver injury</w:t>
      </w:r>
      <w:r w:rsidRPr="005F0812">
        <w:rPr>
          <w:rFonts w:ascii="Book Antiqua" w:eastAsia="Book Antiqua" w:hAnsi="Book Antiqua" w:cs="Book Antiqua"/>
          <w:bCs/>
          <w:color w:val="000000"/>
          <w:vertAlign w:val="superscript"/>
          <w:lang w:val="en-GB"/>
        </w:rPr>
        <w:t>[11]</w:t>
      </w:r>
      <w:r w:rsidRPr="00FE74FB">
        <w:rPr>
          <w:rFonts w:ascii="Book Antiqua" w:eastAsia="Book Antiqua" w:hAnsi="Book Antiqua" w:cs="Book Antiqua"/>
          <w:bCs/>
          <w:color w:val="000000"/>
          <w:lang w:val="en-GB"/>
        </w:rPr>
        <w:t>.</w:t>
      </w:r>
    </w:p>
    <w:p w14:paraId="633B8E53" w14:textId="1E60B4E0"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In addition, our findings indicated that an age</w:t>
      </w:r>
      <w:r w:rsidR="00164800"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&gt;</w:t>
      </w:r>
      <w:r w:rsidR="00164800"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60 years, diabetes mellitus and increased serum ferritin levels were independent strong predictors of mortality among patients with COVID-19 presenting liver injury. These observations are consistent with recent studies</w:t>
      </w:r>
      <w:r w:rsidRPr="005F0812">
        <w:rPr>
          <w:rFonts w:ascii="Book Antiqua" w:eastAsia="Book Antiqua" w:hAnsi="Book Antiqua" w:cs="Book Antiqua"/>
          <w:bCs/>
          <w:color w:val="000000"/>
          <w:vertAlign w:val="superscript"/>
          <w:lang w:val="en-GB"/>
        </w:rPr>
        <w:t>[10]</w:t>
      </w:r>
      <w:r w:rsidRPr="005F0812">
        <w:rPr>
          <w:rFonts w:ascii="Book Antiqua" w:eastAsia="Book Antiqua" w:hAnsi="Book Antiqua" w:cs="Book Antiqua"/>
          <w:bCs/>
          <w:color w:val="000000"/>
          <w:lang w:val="en-GB"/>
        </w:rPr>
        <w:t>.</w:t>
      </w:r>
    </w:p>
    <w:p w14:paraId="7ECFE289" w14:textId="69D6484B"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Our study provides evidence that serum ferritin levels were associated with all-cause in-hospital mortality. Of our cohort, 56</w:t>
      </w:r>
      <w:r w:rsidR="00066350">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patients presented elevated serum ferritin levels. Moreover, 97</w:t>
      </w:r>
      <w:r w:rsidR="00066350">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nonsurvivors had elevated serum ferritin levels. In addition, logistic regression analysis showed that the serum ferritin level was an independent risk biomarker for in-hospital mortality among patients with COVID-19. Furthermore, admission serum ferritin levels correlated with CRP levels. These results suggest that elevated serum ferritin levels at admission may reflect disease severity. Our findings are consistent with a recent report confirming that increased ferritin levels are associated with in-hospital mortality in patients with COVID-19</w:t>
      </w:r>
      <w:r w:rsidRPr="005F0812">
        <w:rPr>
          <w:rFonts w:ascii="Book Antiqua" w:eastAsia="Book Antiqua" w:hAnsi="Book Antiqua" w:cs="Book Antiqua"/>
          <w:bCs/>
          <w:color w:val="000000"/>
          <w:vertAlign w:val="superscript"/>
          <w:lang w:val="en-GB"/>
        </w:rPr>
        <w:t>[16]</w:t>
      </w:r>
      <w:r w:rsidRPr="005F0812">
        <w:rPr>
          <w:rFonts w:ascii="Book Antiqua" w:eastAsia="Book Antiqua" w:hAnsi="Book Antiqua" w:cs="Book Antiqua"/>
          <w:bCs/>
          <w:color w:val="000000"/>
          <w:lang w:val="en-GB"/>
        </w:rPr>
        <w:t>.</w:t>
      </w:r>
    </w:p>
    <w:p w14:paraId="0832A08D" w14:textId="5FB8E64F"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 xml:space="preserve">Inflammatory cytokines stimulate hepatocytes and macrophages to release ferritin, which plays a vital role in many autoimmune diseases and inflammatory disorders. A vicious loop exists between ferritin and inflammatory cytokines, </w:t>
      </w:r>
      <w:r w:rsidRPr="005F0812">
        <w:rPr>
          <w:rFonts w:ascii="Book Antiqua" w:eastAsia="Book Antiqua" w:hAnsi="Book Antiqua" w:cs="Book Antiqua"/>
          <w:i/>
          <w:color w:val="000000"/>
          <w:lang w:val="en-GB"/>
        </w:rPr>
        <w:t>i.e.</w:t>
      </w:r>
      <w:r w:rsidRPr="005F0812">
        <w:rPr>
          <w:rFonts w:ascii="Book Antiqua" w:eastAsia="Book Antiqua" w:hAnsi="Book Antiqua" w:cs="Book Antiqua"/>
          <w:color w:val="000000"/>
          <w:lang w:val="en-GB"/>
        </w:rPr>
        <w:t xml:space="preserve"> activated hepatocytes and macrophages release ferritin, which in turn stimulates the production of various inflammatory cytokines. Serum ferritin is an inflammatory cytokine that indirectly stimulates proinflammatory pathways through the activation of the transcription factor nuclear factor kappa-B. Moreover, the heavy subunit of ferritin directly increases the mRNA expression of many inflammatory cytokines, such as </w:t>
      </w:r>
      <w:r w:rsidR="00164800" w:rsidRPr="005F0812">
        <w:rPr>
          <w:rFonts w:ascii="Book Antiqua" w:eastAsia="Book Antiqua" w:hAnsi="Book Antiqua" w:cs="Book Antiqua"/>
          <w:color w:val="000000"/>
          <w:lang w:val="en-GB"/>
        </w:rPr>
        <w:t>interleukin</w:t>
      </w:r>
      <w:r w:rsidRPr="005F0812">
        <w:rPr>
          <w:rFonts w:ascii="Book Antiqua" w:eastAsia="Book Antiqua" w:hAnsi="Book Antiqua" w:cs="Book Antiqua"/>
          <w:color w:val="000000"/>
          <w:lang w:val="en-GB"/>
        </w:rPr>
        <w:t xml:space="preserve">-1, </w:t>
      </w:r>
      <w:r w:rsidR="0003777D">
        <w:rPr>
          <w:rFonts w:ascii="Book Antiqua" w:eastAsia="Book Antiqua" w:hAnsi="Book Antiqua" w:cs="Book Antiqua"/>
          <w:color w:val="000000"/>
          <w:lang w:val="en-GB"/>
        </w:rPr>
        <w:t>interleukin</w:t>
      </w:r>
      <w:r w:rsidRPr="005F0812">
        <w:rPr>
          <w:rFonts w:ascii="Book Antiqua" w:eastAsia="Book Antiqua" w:hAnsi="Book Antiqua" w:cs="Book Antiqua"/>
          <w:color w:val="000000"/>
          <w:lang w:val="en-GB"/>
        </w:rPr>
        <w:t xml:space="preserve">-6, </w:t>
      </w:r>
      <w:r w:rsidR="004F2305" w:rsidRPr="005F0812">
        <w:rPr>
          <w:rFonts w:ascii="Book Antiqua" w:eastAsia="Book Antiqua" w:hAnsi="Book Antiqua" w:cs="Book Antiqua"/>
          <w:color w:val="000000"/>
          <w:lang w:val="en-GB"/>
        </w:rPr>
        <w:t>tumo</w:t>
      </w:r>
      <w:r w:rsidR="0003777D">
        <w:rPr>
          <w:rFonts w:ascii="Book Antiqua" w:eastAsia="Book Antiqua" w:hAnsi="Book Antiqua" w:cs="Book Antiqua"/>
          <w:color w:val="000000"/>
          <w:lang w:val="en-GB"/>
        </w:rPr>
        <w:t>u</w:t>
      </w:r>
      <w:r w:rsidR="004F2305" w:rsidRPr="005F0812">
        <w:rPr>
          <w:rFonts w:ascii="Book Antiqua" w:eastAsia="Book Antiqua" w:hAnsi="Book Antiqua" w:cs="Book Antiqua"/>
          <w:color w:val="000000"/>
          <w:lang w:val="en-GB"/>
        </w:rPr>
        <w:t>r necrosis factor</w:t>
      </w:r>
      <w:r w:rsidRPr="005F0812">
        <w:rPr>
          <w:rFonts w:ascii="Book Antiqua" w:eastAsia="Book Antiqua" w:hAnsi="Book Antiqua" w:cs="Book Antiqua"/>
          <w:color w:val="000000"/>
          <w:lang w:val="en-GB"/>
        </w:rPr>
        <w:t xml:space="preserve"> and NOD-like receptor 3, indicating the proinflammatory properties of ferritin</w:t>
      </w:r>
      <w:r w:rsidR="00164800" w:rsidRPr="005F0812">
        <w:rPr>
          <w:rFonts w:ascii="Book Antiqua" w:eastAsia="Book Antiqua" w:hAnsi="Book Antiqua" w:cs="Book Antiqua"/>
          <w:bCs/>
          <w:color w:val="000000"/>
          <w:vertAlign w:val="superscript"/>
          <w:lang w:val="en-GB"/>
        </w:rPr>
        <w:t>[16</w:t>
      </w:r>
      <w:r w:rsidRPr="005F0812">
        <w:rPr>
          <w:rFonts w:ascii="Book Antiqua" w:eastAsia="Book Antiqua" w:hAnsi="Book Antiqua" w:cs="Book Antiqua"/>
          <w:bCs/>
          <w:color w:val="000000"/>
          <w:vertAlign w:val="superscript"/>
          <w:lang w:val="en-GB"/>
        </w:rPr>
        <w:t>,17]</w:t>
      </w:r>
      <w:r w:rsidRPr="005F0812">
        <w:rPr>
          <w:rFonts w:ascii="Book Antiqua" w:eastAsia="Book Antiqua" w:hAnsi="Book Antiqua" w:cs="Book Antiqua"/>
          <w:bCs/>
          <w:color w:val="000000"/>
          <w:lang w:val="en-GB"/>
        </w:rPr>
        <w:t>.</w:t>
      </w:r>
    </w:p>
    <w:p w14:paraId="19460197"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Patients with diabetes have elevated serum ferritin levels, and these patients are at increased risk of serious complications from COVID-19. Therefore, ferritin may be a key mediator of immune dysregulation that contributes to the cytokine storm in patients with diabetes mellitus and COVID-19</w:t>
      </w:r>
      <w:r w:rsidRPr="005F0812">
        <w:rPr>
          <w:rFonts w:ascii="Book Antiqua" w:eastAsia="Book Antiqua" w:hAnsi="Book Antiqua" w:cs="Book Antiqua"/>
          <w:bCs/>
          <w:color w:val="000000"/>
          <w:vertAlign w:val="superscript"/>
          <w:lang w:val="en-GB"/>
        </w:rPr>
        <w:t>[</w:t>
      </w:r>
      <w:r w:rsidR="00164800" w:rsidRPr="005F0812">
        <w:rPr>
          <w:rFonts w:ascii="Book Antiqua" w:eastAsia="Book Antiqua" w:hAnsi="Book Antiqua" w:cs="Book Antiqua"/>
          <w:bCs/>
          <w:color w:val="000000"/>
          <w:vertAlign w:val="superscript"/>
          <w:lang w:val="en-GB"/>
        </w:rPr>
        <w:t>16</w:t>
      </w:r>
      <w:r w:rsidRPr="005F0812">
        <w:rPr>
          <w:rFonts w:ascii="Book Antiqua" w:eastAsia="Book Antiqua" w:hAnsi="Book Antiqua" w:cs="Book Antiqua"/>
          <w:bCs/>
          <w:color w:val="000000"/>
          <w:vertAlign w:val="superscript"/>
          <w:lang w:val="en-GB"/>
        </w:rPr>
        <w:t>,17]</w:t>
      </w:r>
      <w:r w:rsidRPr="005F0812">
        <w:rPr>
          <w:rFonts w:ascii="Book Antiqua" w:eastAsia="Book Antiqua" w:hAnsi="Book Antiqua" w:cs="Book Antiqua"/>
          <w:color w:val="000000"/>
          <w:lang w:val="en-GB"/>
        </w:rPr>
        <w:t>.</w:t>
      </w:r>
    </w:p>
    <w:p w14:paraId="2DB7B275" w14:textId="77777777" w:rsidR="00A77B3E" w:rsidRPr="005F0812" w:rsidRDefault="00A77B3E" w:rsidP="006309ED">
      <w:pPr>
        <w:spacing w:line="360" w:lineRule="auto"/>
        <w:ind w:firstLine="720"/>
        <w:jc w:val="both"/>
        <w:rPr>
          <w:rFonts w:ascii="Book Antiqua" w:hAnsi="Book Antiqua"/>
          <w:lang w:val="en-GB"/>
        </w:rPr>
      </w:pPr>
    </w:p>
    <w:p w14:paraId="7B45F99C"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Limitations</w:t>
      </w:r>
    </w:p>
    <w:p w14:paraId="4685BDF9"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This retrospective study revealed an association between AST levels and mortality in patients with COVID-19 but did not reveal causality. Numerous medications and clinical and biological conditions injure hepatocytes but were only partially considered in the regression analysis. We used liver enzyme level at the time of admission for group categorization without knowing whether they were episodic or progressive changes. We did not consider concurrent medication use, such as angiotensin converting enzyme inhibitors or angiotensin receptor blockers, in our analysis. Underdiagnosed nonalcoholic fatty liver disease and occult consumption of alcohol were not considered.</w:t>
      </w:r>
    </w:p>
    <w:p w14:paraId="13D5CD4E" w14:textId="77777777" w:rsidR="00A77B3E" w:rsidRPr="005F0812" w:rsidRDefault="00A77B3E" w:rsidP="006309ED">
      <w:pPr>
        <w:spacing w:line="360" w:lineRule="auto"/>
        <w:ind w:firstLine="720"/>
        <w:jc w:val="both"/>
        <w:rPr>
          <w:rFonts w:ascii="Book Antiqua" w:hAnsi="Book Antiqua"/>
          <w:lang w:val="en-GB"/>
        </w:rPr>
      </w:pPr>
    </w:p>
    <w:p w14:paraId="0C31E6A1"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t>CONCLUSION</w:t>
      </w:r>
    </w:p>
    <w:p w14:paraId="7169784A" w14:textId="53683C70"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Our study revealed that liver injury is highly prevalent among patients with COVID-19 at admission. Liver injury with an AST-dominant pattern can be used to predict the severity of COVID-19. This study confirmed an</w:t>
      </w:r>
      <w:r w:rsidR="00164800" w:rsidRPr="005F0812">
        <w:rPr>
          <w:rFonts w:ascii="Book Antiqua" w:eastAsia="Book Antiqua" w:hAnsi="Book Antiqua" w:cs="Book Antiqua"/>
          <w:color w:val="000000"/>
          <w:lang w:val="en-GB"/>
        </w:rPr>
        <w:t xml:space="preserve"> elevated level of ferritin in</w:t>
      </w:r>
      <w:r w:rsidR="00E90111">
        <w:rPr>
          <w:rFonts w:ascii="Book Antiqua" w:eastAsia="Book Antiqua" w:hAnsi="Book Antiqua" w:cs="Book Antiqua"/>
          <w:color w:val="000000"/>
          <w:lang w:val="en-GB"/>
        </w:rPr>
        <w:t xml:space="preserve"> </w:t>
      </w:r>
      <w:r w:rsidRPr="005F0812">
        <w:rPr>
          <w:rFonts w:ascii="Book Antiqua" w:eastAsia="Book Antiqua" w:hAnsi="Book Antiqua" w:cs="Book Antiqua"/>
          <w:color w:val="000000"/>
          <w:lang w:val="en-GB"/>
        </w:rPr>
        <w:t>patients with COVID-19. Admission serum ferritin levels are associated with fatal outcomes. Meticulous monitoring is highly recommended for patients with COVID-19 presenting AST-dominant hepatocellular injury, especially those older than 60 years, those with elevated levels of ferritin and those with diabetes mellitus.</w:t>
      </w:r>
    </w:p>
    <w:p w14:paraId="7638ABDC" w14:textId="77777777" w:rsidR="00A77B3E" w:rsidRPr="005F0812" w:rsidRDefault="00A77B3E" w:rsidP="006309ED">
      <w:pPr>
        <w:spacing w:line="360" w:lineRule="auto"/>
        <w:ind w:firstLine="720"/>
        <w:jc w:val="both"/>
        <w:rPr>
          <w:rFonts w:ascii="Book Antiqua" w:hAnsi="Book Antiqua"/>
          <w:lang w:val="en-GB"/>
        </w:rPr>
      </w:pPr>
    </w:p>
    <w:p w14:paraId="77261639"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t>ARTICLE HIGHLIGHTS</w:t>
      </w:r>
    </w:p>
    <w:p w14:paraId="0B2F79ED"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background</w:t>
      </w:r>
    </w:p>
    <w:p w14:paraId="37653E4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Clearly, infection with severe acute respiratory syndrome coronavirus 2 is not limited to the lung but also affects other organs.</w:t>
      </w:r>
    </w:p>
    <w:p w14:paraId="4212368E" w14:textId="77777777" w:rsidR="00A77B3E" w:rsidRPr="005F0812" w:rsidRDefault="00A77B3E" w:rsidP="006309ED">
      <w:pPr>
        <w:spacing w:line="360" w:lineRule="auto"/>
        <w:ind w:firstLine="720"/>
        <w:jc w:val="both"/>
        <w:rPr>
          <w:rFonts w:ascii="Book Antiqua" w:hAnsi="Book Antiqua"/>
          <w:lang w:val="en-GB"/>
        </w:rPr>
      </w:pPr>
    </w:p>
    <w:p w14:paraId="4FC3B17D"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motivation</w:t>
      </w:r>
    </w:p>
    <w:p w14:paraId="217CE25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Predictive models are needed to determine patients’ prognoses and to improve health care resource allocation durin</w:t>
      </w:r>
      <w:r w:rsidR="00164800" w:rsidRPr="005F0812">
        <w:rPr>
          <w:rFonts w:ascii="Book Antiqua" w:eastAsia="Book Antiqua" w:hAnsi="Book Antiqua" w:cs="Book Antiqua"/>
          <w:color w:val="000000"/>
          <w:lang w:val="en-GB"/>
        </w:rPr>
        <w:t xml:space="preserve">g the coronavirus disease 2019 </w:t>
      </w:r>
      <w:r w:rsidRPr="005F0812">
        <w:rPr>
          <w:rFonts w:ascii="Book Antiqua" w:eastAsia="Book Antiqua" w:hAnsi="Book Antiqua" w:cs="Book Antiqua"/>
          <w:color w:val="000000"/>
          <w:lang w:val="en-GB"/>
        </w:rPr>
        <w:t>(COVID-19) pandemic.</w:t>
      </w:r>
    </w:p>
    <w:p w14:paraId="4F0362CB" w14:textId="77777777" w:rsidR="00A77B3E" w:rsidRPr="005F0812" w:rsidRDefault="00A77B3E" w:rsidP="006309ED">
      <w:pPr>
        <w:spacing w:line="360" w:lineRule="auto"/>
        <w:ind w:firstLine="720"/>
        <w:jc w:val="both"/>
        <w:rPr>
          <w:rFonts w:ascii="Book Antiqua" w:hAnsi="Book Antiqua"/>
          <w:lang w:val="en-GB"/>
        </w:rPr>
      </w:pPr>
    </w:p>
    <w:p w14:paraId="4FF1DB0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objectives</w:t>
      </w:r>
    </w:p>
    <w:p w14:paraId="0C6BF70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To investigate whether biomarkers of hepatocellular injury at admission have prognostic value in predicting all-cause in-hospital mortality in patients with COVID-19.</w:t>
      </w:r>
    </w:p>
    <w:p w14:paraId="24F19C52" w14:textId="77777777" w:rsidR="00A77B3E" w:rsidRPr="005F0812" w:rsidRDefault="00A77B3E" w:rsidP="006309ED">
      <w:pPr>
        <w:spacing w:line="360" w:lineRule="auto"/>
        <w:ind w:firstLine="720"/>
        <w:jc w:val="both"/>
        <w:rPr>
          <w:rFonts w:ascii="Book Antiqua" w:hAnsi="Book Antiqua"/>
          <w:lang w:val="en-GB"/>
        </w:rPr>
      </w:pPr>
    </w:p>
    <w:p w14:paraId="6406AD29"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methods</w:t>
      </w:r>
    </w:p>
    <w:p w14:paraId="6F2DE0A6" w14:textId="141BF44A"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A retrospective cohort study was conducted on 376 consecutive adult patients admitted to Al-Azhar University Hospital, Assiut, Egypt and Abo Teeg General Hospital, Assiut, Egypt with confirmed COVID-19 from June 1, 2020 to July 30, 2020.</w:t>
      </w:r>
    </w:p>
    <w:p w14:paraId="4E102994" w14:textId="77777777" w:rsidR="00A77B3E" w:rsidRPr="005F0812" w:rsidRDefault="00A77B3E" w:rsidP="006309ED">
      <w:pPr>
        <w:spacing w:line="360" w:lineRule="auto"/>
        <w:ind w:firstLine="720"/>
        <w:jc w:val="both"/>
        <w:rPr>
          <w:rFonts w:ascii="Book Antiqua" w:hAnsi="Book Antiqua"/>
          <w:lang w:val="en-GB"/>
        </w:rPr>
      </w:pPr>
    </w:p>
    <w:p w14:paraId="5D17F48C"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results</w:t>
      </w:r>
    </w:p>
    <w:p w14:paraId="7B0D7A45" w14:textId="0F777E9F"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High-risk populations, especially patients aged ≥ 60 years, patients with aspartate </w:t>
      </w:r>
      <w:r w:rsidR="00E90111">
        <w:rPr>
          <w:rFonts w:ascii="Book Antiqua" w:eastAsia="Book Antiqua" w:hAnsi="Book Antiqua" w:cs="Book Antiqua"/>
          <w:color w:val="000000"/>
          <w:lang w:val="en-GB"/>
        </w:rPr>
        <w:t>amino</w:t>
      </w:r>
      <w:r w:rsidRPr="005F0812">
        <w:rPr>
          <w:rFonts w:ascii="Book Antiqua" w:eastAsia="Book Antiqua" w:hAnsi="Book Antiqua" w:cs="Book Antiqua"/>
          <w:color w:val="000000"/>
          <w:lang w:val="en-GB"/>
        </w:rPr>
        <w:t>transferase (AST)-dominant liver injury or those with diabetes, should be intensively monitored. Admission serum AST and serum ferritin levels have the strongest association with the prognosis of patients with COVID-19 and can be used to monitor patients with COVID-19 at risk of liver injury.</w:t>
      </w:r>
    </w:p>
    <w:p w14:paraId="4F1899FC" w14:textId="77777777" w:rsidR="00A77B3E" w:rsidRPr="005F0812" w:rsidRDefault="00A77B3E" w:rsidP="006309ED">
      <w:pPr>
        <w:spacing w:line="360" w:lineRule="auto"/>
        <w:ind w:firstLine="720"/>
        <w:jc w:val="both"/>
        <w:rPr>
          <w:rFonts w:ascii="Book Antiqua" w:hAnsi="Book Antiqua"/>
          <w:lang w:val="en-GB"/>
        </w:rPr>
      </w:pPr>
    </w:p>
    <w:p w14:paraId="7DD82831"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conclusions</w:t>
      </w:r>
    </w:p>
    <w:p w14:paraId="688AE339"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Liver injury with an AST-dominant pattern can predict the severity of COVID-19. This study confirmed an elevated level of ferritin in patients with COVID-19. Elevated serum ferritin levels are associated with in-hospital mortality.</w:t>
      </w:r>
    </w:p>
    <w:p w14:paraId="333BF2A0" w14:textId="77777777" w:rsidR="00A77B3E" w:rsidRPr="005F0812" w:rsidRDefault="00A77B3E" w:rsidP="006309ED">
      <w:pPr>
        <w:spacing w:line="360" w:lineRule="auto"/>
        <w:ind w:firstLine="720"/>
        <w:jc w:val="both"/>
        <w:rPr>
          <w:rFonts w:ascii="Book Antiqua" w:hAnsi="Book Antiqua"/>
          <w:lang w:val="en-GB"/>
        </w:rPr>
      </w:pPr>
    </w:p>
    <w:p w14:paraId="1DD7B3B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perspectives</w:t>
      </w:r>
    </w:p>
    <w:p w14:paraId="7715B01E" w14:textId="7641550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Meticulous monitoring is highly recommended for patients with COVID-19 presenting AST-dominant hepatocellular injury, especially those older than 60 years, patients with elevated serum ferritin levels or those with diabetes mellitus</w:t>
      </w:r>
      <w:r w:rsidRPr="005F0812">
        <w:rPr>
          <w:rFonts w:ascii="Book Antiqua" w:eastAsia="Book Antiqua" w:hAnsi="Book Antiqua" w:cs="Book Antiqua"/>
          <w:b/>
          <w:bCs/>
          <w:i/>
          <w:iCs/>
          <w:color w:val="000000"/>
          <w:lang w:val="en-GB"/>
        </w:rPr>
        <w:t>.</w:t>
      </w:r>
    </w:p>
    <w:p w14:paraId="161263CA" w14:textId="77777777" w:rsidR="00A77B3E" w:rsidRPr="005F0812" w:rsidRDefault="00A77B3E" w:rsidP="006309ED">
      <w:pPr>
        <w:spacing w:line="360" w:lineRule="auto"/>
        <w:ind w:firstLine="720"/>
        <w:jc w:val="both"/>
        <w:rPr>
          <w:rFonts w:ascii="Book Antiqua" w:hAnsi="Book Antiqua"/>
          <w:lang w:val="en-GB"/>
        </w:rPr>
      </w:pPr>
    </w:p>
    <w:p w14:paraId="5A8AFDA5"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t>ACKNOWLEDGEMENTS</w:t>
      </w:r>
    </w:p>
    <w:p w14:paraId="213184CD"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We appreciate the effort of all medical staff and technicians who agreed to participate in this study.</w:t>
      </w:r>
    </w:p>
    <w:p w14:paraId="03C0687F" w14:textId="77777777" w:rsidR="00A77B3E" w:rsidRPr="005F0812" w:rsidRDefault="00A77B3E" w:rsidP="006309ED">
      <w:pPr>
        <w:spacing w:line="360" w:lineRule="auto"/>
        <w:jc w:val="both"/>
        <w:rPr>
          <w:rFonts w:ascii="Book Antiqua" w:hAnsi="Book Antiqua"/>
          <w:lang w:val="en-GB"/>
        </w:rPr>
      </w:pPr>
    </w:p>
    <w:p w14:paraId="07757036"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REFERENCES</w:t>
      </w:r>
    </w:p>
    <w:p w14:paraId="3F5E713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 </w:t>
      </w:r>
      <w:r w:rsidRPr="005F0812">
        <w:rPr>
          <w:rFonts w:ascii="Book Antiqua" w:eastAsia="Book Antiqua" w:hAnsi="Book Antiqua" w:cs="Book Antiqua"/>
          <w:b/>
          <w:bCs/>
          <w:color w:val="000000"/>
          <w:lang w:val="en-GB"/>
        </w:rPr>
        <w:t>Wang Y</w:t>
      </w:r>
      <w:r w:rsidRPr="005F0812">
        <w:rPr>
          <w:rFonts w:ascii="Book Antiqua" w:eastAsia="Book Antiqua" w:hAnsi="Book Antiqua" w:cs="Book Antiqua"/>
          <w:color w:val="000000"/>
          <w:lang w:val="en-GB"/>
        </w:rPr>
        <w:t xml:space="preserve">, Liu S, Liu H, Li W, Lin F, Jiang L, Li X, Xu P, Zhang L, Zhao L, Cao Y, Kang J, Yang J, Li L, Liu X, Li Y, Nie R, Mu J, Lu F, Zhao S, Lu J, Zhao J. SARS-CoV-2 infection of the liver directly contributes to hepatic impairment in patients with COVID-19. </w:t>
      </w:r>
      <w:r w:rsidRPr="005F0812">
        <w:rPr>
          <w:rFonts w:ascii="Book Antiqua" w:eastAsia="Book Antiqua" w:hAnsi="Book Antiqua" w:cs="Book Antiqua"/>
          <w:i/>
          <w:iCs/>
          <w:color w:val="000000"/>
          <w:lang w:val="en-GB"/>
        </w:rPr>
        <w:t>J Hepatol</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73</w:t>
      </w:r>
      <w:r w:rsidRPr="005F0812">
        <w:rPr>
          <w:rFonts w:ascii="Book Antiqua" w:eastAsia="Book Antiqua" w:hAnsi="Book Antiqua" w:cs="Book Antiqua"/>
          <w:color w:val="000000"/>
          <w:lang w:val="en-GB"/>
        </w:rPr>
        <w:t>: 807-816 [PMID: 32437830 DOI: 10.1016/j.jhep.2020.05.002]</w:t>
      </w:r>
    </w:p>
    <w:p w14:paraId="2529AA77"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2 </w:t>
      </w:r>
      <w:r w:rsidRPr="005F0812">
        <w:rPr>
          <w:rFonts w:ascii="Book Antiqua" w:eastAsia="Book Antiqua" w:hAnsi="Book Antiqua" w:cs="Book Antiqua"/>
          <w:b/>
          <w:bCs/>
          <w:color w:val="000000"/>
          <w:lang w:val="en-GB"/>
        </w:rPr>
        <w:t>Hamming I</w:t>
      </w:r>
      <w:r w:rsidRPr="005F0812">
        <w:rPr>
          <w:rFonts w:ascii="Book Antiqua" w:eastAsia="Book Antiqua" w:hAnsi="Book Antiqua" w:cs="Book Antiqua"/>
          <w:color w:val="000000"/>
          <w:lang w:val="en-GB"/>
        </w:rPr>
        <w:t xml:space="preserve">, Timens W, Bulthuis ML, Lely AT, Navis G, van Goor H. Tissue distribution of ACE2 protein, the functional receptor for SARS coronavirus. A first step in understanding SARS pathogenesis. </w:t>
      </w:r>
      <w:r w:rsidRPr="005F0812">
        <w:rPr>
          <w:rFonts w:ascii="Book Antiqua" w:eastAsia="Book Antiqua" w:hAnsi="Book Antiqua" w:cs="Book Antiqua"/>
          <w:i/>
          <w:iCs/>
          <w:color w:val="000000"/>
          <w:lang w:val="en-GB"/>
        </w:rPr>
        <w:t>J Pathol</w:t>
      </w:r>
      <w:r w:rsidRPr="005F0812">
        <w:rPr>
          <w:rFonts w:ascii="Book Antiqua" w:eastAsia="Book Antiqua" w:hAnsi="Book Antiqua" w:cs="Book Antiqua"/>
          <w:color w:val="000000"/>
          <w:lang w:val="en-GB"/>
        </w:rPr>
        <w:t xml:space="preserve"> 2004; </w:t>
      </w:r>
      <w:r w:rsidRPr="005F0812">
        <w:rPr>
          <w:rFonts w:ascii="Book Antiqua" w:eastAsia="Book Antiqua" w:hAnsi="Book Antiqua" w:cs="Book Antiqua"/>
          <w:b/>
          <w:bCs/>
          <w:color w:val="000000"/>
          <w:lang w:val="en-GB"/>
        </w:rPr>
        <w:t>203</w:t>
      </w:r>
      <w:r w:rsidRPr="005F0812">
        <w:rPr>
          <w:rFonts w:ascii="Book Antiqua" w:eastAsia="Book Antiqua" w:hAnsi="Book Antiqua" w:cs="Book Antiqua"/>
          <w:color w:val="000000"/>
          <w:lang w:val="en-GB"/>
        </w:rPr>
        <w:t>: 631-637 [PMID: 15141377 DOI: 10.1002/path.1570]</w:t>
      </w:r>
    </w:p>
    <w:p w14:paraId="4A7D5126"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3 </w:t>
      </w:r>
      <w:r w:rsidRPr="005F0812">
        <w:rPr>
          <w:rFonts w:ascii="Book Antiqua" w:eastAsia="Book Antiqua" w:hAnsi="Book Antiqua" w:cs="Book Antiqua"/>
          <w:b/>
          <w:bCs/>
          <w:color w:val="000000"/>
          <w:lang w:val="en-GB"/>
        </w:rPr>
        <w:t>Portincasa P</w:t>
      </w:r>
      <w:r w:rsidRPr="005F0812">
        <w:rPr>
          <w:rFonts w:ascii="Book Antiqua" w:eastAsia="Book Antiqua" w:hAnsi="Book Antiqua" w:cs="Book Antiqua"/>
          <w:color w:val="000000"/>
          <w:lang w:val="en-GB"/>
        </w:rPr>
        <w:t xml:space="preserve">, Krawczyk M, Machill A, Lammert F, Di Ciaula A. Hepatic consequences of COVID-19 infection. Lapping or biting? </w:t>
      </w:r>
      <w:r w:rsidRPr="005F0812">
        <w:rPr>
          <w:rFonts w:ascii="Book Antiqua" w:eastAsia="Book Antiqua" w:hAnsi="Book Antiqua" w:cs="Book Antiqua"/>
          <w:i/>
          <w:iCs/>
          <w:color w:val="000000"/>
          <w:lang w:val="en-GB"/>
        </w:rPr>
        <w:t>Eur J Intern Med</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77</w:t>
      </w:r>
      <w:r w:rsidRPr="005F0812">
        <w:rPr>
          <w:rFonts w:ascii="Book Antiqua" w:eastAsia="Book Antiqua" w:hAnsi="Book Antiqua" w:cs="Book Antiqua"/>
          <w:color w:val="000000"/>
          <w:lang w:val="en-GB"/>
        </w:rPr>
        <w:t>: 18-24 [PMID: 32507608 DOI: 10.1016/j.ejim.2020.05.035]</w:t>
      </w:r>
    </w:p>
    <w:p w14:paraId="449F084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4 </w:t>
      </w:r>
      <w:r w:rsidRPr="005F0812">
        <w:rPr>
          <w:rFonts w:ascii="Book Antiqua" w:eastAsia="Book Antiqua" w:hAnsi="Book Antiqua" w:cs="Book Antiqua"/>
          <w:b/>
          <w:bCs/>
          <w:color w:val="000000"/>
          <w:lang w:val="en-GB"/>
        </w:rPr>
        <w:t>Li J</w:t>
      </w:r>
      <w:r w:rsidRPr="005F0812">
        <w:rPr>
          <w:rFonts w:ascii="Book Antiqua" w:eastAsia="Book Antiqua" w:hAnsi="Book Antiqua" w:cs="Book Antiqua"/>
          <w:color w:val="000000"/>
          <w:lang w:val="en-GB"/>
        </w:rPr>
        <w:t xml:space="preserve">, Fan JG. Characteristics and Mechanism of Liver Injury in 2019 Coronavirus Disease. </w:t>
      </w:r>
      <w:r w:rsidRPr="005F0812">
        <w:rPr>
          <w:rFonts w:ascii="Book Antiqua" w:eastAsia="Book Antiqua" w:hAnsi="Book Antiqua" w:cs="Book Antiqua"/>
          <w:i/>
          <w:iCs/>
          <w:color w:val="000000"/>
          <w:lang w:val="en-GB"/>
        </w:rPr>
        <w:t>J Clin Transl Hepatol</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8</w:t>
      </w:r>
      <w:r w:rsidRPr="005F0812">
        <w:rPr>
          <w:rFonts w:ascii="Book Antiqua" w:eastAsia="Book Antiqua" w:hAnsi="Book Antiqua" w:cs="Book Antiqua"/>
          <w:color w:val="000000"/>
          <w:lang w:val="en-GB"/>
        </w:rPr>
        <w:t>: 13-17 [PMID: 32274341 DOI: 10.14218/JCTH.2020.00019]</w:t>
      </w:r>
    </w:p>
    <w:p w14:paraId="240E6896"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5 </w:t>
      </w:r>
      <w:r w:rsidRPr="005F0812">
        <w:rPr>
          <w:rFonts w:ascii="Book Antiqua" w:eastAsia="Book Antiqua" w:hAnsi="Book Antiqua" w:cs="Book Antiqua"/>
          <w:b/>
          <w:bCs/>
          <w:color w:val="000000"/>
          <w:lang w:val="en-GB"/>
        </w:rPr>
        <w:t>Xu L</w:t>
      </w:r>
      <w:r w:rsidRPr="005F0812">
        <w:rPr>
          <w:rFonts w:ascii="Book Antiqua" w:eastAsia="Book Antiqua" w:hAnsi="Book Antiqua" w:cs="Book Antiqua"/>
          <w:color w:val="000000"/>
          <w:lang w:val="en-GB"/>
        </w:rPr>
        <w:t xml:space="preserve">, Liu J, Lu M, Yang D, Zheng X. Liver injury during highly pathogenic human coronavirus infections. </w:t>
      </w:r>
      <w:r w:rsidRPr="005F0812">
        <w:rPr>
          <w:rFonts w:ascii="Book Antiqua" w:eastAsia="Book Antiqua" w:hAnsi="Book Antiqua" w:cs="Book Antiqua"/>
          <w:i/>
          <w:iCs/>
          <w:color w:val="000000"/>
          <w:lang w:val="en-GB"/>
        </w:rPr>
        <w:t>Liver Int</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40</w:t>
      </w:r>
      <w:r w:rsidRPr="005F0812">
        <w:rPr>
          <w:rFonts w:ascii="Book Antiqua" w:eastAsia="Book Antiqua" w:hAnsi="Book Antiqua" w:cs="Book Antiqua"/>
          <w:color w:val="000000"/>
          <w:lang w:val="en-GB"/>
        </w:rPr>
        <w:t>: 998-1004 [PMID: 32170806 DOI: 10.1111/</w:t>
      </w:r>
      <w:r w:rsidR="00237DA2" w:rsidRPr="005F0812">
        <w:rPr>
          <w:rFonts w:ascii="Book Antiqua" w:hAnsi="Book Antiqua" w:cs="Book Antiqua"/>
          <w:color w:val="000000"/>
          <w:lang w:val="en-GB" w:eastAsia="zh-CN"/>
        </w:rPr>
        <w:t>l</w:t>
      </w:r>
      <w:r w:rsidRPr="005F0812">
        <w:rPr>
          <w:rFonts w:ascii="Book Antiqua" w:eastAsia="Book Antiqua" w:hAnsi="Book Antiqua" w:cs="Book Antiqua"/>
          <w:color w:val="000000"/>
          <w:lang w:val="en-GB"/>
        </w:rPr>
        <w:t>iv.14435]</w:t>
      </w:r>
    </w:p>
    <w:p w14:paraId="57CF0A9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6 </w:t>
      </w:r>
      <w:r w:rsidRPr="005F0812">
        <w:rPr>
          <w:rFonts w:ascii="Book Antiqua" w:eastAsia="Book Antiqua" w:hAnsi="Book Antiqua" w:cs="Book Antiqua"/>
          <w:b/>
          <w:bCs/>
          <w:color w:val="000000"/>
          <w:lang w:val="en-GB"/>
        </w:rPr>
        <w:t>Jin X</w:t>
      </w:r>
      <w:r w:rsidRPr="005F0812">
        <w:rPr>
          <w:rFonts w:ascii="Book Antiqua" w:eastAsia="Book Antiqua" w:hAnsi="Book Antiqua" w:cs="Book Antiqua"/>
          <w:color w:val="000000"/>
          <w:lang w:val="en-GB"/>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sidRPr="005F0812">
        <w:rPr>
          <w:rFonts w:ascii="Book Antiqua" w:eastAsia="Book Antiqua" w:hAnsi="Book Antiqua" w:cs="Book Antiqua"/>
          <w:i/>
          <w:iCs/>
          <w:color w:val="000000"/>
          <w:lang w:val="en-GB"/>
        </w:rPr>
        <w:t>Gut</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69</w:t>
      </w:r>
      <w:r w:rsidRPr="005F0812">
        <w:rPr>
          <w:rFonts w:ascii="Book Antiqua" w:eastAsia="Book Antiqua" w:hAnsi="Book Antiqua" w:cs="Book Antiqua"/>
          <w:color w:val="000000"/>
          <w:lang w:val="en-GB"/>
        </w:rPr>
        <w:t>: 1002-1009 [PMID: 32213556 DOI: 10.1136/gutjnl-2020-320926]</w:t>
      </w:r>
    </w:p>
    <w:p w14:paraId="3CD5793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7 </w:t>
      </w:r>
      <w:r w:rsidRPr="005F0812">
        <w:rPr>
          <w:rFonts w:ascii="Book Antiqua" w:eastAsia="Book Antiqua" w:hAnsi="Book Antiqua" w:cs="Book Antiqua"/>
          <w:b/>
          <w:bCs/>
          <w:color w:val="000000"/>
          <w:lang w:val="en-GB"/>
        </w:rPr>
        <w:t>Chen P</w:t>
      </w:r>
      <w:r w:rsidRPr="005F0812">
        <w:rPr>
          <w:rFonts w:ascii="Book Antiqua" w:eastAsia="Book Antiqua" w:hAnsi="Book Antiqua" w:cs="Book Antiqua"/>
          <w:color w:val="000000"/>
          <w:lang w:val="en-GB"/>
        </w:rPr>
        <w:t xml:space="preserve">, Zhou B. Clinical Characteristics of COVID-19 in Patients With Liver Injury. </w:t>
      </w:r>
      <w:r w:rsidRPr="005F0812">
        <w:rPr>
          <w:rFonts w:ascii="Book Antiqua" w:eastAsia="Book Antiqua" w:hAnsi="Book Antiqua" w:cs="Book Antiqua"/>
          <w:i/>
          <w:iCs/>
          <w:color w:val="000000"/>
          <w:lang w:val="en-GB"/>
        </w:rPr>
        <w:t>Clin Gastroenterol Hepatol</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18</w:t>
      </w:r>
      <w:r w:rsidRPr="005F0812">
        <w:rPr>
          <w:rFonts w:ascii="Book Antiqua" w:eastAsia="Book Antiqua" w:hAnsi="Book Antiqua" w:cs="Book Antiqua"/>
          <w:color w:val="000000"/>
          <w:lang w:val="en-GB"/>
        </w:rPr>
        <w:t>: 2846-2847 [PMID: 32407783 DOI: 10.1016/j.cgh.2020.04.043]</w:t>
      </w:r>
    </w:p>
    <w:p w14:paraId="64978486"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8 </w:t>
      </w:r>
      <w:r w:rsidRPr="005F0812">
        <w:rPr>
          <w:rFonts w:ascii="Book Antiqua" w:eastAsia="Book Antiqua" w:hAnsi="Book Antiqua" w:cs="Book Antiqua"/>
          <w:b/>
          <w:bCs/>
          <w:color w:val="000000"/>
          <w:lang w:val="en-GB"/>
        </w:rPr>
        <w:t>Pawlowska J</w:t>
      </w:r>
      <w:r w:rsidRPr="005F0812">
        <w:rPr>
          <w:rFonts w:ascii="Book Antiqua" w:eastAsia="Book Antiqua" w:hAnsi="Book Antiqua" w:cs="Book Antiqua"/>
          <w:color w:val="000000"/>
          <w:lang w:val="en-GB"/>
        </w:rPr>
        <w:t xml:space="preserve">, Lebensztejn DM, Jankowska I. Coronavirus Disease 2019-Liver Injury-Literature Review and Guidelines Based on the Recommendations of Hepatological Societies. </w:t>
      </w:r>
      <w:r w:rsidRPr="005F0812">
        <w:rPr>
          <w:rFonts w:ascii="Book Antiqua" w:eastAsia="Book Antiqua" w:hAnsi="Book Antiqua" w:cs="Book Antiqua"/>
          <w:i/>
          <w:iCs/>
          <w:color w:val="000000"/>
          <w:lang w:val="en-GB"/>
        </w:rPr>
        <w:t>Pediatr Gastroenterol Hepatol Nutr</w:t>
      </w:r>
      <w:r w:rsidRPr="005F0812">
        <w:rPr>
          <w:rFonts w:ascii="Book Antiqua" w:eastAsia="Book Antiqua" w:hAnsi="Book Antiqua" w:cs="Book Antiqua"/>
          <w:color w:val="000000"/>
          <w:lang w:val="en-GB"/>
        </w:rPr>
        <w:t xml:space="preserve"> 2021; </w:t>
      </w:r>
      <w:r w:rsidRPr="005F0812">
        <w:rPr>
          <w:rFonts w:ascii="Book Antiqua" w:eastAsia="Book Antiqua" w:hAnsi="Book Antiqua" w:cs="Book Antiqua"/>
          <w:b/>
          <w:bCs/>
          <w:color w:val="000000"/>
          <w:lang w:val="en-GB"/>
        </w:rPr>
        <w:t>24</w:t>
      </w:r>
      <w:r w:rsidRPr="005F0812">
        <w:rPr>
          <w:rFonts w:ascii="Book Antiqua" w:eastAsia="Book Antiqua" w:hAnsi="Book Antiqua" w:cs="Book Antiqua"/>
          <w:color w:val="000000"/>
          <w:lang w:val="en-GB"/>
        </w:rPr>
        <w:t>: 119-126 [PMID: 33833967 DOI: 10.5223/pghn.2021.24.2.119]</w:t>
      </w:r>
    </w:p>
    <w:p w14:paraId="23C3F135"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9 </w:t>
      </w:r>
      <w:r w:rsidRPr="005F0812">
        <w:rPr>
          <w:rFonts w:ascii="Book Antiqua" w:eastAsia="Book Antiqua" w:hAnsi="Book Antiqua" w:cs="Book Antiqua"/>
          <w:b/>
          <w:bCs/>
          <w:color w:val="000000"/>
          <w:lang w:val="en-GB"/>
        </w:rPr>
        <w:t>Bloom PP</w:t>
      </w:r>
      <w:r w:rsidRPr="005F0812">
        <w:rPr>
          <w:rFonts w:ascii="Book Antiqua" w:eastAsia="Book Antiqua" w:hAnsi="Book Antiqua" w:cs="Book Antiqua"/>
          <w:color w:val="000000"/>
          <w:lang w:val="en-GB"/>
        </w:rPr>
        <w:t xml:space="preserve">, Meyerowitz EA, Reinus Z, Daidone M, Gustafson J, Kim AY, Schaefer E, Chung RT. Liver Biochemistries in Hospitalized Patients With COVID-19. </w:t>
      </w:r>
      <w:r w:rsidRPr="005F0812">
        <w:rPr>
          <w:rFonts w:ascii="Book Antiqua" w:eastAsia="Book Antiqua" w:hAnsi="Book Antiqua" w:cs="Book Antiqua"/>
          <w:i/>
          <w:iCs/>
          <w:color w:val="000000"/>
          <w:lang w:val="en-GB"/>
        </w:rPr>
        <w:t>Hepatology</w:t>
      </w:r>
      <w:r w:rsidRPr="005F0812">
        <w:rPr>
          <w:rFonts w:ascii="Book Antiqua" w:eastAsia="Book Antiqua" w:hAnsi="Book Antiqua" w:cs="Book Antiqua"/>
          <w:color w:val="000000"/>
          <w:lang w:val="en-GB"/>
        </w:rPr>
        <w:t xml:space="preserve"> 2021; </w:t>
      </w:r>
      <w:r w:rsidRPr="005F0812">
        <w:rPr>
          <w:rFonts w:ascii="Book Antiqua" w:eastAsia="Book Antiqua" w:hAnsi="Book Antiqua" w:cs="Book Antiqua"/>
          <w:b/>
          <w:bCs/>
          <w:color w:val="000000"/>
          <w:lang w:val="en-GB"/>
        </w:rPr>
        <w:t>73</w:t>
      </w:r>
      <w:r w:rsidRPr="005F0812">
        <w:rPr>
          <w:rFonts w:ascii="Book Antiqua" w:eastAsia="Book Antiqua" w:hAnsi="Book Antiqua" w:cs="Book Antiqua"/>
          <w:color w:val="000000"/>
          <w:lang w:val="en-GB"/>
        </w:rPr>
        <w:t>: 890-900 [PMID: 32415860 DOI: 10.1002/hep.31326]</w:t>
      </w:r>
    </w:p>
    <w:p w14:paraId="2F0940A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10 </w:t>
      </w:r>
      <w:r w:rsidRPr="005F0812">
        <w:rPr>
          <w:rFonts w:ascii="Book Antiqua" w:eastAsia="Book Antiqua" w:hAnsi="Book Antiqua" w:cs="Book Antiqua"/>
          <w:b/>
          <w:bCs/>
          <w:color w:val="000000"/>
          <w:lang w:val="en-GB"/>
        </w:rPr>
        <w:t>Zhang SS</w:t>
      </w:r>
      <w:r w:rsidRPr="005F0812">
        <w:rPr>
          <w:rFonts w:ascii="Book Antiqua" w:eastAsia="Book Antiqua" w:hAnsi="Book Antiqua" w:cs="Book Antiqua"/>
          <w:color w:val="000000"/>
          <w:lang w:val="en-GB"/>
        </w:rPr>
        <w:t xml:space="preserve">, Dong L, Wang GM, Tian Y, Ye XF, Zhao Y, Liu ZY, Zhai JY, Zhao ZL, Wang JH, Zhang HM, Li XL, Wu CX, Yang CT, Yang LJ, Du HX, Wang H, Ge QG, Xiu DR, Shen N. Progressive liver injury and increased mortality risk in COVID-19 patients: A retrospective cohort study in China. </w:t>
      </w:r>
      <w:r w:rsidRPr="005F0812">
        <w:rPr>
          <w:rFonts w:ascii="Book Antiqua" w:eastAsia="Book Antiqua" w:hAnsi="Book Antiqua" w:cs="Book Antiqua"/>
          <w:i/>
          <w:iCs/>
          <w:color w:val="000000"/>
          <w:lang w:val="en-GB"/>
        </w:rPr>
        <w:t>World J Gastroenterol</w:t>
      </w:r>
      <w:r w:rsidRPr="005F0812">
        <w:rPr>
          <w:rFonts w:ascii="Book Antiqua" w:eastAsia="Book Antiqua" w:hAnsi="Book Antiqua" w:cs="Book Antiqua"/>
          <w:color w:val="000000"/>
          <w:lang w:val="en-GB"/>
        </w:rPr>
        <w:t xml:space="preserve"> 2021; </w:t>
      </w:r>
      <w:r w:rsidRPr="005F0812">
        <w:rPr>
          <w:rFonts w:ascii="Book Antiqua" w:eastAsia="Book Antiqua" w:hAnsi="Book Antiqua" w:cs="Book Antiqua"/>
          <w:b/>
          <w:bCs/>
          <w:color w:val="000000"/>
          <w:lang w:val="en-GB"/>
        </w:rPr>
        <w:t>27</w:t>
      </w:r>
      <w:r w:rsidRPr="005F0812">
        <w:rPr>
          <w:rFonts w:ascii="Book Antiqua" w:eastAsia="Book Antiqua" w:hAnsi="Book Antiqua" w:cs="Book Antiqua"/>
          <w:color w:val="000000"/>
          <w:lang w:val="en-GB"/>
        </w:rPr>
        <w:t>: 835-853 [PMID: 33727773 DOI: 10.3748/wjg.v27.i9.835]</w:t>
      </w:r>
    </w:p>
    <w:p w14:paraId="1101AADF"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11 </w:t>
      </w:r>
      <w:r w:rsidRPr="005F0812">
        <w:rPr>
          <w:rFonts w:ascii="Book Antiqua" w:eastAsia="Book Antiqua" w:hAnsi="Book Antiqua" w:cs="Book Antiqua"/>
          <w:b/>
          <w:bCs/>
          <w:color w:val="000000"/>
          <w:lang w:val="en-GB"/>
        </w:rPr>
        <w:t>Herta T</w:t>
      </w:r>
      <w:r w:rsidRPr="005F0812">
        <w:rPr>
          <w:rFonts w:ascii="Book Antiqua" w:eastAsia="Book Antiqua" w:hAnsi="Book Antiqua" w:cs="Book Antiqua"/>
          <w:color w:val="000000"/>
          <w:lang w:val="en-GB"/>
        </w:rPr>
        <w:t xml:space="preserve">, Berg T. COVID-19 and the liver - Lessons learned. </w:t>
      </w:r>
      <w:r w:rsidRPr="005F0812">
        <w:rPr>
          <w:rFonts w:ascii="Book Antiqua" w:eastAsia="Book Antiqua" w:hAnsi="Book Antiqua" w:cs="Book Antiqua"/>
          <w:i/>
          <w:iCs/>
          <w:color w:val="000000"/>
          <w:lang w:val="en-GB"/>
        </w:rPr>
        <w:t>Liver Int</w:t>
      </w:r>
      <w:r w:rsidRPr="005F0812">
        <w:rPr>
          <w:rFonts w:ascii="Book Antiqua" w:eastAsia="Book Antiqua" w:hAnsi="Book Antiqua" w:cs="Book Antiqua"/>
          <w:color w:val="000000"/>
          <w:lang w:val="en-GB"/>
        </w:rPr>
        <w:t xml:space="preserve"> 2021; </w:t>
      </w:r>
      <w:r w:rsidRPr="005F0812">
        <w:rPr>
          <w:rFonts w:ascii="Book Antiqua" w:eastAsia="Book Antiqua" w:hAnsi="Book Antiqua" w:cs="Book Antiqua"/>
          <w:b/>
          <w:bCs/>
          <w:color w:val="000000"/>
          <w:lang w:val="en-GB"/>
        </w:rPr>
        <w:t>41 Suppl 1</w:t>
      </w:r>
      <w:r w:rsidRPr="005F0812">
        <w:rPr>
          <w:rFonts w:ascii="Book Antiqua" w:eastAsia="Book Antiqua" w:hAnsi="Book Antiqua" w:cs="Book Antiqua"/>
          <w:color w:val="000000"/>
          <w:lang w:val="en-GB"/>
        </w:rPr>
        <w:t>: 1-8 [PMID: 34155789 DOI: 10.1111/</w:t>
      </w:r>
      <w:r w:rsidR="00237DA2" w:rsidRPr="005F0812">
        <w:rPr>
          <w:rFonts w:ascii="Book Antiqua" w:hAnsi="Book Antiqua" w:cs="Book Antiqua"/>
          <w:color w:val="000000"/>
          <w:lang w:val="en-GB" w:eastAsia="zh-CN"/>
        </w:rPr>
        <w:t>l</w:t>
      </w:r>
      <w:r w:rsidRPr="005F0812">
        <w:rPr>
          <w:rFonts w:ascii="Book Antiqua" w:eastAsia="Book Antiqua" w:hAnsi="Book Antiqua" w:cs="Book Antiqua"/>
          <w:color w:val="000000"/>
          <w:lang w:val="en-GB"/>
        </w:rPr>
        <w:t>iv.14854]</w:t>
      </w:r>
    </w:p>
    <w:p w14:paraId="0804F7F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12 </w:t>
      </w:r>
      <w:r w:rsidRPr="005F0812">
        <w:rPr>
          <w:rFonts w:ascii="Book Antiqua" w:eastAsia="Book Antiqua" w:hAnsi="Book Antiqua" w:cs="Book Antiqua"/>
          <w:b/>
          <w:bCs/>
          <w:color w:val="000000"/>
          <w:lang w:val="en-GB"/>
        </w:rPr>
        <w:t>Botros M</w:t>
      </w:r>
      <w:r w:rsidRPr="005F0812">
        <w:rPr>
          <w:rFonts w:ascii="Book Antiqua" w:eastAsia="Book Antiqua" w:hAnsi="Book Antiqua" w:cs="Book Antiqua"/>
          <w:color w:val="000000"/>
          <w:lang w:val="en-GB"/>
        </w:rPr>
        <w:t xml:space="preserve">, Sikaris KA. The de ritis ratio: the test of time. </w:t>
      </w:r>
      <w:r w:rsidRPr="005F0812">
        <w:rPr>
          <w:rFonts w:ascii="Book Antiqua" w:eastAsia="Book Antiqua" w:hAnsi="Book Antiqua" w:cs="Book Antiqua"/>
          <w:i/>
          <w:iCs/>
          <w:color w:val="000000"/>
          <w:lang w:val="en-GB"/>
        </w:rPr>
        <w:t>Clin Biochem Rev</w:t>
      </w:r>
      <w:r w:rsidRPr="005F0812">
        <w:rPr>
          <w:rFonts w:ascii="Book Antiqua" w:eastAsia="Book Antiqua" w:hAnsi="Book Antiqua" w:cs="Book Antiqua"/>
          <w:color w:val="000000"/>
          <w:lang w:val="en-GB"/>
        </w:rPr>
        <w:t xml:space="preserve"> 2013; </w:t>
      </w:r>
      <w:r w:rsidRPr="005F0812">
        <w:rPr>
          <w:rFonts w:ascii="Book Antiqua" w:eastAsia="Book Antiqua" w:hAnsi="Book Antiqua" w:cs="Book Antiqua"/>
          <w:b/>
          <w:bCs/>
          <w:color w:val="000000"/>
          <w:lang w:val="en-GB"/>
        </w:rPr>
        <w:t>34</w:t>
      </w:r>
      <w:r w:rsidRPr="005F0812">
        <w:rPr>
          <w:rFonts w:ascii="Book Antiqua" w:eastAsia="Book Antiqua" w:hAnsi="Book Antiqua" w:cs="Book Antiqua"/>
          <w:color w:val="000000"/>
          <w:lang w:val="en-GB"/>
        </w:rPr>
        <w:t>: 117-130 [PMID: 24353357]</w:t>
      </w:r>
    </w:p>
    <w:p w14:paraId="41A8A49A"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13 </w:t>
      </w:r>
      <w:r w:rsidRPr="005F0812">
        <w:rPr>
          <w:rFonts w:ascii="Book Antiqua" w:eastAsia="Book Antiqua" w:hAnsi="Book Antiqua" w:cs="Book Antiqua"/>
          <w:b/>
          <w:bCs/>
          <w:color w:val="000000"/>
          <w:lang w:val="en-GB"/>
        </w:rPr>
        <w:t>Yazar H</w:t>
      </w:r>
      <w:r w:rsidRPr="005F0812">
        <w:rPr>
          <w:rFonts w:ascii="Book Antiqua" w:eastAsia="Book Antiqua" w:hAnsi="Book Antiqua" w:cs="Book Antiqua"/>
          <w:color w:val="000000"/>
          <w:lang w:val="en-GB"/>
        </w:rPr>
        <w:t xml:space="preserve">, Kayacan Y, Ozdin M. De Ritis ratio and biochemical parameters in COVID-19 patients. </w:t>
      </w:r>
      <w:r w:rsidRPr="005F0812">
        <w:rPr>
          <w:rFonts w:ascii="Book Antiqua" w:eastAsia="Book Antiqua" w:hAnsi="Book Antiqua" w:cs="Book Antiqua"/>
          <w:i/>
          <w:iCs/>
          <w:color w:val="000000"/>
          <w:lang w:val="en-GB"/>
        </w:rPr>
        <w:t>Arch Physiol Biochem</w:t>
      </w:r>
      <w:r w:rsidRPr="005F0812">
        <w:rPr>
          <w:rFonts w:ascii="Book Antiqua" w:eastAsia="Book Antiqua" w:hAnsi="Book Antiqua" w:cs="Book Antiqua"/>
          <w:color w:val="000000"/>
          <w:lang w:val="en-GB"/>
        </w:rPr>
        <w:t xml:space="preserve"> 2020</w:t>
      </w:r>
      <w:r w:rsidR="00D249F5"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1-5 [PMID: 32683882 DOI: 10.1080/13813455.2020.1788604]</w:t>
      </w:r>
    </w:p>
    <w:p w14:paraId="7DBF8FCB"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14 </w:t>
      </w:r>
      <w:r w:rsidRPr="005F0812">
        <w:rPr>
          <w:rFonts w:ascii="Book Antiqua" w:eastAsia="Book Antiqua" w:hAnsi="Book Antiqua" w:cs="Book Antiqua"/>
          <w:b/>
          <w:bCs/>
          <w:color w:val="000000"/>
          <w:lang w:val="en-GB"/>
        </w:rPr>
        <w:t>Zhao L</w:t>
      </w:r>
      <w:r w:rsidRPr="005F0812">
        <w:rPr>
          <w:rFonts w:ascii="Book Antiqua" w:eastAsia="Book Antiqua" w:hAnsi="Book Antiqua" w:cs="Book Antiqua"/>
          <w:color w:val="000000"/>
          <w:lang w:val="en-GB"/>
        </w:rPr>
        <w:t xml:space="preserve">, Cheng J, Chen Y, Li Q, Han B, Chen Y, Xia F, Chen C, Lin D, Yu X, Wang N, Lu Y. Serum alanine aminotransferase/aspartate aminotransferase ratio is one of the best markers of insulin resistance in the Chinese population. </w:t>
      </w:r>
      <w:r w:rsidRPr="005F0812">
        <w:rPr>
          <w:rFonts w:ascii="Book Antiqua" w:eastAsia="Book Antiqua" w:hAnsi="Book Antiqua" w:cs="Book Antiqua"/>
          <w:i/>
          <w:iCs/>
          <w:color w:val="000000"/>
          <w:lang w:val="en-GB"/>
        </w:rPr>
        <w:t>Nutr Metab (Lond)</w:t>
      </w:r>
      <w:r w:rsidRPr="005F0812">
        <w:rPr>
          <w:rFonts w:ascii="Book Antiqua" w:eastAsia="Book Antiqua" w:hAnsi="Book Antiqua" w:cs="Book Antiqua"/>
          <w:color w:val="000000"/>
          <w:lang w:val="en-GB"/>
        </w:rPr>
        <w:t xml:space="preserve"> 2017; </w:t>
      </w:r>
      <w:r w:rsidRPr="005F0812">
        <w:rPr>
          <w:rFonts w:ascii="Book Antiqua" w:eastAsia="Book Antiqua" w:hAnsi="Book Antiqua" w:cs="Book Antiqua"/>
          <w:b/>
          <w:bCs/>
          <w:color w:val="000000"/>
          <w:lang w:val="en-GB"/>
        </w:rPr>
        <w:t>14</w:t>
      </w:r>
      <w:r w:rsidRPr="005F0812">
        <w:rPr>
          <w:rFonts w:ascii="Book Antiqua" w:eastAsia="Book Antiqua" w:hAnsi="Book Antiqua" w:cs="Book Antiqua"/>
          <w:color w:val="000000"/>
          <w:lang w:val="en-GB"/>
        </w:rPr>
        <w:t>: 64 [PMID: 29051770 DOI: 10.1186/s12986-017-0219-x]</w:t>
      </w:r>
    </w:p>
    <w:p w14:paraId="38FC558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15 </w:t>
      </w:r>
      <w:r w:rsidRPr="005F0812">
        <w:rPr>
          <w:rFonts w:ascii="Book Antiqua" w:eastAsia="Book Antiqua" w:hAnsi="Book Antiqua" w:cs="Book Antiqua"/>
          <w:b/>
          <w:bCs/>
          <w:color w:val="000000"/>
          <w:lang w:val="en-GB"/>
        </w:rPr>
        <w:t>Diao B</w:t>
      </w:r>
      <w:r w:rsidRPr="005F0812">
        <w:rPr>
          <w:rFonts w:ascii="Book Antiqua" w:eastAsia="Book Antiqua" w:hAnsi="Book Antiqua" w:cs="Book Antiqua"/>
          <w:color w:val="000000"/>
          <w:lang w:val="en-GB"/>
        </w:rPr>
        <w:t xml:space="preserve">, Wang C, Tan Y, Chen X, Liu Y, Ning L, Chen L, Li M, Liu Y, Wang G, Yuan Z, Feng Z, Zhang Y, Wu Y, Chen Y. Reduction and Functional Exhaustion of T Cells in Patients With Coronavirus Disease 2019 (COVID-19). </w:t>
      </w:r>
      <w:r w:rsidRPr="005F0812">
        <w:rPr>
          <w:rFonts w:ascii="Book Antiqua" w:eastAsia="Book Antiqua" w:hAnsi="Book Antiqua" w:cs="Book Antiqua"/>
          <w:i/>
          <w:iCs/>
          <w:color w:val="000000"/>
          <w:lang w:val="en-GB"/>
        </w:rPr>
        <w:t>Front Immunol</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11</w:t>
      </w:r>
      <w:r w:rsidRPr="005F0812">
        <w:rPr>
          <w:rFonts w:ascii="Book Antiqua" w:eastAsia="Book Antiqua" w:hAnsi="Book Antiqua" w:cs="Book Antiqua"/>
          <w:color w:val="000000"/>
          <w:lang w:val="en-GB"/>
        </w:rPr>
        <w:t>: 827 [PMID: 32425950 DOI: 10.3389/fimmu.2020.00827]</w:t>
      </w:r>
    </w:p>
    <w:p w14:paraId="4369325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16 </w:t>
      </w:r>
      <w:r w:rsidRPr="005F0812">
        <w:rPr>
          <w:rFonts w:ascii="Book Antiqua" w:eastAsia="Book Antiqua" w:hAnsi="Book Antiqua" w:cs="Book Antiqua"/>
          <w:b/>
          <w:bCs/>
          <w:color w:val="000000"/>
          <w:lang w:val="en-GB"/>
        </w:rPr>
        <w:t>Deng F</w:t>
      </w:r>
      <w:r w:rsidRPr="005F0812">
        <w:rPr>
          <w:rFonts w:ascii="Book Antiqua" w:eastAsia="Book Antiqua" w:hAnsi="Book Antiqua" w:cs="Book Antiqua"/>
          <w:color w:val="000000"/>
          <w:lang w:val="en-GB"/>
        </w:rPr>
        <w:t xml:space="preserve">, Zhang L, Lyu L, Lu Z, Gao D, Ma X, Guo Y, Wang R, Gong S, Jiang W. [Increased levels of ferritin on admission predicts intensive care unit mortality in patients with COVID-19]. </w:t>
      </w:r>
      <w:r w:rsidRPr="005F0812">
        <w:rPr>
          <w:rFonts w:ascii="Book Antiqua" w:eastAsia="Book Antiqua" w:hAnsi="Book Antiqua" w:cs="Book Antiqua"/>
          <w:i/>
          <w:iCs/>
          <w:color w:val="000000"/>
          <w:lang w:val="en-GB"/>
        </w:rPr>
        <w:t>Med Clin (Barc)</w:t>
      </w:r>
      <w:r w:rsidRPr="005F0812">
        <w:rPr>
          <w:rFonts w:ascii="Book Antiqua" w:eastAsia="Book Antiqua" w:hAnsi="Book Antiqua" w:cs="Book Antiqua"/>
          <w:color w:val="000000"/>
          <w:lang w:val="en-GB"/>
        </w:rPr>
        <w:t xml:space="preserve"> 2021; </w:t>
      </w:r>
      <w:r w:rsidRPr="005F0812">
        <w:rPr>
          <w:rFonts w:ascii="Book Antiqua" w:eastAsia="Book Antiqua" w:hAnsi="Book Antiqua" w:cs="Book Antiqua"/>
          <w:b/>
          <w:bCs/>
          <w:color w:val="000000"/>
          <w:lang w:val="en-GB"/>
        </w:rPr>
        <w:t>156</w:t>
      </w:r>
      <w:r w:rsidRPr="005F0812">
        <w:rPr>
          <w:rFonts w:ascii="Book Antiqua" w:eastAsia="Book Antiqua" w:hAnsi="Book Antiqua" w:cs="Book Antiqua"/>
          <w:color w:val="000000"/>
          <w:lang w:val="en-GB"/>
        </w:rPr>
        <w:t>: 324-331 [PMID: 33422296 DOI: 10.1016/j.medcli.2020.11.030]</w:t>
      </w:r>
    </w:p>
    <w:p w14:paraId="35BC4251"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17 </w:t>
      </w:r>
      <w:r w:rsidRPr="005F0812">
        <w:rPr>
          <w:rFonts w:ascii="Book Antiqua" w:eastAsia="Book Antiqua" w:hAnsi="Book Antiqua" w:cs="Book Antiqua"/>
          <w:b/>
          <w:bCs/>
          <w:color w:val="000000"/>
          <w:lang w:val="en-GB"/>
        </w:rPr>
        <w:t>Vargas-Vargas M</w:t>
      </w:r>
      <w:r w:rsidRPr="005F0812">
        <w:rPr>
          <w:rFonts w:ascii="Book Antiqua" w:eastAsia="Book Antiqua" w:hAnsi="Book Antiqua" w:cs="Book Antiqua"/>
          <w:color w:val="000000"/>
          <w:lang w:val="en-GB"/>
        </w:rPr>
        <w:t xml:space="preserve">, Cortés-Rojo C. Ferritin levels and COVID-19. </w:t>
      </w:r>
      <w:r w:rsidRPr="005F0812">
        <w:rPr>
          <w:rFonts w:ascii="Book Antiqua" w:eastAsia="Book Antiqua" w:hAnsi="Book Antiqua" w:cs="Book Antiqua"/>
          <w:i/>
          <w:iCs/>
          <w:color w:val="000000"/>
          <w:lang w:val="en-GB"/>
        </w:rPr>
        <w:t>Rev Panam Salud Publica</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44</w:t>
      </w:r>
      <w:r w:rsidRPr="005F0812">
        <w:rPr>
          <w:rFonts w:ascii="Book Antiqua" w:eastAsia="Book Antiqua" w:hAnsi="Book Antiqua" w:cs="Book Antiqua"/>
          <w:color w:val="000000"/>
          <w:lang w:val="en-GB"/>
        </w:rPr>
        <w:t>: e72 [PMID: 32547616 DOI: 10.26633/RPSP.2020.72]</w:t>
      </w:r>
    </w:p>
    <w:p w14:paraId="1248DEB1" w14:textId="77777777" w:rsidR="00A77B3E" w:rsidRPr="005F0812" w:rsidRDefault="00A77B3E" w:rsidP="006309ED">
      <w:pPr>
        <w:spacing w:line="360" w:lineRule="auto"/>
        <w:jc w:val="both"/>
        <w:rPr>
          <w:rFonts w:ascii="Book Antiqua" w:hAnsi="Book Antiqua"/>
          <w:lang w:val="en-GB"/>
        </w:rPr>
        <w:sectPr w:rsidR="00A77B3E" w:rsidRPr="005F0812" w:rsidSect="006309ED">
          <w:pgSz w:w="12240" w:h="15840"/>
          <w:pgMar w:top="1440" w:right="1440" w:bottom="1440" w:left="1440" w:header="720" w:footer="720" w:gutter="0"/>
          <w:cols w:space="720"/>
          <w:docGrid w:linePitch="360"/>
        </w:sectPr>
      </w:pPr>
    </w:p>
    <w:p w14:paraId="1093E7CC"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Footnotes</w:t>
      </w:r>
    </w:p>
    <w:p w14:paraId="15303921" w14:textId="4367E162"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Institutional review board statement: </w:t>
      </w:r>
      <w:r w:rsidRPr="005F0812">
        <w:rPr>
          <w:rFonts w:ascii="Book Antiqua" w:eastAsia="Book Antiqua" w:hAnsi="Book Antiqua" w:cs="Book Antiqua"/>
          <w:color w:val="000000"/>
          <w:lang w:val="en-GB"/>
        </w:rPr>
        <w:t xml:space="preserve">The study was approved by the ethics committee of Faculty of </w:t>
      </w:r>
      <w:r w:rsidR="00BB0BB6">
        <w:rPr>
          <w:rFonts w:ascii="Book Antiqua" w:eastAsia="Book Antiqua" w:hAnsi="Book Antiqua" w:cs="Book Antiqua"/>
          <w:color w:val="000000"/>
          <w:lang w:val="en-GB"/>
        </w:rPr>
        <w:t>M</w:t>
      </w:r>
      <w:r w:rsidRPr="005F0812">
        <w:rPr>
          <w:rFonts w:ascii="Book Antiqua" w:eastAsia="Book Antiqua" w:hAnsi="Book Antiqua" w:cs="Book Antiqua"/>
          <w:color w:val="000000"/>
          <w:lang w:val="en-GB"/>
        </w:rPr>
        <w:t>edicine, Al-Azhar University, Assiut, Egypt.</w:t>
      </w:r>
    </w:p>
    <w:p w14:paraId="760C6D6B" w14:textId="77777777" w:rsidR="00A77B3E" w:rsidRPr="005F0812" w:rsidRDefault="00A77B3E" w:rsidP="006309ED">
      <w:pPr>
        <w:spacing w:line="360" w:lineRule="auto"/>
        <w:jc w:val="both"/>
        <w:rPr>
          <w:rFonts w:ascii="Book Antiqua" w:hAnsi="Book Antiqua"/>
          <w:lang w:val="en-GB"/>
        </w:rPr>
      </w:pPr>
    </w:p>
    <w:p w14:paraId="55CE982F"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Informed consent statement: </w:t>
      </w:r>
      <w:r w:rsidRPr="005F0812">
        <w:rPr>
          <w:rFonts w:ascii="Book Antiqua" w:eastAsia="Book Antiqua" w:hAnsi="Book Antiqua" w:cs="Book Antiqua"/>
          <w:color w:val="000000"/>
          <w:lang w:val="en-GB"/>
        </w:rPr>
        <w:t>No informed consent was required, as patient identity is not revealed in the retrospective analysis.</w:t>
      </w:r>
    </w:p>
    <w:p w14:paraId="71B115B8" w14:textId="77777777" w:rsidR="00A77B3E" w:rsidRPr="005F0812" w:rsidRDefault="00A77B3E" w:rsidP="006309ED">
      <w:pPr>
        <w:spacing w:line="360" w:lineRule="auto"/>
        <w:jc w:val="both"/>
        <w:rPr>
          <w:rFonts w:ascii="Book Antiqua" w:hAnsi="Book Antiqua"/>
          <w:lang w:val="en-GB"/>
        </w:rPr>
      </w:pPr>
    </w:p>
    <w:p w14:paraId="319B1B19"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Conflict-of-interest statement: </w:t>
      </w:r>
      <w:r w:rsidRPr="005F0812">
        <w:rPr>
          <w:rFonts w:ascii="Book Antiqua" w:eastAsia="Book Antiqua" w:hAnsi="Book Antiqua" w:cs="Book Antiqua"/>
          <w:color w:val="000000"/>
          <w:lang w:val="en-GB"/>
        </w:rPr>
        <w:t>No benefits in any form have been received or will be received from a commercial party related directly or indirectly to the subject of this article.</w:t>
      </w:r>
    </w:p>
    <w:p w14:paraId="266B4D40" w14:textId="77777777" w:rsidR="00A77B3E" w:rsidRPr="005F0812" w:rsidRDefault="00A77B3E" w:rsidP="006309ED">
      <w:pPr>
        <w:spacing w:line="360" w:lineRule="auto"/>
        <w:jc w:val="both"/>
        <w:rPr>
          <w:rFonts w:ascii="Book Antiqua" w:hAnsi="Book Antiqua"/>
          <w:lang w:val="en-GB"/>
        </w:rPr>
      </w:pPr>
    </w:p>
    <w:p w14:paraId="7D7F4871" w14:textId="21577B22"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Data sharing statement: </w:t>
      </w:r>
      <w:r w:rsidRPr="005F0812">
        <w:rPr>
          <w:rFonts w:ascii="Book Antiqua" w:eastAsia="Book Antiqua" w:hAnsi="Book Antiqua" w:cs="Book Antiqua"/>
          <w:color w:val="000000"/>
          <w:lang w:val="en-GB"/>
        </w:rPr>
        <w:t>The original anonymous dataset is available on request from the corresponding author at</w:t>
      </w:r>
      <w:r w:rsidR="002977F8" w:rsidRPr="005F0812">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a.madian@azhar.edu.eg</w:t>
      </w:r>
      <w:r w:rsidR="002977F8" w:rsidRPr="005F0812">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w:t>
      </w:r>
    </w:p>
    <w:p w14:paraId="170B2019" w14:textId="77777777" w:rsidR="00A77B3E" w:rsidRPr="005F0812" w:rsidRDefault="00A77B3E" w:rsidP="006309ED">
      <w:pPr>
        <w:spacing w:line="360" w:lineRule="auto"/>
        <w:jc w:val="both"/>
        <w:rPr>
          <w:rFonts w:ascii="Book Antiqua" w:hAnsi="Book Antiqua"/>
          <w:lang w:val="en-GB"/>
        </w:rPr>
      </w:pPr>
    </w:p>
    <w:p w14:paraId="20DB1B1A"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STROBE statement: </w:t>
      </w:r>
      <w:r w:rsidRPr="005F0812">
        <w:rPr>
          <w:rFonts w:ascii="Book Antiqua" w:eastAsia="Book Antiqua" w:hAnsi="Book Antiqua" w:cs="Book Antiqua"/>
          <w:color w:val="000000"/>
          <w:lang w:val="en-GB"/>
        </w:rPr>
        <w:t>The authors have read the STROBE Statement—checklist of items, and the manuscript was prepared and revised according to the STROBE Statement—checklist of items</w:t>
      </w:r>
      <w:r w:rsidRPr="005F0812">
        <w:rPr>
          <w:rFonts w:ascii="Book Antiqua" w:eastAsia="Book Antiqua" w:hAnsi="Book Antiqua" w:cs="Book Antiqua"/>
          <w:b/>
          <w:bCs/>
          <w:color w:val="000000"/>
          <w:lang w:val="en-GB"/>
        </w:rPr>
        <w:t>.</w:t>
      </w:r>
    </w:p>
    <w:p w14:paraId="10AB7AE2" w14:textId="77777777" w:rsidR="00A77B3E" w:rsidRPr="005F0812" w:rsidRDefault="00A77B3E" w:rsidP="006309ED">
      <w:pPr>
        <w:spacing w:line="360" w:lineRule="auto"/>
        <w:jc w:val="both"/>
        <w:rPr>
          <w:rFonts w:ascii="Book Antiqua" w:hAnsi="Book Antiqua"/>
          <w:lang w:val="en-GB"/>
        </w:rPr>
      </w:pPr>
    </w:p>
    <w:p w14:paraId="1D95D9B0"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Open-Access: </w:t>
      </w:r>
      <w:r w:rsidRPr="005F0812">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CD0783" w14:textId="77777777" w:rsidR="00A77B3E" w:rsidRPr="005F0812" w:rsidRDefault="00A77B3E" w:rsidP="006309ED">
      <w:pPr>
        <w:spacing w:line="360" w:lineRule="auto"/>
        <w:jc w:val="both"/>
        <w:rPr>
          <w:rFonts w:ascii="Book Antiqua" w:hAnsi="Book Antiqua"/>
          <w:lang w:val="en-GB"/>
        </w:rPr>
      </w:pPr>
    </w:p>
    <w:p w14:paraId="0CA5E683"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Manuscript source: </w:t>
      </w:r>
      <w:r w:rsidRPr="005F0812">
        <w:rPr>
          <w:rFonts w:ascii="Book Antiqua" w:eastAsia="Book Antiqua" w:hAnsi="Book Antiqua" w:cs="Book Antiqua"/>
          <w:color w:val="000000"/>
          <w:lang w:val="en-GB"/>
        </w:rPr>
        <w:t xml:space="preserve">Unsolicited </w:t>
      </w:r>
      <w:r w:rsidR="00BB41F0" w:rsidRPr="005F0812">
        <w:rPr>
          <w:rFonts w:ascii="Book Antiqua" w:hAnsi="Book Antiqua" w:cs="Book Antiqua"/>
          <w:color w:val="000000"/>
          <w:lang w:val="en-GB" w:eastAsia="zh-CN"/>
        </w:rPr>
        <w:t>m</w:t>
      </w:r>
      <w:r w:rsidRPr="005F0812">
        <w:rPr>
          <w:rFonts w:ascii="Book Antiqua" w:eastAsia="Book Antiqua" w:hAnsi="Book Antiqua" w:cs="Book Antiqua"/>
          <w:color w:val="000000"/>
          <w:lang w:val="en-GB"/>
        </w:rPr>
        <w:t>anuscript</w:t>
      </w:r>
    </w:p>
    <w:p w14:paraId="5388F2BA" w14:textId="77777777" w:rsidR="00A77B3E" w:rsidRPr="005F0812" w:rsidRDefault="00A77B3E" w:rsidP="006309ED">
      <w:pPr>
        <w:spacing w:line="360" w:lineRule="auto"/>
        <w:jc w:val="both"/>
        <w:rPr>
          <w:rFonts w:ascii="Book Antiqua" w:hAnsi="Book Antiqua"/>
          <w:lang w:val="en-GB"/>
        </w:rPr>
      </w:pPr>
    </w:p>
    <w:p w14:paraId="47D499D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Peer-review started: </w:t>
      </w:r>
      <w:r w:rsidRPr="005F0812">
        <w:rPr>
          <w:rFonts w:ascii="Book Antiqua" w:eastAsia="Book Antiqua" w:hAnsi="Book Antiqua" w:cs="Book Antiqua"/>
          <w:color w:val="000000"/>
          <w:lang w:val="en-GB"/>
        </w:rPr>
        <w:t>May 11, 2021</w:t>
      </w:r>
    </w:p>
    <w:p w14:paraId="421DD55F"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First decision: </w:t>
      </w:r>
      <w:r w:rsidRPr="005F0812">
        <w:rPr>
          <w:rFonts w:ascii="Book Antiqua" w:eastAsia="Book Antiqua" w:hAnsi="Book Antiqua" w:cs="Book Antiqua"/>
          <w:color w:val="000000"/>
          <w:lang w:val="en-GB"/>
        </w:rPr>
        <w:t>June 23, 2021</w:t>
      </w:r>
    </w:p>
    <w:p w14:paraId="0D8F6D50" w14:textId="4682540E"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Article in press: </w:t>
      </w:r>
      <w:r w:rsidR="001E08D0" w:rsidRPr="005F0812">
        <w:rPr>
          <w:rFonts w:ascii="Book Antiqua" w:eastAsia="宋体" w:hAnsi="Book Antiqua"/>
          <w:color w:val="000000" w:themeColor="text1"/>
          <w:lang w:val="en-GB"/>
        </w:rPr>
        <w:t>July 14, 2021</w:t>
      </w:r>
    </w:p>
    <w:p w14:paraId="52615AB2" w14:textId="77777777" w:rsidR="00A77B3E" w:rsidRPr="005F0812" w:rsidRDefault="00A77B3E" w:rsidP="006309ED">
      <w:pPr>
        <w:spacing w:line="360" w:lineRule="auto"/>
        <w:jc w:val="both"/>
        <w:rPr>
          <w:rFonts w:ascii="Book Antiqua" w:hAnsi="Book Antiqua"/>
          <w:lang w:val="en-GB"/>
        </w:rPr>
      </w:pPr>
    </w:p>
    <w:p w14:paraId="7BE14730"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Specialty type: </w:t>
      </w:r>
      <w:r w:rsidR="00BB41F0" w:rsidRPr="005F0812">
        <w:rPr>
          <w:rFonts w:ascii="Book Antiqua" w:eastAsia="微软雅黑" w:hAnsi="Book Antiqua" w:cs="宋体"/>
          <w:lang w:val="en-GB"/>
        </w:rPr>
        <w:t>Gastroenterology and hepatology</w:t>
      </w:r>
    </w:p>
    <w:p w14:paraId="0C74E531"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Country/Territory of origin: </w:t>
      </w:r>
      <w:r w:rsidRPr="005F0812">
        <w:rPr>
          <w:rFonts w:ascii="Book Antiqua" w:eastAsia="Book Antiqua" w:hAnsi="Book Antiqua" w:cs="Book Antiqua"/>
          <w:color w:val="000000"/>
          <w:lang w:val="en-GB"/>
        </w:rPr>
        <w:t>Egypt</w:t>
      </w:r>
    </w:p>
    <w:p w14:paraId="7B8939E0"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Peer-review report’s scientific quality classification</w:t>
      </w:r>
    </w:p>
    <w:p w14:paraId="5A7E459A"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Grade A (Excellent): 0</w:t>
      </w:r>
    </w:p>
    <w:p w14:paraId="39410F45" w14:textId="77777777" w:rsidR="00A77B3E" w:rsidRPr="005F0812" w:rsidRDefault="00136BCD" w:rsidP="006309ED">
      <w:pPr>
        <w:spacing w:line="360" w:lineRule="auto"/>
        <w:jc w:val="both"/>
        <w:rPr>
          <w:rFonts w:ascii="Book Antiqua" w:hAnsi="Book Antiqua"/>
          <w:lang w:val="en-GB" w:eastAsia="zh-CN"/>
        </w:rPr>
      </w:pPr>
      <w:r w:rsidRPr="005F0812">
        <w:rPr>
          <w:rFonts w:ascii="Book Antiqua" w:eastAsia="Book Antiqua" w:hAnsi="Book Antiqua" w:cs="Book Antiqua"/>
          <w:color w:val="000000"/>
          <w:lang w:val="en-GB"/>
        </w:rPr>
        <w:t>Grade B (Very good): B</w:t>
      </w:r>
      <w:r w:rsidR="009B626D" w:rsidRPr="005F0812">
        <w:rPr>
          <w:rFonts w:ascii="Book Antiqua" w:hAnsi="Book Antiqua" w:cs="Book Antiqua"/>
          <w:color w:val="000000"/>
          <w:lang w:val="en-GB" w:eastAsia="zh-CN"/>
        </w:rPr>
        <w:t>, B</w:t>
      </w:r>
    </w:p>
    <w:p w14:paraId="0FF39A3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Grade C (Good): C</w:t>
      </w:r>
    </w:p>
    <w:p w14:paraId="0F70FDA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Grade D (Fair): D</w:t>
      </w:r>
    </w:p>
    <w:p w14:paraId="7CBF2A2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Grade E (Poor): 0</w:t>
      </w:r>
    </w:p>
    <w:p w14:paraId="4CC044F9" w14:textId="77777777" w:rsidR="00A77B3E" w:rsidRPr="005F0812" w:rsidRDefault="00A77B3E" w:rsidP="006309ED">
      <w:pPr>
        <w:spacing w:line="360" w:lineRule="auto"/>
        <w:jc w:val="both"/>
        <w:rPr>
          <w:rFonts w:ascii="Book Antiqua" w:hAnsi="Book Antiqua"/>
          <w:lang w:val="en-GB"/>
        </w:rPr>
      </w:pPr>
    </w:p>
    <w:p w14:paraId="0722F095" w14:textId="0B793AAA" w:rsidR="009B626D" w:rsidRPr="005F0812" w:rsidRDefault="00136BCD" w:rsidP="006309ED">
      <w:pPr>
        <w:spacing w:line="360" w:lineRule="auto"/>
        <w:jc w:val="both"/>
        <w:rPr>
          <w:rFonts w:ascii="Book Antiqua" w:hAnsi="Book Antiqua" w:cs="Book Antiqua"/>
          <w:b/>
          <w:color w:val="000000"/>
          <w:lang w:val="en-GB" w:eastAsia="zh-CN"/>
        </w:rPr>
      </w:pPr>
      <w:r w:rsidRPr="005F0812">
        <w:rPr>
          <w:rFonts w:ascii="Book Antiqua" w:eastAsia="Book Antiqua" w:hAnsi="Book Antiqua" w:cs="Book Antiqua"/>
          <w:b/>
          <w:color w:val="000000"/>
          <w:lang w:val="en-GB"/>
        </w:rPr>
        <w:t xml:space="preserve">P-Reviewer: </w:t>
      </w:r>
      <w:r w:rsidRPr="005F0812">
        <w:rPr>
          <w:rFonts w:ascii="Book Antiqua" w:eastAsia="Book Antiqua" w:hAnsi="Book Antiqua" w:cs="Book Antiqua"/>
          <w:color w:val="000000"/>
          <w:lang w:val="en-GB"/>
        </w:rPr>
        <w:t>Maheshwarappa RP, Papadopoulos KI, Sivanand N</w:t>
      </w:r>
      <w:r w:rsidRPr="005F0812">
        <w:rPr>
          <w:rFonts w:ascii="Book Antiqua" w:eastAsia="Book Antiqua" w:hAnsi="Book Antiqua" w:cs="Book Antiqua"/>
          <w:b/>
          <w:color w:val="000000"/>
          <w:lang w:val="en-GB"/>
        </w:rPr>
        <w:t xml:space="preserve"> S-Editor: </w:t>
      </w:r>
      <w:r w:rsidR="009B626D" w:rsidRPr="005F0812">
        <w:rPr>
          <w:rFonts w:ascii="Book Antiqua" w:hAnsi="Book Antiqua" w:cs="Book Antiqua"/>
          <w:color w:val="000000"/>
          <w:lang w:val="en-GB" w:eastAsia="zh-CN"/>
        </w:rPr>
        <w:t>Fan JR</w:t>
      </w:r>
      <w:r w:rsidRPr="005F0812">
        <w:rPr>
          <w:rFonts w:ascii="Book Antiqua" w:eastAsia="Book Antiqua" w:hAnsi="Book Antiqua" w:cs="Book Antiqua"/>
          <w:b/>
          <w:color w:val="000000"/>
          <w:lang w:val="en-GB"/>
        </w:rPr>
        <w:t xml:space="preserve"> L-Editor:</w:t>
      </w:r>
      <w:r w:rsidR="006473EB" w:rsidRPr="005F0812">
        <w:rPr>
          <w:rFonts w:ascii="Book Antiqua" w:eastAsia="Book Antiqua" w:hAnsi="Book Antiqua" w:cs="Book Antiqua"/>
          <w:b/>
          <w:color w:val="000000"/>
          <w:lang w:val="en-GB"/>
        </w:rPr>
        <w:t xml:space="preserve"> </w:t>
      </w:r>
      <w:r w:rsidR="006473EB" w:rsidRPr="005F0812">
        <w:rPr>
          <w:rFonts w:ascii="Book Antiqua" w:eastAsia="Book Antiqua" w:hAnsi="Book Antiqua" w:cs="Book Antiqua"/>
          <w:bCs/>
          <w:color w:val="000000"/>
          <w:lang w:val="en-GB"/>
        </w:rPr>
        <w:t>Filipodia</w:t>
      </w:r>
      <w:r w:rsidRPr="005F0812">
        <w:rPr>
          <w:rFonts w:ascii="Book Antiqua" w:eastAsia="Book Antiqua" w:hAnsi="Book Antiqua" w:cs="Book Antiqua"/>
          <w:b/>
          <w:color w:val="000000"/>
          <w:lang w:val="en-GB"/>
        </w:rPr>
        <w:t xml:space="preserve"> P-Editor:</w:t>
      </w:r>
      <w:r w:rsidR="001E08D0">
        <w:rPr>
          <w:rFonts w:ascii="Book Antiqua" w:eastAsia="Book Antiqua" w:hAnsi="Book Antiqua" w:cs="Book Antiqua"/>
          <w:b/>
          <w:color w:val="000000"/>
          <w:lang w:val="en-GB"/>
        </w:rPr>
        <w:t xml:space="preserve"> </w:t>
      </w:r>
      <w:r w:rsidR="001E08D0" w:rsidRPr="001E08D0">
        <w:rPr>
          <w:rFonts w:ascii="Book Antiqua" w:eastAsia="宋体" w:hAnsi="Book Antiqua"/>
          <w:color w:val="000000" w:themeColor="text1"/>
          <w:lang w:val="en-GB"/>
        </w:rPr>
        <w:t>Li X</w:t>
      </w:r>
    </w:p>
    <w:p w14:paraId="62743BB9" w14:textId="77777777" w:rsidR="00A77B3E" w:rsidRPr="005F0812" w:rsidRDefault="00136BCD" w:rsidP="006309ED">
      <w:pPr>
        <w:spacing w:line="360" w:lineRule="auto"/>
        <w:jc w:val="both"/>
        <w:rPr>
          <w:rFonts w:ascii="Book Antiqua" w:hAnsi="Book Antiqua"/>
          <w:lang w:val="en-GB"/>
        </w:rPr>
        <w:sectPr w:rsidR="00A77B3E" w:rsidRPr="005F0812" w:rsidSect="006309ED">
          <w:pgSz w:w="12240" w:h="15840"/>
          <w:pgMar w:top="1440" w:right="1440" w:bottom="1440" w:left="1440" w:header="720" w:footer="720" w:gutter="0"/>
          <w:cols w:space="720"/>
          <w:docGrid w:linePitch="360"/>
        </w:sectPr>
      </w:pPr>
      <w:r w:rsidRPr="005F0812">
        <w:rPr>
          <w:rFonts w:ascii="Book Antiqua" w:eastAsia="Book Antiqua" w:hAnsi="Book Antiqua" w:cs="Book Antiqua"/>
          <w:b/>
          <w:color w:val="000000"/>
          <w:lang w:val="en-GB"/>
        </w:rPr>
        <w:t xml:space="preserve"> </w:t>
      </w:r>
    </w:p>
    <w:p w14:paraId="20241FDF"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Figure Legends</w:t>
      </w:r>
    </w:p>
    <w:p w14:paraId="24E76490" w14:textId="77777777" w:rsidR="00DC1925" w:rsidRPr="005F0812" w:rsidRDefault="00DC1925" w:rsidP="006309ED">
      <w:pPr>
        <w:spacing w:line="360" w:lineRule="auto"/>
        <w:jc w:val="both"/>
        <w:rPr>
          <w:rFonts w:ascii="Book Antiqua" w:hAnsi="Book Antiqua" w:cs="Book Antiqua"/>
          <w:b/>
          <w:bCs/>
          <w:color w:val="000000"/>
          <w:lang w:val="en-GB" w:eastAsia="zh-CN"/>
        </w:rPr>
      </w:pPr>
      <w:r w:rsidRPr="005F0812">
        <w:rPr>
          <w:rFonts w:ascii="Book Antiqua" w:hAnsi="Book Antiqua"/>
          <w:noProof/>
          <w:lang w:eastAsia="zh-CN"/>
        </w:rPr>
        <w:drawing>
          <wp:inline distT="0" distB="0" distL="0" distR="0" wp14:anchorId="345CC70B" wp14:editId="664CBA59">
            <wp:extent cx="5486400" cy="45288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528820"/>
                    </a:xfrm>
                    <a:prstGeom prst="rect">
                      <a:avLst/>
                    </a:prstGeom>
                  </pic:spPr>
                </pic:pic>
              </a:graphicData>
            </a:graphic>
          </wp:inline>
        </w:drawing>
      </w:r>
    </w:p>
    <w:p w14:paraId="5C09A4C7" w14:textId="4E92495E" w:rsidR="00A77B3E" w:rsidRDefault="00136BCD" w:rsidP="006309ED">
      <w:pPr>
        <w:spacing w:line="360" w:lineRule="auto"/>
        <w:jc w:val="both"/>
        <w:rPr>
          <w:rFonts w:ascii="Book Antiqua" w:hAnsi="Book Antiqua" w:cs="Book Antiqua"/>
          <w:bCs/>
          <w:color w:val="000000"/>
          <w:lang w:val="en-GB" w:eastAsia="zh-CN"/>
        </w:rPr>
      </w:pPr>
      <w:r w:rsidRPr="005F0812">
        <w:rPr>
          <w:rFonts w:ascii="Book Antiqua" w:eastAsia="Book Antiqua" w:hAnsi="Book Antiqua" w:cs="Book Antiqua"/>
          <w:b/>
          <w:bCs/>
          <w:color w:val="000000"/>
          <w:lang w:val="en-GB"/>
        </w:rPr>
        <w:t>Figure 1 Flowchart of studied cohort.</w:t>
      </w:r>
      <w:r w:rsidR="00E869E2" w:rsidRPr="005F0812">
        <w:rPr>
          <w:rFonts w:ascii="Book Antiqua" w:hAnsi="Book Antiqua" w:cs="Book Antiqua"/>
          <w:b/>
          <w:bCs/>
          <w:color w:val="000000"/>
          <w:lang w:val="en-GB" w:eastAsia="zh-CN"/>
        </w:rPr>
        <w:t xml:space="preserve"> </w:t>
      </w:r>
      <w:r w:rsidR="00E869E2" w:rsidRPr="005F0812">
        <w:rPr>
          <w:rFonts w:ascii="Book Antiqua" w:hAnsi="Book Antiqua" w:cs="Book Antiqua"/>
          <w:bCs/>
          <w:color w:val="000000"/>
          <w:lang w:val="en-GB" w:eastAsia="zh-CN"/>
        </w:rPr>
        <w:t>COVID-19: Coronavirus disease 2019; HCV: Hepatitis C virus.</w:t>
      </w:r>
    </w:p>
    <w:p w14:paraId="5D156CBE" w14:textId="77777777" w:rsidR="00AC2778" w:rsidRPr="005F0812" w:rsidRDefault="00AC2778" w:rsidP="006309ED">
      <w:pPr>
        <w:spacing w:line="360" w:lineRule="auto"/>
        <w:jc w:val="both"/>
        <w:rPr>
          <w:rFonts w:ascii="Book Antiqua" w:hAnsi="Book Antiqua" w:cs="Book Antiqua"/>
          <w:bCs/>
          <w:color w:val="000000"/>
          <w:lang w:val="en-GB" w:eastAsia="zh-CN"/>
        </w:rPr>
      </w:pPr>
    </w:p>
    <w:p w14:paraId="79035688" w14:textId="77777777" w:rsidR="00E869E2" w:rsidRPr="005F0812" w:rsidRDefault="005D5135" w:rsidP="006309ED">
      <w:pPr>
        <w:spacing w:line="360" w:lineRule="auto"/>
        <w:jc w:val="both"/>
        <w:rPr>
          <w:rFonts w:ascii="Book Antiqua" w:hAnsi="Book Antiqua"/>
          <w:lang w:val="en-GB" w:eastAsia="zh-CN"/>
        </w:rPr>
      </w:pPr>
      <w:r w:rsidRPr="005F0812">
        <w:rPr>
          <w:rFonts w:ascii="Book Antiqua" w:hAnsi="Book Antiqua"/>
          <w:lang w:val="en-GB" w:eastAsia="zh-CN"/>
        </w:rPr>
        <w:br w:type="page"/>
      </w:r>
      <w:r w:rsidR="007634F3" w:rsidRPr="005F0812">
        <w:rPr>
          <w:rFonts w:ascii="Book Antiqua" w:hAnsi="Book Antiqua"/>
          <w:noProof/>
          <w:lang w:eastAsia="zh-CN"/>
        </w:rPr>
        <w:drawing>
          <wp:inline distT="0" distB="0" distL="0" distR="0" wp14:anchorId="2895E1DE" wp14:editId="1906CCF4">
            <wp:extent cx="5486400" cy="4105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105275"/>
                    </a:xfrm>
                    <a:prstGeom prst="rect">
                      <a:avLst/>
                    </a:prstGeom>
                  </pic:spPr>
                </pic:pic>
              </a:graphicData>
            </a:graphic>
          </wp:inline>
        </w:drawing>
      </w:r>
    </w:p>
    <w:p w14:paraId="101BA35C" w14:textId="48EC6EBA" w:rsidR="00A77B3E" w:rsidRDefault="00136BCD" w:rsidP="006309ED">
      <w:pPr>
        <w:spacing w:line="360" w:lineRule="auto"/>
        <w:jc w:val="both"/>
        <w:rPr>
          <w:rFonts w:ascii="Book Antiqua" w:eastAsia="Book Antiqua" w:hAnsi="Book Antiqua" w:cs="Book Antiqua"/>
          <w:color w:val="000000"/>
          <w:lang w:val="en-GB"/>
        </w:rPr>
      </w:pPr>
      <w:r w:rsidRPr="005F0812">
        <w:rPr>
          <w:rFonts w:ascii="Book Antiqua" w:eastAsia="Book Antiqua" w:hAnsi="Book Antiqua" w:cs="Book Antiqua"/>
          <w:b/>
          <w:bCs/>
          <w:color w:val="000000"/>
          <w:lang w:val="en-GB"/>
        </w:rPr>
        <w:t>Figure 2</w:t>
      </w:r>
      <w:r w:rsidRPr="005F0812">
        <w:rPr>
          <w:rFonts w:ascii="Book Antiqua" w:eastAsia="Book Antiqua" w:hAnsi="Book Antiqua" w:cs="Book Antiqua"/>
          <w:b/>
          <w:color w:val="000000"/>
          <w:lang w:val="en-GB"/>
        </w:rPr>
        <w:t xml:space="preserve"> Kaplan–Meier curves. </w:t>
      </w:r>
      <w:r w:rsidRPr="005F0812">
        <w:rPr>
          <w:rFonts w:ascii="Book Antiqua" w:eastAsia="Book Antiqua" w:hAnsi="Book Antiqua" w:cs="Book Antiqua"/>
          <w:color w:val="000000"/>
          <w:lang w:val="en-GB"/>
        </w:rPr>
        <w:t xml:space="preserve">Survival curves show probability of survival (days) for aspartate </w:t>
      </w:r>
      <w:r w:rsidR="001B4B2E">
        <w:rPr>
          <w:rFonts w:ascii="Book Antiqua" w:eastAsia="Book Antiqua" w:hAnsi="Book Antiqua" w:cs="Book Antiqua"/>
          <w:color w:val="000000"/>
          <w:lang w:val="en-GB"/>
        </w:rPr>
        <w:t>amino</w:t>
      </w:r>
      <w:r w:rsidRPr="005F0812">
        <w:rPr>
          <w:rFonts w:ascii="Book Antiqua" w:eastAsia="Book Antiqua" w:hAnsi="Book Antiqua" w:cs="Book Antiqua"/>
          <w:color w:val="000000"/>
          <w:lang w:val="en-GB"/>
        </w:rPr>
        <w:t xml:space="preserve">transferase (AST) groups, tested by </w:t>
      </w:r>
      <w:r w:rsidR="008779BC" w:rsidRPr="008779BC">
        <w:rPr>
          <w:rFonts w:ascii="Book Antiqua" w:eastAsia="Book Antiqua" w:hAnsi="Book Antiqua" w:cs="Book Antiqua"/>
          <w:color w:val="000000"/>
          <w:lang w:val="en-GB"/>
        </w:rPr>
        <w:t>log-rank</w:t>
      </w:r>
      <w:r w:rsidRPr="005F0812">
        <w:rPr>
          <w:rFonts w:ascii="Book Antiqua" w:eastAsia="Book Antiqua" w:hAnsi="Book Antiqua" w:cs="Book Antiqua"/>
          <w:color w:val="000000"/>
          <w:lang w:val="en-GB"/>
        </w:rPr>
        <w:t xml:space="preserve"> test. AST</w:t>
      </w:r>
      <w:r w:rsidR="007634F3"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w:t>
      </w:r>
      <w:r w:rsidR="007634F3"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 </w:t>
      </w:r>
      <w:r w:rsidR="007634F3" w:rsidRPr="005F0812">
        <w:rPr>
          <w:rFonts w:ascii="Book Antiqua" w:hAnsi="Book Antiqua" w:cs="Book Antiqua"/>
          <w:color w:val="000000"/>
          <w:lang w:val="en-GB" w:eastAsia="zh-CN"/>
        </w:rPr>
        <w:t>G</w:t>
      </w:r>
      <w:r w:rsidRPr="005F0812">
        <w:rPr>
          <w:rFonts w:ascii="Book Antiqua" w:eastAsia="Book Antiqua" w:hAnsi="Book Antiqua" w:cs="Book Antiqua"/>
          <w:color w:val="000000"/>
          <w:lang w:val="en-GB"/>
        </w:rPr>
        <w:t>roup with normal AST; AST</w:t>
      </w:r>
      <w:r w:rsidR="007634F3"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w:t>
      </w:r>
      <w:r w:rsidR="007634F3"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1: </w:t>
      </w:r>
      <w:r w:rsidR="007634F3" w:rsidRPr="005F0812">
        <w:rPr>
          <w:rFonts w:ascii="Book Antiqua" w:hAnsi="Book Antiqua" w:cs="Book Antiqua"/>
          <w:color w:val="000000"/>
          <w:lang w:val="en-GB" w:eastAsia="zh-CN"/>
        </w:rPr>
        <w:t>G</w:t>
      </w:r>
      <w:r w:rsidRPr="005F0812">
        <w:rPr>
          <w:rFonts w:ascii="Book Antiqua" w:eastAsia="Book Antiqua" w:hAnsi="Book Antiqua" w:cs="Book Antiqua"/>
          <w:color w:val="000000"/>
          <w:lang w:val="en-GB"/>
        </w:rPr>
        <w:t>roup with on</w:t>
      </w:r>
      <w:r w:rsidR="00071E2E" w:rsidRPr="005F0812">
        <w:rPr>
          <w:rFonts w:ascii="Book Antiqua" w:hAnsi="Book Antiqua" w:cs="Book Antiqua"/>
          <w:color w:val="000000"/>
          <w:lang w:val="en-GB" w:eastAsia="zh-CN"/>
        </w:rPr>
        <w:t>e</w:t>
      </w:r>
      <w:r w:rsidRPr="005F0812">
        <w:rPr>
          <w:rFonts w:ascii="Book Antiqua" w:eastAsia="Book Antiqua" w:hAnsi="Book Antiqua" w:cs="Book Antiqua"/>
          <w:color w:val="000000"/>
          <w:lang w:val="en-GB"/>
        </w:rPr>
        <w:t>-fold elevated AST; AST</w:t>
      </w:r>
      <w:r w:rsidR="007634F3"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w:t>
      </w:r>
      <w:r w:rsidR="007634F3"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2: </w:t>
      </w:r>
      <w:r w:rsidR="007634F3" w:rsidRPr="005F0812">
        <w:rPr>
          <w:rFonts w:ascii="Book Antiqua" w:hAnsi="Book Antiqua" w:cs="Book Antiqua"/>
          <w:color w:val="000000"/>
          <w:lang w:val="en-GB" w:eastAsia="zh-CN"/>
        </w:rPr>
        <w:t>G</w:t>
      </w:r>
      <w:r w:rsidRPr="005F0812">
        <w:rPr>
          <w:rFonts w:ascii="Book Antiqua" w:eastAsia="Book Antiqua" w:hAnsi="Book Antiqua" w:cs="Book Antiqua"/>
          <w:color w:val="000000"/>
          <w:lang w:val="en-GB"/>
        </w:rPr>
        <w:t>roup with two-fold elevated AST</w:t>
      </w:r>
      <w:r w:rsidR="007634F3" w:rsidRPr="005F0812">
        <w:rPr>
          <w:rFonts w:ascii="Book Antiqua" w:hAnsi="Book Antiqua" w:cs="Book Antiqua"/>
          <w:color w:val="000000"/>
          <w:lang w:val="en-GB" w:eastAsia="zh-CN"/>
        </w:rPr>
        <w:t>.</w:t>
      </w:r>
      <w:r w:rsidR="007634F3" w:rsidRPr="005F0812">
        <w:rPr>
          <w:rFonts w:ascii="Book Antiqua" w:eastAsia="Book Antiqua" w:hAnsi="Book Antiqua" w:cs="Book Antiqua"/>
          <w:color w:val="000000"/>
          <w:lang w:val="en-GB"/>
        </w:rPr>
        <w:t xml:space="preserve"> </w:t>
      </w:r>
    </w:p>
    <w:p w14:paraId="08EEDA13" w14:textId="77777777" w:rsidR="00AC2778" w:rsidRPr="005F0812" w:rsidRDefault="00AC2778" w:rsidP="006309ED">
      <w:pPr>
        <w:spacing w:line="360" w:lineRule="auto"/>
        <w:jc w:val="both"/>
        <w:rPr>
          <w:rFonts w:ascii="Book Antiqua" w:hAnsi="Book Antiqua" w:cs="Book Antiqua"/>
          <w:color w:val="000000"/>
          <w:lang w:val="en-GB" w:eastAsia="zh-CN"/>
        </w:rPr>
      </w:pPr>
    </w:p>
    <w:p w14:paraId="0F56AEF5" w14:textId="6906D7A4" w:rsidR="00CD771A" w:rsidRPr="005F0812" w:rsidRDefault="00ED2591" w:rsidP="006309ED">
      <w:pPr>
        <w:spacing w:line="360" w:lineRule="auto"/>
        <w:jc w:val="both"/>
        <w:rPr>
          <w:rFonts w:ascii="Book Antiqua" w:hAnsi="Book Antiqua"/>
          <w:b/>
          <w:bCs/>
          <w:lang w:val="en-GB" w:eastAsia="zh-CN"/>
        </w:rPr>
      </w:pPr>
      <w:r w:rsidRPr="005F0812">
        <w:rPr>
          <w:rFonts w:ascii="Book Antiqua" w:hAnsi="Book Antiqua" w:cs="Book Antiqua"/>
          <w:color w:val="000000"/>
          <w:lang w:val="en-GB" w:eastAsia="zh-CN"/>
        </w:rPr>
        <w:br w:type="page"/>
      </w:r>
      <w:r w:rsidR="00CD771A" w:rsidRPr="005F0812">
        <w:rPr>
          <w:rFonts w:ascii="Book Antiqua" w:eastAsia="Calibri" w:hAnsi="Book Antiqua"/>
          <w:b/>
          <w:bCs/>
          <w:lang w:val="en-GB"/>
        </w:rPr>
        <w:t>Table 1</w:t>
      </w:r>
      <w:r w:rsidR="00CD771A" w:rsidRPr="005F0812">
        <w:rPr>
          <w:rFonts w:ascii="Book Antiqua" w:eastAsia="Calibri" w:hAnsi="Book Antiqua"/>
          <w:lang w:val="en-GB"/>
        </w:rPr>
        <w:t xml:space="preserve"> </w:t>
      </w:r>
      <w:r w:rsidR="00CD771A" w:rsidRPr="005F0812">
        <w:rPr>
          <w:rFonts w:ascii="Book Antiqua" w:eastAsia="Calibri" w:hAnsi="Book Antiqua"/>
          <w:b/>
          <w:bCs/>
          <w:lang w:val="en-GB"/>
        </w:rPr>
        <w:t>Baseline demographic, clinical and laboratory characteristics of alive and dead groups</w:t>
      </w:r>
    </w:p>
    <w:tbl>
      <w:tblPr>
        <w:tblStyle w:val="a6"/>
        <w:tblW w:w="5477"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1460"/>
        <w:gridCol w:w="1232"/>
        <w:gridCol w:w="2411"/>
        <w:gridCol w:w="1983"/>
      </w:tblGrid>
      <w:tr w:rsidR="00E127CF" w:rsidRPr="005F0812" w14:paraId="2099EF84" w14:textId="77777777" w:rsidTr="00DA19B3">
        <w:trPr>
          <w:trHeight w:val="555"/>
        </w:trPr>
        <w:tc>
          <w:tcPr>
            <w:tcW w:w="1622" w:type="pct"/>
            <w:tcBorders>
              <w:top w:val="single" w:sz="4" w:space="0" w:color="auto"/>
              <w:bottom w:val="single" w:sz="4" w:space="0" w:color="auto"/>
            </w:tcBorders>
            <w:hideMark/>
          </w:tcPr>
          <w:p w14:paraId="0B8298C4"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Characteristics</w:t>
            </w:r>
          </w:p>
        </w:tc>
        <w:tc>
          <w:tcPr>
            <w:tcW w:w="696" w:type="pct"/>
            <w:tcBorders>
              <w:top w:val="single" w:sz="4" w:space="0" w:color="auto"/>
              <w:bottom w:val="single" w:sz="4" w:space="0" w:color="auto"/>
            </w:tcBorders>
            <w:hideMark/>
          </w:tcPr>
          <w:p w14:paraId="2C2B4DAD" w14:textId="1E3AB06D"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Alive</w:t>
            </w:r>
            <w:r w:rsidR="00D72EBB">
              <w:rPr>
                <w:rFonts w:ascii="Book Antiqua" w:eastAsia="Calibri" w:hAnsi="Book Antiqua"/>
                <w:b/>
                <w:bCs/>
                <w:lang w:val="en-GB"/>
              </w:rPr>
              <w:t>,</w:t>
            </w:r>
            <w:r w:rsidR="00CA0769" w:rsidRPr="005F0812">
              <w:rPr>
                <w:rFonts w:ascii="Book Antiqua" w:eastAsiaTheme="minorEastAsia" w:hAnsi="Book Antiqua" w:cs="Arial"/>
                <w:b/>
                <w:bCs/>
                <w:lang w:val="en-GB"/>
              </w:rPr>
              <w:t xml:space="preserve"> </w:t>
            </w:r>
            <w:r w:rsidR="00CA0769" w:rsidRPr="005F0812">
              <w:rPr>
                <w:rFonts w:ascii="Book Antiqua" w:eastAsiaTheme="minorEastAsia" w:hAnsi="Book Antiqua"/>
                <w:b/>
                <w:bCs/>
                <w:i/>
                <w:lang w:val="en-GB"/>
              </w:rPr>
              <w:t>n</w:t>
            </w:r>
            <w:r w:rsidR="00CA0769" w:rsidRPr="005F0812">
              <w:rPr>
                <w:rFonts w:ascii="Book Antiqua" w:eastAsiaTheme="minorEastAsia" w:hAnsi="Book Antiqua"/>
                <w:b/>
                <w:bCs/>
                <w:lang w:val="en-GB"/>
              </w:rPr>
              <w:t xml:space="preserve"> </w:t>
            </w:r>
            <w:r w:rsidRPr="005F0812">
              <w:rPr>
                <w:rFonts w:ascii="Book Antiqua" w:eastAsia="Calibri" w:hAnsi="Book Antiqua"/>
                <w:b/>
                <w:bCs/>
                <w:lang w:val="en-GB"/>
              </w:rPr>
              <w:t>=</w:t>
            </w:r>
            <w:r w:rsidR="00CA0769" w:rsidRPr="005F0812">
              <w:rPr>
                <w:rFonts w:ascii="Book Antiqua" w:eastAsiaTheme="minorEastAsia" w:hAnsi="Book Antiqua"/>
                <w:b/>
                <w:bCs/>
                <w:lang w:val="en-GB"/>
              </w:rPr>
              <w:t xml:space="preserve"> </w:t>
            </w:r>
            <w:r w:rsidRPr="005F0812">
              <w:rPr>
                <w:rFonts w:ascii="Book Antiqua" w:eastAsia="Calibri" w:hAnsi="Book Antiqua"/>
                <w:b/>
                <w:bCs/>
                <w:lang w:val="en-GB"/>
              </w:rPr>
              <w:t>347</w:t>
            </w:r>
          </w:p>
        </w:tc>
        <w:tc>
          <w:tcPr>
            <w:tcW w:w="587" w:type="pct"/>
            <w:tcBorders>
              <w:top w:val="single" w:sz="4" w:space="0" w:color="auto"/>
              <w:bottom w:val="single" w:sz="4" w:space="0" w:color="auto"/>
            </w:tcBorders>
            <w:hideMark/>
          </w:tcPr>
          <w:p w14:paraId="144FC1B6" w14:textId="4C8EF806"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Dead</w:t>
            </w:r>
            <w:r w:rsidR="00D72EBB">
              <w:rPr>
                <w:rFonts w:ascii="Book Antiqua" w:eastAsia="Calibri" w:hAnsi="Book Antiqua"/>
                <w:b/>
                <w:bCs/>
                <w:lang w:val="en-GB"/>
              </w:rPr>
              <w:t>,</w:t>
            </w:r>
            <w:r w:rsidR="00CA0769" w:rsidRPr="005F0812">
              <w:rPr>
                <w:rFonts w:ascii="Book Antiqua" w:eastAsiaTheme="minorEastAsia" w:hAnsi="Book Antiqua" w:cs="Arial"/>
                <w:b/>
                <w:bCs/>
                <w:lang w:val="en-GB"/>
              </w:rPr>
              <w:t xml:space="preserve"> </w:t>
            </w:r>
            <w:r w:rsidR="00CA0769" w:rsidRPr="005F0812">
              <w:rPr>
                <w:rFonts w:ascii="Book Antiqua" w:eastAsiaTheme="minorEastAsia" w:hAnsi="Book Antiqua"/>
                <w:b/>
                <w:bCs/>
                <w:i/>
                <w:lang w:val="en-GB"/>
              </w:rPr>
              <w:t>n</w:t>
            </w:r>
            <w:r w:rsidR="00CA0769" w:rsidRPr="005F0812">
              <w:rPr>
                <w:rFonts w:ascii="Book Antiqua" w:eastAsiaTheme="minorEastAsia" w:hAnsi="Book Antiqua"/>
                <w:b/>
                <w:bCs/>
                <w:lang w:val="en-GB"/>
              </w:rPr>
              <w:t xml:space="preserve"> </w:t>
            </w:r>
            <w:r w:rsidRPr="005F0812">
              <w:rPr>
                <w:rFonts w:ascii="Book Antiqua" w:eastAsia="Calibri" w:hAnsi="Book Antiqua"/>
                <w:b/>
                <w:bCs/>
                <w:lang w:val="en-GB"/>
              </w:rPr>
              <w:t>=</w:t>
            </w:r>
            <w:r w:rsidR="00CA0769" w:rsidRPr="005F0812">
              <w:rPr>
                <w:rFonts w:ascii="Book Antiqua" w:eastAsiaTheme="minorEastAsia" w:hAnsi="Book Antiqua"/>
                <w:b/>
                <w:bCs/>
                <w:lang w:val="en-GB"/>
              </w:rPr>
              <w:t xml:space="preserve"> </w:t>
            </w:r>
            <w:r w:rsidRPr="005F0812">
              <w:rPr>
                <w:rFonts w:ascii="Book Antiqua" w:eastAsia="Calibri" w:hAnsi="Book Antiqua"/>
                <w:b/>
                <w:bCs/>
                <w:lang w:val="en-GB"/>
              </w:rPr>
              <w:t>29</w:t>
            </w:r>
          </w:p>
        </w:tc>
        <w:tc>
          <w:tcPr>
            <w:tcW w:w="1149" w:type="pct"/>
            <w:tcBorders>
              <w:top w:val="single" w:sz="4" w:space="0" w:color="auto"/>
              <w:bottom w:val="single" w:sz="4" w:space="0" w:color="auto"/>
            </w:tcBorders>
          </w:tcPr>
          <w:p w14:paraId="52C7311E" w14:textId="77777777" w:rsidR="00CD771A" w:rsidRPr="005F0812" w:rsidRDefault="00CD771A" w:rsidP="006309ED">
            <w:pPr>
              <w:spacing w:line="360" w:lineRule="auto"/>
              <w:jc w:val="both"/>
              <w:rPr>
                <w:rFonts w:ascii="Book Antiqua" w:eastAsiaTheme="minorEastAsia" w:hAnsi="Book Antiqua" w:cs="Arial"/>
                <w:b/>
                <w:bCs/>
                <w:lang w:val="en-GB"/>
              </w:rPr>
            </w:pPr>
            <w:r w:rsidRPr="005F0812">
              <w:rPr>
                <w:rFonts w:ascii="Book Antiqua" w:eastAsia="Calibri" w:hAnsi="Book Antiqua"/>
                <w:b/>
                <w:bCs/>
                <w:lang w:val="en-GB"/>
              </w:rPr>
              <w:t>Unadjusted odds ratio</w:t>
            </w:r>
          </w:p>
        </w:tc>
        <w:tc>
          <w:tcPr>
            <w:tcW w:w="945" w:type="pct"/>
            <w:tcBorders>
              <w:top w:val="single" w:sz="4" w:space="0" w:color="auto"/>
              <w:bottom w:val="single" w:sz="4" w:space="0" w:color="auto"/>
            </w:tcBorders>
            <w:hideMark/>
          </w:tcPr>
          <w:p w14:paraId="3EB4291C" w14:textId="77777777" w:rsidR="00CD771A" w:rsidRPr="005F0812" w:rsidRDefault="00426EA1" w:rsidP="006309ED">
            <w:pPr>
              <w:spacing w:line="360" w:lineRule="auto"/>
              <w:jc w:val="both"/>
              <w:rPr>
                <w:rFonts w:ascii="Book Antiqua" w:eastAsia="Calibri" w:hAnsi="Book Antiqua" w:cs="Arial"/>
                <w:b/>
                <w:bCs/>
                <w:lang w:val="en-GB"/>
              </w:rPr>
            </w:pPr>
            <w:r w:rsidRPr="005F0812">
              <w:rPr>
                <w:rFonts w:ascii="Book Antiqua" w:eastAsiaTheme="minorEastAsia" w:hAnsi="Book Antiqua"/>
                <w:b/>
                <w:bCs/>
                <w:i/>
                <w:iCs/>
                <w:lang w:val="en-GB"/>
              </w:rPr>
              <w:t xml:space="preserve">P </w:t>
            </w:r>
            <w:r w:rsidR="00CD771A" w:rsidRPr="005F0812">
              <w:rPr>
                <w:rFonts w:ascii="Book Antiqua" w:eastAsia="Calibri" w:hAnsi="Book Antiqua"/>
                <w:b/>
                <w:bCs/>
                <w:lang w:val="en-GB"/>
              </w:rPr>
              <w:t>value</w:t>
            </w:r>
          </w:p>
        </w:tc>
      </w:tr>
      <w:tr w:rsidR="00E127CF" w:rsidRPr="005F0812" w14:paraId="6B9DFE72" w14:textId="77777777" w:rsidTr="00DA19B3">
        <w:trPr>
          <w:trHeight w:val="510"/>
        </w:trPr>
        <w:tc>
          <w:tcPr>
            <w:tcW w:w="1622" w:type="pct"/>
            <w:tcBorders>
              <w:top w:val="single" w:sz="4" w:space="0" w:color="auto"/>
            </w:tcBorders>
            <w:hideMark/>
          </w:tcPr>
          <w:p w14:paraId="4C865459" w14:textId="77777777" w:rsidR="00CD771A" w:rsidRPr="005F0812" w:rsidRDefault="00CD771A" w:rsidP="006309ED">
            <w:pPr>
              <w:spacing w:line="360" w:lineRule="auto"/>
              <w:jc w:val="both"/>
              <w:rPr>
                <w:rFonts w:ascii="Book Antiqua" w:eastAsiaTheme="minorEastAsia" w:hAnsi="Book Antiqua" w:cs="Arial"/>
                <w:lang w:val="en-GB"/>
              </w:rPr>
            </w:pPr>
            <w:r w:rsidRPr="005F0812">
              <w:rPr>
                <w:rFonts w:ascii="Book Antiqua" w:eastAsia="Calibri" w:hAnsi="Book Antiqua"/>
                <w:lang w:val="en-GB"/>
              </w:rPr>
              <w:t>Age years median (IQR)</w:t>
            </w:r>
          </w:p>
        </w:tc>
        <w:tc>
          <w:tcPr>
            <w:tcW w:w="696" w:type="pct"/>
            <w:tcBorders>
              <w:top w:val="single" w:sz="4" w:space="0" w:color="auto"/>
            </w:tcBorders>
          </w:tcPr>
          <w:p w14:paraId="585EB96A" w14:textId="77777777" w:rsidR="00CD771A" w:rsidRPr="005F0812" w:rsidRDefault="00CD771A" w:rsidP="006309ED">
            <w:pPr>
              <w:spacing w:line="360" w:lineRule="auto"/>
              <w:jc w:val="both"/>
              <w:rPr>
                <w:rFonts w:ascii="Book Antiqua" w:eastAsiaTheme="minorEastAsia" w:hAnsi="Book Antiqua" w:cs="Arial"/>
                <w:lang w:val="en-GB"/>
              </w:rPr>
            </w:pPr>
          </w:p>
        </w:tc>
        <w:tc>
          <w:tcPr>
            <w:tcW w:w="587" w:type="pct"/>
            <w:tcBorders>
              <w:top w:val="single" w:sz="4" w:space="0" w:color="auto"/>
            </w:tcBorders>
          </w:tcPr>
          <w:p w14:paraId="44FC049A" w14:textId="77777777" w:rsidR="00CD771A" w:rsidRPr="005F0812" w:rsidRDefault="00CD771A" w:rsidP="006309ED">
            <w:pPr>
              <w:spacing w:line="360" w:lineRule="auto"/>
              <w:jc w:val="both"/>
              <w:rPr>
                <w:rFonts w:ascii="Book Antiqua" w:eastAsiaTheme="minorEastAsia" w:hAnsi="Book Antiqua" w:cs="Arial"/>
                <w:lang w:val="en-GB"/>
              </w:rPr>
            </w:pPr>
          </w:p>
        </w:tc>
        <w:tc>
          <w:tcPr>
            <w:tcW w:w="1149" w:type="pct"/>
            <w:tcBorders>
              <w:top w:val="single" w:sz="4" w:space="0" w:color="auto"/>
            </w:tcBorders>
            <w:hideMark/>
          </w:tcPr>
          <w:p w14:paraId="134973C5" w14:textId="77777777" w:rsidR="00CD771A" w:rsidRPr="005F0812" w:rsidRDefault="00CD771A" w:rsidP="006309ED">
            <w:pPr>
              <w:spacing w:line="360" w:lineRule="auto"/>
              <w:jc w:val="both"/>
              <w:rPr>
                <w:rFonts w:ascii="Book Antiqua" w:eastAsiaTheme="minorEastAsia" w:hAnsi="Book Antiqua" w:cs="Arial"/>
                <w:lang w:val="en-GB"/>
              </w:rPr>
            </w:pPr>
            <w:r w:rsidRPr="005F0812">
              <w:rPr>
                <w:rFonts w:ascii="Book Antiqua" w:eastAsia="Calibri" w:hAnsi="Book Antiqua"/>
                <w:lang w:val="en-GB"/>
              </w:rPr>
              <w:t>1.08 (1.05 to 1.11)</w:t>
            </w:r>
          </w:p>
        </w:tc>
        <w:tc>
          <w:tcPr>
            <w:tcW w:w="945" w:type="pct"/>
            <w:tcBorders>
              <w:top w:val="single" w:sz="4" w:space="0" w:color="auto"/>
            </w:tcBorders>
          </w:tcPr>
          <w:p w14:paraId="03EB0EA8" w14:textId="77777777" w:rsidR="00CD771A" w:rsidRPr="005F0812" w:rsidRDefault="00E127CF" w:rsidP="006309ED">
            <w:pPr>
              <w:spacing w:line="360" w:lineRule="auto"/>
              <w:jc w:val="both"/>
              <w:rPr>
                <w:rFonts w:ascii="Book Antiqua" w:eastAsiaTheme="minorEastAsia" w:hAnsi="Book Antiqua" w:cs="Arial"/>
                <w:lang w:val="en-GB"/>
              </w:rPr>
            </w:pPr>
            <w:r w:rsidRPr="005F0812">
              <w:rPr>
                <w:rFonts w:ascii="Book Antiqua" w:eastAsia="Calibri" w:hAnsi="Book Antiqua"/>
                <w:lang w:val="en-GB"/>
              </w:rPr>
              <w:t>0.0001</w:t>
            </w:r>
          </w:p>
        </w:tc>
      </w:tr>
      <w:tr w:rsidR="00E127CF" w:rsidRPr="005F0812" w14:paraId="26AE2B30" w14:textId="77777777" w:rsidTr="00DA19B3">
        <w:trPr>
          <w:trHeight w:val="267"/>
        </w:trPr>
        <w:tc>
          <w:tcPr>
            <w:tcW w:w="1622" w:type="pct"/>
          </w:tcPr>
          <w:p w14:paraId="27375D31" w14:textId="77777777" w:rsidR="00E127CF" w:rsidRPr="005F0812" w:rsidRDefault="00E127CF" w:rsidP="006309ED">
            <w:pPr>
              <w:spacing w:line="360" w:lineRule="auto"/>
              <w:ind w:firstLineChars="100" w:firstLine="240"/>
              <w:jc w:val="both"/>
              <w:rPr>
                <w:rFonts w:ascii="Book Antiqua" w:eastAsiaTheme="minorEastAsia" w:hAnsi="Book Antiqua"/>
                <w:lang w:val="en-GB"/>
              </w:rPr>
            </w:pPr>
            <w:r w:rsidRPr="005F0812">
              <w:rPr>
                <w:rFonts w:ascii="Book Antiqua" w:eastAsia="Calibri" w:hAnsi="Book Antiqua"/>
                <w:lang w:val="en-GB"/>
              </w:rPr>
              <w:t>&lt;</w:t>
            </w:r>
            <w:r w:rsidRPr="005F0812">
              <w:rPr>
                <w:rFonts w:ascii="Book Antiqua" w:eastAsiaTheme="minorEastAsia" w:hAnsi="Book Antiqua"/>
                <w:lang w:val="en-GB"/>
              </w:rPr>
              <w:t xml:space="preserve"> </w:t>
            </w:r>
            <w:r w:rsidRPr="005F0812">
              <w:rPr>
                <w:rFonts w:ascii="Book Antiqua" w:eastAsia="Calibri" w:hAnsi="Book Antiqua"/>
                <w:lang w:val="en-GB"/>
              </w:rPr>
              <w:t>40</w:t>
            </w:r>
          </w:p>
        </w:tc>
        <w:tc>
          <w:tcPr>
            <w:tcW w:w="696" w:type="pct"/>
          </w:tcPr>
          <w:p w14:paraId="11FEEB5C" w14:textId="77777777" w:rsidR="00E127CF" w:rsidRPr="005F0812" w:rsidRDefault="00E127CF" w:rsidP="006309ED">
            <w:pPr>
              <w:spacing w:line="360" w:lineRule="auto"/>
              <w:jc w:val="both"/>
              <w:rPr>
                <w:rFonts w:ascii="Book Antiqua" w:eastAsia="Calibri" w:hAnsi="Book Antiqua" w:cs="Arial"/>
                <w:lang w:val="en-GB"/>
              </w:rPr>
            </w:pPr>
            <w:r w:rsidRPr="005F0812">
              <w:rPr>
                <w:rFonts w:ascii="Book Antiqua" w:eastAsia="Calibri" w:hAnsi="Book Antiqua"/>
                <w:lang w:val="en-GB"/>
              </w:rPr>
              <w:t>186 (98.4)</w:t>
            </w:r>
          </w:p>
        </w:tc>
        <w:tc>
          <w:tcPr>
            <w:tcW w:w="587" w:type="pct"/>
          </w:tcPr>
          <w:p w14:paraId="7B97D1A1" w14:textId="77777777" w:rsidR="00E127CF" w:rsidRPr="005F0812" w:rsidRDefault="00E127CF" w:rsidP="006309ED">
            <w:pPr>
              <w:spacing w:line="360" w:lineRule="auto"/>
              <w:jc w:val="both"/>
              <w:rPr>
                <w:rFonts w:ascii="Book Antiqua" w:eastAsia="Calibri" w:hAnsi="Book Antiqua" w:cs="Arial"/>
                <w:lang w:val="en-GB"/>
              </w:rPr>
            </w:pPr>
            <w:r w:rsidRPr="005F0812">
              <w:rPr>
                <w:rFonts w:ascii="Book Antiqua" w:eastAsia="Calibri" w:hAnsi="Book Antiqua"/>
                <w:lang w:val="en-GB"/>
              </w:rPr>
              <w:t>3 (1.6)</w:t>
            </w:r>
          </w:p>
        </w:tc>
        <w:tc>
          <w:tcPr>
            <w:tcW w:w="1149" w:type="pct"/>
          </w:tcPr>
          <w:p w14:paraId="0A5209F3" w14:textId="77777777" w:rsidR="00E127CF" w:rsidRPr="005F0812" w:rsidRDefault="00E127CF" w:rsidP="006309ED">
            <w:pPr>
              <w:spacing w:line="360" w:lineRule="auto"/>
              <w:jc w:val="both"/>
              <w:rPr>
                <w:rFonts w:ascii="Book Antiqua" w:eastAsia="Calibri" w:hAnsi="Book Antiqua"/>
                <w:lang w:val="en-GB"/>
              </w:rPr>
            </w:pPr>
            <w:r w:rsidRPr="005F0812">
              <w:rPr>
                <w:rFonts w:ascii="Book Antiqua" w:eastAsia="Calibri" w:hAnsi="Book Antiqua"/>
                <w:lang w:val="en-GB"/>
              </w:rPr>
              <w:t>Ref</w:t>
            </w:r>
          </w:p>
        </w:tc>
        <w:tc>
          <w:tcPr>
            <w:tcW w:w="945" w:type="pct"/>
          </w:tcPr>
          <w:p w14:paraId="08545784" w14:textId="77777777" w:rsidR="00E127CF" w:rsidRPr="005F0812" w:rsidRDefault="00E127CF" w:rsidP="006309ED">
            <w:pPr>
              <w:spacing w:line="360" w:lineRule="auto"/>
              <w:jc w:val="both"/>
              <w:rPr>
                <w:rFonts w:ascii="Book Antiqua" w:eastAsia="Calibri" w:hAnsi="Book Antiqua"/>
                <w:lang w:val="en-GB"/>
              </w:rPr>
            </w:pPr>
          </w:p>
        </w:tc>
      </w:tr>
      <w:tr w:rsidR="00E127CF" w:rsidRPr="005F0812" w14:paraId="20178035" w14:textId="77777777" w:rsidTr="00DA19B3">
        <w:trPr>
          <w:trHeight w:val="231"/>
        </w:trPr>
        <w:tc>
          <w:tcPr>
            <w:tcW w:w="1622" w:type="pct"/>
          </w:tcPr>
          <w:p w14:paraId="02BB87D0" w14:textId="77777777" w:rsidR="00E127CF" w:rsidRPr="005F0812" w:rsidRDefault="00E127CF"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40-60</w:t>
            </w:r>
          </w:p>
        </w:tc>
        <w:tc>
          <w:tcPr>
            <w:tcW w:w="696" w:type="pct"/>
          </w:tcPr>
          <w:p w14:paraId="6F55F2F4" w14:textId="77777777" w:rsidR="00E127CF" w:rsidRPr="005F0812" w:rsidRDefault="00E127CF" w:rsidP="006309ED">
            <w:pPr>
              <w:spacing w:line="360" w:lineRule="auto"/>
              <w:jc w:val="both"/>
              <w:rPr>
                <w:rFonts w:ascii="Book Antiqua" w:eastAsia="Calibri" w:hAnsi="Book Antiqua" w:cs="Arial"/>
                <w:lang w:val="en-GB"/>
              </w:rPr>
            </w:pPr>
            <w:r w:rsidRPr="005F0812">
              <w:rPr>
                <w:rFonts w:ascii="Book Antiqua" w:eastAsia="Calibri" w:hAnsi="Book Antiqua"/>
                <w:lang w:val="en-GB"/>
              </w:rPr>
              <w:t>118 (93.6)</w:t>
            </w:r>
          </w:p>
        </w:tc>
        <w:tc>
          <w:tcPr>
            <w:tcW w:w="587" w:type="pct"/>
          </w:tcPr>
          <w:p w14:paraId="4F5663EB" w14:textId="77777777" w:rsidR="00E127CF" w:rsidRPr="005F0812" w:rsidRDefault="00E127CF" w:rsidP="006309ED">
            <w:pPr>
              <w:spacing w:line="360" w:lineRule="auto"/>
              <w:jc w:val="both"/>
              <w:rPr>
                <w:rFonts w:ascii="Book Antiqua" w:eastAsia="Calibri" w:hAnsi="Book Antiqua" w:cs="Arial"/>
                <w:lang w:val="en-GB"/>
              </w:rPr>
            </w:pPr>
            <w:r w:rsidRPr="005F0812">
              <w:rPr>
                <w:rFonts w:ascii="Book Antiqua" w:eastAsia="Calibri" w:hAnsi="Book Antiqua"/>
                <w:lang w:val="en-GB"/>
              </w:rPr>
              <w:t>8 (6.3)</w:t>
            </w:r>
          </w:p>
        </w:tc>
        <w:tc>
          <w:tcPr>
            <w:tcW w:w="1149" w:type="pct"/>
          </w:tcPr>
          <w:p w14:paraId="404400B8" w14:textId="77777777" w:rsidR="00E127CF" w:rsidRPr="005F0812" w:rsidRDefault="00E127CF" w:rsidP="006309ED">
            <w:pPr>
              <w:spacing w:line="360" w:lineRule="auto"/>
              <w:jc w:val="both"/>
              <w:rPr>
                <w:rFonts w:ascii="Book Antiqua" w:eastAsia="Calibri" w:hAnsi="Book Antiqua"/>
                <w:lang w:val="en-GB"/>
              </w:rPr>
            </w:pPr>
            <w:r w:rsidRPr="005F0812">
              <w:rPr>
                <w:rFonts w:ascii="Book Antiqua" w:eastAsia="Calibri" w:hAnsi="Book Antiqua"/>
                <w:lang w:val="en-GB"/>
              </w:rPr>
              <w:t>4.8 (1.7 to 13.4)</w:t>
            </w:r>
          </w:p>
        </w:tc>
        <w:tc>
          <w:tcPr>
            <w:tcW w:w="945" w:type="pct"/>
          </w:tcPr>
          <w:p w14:paraId="0BDC5E3A" w14:textId="77777777" w:rsidR="00E127CF" w:rsidRPr="005F0812" w:rsidRDefault="00E127CF" w:rsidP="006309ED">
            <w:pPr>
              <w:spacing w:line="360" w:lineRule="auto"/>
              <w:jc w:val="both"/>
              <w:rPr>
                <w:rFonts w:ascii="Book Antiqua" w:eastAsia="Calibri" w:hAnsi="Book Antiqua"/>
                <w:lang w:val="en-GB"/>
              </w:rPr>
            </w:pPr>
            <w:r w:rsidRPr="005F0812">
              <w:rPr>
                <w:rFonts w:ascii="Book Antiqua" w:eastAsia="Calibri" w:hAnsi="Book Antiqua"/>
                <w:lang w:val="en-GB"/>
              </w:rPr>
              <w:t>0.003</w:t>
            </w:r>
          </w:p>
        </w:tc>
      </w:tr>
      <w:tr w:rsidR="00E127CF" w:rsidRPr="005F0812" w14:paraId="203DBA9B" w14:textId="77777777" w:rsidTr="00DA19B3">
        <w:trPr>
          <w:trHeight w:val="253"/>
        </w:trPr>
        <w:tc>
          <w:tcPr>
            <w:tcW w:w="1622" w:type="pct"/>
          </w:tcPr>
          <w:p w14:paraId="409E4061" w14:textId="77777777" w:rsidR="00E127CF" w:rsidRPr="005F0812" w:rsidRDefault="00E127CF"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&gt;</w:t>
            </w:r>
            <w:r w:rsidRPr="005F0812">
              <w:rPr>
                <w:rFonts w:ascii="Book Antiqua" w:eastAsiaTheme="minorEastAsia" w:hAnsi="Book Antiqua"/>
                <w:lang w:val="en-GB"/>
              </w:rPr>
              <w:t xml:space="preserve"> </w:t>
            </w:r>
            <w:r w:rsidRPr="005F0812">
              <w:rPr>
                <w:rFonts w:ascii="Book Antiqua" w:eastAsia="Calibri" w:hAnsi="Book Antiqua"/>
                <w:lang w:val="en-GB"/>
              </w:rPr>
              <w:t>60</w:t>
            </w:r>
          </w:p>
        </w:tc>
        <w:tc>
          <w:tcPr>
            <w:tcW w:w="696" w:type="pct"/>
          </w:tcPr>
          <w:p w14:paraId="12189BE3" w14:textId="77777777" w:rsidR="00E127CF" w:rsidRPr="005F0812" w:rsidRDefault="00E127CF" w:rsidP="006309ED">
            <w:pPr>
              <w:spacing w:line="360" w:lineRule="auto"/>
              <w:jc w:val="both"/>
              <w:rPr>
                <w:rFonts w:ascii="Book Antiqua" w:eastAsia="Calibri" w:hAnsi="Book Antiqua" w:cs="Arial"/>
                <w:lang w:val="en-GB"/>
              </w:rPr>
            </w:pPr>
            <w:r w:rsidRPr="005F0812">
              <w:rPr>
                <w:rFonts w:ascii="Book Antiqua" w:eastAsia="Calibri" w:hAnsi="Book Antiqua"/>
                <w:lang w:val="en-GB"/>
              </w:rPr>
              <w:t>43 (70.5)</w:t>
            </w:r>
          </w:p>
        </w:tc>
        <w:tc>
          <w:tcPr>
            <w:tcW w:w="587" w:type="pct"/>
          </w:tcPr>
          <w:p w14:paraId="5521145A" w14:textId="77777777" w:rsidR="00E127CF" w:rsidRPr="005F0812" w:rsidRDefault="00E127CF" w:rsidP="006309ED">
            <w:pPr>
              <w:spacing w:line="360" w:lineRule="auto"/>
              <w:jc w:val="both"/>
              <w:rPr>
                <w:rFonts w:ascii="Book Antiqua" w:eastAsia="Calibri" w:hAnsi="Book Antiqua" w:cs="Arial"/>
                <w:lang w:val="en-GB"/>
              </w:rPr>
            </w:pPr>
            <w:r w:rsidRPr="005F0812">
              <w:rPr>
                <w:rFonts w:ascii="Book Antiqua" w:eastAsia="Calibri" w:hAnsi="Book Antiqua"/>
                <w:lang w:val="en-GB"/>
              </w:rPr>
              <w:t>18 (29.5)</w:t>
            </w:r>
          </w:p>
        </w:tc>
        <w:tc>
          <w:tcPr>
            <w:tcW w:w="1149" w:type="pct"/>
          </w:tcPr>
          <w:p w14:paraId="7116A612" w14:textId="223955F2" w:rsidR="00E127CF" w:rsidRPr="005F0812" w:rsidRDefault="00E127CF" w:rsidP="006309ED">
            <w:pPr>
              <w:spacing w:line="360" w:lineRule="auto"/>
              <w:jc w:val="both"/>
              <w:rPr>
                <w:rFonts w:ascii="Book Antiqua" w:eastAsia="Calibri" w:hAnsi="Book Antiqua"/>
                <w:lang w:val="en-GB"/>
              </w:rPr>
            </w:pPr>
            <w:r w:rsidRPr="005F0812">
              <w:rPr>
                <w:rFonts w:ascii="Book Antiqua" w:eastAsia="Calibri" w:hAnsi="Book Antiqua"/>
                <w:lang w:val="en-GB"/>
              </w:rPr>
              <w:t>17.6 (6.5 to 48</w:t>
            </w:r>
            <w:r w:rsidR="00784613">
              <w:rPr>
                <w:rFonts w:ascii="Book Antiqua" w:eastAsia="Calibri" w:hAnsi="Book Antiqua"/>
                <w:lang w:val="en-GB"/>
              </w:rPr>
              <w:t>.0</w:t>
            </w:r>
            <w:r w:rsidRPr="005F0812">
              <w:rPr>
                <w:rFonts w:ascii="Book Antiqua" w:eastAsia="Calibri" w:hAnsi="Book Antiqua"/>
                <w:lang w:val="en-GB"/>
              </w:rPr>
              <w:t>)</w:t>
            </w:r>
          </w:p>
        </w:tc>
        <w:tc>
          <w:tcPr>
            <w:tcW w:w="945" w:type="pct"/>
          </w:tcPr>
          <w:p w14:paraId="0CEDF787" w14:textId="77777777" w:rsidR="00E127CF" w:rsidRPr="005F0812" w:rsidRDefault="00E127CF" w:rsidP="006309ED">
            <w:pPr>
              <w:spacing w:line="360" w:lineRule="auto"/>
              <w:jc w:val="both"/>
              <w:rPr>
                <w:rFonts w:ascii="Book Antiqua" w:eastAsia="Calibri" w:hAnsi="Book Antiqua"/>
                <w:lang w:val="en-GB"/>
              </w:rPr>
            </w:pPr>
            <w:r w:rsidRPr="005F0812">
              <w:rPr>
                <w:rFonts w:ascii="Book Antiqua" w:eastAsia="Calibri" w:hAnsi="Book Antiqua"/>
                <w:lang w:val="en-GB"/>
              </w:rPr>
              <w:t>0.0001</w:t>
            </w:r>
          </w:p>
        </w:tc>
      </w:tr>
      <w:tr w:rsidR="00E127CF" w:rsidRPr="005F0812" w14:paraId="09BB838C" w14:textId="77777777" w:rsidTr="00DA19B3">
        <w:trPr>
          <w:trHeight w:val="555"/>
        </w:trPr>
        <w:tc>
          <w:tcPr>
            <w:tcW w:w="1622" w:type="pct"/>
            <w:hideMark/>
          </w:tcPr>
          <w:p w14:paraId="7B2C878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Male sex</w:t>
            </w:r>
            <w:r w:rsidR="00F07146" w:rsidRPr="005F0812">
              <w:rPr>
                <w:rFonts w:ascii="Book Antiqua" w:eastAsiaTheme="minorEastAsia" w:hAnsi="Book Antiqua"/>
                <w:lang w:val="en-GB"/>
              </w:rPr>
              <w:t>,</w:t>
            </w:r>
            <w:r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Theme="minorEastAsia" w:hAnsi="Book Antiqua"/>
                <w:lang w:val="en-GB"/>
              </w:rPr>
              <w:t xml:space="preserve"> </w:t>
            </w:r>
            <w:r w:rsidRPr="005F0812">
              <w:rPr>
                <w:rFonts w:ascii="Book Antiqua" w:eastAsia="Calibri" w:hAnsi="Book Antiqua"/>
                <w:lang w:val="en-GB"/>
              </w:rPr>
              <w:t>(%)</w:t>
            </w:r>
          </w:p>
        </w:tc>
        <w:tc>
          <w:tcPr>
            <w:tcW w:w="696" w:type="pct"/>
            <w:hideMark/>
          </w:tcPr>
          <w:p w14:paraId="7657265E"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179 (92.2)</w:t>
            </w:r>
          </w:p>
        </w:tc>
        <w:tc>
          <w:tcPr>
            <w:tcW w:w="587" w:type="pct"/>
            <w:hideMark/>
          </w:tcPr>
          <w:p w14:paraId="0867E18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15 (7.7)</w:t>
            </w:r>
          </w:p>
        </w:tc>
        <w:tc>
          <w:tcPr>
            <w:tcW w:w="1149" w:type="pct"/>
            <w:hideMark/>
          </w:tcPr>
          <w:p w14:paraId="1442E75C" w14:textId="468B9E99"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1.1 (0.6 to 2.</w:t>
            </w:r>
            <w:r w:rsidR="00BA2785">
              <w:rPr>
                <w:rFonts w:ascii="Book Antiqua" w:eastAsia="Calibri" w:hAnsi="Book Antiqua"/>
                <w:lang w:val="en-GB"/>
              </w:rPr>
              <w:t>1</w:t>
            </w:r>
            <w:r w:rsidRPr="005F0812">
              <w:rPr>
                <w:rFonts w:ascii="Book Antiqua" w:eastAsia="Calibri" w:hAnsi="Book Antiqua"/>
                <w:lang w:val="en-GB"/>
              </w:rPr>
              <w:t>)</w:t>
            </w:r>
          </w:p>
        </w:tc>
        <w:tc>
          <w:tcPr>
            <w:tcW w:w="945" w:type="pct"/>
            <w:hideMark/>
          </w:tcPr>
          <w:p w14:paraId="65B2719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0.98</w:t>
            </w:r>
          </w:p>
        </w:tc>
      </w:tr>
      <w:tr w:rsidR="00E127CF" w:rsidRPr="005F0812" w14:paraId="5ED5208E" w14:textId="77777777" w:rsidTr="00AC2778">
        <w:trPr>
          <w:trHeight w:val="555"/>
        </w:trPr>
        <w:tc>
          <w:tcPr>
            <w:tcW w:w="1622" w:type="pct"/>
            <w:tcBorders>
              <w:bottom w:val="nil"/>
            </w:tcBorders>
            <w:hideMark/>
          </w:tcPr>
          <w:p w14:paraId="79B24A5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 xml:space="preserve">Comorbidities </w:t>
            </w:r>
          </w:p>
        </w:tc>
        <w:tc>
          <w:tcPr>
            <w:tcW w:w="696" w:type="pct"/>
            <w:tcBorders>
              <w:bottom w:val="nil"/>
            </w:tcBorders>
          </w:tcPr>
          <w:p w14:paraId="47DB5D40" w14:textId="77777777" w:rsidR="00CD771A" w:rsidRPr="005F0812" w:rsidRDefault="00CD771A" w:rsidP="006309ED">
            <w:pPr>
              <w:spacing w:line="360" w:lineRule="auto"/>
              <w:jc w:val="both"/>
              <w:rPr>
                <w:rFonts w:ascii="Book Antiqua" w:eastAsia="Calibri" w:hAnsi="Book Antiqua" w:cs="Arial"/>
                <w:lang w:val="en-GB"/>
              </w:rPr>
            </w:pPr>
          </w:p>
        </w:tc>
        <w:tc>
          <w:tcPr>
            <w:tcW w:w="587" w:type="pct"/>
            <w:tcBorders>
              <w:bottom w:val="nil"/>
            </w:tcBorders>
          </w:tcPr>
          <w:p w14:paraId="45953226" w14:textId="77777777" w:rsidR="00CD771A" w:rsidRPr="005F0812" w:rsidRDefault="00CD771A" w:rsidP="006309ED">
            <w:pPr>
              <w:spacing w:line="360" w:lineRule="auto"/>
              <w:jc w:val="both"/>
              <w:rPr>
                <w:rFonts w:ascii="Book Antiqua" w:eastAsia="Calibri" w:hAnsi="Book Antiqua" w:cs="Arial"/>
                <w:lang w:val="en-GB"/>
              </w:rPr>
            </w:pPr>
          </w:p>
        </w:tc>
        <w:tc>
          <w:tcPr>
            <w:tcW w:w="1149" w:type="pct"/>
            <w:tcBorders>
              <w:bottom w:val="nil"/>
            </w:tcBorders>
          </w:tcPr>
          <w:p w14:paraId="07B1A3BD" w14:textId="77777777" w:rsidR="00CD771A" w:rsidRPr="005F0812" w:rsidRDefault="00CD771A" w:rsidP="006309ED">
            <w:pPr>
              <w:spacing w:line="360" w:lineRule="auto"/>
              <w:jc w:val="both"/>
              <w:rPr>
                <w:rFonts w:ascii="Book Antiqua" w:eastAsia="Calibri" w:hAnsi="Book Antiqua" w:cs="Arial"/>
                <w:lang w:val="en-GB"/>
              </w:rPr>
            </w:pPr>
          </w:p>
        </w:tc>
        <w:tc>
          <w:tcPr>
            <w:tcW w:w="945" w:type="pct"/>
            <w:tcBorders>
              <w:bottom w:val="nil"/>
            </w:tcBorders>
          </w:tcPr>
          <w:p w14:paraId="44E34B86" w14:textId="77777777" w:rsidR="00CD771A" w:rsidRPr="005F0812" w:rsidRDefault="00CD771A" w:rsidP="006309ED">
            <w:pPr>
              <w:spacing w:line="360" w:lineRule="auto"/>
              <w:jc w:val="both"/>
              <w:rPr>
                <w:rFonts w:ascii="Book Antiqua" w:eastAsia="Calibri" w:hAnsi="Book Antiqua" w:cs="Arial"/>
                <w:lang w:val="en-GB"/>
              </w:rPr>
            </w:pPr>
          </w:p>
        </w:tc>
      </w:tr>
      <w:tr w:rsidR="00E127CF" w:rsidRPr="005F0812" w14:paraId="18B3AF84" w14:textId="77777777" w:rsidTr="00AC2778">
        <w:trPr>
          <w:trHeight w:val="536"/>
        </w:trPr>
        <w:tc>
          <w:tcPr>
            <w:tcW w:w="1622" w:type="pct"/>
            <w:tcBorders>
              <w:top w:val="nil"/>
              <w:bottom w:val="nil"/>
            </w:tcBorders>
            <w:hideMark/>
          </w:tcPr>
          <w:p w14:paraId="314ECF5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Diabetes mellitus</w:t>
            </w:r>
            <w:r w:rsidR="00F07146" w:rsidRPr="005F0812">
              <w:rPr>
                <w:rFonts w:ascii="Book Antiqua" w:eastAsiaTheme="minorEastAsia" w:hAnsi="Book Antiqua"/>
                <w:lang w:val="en-GB"/>
              </w:rPr>
              <w:t>,</w:t>
            </w:r>
            <w:r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Calibri" w:hAnsi="Book Antiqua"/>
                <w:lang w:val="en-GB"/>
              </w:rPr>
              <w:t xml:space="preserve"> </w:t>
            </w:r>
            <w:r w:rsidRPr="005F0812">
              <w:rPr>
                <w:rFonts w:ascii="Book Antiqua" w:eastAsia="Calibri" w:hAnsi="Book Antiqua"/>
                <w:lang w:val="en-GB"/>
              </w:rPr>
              <w:t>(%)</w:t>
            </w:r>
          </w:p>
        </w:tc>
        <w:tc>
          <w:tcPr>
            <w:tcW w:w="696" w:type="pct"/>
            <w:tcBorders>
              <w:top w:val="nil"/>
              <w:bottom w:val="nil"/>
            </w:tcBorders>
            <w:hideMark/>
          </w:tcPr>
          <w:p w14:paraId="3775EC37" w14:textId="25D5D9AF"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60 (77</w:t>
            </w:r>
            <w:r w:rsidR="00BA2785">
              <w:rPr>
                <w:rFonts w:ascii="Book Antiqua" w:eastAsia="Calibri" w:hAnsi="Book Antiqua"/>
                <w:lang w:val="en-GB"/>
              </w:rPr>
              <w:t>.0</w:t>
            </w:r>
            <w:r w:rsidRPr="005F0812">
              <w:rPr>
                <w:rFonts w:ascii="Book Antiqua" w:eastAsia="Calibri" w:hAnsi="Book Antiqua"/>
                <w:lang w:val="en-GB"/>
              </w:rPr>
              <w:t>)</w:t>
            </w:r>
          </w:p>
        </w:tc>
        <w:tc>
          <w:tcPr>
            <w:tcW w:w="587" w:type="pct"/>
            <w:tcBorders>
              <w:top w:val="nil"/>
              <w:bottom w:val="nil"/>
            </w:tcBorders>
            <w:hideMark/>
          </w:tcPr>
          <w:p w14:paraId="41F3D41F" w14:textId="41DB4094"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18 (23</w:t>
            </w:r>
            <w:r w:rsidR="00BA2785">
              <w:rPr>
                <w:rFonts w:ascii="Book Antiqua" w:eastAsia="Calibri" w:hAnsi="Book Antiqua"/>
                <w:lang w:val="en-GB"/>
              </w:rPr>
              <w:t>.0</w:t>
            </w:r>
            <w:r w:rsidRPr="005F0812">
              <w:rPr>
                <w:rFonts w:ascii="Book Antiqua" w:eastAsia="Calibri" w:hAnsi="Book Antiqua"/>
                <w:lang w:val="en-GB"/>
              </w:rPr>
              <w:t>)</w:t>
            </w:r>
          </w:p>
        </w:tc>
        <w:tc>
          <w:tcPr>
            <w:tcW w:w="1149" w:type="pct"/>
            <w:tcBorders>
              <w:top w:val="nil"/>
              <w:bottom w:val="nil"/>
            </w:tcBorders>
            <w:hideMark/>
          </w:tcPr>
          <w:p w14:paraId="421D707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5.4 (2.9 to 10.2)</w:t>
            </w:r>
          </w:p>
        </w:tc>
        <w:tc>
          <w:tcPr>
            <w:tcW w:w="945" w:type="pct"/>
            <w:tcBorders>
              <w:top w:val="nil"/>
              <w:bottom w:val="nil"/>
            </w:tcBorders>
            <w:hideMark/>
          </w:tcPr>
          <w:p w14:paraId="7E6F8E51"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0.0001</w:t>
            </w:r>
          </w:p>
        </w:tc>
      </w:tr>
      <w:tr w:rsidR="00E127CF" w:rsidRPr="005F0812" w14:paraId="70E6A41D" w14:textId="77777777" w:rsidTr="00AC2778">
        <w:trPr>
          <w:trHeight w:val="555"/>
        </w:trPr>
        <w:tc>
          <w:tcPr>
            <w:tcW w:w="1622" w:type="pct"/>
            <w:tcBorders>
              <w:top w:val="nil"/>
              <w:bottom w:val="nil"/>
            </w:tcBorders>
            <w:hideMark/>
          </w:tcPr>
          <w:p w14:paraId="4061189F"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Hypertension</w:t>
            </w:r>
            <w:r w:rsidR="00F07146" w:rsidRPr="005F0812">
              <w:rPr>
                <w:rFonts w:ascii="Book Antiqua" w:eastAsiaTheme="minorEastAsia" w:hAnsi="Book Antiqua"/>
                <w:lang w:val="en-GB"/>
              </w:rPr>
              <w:t>,</w:t>
            </w:r>
            <w:r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Calibri" w:hAnsi="Book Antiqua"/>
                <w:lang w:val="en-GB"/>
              </w:rPr>
              <w:t xml:space="preserve"> </w:t>
            </w:r>
            <w:r w:rsidRPr="005F0812">
              <w:rPr>
                <w:rFonts w:ascii="Book Antiqua" w:eastAsia="Calibri" w:hAnsi="Book Antiqua"/>
                <w:lang w:val="en-GB"/>
              </w:rPr>
              <w:t>(%)</w:t>
            </w:r>
          </w:p>
        </w:tc>
        <w:tc>
          <w:tcPr>
            <w:tcW w:w="696" w:type="pct"/>
            <w:tcBorders>
              <w:top w:val="nil"/>
              <w:bottom w:val="nil"/>
            </w:tcBorders>
            <w:hideMark/>
          </w:tcPr>
          <w:p w14:paraId="67FA520B"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88 (83.8)</w:t>
            </w:r>
          </w:p>
        </w:tc>
        <w:tc>
          <w:tcPr>
            <w:tcW w:w="587" w:type="pct"/>
            <w:tcBorders>
              <w:top w:val="nil"/>
              <w:bottom w:val="nil"/>
            </w:tcBorders>
            <w:hideMark/>
          </w:tcPr>
          <w:p w14:paraId="092A5860" w14:textId="75501C42"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17 (16.</w:t>
            </w:r>
            <w:r w:rsidR="00784613">
              <w:rPr>
                <w:rFonts w:ascii="Book Antiqua" w:eastAsia="Calibri" w:hAnsi="Book Antiqua"/>
                <w:lang w:val="en-GB"/>
              </w:rPr>
              <w:t>2</w:t>
            </w:r>
            <w:r w:rsidRPr="005F0812">
              <w:rPr>
                <w:rFonts w:ascii="Book Antiqua" w:eastAsia="Calibri" w:hAnsi="Book Antiqua"/>
                <w:lang w:val="en-GB"/>
              </w:rPr>
              <w:t>)</w:t>
            </w:r>
          </w:p>
        </w:tc>
        <w:tc>
          <w:tcPr>
            <w:tcW w:w="1149" w:type="pct"/>
            <w:tcBorders>
              <w:top w:val="nil"/>
              <w:bottom w:val="nil"/>
            </w:tcBorders>
            <w:hideMark/>
          </w:tcPr>
          <w:p w14:paraId="388D0F5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2.8 (1.5 to 5.2)</w:t>
            </w:r>
          </w:p>
        </w:tc>
        <w:tc>
          <w:tcPr>
            <w:tcW w:w="945" w:type="pct"/>
            <w:tcBorders>
              <w:top w:val="nil"/>
              <w:bottom w:val="nil"/>
            </w:tcBorders>
            <w:hideMark/>
          </w:tcPr>
          <w:p w14:paraId="1691C2B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0.001</w:t>
            </w:r>
          </w:p>
        </w:tc>
      </w:tr>
      <w:tr w:rsidR="00E127CF" w:rsidRPr="005F0812" w14:paraId="297F3DC5" w14:textId="77777777" w:rsidTr="00AC2778">
        <w:trPr>
          <w:trHeight w:val="536"/>
        </w:trPr>
        <w:tc>
          <w:tcPr>
            <w:tcW w:w="1622" w:type="pct"/>
            <w:tcBorders>
              <w:top w:val="nil"/>
              <w:bottom w:val="nil"/>
            </w:tcBorders>
            <w:hideMark/>
          </w:tcPr>
          <w:p w14:paraId="5B32E5FE" w14:textId="3B32C329"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Isch</w:t>
            </w:r>
            <w:r w:rsidR="00506027">
              <w:rPr>
                <w:rFonts w:ascii="Book Antiqua" w:eastAsia="Calibri" w:hAnsi="Book Antiqua"/>
                <w:lang w:val="en-GB"/>
              </w:rPr>
              <w:t>a</w:t>
            </w:r>
            <w:r w:rsidRPr="005F0812">
              <w:rPr>
                <w:rFonts w:ascii="Book Antiqua" w:eastAsia="Calibri" w:hAnsi="Book Antiqua"/>
                <w:lang w:val="en-GB"/>
              </w:rPr>
              <w:t>emic heart disease</w:t>
            </w:r>
            <w:r w:rsidR="00F07146" w:rsidRPr="005F0812">
              <w:rPr>
                <w:rFonts w:ascii="Book Antiqua" w:eastAsiaTheme="minorEastAsia" w:hAnsi="Book Antiqua"/>
                <w:lang w:val="en-GB"/>
              </w:rPr>
              <w:t>,</w:t>
            </w:r>
            <w:r w:rsidR="00F07146"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Calibri" w:hAnsi="Book Antiqua"/>
                <w:lang w:val="en-GB"/>
              </w:rPr>
              <w:t xml:space="preserve"> (%)</w:t>
            </w:r>
          </w:p>
        </w:tc>
        <w:tc>
          <w:tcPr>
            <w:tcW w:w="696" w:type="pct"/>
            <w:tcBorders>
              <w:top w:val="nil"/>
              <w:bottom w:val="nil"/>
            </w:tcBorders>
            <w:hideMark/>
          </w:tcPr>
          <w:p w14:paraId="4AAE2C0C" w14:textId="407FFEB9"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7 (50</w:t>
            </w:r>
            <w:r w:rsidR="00BA2785">
              <w:rPr>
                <w:rFonts w:ascii="Book Antiqua" w:eastAsia="Calibri" w:hAnsi="Book Antiqua"/>
                <w:lang w:val="en-GB"/>
              </w:rPr>
              <w:t>.0</w:t>
            </w:r>
            <w:r w:rsidRPr="005F0812">
              <w:rPr>
                <w:rFonts w:ascii="Book Antiqua" w:eastAsia="Calibri" w:hAnsi="Book Antiqua"/>
                <w:lang w:val="en-GB"/>
              </w:rPr>
              <w:t>)</w:t>
            </w:r>
          </w:p>
        </w:tc>
        <w:tc>
          <w:tcPr>
            <w:tcW w:w="587" w:type="pct"/>
            <w:tcBorders>
              <w:top w:val="nil"/>
              <w:bottom w:val="nil"/>
            </w:tcBorders>
            <w:hideMark/>
          </w:tcPr>
          <w:p w14:paraId="16DC9BFB" w14:textId="7B3BEEC6"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7 (50</w:t>
            </w:r>
            <w:r w:rsidR="00BA2785">
              <w:rPr>
                <w:rFonts w:ascii="Book Antiqua" w:eastAsia="Calibri" w:hAnsi="Book Antiqua"/>
                <w:lang w:val="en-GB"/>
              </w:rPr>
              <w:t>.0</w:t>
            </w:r>
            <w:r w:rsidRPr="005F0812">
              <w:rPr>
                <w:rFonts w:ascii="Book Antiqua" w:eastAsia="Calibri" w:hAnsi="Book Antiqua"/>
                <w:lang w:val="en-GB"/>
              </w:rPr>
              <w:t>)</w:t>
            </w:r>
          </w:p>
        </w:tc>
        <w:tc>
          <w:tcPr>
            <w:tcW w:w="1149" w:type="pct"/>
            <w:tcBorders>
              <w:top w:val="nil"/>
              <w:bottom w:val="nil"/>
            </w:tcBorders>
            <w:hideMark/>
          </w:tcPr>
          <w:p w14:paraId="2858BAEF" w14:textId="1D591786"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16.</w:t>
            </w:r>
            <w:r w:rsidR="00BA2785">
              <w:rPr>
                <w:rFonts w:ascii="Book Antiqua" w:eastAsia="Calibri" w:hAnsi="Book Antiqua"/>
                <w:lang w:val="en-GB"/>
              </w:rPr>
              <w:t xml:space="preserve">1 </w:t>
            </w:r>
            <w:r w:rsidRPr="005F0812">
              <w:rPr>
                <w:rFonts w:ascii="Book Antiqua" w:eastAsia="Calibri" w:hAnsi="Book Antiqua"/>
                <w:lang w:val="en-GB"/>
              </w:rPr>
              <w:t>(5.2 to 50.2)</w:t>
            </w:r>
          </w:p>
        </w:tc>
        <w:tc>
          <w:tcPr>
            <w:tcW w:w="945" w:type="pct"/>
            <w:tcBorders>
              <w:top w:val="nil"/>
              <w:bottom w:val="nil"/>
            </w:tcBorders>
            <w:hideMark/>
          </w:tcPr>
          <w:p w14:paraId="6F0838F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0.0001</w:t>
            </w:r>
          </w:p>
        </w:tc>
      </w:tr>
      <w:tr w:rsidR="00E127CF" w:rsidRPr="005F0812" w14:paraId="79BBC706" w14:textId="77777777" w:rsidTr="00AC2778">
        <w:trPr>
          <w:trHeight w:val="536"/>
        </w:trPr>
        <w:tc>
          <w:tcPr>
            <w:tcW w:w="1622" w:type="pct"/>
            <w:tcBorders>
              <w:top w:val="nil"/>
              <w:bottom w:val="nil"/>
            </w:tcBorders>
            <w:hideMark/>
          </w:tcPr>
          <w:p w14:paraId="11716BC9"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Chronic kidney disease</w:t>
            </w:r>
            <w:r w:rsidR="00F07146" w:rsidRPr="005F0812">
              <w:rPr>
                <w:rFonts w:ascii="Book Antiqua" w:eastAsiaTheme="minorEastAsia" w:hAnsi="Book Antiqua"/>
                <w:lang w:val="en-GB"/>
              </w:rPr>
              <w:t>,</w:t>
            </w:r>
            <w:r w:rsidR="00F07146"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Calibri" w:hAnsi="Book Antiqua"/>
                <w:lang w:val="en-GB"/>
              </w:rPr>
              <w:t xml:space="preserve"> (%)</w:t>
            </w:r>
          </w:p>
        </w:tc>
        <w:tc>
          <w:tcPr>
            <w:tcW w:w="696" w:type="pct"/>
            <w:tcBorders>
              <w:top w:val="nil"/>
              <w:bottom w:val="nil"/>
            </w:tcBorders>
            <w:hideMark/>
          </w:tcPr>
          <w:p w14:paraId="4740C0DB" w14:textId="7DE839C8"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5 (45.5)</w:t>
            </w:r>
          </w:p>
        </w:tc>
        <w:tc>
          <w:tcPr>
            <w:tcW w:w="587" w:type="pct"/>
            <w:tcBorders>
              <w:top w:val="nil"/>
              <w:bottom w:val="nil"/>
            </w:tcBorders>
            <w:hideMark/>
          </w:tcPr>
          <w:p w14:paraId="1A336C4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6 (54.5)</w:t>
            </w:r>
          </w:p>
        </w:tc>
        <w:tc>
          <w:tcPr>
            <w:tcW w:w="1149" w:type="pct"/>
            <w:tcBorders>
              <w:top w:val="nil"/>
              <w:bottom w:val="nil"/>
            </w:tcBorders>
            <w:hideMark/>
          </w:tcPr>
          <w:p w14:paraId="41CE782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18.5 (5.2 to 65.5)</w:t>
            </w:r>
          </w:p>
        </w:tc>
        <w:tc>
          <w:tcPr>
            <w:tcW w:w="945" w:type="pct"/>
            <w:tcBorders>
              <w:top w:val="nil"/>
              <w:bottom w:val="nil"/>
            </w:tcBorders>
            <w:hideMark/>
          </w:tcPr>
          <w:p w14:paraId="28E524A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0.0001</w:t>
            </w:r>
          </w:p>
        </w:tc>
      </w:tr>
      <w:tr w:rsidR="00E127CF" w:rsidRPr="005F0812" w14:paraId="15CEC28F" w14:textId="77777777" w:rsidTr="00AC2778">
        <w:trPr>
          <w:trHeight w:val="536"/>
        </w:trPr>
        <w:tc>
          <w:tcPr>
            <w:tcW w:w="1622" w:type="pct"/>
            <w:tcBorders>
              <w:top w:val="nil"/>
              <w:bottom w:val="nil"/>
            </w:tcBorders>
            <w:hideMark/>
          </w:tcPr>
          <w:p w14:paraId="33CF1F6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Chronic respiratory disease</w:t>
            </w:r>
            <w:r w:rsidR="00F07146" w:rsidRPr="005F0812">
              <w:rPr>
                <w:rFonts w:ascii="Book Antiqua" w:eastAsiaTheme="minorEastAsia" w:hAnsi="Book Antiqua"/>
                <w:lang w:val="en-GB"/>
              </w:rPr>
              <w:t>,</w:t>
            </w:r>
            <w:r w:rsidR="00F07146"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Calibri" w:hAnsi="Book Antiqua"/>
                <w:lang w:val="en-GB"/>
              </w:rPr>
              <w:t xml:space="preserve"> (%)</w:t>
            </w:r>
          </w:p>
        </w:tc>
        <w:tc>
          <w:tcPr>
            <w:tcW w:w="696" w:type="pct"/>
            <w:tcBorders>
              <w:top w:val="nil"/>
              <w:bottom w:val="nil"/>
            </w:tcBorders>
            <w:hideMark/>
          </w:tcPr>
          <w:p w14:paraId="2BF46D63" w14:textId="50FDA025"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57 (89.</w:t>
            </w:r>
            <w:r w:rsidR="00BA2785">
              <w:rPr>
                <w:rFonts w:ascii="Book Antiqua" w:eastAsia="Calibri" w:hAnsi="Book Antiqua"/>
                <w:lang w:val="en-GB"/>
              </w:rPr>
              <w:t>1</w:t>
            </w:r>
            <w:r w:rsidRPr="005F0812">
              <w:rPr>
                <w:rFonts w:ascii="Book Antiqua" w:eastAsia="Calibri" w:hAnsi="Book Antiqua"/>
                <w:lang w:val="en-GB"/>
              </w:rPr>
              <w:t>)</w:t>
            </w:r>
          </w:p>
        </w:tc>
        <w:tc>
          <w:tcPr>
            <w:tcW w:w="587" w:type="pct"/>
            <w:tcBorders>
              <w:top w:val="nil"/>
              <w:bottom w:val="nil"/>
            </w:tcBorders>
            <w:hideMark/>
          </w:tcPr>
          <w:p w14:paraId="5B1546EE" w14:textId="2CF59A43"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7 (1</w:t>
            </w:r>
            <w:r w:rsidR="00BA2785">
              <w:rPr>
                <w:rFonts w:ascii="Book Antiqua" w:eastAsia="Calibri" w:hAnsi="Book Antiqua"/>
                <w:lang w:val="en-GB"/>
              </w:rPr>
              <w:t>0.9</w:t>
            </w:r>
            <w:r w:rsidRPr="005F0812">
              <w:rPr>
                <w:rFonts w:ascii="Book Antiqua" w:eastAsia="Calibri" w:hAnsi="Book Antiqua"/>
                <w:lang w:val="en-GB"/>
              </w:rPr>
              <w:t>)</w:t>
            </w:r>
          </w:p>
        </w:tc>
        <w:tc>
          <w:tcPr>
            <w:tcW w:w="1149" w:type="pct"/>
            <w:tcBorders>
              <w:top w:val="nil"/>
              <w:bottom w:val="nil"/>
            </w:tcBorders>
            <w:hideMark/>
          </w:tcPr>
          <w:p w14:paraId="5A4EFBB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1.7 (0.7 to 4.1)</w:t>
            </w:r>
          </w:p>
        </w:tc>
        <w:tc>
          <w:tcPr>
            <w:tcW w:w="945" w:type="pct"/>
            <w:tcBorders>
              <w:top w:val="nil"/>
              <w:bottom w:val="nil"/>
            </w:tcBorders>
            <w:hideMark/>
          </w:tcPr>
          <w:p w14:paraId="231C755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0.25</w:t>
            </w:r>
          </w:p>
        </w:tc>
      </w:tr>
      <w:tr w:rsidR="00E127CF" w:rsidRPr="005F0812" w14:paraId="154E4F43" w14:textId="77777777" w:rsidTr="00AC2778">
        <w:trPr>
          <w:trHeight w:val="373"/>
        </w:trPr>
        <w:tc>
          <w:tcPr>
            <w:tcW w:w="1622" w:type="pct"/>
            <w:tcBorders>
              <w:top w:val="nil"/>
              <w:bottom w:val="nil"/>
            </w:tcBorders>
            <w:hideMark/>
          </w:tcPr>
          <w:p w14:paraId="749ED539" w14:textId="7982F875" w:rsidR="00CD771A" w:rsidRPr="005F0812" w:rsidRDefault="00CD771A" w:rsidP="006309ED">
            <w:pPr>
              <w:spacing w:line="360" w:lineRule="auto"/>
              <w:jc w:val="both"/>
              <w:rPr>
                <w:rFonts w:ascii="Book Antiqua" w:eastAsiaTheme="minorEastAsia" w:hAnsi="Book Antiqua" w:cs="Arial"/>
                <w:lang w:val="en-GB"/>
              </w:rPr>
            </w:pPr>
            <w:bookmarkStart w:id="3" w:name="_Hlk75977670"/>
            <w:r w:rsidRPr="005F0812">
              <w:rPr>
                <w:rFonts w:ascii="Book Antiqua" w:eastAsia="Calibri" w:hAnsi="Book Antiqua"/>
                <w:lang w:val="en-GB"/>
              </w:rPr>
              <w:t>Deyo–Charlson index</w:t>
            </w:r>
            <w:bookmarkEnd w:id="3"/>
            <w:r w:rsidR="00F07146" w:rsidRPr="005F0812">
              <w:rPr>
                <w:rFonts w:ascii="Book Antiqua" w:eastAsiaTheme="minorEastAsia" w:hAnsi="Book Antiqua"/>
                <w:lang w:val="en-GB"/>
              </w:rPr>
              <w:t>,</w:t>
            </w:r>
            <w:r w:rsidR="00F07146"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Calibri" w:hAnsi="Book Antiqua"/>
                <w:lang w:val="en-GB"/>
              </w:rPr>
              <w:t xml:space="preserve"> (%)</w:t>
            </w:r>
          </w:p>
        </w:tc>
        <w:tc>
          <w:tcPr>
            <w:tcW w:w="696" w:type="pct"/>
            <w:tcBorders>
              <w:top w:val="nil"/>
              <w:bottom w:val="nil"/>
            </w:tcBorders>
          </w:tcPr>
          <w:p w14:paraId="678E65F9" w14:textId="7F9F7285" w:rsidR="00CD771A" w:rsidRPr="005F0812" w:rsidRDefault="00CD771A" w:rsidP="006309ED">
            <w:pPr>
              <w:spacing w:line="360" w:lineRule="auto"/>
              <w:jc w:val="both"/>
              <w:rPr>
                <w:rFonts w:ascii="Book Antiqua" w:eastAsia="Calibri" w:hAnsi="Book Antiqua" w:cs="Arial"/>
                <w:lang w:val="en-GB"/>
              </w:rPr>
            </w:pPr>
          </w:p>
        </w:tc>
        <w:tc>
          <w:tcPr>
            <w:tcW w:w="587" w:type="pct"/>
            <w:tcBorders>
              <w:top w:val="nil"/>
              <w:bottom w:val="nil"/>
            </w:tcBorders>
          </w:tcPr>
          <w:p w14:paraId="42C310AD" w14:textId="298734A4" w:rsidR="00CD771A" w:rsidRPr="005F0812" w:rsidRDefault="00CD771A" w:rsidP="006309ED">
            <w:pPr>
              <w:spacing w:line="360" w:lineRule="auto"/>
              <w:jc w:val="both"/>
              <w:rPr>
                <w:rFonts w:ascii="Book Antiqua" w:eastAsia="Calibri" w:hAnsi="Book Antiqua" w:cs="Arial"/>
                <w:lang w:val="en-GB"/>
              </w:rPr>
            </w:pPr>
          </w:p>
        </w:tc>
        <w:tc>
          <w:tcPr>
            <w:tcW w:w="1149" w:type="pct"/>
            <w:tcBorders>
              <w:top w:val="nil"/>
              <w:bottom w:val="nil"/>
            </w:tcBorders>
          </w:tcPr>
          <w:p w14:paraId="1C82DCCD" w14:textId="0C48F835" w:rsidR="00CD771A" w:rsidRPr="005F0812" w:rsidRDefault="00CD771A" w:rsidP="006309ED">
            <w:pPr>
              <w:spacing w:line="360" w:lineRule="auto"/>
              <w:jc w:val="both"/>
              <w:rPr>
                <w:rFonts w:ascii="Book Antiqua" w:eastAsia="Calibri" w:hAnsi="Book Antiqua" w:cs="Arial"/>
                <w:lang w:val="en-GB"/>
              </w:rPr>
            </w:pPr>
          </w:p>
        </w:tc>
        <w:tc>
          <w:tcPr>
            <w:tcW w:w="945" w:type="pct"/>
            <w:tcBorders>
              <w:top w:val="nil"/>
              <w:bottom w:val="nil"/>
            </w:tcBorders>
          </w:tcPr>
          <w:p w14:paraId="16DF7313" w14:textId="5D4B5A93" w:rsidR="00CD771A" w:rsidRPr="005F0812" w:rsidRDefault="00CD771A" w:rsidP="006309ED">
            <w:pPr>
              <w:spacing w:line="360" w:lineRule="auto"/>
              <w:jc w:val="both"/>
              <w:rPr>
                <w:rFonts w:ascii="Book Antiqua" w:eastAsia="Calibri" w:hAnsi="Book Antiqua" w:cs="Arial"/>
                <w:lang w:val="en-GB"/>
              </w:rPr>
            </w:pPr>
          </w:p>
        </w:tc>
      </w:tr>
      <w:tr w:rsidR="00AC2778" w:rsidRPr="005F0812" w14:paraId="43F84FFE" w14:textId="77777777" w:rsidTr="00AC2778">
        <w:trPr>
          <w:trHeight w:val="264"/>
        </w:trPr>
        <w:tc>
          <w:tcPr>
            <w:tcW w:w="1622" w:type="pct"/>
            <w:tcBorders>
              <w:top w:val="nil"/>
              <w:bottom w:val="nil"/>
            </w:tcBorders>
          </w:tcPr>
          <w:p w14:paraId="0B311F32" w14:textId="1446CC58" w:rsidR="00AC2778" w:rsidRPr="005F0812" w:rsidRDefault="00AC2778" w:rsidP="00AC2778">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0-1</w:t>
            </w:r>
          </w:p>
        </w:tc>
        <w:tc>
          <w:tcPr>
            <w:tcW w:w="696" w:type="pct"/>
            <w:tcBorders>
              <w:top w:val="nil"/>
              <w:bottom w:val="nil"/>
            </w:tcBorders>
          </w:tcPr>
          <w:p w14:paraId="768678FC" w14:textId="51ECFED6"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281 (96.6)</w:t>
            </w:r>
          </w:p>
        </w:tc>
        <w:tc>
          <w:tcPr>
            <w:tcW w:w="587" w:type="pct"/>
            <w:tcBorders>
              <w:top w:val="nil"/>
              <w:bottom w:val="nil"/>
            </w:tcBorders>
          </w:tcPr>
          <w:p w14:paraId="1FDC41C0" w14:textId="71C26955"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10 (3.4)</w:t>
            </w:r>
          </w:p>
        </w:tc>
        <w:tc>
          <w:tcPr>
            <w:tcW w:w="1149" w:type="pct"/>
            <w:tcBorders>
              <w:top w:val="nil"/>
              <w:bottom w:val="nil"/>
            </w:tcBorders>
          </w:tcPr>
          <w:p w14:paraId="5FD3334C" w14:textId="62D919D9"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Ref</w:t>
            </w:r>
          </w:p>
        </w:tc>
        <w:tc>
          <w:tcPr>
            <w:tcW w:w="945" w:type="pct"/>
            <w:tcBorders>
              <w:top w:val="nil"/>
              <w:bottom w:val="nil"/>
            </w:tcBorders>
          </w:tcPr>
          <w:p w14:paraId="4463CE90" w14:textId="7390BB2C" w:rsidR="00AC2778" w:rsidRPr="005F0812" w:rsidRDefault="00AC2778" w:rsidP="00AC2778">
            <w:pPr>
              <w:spacing w:line="360" w:lineRule="auto"/>
              <w:jc w:val="both"/>
              <w:rPr>
                <w:rFonts w:ascii="Book Antiqua" w:eastAsia="Calibri" w:hAnsi="Book Antiqua" w:cs="Arial"/>
                <w:lang w:val="en-GB"/>
              </w:rPr>
            </w:pPr>
          </w:p>
        </w:tc>
      </w:tr>
      <w:tr w:rsidR="00AC2778" w:rsidRPr="005F0812" w14:paraId="59927646" w14:textId="77777777" w:rsidTr="00AC2778">
        <w:trPr>
          <w:trHeight w:val="300"/>
        </w:trPr>
        <w:tc>
          <w:tcPr>
            <w:tcW w:w="1622" w:type="pct"/>
            <w:tcBorders>
              <w:top w:val="nil"/>
              <w:bottom w:val="nil"/>
            </w:tcBorders>
          </w:tcPr>
          <w:p w14:paraId="13E88CF5" w14:textId="2A9B1657" w:rsidR="00AC2778" w:rsidRPr="005F0812" w:rsidRDefault="00AC2778" w:rsidP="00AC2778">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2-3</w:t>
            </w:r>
          </w:p>
        </w:tc>
        <w:tc>
          <w:tcPr>
            <w:tcW w:w="696" w:type="pct"/>
            <w:tcBorders>
              <w:top w:val="nil"/>
              <w:bottom w:val="nil"/>
            </w:tcBorders>
          </w:tcPr>
          <w:p w14:paraId="5B743FCF" w14:textId="60C5E5B5"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64 (80</w:t>
            </w:r>
            <w:r>
              <w:rPr>
                <w:rFonts w:ascii="Book Antiqua" w:eastAsia="Calibri" w:hAnsi="Book Antiqua"/>
                <w:lang w:val="en-GB"/>
              </w:rPr>
              <w:t>.0</w:t>
            </w:r>
            <w:r w:rsidRPr="005F0812">
              <w:rPr>
                <w:rFonts w:ascii="Book Antiqua" w:eastAsia="Calibri" w:hAnsi="Book Antiqua"/>
                <w:lang w:val="en-GB"/>
              </w:rPr>
              <w:t>)</w:t>
            </w:r>
          </w:p>
        </w:tc>
        <w:tc>
          <w:tcPr>
            <w:tcW w:w="587" w:type="pct"/>
            <w:tcBorders>
              <w:top w:val="nil"/>
              <w:bottom w:val="nil"/>
            </w:tcBorders>
          </w:tcPr>
          <w:p w14:paraId="15C0D9DE" w14:textId="194CDEE6"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16 (20</w:t>
            </w:r>
            <w:r>
              <w:rPr>
                <w:rFonts w:ascii="Book Antiqua" w:eastAsia="Calibri" w:hAnsi="Book Antiqua"/>
                <w:lang w:val="en-GB"/>
              </w:rPr>
              <w:t>.0</w:t>
            </w:r>
            <w:r w:rsidRPr="005F0812">
              <w:rPr>
                <w:rFonts w:ascii="Book Antiqua" w:eastAsia="Calibri" w:hAnsi="Book Antiqua"/>
                <w:lang w:val="en-GB"/>
              </w:rPr>
              <w:t>)</w:t>
            </w:r>
          </w:p>
        </w:tc>
        <w:tc>
          <w:tcPr>
            <w:tcW w:w="1149" w:type="pct"/>
            <w:tcBorders>
              <w:top w:val="nil"/>
              <w:bottom w:val="nil"/>
            </w:tcBorders>
          </w:tcPr>
          <w:p w14:paraId="2272E22E" w14:textId="7641FA7A"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7.8 (3.2 to 18.3)</w:t>
            </w:r>
          </w:p>
        </w:tc>
        <w:tc>
          <w:tcPr>
            <w:tcW w:w="945" w:type="pct"/>
            <w:tcBorders>
              <w:top w:val="nil"/>
              <w:bottom w:val="nil"/>
            </w:tcBorders>
          </w:tcPr>
          <w:p w14:paraId="2C5BD1F5" w14:textId="50FAD898"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0.0001</w:t>
            </w:r>
          </w:p>
        </w:tc>
      </w:tr>
      <w:tr w:rsidR="00AC2778" w:rsidRPr="005F0812" w14:paraId="1FA7883B" w14:textId="77777777" w:rsidTr="00836B8D">
        <w:trPr>
          <w:trHeight w:val="371"/>
        </w:trPr>
        <w:tc>
          <w:tcPr>
            <w:tcW w:w="1622" w:type="pct"/>
            <w:tcBorders>
              <w:top w:val="nil"/>
              <w:bottom w:val="nil"/>
            </w:tcBorders>
          </w:tcPr>
          <w:p w14:paraId="3107AEF9" w14:textId="77777777" w:rsidR="00AC2778" w:rsidRPr="005F0812" w:rsidRDefault="00AC2778" w:rsidP="00AC2778">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&gt;</w:t>
            </w:r>
            <w:r w:rsidRPr="005F0812">
              <w:rPr>
                <w:rFonts w:ascii="Book Antiqua" w:eastAsiaTheme="minorEastAsia" w:hAnsi="Book Antiqua"/>
                <w:lang w:val="en-GB"/>
              </w:rPr>
              <w:t xml:space="preserve"> </w:t>
            </w:r>
            <w:r w:rsidRPr="005F0812">
              <w:rPr>
                <w:rFonts w:ascii="Book Antiqua" w:eastAsia="Calibri" w:hAnsi="Book Antiqua"/>
                <w:lang w:val="en-GB"/>
              </w:rPr>
              <w:t>3</w:t>
            </w:r>
          </w:p>
        </w:tc>
        <w:tc>
          <w:tcPr>
            <w:tcW w:w="696" w:type="pct"/>
            <w:tcBorders>
              <w:top w:val="nil"/>
              <w:bottom w:val="nil"/>
            </w:tcBorders>
          </w:tcPr>
          <w:p w14:paraId="0ED05403"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2 (40</w:t>
            </w:r>
            <w:r>
              <w:rPr>
                <w:rFonts w:ascii="Book Antiqua" w:eastAsia="Calibri" w:hAnsi="Book Antiqua"/>
                <w:lang w:val="en-GB"/>
              </w:rPr>
              <w:t>.0</w:t>
            </w:r>
            <w:r w:rsidRPr="005F0812">
              <w:rPr>
                <w:rFonts w:ascii="Book Antiqua" w:eastAsia="Calibri" w:hAnsi="Book Antiqua"/>
                <w:lang w:val="en-GB"/>
              </w:rPr>
              <w:t>)</w:t>
            </w:r>
          </w:p>
        </w:tc>
        <w:tc>
          <w:tcPr>
            <w:tcW w:w="587" w:type="pct"/>
            <w:tcBorders>
              <w:top w:val="nil"/>
              <w:bottom w:val="nil"/>
            </w:tcBorders>
          </w:tcPr>
          <w:p w14:paraId="6933AA7D"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3 (60</w:t>
            </w:r>
            <w:r>
              <w:rPr>
                <w:rFonts w:ascii="Book Antiqua" w:eastAsia="Calibri" w:hAnsi="Book Antiqua"/>
                <w:lang w:val="en-GB"/>
              </w:rPr>
              <w:t>.0</w:t>
            </w:r>
            <w:r w:rsidRPr="005F0812">
              <w:rPr>
                <w:rFonts w:ascii="Book Antiqua" w:eastAsia="Calibri" w:hAnsi="Book Antiqua"/>
                <w:lang w:val="en-GB"/>
              </w:rPr>
              <w:t>)</w:t>
            </w:r>
          </w:p>
        </w:tc>
        <w:tc>
          <w:tcPr>
            <w:tcW w:w="1149" w:type="pct"/>
            <w:tcBorders>
              <w:top w:val="nil"/>
              <w:bottom w:val="nil"/>
            </w:tcBorders>
          </w:tcPr>
          <w:p w14:paraId="7E206E79"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46.5 (6.9 to 313.5)</w:t>
            </w:r>
          </w:p>
        </w:tc>
        <w:tc>
          <w:tcPr>
            <w:tcW w:w="945" w:type="pct"/>
            <w:tcBorders>
              <w:top w:val="nil"/>
              <w:bottom w:val="nil"/>
            </w:tcBorders>
          </w:tcPr>
          <w:p w14:paraId="3D3B1BD5"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0.0001</w:t>
            </w:r>
          </w:p>
        </w:tc>
      </w:tr>
      <w:tr w:rsidR="00E127CF" w:rsidRPr="005F0812" w14:paraId="16C06018" w14:textId="77777777" w:rsidTr="00AC2778">
        <w:trPr>
          <w:trHeight w:val="536"/>
        </w:trPr>
        <w:tc>
          <w:tcPr>
            <w:tcW w:w="1622" w:type="pct"/>
            <w:tcBorders>
              <w:top w:val="nil"/>
              <w:bottom w:val="nil"/>
            </w:tcBorders>
            <w:hideMark/>
          </w:tcPr>
          <w:p w14:paraId="78436905"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 xml:space="preserve">Biochemical results on admission </w:t>
            </w:r>
          </w:p>
        </w:tc>
        <w:tc>
          <w:tcPr>
            <w:tcW w:w="696" w:type="pct"/>
            <w:tcBorders>
              <w:top w:val="nil"/>
              <w:bottom w:val="nil"/>
            </w:tcBorders>
          </w:tcPr>
          <w:p w14:paraId="4D20E10C" w14:textId="77777777" w:rsidR="00CD771A" w:rsidRPr="005F0812" w:rsidRDefault="00CD771A" w:rsidP="006309ED">
            <w:pPr>
              <w:spacing w:line="360" w:lineRule="auto"/>
              <w:jc w:val="both"/>
              <w:rPr>
                <w:rFonts w:ascii="Book Antiqua" w:eastAsia="Calibri" w:hAnsi="Book Antiqua" w:cs="Arial"/>
                <w:lang w:val="en-GB"/>
              </w:rPr>
            </w:pPr>
          </w:p>
        </w:tc>
        <w:tc>
          <w:tcPr>
            <w:tcW w:w="587" w:type="pct"/>
            <w:tcBorders>
              <w:top w:val="nil"/>
              <w:bottom w:val="nil"/>
            </w:tcBorders>
          </w:tcPr>
          <w:p w14:paraId="0166697F" w14:textId="77777777" w:rsidR="00CD771A" w:rsidRPr="005F0812" w:rsidRDefault="00CD771A" w:rsidP="006309ED">
            <w:pPr>
              <w:spacing w:line="360" w:lineRule="auto"/>
              <w:jc w:val="both"/>
              <w:rPr>
                <w:rFonts w:ascii="Book Antiqua" w:eastAsia="Calibri" w:hAnsi="Book Antiqua" w:cs="Arial"/>
                <w:lang w:val="en-GB"/>
              </w:rPr>
            </w:pPr>
          </w:p>
        </w:tc>
        <w:tc>
          <w:tcPr>
            <w:tcW w:w="1149" w:type="pct"/>
            <w:tcBorders>
              <w:top w:val="nil"/>
              <w:bottom w:val="nil"/>
            </w:tcBorders>
          </w:tcPr>
          <w:p w14:paraId="50E9E256" w14:textId="77777777" w:rsidR="00CD771A" w:rsidRPr="005F0812" w:rsidRDefault="00CD771A" w:rsidP="006309ED">
            <w:pPr>
              <w:spacing w:line="360" w:lineRule="auto"/>
              <w:jc w:val="both"/>
              <w:rPr>
                <w:rFonts w:ascii="Book Antiqua" w:eastAsia="Calibri" w:hAnsi="Book Antiqua" w:cs="Arial"/>
                <w:lang w:val="en-GB"/>
              </w:rPr>
            </w:pPr>
          </w:p>
        </w:tc>
        <w:tc>
          <w:tcPr>
            <w:tcW w:w="945" w:type="pct"/>
            <w:tcBorders>
              <w:top w:val="nil"/>
              <w:bottom w:val="nil"/>
            </w:tcBorders>
          </w:tcPr>
          <w:p w14:paraId="379CD5BC" w14:textId="77777777" w:rsidR="00CD771A" w:rsidRPr="005F0812" w:rsidRDefault="00CD771A" w:rsidP="006309ED">
            <w:pPr>
              <w:spacing w:line="360" w:lineRule="auto"/>
              <w:jc w:val="both"/>
              <w:rPr>
                <w:rFonts w:ascii="Book Antiqua" w:eastAsia="Calibri" w:hAnsi="Book Antiqua" w:cs="Arial"/>
                <w:lang w:val="en-GB"/>
              </w:rPr>
            </w:pPr>
          </w:p>
        </w:tc>
      </w:tr>
      <w:tr w:rsidR="00E127CF" w:rsidRPr="005F0812" w14:paraId="02223F47" w14:textId="77777777" w:rsidTr="00AC2778">
        <w:trPr>
          <w:trHeight w:val="420"/>
        </w:trPr>
        <w:tc>
          <w:tcPr>
            <w:tcW w:w="1622" w:type="pct"/>
            <w:tcBorders>
              <w:top w:val="nil"/>
              <w:bottom w:val="nil"/>
            </w:tcBorders>
            <w:hideMark/>
          </w:tcPr>
          <w:p w14:paraId="6BBB6274" w14:textId="00EE3301"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Serum ALT</w:t>
            </w:r>
            <w:r w:rsidR="00111F5B" w:rsidRPr="005F0812">
              <w:rPr>
                <w:rFonts w:ascii="Book Antiqua" w:eastAsiaTheme="minorEastAsia" w:hAnsi="Book Antiqua"/>
                <w:lang w:val="en-GB"/>
              </w:rPr>
              <w:t>,</w:t>
            </w:r>
            <w:r w:rsidR="00111F5B" w:rsidRPr="005F0812">
              <w:rPr>
                <w:rFonts w:ascii="Book Antiqua" w:eastAsia="Calibri" w:hAnsi="Book Antiqua"/>
                <w:lang w:val="en-GB"/>
              </w:rPr>
              <w:t xml:space="preserve"> </w:t>
            </w:r>
            <w:r w:rsidR="00111F5B" w:rsidRPr="005F0812">
              <w:rPr>
                <w:rFonts w:ascii="Book Antiqua" w:eastAsiaTheme="minorEastAsia" w:hAnsi="Book Antiqua"/>
                <w:i/>
                <w:lang w:val="en-GB"/>
              </w:rPr>
              <w:t>n</w:t>
            </w:r>
            <w:r w:rsidR="00111F5B" w:rsidRPr="005F0812">
              <w:rPr>
                <w:rFonts w:ascii="Book Antiqua" w:eastAsia="Calibri" w:hAnsi="Book Antiqua"/>
                <w:lang w:val="en-GB"/>
              </w:rPr>
              <w:t xml:space="preserve"> (%)</w:t>
            </w:r>
          </w:p>
        </w:tc>
        <w:tc>
          <w:tcPr>
            <w:tcW w:w="696" w:type="pct"/>
            <w:tcBorders>
              <w:top w:val="nil"/>
              <w:bottom w:val="nil"/>
            </w:tcBorders>
          </w:tcPr>
          <w:p w14:paraId="70CC753D" w14:textId="59B2D30F" w:rsidR="00CD771A" w:rsidRPr="005F0812" w:rsidRDefault="00CD771A" w:rsidP="006309ED">
            <w:pPr>
              <w:spacing w:line="360" w:lineRule="auto"/>
              <w:jc w:val="both"/>
              <w:rPr>
                <w:rFonts w:ascii="Book Antiqua" w:eastAsia="Calibri" w:hAnsi="Book Antiqua" w:cs="Arial"/>
                <w:lang w:val="en-GB"/>
              </w:rPr>
            </w:pPr>
          </w:p>
        </w:tc>
        <w:tc>
          <w:tcPr>
            <w:tcW w:w="587" w:type="pct"/>
            <w:tcBorders>
              <w:top w:val="nil"/>
              <w:bottom w:val="nil"/>
            </w:tcBorders>
          </w:tcPr>
          <w:p w14:paraId="71CF0205" w14:textId="66F9669C" w:rsidR="00CD771A" w:rsidRPr="005F0812" w:rsidRDefault="00CD771A" w:rsidP="006309ED">
            <w:pPr>
              <w:spacing w:line="360" w:lineRule="auto"/>
              <w:jc w:val="both"/>
              <w:rPr>
                <w:rFonts w:ascii="Book Antiqua" w:eastAsia="Calibri" w:hAnsi="Book Antiqua" w:cs="Arial"/>
                <w:lang w:val="en-GB"/>
              </w:rPr>
            </w:pPr>
          </w:p>
        </w:tc>
        <w:tc>
          <w:tcPr>
            <w:tcW w:w="1149" w:type="pct"/>
            <w:tcBorders>
              <w:top w:val="nil"/>
              <w:bottom w:val="nil"/>
            </w:tcBorders>
          </w:tcPr>
          <w:p w14:paraId="5A592697" w14:textId="4DAE8FAF" w:rsidR="00CD771A" w:rsidRPr="005F0812" w:rsidRDefault="00CD771A" w:rsidP="006309ED">
            <w:pPr>
              <w:spacing w:line="360" w:lineRule="auto"/>
              <w:jc w:val="both"/>
              <w:rPr>
                <w:rFonts w:ascii="Book Antiqua" w:eastAsia="Calibri" w:hAnsi="Book Antiqua" w:cs="Arial"/>
                <w:lang w:val="en-GB"/>
              </w:rPr>
            </w:pPr>
          </w:p>
        </w:tc>
        <w:tc>
          <w:tcPr>
            <w:tcW w:w="945" w:type="pct"/>
            <w:tcBorders>
              <w:top w:val="nil"/>
              <w:bottom w:val="nil"/>
            </w:tcBorders>
          </w:tcPr>
          <w:p w14:paraId="7BBC4EA6" w14:textId="77EFAC5C" w:rsidR="00CD771A" w:rsidRPr="005F0812" w:rsidRDefault="00CD771A" w:rsidP="006309ED">
            <w:pPr>
              <w:spacing w:line="360" w:lineRule="auto"/>
              <w:jc w:val="both"/>
              <w:rPr>
                <w:rFonts w:ascii="Book Antiqua" w:eastAsia="Calibri" w:hAnsi="Book Antiqua" w:cs="Arial"/>
                <w:lang w:val="en-GB"/>
              </w:rPr>
            </w:pPr>
          </w:p>
        </w:tc>
      </w:tr>
      <w:tr w:rsidR="00AC2778" w:rsidRPr="005F0812" w14:paraId="530655B0" w14:textId="77777777" w:rsidTr="00AC2778">
        <w:trPr>
          <w:trHeight w:val="276"/>
        </w:trPr>
        <w:tc>
          <w:tcPr>
            <w:tcW w:w="1622" w:type="pct"/>
            <w:tcBorders>
              <w:top w:val="nil"/>
              <w:bottom w:val="nil"/>
            </w:tcBorders>
          </w:tcPr>
          <w:p w14:paraId="426E3C52" w14:textId="6A35EA99" w:rsidR="00AC2778" w:rsidRPr="005F0812" w:rsidRDefault="00AC2778" w:rsidP="00AC2778">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&lt;</w:t>
            </w:r>
            <w:r w:rsidRPr="005F0812">
              <w:rPr>
                <w:rFonts w:ascii="Book Antiqua" w:eastAsiaTheme="minorEastAsia" w:hAnsi="Book Antiqua"/>
                <w:lang w:val="en-GB"/>
              </w:rPr>
              <w:t xml:space="preserve"> </w:t>
            </w:r>
            <w:r w:rsidRPr="005F0812">
              <w:rPr>
                <w:rFonts w:ascii="Book Antiqua" w:eastAsia="Calibri" w:hAnsi="Book Antiqua"/>
                <w:lang w:val="en-GB"/>
              </w:rPr>
              <w:t>40 U/L</w:t>
            </w:r>
          </w:p>
        </w:tc>
        <w:tc>
          <w:tcPr>
            <w:tcW w:w="696" w:type="pct"/>
            <w:tcBorders>
              <w:top w:val="nil"/>
              <w:bottom w:val="nil"/>
            </w:tcBorders>
          </w:tcPr>
          <w:p w14:paraId="1A0CDDDF" w14:textId="39EE97B0"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225 (93.4)</w:t>
            </w:r>
          </w:p>
        </w:tc>
        <w:tc>
          <w:tcPr>
            <w:tcW w:w="587" w:type="pct"/>
            <w:tcBorders>
              <w:top w:val="nil"/>
              <w:bottom w:val="nil"/>
            </w:tcBorders>
          </w:tcPr>
          <w:p w14:paraId="7AA883CF" w14:textId="07AD4259"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16 (6.6)</w:t>
            </w:r>
          </w:p>
        </w:tc>
        <w:tc>
          <w:tcPr>
            <w:tcW w:w="1149" w:type="pct"/>
            <w:tcBorders>
              <w:top w:val="nil"/>
              <w:bottom w:val="nil"/>
            </w:tcBorders>
          </w:tcPr>
          <w:p w14:paraId="2DD58733" w14:textId="53598857"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Ref</w:t>
            </w:r>
          </w:p>
        </w:tc>
        <w:tc>
          <w:tcPr>
            <w:tcW w:w="945" w:type="pct"/>
            <w:tcBorders>
              <w:top w:val="nil"/>
              <w:bottom w:val="nil"/>
            </w:tcBorders>
          </w:tcPr>
          <w:p w14:paraId="73B071B0" w14:textId="7F5E9D23" w:rsidR="00AC2778" w:rsidRPr="005F0812" w:rsidRDefault="00AC2778" w:rsidP="00AC2778">
            <w:pPr>
              <w:spacing w:line="360" w:lineRule="auto"/>
              <w:jc w:val="both"/>
              <w:rPr>
                <w:rFonts w:ascii="Book Antiqua" w:eastAsia="Calibri" w:hAnsi="Book Antiqua" w:cs="Arial"/>
                <w:lang w:val="en-GB"/>
              </w:rPr>
            </w:pPr>
          </w:p>
        </w:tc>
      </w:tr>
      <w:tr w:rsidR="00AC2778" w:rsidRPr="005F0812" w14:paraId="3A16BD10" w14:textId="77777777" w:rsidTr="00AC2778">
        <w:trPr>
          <w:trHeight w:val="360"/>
        </w:trPr>
        <w:tc>
          <w:tcPr>
            <w:tcW w:w="1622" w:type="pct"/>
            <w:tcBorders>
              <w:top w:val="nil"/>
              <w:bottom w:val="nil"/>
            </w:tcBorders>
          </w:tcPr>
          <w:p w14:paraId="1A6F9F79" w14:textId="36C374EF" w:rsidR="00AC2778" w:rsidRPr="005F0812" w:rsidRDefault="00AC2778" w:rsidP="00AC2778">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40-80 U/L</w:t>
            </w:r>
          </w:p>
        </w:tc>
        <w:tc>
          <w:tcPr>
            <w:tcW w:w="696" w:type="pct"/>
            <w:tcBorders>
              <w:top w:val="nil"/>
              <w:bottom w:val="nil"/>
            </w:tcBorders>
          </w:tcPr>
          <w:p w14:paraId="4745B49B" w14:textId="1D13196B"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98 (</w:t>
            </w:r>
            <w:r>
              <w:rPr>
                <w:rFonts w:ascii="Book Antiqua" w:eastAsia="Calibri" w:hAnsi="Book Antiqua"/>
                <w:lang w:val="en-GB"/>
              </w:rPr>
              <w:t>89.9</w:t>
            </w:r>
            <w:r w:rsidRPr="005F0812">
              <w:rPr>
                <w:rFonts w:ascii="Book Antiqua" w:eastAsia="Calibri" w:hAnsi="Book Antiqua"/>
                <w:lang w:val="en-GB"/>
              </w:rPr>
              <w:t>)</w:t>
            </w:r>
          </w:p>
        </w:tc>
        <w:tc>
          <w:tcPr>
            <w:tcW w:w="587" w:type="pct"/>
            <w:tcBorders>
              <w:top w:val="nil"/>
              <w:bottom w:val="nil"/>
            </w:tcBorders>
          </w:tcPr>
          <w:p w14:paraId="582E7B5E" w14:textId="7C36871A"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11 (10.</w:t>
            </w:r>
            <w:r>
              <w:rPr>
                <w:rFonts w:ascii="Book Antiqua" w:eastAsia="Calibri" w:hAnsi="Book Antiqua"/>
                <w:lang w:val="en-GB"/>
              </w:rPr>
              <w:t>1</w:t>
            </w:r>
            <w:r w:rsidRPr="005F0812">
              <w:rPr>
                <w:rFonts w:ascii="Book Antiqua" w:eastAsia="Calibri" w:hAnsi="Book Antiqua"/>
                <w:lang w:val="en-GB"/>
              </w:rPr>
              <w:t>)</w:t>
            </w:r>
          </w:p>
        </w:tc>
        <w:tc>
          <w:tcPr>
            <w:tcW w:w="1149" w:type="pct"/>
            <w:tcBorders>
              <w:top w:val="nil"/>
              <w:bottom w:val="nil"/>
            </w:tcBorders>
          </w:tcPr>
          <w:p w14:paraId="0A3FB5EB" w14:textId="6E230904"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1.5 (0.6 to 3.3)</w:t>
            </w:r>
          </w:p>
        </w:tc>
        <w:tc>
          <w:tcPr>
            <w:tcW w:w="945" w:type="pct"/>
            <w:tcBorders>
              <w:top w:val="nil"/>
              <w:bottom w:val="nil"/>
            </w:tcBorders>
          </w:tcPr>
          <w:p w14:paraId="4932BA02" w14:textId="584CC913"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0.36</w:t>
            </w:r>
          </w:p>
        </w:tc>
      </w:tr>
      <w:tr w:rsidR="00AC2778" w:rsidRPr="005F0812" w14:paraId="41D1D61B" w14:textId="77777777" w:rsidTr="00AC2778">
        <w:trPr>
          <w:trHeight w:val="732"/>
        </w:trPr>
        <w:tc>
          <w:tcPr>
            <w:tcW w:w="1622" w:type="pct"/>
            <w:tcBorders>
              <w:top w:val="nil"/>
              <w:bottom w:val="nil"/>
            </w:tcBorders>
          </w:tcPr>
          <w:p w14:paraId="50B48E46" w14:textId="77777777" w:rsidR="00AC2778" w:rsidRPr="005F0812" w:rsidRDefault="00AC2778" w:rsidP="00AC2778">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&gt;</w:t>
            </w:r>
            <w:r w:rsidRPr="005F0812">
              <w:rPr>
                <w:rFonts w:ascii="Book Antiqua" w:eastAsiaTheme="minorEastAsia" w:hAnsi="Book Antiqua"/>
                <w:lang w:val="en-GB"/>
              </w:rPr>
              <w:t xml:space="preserve"> </w:t>
            </w:r>
            <w:r w:rsidRPr="005F0812">
              <w:rPr>
                <w:rFonts w:ascii="Book Antiqua" w:eastAsia="Calibri" w:hAnsi="Book Antiqua"/>
                <w:lang w:val="en-GB"/>
              </w:rPr>
              <w:t>80 U/L</w:t>
            </w:r>
          </w:p>
        </w:tc>
        <w:tc>
          <w:tcPr>
            <w:tcW w:w="696" w:type="pct"/>
            <w:tcBorders>
              <w:top w:val="nil"/>
              <w:bottom w:val="nil"/>
            </w:tcBorders>
          </w:tcPr>
          <w:p w14:paraId="39C306D3"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24 (92.3)</w:t>
            </w:r>
          </w:p>
        </w:tc>
        <w:tc>
          <w:tcPr>
            <w:tcW w:w="587" w:type="pct"/>
            <w:tcBorders>
              <w:top w:val="nil"/>
              <w:bottom w:val="nil"/>
            </w:tcBorders>
          </w:tcPr>
          <w:p w14:paraId="09E98CA5"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2 (7.7)</w:t>
            </w:r>
          </w:p>
        </w:tc>
        <w:tc>
          <w:tcPr>
            <w:tcW w:w="1149" w:type="pct"/>
            <w:tcBorders>
              <w:top w:val="nil"/>
              <w:bottom w:val="nil"/>
            </w:tcBorders>
          </w:tcPr>
          <w:p w14:paraId="5FC54E10"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1.1 (0.</w:t>
            </w:r>
            <w:r>
              <w:rPr>
                <w:rFonts w:ascii="Book Antiqua" w:eastAsia="Calibri" w:hAnsi="Book Antiqua"/>
                <w:lang w:val="en-GB"/>
              </w:rPr>
              <w:t>3</w:t>
            </w:r>
            <w:r w:rsidRPr="005F0812">
              <w:rPr>
                <w:rFonts w:ascii="Book Antiqua" w:eastAsia="Calibri" w:hAnsi="Book Antiqua"/>
                <w:lang w:val="en-GB"/>
              </w:rPr>
              <w:t xml:space="preserve"> to 5.4)</w:t>
            </w:r>
          </w:p>
        </w:tc>
        <w:tc>
          <w:tcPr>
            <w:tcW w:w="945" w:type="pct"/>
            <w:tcBorders>
              <w:top w:val="nil"/>
              <w:bottom w:val="nil"/>
            </w:tcBorders>
          </w:tcPr>
          <w:p w14:paraId="2F509787"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0.83</w:t>
            </w:r>
          </w:p>
        </w:tc>
      </w:tr>
      <w:tr w:rsidR="00E127CF" w:rsidRPr="005F0812" w14:paraId="397D8995" w14:textId="77777777" w:rsidTr="00BD2922">
        <w:trPr>
          <w:trHeight w:val="240"/>
        </w:trPr>
        <w:tc>
          <w:tcPr>
            <w:tcW w:w="1622" w:type="pct"/>
            <w:tcBorders>
              <w:top w:val="nil"/>
              <w:bottom w:val="nil"/>
            </w:tcBorders>
            <w:hideMark/>
          </w:tcPr>
          <w:p w14:paraId="6E68E32B" w14:textId="0C0C48D2"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Serum AST</w:t>
            </w:r>
            <w:r w:rsidR="00111F5B" w:rsidRPr="005F0812">
              <w:rPr>
                <w:rFonts w:ascii="Book Antiqua" w:eastAsiaTheme="minorEastAsia" w:hAnsi="Book Antiqua"/>
                <w:lang w:val="en-GB"/>
              </w:rPr>
              <w:t>,</w:t>
            </w:r>
            <w:r w:rsidR="00111F5B" w:rsidRPr="005F0812">
              <w:rPr>
                <w:rFonts w:ascii="Book Antiqua" w:eastAsia="Calibri" w:hAnsi="Book Antiqua"/>
                <w:lang w:val="en-GB"/>
              </w:rPr>
              <w:t xml:space="preserve"> </w:t>
            </w:r>
            <w:r w:rsidR="00111F5B" w:rsidRPr="005F0812">
              <w:rPr>
                <w:rFonts w:ascii="Book Antiqua" w:eastAsiaTheme="minorEastAsia" w:hAnsi="Book Antiqua"/>
                <w:i/>
                <w:lang w:val="en-GB"/>
              </w:rPr>
              <w:t>n</w:t>
            </w:r>
            <w:r w:rsidR="00111F5B" w:rsidRPr="005F0812">
              <w:rPr>
                <w:rFonts w:ascii="Book Antiqua" w:eastAsia="Calibri" w:hAnsi="Book Antiqua"/>
                <w:lang w:val="en-GB"/>
              </w:rPr>
              <w:t xml:space="preserve"> (%)</w:t>
            </w:r>
          </w:p>
        </w:tc>
        <w:tc>
          <w:tcPr>
            <w:tcW w:w="696" w:type="pct"/>
            <w:tcBorders>
              <w:top w:val="nil"/>
              <w:bottom w:val="nil"/>
            </w:tcBorders>
          </w:tcPr>
          <w:p w14:paraId="0082AB9B" w14:textId="5D55FB3A" w:rsidR="00CD771A" w:rsidRPr="005F0812" w:rsidRDefault="00CD771A" w:rsidP="006309ED">
            <w:pPr>
              <w:spacing w:line="360" w:lineRule="auto"/>
              <w:jc w:val="both"/>
              <w:rPr>
                <w:rFonts w:ascii="Book Antiqua" w:eastAsia="Calibri" w:hAnsi="Book Antiqua" w:cs="Arial"/>
                <w:lang w:val="en-GB"/>
              </w:rPr>
            </w:pPr>
          </w:p>
        </w:tc>
        <w:tc>
          <w:tcPr>
            <w:tcW w:w="587" w:type="pct"/>
            <w:tcBorders>
              <w:top w:val="nil"/>
              <w:bottom w:val="nil"/>
            </w:tcBorders>
          </w:tcPr>
          <w:p w14:paraId="3CB1B7A4" w14:textId="5891A80A" w:rsidR="00CD771A" w:rsidRPr="005F0812" w:rsidRDefault="00CD771A" w:rsidP="006309ED">
            <w:pPr>
              <w:spacing w:line="360" w:lineRule="auto"/>
              <w:jc w:val="both"/>
              <w:rPr>
                <w:rFonts w:ascii="Book Antiqua" w:eastAsia="Calibri" w:hAnsi="Book Antiqua" w:cs="Arial"/>
                <w:lang w:val="en-GB"/>
              </w:rPr>
            </w:pPr>
          </w:p>
        </w:tc>
        <w:tc>
          <w:tcPr>
            <w:tcW w:w="1149" w:type="pct"/>
            <w:tcBorders>
              <w:top w:val="nil"/>
              <w:bottom w:val="nil"/>
            </w:tcBorders>
          </w:tcPr>
          <w:p w14:paraId="4B147FA5" w14:textId="58591BEC" w:rsidR="00CD771A" w:rsidRPr="005F0812" w:rsidRDefault="00CD771A" w:rsidP="006309ED">
            <w:pPr>
              <w:spacing w:line="360" w:lineRule="auto"/>
              <w:jc w:val="both"/>
              <w:rPr>
                <w:rFonts w:ascii="Book Antiqua" w:eastAsia="Calibri" w:hAnsi="Book Antiqua" w:cs="Arial"/>
                <w:lang w:val="en-GB"/>
              </w:rPr>
            </w:pPr>
          </w:p>
        </w:tc>
        <w:tc>
          <w:tcPr>
            <w:tcW w:w="945" w:type="pct"/>
            <w:tcBorders>
              <w:top w:val="nil"/>
              <w:bottom w:val="nil"/>
            </w:tcBorders>
          </w:tcPr>
          <w:p w14:paraId="7DB590B6" w14:textId="51866127" w:rsidR="00CD771A" w:rsidRPr="005F0812" w:rsidRDefault="00CD771A" w:rsidP="006309ED">
            <w:pPr>
              <w:spacing w:line="360" w:lineRule="auto"/>
              <w:jc w:val="both"/>
              <w:rPr>
                <w:rFonts w:ascii="Book Antiqua" w:eastAsia="Calibri" w:hAnsi="Book Antiqua" w:cs="Arial"/>
                <w:lang w:val="en-GB"/>
              </w:rPr>
            </w:pPr>
          </w:p>
        </w:tc>
      </w:tr>
      <w:tr w:rsidR="00BD2922" w:rsidRPr="005F0812" w14:paraId="6DAFF01B" w14:textId="77777777" w:rsidTr="00BD2922">
        <w:trPr>
          <w:trHeight w:val="648"/>
        </w:trPr>
        <w:tc>
          <w:tcPr>
            <w:tcW w:w="1622" w:type="pct"/>
            <w:tcBorders>
              <w:top w:val="nil"/>
              <w:bottom w:val="nil"/>
            </w:tcBorders>
          </w:tcPr>
          <w:p w14:paraId="5A856082" w14:textId="77777777" w:rsidR="00BD2922" w:rsidRPr="005F0812" w:rsidRDefault="00BD2922" w:rsidP="00BD2922">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&lt;</w:t>
            </w:r>
            <w:r w:rsidRPr="005F0812">
              <w:rPr>
                <w:rFonts w:ascii="Book Antiqua" w:eastAsiaTheme="minorEastAsia" w:hAnsi="Book Antiqua"/>
                <w:lang w:val="en-GB"/>
              </w:rPr>
              <w:t xml:space="preserve"> </w:t>
            </w:r>
            <w:r w:rsidRPr="005F0812">
              <w:rPr>
                <w:rFonts w:ascii="Book Antiqua" w:eastAsia="Calibri" w:hAnsi="Book Antiqua"/>
                <w:lang w:val="en-GB"/>
              </w:rPr>
              <w:t>40 U/L</w:t>
            </w:r>
          </w:p>
        </w:tc>
        <w:tc>
          <w:tcPr>
            <w:tcW w:w="696" w:type="pct"/>
            <w:tcBorders>
              <w:top w:val="nil"/>
              <w:bottom w:val="nil"/>
            </w:tcBorders>
          </w:tcPr>
          <w:p w14:paraId="49D437C4" w14:textId="77777777" w:rsidR="00BD2922" w:rsidRPr="005F0812" w:rsidRDefault="00BD2922" w:rsidP="00BD2922">
            <w:pPr>
              <w:spacing w:line="360" w:lineRule="auto"/>
              <w:jc w:val="both"/>
              <w:rPr>
                <w:rFonts w:ascii="Book Antiqua" w:eastAsia="Calibri" w:hAnsi="Book Antiqua" w:cs="Arial"/>
                <w:lang w:val="en-GB"/>
              </w:rPr>
            </w:pPr>
            <w:r w:rsidRPr="005F0812">
              <w:rPr>
                <w:rFonts w:ascii="Book Antiqua" w:eastAsia="Calibri" w:hAnsi="Book Antiqua"/>
                <w:lang w:val="en-GB"/>
              </w:rPr>
              <w:t>246</w:t>
            </w:r>
            <w:r w:rsidRPr="005F0812">
              <w:rPr>
                <w:rFonts w:ascii="Book Antiqua" w:eastAsiaTheme="minorEastAsia" w:hAnsi="Book Antiqua"/>
                <w:lang w:val="en-GB"/>
              </w:rPr>
              <w:t xml:space="preserve"> </w:t>
            </w:r>
            <w:r w:rsidRPr="005F0812">
              <w:rPr>
                <w:rFonts w:ascii="Book Antiqua" w:eastAsia="Calibri" w:hAnsi="Book Antiqua"/>
                <w:lang w:val="en-GB"/>
              </w:rPr>
              <w:t>(96.8)</w:t>
            </w:r>
          </w:p>
        </w:tc>
        <w:tc>
          <w:tcPr>
            <w:tcW w:w="587" w:type="pct"/>
            <w:tcBorders>
              <w:top w:val="nil"/>
              <w:bottom w:val="nil"/>
            </w:tcBorders>
          </w:tcPr>
          <w:p w14:paraId="6D6C3131" w14:textId="77777777" w:rsidR="00BD2922" w:rsidRPr="005F0812" w:rsidRDefault="00BD2922" w:rsidP="00BD2922">
            <w:pPr>
              <w:spacing w:line="360" w:lineRule="auto"/>
              <w:jc w:val="both"/>
              <w:rPr>
                <w:rFonts w:ascii="Book Antiqua" w:eastAsia="Calibri" w:hAnsi="Book Antiqua" w:cs="Arial"/>
                <w:lang w:val="en-GB"/>
              </w:rPr>
            </w:pPr>
            <w:r w:rsidRPr="005F0812">
              <w:rPr>
                <w:rFonts w:ascii="Book Antiqua" w:eastAsia="Calibri" w:hAnsi="Book Antiqua"/>
                <w:lang w:val="en-GB"/>
              </w:rPr>
              <w:t>8 (3.</w:t>
            </w:r>
            <w:r>
              <w:rPr>
                <w:rFonts w:ascii="Book Antiqua" w:eastAsia="Calibri" w:hAnsi="Book Antiqua"/>
                <w:lang w:val="en-GB"/>
              </w:rPr>
              <w:t>2</w:t>
            </w:r>
            <w:r w:rsidRPr="005F0812">
              <w:rPr>
                <w:rFonts w:ascii="Book Antiqua" w:eastAsia="Calibri" w:hAnsi="Book Antiqua"/>
                <w:lang w:val="en-GB"/>
              </w:rPr>
              <w:t>)</w:t>
            </w:r>
          </w:p>
        </w:tc>
        <w:tc>
          <w:tcPr>
            <w:tcW w:w="1149" w:type="pct"/>
            <w:tcBorders>
              <w:top w:val="nil"/>
              <w:bottom w:val="nil"/>
            </w:tcBorders>
          </w:tcPr>
          <w:p w14:paraId="6AA82094" w14:textId="77777777" w:rsidR="00BD2922" w:rsidRPr="005F0812" w:rsidRDefault="00BD2922" w:rsidP="00BD2922">
            <w:pPr>
              <w:spacing w:line="360" w:lineRule="auto"/>
              <w:jc w:val="both"/>
              <w:rPr>
                <w:rFonts w:ascii="Book Antiqua" w:eastAsia="Calibri" w:hAnsi="Book Antiqua" w:cs="Arial"/>
                <w:lang w:val="en-GB"/>
              </w:rPr>
            </w:pPr>
            <w:r w:rsidRPr="005F0812">
              <w:rPr>
                <w:rFonts w:ascii="Book Antiqua" w:eastAsia="Calibri" w:hAnsi="Book Antiqua"/>
                <w:lang w:val="en-GB"/>
              </w:rPr>
              <w:t>Ref</w:t>
            </w:r>
          </w:p>
        </w:tc>
        <w:tc>
          <w:tcPr>
            <w:tcW w:w="945" w:type="pct"/>
            <w:tcBorders>
              <w:top w:val="nil"/>
              <w:bottom w:val="nil"/>
            </w:tcBorders>
          </w:tcPr>
          <w:p w14:paraId="4EF6D0AA" w14:textId="77777777" w:rsidR="00BD2922" w:rsidRPr="005F0812" w:rsidRDefault="00BD2922" w:rsidP="006309ED">
            <w:pPr>
              <w:spacing w:line="360" w:lineRule="auto"/>
              <w:jc w:val="both"/>
              <w:rPr>
                <w:rFonts w:ascii="Book Antiqua" w:eastAsia="Calibri" w:hAnsi="Book Antiqua" w:cs="Arial"/>
                <w:lang w:val="en-GB"/>
              </w:rPr>
            </w:pPr>
          </w:p>
        </w:tc>
      </w:tr>
      <w:tr w:rsidR="00AC2778" w:rsidRPr="005F0812" w14:paraId="108397D4" w14:textId="77777777" w:rsidTr="00AC2778">
        <w:trPr>
          <w:trHeight w:val="384"/>
        </w:trPr>
        <w:tc>
          <w:tcPr>
            <w:tcW w:w="1622" w:type="pct"/>
            <w:tcBorders>
              <w:top w:val="nil"/>
              <w:bottom w:val="nil"/>
            </w:tcBorders>
          </w:tcPr>
          <w:p w14:paraId="32844A5B" w14:textId="08130FB4" w:rsidR="00AC2778" w:rsidRPr="005F0812" w:rsidRDefault="00AC2778" w:rsidP="00AC2778">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40-80 U/L</w:t>
            </w:r>
          </w:p>
        </w:tc>
        <w:tc>
          <w:tcPr>
            <w:tcW w:w="696" w:type="pct"/>
            <w:tcBorders>
              <w:top w:val="nil"/>
              <w:bottom w:val="nil"/>
            </w:tcBorders>
          </w:tcPr>
          <w:p w14:paraId="182555AF" w14:textId="4AF9DC45"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87 (82.3)</w:t>
            </w:r>
          </w:p>
        </w:tc>
        <w:tc>
          <w:tcPr>
            <w:tcW w:w="587" w:type="pct"/>
            <w:tcBorders>
              <w:top w:val="nil"/>
              <w:bottom w:val="nil"/>
            </w:tcBorders>
          </w:tcPr>
          <w:p w14:paraId="6B54DF22" w14:textId="12B1907F"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18 (17.1)</w:t>
            </w:r>
          </w:p>
        </w:tc>
        <w:tc>
          <w:tcPr>
            <w:tcW w:w="1149" w:type="pct"/>
            <w:tcBorders>
              <w:top w:val="nil"/>
              <w:bottom w:val="nil"/>
            </w:tcBorders>
          </w:tcPr>
          <w:p w14:paraId="3200FCE9" w14:textId="62629550"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6.1 (2.5 to 14.7)</w:t>
            </w:r>
          </w:p>
        </w:tc>
        <w:tc>
          <w:tcPr>
            <w:tcW w:w="945" w:type="pct"/>
            <w:tcBorders>
              <w:top w:val="nil"/>
              <w:bottom w:val="nil"/>
            </w:tcBorders>
          </w:tcPr>
          <w:p w14:paraId="6AF33D4D" w14:textId="5DFB6D37"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0.0001</w:t>
            </w:r>
          </w:p>
        </w:tc>
      </w:tr>
      <w:tr w:rsidR="00AC2778" w:rsidRPr="005F0812" w14:paraId="66141C23" w14:textId="77777777" w:rsidTr="00AC2778">
        <w:trPr>
          <w:trHeight w:val="936"/>
        </w:trPr>
        <w:tc>
          <w:tcPr>
            <w:tcW w:w="1622" w:type="pct"/>
            <w:tcBorders>
              <w:top w:val="nil"/>
              <w:bottom w:val="nil"/>
            </w:tcBorders>
          </w:tcPr>
          <w:p w14:paraId="11306D15" w14:textId="77777777" w:rsidR="00AC2778" w:rsidRPr="005F0812" w:rsidRDefault="00AC2778" w:rsidP="00AC2778">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&gt;</w:t>
            </w:r>
            <w:r w:rsidRPr="005F0812">
              <w:rPr>
                <w:rFonts w:ascii="Book Antiqua" w:eastAsiaTheme="minorEastAsia" w:hAnsi="Book Antiqua"/>
                <w:lang w:val="en-GB"/>
              </w:rPr>
              <w:t xml:space="preserve"> </w:t>
            </w:r>
            <w:r w:rsidRPr="005F0812">
              <w:rPr>
                <w:rFonts w:ascii="Book Antiqua" w:eastAsia="Calibri" w:hAnsi="Book Antiqua"/>
                <w:lang w:val="en-GB"/>
              </w:rPr>
              <w:t>80 U/L</w:t>
            </w:r>
          </w:p>
        </w:tc>
        <w:tc>
          <w:tcPr>
            <w:tcW w:w="696" w:type="pct"/>
            <w:tcBorders>
              <w:top w:val="nil"/>
              <w:bottom w:val="nil"/>
            </w:tcBorders>
          </w:tcPr>
          <w:p w14:paraId="09D58AC2"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14 (82.3)</w:t>
            </w:r>
          </w:p>
        </w:tc>
        <w:tc>
          <w:tcPr>
            <w:tcW w:w="587" w:type="pct"/>
            <w:tcBorders>
              <w:top w:val="nil"/>
              <w:bottom w:val="nil"/>
            </w:tcBorders>
          </w:tcPr>
          <w:p w14:paraId="6038FCEE"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3 (17.6)</w:t>
            </w:r>
          </w:p>
        </w:tc>
        <w:tc>
          <w:tcPr>
            <w:tcW w:w="1149" w:type="pct"/>
            <w:tcBorders>
              <w:top w:val="nil"/>
              <w:bottom w:val="nil"/>
            </w:tcBorders>
          </w:tcPr>
          <w:p w14:paraId="054C291B"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6.1 (1.5 to 25.5)</w:t>
            </w:r>
          </w:p>
        </w:tc>
        <w:tc>
          <w:tcPr>
            <w:tcW w:w="945" w:type="pct"/>
            <w:tcBorders>
              <w:top w:val="nil"/>
              <w:bottom w:val="nil"/>
            </w:tcBorders>
          </w:tcPr>
          <w:p w14:paraId="55D1A0D6"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0.01</w:t>
            </w:r>
          </w:p>
        </w:tc>
      </w:tr>
      <w:tr w:rsidR="00E127CF" w:rsidRPr="005F0812" w14:paraId="487DA77C" w14:textId="77777777" w:rsidTr="00AC2778">
        <w:trPr>
          <w:trHeight w:val="408"/>
        </w:trPr>
        <w:tc>
          <w:tcPr>
            <w:tcW w:w="1622" w:type="pct"/>
            <w:tcBorders>
              <w:top w:val="nil"/>
              <w:bottom w:val="nil"/>
            </w:tcBorders>
            <w:hideMark/>
          </w:tcPr>
          <w:p w14:paraId="0E4062A0" w14:textId="6B7DB2F6"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AST/ALT</w:t>
            </w:r>
          </w:p>
        </w:tc>
        <w:tc>
          <w:tcPr>
            <w:tcW w:w="696" w:type="pct"/>
            <w:tcBorders>
              <w:top w:val="nil"/>
              <w:bottom w:val="nil"/>
            </w:tcBorders>
          </w:tcPr>
          <w:p w14:paraId="5071FEE7" w14:textId="0234CFEB" w:rsidR="00CD771A" w:rsidRPr="005F0812" w:rsidRDefault="00CD771A" w:rsidP="006309ED">
            <w:pPr>
              <w:spacing w:line="360" w:lineRule="auto"/>
              <w:jc w:val="both"/>
              <w:rPr>
                <w:rFonts w:ascii="Book Antiqua" w:eastAsia="Calibri" w:hAnsi="Book Antiqua" w:cs="Arial"/>
                <w:lang w:val="en-GB"/>
              </w:rPr>
            </w:pPr>
          </w:p>
        </w:tc>
        <w:tc>
          <w:tcPr>
            <w:tcW w:w="587" w:type="pct"/>
            <w:tcBorders>
              <w:top w:val="nil"/>
              <w:bottom w:val="nil"/>
            </w:tcBorders>
          </w:tcPr>
          <w:p w14:paraId="0F1E87B2" w14:textId="1CB09BA5" w:rsidR="00CD771A" w:rsidRPr="005F0812" w:rsidRDefault="00CD771A" w:rsidP="006309ED">
            <w:pPr>
              <w:spacing w:line="360" w:lineRule="auto"/>
              <w:jc w:val="both"/>
              <w:rPr>
                <w:rFonts w:ascii="Book Antiqua" w:eastAsia="Calibri" w:hAnsi="Book Antiqua" w:cs="Arial"/>
                <w:lang w:val="en-GB"/>
              </w:rPr>
            </w:pPr>
          </w:p>
        </w:tc>
        <w:tc>
          <w:tcPr>
            <w:tcW w:w="1149" w:type="pct"/>
            <w:tcBorders>
              <w:top w:val="nil"/>
              <w:bottom w:val="nil"/>
            </w:tcBorders>
          </w:tcPr>
          <w:p w14:paraId="6ED5BC99" w14:textId="32DA39A3" w:rsidR="00CD771A" w:rsidRPr="005F0812" w:rsidRDefault="00CD771A" w:rsidP="006309ED">
            <w:pPr>
              <w:spacing w:line="360" w:lineRule="auto"/>
              <w:jc w:val="both"/>
              <w:rPr>
                <w:rFonts w:ascii="Book Antiqua" w:eastAsia="Calibri" w:hAnsi="Book Antiqua" w:cs="Arial"/>
                <w:lang w:val="en-GB"/>
              </w:rPr>
            </w:pPr>
          </w:p>
        </w:tc>
        <w:tc>
          <w:tcPr>
            <w:tcW w:w="945" w:type="pct"/>
            <w:tcBorders>
              <w:top w:val="nil"/>
              <w:bottom w:val="nil"/>
            </w:tcBorders>
          </w:tcPr>
          <w:p w14:paraId="65CEC58D" w14:textId="2D3298E8" w:rsidR="00CD771A" w:rsidRPr="005F0812" w:rsidRDefault="00CD771A" w:rsidP="006309ED">
            <w:pPr>
              <w:spacing w:line="360" w:lineRule="auto"/>
              <w:jc w:val="both"/>
              <w:rPr>
                <w:rFonts w:ascii="Book Antiqua" w:eastAsia="Calibri" w:hAnsi="Book Antiqua" w:cs="Arial"/>
                <w:lang w:val="en-GB"/>
              </w:rPr>
            </w:pPr>
          </w:p>
        </w:tc>
      </w:tr>
      <w:tr w:rsidR="00AC2778" w:rsidRPr="005F0812" w14:paraId="644826BF" w14:textId="77777777" w:rsidTr="00AC2778">
        <w:trPr>
          <w:trHeight w:val="360"/>
        </w:trPr>
        <w:tc>
          <w:tcPr>
            <w:tcW w:w="1622" w:type="pct"/>
            <w:tcBorders>
              <w:top w:val="nil"/>
              <w:bottom w:val="nil"/>
            </w:tcBorders>
          </w:tcPr>
          <w:p w14:paraId="327AAF66" w14:textId="0D80AE03" w:rsidR="00AC2778" w:rsidRPr="005F0812" w:rsidRDefault="00AC2778" w:rsidP="00AC2778">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1.2-1.5</w:t>
            </w:r>
          </w:p>
        </w:tc>
        <w:tc>
          <w:tcPr>
            <w:tcW w:w="696" w:type="pct"/>
            <w:tcBorders>
              <w:top w:val="nil"/>
              <w:bottom w:val="nil"/>
            </w:tcBorders>
          </w:tcPr>
          <w:p w14:paraId="27A7BAFE" w14:textId="4A06B063"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41 (87.2)</w:t>
            </w:r>
          </w:p>
        </w:tc>
        <w:tc>
          <w:tcPr>
            <w:tcW w:w="587" w:type="pct"/>
            <w:tcBorders>
              <w:top w:val="nil"/>
              <w:bottom w:val="nil"/>
            </w:tcBorders>
          </w:tcPr>
          <w:p w14:paraId="68BD5B11" w14:textId="113779EE"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6 (12.7)</w:t>
            </w:r>
          </w:p>
        </w:tc>
        <w:tc>
          <w:tcPr>
            <w:tcW w:w="1149" w:type="pct"/>
            <w:tcBorders>
              <w:top w:val="nil"/>
              <w:bottom w:val="nil"/>
            </w:tcBorders>
          </w:tcPr>
          <w:p w14:paraId="435B8F3D" w14:textId="36B3772B"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2.6 (1</w:t>
            </w:r>
            <w:r>
              <w:rPr>
                <w:rFonts w:ascii="Book Antiqua" w:eastAsia="Calibri" w:hAnsi="Book Antiqua"/>
                <w:lang w:val="en-GB"/>
              </w:rPr>
              <w:t>.0</w:t>
            </w:r>
            <w:r w:rsidRPr="005F0812">
              <w:rPr>
                <w:rFonts w:ascii="Book Antiqua" w:eastAsia="Calibri" w:hAnsi="Book Antiqua"/>
                <w:lang w:val="en-GB"/>
              </w:rPr>
              <w:t xml:space="preserve"> to 7.2)</w:t>
            </w:r>
          </w:p>
        </w:tc>
        <w:tc>
          <w:tcPr>
            <w:tcW w:w="945" w:type="pct"/>
            <w:tcBorders>
              <w:top w:val="nil"/>
              <w:bottom w:val="nil"/>
            </w:tcBorders>
          </w:tcPr>
          <w:p w14:paraId="2A92FEDD" w14:textId="08B13D94" w:rsidR="00AC2778" w:rsidRPr="005F0812" w:rsidRDefault="00AC2778" w:rsidP="00AC2778">
            <w:pPr>
              <w:spacing w:line="360" w:lineRule="auto"/>
              <w:jc w:val="both"/>
              <w:rPr>
                <w:rFonts w:ascii="Book Antiqua" w:eastAsia="Calibri" w:hAnsi="Book Antiqua" w:cs="Arial"/>
                <w:lang w:val="en-GB"/>
              </w:rPr>
            </w:pPr>
            <w:r w:rsidRPr="005F0812">
              <w:rPr>
                <w:rFonts w:ascii="Book Antiqua" w:eastAsia="Calibri" w:hAnsi="Book Antiqua"/>
                <w:lang w:val="en-GB"/>
              </w:rPr>
              <w:t>0.05</w:t>
            </w:r>
          </w:p>
        </w:tc>
      </w:tr>
      <w:tr w:rsidR="00AC2778" w:rsidRPr="005F0812" w14:paraId="5FD9CD1F" w14:textId="77777777" w:rsidTr="00AC2778">
        <w:trPr>
          <w:trHeight w:val="552"/>
        </w:trPr>
        <w:tc>
          <w:tcPr>
            <w:tcW w:w="1622" w:type="pct"/>
            <w:tcBorders>
              <w:top w:val="nil"/>
              <w:bottom w:val="nil"/>
            </w:tcBorders>
          </w:tcPr>
          <w:p w14:paraId="56EC8BF5" w14:textId="77777777" w:rsidR="00AC2778" w:rsidRPr="005F0812" w:rsidRDefault="00AC2778" w:rsidP="00AC2778">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&gt;</w:t>
            </w:r>
            <w:r w:rsidRPr="005F0812">
              <w:rPr>
                <w:rFonts w:ascii="Book Antiqua" w:eastAsiaTheme="minorEastAsia" w:hAnsi="Book Antiqua"/>
                <w:lang w:val="en-GB"/>
              </w:rPr>
              <w:t xml:space="preserve"> </w:t>
            </w:r>
            <w:r w:rsidRPr="005F0812">
              <w:rPr>
                <w:rFonts w:ascii="Book Antiqua" w:eastAsia="Calibri" w:hAnsi="Book Antiqua"/>
                <w:lang w:val="en-GB"/>
              </w:rPr>
              <w:t>1.5</w:t>
            </w:r>
          </w:p>
        </w:tc>
        <w:tc>
          <w:tcPr>
            <w:tcW w:w="696" w:type="pct"/>
            <w:tcBorders>
              <w:top w:val="nil"/>
              <w:bottom w:val="nil"/>
            </w:tcBorders>
          </w:tcPr>
          <w:p w14:paraId="4BC2178F"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35 (81.4)</w:t>
            </w:r>
          </w:p>
        </w:tc>
        <w:tc>
          <w:tcPr>
            <w:tcW w:w="587" w:type="pct"/>
            <w:tcBorders>
              <w:top w:val="nil"/>
              <w:bottom w:val="nil"/>
            </w:tcBorders>
          </w:tcPr>
          <w:p w14:paraId="700EB5D1"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8 (18.6)</w:t>
            </w:r>
          </w:p>
        </w:tc>
        <w:tc>
          <w:tcPr>
            <w:tcW w:w="1149" w:type="pct"/>
            <w:tcBorders>
              <w:top w:val="nil"/>
              <w:bottom w:val="nil"/>
            </w:tcBorders>
          </w:tcPr>
          <w:p w14:paraId="7F621034"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4.1 (1.6 to 10.4)</w:t>
            </w:r>
          </w:p>
        </w:tc>
        <w:tc>
          <w:tcPr>
            <w:tcW w:w="945" w:type="pct"/>
            <w:tcBorders>
              <w:top w:val="nil"/>
              <w:bottom w:val="nil"/>
            </w:tcBorders>
          </w:tcPr>
          <w:p w14:paraId="70148FB4" w14:textId="77777777" w:rsidR="00AC2778" w:rsidRPr="005F0812" w:rsidRDefault="00AC2778" w:rsidP="00AC2778">
            <w:pPr>
              <w:spacing w:line="360" w:lineRule="auto"/>
              <w:jc w:val="both"/>
              <w:rPr>
                <w:rFonts w:ascii="Book Antiqua" w:eastAsia="Calibri" w:hAnsi="Book Antiqua"/>
                <w:lang w:val="en-GB"/>
              </w:rPr>
            </w:pPr>
            <w:r w:rsidRPr="005F0812">
              <w:rPr>
                <w:rFonts w:ascii="Book Antiqua" w:eastAsia="Calibri" w:hAnsi="Book Antiqua"/>
                <w:lang w:val="en-GB"/>
              </w:rPr>
              <w:t>0.003</w:t>
            </w:r>
          </w:p>
        </w:tc>
      </w:tr>
      <w:tr w:rsidR="00E127CF" w:rsidRPr="005F0812" w14:paraId="5D57AF15" w14:textId="77777777" w:rsidTr="00AC2778">
        <w:trPr>
          <w:trHeight w:val="536"/>
        </w:trPr>
        <w:tc>
          <w:tcPr>
            <w:tcW w:w="1622" w:type="pct"/>
            <w:tcBorders>
              <w:top w:val="nil"/>
              <w:bottom w:val="nil"/>
            </w:tcBorders>
            <w:hideMark/>
          </w:tcPr>
          <w:p w14:paraId="178F2427" w14:textId="77777777" w:rsidR="00A815BF" w:rsidRPr="005F0812" w:rsidRDefault="00CD771A" w:rsidP="006309ED">
            <w:pPr>
              <w:spacing w:line="360" w:lineRule="auto"/>
              <w:jc w:val="both"/>
              <w:rPr>
                <w:rFonts w:ascii="Book Antiqua" w:eastAsiaTheme="minorEastAsia" w:hAnsi="Book Antiqua"/>
                <w:lang w:val="en-GB"/>
              </w:rPr>
            </w:pPr>
            <w:r w:rsidRPr="005F0812">
              <w:rPr>
                <w:rFonts w:ascii="Book Antiqua" w:eastAsia="Calibri" w:hAnsi="Book Antiqua"/>
                <w:lang w:val="en-GB"/>
              </w:rPr>
              <w:t xml:space="preserve">Serum albumin </w:t>
            </w:r>
          </w:p>
          <w:p w14:paraId="696AB96B"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&lt;</w:t>
            </w:r>
            <w:r w:rsidR="00A815BF" w:rsidRPr="005F0812">
              <w:rPr>
                <w:rFonts w:ascii="Book Antiqua" w:eastAsiaTheme="minorEastAsia" w:hAnsi="Book Antiqua"/>
                <w:lang w:val="en-GB"/>
              </w:rPr>
              <w:t xml:space="preserve"> </w:t>
            </w:r>
            <w:r w:rsidRPr="005F0812">
              <w:rPr>
                <w:rFonts w:ascii="Book Antiqua" w:eastAsia="Calibri" w:hAnsi="Book Antiqua"/>
                <w:lang w:val="en-GB"/>
              </w:rPr>
              <w:t>3.5 g/d</w:t>
            </w:r>
            <w:r w:rsidR="004F2305" w:rsidRPr="005F0812">
              <w:rPr>
                <w:rFonts w:ascii="Book Antiqua" w:eastAsiaTheme="minorEastAsia" w:hAnsi="Book Antiqua"/>
                <w:lang w:val="en-GB"/>
              </w:rPr>
              <w:t>L</w:t>
            </w:r>
            <w:r w:rsidR="00A815BF" w:rsidRPr="005F0812">
              <w:rPr>
                <w:rFonts w:ascii="Book Antiqua" w:eastAsiaTheme="minorEastAsia" w:hAnsi="Book Antiqua"/>
                <w:lang w:val="en-GB"/>
              </w:rPr>
              <w:t>,</w:t>
            </w:r>
            <w:r w:rsidR="00A815BF" w:rsidRPr="005F0812">
              <w:rPr>
                <w:rFonts w:ascii="Book Antiqua" w:eastAsia="Calibri" w:hAnsi="Book Antiqua"/>
                <w:lang w:val="en-GB"/>
              </w:rPr>
              <w:t xml:space="preserve"> </w:t>
            </w:r>
            <w:r w:rsidR="00A815BF" w:rsidRPr="005F0812">
              <w:rPr>
                <w:rFonts w:ascii="Book Antiqua" w:eastAsiaTheme="minorEastAsia" w:hAnsi="Book Antiqua"/>
                <w:i/>
                <w:lang w:val="en-GB"/>
              </w:rPr>
              <w:t>n</w:t>
            </w:r>
            <w:r w:rsidR="00A815BF" w:rsidRPr="005F0812">
              <w:rPr>
                <w:rFonts w:ascii="Book Antiqua" w:eastAsia="Calibri" w:hAnsi="Book Antiqua"/>
                <w:lang w:val="en-GB"/>
              </w:rPr>
              <w:t xml:space="preserve"> (%)</w:t>
            </w:r>
          </w:p>
        </w:tc>
        <w:tc>
          <w:tcPr>
            <w:tcW w:w="696" w:type="pct"/>
            <w:tcBorders>
              <w:top w:val="nil"/>
              <w:bottom w:val="nil"/>
            </w:tcBorders>
            <w:hideMark/>
          </w:tcPr>
          <w:p w14:paraId="3E582220" w14:textId="77777777" w:rsidR="00A815BF" w:rsidRPr="005F0812" w:rsidRDefault="00A815BF" w:rsidP="006309ED">
            <w:pPr>
              <w:spacing w:line="360" w:lineRule="auto"/>
              <w:jc w:val="both"/>
              <w:rPr>
                <w:rFonts w:ascii="Book Antiqua" w:eastAsiaTheme="minorEastAsia" w:hAnsi="Book Antiqua"/>
                <w:lang w:val="en-GB"/>
              </w:rPr>
            </w:pPr>
          </w:p>
          <w:p w14:paraId="562200D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125 (85.6)</w:t>
            </w:r>
          </w:p>
        </w:tc>
        <w:tc>
          <w:tcPr>
            <w:tcW w:w="587" w:type="pct"/>
            <w:tcBorders>
              <w:top w:val="nil"/>
              <w:bottom w:val="nil"/>
            </w:tcBorders>
            <w:hideMark/>
          </w:tcPr>
          <w:p w14:paraId="71860792" w14:textId="77777777" w:rsidR="00A815BF" w:rsidRPr="005F0812" w:rsidRDefault="00A815BF" w:rsidP="006309ED">
            <w:pPr>
              <w:spacing w:line="360" w:lineRule="auto"/>
              <w:jc w:val="both"/>
              <w:rPr>
                <w:rFonts w:ascii="Book Antiqua" w:eastAsiaTheme="minorEastAsia" w:hAnsi="Book Antiqua"/>
                <w:lang w:val="en-GB"/>
              </w:rPr>
            </w:pPr>
          </w:p>
          <w:p w14:paraId="3DDD6E57"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21 (14.4)</w:t>
            </w:r>
          </w:p>
        </w:tc>
        <w:tc>
          <w:tcPr>
            <w:tcW w:w="1149" w:type="pct"/>
            <w:tcBorders>
              <w:top w:val="nil"/>
              <w:bottom w:val="nil"/>
            </w:tcBorders>
            <w:hideMark/>
          </w:tcPr>
          <w:p w14:paraId="72DED4A5" w14:textId="77777777" w:rsidR="00A815BF" w:rsidRPr="005F0812" w:rsidRDefault="00A815BF" w:rsidP="006309ED">
            <w:pPr>
              <w:spacing w:line="360" w:lineRule="auto"/>
              <w:jc w:val="both"/>
              <w:rPr>
                <w:rFonts w:ascii="Book Antiqua" w:eastAsiaTheme="minorEastAsia" w:hAnsi="Book Antiqua"/>
                <w:lang w:val="en-GB"/>
              </w:rPr>
            </w:pPr>
          </w:p>
          <w:p w14:paraId="6990C45C"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4.5 (1.9 to 10.5)</w:t>
            </w:r>
          </w:p>
        </w:tc>
        <w:tc>
          <w:tcPr>
            <w:tcW w:w="945" w:type="pct"/>
            <w:tcBorders>
              <w:top w:val="nil"/>
              <w:bottom w:val="nil"/>
            </w:tcBorders>
            <w:hideMark/>
          </w:tcPr>
          <w:p w14:paraId="71C9F887" w14:textId="77777777" w:rsidR="00A815BF" w:rsidRPr="005F0812" w:rsidRDefault="00A815BF" w:rsidP="006309ED">
            <w:pPr>
              <w:spacing w:line="360" w:lineRule="auto"/>
              <w:jc w:val="both"/>
              <w:rPr>
                <w:rFonts w:ascii="Book Antiqua" w:eastAsiaTheme="minorEastAsia" w:hAnsi="Book Antiqua"/>
                <w:lang w:val="en-GB"/>
              </w:rPr>
            </w:pPr>
          </w:p>
          <w:p w14:paraId="6C503D97"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0.001</w:t>
            </w:r>
          </w:p>
        </w:tc>
      </w:tr>
      <w:tr w:rsidR="00E127CF" w:rsidRPr="005F0812" w14:paraId="7507F578" w14:textId="77777777" w:rsidTr="00AC2778">
        <w:trPr>
          <w:trHeight w:val="536"/>
        </w:trPr>
        <w:tc>
          <w:tcPr>
            <w:tcW w:w="1622" w:type="pct"/>
            <w:tcBorders>
              <w:top w:val="nil"/>
              <w:bottom w:val="nil"/>
            </w:tcBorders>
            <w:hideMark/>
          </w:tcPr>
          <w:p w14:paraId="07E4A1C2" w14:textId="6F352070" w:rsidR="00A815BF" w:rsidRPr="005F0812" w:rsidRDefault="00CD771A" w:rsidP="006309ED">
            <w:pPr>
              <w:spacing w:line="360" w:lineRule="auto"/>
              <w:jc w:val="both"/>
              <w:rPr>
                <w:rFonts w:ascii="Book Antiqua" w:eastAsiaTheme="minorEastAsia" w:hAnsi="Book Antiqua"/>
                <w:lang w:val="en-GB"/>
              </w:rPr>
            </w:pPr>
            <w:r w:rsidRPr="005F0812">
              <w:rPr>
                <w:rFonts w:ascii="Book Antiqua" w:eastAsia="Calibri" w:hAnsi="Book Antiqua"/>
                <w:lang w:val="en-GB"/>
              </w:rPr>
              <w:t xml:space="preserve">Serum total </w:t>
            </w:r>
            <w:r w:rsidR="00506027">
              <w:rPr>
                <w:rFonts w:ascii="Book Antiqua" w:eastAsia="Calibri" w:hAnsi="Book Antiqua"/>
                <w:lang w:val="en-GB"/>
              </w:rPr>
              <w:t>b</w:t>
            </w:r>
            <w:r w:rsidRPr="005F0812">
              <w:rPr>
                <w:rFonts w:ascii="Book Antiqua" w:eastAsia="Calibri" w:hAnsi="Book Antiqua"/>
                <w:lang w:val="en-GB"/>
              </w:rPr>
              <w:t xml:space="preserve">ilirubin </w:t>
            </w:r>
            <w:r w:rsidR="00AC2778">
              <w:rPr>
                <w:rFonts w:ascii="Book Antiqua" w:eastAsia="Calibri" w:hAnsi="Book Antiqua"/>
                <w:lang w:val="en-GB"/>
              </w:rPr>
              <w:t xml:space="preserve"> </w:t>
            </w:r>
          </w:p>
          <w:p w14:paraId="691E3CE2"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&gt; 1.5 mg/d</w:t>
            </w:r>
            <w:r w:rsidR="004F2305" w:rsidRPr="005F0812">
              <w:rPr>
                <w:rFonts w:ascii="Book Antiqua" w:eastAsiaTheme="minorEastAsia" w:hAnsi="Book Antiqua"/>
                <w:lang w:val="en-GB"/>
              </w:rPr>
              <w:t>L</w:t>
            </w:r>
            <w:r w:rsidR="00A815BF" w:rsidRPr="005F0812">
              <w:rPr>
                <w:rFonts w:ascii="Book Antiqua" w:eastAsiaTheme="minorEastAsia" w:hAnsi="Book Antiqua"/>
                <w:lang w:val="en-GB"/>
              </w:rPr>
              <w:t>,</w:t>
            </w:r>
            <w:r w:rsidR="00A815BF" w:rsidRPr="005F0812">
              <w:rPr>
                <w:rFonts w:ascii="Book Antiqua" w:eastAsia="Calibri" w:hAnsi="Book Antiqua"/>
                <w:lang w:val="en-GB"/>
              </w:rPr>
              <w:t xml:space="preserve"> </w:t>
            </w:r>
            <w:r w:rsidR="00A815BF" w:rsidRPr="005F0812">
              <w:rPr>
                <w:rFonts w:ascii="Book Antiqua" w:eastAsiaTheme="minorEastAsia" w:hAnsi="Book Antiqua"/>
                <w:i/>
                <w:lang w:val="en-GB"/>
              </w:rPr>
              <w:t>n</w:t>
            </w:r>
            <w:r w:rsidR="00A815BF" w:rsidRPr="005F0812">
              <w:rPr>
                <w:rFonts w:ascii="Book Antiqua" w:eastAsia="Calibri" w:hAnsi="Book Antiqua"/>
                <w:lang w:val="en-GB"/>
              </w:rPr>
              <w:t xml:space="preserve"> (%)</w:t>
            </w:r>
          </w:p>
        </w:tc>
        <w:tc>
          <w:tcPr>
            <w:tcW w:w="696" w:type="pct"/>
            <w:tcBorders>
              <w:top w:val="nil"/>
              <w:bottom w:val="nil"/>
            </w:tcBorders>
            <w:hideMark/>
          </w:tcPr>
          <w:p w14:paraId="481286C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 (33.3)</w:t>
            </w:r>
          </w:p>
        </w:tc>
        <w:tc>
          <w:tcPr>
            <w:tcW w:w="587" w:type="pct"/>
            <w:tcBorders>
              <w:top w:val="nil"/>
              <w:bottom w:val="nil"/>
            </w:tcBorders>
            <w:hideMark/>
          </w:tcPr>
          <w:p w14:paraId="09C9C15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4 (66.7)</w:t>
            </w:r>
          </w:p>
        </w:tc>
        <w:tc>
          <w:tcPr>
            <w:tcW w:w="1149" w:type="pct"/>
            <w:tcBorders>
              <w:top w:val="nil"/>
              <w:bottom w:val="nil"/>
            </w:tcBorders>
            <w:hideMark/>
          </w:tcPr>
          <w:p w14:paraId="1C09C9F2" w14:textId="135A76C9"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8.0 (2.2 to 29.4)</w:t>
            </w:r>
          </w:p>
        </w:tc>
        <w:tc>
          <w:tcPr>
            <w:tcW w:w="945" w:type="pct"/>
            <w:tcBorders>
              <w:top w:val="nil"/>
              <w:bottom w:val="nil"/>
            </w:tcBorders>
            <w:hideMark/>
          </w:tcPr>
          <w:p w14:paraId="3E94FF0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0.002</w:t>
            </w:r>
          </w:p>
        </w:tc>
      </w:tr>
      <w:tr w:rsidR="00E127CF" w:rsidRPr="005F0812" w14:paraId="0AE57F4E" w14:textId="77777777" w:rsidTr="00AC2778">
        <w:trPr>
          <w:trHeight w:val="536"/>
        </w:trPr>
        <w:tc>
          <w:tcPr>
            <w:tcW w:w="1622" w:type="pct"/>
            <w:tcBorders>
              <w:top w:val="nil"/>
              <w:bottom w:val="nil"/>
            </w:tcBorders>
            <w:hideMark/>
          </w:tcPr>
          <w:p w14:paraId="4D610590" w14:textId="18F5BF79" w:rsidR="00A815BF" w:rsidRPr="005F0812" w:rsidRDefault="00CD771A" w:rsidP="006309ED">
            <w:pPr>
              <w:spacing w:line="360" w:lineRule="auto"/>
              <w:jc w:val="both"/>
              <w:rPr>
                <w:rFonts w:ascii="Book Antiqua" w:eastAsiaTheme="minorEastAsia" w:hAnsi="Book Antiqua"/>
                <w:lang w:val="en-GB"/>
              </w:rPr>
            </w:pPr>
            <w:r w:rsidRPr="005F0812">
              <w:rPr>
                <w:rFonts w:ascii="Book Antiqua" w:eastAsia="Calibri" w:hAnsi="Book Antiqua"/>
                <w:lang w:val="en-GB"/>
              </w:rPr>
              <w:t>Serum creatinine</w:t>
            </w:r>
            <w:r w:rsidR="00AC2778">
              <w:rPr>
                <w:rFonts w:ascii="Book Antiqua" w:eastAsia="Calibri" w:hAnsi="Book Antiqua"/>
                <w:lang w:val="en-GB"/>
              </w:rPr>
              <w:t xml:space="preserve"> </w:t>
            </w:r>
          </w:p>
          <w:p w14:paraId="1E1F40A7"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&gt;</w:t>
            </w:r>
            <w:r w:rsidR="00A815BF" w:rsidRPr="005F0812">
              <w:rPr>
                <w:rFonts w:ascii="Book Antiqua" w:eastAsiaTheme="minorEastAsia" w:hAnsi="Book Antiqua"/>
                <w:lang w:val="en-GB"/>
              </w:rPr>
              <w:t xml:space="preserve"> </w:t>
            </w:r>
            <w:r w:rsidRPr="005F0812">
              <w:rPr>
                <w:rFonts w:ascii="Book Antiqua" w:eastAsia="Calibri" w:hAnsi="Book Antiqua"/>
                <w:lang w:val="en-GB"/>
              </w:rPr>
              <w:t>1.1 mg/d</w:t>
            </w:r>
            <w:r w:rsidR="004F2305" w:rsidRPr="005F0812">
              <w:rPr>
                <w:rFonts w:ascii="Book Antiqua" w:eastAsiaTheme="minorEastAsia" w:hAnsi="Book Antiqua"/>
                <w:lang w:val="en-GB"/>
              </w:rPr>
              <w:t>L</w:t>
            </w:r>
            <w:r w:rsidRPr="005F0812">
              <w:rPr>
                <w:rFonts w:ascii="Book Antiqua" w:eastAsia="Calibri" w:hAnsi="Book Antiqua"/>
                <w:lang w:val="en-GB"/>
              </w:rPr>
              <w:t xml:space="preserve"> for males; &gt; 0.95 mg/d</w:t>
            </w:r>
            <w:r w:rsidR="004F2305" w:rsidRPr="005F0812">
              <w:rPr>
                <w:rFonts w:ascii="Book Antiqua" w:eastAsiaTheme="minorEastAsia" w:hAnsi="Book Antiqua"/>
                <w:lang w:val="en-GB"/>
              </w:rPr>
              <w:t>L</w:t>
            </w:r>
            <w:r w:rsidRPr="005F0812">
              <w:rPr>
                <w:rFonts w:ascii="Book Antiqua" w:eastAsia="Calibri" w:hAnsi="Book Antiqua"/>
                <w:lang w:val="en-GB"/>
              </w:rPr>
              <w:t xml:space="preserve"> for females</w:t>
            </w:r>
            <w:r w:rsidR="00A815BF" w:rsidRPr="005F0812">
              <w:rPr>
                <w:rFonts w:ascii="Book Antiqua" w:eastAsiaTheme="minorEastAsia" w:hAnsi="Book Antiqua"/>
                <w:lang w:val="en-GB"/>
              </w:rPr>
              <w:t>,</w:t>
            </w:r>
            <w:r w:rsidR="00A815BF" w:rsidRPr="005F0812">
              <w:rPr>
                <w:rFonts w:ascii="Book Antiqua" w:eastAsia="Calibri" w:hAnsi="Book Antiqua"/>
                <w:lang w:val="en-GB"/>
              </w:rPr>
              <w:t xml:space="preserve"> </w:t>
            </w:r>
            <w:r w:rsidR="00A815BF" w:rsidRPr="005F0812">
              <w:rPr>
                <w:rFonts w:ascii="Book Antiqua" w:eastAsiaTheme="minorEastAsia" w:hAnsi="Book Antiqua"/>
                <w:i/>
                <w:lang w:val="en-GB"/>
              </w:rPr>
              <w:t>n</w:t>
            </w:r>
            <w:r w:rsidR="00A815BF" w:rsidRPr="005F0812">
              <w:rPr>
                <w:rFonts w:ascii="Book Antiqua" w:eastAsia="Calibri" w:hAnsi="Book Antiqua"/>
                <w:lang w:val="en-GB"/>
              </w:rPr>
              <w:t xml:space="preserve"> (%)</w:t>
            </w:r>
          </w:p>
        </w:tc>
        <w:tc>
          <w:tcPr>
            <w:tcW w:w="696" w:type="pct"/>
            <w:tcBorders>
              <w:top w:val="nil"/>
              <w:bottom w:val="nil"/>
            </w:tcBorders>
            <w:hideMark/>
          </w:tcPr>
          <w:p w14:paraId="30000A41" w14:textId="77777777" w:rsidR="00A815BF" w:rsidRPr="005F0812" w:rsidRDefault="00A815BF" w:rsidP="006309ED">
            <w:pPr>
              <w:spacing w:line="360" w:lineRule="auto"/>
              <w:jc w:val="both"/>
              <w:rPr>
                <w:rFonts w:ascii="Book Antiqua" w:eastAsiaTheme="minorEastAsia" w:hAnsi="Book Antiqua"/>
                <w:lang w:val="en-GB"/>
              </w:rPr>
            </w:pPr>
          </w:p>
          <w:p w14:paraId="0C96335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66 (77.7)</w:t>
            </w:r>
          </w:p>
        </w:tc>
        <w:tc>
          <w:tcPr>
            <w:tcW w:w="587" w:type="pct"/>
            <w:tcBorders>
              <w:top w:val="nil"/>
              <w:bottom w:val="nil"/>
            </w:tcBorders>
            <w:hideMark/>
          </w:tcPr>
          <w:p w14:paraId="793B336A" w14:textId="77777777" w:rsidR="00A815BF" w:rsidRPr="005F0812" w:rsidRDefault="00A815BF" w:rsidP="006309ED">
            <w:pPr>
              <w:spacing w:line="360" w:lineRule="auto"/>
              <w:jc w:val="both"/>
              <w:rPr>
                <w:rFonts w:ascii="Book Antiqua" w:eastAsiaTheme="minorEastAsia" w:hAnsi="Book Antiqua"/>
                <w:lang w:val="en-GB"/>
              </w:rPr>
            </w:pPr>
          </w:p>
          <w:p w14:paraId="6F3061E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19 (22.3)</w:t>
            </w:r>
          </w:p>
        </w:tc>
        <w:tc>
          <w:tcPr>
            <w:tcW w:w="1149" w:type="pct"/>
            <w:tcBorders>
              <w:top w:val="nil"/>
              <w:bottom w:val="nil"/>
            </w:tcBorders>
            <w:hideMark/>
          </w:tcPr>
          <w:p w14:paraId="2E294A51" w14:textId="77777777" w:rsidR="00A815BF" w:rsidRPr="005F0812" w:rsidRDefault="00A815BF" w:rsidP="006309ED">
            <w:pPr>
              <w:spacing w:line="360" w:lineRule="auto"/>
              <w:jc w:val="both"/>
              <w:rPr>
                <w:rFonts w:ascii="Book Antiqua" w:eastAsiaTheme="minorEastAsia" w:hAnsi="Book Antiqua"/>
                <w:lang w:val="en-GB"/>
              </w:rPr>
            </w:pPr>
          </w:p>
          <w:p w14:paraId="0114C618"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8.9 (3.9 to 20.6)</w:t>
            </w:r>
          </w:p>
        </w:tc>
        <w:tc>
          <w:tcPr>
            <w:tcW w:w="945" w:type="pct"/>
            <w:tcBorders>
              <w:top w:val="nil"/>
              <w:bottom w:val="nil"/>
            </w:tcBorders>
            <w:hideMark/>
          </w:tcPr>
          <w:p w14:paraId="150030D5" w14:textId="77777777" w:rsidR="00A815BF" w:rsidRPr="005F0812" w:rsidRDefault="00A815BF" w:rsidP="006309ED">
            <w:pPr>
              <w:spacing w:line="360" w:lineRule="auto"/>
              <w:jc w:val="both"/>
              <w:rPr>
                <w:rFonts w:ascii="Book Antiqua" w:eastAsiaTheme="minorEastAsia" w:hAnsi="Book Antiqua"/>
                <w:lang w:val="en-GB"/>
              </w:rPr>
            </w:pPr>
          </w:p>
          <w:p w14:paraId="435E1201"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0.0001</w:t>
            </w:r>
          </w:p>
        </w:tc>
      </w:tr>
      <w:tr w:rsidR="00E127CF" w:rsidRPr="005F0812" w14:paraId="5B87A9BC" w14:textId="77777777" w:rsidTr="00AC2778">
        <w:trPr>
          <w:trHeight w:val="536"/>
        </w:trPr>
        <w:tc>
          <w:tcPr>
            <w:tcW w:w="1622" w:type="pct"/>
            <w:tcBorders>
              <w:top w:val="nil"/>
            </w:tcBorders>
            <w:hideMark/>
          </w:tcPr>
          <w:p w14:paraId="21518158" w14:textId="12CD7604" w:rsidR="00A815BF" w:rsidRPr="005F0812" w:rsidRDefault="00CD771A" w:rsidP="006309ED">
            <w:pPr>
              <w:spacing w:line="360" w:lineRule="auto"/>
              <w:jc w:val="both"/>
              <w:rPr>
                <w:rFonts w:ascii="Book Antiqua" w:eastAsiaTheme="minorEastAsia" w:hAnsi="Book Antiqua"/>
                <w:lang w:val="en-GB"/>
              </w:rPr>
            </w:pPr>
            <w:r w:rsidRPr="005F0812">
              <w:rPr>
                <w:rFonts w:ascii="Book Antiqua" w:eastAsia="Calibri" w:hAnsi="Book Antiqua"/>
                <w:lang w:val="en-GB"/>
              </w:rPr>
              <w:t xml:space="preserve">C-reactive protein </w:t>
            </w:r>
            <w:r w:rsidR="00AC2778">
              <w:rPr>
                <w:rFonts w:ascii="Book Antiqua" w:eastAsia="Calibri" w:hAnsi="Book Antiqua"/>
                <w:lang w:val="en-GB"/>
              </w:rPr>
              <w:t xml:space="preserve"> </w:t>
            </w:r>
          </w:p>
          <w:p w14:paraId="4EDBD4AD"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hAnsi="Book Antiqua" w:cs="Calibri"/>
                <w:lang w:val="en-GB"/>
              </w:rPr>
              <w:t>≥</w:t>
            </w:r>
            <w:r w:rsidRPr="005F0812">
              <w:rPr>
                <w:rFonts w:ascii="Book Antiqua" w:eastAsia="Calibri" w:hAnsi="Book Antiqua"/>
                <w:lang w:val="en-GB"/>
              </w:rPr>
              <w:t xml:space="preserve"> 1 mg/L</w:t>
            </w:r>
            <w:r w:rsidR="00A815BF" w:rsidRPr="005F0812">
              <w:rPr>
                <w:rFonts w:ascii="Book Antiqua" w:eastAsiaTheme="minorEastAsia" w:hAnsi="Book Antiqua"/>
                <w:lang w:val="en-GB"/>
              </w:rPr>
              <w:t>,</w:t>
            </w:r>
            <w:r w:rsidR="00A815BF" w:rsidRPr="005F0812">
              <w:rPr>
                <w:rFonts w:ascii="Book Antiqua" w:eastAsia="Calibri" w:hAnsi="Book Antiqua"/>
                <w:lang w:val="en-GB"/>
              </w:rPr>
              <w:t xml:space="preserve"> </w:t>
            </w:r>
            <w:r w:rsidR="00A815BF" w:rsidRPr="005F0812">
              <w:rPr>
                <w:rFonts w:ascii="Book Antiqua" w:eastAsiaTheme="minorEastAsia" w:hAnsi="Book Antiqua"/>
                <w:i/>
                <w:lang w:val="en-GB"/>
              </w:rPr>
              <w:t>n</w:t>
            </w:r>
            <w:r w:rsidR="00A815BF" w:rsidRPr="005F0812">
              <w:rPr>
                <w:rFonts w:ascii="Book Antiqua" w:eastAsia="Calibri" w:hAnsi="Book Antiqua"/>
                <w:lang w:val="en-GB"/>
              </w:rPr>
              <w:t xml:space="preserve"> (%)</w:t>
            </w:r>
          </w:p>
        </w:tc>
        <w:tc>
          <w:tcPr>
            <w:tcW w:w="696" w:type="pct"/>
            <w:tcBorders>
              <w:top w:val="nil"/>
            </w:tcBorders>
            <w:hideMark/>
          </w:tcPr>
          <w:p w14:paraId="627AC42B" w14:textId="77777777" w:rsidR="00A815BF" w:rsidRPr="005F0812" w:rsidRDefault="00A815BF" w:rsidP="006309ED">
            <w:pPr>
              <w:spacing w:line="360" w:lineRule="auto"/>
              <w:jc w:val="both"/>
              <w:rPr>
                <w:rFonts w:ascii="Book Antiqua" w:eastAsiaTheme="minorEastAsia" w:hAnsi="Book Antiqua"/>
                <w:lang w:val="en-GB"/>
              </w:rPr>
            </w:pPr>
          </w:p>
          <w:p w14:paraId="1AC47ED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338 (92.1)</w:t>
            </w:r>
          </w:p>
        </w:tc>
        <w:tc>
          <w:tcPr>
            <w:tcW w:w="587" w:type="pct"/>
            <w:tcBorders>
              <w:top w:val="nil"/>
            </w:tcBorders>
            <w:hideMark/>
          </w:tcPr>
          <w:p w14:paraId="7F43A492" w14:textId="77777777" w:rsidR="00A815BF" w:rsidRPr="005F0812" w:rsidRDefault="00A815BF" w:rsidP="006309ED">
            <w:pPr>
              <w:spacing w:line="360" w:lineRule="auto"/>
              <w:jc w:val="both"/>
              <w:rPr>
                <w:rFonts w:ascii="Book Antiqua" w:eastAsiaTheme="minorEastAsia" w:hAnsi="Book Antiqua"/>
                <w:lang w:val="en-GB"/>
              </w:rPr>
            </w:pPr>
          </w:p>
          <w:p w14:paraId="610D6F65"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29 (7.9)</w:t>
            </w:r>
          </w:p>
        </w:tc>
        <w:tc>
          <w:tcPr>
            <w:tcW w:w="1149" w:type="pct"/>
            <w:tcBorders>
              <w:top w:val="nil"/>
            </w:tcBorders>
            <w:hideMark/>
          </w:tcPr>
          <w:p w14:paraId="5B77675B" w14:textId="77777777" w:rsidR="00A815BF" w:rsidRPr="005F0812" w:rsidRDefault="00A815BF" w:rsidP="006309ED">
            <w:pPr>
              <w:spacing w:line="360" w:lineRule="auto"/>
              <w:jc w:val="both"/>
              <w:rPr>
                <w:rFonts w:ascii="Book Antiqua" w:eastAsiaTheme="minorEastAsia" w:hAnsi="Book Antiqua"/>
                <w:lang w:val="en-GB"/>
              </w:rPr>
            </w:pPr>
          </w:p>
          <w:p w14:paraId="0EC4FCF5" w14:textId="593ABF06"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w:t>
            </w:r>
            <w:r w:rsidR="0013400C">
              <w:rPr>
                <w:rFonts w:ascii="Book Antiqua" w:eastAsia="Calibri" w:hAnsi="Book Antiqua"/>
                <w:lang w:val="en-GB"/>
              </w:rPr>
              <w:t>.0</w:t>
            </w:r>
          </w:p>
        </w:tc>
        <w:tc>
          <w:tcPr>
            <w:tcW w:w="945" w:type="pct"/>
            <w:tcBorders>
              <w:top w:val="nil"/>
            </w:tcBorders>
          </w:tcPr>
          <w:p w14:paraId="3628EFE3" w14:textId="77777777" w:rsidR="00CD771A" w:rsidRPr="005F0812" w:rsidRDefault="00CD771A" w:rsidP="006309ED">
            <w:pPr>
              <w:spacing w:line="360" w:lineRule="auto"/>
              <w:jc w:val="both"/>
              <w:rPr>
                <w:rFonts w:ascii="Book Antiqua" w:eastAsia="Calibri" w:hAnsi="Book Antiqua" w:cs="Arial"/>
                <w:lang w:val="en-GB"/>
              </w:rPr>
            </w:pPr>
          </w:p>
        </w:tc>
      </w:tr>
      <w:tr w:rsidR="00E127CF" w:rsidRPr="005F0812" w14:paraId="43C8978E" w14:textId="77777777" w:rsidTr="00DA19B3">
        <w:trPr>
          <w:trHeight w:val="536"/>
        </w:trPr>
        <w:tc>
          <w:tcPr>
            <w:tcW w:w="1622" w:type="pct"/>
            <w:hideMark/>
          </w:tcPr>
          <w:p w14:paraId="7E877C11" w14:textId="26BF452C" w:rsidR="00A815BF" w:rsidRPr="005F0812" w:rsidRDefault="00CD771A" w:rsidP="006309ED">
            <w:pPr>
              <w:spacing w:line="360" w:lineRule="auto"/>
              <w:jc w:val="both"/>
              <w:rPr>
                <w:rFonts w:ascii="Book Antiqua" w:eastAsiaTheme="minorEastAsia" w:hAnsi="Book Antiqua"/>
                <w:lang w:val="en-GB"/>
              </w:rPr>
            </w:pPr>
            <w:r w:rsidRPr="005F0812">
              <w:rPr>
                <w:rFonts w:ascii="Book Antiqua" w:eastAsia="Calibri" w:hAnsi="Book Antiqua"/>
                <w:lang w:val="en-GB"/>
              </w:rPr>
              <w:t xml:space="preserve">Serum ferritin </w:t>
            </w:r>
            <w:r w:rsidR="00AC2778">
              <w:rPr>
                <w:rFonts w:ascii="Book Antiqua" w:eastAsia="Calibri" w:hAnsi="Book Antiqua"/>
                <w:lang w:val="en-GB"/>
              </w:rPr>
              <w:t xml:space="preserve"> </w:t>
            </w:r>
          </w:p>
          <w:p w14:paraId="2EAF9229"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 xml:space="preserve">&gt; 400 </w:t>
            </w:r>
            <w:r w:rsidRPr="005F0812">
              <w:rPr>
                <w:rFonts w:ascii="Book Antiqua" w:hAnsi="Book Antiqua" w:cs="Calibri"/>
                <w:lang w:val="en-GB"/>
              </w:rPr>
              <w:t>μ</w:t>
            </w:r>
            <w:r w:rsidRPr="005F0812">
              <w:rPr>
                <w:rFonts w:ascii="Book Antiqua" w:eastAsia="Calibri" w:hAnsi="Book Antiqua"/>
                <w:lang w:val="en-GB"/>
              </w:rPr>
              <w:t>g/L</w:t>
            </w:r>
            <w:r w:rsidR="00A815BF" w:rsidRPr="005F0812">
              <w:rPr>
                <w:rFonts w:ascii="Book Antiqua" w:eastAsiaTheme="minorEastAsia" w:hAnsi="Book Antiqua" w:cs="Arial"/>
                <w:lang w:val="en-GB"/>
              </w:rPr>
              <w:t xml:space="preserve"> </w:t>
            </w:r>
            <w:r w:rsidRPr="005F0812">
              <w:rPr>
                <w:rFonts w:ascii="Book Antiqua" w:eastAsia="Calibri" w:hAnsi="Book Antiqua"/>
                <w:lang w:val="en-GB"/>
              </w:rPr>
              <w:t xml:space="preserve">for males; &gt; 150 </w:t>
            </w:r>
            <w:r w:rsidRPr="005F0812">
              <w:rPr>
                <w:rFonts w:ascii="Book Antiqua" w:hAnsi="Book Antiqua" w:cs="Calibri"/>
                <w:lang w:val="en-GB"/>
              </w:rPr>
              <w:t>μ</w:t>
            </w:r>
            <w:r w:rsidRPr="005F0812">
              <w:rPr>
                <w:rFonts w:ascii="Book Antiqua" w:eastAsia="Calibri" w:hAnsi="Book Antiqua"/>
                <w:lang w:val="en-GB"/>
              </w:rPr>
              <w:t>g/L for</w:t>
            </w:r>
            <w:r w:rsidR="00A815BF" w:rsidRPr="005F0812">
              <w:rPr>
                <w:rFonts w:ascii="Book Antiqua" w:eastAsiaTheme="minorEastAsia" w:hAnsi="Book Antiqua" w:cs="Arial"/>
                <w:lang w:val="en-GB"/>
              </w:rPr>
              <w:t xml:space="preserve"> </w:t>
            </w:r>
            <w:r w:rsidRPr="005F0812">
              <w:rPr>
                <w:rFonts w:ascii="Book Antiqua" w:eastAsia="Calibri" w:hAnsi="Book Antiqua"/>
                <w:lang w:val="en-GB"/>
              </w:rPr>
              <w:t>females</w:t>
            </w:r>
          </w:p>
        </w:tc>
        <w:tc>
          <w:tcPr>
            <w:tcW w:w="696" w:type="pct"/>
            <w:hideMark/>
          </w:tcPr>
          <w:p w14:paraId="2086FDA5" w14:textId="77777777" w:rsidR="00A815BF" w:rsidRPr="005F0812" w:rsidRDefault="00A815BF" w:rsidP="006309ED">
            <w:pPr>
              <w:spacing w:line="360" w:lineRule="auto"/>
              <w:jc w:val="both"/>
              <w:rPr>
                <w:rFonts w:ascii="Book Antiqua" w:eastAsiaTheme="minorEastAsia" w:hAnsi="Book Antiqua"/>
                <w:lang w:val="en-GB"/>
              </w:rPr>
            </w:pPr>
          </w:p>
          <w:p w14:paraId="75BD791B" w14:textId="108BAE1A"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183 (86.7)</w:t>
            </w:r>
          </w:p>
        </w:tc>
        <w:tc>
          <w:tcPr>
            <w:tcW w:w="587" w:type="pct"/>
            <w:hideMark/>
          </w:tcPr>
          <w:p w14:paraId="00DBFCAB" w14:textId="77777777" w:rsidR="00A815BF" w:rsidRPr="005F0812" w:rsidRDefault="00A815BF" w:rsidP="006309ED">
            <w:pPr>
              <w:spacing w:line="360" w:lineRule="auto"/>
              <w:jc w:val="both"/>
              <w:rPr>
                <w:rFonts w:ascii="Book Antiqua" w:eastAsiaTheme="minorEastAsia" w:hAnsi="Book Antiqua"/>
                <w:lang w:val="en-GB"/>
              </w:rPr>
            </w:pPr>
          </w:p>
          <w:p w14:paraId="1278E957" w14:textId="59A2CDF2"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28 (13.</w:t>
            </w:r>
            <w:r w:rsidR="0013400C">
              <w:rPr>
                <w:rFonts w:ascii="Book Antiqua" w:eastAsia="Calibri" w:hAnsi="Book Antiqua"/>
                <w:lang w:val="en-GB"/>
              </w:rPr>
              <w:t>3</w:t>
            </w:r>
            <w:r w:rsidRPr="005F0812">
              <w:rPr>
                <w:rFonts w:ascii="Book Antiqua" w:eastAsia="Calibri" w:hAnsi="Book Antiqua"/>
                <w:lang w:val="en-GB"/>
              </w:rPr>
              <w:t>)</w:t>
            </w:r>
          </w:p>
        </w:tc>
        <w:tc>
          <w:tcPr>
            <w:tcW w:w="1149" w:type="pct"/>
            <w:hideMark/>
          </w:tcPr>
          <w:p w14:paraId="439C7171" w14:textId="77777777" w:rsidR="00A815BF" w:rsidRPr="005F0812" w:rsidRDefault="00A815BF" w:rsidP="006309ED">
            <w:pPr>
              <w:spacing w:line="360" w:lineRule="auto"/>
              <w:jc w:val="both"/>
              <w:rPr>
                <w:rFonts w:ascii="Book Antiqua" w:eastAsiaTheme="minorEastAsia" w:hAnsi="Book Antiqua"/>
                <w:lang w:val="en-GB"/>
              </w:rPr>
            </w:pPr>
          </w:p>
          <w:p w14:paraId="63B8E24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24.7 (3.3 to 184.1)</w:t>
            </w:r>
          </w:p>
        </w:tc>
        <w:tc>
          <w:tcPr>
            <w:tcW w:w="945" w:type="pct"/>
            <w:hideMark/>
          </w:tcPr>
          <w:p w14:paraId="46CE1822" w14:textId="77777777" w:rsidR="00A815BF" w:rsidRPr="005F0812" w:rsidRDefault="00A815BF" w:rsidP="006309ED">
            <w:pPr>
              <w:spacing w:line="360" w:lineRule="auto"/>
              <w:jc w:val="both"/>
              <w:rPr>
                <w:rFonts w:ascii="Book Antiqua" w:eastAsiaTheme="minorEastAsia" w:hAnsi="Book Antiqua"/>
                <w:lang w:val="en-GB"/>
              </w:rPr>
            </w:pPr>
          </w:p>
          <w:p w14:paraId="6B80B5B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0.002</w:t>
            </w:r>
          </w:p>
        </w:tc>
      </w:tr>
      <w:tr w:rsidR="00E127CF" w:rsidRPr="005F0812" w14:paraId="5FE7BBFB" w14:textId="77777777" w:rsidTr="00DA19B3">
        <w:trPr>
          <w:trHeight w:val="536"/>
        </w:trPr>
        <w:tc>
          <w:tcPr>
            <w:tcW w:w="1622" w:type="pct"/>
            <w:hideMark/>
          </w:tcPr>
          <w:p w14:paraId="016B0D83" w14:textId="642A503D" w:rsidR="00A815BF" w:rsidRPr="005F0812" w:rsidRDefault="00CD771A" w:rsidP="006309ED">
            <w:pPr>
              <w:spacing w:line="360" w:lineRule="auto"/>
              <w:jc w:val="both"/>
              <w:rPr>
                <w:rFonts w:ascii="Book Antiqua" w:eastAsiaTheme="minorEastAsia" w:hAnsi="Book Antiqua"/>
                <w:lang w:val="en-GB"/>
              </w:rPr>
            </w:pPr>
            <w:r w:rsidRPr="005F0812">
              <w:rPr>
                <w:rFonts w:ascii="Book Antiqua" w:eastAsia="Calibri" w:hAnsi="Book Antiqua"/>
                <w:lang w:val="en-GB"/>
              </w:rPr>
              <w:t>D-dimer</w:t>
            </w:r>
            <w:r w:rsidR="00AC2778">
              <w:rPr>
                <w:rFonts w:ascii="Book Antiqua" w:eastAsia="Calibri" w:hAnsi="Book Antiqua"/>
                <w:lang w:val="en-GB"/>
              </w:rPr>
              <w:t xml:space="preserve"> </w:t>
            </w:r>
          </w:p>
          <w:p w14:paraId="02F215CA"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 xml:space="preserve">&gt; 0.5 </w:t>
            </w:r>
            <w:r w:rsidRPr="005F0812">
              <w:rPr>
                <w:rFonts w:ascii="Book Antiqua" w:hAnsi="Book Antiqua" w:cs="Calibri"/>
                <w:lang w:val="en-GB"/>
              </w:rPr>
              <w:t>μ</w:t>
            </w:r>
            <w:r w:rsidRPr="005F0812">
              <w:rPr>
                <w:rFonts w:ascii="Book Antiqua" w:eastAsia="Calibri" w:hAnsi="Book Antiqua"/>
                <w:lang w:val="en-GB"/>
              </w:rPr>
              <w:t>g/mL</w:t>
            </w:r>
          </w:p>
        </w:tc>
        <w:tc>
          <w:tcPr>
            <w:tcW w:w="696" w:type="pct"/>
            <w:hideMark/>
          </w:tcPr>
          <w:p w14:paraId="1C3A8688" w14:textId="77777777" w:rsidR="00A815BF" w:rsidRPr="005F0812" w:rsidRDefault="00A815BF" w:rsidP="006309ED">
            <w:pPr>
              <w:spacing w:line="360" w:lineRule="auto"/>
              <w:jc w:val="both"/>
              <w:rPr>
                <w:rFonts w:ascii="Book Antiqua" w:eastAsiaTheme="minorEastAsia" w:hAnsi="Book Antiqua"/>
                <w:lang w:val="en-GB"/>
              </w:rPr>
            </w:pPr>
          </w:p>
          <w:p w14:paraId="0C47CB76" w14:textId="55C3A716"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335 (92.0)</w:t>
            </w:r>
          </w:p>
        </w:tc>
        <w:tc>
          <w:tcPr>
            <w:tcW w:w="587" w:type="pct"/>
            <w:hideMark/>
          </w:tcPr>
          <w:p w14:paraId="395533F7" w14:textId="77777777" w:rsidR="00A815BF" w:rsidRPr="005F0812" w:rsidRDefault="00A815BF" w:rsidP="006309ED">
            <w:pPr>
              <w:spacing w:line="360" w:lineRule="auto"/>
              <w:jc w:val="both"/>
              <w:rPr>
                <w:rFonts w:ascii="Book Antiqua" w:eastAsiaTheme="minorEastAsia" w:hAnsi="Book Antiqua"/>
                <w:lang w:val="en-GB"/>
              </w:rPr>
            </w:pPr>
          </w:p>
          <w:p w14:paraId="14B74E82" w14:textId="39A79393"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29 (</w:t>
            </w:r>
            <w:r w:rsidR="0013400C">
              <w:rPr>
                <w:rFonts w:ascii="Book Antiqua" w:eastAsia="Calibri" w:hAnsi="Book Antiqua"/>
                <w:lang w:val="en-GB"/>
              </w:rPr>
              <w:t>8</w:t>
            </w:r>
            <w:r w:rsidRPr="005F0812">
              <w:rPr>
                <w:rFonts w:ascii="Book Antiqua" w:eastAsia="Calibri" w:hAnsi="Book Antiqua"/>
                <w:lang w:val="en-GB"/>
              </w:rPr>
              <w:t>.</w:t>
            </w:r>
            <w:r w:rsidR="0013400C">
              <w:rPr>
                <w:rFonts w:ascii="Book Antiqua" w:eastAsia="Calibri" w:hAnsi="Book Antiqua"/>
                <w:lang w:val="en-GB"/>
              </w:rPr>
              <w:t>0</w:t>
            </w:r>
            <w:r w:rsidRPr="005F0812">
              <w:rPr>
                <w:rFonts w:ascii="Book Antiqua" w:eastAsia="Calibri" w:hAnsi="Book Antiqua"/>
                <w:lang w:val="en-GB"/>
              </w:rPr>
              <w:t>)</w:t>
            </w:r>
          </w:p>
        </w:tc>
        <w:tc>
          <w:tcPr>
            <w:tcW w:w="1149" w:type="pct"/>
            <w:hideMark/>
          </w:tcPr>
          <w:p w14:paraId="574B7CD5" w14:textId="77777777" w:rsidR="00A815BF" w:rsidRPr="005F0812" w:rsidRDefault="00A815BF" w:rsidP="006309ED">
            <w:pPr>
              <w:spacing w:line="360" w:lineRule="auto"/>
              <w:jc w:val="both"/>
              <w:rPr>
                <w:rFonts w:ascii="Book Antiqua" w:eastAsiaTheme="minorEastAsia" w:hAnsi="Book Antiqua"/>
                <w:lang w:val="en-GB"/>
              </w:rPr>
            </w:pPr>
          </w:p>
          <w:p w14:paraId="0600ECA5" w14:textId="5F2ABA34"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w:t>
            </w:r>
            <w:r w:rsidR="0013400C">
              <w:rPr>
                <w:rFonts w:ascii="Book Antiqua" w:eastAsia="Calibri" w:hAnsi="Book Antiqua"/>
                <w:lang w:val="en-GB"/>
              </w:rPr>
              <w:t>.0</w:t>
            </w:r>
          </w:p>
        </w:tc>
        <w:tc>
          <w:tcPr>
            <w:tcW w:w="945" w:type="pct"/>
            <w:hideMark/>
          </w:tcPr>
          <w:p w14:paraId="6C8333AE" w14:textId="77777777" w:rsidR="00A815BF" w:rsidRPr="005F0812" w:rsidRDefault="00A815BF" w:rsidP="006309ED">
            <w:pPr>
              <w:spacing w:line="360" w:lineRule="auto"/>
              <w:jc w:val="both"/>
              <w:rPr>
                <w:rFonts w:ascii="Book Antiqua" w:eastAsiaTheme="minorEastAsia" w:hAnsi="Book Antiqua"/>
                <w:lang w:val="en-GB"/>
              </w:rPr>
            </w:pPr>
          </w:p>
          <w:p w14:paraId="00628DD4" w14:textId="0EB00C98" w:rsidR="00CD771A" w:rsidRPr="005F0812" w:rsidRDefault="00CD771A" w:rsidP="006309ED">
            <w:pPr>
              <w:spacing w:line="360" w:lineRule="auto"/>
              <w:jc w:val="both"/>
              <w:rPr>
                <w:rFonts w:ascii="Book Antiqua" w:eastAsia="Calibri" w:hAnsi="Book Antiqua" w:cs="Arial"/>
                <w:lang w:val="en-GB"/>
              </w:rPr>
            </w:pPr>
          </w:p>
        </w:tc>
      </w:tr>
      <w:tr w:rsidR="00E127CF" w:rsidRPr="005F0812" w14:paraId="301A5A06" w14:textId="77777777" w:rsidTr="00DA19B3">
        <w:trPr>
          <w:trHeight w:val="536"/>
        </w:trPr>
        <w:tc>
          <w:tcPr>
            <w:tcW w:w="1622" w:type="pct"/>
            <w:hideMark/>
          </w:tcPr>
          <w:p w14:paraId="58236E57"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Obesity (body mass index &gt;</w:t>
            </w:r>
            <w:r w:rsidR="004E2F14" w:rsidRPr="005F0812">
              <w:rPr>
                <w:rFonts w:ascii="Book Antiqua" w:eastAsiaTheme="minorEastAsia" w:hAnsi="Book Antiqua"/>
                <w:lang w:val="en-GB"/>
              </w:rPr>
              <w:t xml:space="preserve"> </w:t>
            </w:r>
            <w:r w:rsidRPr="005F0812">
              <w:rPr>
                <w:rFonts w:ascii="Book Antiqua" w:eastAsia="Calibri" w:hAnsi="Book Antiqua"/>
                <w:lang w:val="en-GB"/>
              </w:rPr>
              <w:t>30)</w:t>
            </w:r>
          </w:p>
        </w:tc>
        <w:tc>
          <w:tcPr>
            <w:tcW w:w="696" w:type="pct"/>
            <w:hideMark/>
          </w:tcPr>
          <w:p w14:paraId="624CE5E1" w14:textId="6CD54192"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106 (86.</w:t>
            </w:r>
            <w:r w:rsidR="000B4258">
              <w:rPr>
                <w:rFonts w:ascii="Book Antiqua" w:eastAsia="Calibri" w:hAnsi="Book Antiqua"/>
                <w:lang w:val="en-GB"/>
              </w:rPr>
              <w:t>2</w:t>
            </w:r>
            <w:r w:rsidRPr="005F0812">
              <w:rPr>
                <w:rFonts w:ascii="Book Antiqua" w:eastAsia="Calibri" w:hAnsi="Book Antiqua"/>
                <w:lang w:val="en-GB"/>
              </w:rPr>
              <w:t>)</w:t>
            </w:r>
          </w:p>
        </w:tc>
        <w:tc>
          <w:tcPr>
            <w:tcW w:w="587" w:type="pct"/>
            <w:hideMark/>
          </w:tcPr>
          <w:p w14:paraId="3B1BE69E" w14:textId="4C416FB4"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17 (13.8)</w:t>
            </w:r>
          </w:p>
        </w:tc>
        <w:tc>
          <w:tcPr>
            <w:tcW w:w="1149" w:type="pct"/>
            <w:hideMark/>
          </w:tcPr>
          <w:p w14:paraId="386B1B3C" w14:textId="60043A44"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3.2 (1.5 to</w:t>
            </w:r>
            <w:r w:rsidR="004E2F14" w:rsidRPr="005F0812">
              <w:rPr>
                <w:rFonts w:ascii="Book Antiqua" w:eastAsiaTheme="minorEastAsia" w:hAnsi="Book Antiqua"/>
                <w:lang w:val="en-GB"/>
              </w:rPr>
              <w:t xml:space="preserve"> </w:t>
            </w:r>
            <w:r w:rsidRPr="005F0812">
              <w:rPr>
                <w:rFonts w:ascii="Book Antiqua" w:eastAsia="Calibri" w:hAnsi="Book Antiqua"/>
                <w:lang w:val="en-GB"/>
              </w:rPr>
              <w:t>7</w:t>
            </w:r>
            <w:r w:rsidR="000B4258">
              <w:rPr>
                <w:rFonts w:ascii="Book Antiqua" w:eastAsia="Calibri" w:hAnsi="Book Antiqua"/>
                <w:lang w:val="en-GB"/>
              </w:rPr>
              <w:t>.0</w:t>
            </w:r>
            <w:r w:rsidRPr="005F0812">
              <w:rPr>
                <w:rFonts w:ascii="Book Antiqua" w:eastAsia="Calibri" w:hAnsi="Book Antiqua"/>
                <w:lang w:val="en-GB"/>
              </w:rPr>
              <w:t>)</w:t>
            </w:r>
          </w:p>
        </w:tc>
        <w:tc>
          <w:tcPr>
            <w:tcW w:w="945" w:type="pct"/>
            <w:hideMark/>
          </w:tcPr>
          <w:p w14:paraId="00008C7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0.003</w:t>
            </w:r>
          </w:p>
        </w:tc>
      </w:tr>
      <w:tr w:rsidR="00E127CF" w:rsidRPr="005F0812" w14:paraId="6C7283B6" w14:textId="77777777" w:rsidTr="00DA19B3">
        <w:trPr>
          <w:trHeight w:val="536"/>
        </w:trPr>
        <w:tc>
          <w:tcPr>
            <w:tcW w:w="1622" w:type="pct"/>
            <w:hideMark/>
          </w:tcPr>
          <w:p w14:paraId="7DFC5E0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Creatin kinase &gt; 117 IU/L</w:t>
            </w:r>
          </w:p>
        </w:tc>
        <w:tc>
          <w:tcPr>
            <w:tcW w:w="696" w:type="pct"/>
            <w:hideMark/>
          </w:tcPr>
          <w:p w14:paraId="55AF8BCE"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11 (91.7)</w:t>
            </w:r>
          </w:p>
        </w:tc>
        <w:tc>
          <w:tcPr>
            <w:tcW w:w="587" w:type="pct"/>
            <w:hideMark/>
          </w:tcPr>
          <w:p w14:paraId="4A933B45"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 (8.3)</w:t>
            </w:r>
          </w:p>
        </w:tc>
        <w:tc>
          <w:tcPr>
            <w:tcW w:w="1149" w:type="pct"/>
            <w:hideMark/>
          </w:tcPr>
          <w:p w14:paraId="0D55B351" w14:textId="05673B5D"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w:t>
            </w:r>
            <w:r w:rsidR="000B4258">
              <w:rPr>
                <w:rFonts w:ascii="Book Antiqua" w:eastAsia="Calibri" w:hAnsi="Book Antiqua"/>
                <w:lang w:val="en-GB"/>
              </w:rPr>
              <w:t>1</w:t>
            </w:r>
            <w:r w:rsidRPr="005F0812">
              <w:rPr>
                <w:rFonts w:ascii="Book Antiqua" w:eastAsia="Calibri" w:hAnsi="Book Antiqua"/>
                <w:lang w:val="en-GB"/>
              </w:rPr>
              <w:t xml:space="preserve"> (</w:t>
            </w:r>
            <w:r w:rsidR="004E2F14" w:rsidRPr="005F0812">
              <w:rPr>
                <w:rFonts w:ascii="Book Antiqua" w:eastAsiaTheme="minorEastAsia" w:hAnsi="Book Antiqua"/>
                <w:lang w:val="en-GB"/>
              </w:rPr>
              <w:t>0</w:t>
            </w:r>
            <w:r w:rsidRPr="005F0812">
              <w:rPr>
                <w:rFonts w:ascii="Book Antiqua" w:eastAsia="Calibri" w:hAnsi="Book Antiqua"/>
                <w:lang w:val="en-GB"/>
              </w:rPr>
              <w:t>.1 to</w:t>
            </w:r>
            <w:r w:rsidR="004E2F14" w:rsidRPr="005F0812">
              <w:rPr>
                <w:rFonts w:ascii="Book Antiqua" w:eastAsiaTheme="minorEastAsia" w:hAnsi="Book Antiqua"/>
                <w:lang w:val="en-GB"/>
              </w:rPr>
              <w:t xml:space="preserve"> </w:t>
            </w:r>
            <w:r w:rsidRPr="005F0812">
              <w:rPr>
                <w:rFonts w:ascii="Book Antiqua" w:eastAsia="Calibri" w:hAnsi="Book Antiqua"/>
                <w:lang w:val="en-GB"/>
              </w:rPr>
              <w:t>8.7)</w:t>
            </w:r>
          </w:p>
        </w:tc>
        <w:tc>
          <w:tcPr>
            <w:tcW w:w="945" w:type="pct"/>
            <w:hideMark/>
          </w:tcPr>
          <w:p w14:paraId="2BCCD77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0.9</w:t>
            </w:r>
          </w:p>
        </w:tc>
      </w:tr>
    </w:tbl>
    <w:p w14:paraId="0033BFA7" w14:textId="61A0C55D" w:rsidR="00D215DB" w:rsidRPr="005F0812" w:rsidRDefault="004D5F5D" w:rsidP="006309ED">
      <w:pPr>
        <w:spacing w:line="360" w:lineRule="auto"/>
        <w:jc w:val="both"/>
        <w:rPr>
          <w:rFonts w:ascii="Book Antiqua" w:hAnsi="Book Antiqua" w:cs="Arial"/>
          <w:b/>
          <w:bCs/>
          <w:lang w:val="en-GB" w:eastAsia="zh-CN"/>
        </w:rPr>
      </w:pPr>
      <w:r w:rsidRPr="005F0812">
        <w:rPr>
          <w:rFonts w:ascii="Book Antiqua" w:hAnsi="Book Antiqua"/>
          <w:lang w:val="en-GB" w:eastAsia="zh-CN"/>
        </w:rPr>
        <w:t>O</w:t>
      </w:r>
      <w:r w:rsidR="00CD771A" w:rsidRPr="005F0812">
        <w:rPr>
          <w:rFonts w:ascii="Book Antiqua" w:eastAsia="Calibri" w:hAnsi="Book Antiqua"/>
          <w:lang w:val="en-GB"/>
        </w:rPr>
        <w:t xml:space="preserve">dds ratios were calculated by univariate logistic regression. Univariate logistic regression was used to calculate </w:t>
      </w:r>
      <w:r w:rsidR="00CD771A" w:rsidRPr="005F0812">
        <w:rPr>
          <w:rFonts w:ascii="Book Antiqua" w:eastAsia="Calibri" w:hAnsi="Book Antiqua"/>
          <w:i/>
          <w:iCs/>
          <w:lang w:val="en-GB"/>
        </w:rPr>
        <w:t>P</w:t>
      </w:r>
      <w:r w:rsidR="00506027">
        <w:rPr>
          <w:rFonts w:ascii="Book Antiqua" w:eastAsia="Calibri" w:hAnsi="Book Antiqua"/>
          <w:lang w:val="en-GB"/>
        </w:rPr>
        <w:t xml:space="preserve"> </w:t>
      </w:r>
      <w:r w:rsidR="00CD771A" w:rsidRPr="005F0812">
        <w:rPr>
          <w:rFonts w:ascii="Book Antiqua" w:eastAsia="Calibri" w:hAnsi="Book Antiqua"/>
          <w:lang w:val="en-GB"/>
        </w:rPr>
        <w:t>value for the characteristics</w:t>
      </w:r>
      <w:r w:rsidR="00506027">
        <w:rPr>
          <w:rFonts w:ascii="Book Antiqua" w:eastAsia="Calibri" w:hAnsi="Book Antiqua"/>
          <w:lang w:val="en-GB"/>
        </w:rPr>
        <w:t>’</w:t>
      </w:r>
      <w:r w:rsidR="00CD771A" w:rsidRPr="005F0812">
        <w:rPr>
          <w:rFonts w:ascii="Book Antiqua" w:eastAsia="Calibri" w:hAnsi="Book Antiqua"/>
          <w:lang w:val="en-GB"/>
        </w:rPr>
        <w:t xml:space="preserve"> differences between </w:t>
      </w:r>
      <w:r w:rsidR="00506027">
        <w:rPr>
          <w:rFonts w:ascii="Book Antiqua" w:eastAsia="Calibri" w:hAnsi="Book Antiqua"/>
          <w:lang w:val="en-GB"/>
        </w:rPr>
        <w:t>a</w:t>
      </w:r>
      <w:r w:rsidR="00CD771A" w:rsidRPr="005F0812">
        <w:rPr>
          <w:rFonts w:ascii="Book Antiqua" w:eastAsia="Calibri" w:hAnsi="Book Antiqua"/>
          <w:lang w:val="en-GB"/>
        </w:rPr>
        <w:t xml:space="preserve">live and dead patients. AST: </w:t>
      </w:r>
      <w:r w:rsidRPr="005F0812">
        <w:rPr>
          <w:rFonts w:ascii="Book Antiqua" w:hAnsi="Book Antiqua"/>
          <w:lang w:val="en-GB" w:eastAsia="zh-CN"/>
        </w:rPr>
        <w:t>A</w:t>
      </w:r>
      <w:r w:rsidR="00CD771A" w:rsidRPr="005F0812">
        <w:rPr>
          <w:rFonts w:ascii="Book Antiqua" w:eastAsia="Calibri" w:hAnsi="Book Antiqua"/>
          <w:lang w:val="en-GB"/>
        </w:rPr>
        <w:t xml:space="preserve">spartate transferase; ALT: </w:t>
      </w:r>
      <w:r w:rsidRPr="005F0812">
        <w:rPr>
          <w:rFonts w:ascii="Book Antiqua" w:hAnsi="Book Antiqua"/>
          <w:lang w:val="en-GB" w:eastAsia="zh-CN"/>
        </w:rPr>
        <w:t>A</w:t>
      </w:r>
      <w:r w:rsidR="00CD771A" w:rsidRPr="005F0812">
        <w:rPr>
          <w:rFonts w:ascii="Book Antiqua" w:eastAsia="Calibri" w:hAnsi="Book Antiqua"/>
          <w:lang w:val="en-GB"/>
        </w:rPr>
        <w:t>lanine transferase</w:t>
      </w:r>
      <w:r w:rsidR="00784613">
        <w:rPr>
          <w:rFonts w:ascii="Book Antiqua" w:eastAsia="Calibri" w:hAnsi="Book Antiqua"/>
          <w:lang w:val="en-GB"/>
        </w:rPr>
        <w:t>; IQR: Interquartile range</w:t>
      </w:r>
      <w:r w:rsidR="000B4258">
        <w:rPr>
          <w:rFonts w:ascii="Book Antiqua" w:eastAsia="Calibri" w:hAnsi="Book Antiqua"/>
          <w:lang w:val="en-GB"/>
        </w:rPr>
        <w:t>; Ref: Reference</w:t>
      </w:r>
      <w:r w:rsidR="00CD771A" w:rsidRPr="005F0812">
        <w:rPr>
          <w:rFonts w:ascii="Book Antiqua" w:eastAsia="Calibri" w:hAnsi="Book Antiqua"/>
          <w:lang w:val="en-GB"/>
        </w:rPr>
        <w:t>.</w:t>
      </w:r>
    </w:p>
    <w:p w14:paraId="5C4C17BF" w14:textId="209FB6E5" w:rsidR="00CD771A" w:rsidRPr="005F0812" w:rsidRDefault="00D215DB" w:rsidP="006309ED">
      <w:pPr>
        <w:spacing w:line="360" w:lineRule="auto"/>
        <w:jc w:val="both"/>
        <w:rPr>
          <w:rFonts w:ascii="Book Antiqua" w:hAnsi="Book Antiqua"/>
          <w:lang w:val="en-GB" w:eastAsia="zh-CN"/>
        </w:rPr>
      </w:pPr>
      <w:r w:rsidRPr="005F0812">
        <w:rPr>
          <w:rFonts w:ascii="Book Antiqua" w:hAnsi="Book Antiqua"/>
          <w:lang w:val="en-GB" w:eastAsia="zh-CN"/>
        </w:rPr>
        <w:br w:type="page"/>
      </w:r>
      <w:r w:rsidR="00CD771A" w:rsidRPr="005F0812">
        <w:rPr>
          <w:rFonts w:ascii="Book Antiqua" w:eastAsia="Calibri" w:hAnsi="Book Antiqua"/>
          <w:b/>
          <w:bCs/>
          <w:lang w:val="en-GB"/>
        </w:rPr>
        <w:t xml:space="preserve">Table 2 Odds ratios of liver injury associated mortality and 95% confidence intervals by aspartate </w:t>
      </w:r>
      <w:r w:rsidR="00A2248D">
        <w:rPr>
          <w:rFonts w:ascii="Book Antiqua" w:eastAsia="Calibri" w:hAnsi="Book Antiqua"/>
          <w:b/>
          <w:bCs/>
          <w:lang w:val="en-GB"/>
        </w:rPr>
        <w:t>amino</w:t>
      </w:r>
      <w:r w:rsidR="00CD771A" w:rsidRPr="005F0812">
        <w:rPr>
          <w:rFonts w:ascii="Book Antiqua" w:eastAsia="Calibri" w:hAnsi="Book Antiqua"/>
          <w:b/>
          <w:bCs/>
          <w:lang w:val="en-GB"/>
        </w:rPr>
        <w:t>transferase categories</w:t>
      </w:r>
    </w:p>
    <w:tbl>
      <w:tblPr>
        <w:tblStyle w:val="a6"/>
        <w:tblW w:w="11170" w:type="dxa"/>
        <w:tblInd w:w="-8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851"/>
        <w:gridCol w:w="1134"/>
        <w:gridCol w:w="1275"/>
        <w:gridCol w:w="709"/>
        <w:gridCol w:w="1129"/>
        <w:gridCol w:w="1134"/>
        <w:gridCol w:w="709"/>
        <w:gridCol w:w="1134"/>
        <w:gridCol w:w="396"/>
        <w:gridCol w:w="1134"/>
      </w:tblGrid>
      <w:tr w:rsidR="00CD771A" w:rsidRPr="005F0812" w14:paraId="7422BBC2" w14:textId="77777777" w:rsidTr="00FD6EFF">
        <w:tc>
          <w:tcPr>
            <w:tcW w:w="1565" w:type="dxa"/>
            <w:tcBorders>
              <w:top w:val="single" w:sz="4" w:space="0" w:color="auto"/>
              <w:bottom w:val="nil"/>
            </w:tcBorders>
          </w:tcPr>
          <w:p w14:paraId="6E37EF6C" w14:textId="77777777" w:rsidR="00CD771A" w:rsidRPr="005F0812" w:rsidRDefault="00CD771A" w:rsidP="006309ED">
            <w:pPr>
              <w:spacing w:line="360" w:lineRule="auto"/>
              <w:jc w:val="both"/>
              <w:rPr>
                <w:rFonts w:ascii="Book Antiqua" w:eastAsia="Calibri" w:hAnsi="Book Antiqua" w:cs="Arial"/>
                <w:b/>
                <w:lang w:val="en-GB"/>
              </w:rPr>
            </w:pPr>
            <w:bookmarkStart w:id="4" w:name="_Hlk69482549"/>
            <w:bookmarkEnd w:id="4"/>
          </w:p>
        </w:tc>
        <w:tc>
          <w:tcPr>
            <w:tcW w:w="3260" w:type="dxa"/>
            <w:gridSpan w:val="3"/>
            <w:tcBorders>
              <w:top w:val="single" w:sz="4" w:space="0" w:color="auto"/>
              <w:bottom w:val="single" w:sz="4" w:space="0" w:color="auto"/>
            </w:tcBorders>
            <w:hideMark/>
          </w:tcPr>
          <w:p w14:paraId="72E9062E" w14:textId="77777777" w:rsidR="00CD771A" w:rsidRPr="005F0812" w:rsidRDefault="00CD771A" w:rsidP="006309ED">
            <w:pPr>
              <w:spacing w:line="360" w:lineRule="auto"/>
              <w:jc w:val="both"/>
              <w:rPr>
                <w:rFonts w:ascii="Book Antiqua" w:eastAsia="Calibri" w:hAnsi="Book Antiqua" w:cs="Arial"/>
                <w:b/>
                <w:lang w:val="en-GB"/>
              </w:rPr>
            </w:pPr>
            <w:r w:rsidRPr="005F0812">
              <w:rPr>
                <w:rFonts w:ascii="Book Antiqua" w:eastAsia="Calibri" w:hAnsi="Book Antiqua"/>
                <w:b/>
                <w:lang w:val="en-GB"/>
              </w:rPr>
              <w:t>Unadjusted</w:t>
            </w:r>
          </w:p>
        </w:tc>
        <w:tc>
          <w:tcPr>
            <w:tcW w:w="2972" w:type="dxa"/>
            <w:gridSpan w:val="3"/>
            <w:tcBorders>
              <w:top w:val="single" w:sz="4" w:space="0" w:color="auto"/>
              <w:bottom w:val="single" w:sz="4" w:space="0" w:color="auto"/>
            </w:tcBorders>
          </w:tcPr>
          <w:p w14:paraId="709F0DF7" w14:textId="77777777" w:rsidR="00CD771A" w:rsidRPr="005F0812" w:rsidRDefault="00CD771A" w:rsidP="006309ED">
            <w:pPr>
              <w:spacing w:line="360" w:lineRule="auto"/>
              <w:jc w:val="both"/>
              <w:rPr>
                <w:rFonts w:ascii="Book Antiqua" w:eastAsia="Calibri" w:hAnsi="Book Antiqua" w:cs="Arial"/>
                <w:b/>
                <w:lang w:val="en-GB"/>
              </w:rPr>
            </w:pPr>
            <w:r w:rsidRPr="005F0812">
              <w:rPr>
                <w:rFonts w:ascii="Book Antiqua" w:eastAsia="Calibri" w:hAnsi="Book Antiqua"/>
                <w:b/>
                <w:lang w:val="en-GB"/>
              </w:rPr>
              <w:t>Model 1</w:t>
            </w:r>
            <w:r w:rsidR="004C3981" w:rsidRPr="005F0812">
              <w:rPr>
                <w:rFonts w:ascii="Book Antiqua" w:eastAsiaTheme="minorEastAsia" w:hAnsi="Book Antiqua" w:cs="Arial"/>
                <w:b/>
                <w:lang w:val="en-GB"/>
              </w:rPr>
              <w:t xml:space="preserve"> </w:t>
            </w:r>
            <w:r w:rsidRPr="005F0812">
              <w:rPr>
                <w:rFonts w:ascii="Book Antiqua" w:eastAsia="Calibri" w:hAnsi="Book Antiqua"/>
                <w:b/>
                <w:lang w:val="en-GB"/>
              </w:rPr>
              <w:t>(</w:t>
            </w:r>
            <w:r w:rsidR="004C3981" w:rsidRPr="005F0812">
              <w:rPr>
                <w:rFonts w:ascii="Book Antiqua" w:eastAsiaTheme="minorEastAsia" w:hAnsi="Book Antiqua"/>
                <w:b/>
                <w:lang w:val="en-GB"/>
              </w:rPr>
              <w:t>a</w:t>
            </w:r>
            <w:r w:rsidRPr="005F0812">
              <w:rPr>
                <w:rFonts w:ascii="Book Antiqua" w:eastAsia="Calibri" w:hAnsi="Book Antiqua"/>
                <w:b/>
                <w:lang w:val="en-GB"/>
              </w:rPr>
              <w:t>djusted for age and sex)</w:t>
            </w:r>
          </w:p>
        </w:tc>
        <w:tc>
          <w:tcPr>
            <w:tcW w:w="3373" w:type="dxa"/>
            <w:gridSpan w:val="4"/>
            <w:tcBorders>
              <w:top w:val="single" w:sz="4" w:space="0" w:color="auto"/>
              <w:bottom w:val="single" w:sz="4" w:space="0" w:color="auto"/>
            </w:tcBorders>
          </w:tcPr>
          <w:p w14:paraId="20E7B54B" w14:textId="77777777" w:rsidR="00CD771A" w:rsidRPr="005F0812" w:rsidRDefault="00CD771A" w:rsidP="006309ED">
            <w:pPr>
              <w:spacing w:line="360" w:lineRule="auto"/>
              <w:jc w:val="both"/>
              <w:rPr>
                <w:rFonts w:ascii="Book Antiqua" w:eastAsiaTheme="minorEastAsia" w:hAnsi="Book Antiqua" w:cs="Arial"/>
                <w:b/>
                <w:lang w:val="en-GB"/>
              </w:rPr>
            </w:pPr>
            <w:r w:rsidRPr="005F0812">
              <w:rPr>
                <w:rFonts w:ascii="Book Antiqua" w:eastAsia="Calibri" w:hAnsi="Book Antiqua"/>
                <w:b/>
                <w:lang w:val="en-GB"/>
              </w:rPr>
              <w:t>Model 2</w:t>
            </w:r>
          </w:p>
        </w:tc>
      </w:tr>
      <w:tr w:rsidR="00D623B2" w:rsidRPr="005F0812" w14:paraId="2D8F8446" w14:textId="77777777" w:rsidTr="00FD6EFF">
        <w:trPr>
          <w:trHeight w:val="150"/>
        </w:trPr>
        <w:tc>
          <w:tcPr>
            <w:tcW w:w="1565" w:type="dxa"/>
            <w:tcBorders>
              <w:top w:val="nil"/>
              <w:bottom w:val="single" w:sz="4" w:space="0" w:color="auto"/>
            </w:tcBorders>
            <w:hideMark/>
          </w:tcPr>
          <w:p w14:paraId="738A068C"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AST</w:t>
            </w:r>
          </w:p>
        </w:tc>
        <w:tc>
          <w:tcPr>
            <w:tcW w:w="851" w:type="dxa"/>
            <w:tcBorders>
              <w:top w:val="single" w:sz="4" w:space="0" w:color="auto"/>
              <w:bottom w:val="single" w:sz="4" w:space="0" w:color="auto"/>
            </w:tcBorders>
            <w:hideMark/>
          </w:tcPr>
          <w:p w14:paraId="112A197B"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OR</w:t>
            </w:r>
          </w:p>
        </w:tc>
        <w:tc>
          <w:tcPr>
            <w:tcW w:w="1134" w:type="dxa"/>
            <w:tcBorders>
              <w:top w:val="single" w:sz="4" w:space="0" w:color="auto"/>
              <w:bottom w:val="single" w:sz="4" w:space="0" w:color="auto"/>
            </w:tcBorders>
            <w:hideMark/>
          </w:tcPr>
          <w:p w14:paraId="17203776"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CI</w:t>
            </w:r>
          </w:p>
        </w:tc>
        <w:tc>
          <w:tcPr>
            <w:tcW w:w="1275" w:type="dxa"/>
            <w:tcBorders>
              <w:top w:val="single" w:sz="4" w:space="0" w:color="auto"/>
              <w:bottom w:val="single" w:sz="4" w:space="0" w:color="auto"/>
            </w:tcBorders>
            <w:hideMark/>
          </w:tcPr>
          <w:p w14:paraId="49FC710C" w14:textId="77777777" w:rsidR="00CD771A" w:rsidRPr="005F0812" w:rsidRDefault="003060BA" w:rsidP="006309ED">
            <w:pPr>
              <w:spacing w:line="360" w:lineRule="auto"/>
              <w:jc w:val="both"/>
              <w:rPr>
                <w:rFonts w:ascii="Book Antiqua" w:eastAsia="Calibri" w:hAnsi="Book Antiqua" w:cs="Arial"/>
                <w:b/>
                <w:bCs/>
                <w:lang w:val="en-GB"/>
              </w:rPr>
            </w:pPr>
            <w:r w:rsidRPr="005F0812">
              <w:rPr>
                <w:rFonts w:ascii="Book Antiqua" w:eastAsiaTheme="minorEastAsia" w:hAnsi="Book Antiqua"/>
                <w:b/>
                <w:bCs/>
                <w:i/>
                <w:lang w:val="en-GB"/>
              </w:rPr>
              <w:t>P</w:t>
            </w:r>
            <w:r w:rsidRPr="005F0812">
              <w:rPr>
                <w:rFonts w:ascii="Book Antiqua" w:eastAsia="Calibri" w:hAnsi="Book Antiqua"/>
                <w:b/>
                <w:bCs/>
                <w:lang w:val="en-GB"/>
              </w:rPr>
              <w:t xml:space="preserve"> </w:t>
            </w:r>
            <w:r w:rsidR="00CD771A" w:rsidRPr="005F0812">
              <w:rPr>
                <w:rFonts w:ascii="Book Antiqua" w:eastAsia="Calibri" w:hAnsi="Book Antiqua"/>
                <w:b/>
                <w:bCs/>
                <w:lang w:val="en-GB"/>
              </w:rPr>
              <w:t>value</w:t>
            </w:r>
          </w:p>
        </w:tc>
        <w:tc>
          <w:tcPr>
            <w:tcW w:w="709" w:type="dxa"/>
            <w:tcBorders>
              <w:top w:val="single" w:sz="4" w:space="0" w:color="auto"/>
              <w:bottom w:val="single" w:sz="4" w:space="0" w:color="auto"/>
            </w:tcBorders>
            <w:hideMark/>
          </w:tcPr>
          <w:p w14:paraId="7489C8A0"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OR</w:t>
            </w:r>
          </w:p>
        </w:tc>
        <w:tc>
          <w:tcPr>
            <w:tcW w:w="1129" w:type="dxa"/>
            <w:tcBorders>
              <w:top w:val="single" w:sz="4" w:space="0" w:color="auto"/>
              <w:bottom w:val="single" w:sz="4" w:space="0" w:color="auto"/>
            </w:tcBorders>
            <w:hideMark/>
          </w:tcPr>
          <w:p w14:paraId="64E29836"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CI</w:t>
            </w:r>
          </w:p>
        </w:tc>
        <w:tc>
          <w:tcPr>
            <w:tcW w:w="1134" w:type="dxa"/>
            <w:tcBorders>
              <w:top w:val="single" w:sz="4" w:space="0" w:color="auto"/>
              <w:bottom w:val="single" w:sz="4" w:space="0" w:color="auto"/>
            </w:tcBorders>
            <w:hideMark/>
          </w:tcPr>
          <w:p w14:paraId="63F633A5" w14:textId="77777777" w:rsidR="00CD771A" w:rsidRPr="005F0812" w:rsidRDefault="003060BA" w:rsidP="006309ED">
            <w:pPr>
              <w:spacing w:line="360" w:lineRule="auto"/>
              <w:jc w:val="both"/>
              <w:rPr>
                <w:rFonts w:ascii="Book Antiqua" w:eastAsia="Calibri" w:hAnsi="Book Antiqua" w:cs="Arial"/>
                <w:b/>
                <w:bCs/>
                <w:lang w:val="en-GB"/>
              </w:rPr>
            </w:pPr>
            <w:r w:rsidRPr="005F0812">
              <w:rPr>
                <w:rFonts w:ascii="Book Antiqua" w:eastAsiaTheme="minorEastAsia" w:hAnsi="Book Antiqua"/>
                <w:b/>
                <w:bCs/>
                <w:i/>
                <w:lang w:val="en-GB"/>
              </w:rPr>
              <w:t>P</w:t>
            </w:r>
            <w:r w:rsidRPr="005F0812">
              <w:rPr>
                <w:rFonts w:ascii="Book Antiqua" w:eastAsiaTheme="minorEastAsia" w:hAnsi="Book Antiqua"/>
                <w:b/>
                <w:bCs/>
                <w:lang w:val="en-GB"/>
              </w:rPr>
              <w:t xml:space="preserve"> </w:t>
            </w:r>
            <w:r w:rsidR="00CD771A" w:rsidRPr="005F0812">
              <w:rPr>
                <w:rFonts w:ascii="Book Antiqua" w:eastAsia="Calibri" w:hAnsi="Book Antiqua"/>
                <w:b/>
                <w:bCs/>
                <w:lang w:val="en-GB"/>
              </w:rPr>
              <w:t>value</w:t>
            </w:r>
          </w:p>
        </w:tc>
        <w:tc>
          <w:tcPr>
            <w:tcW w:w="709" w:type="dxa"/>
            <w:tcBorders>
              <w:top w:val="single" w:sz="4" w:space="0" w:color="auto"/>
              <w:bottom w:val="single" w:sz="4" w:space="0" w:color="auto"/>
            </w:tcBorders>
            <w:hideMark/>
          </w:tcPr>
          <w:p w14:paraId="77282D96"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OR</w:t>
            </w:r>
          </w:p>
        </w:tc>
        <w:tc>
          <w:tcPr>
            <w:tcW w:w="1134" w:type="dxa"/>
            <w:tcBorders>
              <w:top w:val="single" w:sz="4" w:space="0" w:color="auto"/>
              <w:bottom w:val="single" w:sz="4" w:space="0" w:color="auto"/>
            </w:tcBorders>
            <w:hideMark/>
          </w:tcPr>
          <w:p w14:paraId="5B69BBDE"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CI</w:t>
            </w:r>
          </w:p>
        </w:tc>
        <w:tc>
          <w:tcPr>
            <w:tcW w:w="1530" w:type="dxa"/>
            <w:gridSpan w:val="2"/>
            <w:tcBorders>
              <w:top w:val="single" w:sz="4" w:space="0" w:color="auto"/>
              <w:bottom w:val="single" w:sz="4" w:space="0" w:color="auto"/>
            </w:tcBorders>
            <w:hideMark/>
          </w:tcPr>
          <w:p w14:paraId="02590E8A" w14:textId="77777777" w:rsidR="00CD771A" w:rsidRPr="005F0812" w:rsidRDefault="003060BA" w:rsidP="006309ED">
            <w:pPr>
              <w:spacing w:line="360" w:lineRule="auto"/>
              <w:jc w:val="both"/>
              <w:rPr>
                <w:rFonts w:ascii="Book Antiqua" w:eastAsia="Calibri" w:hAnsi="Book Antiqua" w:cs="Arial"/>
                <w:b/>
                <w:bCs/>
                <w:lang w:val="en-GB"/>
              </w:rPr>
            </w:pPr>
            <w:r w:rsidRPr="005F0812">
              <w:rPr>
                <w:rFonts w:ascii="Book Antiqua" w:eastAsiaTheme="minorEastAsia" w:hAnsi="Book Antiqua"/>
                <w:b/>
                <w:bCs/>
                <w:i/>
                <w:lang w:val="en-GB"/>
              </w:rPr>
              <w:t>P</w:t>
            </w:r>
            <w:r w:rsidRPr="005F0812">
              <w:rPr>
                <w:rFonts w:ascii="Book Antiqua" w:eastAsia="Calibri" w:hAnsi="Book Antiqua"/>
                <w:b/>
                <w:bCs/>
                <w:lang w:val="en-GB"/>
              </w:rPr>
              <w:t xml:space="preserve"> </w:t>
            </w:r>
            <w:r w:rsidR="00CD771A" w:rsidRPr="005F0812">
              <w:rPr>
                <w:rFonts w:ascii="Book Antiqua" w:eastAsia="Calibri" w:hAnsi="Book Antiqua"/>
                <w:b/>
                <w:bCs/>
                <w:lang w:val="en-GB"/>
              </w:rPr>
              <w:t>value</w:t>
            </w:r>
          </w:p>
        </w:tc>
      </w:tr>
      <w:tr w:rsidR="00D623B2" w:rsidRPr="005F0812" w14:paraId="0A8FAA02" w14:textId="77777777" w:rsidTr="00FD6EFF">
        <w:trPr>
          <w:trHeight w:val="150"/>
        </w:trPr>
        <w:tc>
          <w:tcPr>
            <w:tcW w:w="1565" w:type="dxa"/>
            <w:tcBorders>
              <w:top w:val="single" w:sz="4" w:space="0" w:color="auto"/>
            </w:tcBorders>
            <w:hideMark/>
          </w:tcPr>
          <w:p w14:paraId="75D2377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&lt;</w:t>
            </w:r>
            <w:r w:rsidR="003060BA" w:rsidRPr="005F0812">
              <w:rPr>
                <w:rFonts w:ascii="Book Antiqua" w:eastAsiaTheme="minorEastAsia" w:hAnsi="Book Antiqua"/>
                <w:lang w:val="en-GB"/>
              </w:rPr>
              <w:t xml:space="preserve"> </w:t>
            </w:r>
            <w:r w:rsidRPr="005F0812">
              <w:rPr>
                <w:rFonts w:ascii="Book Antiqua" w:eastAsia="Calibri" w:hAnsi="Book Antiqua"/>
                <w:lang w:val="en-GB"/>
              </w:rPr>
              <w:t>40</w:t>
            </w:r>
          </w:p>
        </w:tc>
        <w:tc>
          <w:tcPr>
            <w:tcW w:w="851" w:type="dxa"/>
            <w:tcBorders>
              <w:top w:val="single" w:sz="4" w:space="0" w:color="auto"/>
            </w:tcBorders>
            <w:hideMark/>
          </w:tcPr>
          <w:p w14:paraId="1CA7A0E3" w14:textId="77777777" w:rsidR="00CD771A" w:rsidRPr="005F0812" w:rsidRDefault="003060BA" w:rsidP="006309ED">
            <w:pPr>
              <w:spacing w:line="360" w:lineRule="auto"/>
              <w:jc w:val="both"/>
              <w:rPr>
                <w:rFonts w:ascii="Book Antiqua" w:eastAsia="Calibri" w:hAnsi="Book Antiqua" w:cs="Arial"/>
                <w:lang w:val="en-GB"/>
              </w:rPr>
            </w:pPr>
            <w:r w:rsidRPr="005F0812">
              <w:rPr>
                <w:rFonts w:ascii="Book Antiqua" w:eastAsiaTheme="minorEastAsia" w:hAnsi="Book Antiqua"/>
                <w:lang w:val="en-GB"/>
              </w:rPr>
              <w:t>R</w:t>
            </w:r>
            <w:r w:rsidR="00CD771A" w:rsidRPr="005F0812">
              <w:rPr>
                <w:rFonts w:ascii="Book Antiqua" w:eastAsia="Calibri" w:hAnsi="Book Antiqua"/>
                <w:lang w:val="en-GB"/>
              </w:rPr>
              <w:t>ef</w:t>
            </w:r>
          </w:p>
        </w:tc>
        <w:tc>
          <w:tcPr>
            <w:tcW w:w="1134" w:type="dxa"/>
            <w:tcBorders>
              <w:top w:val="single" w:sz="4" w:space="0" w:color="auto"/>
            </w:tcBorders>
          </w:tcPr>
          <w:p w14:paraId="65D3DC49" w14:textId="77777777" w:rsidR="00CD771A" w:rsidRPr="005F0812" w:rsidRDefault="00CD771A" w:rsidP="006309ED">
            <w:pPr>
              <w:spacing w:line="360" w:lineRule="auto"/>
              <w:jc w:val="both"/>
              <w:rPr>
                <w:rFonts w:ascii="Book Antiqua" w:eastAsia="Calibri" w:hAnsi="Book Antiqua" w:cs="Arial"/>
                <w:lang w:val="en-GB"/>
              </w:rPr>
            </w:pPr>
          </w:p>
        </w:tc>
        <w:tc>
          <w:tcPr>
            <w:tcW w:w="1275" w:type="dxa"/>
            <w:tcBorders>
              <w:top w:val="single" w:sz="4" w:space="0" w:color="auto"/>
            </w:tcBorders>
          </w:tcPr>
          <w:p w14:paraId="0BB6C2BA" w14:textId="77777777" w:rsidR="00CD771A" w:rsidRPr="005F0812" w:rsidRDefault="00CD771A" w:rsidP="006309ED">
            <w:pPr>
              <w:spacing w:line="360" w:lineRule="auto"/>
              <w:jc w:val="both"/>
              <w:rPr>
                <w:rFonts w:ascii="Book Antiqua" w:eastAsia="Calibri" w:hAnsi="Book Antiqua" w:cs="Arial"/>
                <w:lang w:val="en-GB"/>
              </w:rPr>
            </w:pPr>
          </w:p>
        </w:tc>
        <w:tc>
          <w:tcPr>
            <w:tcW w:w="709" w:type="dxa"/>
            <w:tcBorders>
              <w:top w:val="single" w:sz="4" w:space="0" w:color="auto"/>
            </w:tcBorders>
            <w:hideMark/>
          </w:tcPr>
          <w:p w14:paraId="7D5903C0" w14:textId="77777777" w:rsidR="00CD771A" w:rsidRPr="005F0812" w:rsidRDefault="003060BA" w:rsidP="006309ED">
            <w:pPr>
              <w:spacing w:line="360" w:lineRule="auto"/>
              <w:jc w:val="both"/>
              <w:rPr>
                <w:rFonts w:ascii="Book Antiqua" w:eastAsia="Calibri" w:hAnsi="Book Antiqua" w:cs="Arial"/>
                <w:lang w:val="en-GB"/>
              </w:rPr>
            </w:pPr>
            <w:r w:rsidRPr="005F0812">
              <w:rPr>
                <w:rFonts w:ascii="Book Antiqua" w:eastAsiaTheme="minorEastAsia" w:hAnsi="Book Antiqua"/>
                <w:lang w:val="en-GB"/>
              </w:rPr>
              <w:t>R</w:t>
            </w:r>
            <w:r w:rsidR="00CD771A" w:rsidRPr="005F0812">
              <w:rPr>
                <w:rFonts w:ascii="Book Antiqua" w:eastAsia="Calibri" w:hAnsi="Book Antiqua"/>
                <w:lang w:val="en-GB"/>
              </w:rPr>
              <w:t>ef</w:t>
            </w:r>
          </w:p>
        </w:tc>
        <w:tc>
          <w:tcPr>
            <w:tcW w:w="1129" w:type="dxa"/>
            <w:tcBorders>
              <w:top w:val="single" w:sz="4" w:space="0" w:color="auto"/>
            </w:tcBorders>
          </w:tcPr>
          <w:p w14:paraId="5AF1E711" w14:textId="77777777" w:rsidR="00CD771A" w:rsidRPr="005F0812" w:rsidRDefault="00CD771A" w:rsidP="006309ED">
            <w:pPr>
              <w:spacing w:line="360" w:lineRule="auto"/>
              <w:jc w:val="both"/>
              <w:rPr>
                <w:rFonts w:ascii="Book Antiqua" w:eastAsia="Calibri" w:hAnsi="Book Antiqua" w:cs="Arial"/>
                <w:lang w:val="en-GB"/>
              </w:rPr>
            </w:pPr>
          </w:p>
        </w:tc>
        <w:tc>
          <w:tcPr>
            <w:tcW w:w="1134" w:type="dxa"/>
            <w:tcBorders>
              <w:top w:val="single" w:sz="4" w:space="0" w:color="auto"/>
            </w:tcBorders>
          </w:tcPr>
          <w:p w14:paraId="0D3A5D02" w14:textId="77777777" w:rsidR="00CD771A" w:rsidRPr="005F0812" w:rsidRDefault="00CD771A" w:rsidP="006309ED">
            <w:pPr>
              <w:spacing w:line="360" w:lineRule="auto"/>
              <w:jc w:val="both"/>
              <w:rPr>
                <w:rFonts w:ascii="Book Antiqua" w:eastAsia="Calibri" w:hAnsi="Book Antiqua" w:cs="Arial"/>
                <w:lang w:val="en-GB"/>
              </w:rPr>
            </w:pPr>
          </w:p>
        </w:tc>
        <w:tc>
          <w:tcPr>
            <w:tcW w:w="709" w:type="dxa"/>
            <w:tcBorders>
              <w:top w:val="single" w:sz="4" w:space="0" w:color="auto"/>
            </w:tcBorders>
            <w:hideMark/>
          </w:tcPr>
          <w:p w14:paraId="130EC370" w14:textId="77777777" w:rsidR="00CD771A" w:rsidRPr="005F0812" w:rsidRDefault="003060BA" w:rsidP="006309ED">
            <w:pPr>
              <w:spacing w:line="360" w:lineRule="auto"/>
              <w:jc w:val="both"/>
              <w:rPr>
                <w:rFonts w:ascii="Book Antiqua" w:eastAsia="Calibri" w:hAnsi="Book Antiqua" w:cs="Arial"/>
                <w:lang w:val="en-GB"/>
              </w:rPr>
            </w:pPr>
            <w:r w:rsidRPr="005F0812">
              <w:rPr>
                <w:rFonts w:ascii="Book Antiqua" w:eastAsiaTheme="minorEastAsia" w:hAnsi="Book Antiqua"/>
                <w:lang w:val="en-GB"/>
              </w:rPr>
              <w:t>R</w:t>
            </w:r>
            <w:r w:rsidR="00CD771A" w:rsidRPr="005F0812">
              <w:rPr>
                <w:rFonts w:ascii="Book Antiqua" w:eastAsia="Calibri" w:hAnsi="Book Antiqua"/>
                <w:lang w:val="en-GB"/>
              </w:rPr>
              <w:t>ef</w:t>
            </w:r>
          </w:p>
        </w:tc>
        <w:tc>
          <w:tcPr>
            <w:tcW w:w="1134" w:type="dxa"/>
            <w:tcBorders>
              <w:top w:val="single" w:sz="4" w:space="0" w:color="auto"/>
            </w:tcBorders>
          </w:tcPr>
          <w:p w14:paraId="386C4B85" w14:textId="77777777" w:rsidR="00CD771A" w:rsidRPr="005F0812" w:rsidRDefault="00CD771A" w:rsidP="006309ED">
            <w:pPr>
              <w:spacing w:line="360" w:lineRule="auto"/>
              <w:jc w:val="both"/>
              <w:rPr>
                <w:rFonts w:ascii="Book Antiqua" w:eastAsia="Calibri" w:hAnsi="Book Antiqua" w:cs="Arial"/>
                <w:lang w:val="en-GB"/>
              </w:rPr>
            </w:pPr>
          </w:p>
        </w:tc>
        <w:tc>
          <w:tcPr>
            <w:tcW w:w="1530" w:type="dxa"/>
            <w:gridSpan w:val="2"/>
            <w:tcBorders>
              <w:top w:val="single" w:sz="4" w:space="0" w:color="auto"/>
            </w:tcBorders>
          </w:tcPr>
          <w:p w14:paraId="2D9A111F" w14:textId="77777777" w:rsidR="00CD771A" w:rsidRPr="005F0812" w:rsidRDefault="00CD771A" w:rsidP="006309ED">
            <w:pPr>
              <w:spacing w:line="360" w:lineRule="auto"/>
              <w:jc w:val="both"/>
              <w:rPr>
                <w:rFonts w:ascii="Book Antiqua" w:eastAsia="Calibri" w:hAnsi="Book Antiqua" w:cs="Arial"/>
                <w:lang w:val="en-GB"/>
              </w:rPr>
            </w:pPr>
          </w:p>
        </w:tc>
      </w:tr>
      <w:tr w:rsidR="00D623B2" w:rsidRPr="005F0812" w14:paraId="0E2FDC62" w14:textId="77777777" w:rsidTr="00FD6EFF">
        <w:trPr>
          <w:trHeight w:val="482"/>
        </w:trPr>
        <w:tc>
          <w:tcPr>
            <w:tcW w:w="1565" w:type="dxa"/>
            <w:hideMark/>
          </w:tcPr>
          <w:p w14:paraId="4479B6B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40-80</w:t>
            </w:r>
          </w:p>
        </w:tc>
        <w:tc>
          <w:tcPr>
            <w:tcW w:w="851" w:type="dxa"/>
            <w:hideMark/>
          </w:tcPr>
          <w:p w14:paraId="0C644A5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6.1</w:t>
            </w:r>
          </w:p>
        </w:tc>
        <w:tc>
          <w:tcPr>
            <w:tcW w:w="1134" w:type="dxa"/>
            <w:hideMark/>
          </w:tcPr>
          <w:p w14:paraId="7E85226D" w14:textId="77777777" w:rsidR="00CD771A" w:rsidRPr="005F0812" w:rsidRDefault="003060B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2.5-</w:t>
            </w:r>
            <w:r w:rsidR="00CD771A" w:rsidRPr="005F0812">
              <w:rPr>
                <w:rFonts w:ascii="Book Antiqua" w:eastAsia="Calibri" w:hAnsi="Book Antiqua"/>
                <w:lang w:val="en-GB"/>
              </w:rPr>
              <w:t>14.7</w:t>
            </w:r>
          </w:p>
        </w:tc>
        <w:tc>
          <w:tcPr>
            <w:tcW w:w="1275" w:type="dxa"/>
            <w:tcBorders>
              <w:bottom w:val="nil"/>
            </w:tcBorders>
            <w:hideMark/>
          </w:tcPr>
          <w:p w14:paraId="5486B797"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0.0001</w:t>
            </w:r>
          </w:p>
        </w:tc>
        <w:tc>
          <w:tcPr>
            <w:tcW w:w="709" w:type="dxa"/>
            <w:tcBorders>
              <w:bottom w:val="nil"/>
            </w:tcBorders>
            <w:hideMark/>
          </w:tcPr>
          <w:p w14:paraId="4F3E0FC5"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4.8</w:t>
            </w:r>
          </w:p>
        </w:tc>
        <w:tc>
          <w:tcPr>
            <w:tcW w:w="1129" w:type="dxa"/>
            <w:tcBorders>
              <w:bottom w:val="nil"/>
            </w:tcBorders>
            <w:hideMark/>
          </w:tcPr>
          <w:p w14:paraId="1AEFD255" w14:textId="6FC06BEE"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1.9-12.</w:t>
            </w:r>
            <w:r w:rsidR="0050115B">
              <w:rPr>
                <w:rFonts w:ascii="Book Antiqua" w:eastAsia="Calibri" w:hAnsi="Book Antiqua"/>
                <w:lang w:val="en-GB"/>
              </w:rPr>
              <w:t>1</w:t>
            </w:r>
          </w:p>
        </w:tc>
        <w:tc>
          <w:tcPr>
            <w:tcW w:w="1134" w:type="dxa"/>
            <w:tcBorders>
              <w:bottom w:val="nil"/>
            </w:tcBorders>
            <w:hideMark/>
          </w:tcPr>
          <w:p w14:paraId="7D64D194"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0.001</w:t>
            </w:r>
          </w:p>
        </w:tc>
        <w:tc>
          <w:tcPr>
            <w:tcW w:w="709" w:type="dxa"/>
            <w:tcBorders>
              <w:bottom w:val="nil"/>
            </w:tcBorders>
            <w:hideMark/>
          </w:tcPr>
          <w:p w14:paraId="1FC91EA4" w14:textId="0D318B91"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10.</w:t>
            </w:r>
            <w:r w:rsidR="00FD6EFF">
              <w:rPr>
                <w:rFonts w:ascii="Book Antiqua" w:eastAsia="Calibri" w:hAnsi="Book Antiqua"/>
                <w:lang w:val="en-GB"/>
              </w:rPr>
              <w:t>8</w:t>
            </w:r>
          </w:p>
        </w:tc>
        <w:tc>
          <w:tcPr>
            <w:tcW w:w="1134" w:type="dxa"/>
            <w:tcBorders>
              <w:bottom w:val="nil"/>
            </w:tcBorders>
            <w:hideMark/>
          </w:tcPr>
          <w:p w14:paraId="01A9476F"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2.5-40.9</w:t>
            </w:r>
          </w:p>
        </w:tc>
        <w:tc>
          <w:tcPr>
            <w:tcW w:w="1530" w:type="dxa"/>
            <w:gridSpan w:val="2"/>
            <w:tcBorders>
              <w:bottom w:val="nil"/>
            </w:tcBorders>
            <w:hideMark/>
          </w:tcPr>
          <w:p w14:paraId="5626163C"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0.001</w:t>
            </w:r>
          </w:p>
        </w:tc>
      </w:tr>
      <w:tr w:rsidR="00D623B2" w:rsidRPr="005F0812" w14:paraId="2CD0E568" w14:textId="77777777" w:rsidTr="00FD6EFF">
        <w:trPr>
          <w:trHeight w:val="150"/>
        </w:trPr>
        <w:tc>
          <w:tcPr>
            <w:tcW w:w="1565" w:type="dxa"/>
            <w:hideMark/>
          </w:tcPr>
          <w:p w14:paraId="5D265FB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&gt;</w:t>
            </w:r>
            <w:r w:rsidR="003060BA" w:rsidRPr="005F0812">
              <w:rPr>
                <w:rFonts w:ascii="Book Antiqua" w:eastAsiaTheme="minorEastAsia" w:hAnsi="Book Antiqua"/>
                <w:lang w:val="en-GB"/>
              </w:rPr>
              <w:t xml:space="preserve"> </w:t>
            </w:r>
            <w:r w:rsidRPr="005F0812">
              <w:rPr>
                <w:rFonts w:ascii="Book Antiqua" w:eastAsia="Calibri" w:hAnsi="Book Antiqua"/>
                <w:lang w:val="en-GB"/>
              </w:rPr>
              <w:t>80</w:t>
            </w:r>
          </w:p>
        </w:tc>
        <w:tc>
          <w:tcPr>
            <w:tcW w:w="851" w:type="dxa"/>
            <w:hideMark/>
          </w:tcPr>
          <w:p w14:paraId="2432A73B"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6.1</w:t>
            </w:r>
          </w:p>
        </w:tc>
        <w:tc>
          <w:tcPr>
            <w:tcW w:w="1134" w:type="dxa"/>
            <w:hideMark/>
          </w:tcPr>
          <w:p w14:paraId="46463B4E" w14:textId="77777777" w:rsidR="00CD771A" w:rsidRPr="005F0812" w:rsidRDefault="003060B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1.5-</w:t>
            </w:r>
            <w:r w:rsidR="00CD771A" w:rsidRPr="005F0812">
              <w:rPr>
                <w:rFonts w:ascii="Book Antiqua" w:eastAsia="Calibri" w:hAnsi="Book Antiqua"/>
                <w:lang w:val="en-GB"/>
              </w:rPr>
              <w:t>25.5</w:t>
            </w:r>
          </w:p>
        </w:tc>
        <w:tc>
          <w:tcPr>
            <w:tcW w:w="1275" w:type="dxa"/>
            <w:tcBorders>
              <w:top w:val="nil"/>
              <w:bottom w:val="nil"/>
            </w:tcBorders>
            <w:hideMark/>
          </w:tcPr>
          <w:p w14:paraId="0F5DF40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0.01</w:t>
            </w:r>
          </w:p>
        </w:tc>
        <w:tc>
          <w:tcPr>
            <w:tcW w:w="709" w:type="dxa"/>
            <w:tcBorders>
              <w:top w:val="nil"/>
              <w:bottom w:val="nil"/>
            </w:tcBorders>
            <w:hideMark/>
          </w:tcPr>
          <w:p w14:paraId="2266ADF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2.9</w:t>
            </w:r>
          </w:p>
        </w:tc>
        <w:tc>
          <w:tcPr>
            <w:tcW w:w="1129" w:type="dxa"/>
            <w:tcBorders>
              <w:top w:val="nil"/>
              <w:bottom w:val="nil"/>
            </w:tcBorders>
            <w:hideMark/>
          </w:tcPr>
          <w:p w14:paraId="582BDFC0" w14:textId="43F97FEC"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0.6-13.7</w:t>
            </w:r>
          </w:p>
        </w:tc>
        <w:tc>
          <w:tcPr>
            <w:tcW w:w="1134" w:type="dxa"/>
            <w:tcBorders>
              <w:top w:val="nil"/>
              <w:bottom w:val="nil"/>
            </w:tcBorders>
            <w:hideMark/>
          </w:tcPr>
          <w:p w14:paraId="2633A37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0.18</w:t>
            </w:r>
          </w:p>
        </w:tc>
        <w:tc>
          <w:tcPr>
            <w:tcW w:w="709" w:type="dxa"/>
            <w:tcBorders>
              <w:top w:val="nil"/>
              <w:bottom w:val="nil"/>
            </w:tcBorders>
            <w:hideMark/>
          </w:tcPr>
          <w:p w14:paraId="2613CAFA" w14:textId="3A2B2349"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12</w:t>
            </w:r>
            <w:r w:rsidR="0050115B">
              <w:rPr>
                <w:rFonts w:ascii="Book Antiqua" w:eastAsia="Calibri" w:hAnsi="Book Antiqua"/>
                <w:lang w:val="en-GB"/>
              </w:rPr>
              <w:t>.</w:t>
            </w:r>
            <w:r w:rsidR="00FD6EFF">
              <w:rPr>
                <w:rFonts w:ascii="Book Antiqua" w:eastAsia="Calibri" w:hAnsi="Book Antiqua"/>
                <w:lang w:val="en-GB"/>
              </w:rPr>
              <w:t>8</w:t>
            </w:r>
          </w:p>
        </w:tc>
        <w:tc>
          <w:tcPr>
            <w:tcW w:w="1134" w:type="dxa"/>
            <w:tcBorders>
              <w:top w:val="nil"/>
              <w:bottom w:val="nil"/>
            </w:tcBorders>
            <w:hideMark/>
          </w:tcPr>
          <w:p w14:paraId="605EA71E"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1.5-93.4</w:t>
            </w:r>
          </w:p>
        </w:tc>
        <w:tc>
          <w:tcPr>
            <w:tcW w:w="1530" w:type="dxa"/>
            <w:gridSpan w:val="2"/>
            <w:tcBorders>
              <w:top w:val="nil"/>
              <w:bottom w:val="nil"/>
            </w:tcBorders>
            <w:hideMark/>
          </w:tcPr>
          <w:p w14:paraId="2A3E22FC"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0.02</w:t>
            </w:r>
          </w:p>
        </w:tc>
      </w:tr>
      <w:tr w:rsidR="00FB486B" w:rsidRPr="005F0812" w14:paraId="6A9537DE" w14:textId="77777777" w:rsidTr="008E407C">
        <w:trPr>
          <w:trHeight w:val="150"/>
        </w:trPr>
        <w:tc>
          <w:tcPr>
            <w:tcW w:w="6663" w:type="dxa"/>
            <w:gridSpan w:val="6"/>
            <w:vMerge w:val="restart"/>
            <w:tcBorders>
              <w:top w:val="nil"/>
            </w:tcBorders>
          </w:tcPr>
          <w:p w14:paraId="64FD81AC" w14:textId="77777777" w:rsidR="00FB486B" w:rsidRPr="005F0812" w:rsidRDefault="00FB486B" w:rsidP="006309ED">
            <w:pPr>
              <w:spacing w:line="360" w:lineRule="auto"/>
              <w:jc w:val="both"/>
              <w:rPr>
                <w:rFonts w:ascii="Book Antiqua" w:eastAsia="Calibri" w:hAnsi="Book Antiqua" w:cs="Arial"/>
                <w:lang w:val="en-GB"/>
              </w:rPr>
            </w:pPr>
          </w:p>
        </w:tc>
        <w:tc>
          <w:tcPr>
            <w:tcW w:w="4507" w:type="dxa"/>
            <w:gridSpan w:val="5"/>
            <w:tcBorders>
              <w:top w:val="nil"/>
              <w:bottom w:val="nil"/>
            </w:tcBorders>
            <w:hideMark/>
          </w:tcPr>
          <w:p w14:paraId="6C649AD8"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 xml:space="preserve">Covariates </w:t>
            </w:r>
          </w:p>
        </w:tc>
      </w:tr>
      <w:tr w:rsidR="00FB486B" w:rsidRPr="005F0812" w14:paraId="6E80923A" w14:textId="77777777" w:rsidTr="008E407C">
        <w:trPr>
          <w:trHeight w:val="337"/>
        </w:trPr>
        <w:tc>
          <w:tcPr>
            <w:tcW w:w="6663" w:type="dxa"/>
            <w:gridSpan w:val="6"/>
            <w:vMerge/>
            <w:vAlign w:val="center"/>
            <w:hideMark/>
          </w:tcPr>
          <w:p w14:paraId="798D32F6"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hideMark/>
          </w:tcPr>
          <w:p w14:paraId="721245FC" w14:textId="7BBDCB82"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Age</w:t>
            </w:r>
          </w:p>
        </w:tc>
        <w:tc>
          <w:tcPr>
            <w:tcW w:w="709" w:type="dxa"/>
            <w:tcBorders>
              <w:top w:val="nil"/>
              <w:bottom w:val="nil"/>
            </w:tcBorders>
          </w:tcPr>
          <w:p w14:paraId="3E48F79C" w14:textId="687B3113" w:rsidR="00FB486B" w:rsidRPr="005F0812" w:rsidRDefault="00FB486B" w:rsidP="006309ED">
            <w:pPr>
              <w:spacing w:line="360" w:lineRule="auto"/>
              <w:jc w:val="both"/>
              <w:rPr>
                <w:rFonts w:ascii="Book Antiqua" w:eastAsia="Calibri" w:hAnsi="Book Antiqua" w:cs="Arial"/>
                <w:lang w:val="en-GB"/>
              </w:rPr>
            </w:pPr>
          </w:p>
        </w:tc>
        <w:tc>
          <w:tcPr>
            <w:tcW w:w="1530" w:type="dxa"/>
            <w:gridSpan w:val="2"/>
            <w:tcBorders>
              <w:top w:val="nil"/>
              <w:bottom w:val="nil"/>
            </w:tcBorders>
          </w:tcPr>
          <w:p w14:paraId="2C81108B" w14:textId="68F4956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tcPr>
          <w:p w14:paraId="53869EA2" w14:textId="0C0F60BF" w:rsidR="00FB486B" w:rsidRPr="005F0812" w:rsidRDefault="00FB486B" w:rsidP="006309ED">
            <w:pPr>
              <w:spacing w:line="360" w:lineRule="auto"/>
              <w:jc w:val="both"/>
              <w:rPr>
                <w:rFonts w:ascii="Book Antiqua" w:eastAsia="Calibri" w:hAnsi="Book Antiqua" w:cs="Arial"/>
                <w:lang w:val="en-GB"/>
              </w:rPr>
            </w:pPr>
          </w:p>
        </w:tc>
      </w:tr>
      <w:tr w:rsidR="00FB486B" w:rsidRPr="005F0812" w14:paraId="399E3227" w14:textId="77777777" w:rsidTr="008E407C">
        <w:trPr>
          <w:trHeight w:val="362"/>
        </w:trPr>
        <w:tc>
          <w:tcPr>
            <w:tcW w:w="6663" w:type="dxa"/>
            <w:gridSpan w:val="6"/>
            <w:vMerge/>
            <w:vAlign w:val="center"/>
          </w:tcPr>
          <w:p w14:paraId="2F075D00"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tcPr>
          <w:p w14:paraId="48879294" w14:textId="3E337EF2" w:rsidR="00FB486B" w:rsidRPr="005F0812" w:rsidRDefault="00FB486B" w:rsidP="00DA0B01">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&lt;</w:t>
            </w:r>
            <w:r w:rsidRPr="005F0812">
              <w:rPr>
                <w:rFonts w:ascii="Book Antiqua" w:eastAsiaTheme="minorEastAsia" w:hAnsi="Book Antiqua"/>
                <w:lang w:val="en-GB"/>
              </w:rPr>
              <w:t xml:space="preserve"> </w:t>
            </w:r>
            <w:r w:rsidRPr="005F0812">
              <w:rPr>
                <w:rFonts w:ascii="Book Antiqua" w:eastAsia="Calibri" w:hAnsi="Book Antiqua"/>
                <w:lang w:val="en-GB"/>
              </w:rPr>
              <w:t>40</w:t>
            </w:r>
          </w:p>
        </w:tc>
        <w:tc>
          <w:tcPr>
            <w:tcW w:w="709" w:type="dxa"/>
            <w:tcBorders>
              <w:top w:val="nil"/>
              <w:bottom w:val="nil"/>
            </w:tcBorders>
          </w:tcPr>
          <w:p w14:paraId="140F1FD8" w14:textId="422F1DA6" w:rsidR="00FB486B" w:rsidRPr="005F0812" w:rsidRDefault="00FB486B" w:rsidP="00DA0B01">
            <w:pPr>
              <w:spacing w:line="360" w:lineRule="auto"/>
              <w:jc w:val="both"/>
              <w:rPr>
                <w:rFonts w:ascii="Book Antiqua" w:eastAsia="Calibri" w:hAnsi="Book Antiqua" w:cs="Arial"/>
                <w:lang w:val="en-GB"/>
              </w:rPr>
            </w:pPr>
            <w:r w:rsidRPr="005F0812">
              <w:rPr>
                <w:rFonts w:ascii="Book Antiqua" w:eastAsia="Calibri" w:hAnsi="Book Antiqua"/>
                <w:lang w:val="en-GB"/>
              </w:rPr>
              <w:t>Ref</w:t>
            </w:r>
          </w:p>
        </w:tc>
        <w:tc>
          <w:tcPr>
            <w:tcW w:w="1530" w:type="dxa"/>
            <w:gridSpan w:val="2"/>
            <w:tcBorders>
              <w:top w:val="nil"/>
              <w:bottom w:val="nil"/>
            </w:tcBorders>
          </w:tcPr>
          <w:p w14:paraId="23456069" w14:textId="3BD4171F" w:rsidR="00FB486B" w:rsidRPr="005F0812" w:rsidRDefault="00FB486B" w:rsidP="00DA0B01">
            <w:pPr>
              <w:spacing w:line="360" w:lineRule="auto"/>
              <w:jc w:val="both"/>
              <w:rPr>
                <w:rFonts w:ascii="Book Antiqua" w:eastAsia="Calibri" w:hAnsi="Book Antiqua" w:cs="Arial"/>
                <w:lang w:val="en-GB"/>
              </w:rPr>
            </w:pPr>
          </w:p>
        </w:tc>
        <w:tc>
          <w:tcPr>
            <w:tcW w:w="1134" w:type="dxa"/>
            <w:tcBorders>
              <w:top w:val="nil"/>
              <w:bottom w:val="nil"/>
            </w:tcBorders>
          </w:tcPr>
          <w:p w14:paraId="379065CD" w14:textId="7A52CA0B" w:rsidR="00FB486B" w:rsidRPr="005F0812" w:rsidRDefault="00FB486B" w:rsidP="00DA0B01">
            <w:pPr>
              <w:spacing w:line="360" w:lineRule="auto"/>
              <w:jc w:val="both"/>
              <w:rPr>
                <w:rFonts w:ascii="Book Antiqua" w:eastAsia="Calibri" w:hAnsi="Book Antiqua" w:cs="Arial"/>
                <w:lang w:val="en-GB"/>
              </w:rPr>
            </w:pPr>
          </w:p>
        </w:tc>
      </w:tr>
      <w:tr w:rsidR="00FB486B" w:rsidRPr="005F0812" w14:paraId="35FCE5B0" w14:textId="77777777" w:rsidTr="008E407C">
        <w:trPr>
          <w:trHeight w:val="520"/>
        </w:trPr>
        <w:tc>
          <w:tcPr>
            <w:tcW w:w="6663" w:type="dxa"/>
            <w:gridSpan w:val="6"/>
            <w:vMerge/>
            <w:vAlign w:val="center"/>
          </w:tcPr>
          <w:p w14:paraId="5C4D423E"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tcPr>
          <w:p w14:paraId="1AF32003" w14:textId="77777777" w:rsidR="00FB486B" w:rsidRPr="005F0812" w:rsidRDefault="00FB486B" w:rsidP="00FD5201">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40-60</w:t>
            </w:r>
          </w:p>
        </w:tc>
        <w:tc>
          <w:tcPr>
            <w:tcW w:w="709" w:type="dxa"/>
            <w:tcBorders>
              <w:top w:val="nil"/>
              <w:bottom w:val="nil"/>
            </w:tcBorders>
          </w:tcPr>
          <w:p w14:paraId="7C1FE49C" w14:textId="77777777" w:rsidR="00FB486B" w:rsidRPr="005F0812" w:rsidRDefault="00FB486B" w:rsidP="00FD5201">
            <w:pPr>
              <w:spacing w:line="360" w:lineRule="auto"/>
              <w:jc w:val="both"/>
              <w:rPr>
                <w:rFonts w:ascii="Book Antiqua" w:eastAsia="Calibri" w:hAnsi="Book Antiqua"/>
                <w:lang w:val="en-GB"/>
              </w:rPr>
            </w:pPr>
            <w:r w:rsidRPr="005F0812">
              <w:rPr>
                <w:rFonts w:ascii="Book Antiqua" w:eastAsia="Calibri" w:hAnsi="Book Antiqua"/>
                <w:lang w:val="en-GB"/>
              </w:rPr>
              <w:t>1.</w:t>
            </w:r>
            <w:r>
              <w:rPr>
                <w:rFonts w:ascii="Book Antiqua" w:eastAsia="Calibri" w:hAnsi="Book Antiqua"/>
                <w:lang w:val="en-GB"/>
              </w:rPr>
              <w:t>1</w:t>
            </w:r>
          </w:p>
        </w:tc>
        <w:tc>
          <w:tcPr>
            <w:tcW w:w="1530" w:type="dxa"/>
            <w:gridSpan w:val="2"/>
            <w:tcBorders>
              <w:top w:val="nil"/>
              <w:bottom w:val="nil"/>
            </w:tcBorders>
          </w:tcPr>
          <w:p w14:paraId="6E92267C" w14:textId="77777777" w:rsidR="00FB486B" w:rsidRPr="005F0812" w:rsidRDefault="00FB486B" w:rsidP="00FD5201">
            <w:pPr>
              <w:spacing w:line="360" w:lineRule="auto"/>
              <w:jc w:val="both"/>
              <w:rPr>
                <w:rFonts w:ascii="Book Antiqua" w:eastAsia="Calibri" w:hAnsi="Book Antiqua"/>
                <w:lang w:val="en-GB"/>
              </w:rPr>
            </w:pPr>
            <w:r w:rsidRPr="005F0812">
              <w:rPr>
                <w:rFonts w:ascii="Book Antiqua" w:eastAsia="Calibri" w:hAnsi="Book Antiqua"/>
                <w:lang w:val="en-GB"/>
              </w:rPr>
              <w:t>0.2-6.2</w:t>
            </w:r>
          </w:p>
        </w:tc>
        <w:tc>
          <w:tcPr>
            <w:tcW w:w="1134" w:type="dxa"/>
            <w:tcBorders>
              <w:top w:val="nil"/>
              <w:bottom w:val="nil"/>
            </w:tcBorders>
          </w:tcPr>
          <w:p w14:paraId="77DB5FF3" w14:textId="77777777" w:rsidR="00FB486B" w:rsidRPr="005F0812" w:rsidRDefault="00FB486B" w:rsidP="00FD5201">
            <w:pPr>
              <w:spacing w:line="360" w:lineRule="auto"/>
              <w:jc w:val="both"/>
              <w:rPr>
                <w:rFonts w:ascii="Book Antiqua" w:eastAsia="Calibri" w:hAnsi="Book Antiqua"/>
                <w:lang w:val="en-GB"/>
              </w:rPr>
            </w:pPr>
            <w:r w:rsidRPr="005F0812">
              <w:rPr>
                <w:rFonts w:ascii="Book Antiqua" w:eastAsia="Calibri" w:hAnsi="Book Antiqua"/>
                <w:lang w:val="en-GB"/>
              </w:rPr>
              <w:t>0.9</w:t>
            </w:r>
          </w:p>
        </w:tc>
      </w:tr>
      <w:tr w:rsidR="00FB486B" w:rsidRPr="005F0812" w14:paraId="5AE8FF68" w14:textId="77777777" w:rsidTr="008E407C">
        <w:trPr>
          <w:trHeight w:val="960"/>
        </w:trPr>
        <w:tc>
          <w:tcPr>
            <w:tcW w:w="6663" w:type="dxa"/>
            <w:gridSpan w:val="6"/>
            <w:vMerge/>
            <w:vAlign w:val="center"/>
          </w:tcPr>
          <w:p w14:paraId="423BBC50"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tcPr>
          <w:p w14:paraId="08B41664" w14:textId="77777777" w:rsidR="00FB486B" w:rsidRPr="005F0812" w:rsidRDefault="00FB486B" w:rsidP="00DA0B01">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&gt;</w:t>
            </w:r>
            <w:r w:rsidRPr="005F0812">
              <w:rPr>
                <w:rFonts w:ascii="Book Antiqua" w:eastAsiaTheme="minorEastAsia" w:hAnsi="Book Antiqua"/>
                <w:lang w:val="en-GB"/>
              </w:rPr>
              <w:t xml:space="preserve"> </w:t>
            </w:r>
            <w:r w:rsidRPr="005F0812">
              <w:rPr>
                <w:rFonts w:ascii="Book Antiqua" w:eastAsia="Calibri" w:hAnsi="Book Antiqua"/>
                <w:lang w:val="en-GB"/>
              </w:rPr>
              <w:t>60</w:t>
            </w:r>
          </w:p>
        </w:tc>
        <w:tc>
          <w:tcPr>
            <w:tcW w:w="709" w:type="dxa"/>
            <w:tcBorders>
              <w:top w:val="nil"/>
              <w:bottom w:val="nil"/>
            </w:tcBorders>
          </w:tcPr>
          <w:p w14:paraId="7FCBBF2F" w14:textId="77777777" w:rsidR="00FB486B" w:rsidRPr="005F0812" w:rsidRDefault="00FB486B" w:rsidP="00DA0B01">
            <w:pPr>
              <w:spacing w:line="360" w:lineRule="auto"/>
              <w:jc w:val="both"/>
              <w:rPr>
                <w:rFonts w:ascii="Book Antiqua" w:eastAsia="Calibri" w:hAnsi="Book Antiqua"/>
                <w:lang w:val="en-GB"/>
              </w:rPr>
            </w:pPr>
            <w:r w:rsidRPr="005F0812">
              <w:rPr>
                <w:rFonts w:ascii="Book Antiqua" w:eastAsia="Calibri" w:hAnsi="Book Antiqua"/>
                <w:lang w:val="en-GB"/>
              </w:rPr>
              <w:t>6.3</w:t>
            </w:r>
          </w:p>
        </w:tc>
        <w:tc>
          <w:tcPr>
            <w:tcW w:w="1530" w:type="dxa"/>
            <w:gridSpan w:val="2"/>
            <w:tcBorders>
              <w:top w:val="nil"/>
              <w:bottom w:val="nil"/>
            </w:tcBorders>
          </w:tcPr>
          <w:p w14:paraId="46726B81" w14:textId="77777777" w:rsidR="00FB486B" w:rsidRPr="005F0812" w:rsidRDefault="00FB486B" w:rsidP="00DA0B01">
            <w:pPr>
              <w:spacing w:line="360" w:lineRule="auto"/>
              <w:jc w:val="both"/>
              <w:rPr>
                <w:rFonts w:ascii="Book Antiqua" w:eastAsia="Calibri" w:hAnsi="Book Antiqua"/>
                <w:lang w:val="en-GB"/>
              </w:rPr>
            </w:pPr>
            <w:r w:rsidRPr="005F0812">
              <w:rPr>
                <w:rFonts w:ascii="Book Antiqua" w:eastAsia="Calibri" w:hAnsi="Book Antiqua"/>
                <w:lang w:val="en-GB"/>
              </w:rPr>
              <w:t>1.2-33.1</w:t>
            </w:r>
          </w:p>
        </w:tc>
        <w:tc>
          <w:tcPr>
            <w:tcW w:w="1134" w:type="dxa"/>
            <w:tcBorders>
              <w:top w:val="nil"/>
              <w:bottom w:val="nil"/>
            </w:tcBorders>
          </w:tcPr>
          <w:p w14:paraId="2E931067" w14:textId="77777777" w:rsidR="00FB486B" w:rsidRPr="005F0812" w:rsidRDefault="00FB486B" w:rsidP="00DA0B01">
            <w:pPr>
              <w:spacing w:line="360" w:lineRule="auto"/>
              <w:jc w:val="both"/>
              <w:rPr>
                <w:rFonts w:ascii="Book Antiqua" w:eastAsia="Calibri" w:hAnsi="Book Antiqua"/>
                <w:lang w:val="en-GB"/>
              </w:rPr>
            </w:pPr>
            <w:r w:rsidRPr="005F0812">
              <w:rPr>
                <w:rFonts w:ascii="Book Antiqua" w:eastAsia="Calibri" w:hAnsi="Book Antiqua"/>
                <w:lang w:val="en-GB"/>
              </w:rPr>
              <w:t>0.03</w:t>
            </w:r>
          </w:p>
        </w:tc>
      </w:tr>
      <w:tr w:rsidR="00FB486B" w:rsidRPr="005F0812" w14:paraId="74409750" w14:textId="77777777" w:rsidTr="008E407C">
        <w:trPr>
          <w:trHeight w:val="150"/>
        </w:trPr>
        <w:tc>
          <w:tcPr>
            <w:tcW w:w="6663" w:type="dxa"/>
            <w:gridSpan w:val="6"/>
            <w:vMerge/>
            <w:vAlign w:val="center"/>
            <w:hideMark/>
          </w:tcPr>
          <w:p w14:paraId="5576B20E"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hideMark/>
          </w:tcPr>
          <w:p w14:paraId="4599AE02"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Sex</w:t>
            </w:r>
          </w:p>
        </w:tc>
        <w:tc>
          <w:tcPr>
            <w:tcW w:w="709" w:type="dxa"/>
            <w:tcBorders>
              <w:top w:val="nil"/>
              <w:bottom w:val="nil"/>
            </w:tcBorders>
            <w:hideMark/>
          </w:tcPr>
          <w:p w14:paraId="33B56449"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1.1</w:t>
            </w:r>
          </w:p>
        </w:tc>
        <w:tc>
          <w:tcPr>
            <w:tcW w:w="1530" w:type="dxa"/>
            <w:gridSpan w:val="2"/>
            <w:tcBorders>
              <w:top w:val="nil"/>
              <w:bottom w:val="nil"/>
            </w:tcBorders>
            <w:hideMark/>
          </w:tcPr>
          <w:p w14:paraId="50D50B07" w14:textId="777B3F6F"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w:t>
            </w:r>
            <w:r>
              <w:rPr>
                <w:rFonts w:ascii="Book Antiqua" w:eastAsia="Calibri" w:hAnsi="Book Antiqua"/>
                <w:lang w:val="en-GB"/>
              </w:rPr>
              <w:t>4</w:t>
            </w:r>
            <w:r w:rsidRPr="005F0812">
              <w:rPr>
                <w:rFonts w:ascii="Book Antiqua" w:eastAsia="Calibri" w:hAnsi="Book Antiqua"/>
                <w:lang w:val="en-GB"/>
              </w:rPr>
              <w:t>-3.7</w:t>
            </w:r>
          </w:p>
        </w:tc>
        <w:tc>
          <w:tcPr>
            <w:tcW w:w="1134" w:type="dxa"/>
            <w:tcBorders>
              <w:top w:val="nil"/>
              <w:bottom w:val="nil"/>
            </w:tcBorders>
            <w:hideMark/>
          </w:tcPr>
          <w:p w14:paraId="1814E276"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0.7</w:t>
            </w:r>
          </w:p>
        </w:tc>
      </w:tr>
      <w:tr w:rsidR="00FB486B" w:rsidRPr="005F0812" w14:paraId="4A9AE362" w14:textId="77777777" w:rsidTr="008E407C">
        <w:trPr>
          <w:trHeight w:val="150"/>
        </w:trPr>
        <w:tc>
          <w:tcPr>
            <w:tcW w:w="6663" w:type="dxa"/>
            <w:gridSpan w:val="6"/>
            <w:vMerge/>
            <w:vAlign w:val="center"/>
            <w:hideMark/>
          </w:tcPr>
          <w:p w14:paraId="6CF9DF15"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hideMark/>
          </w:tcPr>
          <w:p w14:paraId="48F00EC2"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DM</w:t>
            </w:r>
          </w:p>
        </w:tc>
        <w:tc>
          <w:tcPr>
            <w:tcW w:w="709" w:type="dxa"/>
            <w:tcBorders>
              <w:top w:val="nil"/>
              <w:bottom w:val="nil"/>
            </w:tcBorders>
            <w:hideMark/>
          </w:tcPr>
          <w:p w14:paraId="3C72F222"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5.7</w:t>
            </w:r>
          </w:p>
        </w:tc>
        <w:tc>
          <w:tcPr>
            <w:tcW w:w="1530" w:type="dxa"/>
            <w:gridSpan w:val="2"/>
            <w:tcBorders>
              <w:top w:val="nil"/>
              <w:bottom w:val="nil"/>
            </w:tcBorders>
            <w:hideMark/>
          </w:tcPr>
          <w:p w14:paraId="20BFCB09" w14:textId="4E3D6B73"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1.0-31.7</w:t>
            </w:r>
          </w:p>
        </w:tc>
        <w:tc>
          <w:tcPr>
            <w:tcW w:w="1134" w:type="dxa"/>
            <w:tcBorders>
              <w:top w:val="nil"/>
              <w:bottom w:val="nil"/>
            </w:tcBorders>
            <w:hideMark/>
          </w:tcPr>
          <w:p w14:paraId="78DCD316"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0.04</w:t>
            </w:r>
          </w:p>
        </w:tc>
      </w:tr>
      <w:tr w:rsidR="00FB486B" w:rsidRPr="005F0812" w14:paraId="196D078A" w14:textId="77777777" w:rsidTr="008E407C">
        <w:trPr>
          <w:trHeight w:val="150"/>
        </w:trPr>
        <w:tc>
          <w:tcPr>
            <w:tcW w:w="6663" w:type="dxa"/>
            <w:gridSpan w:val="6"/>
            <w:vMerge/>
            <w:vAlign w:val="center"/>
            <w:hideMark/>
          </w:tcPr>
          <w:p w14:paraId="33121220"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hideMark/>
          </w:tcPr>
          <w:p w14:paraId="574E2233"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HTN</w:t>
            </w:r>
          </w:p>
        </w:tc>
        <w:tc>
          <w:tcPr>
            <w:tcW w:w="709" w:type="dxa"/>
            <w:tcBorders>
              <w:top w:val="nil"/>
              <w:bottom w:val="nil"/>
            </w:tcBorders>
            <w:hideMark/>
          </w:tcPr>
          <w:p w14:paraId="6B82F0CA"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0.3</w:t>
            </w:r>
          </w:p>
        </w:tc>
        <w:tc>
          <w:tcPr>
            <w:tcW w:w="1530" w:type="dxa"/>
            <w:gridSpan w:val="2"/>
            <w:tcBorders>
              <w:top w:val="nil"/>
              <w:bottom w:val="nil"/>
            </w:tcBorders>
            <w:hideMark/>
          </w:tcPr>
          <w:p w14:paraId="195C75AA" w14:textId="25500ACC"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w:t>
            </w:r>
            <w:r>
              <w:rPr>
                <w:rFonts w:ascii="Book Antiqua" w:eastAsia="Calibri" w:hAnsi="Book Antiqua"/>
                <w:lang w:val="en-GB"/>
              </w:rPr>
              <w:t>1</w:t>
            </w:r>
            <w:r w:rsidRPr="005F0812">
              <w:rPr>
                <w:rFonts w:ascii="Book Antiqua" w:eastAsia="Calibri" w:hAnsi="Book Antiqua"/>
                <w:lang w:val="en-GB"/>
              </w:rPr>
              <w:t>-2</w:t>
            </w:r>
            <w:r>
              <w:rPr>
                <w:rFonts w:ascii="Book Antiqua" w:eastAsia="Calibri" w:hAnsi="Book Antiqua"/>
                <w:lang w:val="en-GB"/>
              </w:rPr>
              <w:t>.0</w:t>
            </w:r>
          </w:p>
        </w:tc>
        <w:tc>
          <w:tcPr>
            <w:tcW w:w="1134" w:type="dxa"/>
            <w:tcBorders>
              <w:top w:val="nil"/>
              <w:bottom w:val="nil"/>
            </w:tcBorders>
            <w:hideMark/>
          </w:tcPr>
          <w:p w14:paraId="0B1AAD0A"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0.2</w:t>
            </w:r>
          </w:p>
        </w:tc>
      </w:tr>
      <w:tr w:rsidR="00FB486B" w:rsidRPr="005F0812" w14:paraId="07EA2D90" w14:textId="77777777" w:rsidTr="008E407C">
        <w:trPr>
          <w:trHeight w:val="150"/>
        </w:trPr>
        <w:tc>
          <w:tcPr>
            <w:tcW w:w="6663" w:type="dxa"/>
            <w:gridSpan w:val="6"/>
            <w:vMerge/>
            <w:vAlign w:val="center"/>
            <w:hideMark/>
          </w:tcPr>
          <w:p w14:paraId="06C707BD"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hideMark/>
          </w:tcPr>
          <w:p w14:paraId="1C807F88"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IHD</w:t>
            </w:r>
          </w:p>
        </w:tc>
        <w:tc>
          <w:tcPr>
            <w:tcW w:w="709" w:type="dxa"/>
            <w:tcBorders>
              <w:top w:val="nil"/>
              <w:bottom w:val="nil"/>
            </w:tcBorders>
            <w:hideMark/>
          </w:tcPr>
          <w:p w14:paraId="08A93BC8" w14:textId="7B382250"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5</w:t>
            </w:r>
            <w:r>
              <w:rPr>
                <w:rFonts w:ascii="Book Antiqua" w:eastAsia="Calibri" w:hAnsi="Book Antiqua"/>
                <w:lang w:val="en-GB"/>
              </w:rPr>
              <w:t>.0</w:t>
            </w:r>
          </w:p>
        </w:tc>
        <w:tc>
          <w:tcPr>
            <w:tcW w:w="1530" w:type="dxa"/>
            <w:gridSpan w:val="2"/>
            <w:tcBorders>
              <w:top w:val="nil"/>
              <w:bottom w:val="nil"/>
            </w:tcBorders>
            <w:hideMark/>
          </w:tcPr>
          <w:p w14:paraId="5F67240C"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0.7-37.3</w:t>
            </w:r>
          </w:p>
        </w:tc>
        <w:tc>
          <w:tcPr>
            <w:tcW w:w="1134" w:type="dxa"/>
            <w:tcBorders>
              <w:top w:val="nil"/>
              <w:bottom w:val="nil"/>
            </w:tcBorders>
            <w:hideMark/>
          </w:tcPr>
          <w:p w14:paraId="12DEC9A3"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0.1</w:t>
            </w:r>
          </w:p>
        </w:tc>
      </w:tr>
      <w:tr w:rsidR="00FB486B" w:rsidRPr="005F0812" w14:paraId="4CC856C0" w14:textId="77777777" w:rsidTr="008E407C">
        <w:trPr>
          <w:trHeight w:val="150"/>
        </w:trPr>
        <w:tc>
          <w:tcPr>
            <w:tcW w:w="6663" w:type="dxa"/>
            <w:gridSpan w:val="6"/>
            <w:vMerge/>
            <w:vAlign w:val="center"/>
            <w:hideMark/>
          </w:tcPr>
          <w:p w14:paraId="3DE29B65"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hideMark/>
          </w:tcPr>
          <w:p w14:paraId="3970405E"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COPD</w:t>
            </w:r>
          </w:p>
        </w:tc>
        <w:tc>
          <w:tcPr>
            <w:tcW w:w="709" w:type="dxa"/>
            <w:tcBorders>
              <w:top w:val="nil"/>
              <w:bottom w:val="nil"/>
            </w:tcBorders>
            <w:hideMark/>
          </w:tcPr>
          <w:p w14:paraId="2262255A"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0.7</w:t>
            </w:r>
          </w:p>
        </w:tc>
        <w:tc>
          <w:tcPr>
            <w:tcW w:w="1530" w:type="dxa"/>
            <w:gridSpan w:val="2"/>
            <w:tcBorders>
              <w:top w:val="nil"/>
              <w:bottom w:val="nil"/>
            </w:tcBorders>
            <w:hideMark/>
          </w:tcPr>
          <w:p w14:paraId="2A3FA0F3"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0.1-3.6</w:t>
            </w:r>
          </w:p>
        </w:tc>
        <w:tc>
          <w:tcPr>
            <w:tcW w:w="1134" w:type="dxa"/>
            <w:tcBorders>
              <w:top w:val="nil"/>
              <w:bottom w:val="nil"/>
            </w:tcBorders>
            <w:hideMark/>
          </w:tcPr>
          <w:p w14:paraId="660E470B"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0.6</w:t>
            </w:r>
          </w:p>
        </w:tc>
      </w:tr>
      <w:tr w:rsidR="00FB486B" w:rsidRPr="005F0812" w14:paraId="573B53C6" w14:textId="77777777" w:rsidTr="008E407C">
        <w:trPr>
          <w:trHeight w:val="384"/>
        </w:trPr>
        <w:tc>
          <w:tcPr>
            <w:tcW w:w="6663" w:type="dxa"/>
            <w:gridSpan w:val="6"/>
            <w:vMerge/>
            <w:vAlign w:val="center"/>
            <w:hideMark/>
          </w:tcPr>
          <w:p w14:paraId="3CB4D0DA"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hideMark/>
          </w:tcPr>
          <w:p w14:paraId="34B8D31E" w14:textId="49B5B1B9"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DCI</w:t>
            </w:r>
          </w:p>
        </w:tc>
        <w:tc>
          <w:tcPr>
            <w:tcW w:w="709" w:type="dxa"/>
            <w:tcBorders>
              <w:top w:val="nil"/>
              <w:bottom w:val="nil"/>
            </w:tcBorders>
          </w:tcPr>
          <w:p w14:paraId="23F631AB" w14:textId="3EF81C23" w:rsidR="00FB486B" w:rsidRPr="005F0812" w:rsidRDefault="00FB486B" w:rsidP="006309ED">
            <w:pPr>
              <w:spacing w:line="360" w:lineRule="auto"/>
              <w:jc w:val="both"/>
              <w:rPr>
                <w:rFonts w:ascii="Book Antiqua" w:eastAsia="Calibri" w:hAnsi="Book Antiqua" w:cs="Arial"/>
                <w:lang w:val="en-GB"/>
              </w:rPr>
            </w:pPr>
          </w:p>
        </w:tc>
        <w:tc>
          <w:tcPr>
            <w:tcW w:w="1530" w:type="dxa"/>
            <w:gridSpan w:val="2"/>
            <w:tcBorders>
              <w:top w:val="nil"/>
              <w:bottom w:val="nil"/>
            </w:tcBorders>
          </w:tcPr>
          <w:p w14:paraId="7A7E1736" w14:textId="43377653" w:rsidR="00FB486B" w:rsidRPr="005F0812" w:rsidRDefault="00FB486B" w:rsidP="0023433C">
            <w:pPr>
              <w:spacing w:line="360" w:lineRule="auto"/>
              <w:jc w:val="center"/>
              <w:rPr>
                <w:rFonts w:ascii="Book Antiqua" w:eastAsia="Calibri" w:hAnsi="Book Antiqua" w:cs="Arial"/>
                <w:lang w:val="en-GB"/>
              </w:rPr>
            </w:pPr>
          </w:p>
        </w:tc>
        <w:tc>
          <w:tcPr>
            <w:tcW w:w="1134" w:type="dxa"/>
            <w:tcBorders>
              <w:top w:val="nil"/>
              <w:bottom w:val="nil"/>
            </w:tcBorders>
          </w:tcPr>
          <w:p w14:paraId="0ED9DE8C" w14:textId="688CD407" w:rsidR="00FB486B" w:rsidRPr="005F0812" w:rsidRDefault="00FB486B" w:rsidP="006309ED">
            <w:pPr>
              <w:spacing w:line="360" w:lineRule="auto"/>
              <w:jc w:val="both"/>
              <w:rPr>
                <w:rFonts w:ascii="Book Antiqua" w:eastAsia="Calibri" w:hAnsi="Book Antiqua" w:cs="Arial"/>
                <w:lang w:val="en-GB"/>
              </w:rPr>
            </w:pPr>
          </w:p>
        </w:tc>
      </w:tr>
      <w:tr w:rsidR="00FB486B" w:rsidRPr="005F0812" w14:paraId="60DD811B" w14:textId="77777777" w:rsidTr="008E407C">
        <w:trPr>
          <w:trHeight w:val="504"/>
        </w:trPr>
        <w:tc>
          <w:tcPr>
            <w:tcW w:w="6663" w:type="dxa"/>
            <w:gridSpan w:val="6"/>
            <w:vMerge/>
            <w:vAlign w:val="center"/>
          </w:tcPr>
          <w:p w14:paraId="18904DB6"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tcPr>
          <w:p w14:paraId="7301EDCB" w14:textId="77777777" w:rsidR="00FB486B" w:rsidRPr="005F0812" w:rsidRDefault="00FB486B" w:rsidP="00DA0B01">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0-1</w:t>
            </w:r>
          </w:p>
        </w:tc>
        <w:tc>
          <w:tcPr>
            <w:tcW w:w="709" w:type="dxa"/>
            <w:tcBorders>
              <w:top w:val="nil"/>
              <w:bottom w:val="nil"/>
            </w:tcBorders>
          </w:tcPr>
          <w:p w14:paraId="2C0C8B2B" w14:textId="77777777" w:rsidR="00FB486B" w:rsidRPr="005F0812" w:rsidRDefault="00FB486B" w:rsidP="006309ED">
            <w:pPr>
              <w:spacing w:line="360" w:lineRule="auto"/>
              <w:jc w:val="both"/>
              <w:rPr>
                <w:rFonts w:ascii="Book Antiqua" w:eastAsia="Calibri" w:hAnsi="Book Antiqua" w:cs="Arial"/>
                <w:lang w:val="en-GB"/>
              </w:rPr>
            </w:pPr>
          </w:p>
        </w:tc>
        <w:tc>
          <w:tcPr>
            <w:tcW w:w="1530" w:type="dxa"/>
            <w:gridSpan w:val="2"/>
            <w:tcBorders>
              <w:top w:val="nil"/>
              <w:bottom w:val="nil"/>
            </w:tcBorders>
          </w:tcPr>
          <w:p w14:paraId="7843C55D"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tcPr>
          <w:p w14:paraId="5AF76B55" w14:textId="77777777" w:rsidR="00FB486B" w:rsidRPr="005F0812" w:rsidRDefault="00FB486B" w:rsidP="006309ED">
            <w:pPr>
              <w:spacing w:line="360" w:lineRule="auto"/>
              <w:jc w:val="both"/>
              <w:rPr>
                <w:rFonts w:ascii="Book Antiqua" w:eastAsia="Calibri" w:hAnsi="Book Antiqua" w:cs="Arial"/>
                <w:lang w:val="en-GB"/>
              </w:rPr>
            </w:pPr>
          </w:p>
        </w:tc>
      </w:tr>
      <w:tr w:rsidR="00FB486B" w:rsidRPr="005F0812" w14:paraId="19FEDC74" w14:textId="77777777" w:rsidTr="008E407C">
        <w:trPr>
          <w:trHeight w:val="564"/>
        </w:trPr>
        <w:tc>
          <w:tcPr>
            <w:tcW w:w="6663" w:type="dxa"/>
            <w:gridSpan w:val="6"/>
            <w:vMerge/>
            <w:vAlign w:val="center"/>
          </w:tcPr>
          <w:p w14:paraId="5DA8B5C7"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tcPr>
          <w:p w14:paraId="2C526976" w14:textId="77777777" w:rsidR="00FB486B" w:rsidRPr="005F0812" w:rsidRDefault="00FB486B" w:rsidP="00DA0B01">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2</w:t>
            </w:r>
            <w:r w:rsidRPr="005F0812">
              <w:rPr>
                <w:rFonts w:ascii="Book Antiqua" w:eastAsiaTheme="minorEastAsia" w:hAnsi="Book Antiqua"/>
                <w:lang w:val="en-GB"/>
              </w:rPr>
              <w:t>-</w:t>
            </w:r>
            <w:r w:rsidRPr="005F0812">
              <w:rPr>
                <w:rFonts w:ascii="Book Antiqua" w:eastAsia="Calibri" w:hAnsi="Book Antiqua"/>
                <w:lang w:val="en-GB"/>
              </w:rPr>
              <w:t>3</w:t>
            </w:r>
          </w:p>
        </w:tc>
        <w:tc>
          <w:tcPr>
            <w:tcW w:w="709" w:type="dxa"/>
            <w:tcBorders>
              <w:top w:val="nil"/>
              <w:bottom w:val="nil"/>
            </w:tcBorders>
          </w:tcPr>
          <w:p w14:paraId="70A4A95C" w14:textId="77777777" w:rsidR="00FB486B" w:rsidRPr="005F0812" w:rsidRDefault="00FB486B" w:rsidP="00DA0B01">
            <w:pPr>
              <w:spacing w:line="360" w:lineRule="auto"/>
              <w:jc w:val="both"/>
              <w:rPr>
                <w:rFonts w:ascii="Book Antiqua" w:eastAsia="Calibri" w:hAnsi="Book Antiqua" w:cs="Arial"/>
                <w:lang w:val="en-GB"/>
              </w:rPr>
            </w:pPr>
            <w:r w:rsidRPr="005F0812">
              <w:rPr>
                <w:rFonts w:ascii="Book Antiqua" w:eastAsia="Calibri" w:hAnsi="Book Antiqua"/>
                <w:lang w:val="en-GB"/>
              </w:rPr>
              <w:t>0.9</w:t>
            </w:r>
            <w:r>
              <w:rPr>
                <w:rFonts w:ascii="Book Antiqua" w:eastAsia="Calibri" w:hAnsi="Book Antiqua"/>
                <w:lang w:val="en-GB"/>
              </w:rPr>
              <w:t>0</w:t>
            </w:r>
          </w:p>
        </w:tc>
        <w:tc>
          <w:tcPr>
            <w:tcW w:w="1530" w:type="dxa"/>
            <w:gridSpan w:val="2"/>
            <w:tcBorders>
              <w:top w:val="nil"/>
              <w:bottom w:val="nil"/>
            </w:tcBorders>
          </w:tcPr>
          <w:p w14:paraId="780211EC" w14:textId="77777777" w:rsidR="00FB486B" w:rsidRPr="005F0812" w:rsidRDefault="00FB486B" w:rsidP="00DA0B01">
            <w:pPr>
              <w:spacing w:line="360" w:lineRule="auto"/>
              <w:jc w:val="both"/>
              <w:rPr>
                <w:rFonts w:ascii="Book Antiqua" w:eastAsia="Calibri" w:hAnsi="Book Antiqua" w:cs="Arial"/>
                <w:lang w:val="en-GB"/>
              </w:rPr>
            </w:pPr>
            <w:r w:rsidRPr="005F0812">
              <w:rPr>
                <w:rFonts w:ascii="Book Antiqua" w:eastAsia="Calibri" w:hAnsi="Book Antiqua"/>
                <w:lang w:val="en-GB"/>
              </w:rPr>
              <w:t>0.09</w:t>
            </w:r>
            <w:r>
              <w:rPr>
                <w:rFonts w:ascii="Book Antiqua" w:eastAsia="Calibri" w:hAnsi="Book Antiqua"/>
                <w:lang w:val="en-GB"/>
              </w:rPr>
              <w:t>0</w:t>
            </w:r>
            <w:r w:rsidRPr="005F0812">
              <w:rPr>
                <w:rFonts w:ascii="Book Antiqua" w:eastAsia="Calibri" w:hAnsi="Book Antiqua"/>
                <w:lang w:val="en-GB"/>
              </w:rPr>
              <w:t>-9.6</w:t>
            </w:r>
            <w:r>
              <w:rPr>
                <w:rFonts w:ascii="Book Antiqua" w:eastAsia="Calibri" w:hAnsi="Book Antiqua"/>
                <w:lang w:val="en-GB"/>
              </w:rPr>
              <w:t>00</w:t>
            </w:r>
          </w:p>
        </w:tc>
        <w:tc>
          <w:tcPr>
            <w:tcW w:w="1134" w:type="dxa"/>
            <w:tcBorders>
              <w:top w:val="nil"/>
              <w:bottom w:val="nil"/>
            </w:tcBorders>
          </w:tcPr>
          <w:p w14:paraId="02769355" w14:textId="77777777" w:rsidR="00FB486B" w:rsidRPr="005F0812" w:rsidRDefault="00FB486B" w:rsidP="00DA0B01">
            <w:pPr>
              <w:spacing w:line="360" w:lineRule="auto"/>
              <w:jc w:val="both"/>
              <w:rPr>
                <w:rFonts w:ascii="Book Antiqua" w:eastAsia="Calibri" w:hAnsi="Book Antiqua" w:cs="Arial"/>
                <w:lang w:val="en-GB"/>
              </w:rPr>
            </w:pPr>
            <w:r w:rsidRPr="005F0812">
              <w:rPr>
                <w:rFonts w:ascii="Book Antiqua" w:eastAsia="Calibri" w:hAnsi="Book Antiqua"/>
                <w:lang w:val="en-GB"/>
              </w:rPr>
              <w:t>0.07</w:t>
            </w:r>
          </w:p>
        </w:tc>
      </w:tr>
      <w:tr w:rsidR="00FB486B" w:rsidRPr="005F0812" w14:paraId="1F6122A2" w14:textId="77777777" w:rsidTr="008E407C">
        <w:trPr>
          <w:trHeight w:val="565"/>
        </w:trPr>
        <w:tc>
          <w:tcPr>
            <w:tcW w:w="6663" w:type="dxa"/>
            <w:gridSpan w:val="6"/>
            <w:vMerge/>
            <w:vAlign w:val="center"/>
          </w:tcPr>
          <w:p w14:paraId="21AEDBF4"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tcPr>
          <w:p w14:paraId="4C38E373" w14:textId="77777777" w:rsidR="00FB486B" w:rsidRPr="005F0812" w:rsidRDefault="00FB486B" w:rsidP="00DA0B01">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&gt;</w:t>
            </w:r>
            <w:r w:rsidRPr="005F0812">
              <w:rPr>
                <w:rFonts w:ascii="Book Antiqua" w:eastAsiaTheme="minorEastAsia" w:hAnsi="Book Antiqua"/>
                <w:lang w:val="en-GB"/>
              </w:rPr>
              <w:t xml:space="preserve"> </w:t>
            </w:r>
            <w:r w:rsidRPr="005F0812">
              <w:rPr>
                <w:rFonts w:ascii="Book Antiqua" w:eastAsia="Calibri" w:hAnsi="Book Antiqua"/>
                <w:lang w:val="en-GB"/>
              </w:rPr>
              <w:t>3</w:t>
            </w:r>
          </w:p>
        </w:tc>
        <w:tc>
          <w:tcPr>
            <w:tcW w:w="709" w:type="dxa"/>
            <w:tcBorders>
              <w:top w:val="nil"/>
              <w:bottom w:val="nil"/>
            </w:tcBorders>
          </w:tcPr>
          <w:p w14:paraId="3D7A9B61" w14:textId="7440B78B"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0.2</w:t>
            </w:r>
            <w:r>
              <w:rPr>
                <w:rFonts w:ascii="Book Antiqua" w:eastAsia="Calibri" w:hAnsi="Book Antiqua"/>
                <w:lang w:val="en-GB"/>
              </w:rPr>
              <w:t>00</w:t>
            </w:r>
          </w:p>
        </w:tc>
        <w:tc>
          <w:tcPr>
            <w:tcW w:w="1530" w:type="dxa"/>
            <w:gridSpan w:val="2"/>
            <w:tcBorders>
              <w:top w:val="nil"/>
              <w:bottom w:val="nil"/>
            </w:tcBorders>
          </w:tcPr>
          <w:p w14:paraId="23A7A198" w14:textId="77777777" w:rsidR="00FB486B" w:rsidRPr="005F0812" w:rsidRDefault="00FB486B" w:rsidP="00DA0B01">
            <w:pPr>
              <w:spacing w:line="360" w:lineRule="auto"/>
              <w:jc w:val="both"/>
              <w:rPr>
                <w:rFonts w:ascii="Book Antiqua" w:eastAsia="Calibri" w:hAnsi="Book Antiqua" w:cs="Arial"/>
                <w:lang w:val="en-GB"/>
              </w:rPr>
            </w:pPr>
            <w:r w:rsidRPr="005F0812">
              <w:rPr>
                <w:rFonts w:ascii="Book Antiqua" w:eastAsia="Calibri" w:hAnsi="Book Antiqua"/>
                <w:lang w:val="en-GB"/>
              </w:rPr>
              <w:t>0.001-25.6</w:t>
            </w:r>
            <w:r>
              <w:rPr>
                <w:rFonts w:ascii="Book Antiqua" w:eastAsia="Calibri" w:hAnsi="Book Antiqua"/>
                <w:lang w:val="en-GB"/>
              </w:rPr>
              <w:t>00</w:t>
            </w:r>
          </w:p>
        </w:tc>
        <w:tc>
          <w:tcPr>
            <w:tcW w:w="1134" w:type="dxa"/>
            <w:tcBorders>
              <w:top w:val="nil"/>
              <w:bottom w:val="nil"/>
            </w:tcBorders>
          </w:tcPr>
          <w:p w14:paraId="70EF1763" w14:textId="77777777" w:rsidR="00FB486B" w:rsidRPr="005F0812" w:rsidRDefault="00FB486B" w:rsidP="00DA0B01">
            <w:pPr>
              <w:spacing w:line="360" w:lineRule="auto"/>
              <w:jc w:val="both"/>
              <w:rPr>
                <w:rFonts w:ascii="Book Antiqua" w:eastAsia="Calibri" w:hAnsi="Book Antiqua" w:cs="Arial"/>
                <w:lang w:val="en-GB"/>
              </w:rPr>
            </w:pPr>
            <w:r w:rsidRPr="005F0812">
              <w:rPr>
                <w:rFonts w:ascii="Book Antiqua" w:eastAsia="Calibri" w:hAnsi="Book Antiqua"/>
                <w:lang w:val="en-GB"/>
              </w:rPr>
              <w:t>0.5</w:t>
            </w:r>
          </w:p>
        </w:tc>
      </w:tr>
      <w:tr w:rsidR="00FB486B" w:rsidRPr="005F0812" w14:paraId="7BA6E65E" w14:textId="77777777" w:rsidTr="008E407C">
        <w:trPr>
          <w:trHeight w:val="372"/>
        </w:trPr>
        <w:tc>
          <w:tcPr>
            <w:tcW w:w="6663" w:type="dxa"/>
            <w:gridSpan w:val="6"/>
            <w:vMerge/>
            <w:vAlign w:val="center"/>
            <w:hideMark/>
          </w:tcPr>
          <w:p w14:paraId="1A09A9E3"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hideMark/>
          </w:tcPr>
          <w:p w14:paraId="7C5642CB" w14:textId="7A5EEE31"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ALT</w:t>
            </w:r>
          </w:p>
        </w:tc>
        <w:tc>
          <w:tcPr>
            <w:tcW w:w="709" w:type="dxa"/>
            <w:tcBorders>
              <w:top w:val="nil"/>
              <w:bottom w:val="nil"/>
            </w:tcBorders>
          </w:tcPr>
          <w:p w14:paraId="25CA2AE8" w14:textId="5BFE893A" w:rsidR="00FB486B" w:rsidRPr="00DA0B01" w:rsidRDefault="00FB486B" w:rsidP="006309ED">
            <w:pPr>
              <w:spacing w:line="360" w:lineRule="auto"/>
              <w:jc w:val="both"/>
              <w:rPr>
                <w:rFonts w:ascii="Book Antiqua" w:eastAsiaTheme="minorEastAsia" w:hAnsi="Book Antiqua" w:cs="Arial"/>
                <w:lang w:val="en-GB"/>
              </w:rPr>
            </w:pPr>
          </w:p>
        </w:tc>
        <w:tc>
          <w:tcPr>
            <w:tcW w:w="1530" w:type="dxa"/>
            <w:gridSpan w:val="2"/>
            <w:tcBorders>
              <w:top w:val="nil"/>
              <w:bottom w:val="nil"/>
            </w:tcBorders>
          </w:tcPr>
          <w:p w14:paraId="7699C7FB" w14:textId="4801AD20"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tcPr>
          <w:p w14:paraId="06155693" w14:textId="4F578389" w:rsidR="00FB486B" w:rsidRPr="005F0812" w:rsidRDefault="00FB486B" w:rsidP="006309ED">
            <w:pPr>
              <w:spacing w:line="360" w:lineRule="auto"/>
              <w:jc w:val="both"/>
              <w:rPr>
                <w:rFonts w:ascii="Book Antiqua" w:eastAsia="Calibri" w:hAnsi="Book Antiqua" w:cs="Arial"/>
                <w:lang w:val="en-GB"/>
              </w:rPr>
            </w:pPr>
          </w:p>
        </w:tc>
      </w:tr>
      <w:tr w:rsidR="00FB486B" w:rsidRPr="005F0812" w14:paraId="70EF8B2F" w14:textId="77777777" w:rsidTr="008E407C">
        <w:trPr>
          <w:trHeight w:val="396"/>
        </w:trPr>
        <w:tc>
          <w:tcPr>
            <w:tcW w:w="6663" w:type="dxa"/>
            <w:gridSpan w:val="6"/>
            <w:vMerge/>
            <w:vAlign w:val="center"/>
          </w:tcPr>
          <w:p w14:paraId="202322C1"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tcPr>
          <w:p w14:paraId="7EF90054" w14:textId="1031779A" w:rsidR="00FB486B" w:rsidRPr="005F0812" w:rsidRDefault="00FB486B" w:rsidP="00DA0B01">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&lt;</w:t>
            </w:r>
            <w:r w:rsidRPr="005F0812">
              <w:rPr>
                <w:rFonts w:ascii="Book Antiqua" w:eastAsiaTheme="minorEastAsia" w:hAnsi="Book Antiqua"/>
                <w:lang w:val="en-GB"/>
              </w:rPr>
              <w:t xml:space="preserve"> </w:t>
            </w:r>
            <w:r w:rsidRPr="005F0812">
              <w:rPr>
                <w:rFonts w:ascii="Book Antiqua" w:eastAsia="Calibri" w:hAnsi="Book Antiqua"/>
                <w:lang w:val="en-GB"/>
              </w:rPr>
              <w:t>40</w:t>
            </w:r>
          </w:p>
        </w:tc>
        <w:tc>
          <w:tcPr>
            <w:tcW w:w="709" w:type="dxa"/>
            <w:tcBorders>
              <w:top w:val="nil"/>
              <w:bottom w:val="nil"/>
            </w:tcBorders>
          </w:tcPr>
          <w:p w14:paraId="318E9BE4" w14:textId="505136A4" w:rsidR="00FB486B" w:rsidRPr="005F0812" w:rsidRDefault="00FB486B" w:rsidP="00DA0B01">
            <w:pPr>
              <w:spacing w:line="360" w:lineRule="auto"/>
              <w:jc w:val="both"/>
              <w:rPr>
                <w:rFonts w:ascii="Book Antiqua" w:eastAsia="Calibri" w:hAnsi="Book Antiqua" w:cs="Arial"/>
                <w:lang w:val="en-GB"/>
              </w:rPr>
            </w:pPr>
            <w:r w:rsidRPr="005F0812">
              <w:rPr>
                <w:rFonts w:ascii="Book Antiqua" w:eastAsia="Calibri" w:hAnsi="Book Antiqua"/>
                <w:lang w:val="en-GB"/>
              </w:rPr>
              <w:t>Ref</w:t>
            </w:r>
          </w:p>
        </w:tc>
        <w:tc>
          <w:tcPr>
            <w:tcW w:w="1530" w:type="dxa"/>
            <w:gridSpan w:val="2"/>
            <w:tcBorders>
              <w:top w:val="nil"/>
              <w:bottom w:val="nil"/>
            </w:tcBorders>
          </w:tcPr>
          <w:p w14:paraId="46FF3998" w14:textId="563B88AF" w:rsidR="00FB486B" w:rsidRPr="005F0812" w:rsidRDefault="00FB486B" w:rsidP="00DA0B01">
            <w:pPr>
              <w:spacing w:line="360" w:lineRule="auto"/>
              <w:jc w:val="both"/>
              <w:rPr>
                <w:rFonts w:ascii="Book Antiqua" w:eastAsia="Calibri" w:hAnsi="Book Antiqua" w:cs="Arial"/>
                <w:lang w:val="en-GB"/>
              </w:rPr>
            </w:pPr>
          </w:p>
        </w:tc>
        <w:tc>
          <w:tcPr>
            <w:tcW w:w="1134" w:type="dxa"/>
            <w:tcBorders>
              <w:top w:val="nil"/>
              <w:bottom w:val="nil"/>
            </w:tcBorders>
          </w:tcPr>
          <w:p w14:paraId="485145CC" w14:textId="1CDAB50C" w:rsidR="00FB486B" w:rsidRPr="005F0812" w:rsidRDefault="00FB486B" w:rsidP="00DA0B01">
            <w:pPr>
              <w:spacing w:line="360" w:lineRule="auto"/>
              <w:jc w:val="both"/>
              <w:rPr>
                <w:rFonts w:ascii="Book Antiqua" w:eastAsia="Calibri" w:hAnsi="Book Antiqua" w:cs="Arial"/>
                <w:lang w:val="en-GB"/>
              </w:rPr>
            </w:pPr>
          </w:p>
        </w:tc>
      </w:tr>
      <w:tr w:rsidR="00FB486B" w:rsidRPr="005F0812" w14:paraId="0A418F47" w14:textId="77777777" w:rsidTr="008E407C">
        <w:trPr>
          <w:trHeight w:val="492"/>
        </w:trPr>
        <w:tc>
          <w:tcPr>
            <w:tcW w:w="6663" w:type="dxa"/>
            <w:gridSpan w:val="6"/>
            <w:vMerge/>
            <w:vAlign w:val="center"/>
          </w:tcPr>
          <w:p w14:paraId="4825083A"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tcPr>
          <w:p w14:paraId="4FB98771" w14:textId="77777777" w:rsidR="00FB486B" w:rsidRPr="005F0812" w:rsidRDefault="00FB486B" w:rsidP="00DA0B01">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40-80</w:t>
            </w:r>
          </w:p>
        </w:tc>
        <w:tc>
          <w:tcPr>
            <w:tcW w:w="709" w:type="dxa"/>
            <w:tcBorders>
              <w:top w:val="nil"/>
              <w:bottom w:val="nil"/>
            </w:tcBorders>
          </w:tcPr>
          <w:p w14:paraId="1B8DD9E3" w14:textId="77777777" w:rsidR="00FB486B" w:rsidRPr="005F0812" w:rsidRDefault="00FB486B" w:rsidP="00DA0B01">
            <w:pPr>
              <w:spacing w:line="360" w:lineRule="auto"/>
              <w:jc w:val="both"/>
              <w:rPr>
                <w:rFonts w:ascii="Book Antiqua" w:eastAsia="Calibri" w:hAnsi="Book Antiqua"/>
                <w:lang w:val="en-GB"/>
              </w:rPr>
            </w:pPr>
            <w:r w:rsidRPr="005F0812">
              <w:rPr>
                <w:rFonts w:ascii="Book Antiqua" w:eastAsia="Calibri" w:hAnsi="Book Antiqua"/>
                <w:lang w:val="en-GB"/>
              </w:rPr>
              <w:t>0.3</w:t>
            </w:r>
            <w:r>
              <w:rPr>
                <w:rFonts w:ascii="Book Antiqua" w:eastAsia="Calibri" w:hAnsi="Book Antiqua"/>
                <w:lang w:val="en-GB"/>
              </w:rPr>
              <w:t>0</w:t>
            </w:r>
          </w:p>
        </w:tc>
        <w:tc>
          <w:tcPr>
            <w:tcW w:w="1530" w:type="dxa"/>
            <w:gridSpan w:val="2"/>
            <w:tcBorders>
              <w:top w:val="nil"/>
              <w:bottom w:val="nil"/>
            </w:tcBorders>
          </w:tcPr>
          <w:p w14:paraId="2BEC9928" w14:textId="77777777" w:rsidR="00FB486B" w:rsidRPr="005F0812" w:rsidRDefault="00FB486B" w:rsidP="00DA0B01">
            <w:pPr>
              <w:spacing w:line="360" w:lineRule="auto"/>
              <w:jc w:val="both"/>
              <w:rPr>
                <w:rFonts w:ascii="Book Antiqua" w:eastAsia="Calibri" w:hAnsi="Book Antiqua"/>
                <w:lang w:val="en-GB"/>
              </w:rPr>
            </w:pPr>
            <w:r w:rsidRPr="005F0812">
              <w:rPr>
                <w:rFonts w:ascii="Book Antiqua" w:eastAsia="Calibri" w:hAnsi="Book Antiqua"/>
                <w:lang w:val="en-GB"/>
              </w:rPr>
              <w:t>0.09-1.2</w:t>
            </w:r>
            <w:r>
              <w:rPr>
                <w:rFonts w:ascii="Book Antiqua" w:eastAsia="Calibri" w:hAnsi="Book Antiqua"/>
                <w:lang w:val="en-GB"/>
              </w:rPr>
              <w:t>0</w:t>
            </w:r>
          </w:p>
        </w:tc>
        <w:tc>
          <w:tcPr>
            <w:tcW w:w="1134" w:type="dxa"/>
            <w:tcBorders>
              <w:top w:val="nil"/>
              <w:bottom w:val="nil"/>
            </w:tcBorders>
          </w:tcPr>
          <w:p w14:paraId="2EBC5625" w14:textId="77777777" w:rsidR="00FB486B" w:rsidRPr="005F0812" w:rsidRDefault="00FB486B" w:rsidP="00DA0B01">
            <w:pPr>
              <w:spacing w:line="360" w:lineRule="auto"/>
              <w:jc w:val="both"/>
              <w:rPr>
                <w:rFonts w:ascii="Book Antiqua" w:eastAsia="Calibri" w:hAnsi="Book Antiqua"/>
                <w:lang w:val="en-GB"/>
              </w:rPr>
            </w:pPr>
            <w:r w:rsidRPr="005F0812">
              <w:rPr>
                <w:rFonts w:ascii="Book Antiqua" w:eastAsia="Calibri" w:hAnsi="Book Antiqua"/>
                <w:lang w:val="en-GB"/>
              </w:rPr>
              <w:t>0.1</w:t>
            </w:r>
          </w:p>
        </w:tc>
      </w:tr>
      <w:tr w:rsidR="00FB486B" w:rsidRPr="005F0812" w14:paraId="1B71C4A5" w14:textId="77777777" w:rsidTr="008E407C">
        <w:trPr>
          <w:trHeight w:val="553"/>
        </w:trPr>
        <w:tc>
          <w:tcPr>
            <w:tcW w:w="6663" w:type="dxa"/>
            <w:gridSpan w:val="6"/>
            <w:vMerge/>
            <w:vAlign w:val="center"/>
          </w:tcPr>
          <w:p w14:paraId="17646903"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tcPr>
          <w:p w14:paraId="021D6771" w14:textId="77777777" w:rsidR="00FB486B" w:rsidRPr="005F0812" w:rsidRDefault="00FB486B" w:rsidP="00DA0B01">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&gt;</w:t>
            </w:r>
            <w:r w:rsidRPr="005F0812">
              <w:rPr>
                <w:rFonts w:ascii="Book Antiqua" w:eastAsiaTheme="minorEastAsia" w:hAnsi="Book Antiqua"/>
                <w:lang w:val="en-GB"/>
              </w:rPr>
              <w:t xml:space="preserve"> </w:t>
            </w:r>
            <w:r w:rsidRPr="005F0812">
              <w:rPr>
                <w:rFonts w:ascii="Book Antiqua" w:eastAsia="Calibri" w:hAnsi="Book Antiqua"/>
                <w:lang w:val="en-GB"/>
              </w:rPr>
              <w:t>80</w:t>
            </w:r>
          </w:p>
        </w:tc>
        <w:tc>
          <w:tcPr>
            <w:tcW w:w="709" w:type="dxa"/>
            <w:tcBorders>
              <w:top w:val="nil"/>
              <w:bottom w:val="nil"/>
            </w:tcBorders>
          </w:tcPr>
          <w:p w14:paraId="3D161B3D" w14:textId="77777777" w:rsidR="00FB486B" w:rsidRPr="005F0812" w:rsidRDefault="00FB486B" w:rsidP="00DA0B01">
            <w:pPr>
              <w:spacing w:line="360" w:lineRule="auto"/>
              <w:jc w:val="both"/>
              <w:rPr>
                <w:rFonts w:ascii="Book Antiqua" w:eastAsia="Calibri" w:hAnsi="Book Antiqua"/>
                <w:lang w:val="en-GB"/>
              </w:rPr>
            </w:pPr>
            <w:r w:rsidRPr="005F0812">
              <w:rPr>
                <w:rFonts w:ascii="Book Antiqua" w:eastAsia="Calibri" w:hAnsi="Book Antiqua"/>
                <w:lang w:val="en-GB"/>
              </w:rPr>
              <w:t>0.1</w:t>
            </w:r>
            <w:r>
              <w:rPr>
                <w:rFonts w:ascii="Book Antiqua" w:eastAsia="Calibri" w:hAnsi="Book Antiqua"/>
                <w:lang w:val="en-GB"/>
              </w:rPr>
              <w:t>0</w:t>
            </w:r>
          </w:p>
        </w:tc>
        <w:tc>
          <w:tcPr>
            <w:tcW w:w="1530" w:type="dxa"/>
            <w:gridSpan w:val="2"/>
            <w:tcBorders>
              <w:top w:val="nil"/>
              <w:bottom w:val="nil"/>
            </w:tcBorders>
          </w:tcPr>
          <w:p w14:paraId="141FCE0E" w14:textId="77777777" w:rsidR="00FB486B" w:rsidRPr="005F0812" w:rsidRDefault="00FB486B" w:rsidP="00DA0B01">
            <w:pPr>
              <w:spacing w:line="360" w:lineRule="auto"/>
              <w:jc w:val="both"/>
              <w:rPr>
                <w:rFonts w:ascii="Book Antiqua" w:eastAsia="Calibri" w:hAnsi="Book Antiqua"/>
                <w:lang w:val="en-GB"/>
              </w:rPr>
            </w:pPr>
            <w:r w:rsidRPr="005F0812">
              <w:rPr>
                <w:rFonts w:ascii="Book Antiqua" w:eastAsia="Calibri" w:hAnsi="Book Antiqua"/>
                <w:lang w:val="en-GB"/>
              </w:rPr>
              <w:t>0.02-1.2</w:t>
            </w:r>
            <w:r>
              <w:rPr>
                <w:rFonts w:ascii="Book Antiqua" w:eastAsia="Calibri" w:hAnsi="Book Antiqua"/>
                <w:lang w:val="en-GB"/>
              </w:rPr>
              <w:t>0</w:t>
            </w:r>
          </w:p>
        </w:tc>
        <w:tc>
          <w:tcPr>
            <w:tcW w:w="1134" w:type="dxa"/>
            <w:tcBorders>
              <w:top w:val="nil"/>
              <w:bottom w:val="nil"/>
            </w:tcBorders>
          </w:tcPr>
          <w:p w14:paraId="23309FDE" w14:textId="77777777" w:rsidR="00FB486B" w:rsidRPr="005F0812" w:rsidRDefault="00FB486B" w:rsidP="00DA0B01">
            <w:pPr>
              <w:spacing w:line="360" w:lineRule="auto"/>
              <w:jc w:val="both"/>
              <w:rPr>
                <w:rFonts w:ascii="Book Antiqua" w:eastAsia="Calibri" w:hAnsi="Book Antiqua"/>
                <w:lang w:val="en-GB"/>
              </w:rPr>
            </w:pPr>
            <w:r w:rsidRPr="005F0812">
              <w:rPr>
                <w:rFonts w:ascii="Book Antiqua" w:eastAsia="Calibri" w:hAnsi="Book Antiqua"/>
                <w:lang w:val="en-GB"/>
              </w:rPr>
              <w:t>0.07</w:t>
            </w:r>
          </w:p>
        </w:tc>
      </w:tr>
      <w:tr w:rsidR="00FB486B" w:rsidRPr="005F0812" w14:paraId="47D89770" w14:textId="77777777" w:rsidTr="008E407C">
        <w:trPr>
          <w:trHeight w:val="150"/>
        </w:trPr>
        <w:tc>
          <w:tcPr>
            <w:tcW w:w="6663" w:type="dxa"/>
            <w:gridSpan w:val="6"/>
            <w:vMerge/>
            <w:vAlign w:val="center"/>
            <w:hideMark/>
          </w:tcPr>
          <w:p w14:paraId="4CE0A15A"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hideMark/>
          </w:tcPr>
          <w:p w14:paraId="609AE79D"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Albumin</w:t>
            </w:r>
          </w:p>
        </w:tc>
        <w:tc>
          <w:tcPr>
            <w:tcW w:w="709" w:type="dxa"/>
            <w:tcBorders>
              <w:top w:val="nil"/>
              <w:bottom w:val="nil"/>
            </w:tcBorders>
            <w:hideMark/>
          </w:tcPr>
          <w:p w14:paraId="31B45DC9"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0.8</w:t>
            </w:r>
          </w:p>
        </w:tc>
        <w:tc>
          <w:tcPr>
            <w:tcW w:w="1530" w:type="dxa"/>
            <w:gridSpan w:val="2"/>
            <w:tcBorders>
              <w:top w:val="nil"/>
              <w:bottom w:val="nil"/>
            </w:tcBorders>
            <w:hideMark/>
          </w:tcPr>
          <w:p w14:paraId="6F7EA323"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0.2-2.5</w:t>
            </w:r>
          </w:p>
        </w:tc>
        <w:tc>
          <w:tcPr>
            <w:tcW w:w="1134" w:type="dxa"/>
            <w:tcBorders>
              <w:top w:val="nil"/>
              <w:bottom w:val="nil"/>
            </w:tcBorders>
            <w:hideMark/>
          </w:tcPr>
          <w:p w14:paraId="68455B9D"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0.7</w:t>
            </w:r>
          </w:p>
        </w:tc>
      </w:tr>
      <w:tr w:rsidR="00FB486B" w:rsidRPr="005F0812" w14:paraId="050846D4" w14:textId="77777777" w:rsidTr="008E407C">
        <w:trPr>
          <w:trHeight w:val="150"/>
        </w:trPr>
        <w:tc>
          <w:tcPr>
            <w:tcW w:w="6663" w:type="dxa"/>
            <w:gridSpan w:val="6"/>
            <w:vMerge/>
            <w:vAlign w:val="center"/>
            <w:hideMark/>
          </w:tcPr>
          <w:p w14:paraId="5B3671C3"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hideMark/>
          </w:tcPr>
          <w:p w14:paraId="52B72A05"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Bilirubin</w:t>
            </w:r>
          </w:p>
        </w:tc>
        <w:tc>
          <w:tcPr>
            <w:tcW w:w="709" w:type="dxa"/>
            <w:tcBorders>
              <w:top w:val="nil"/>
              <w:bottom w:val="nil"/>
            </w:tcBorders>
            <w:hideMark/>
          </w:tcPr>
          <w:p w14:paraId="57D3D609"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17.2</w:t>
            </w:r>
          </w:p>
        </w:tc>
        <w:tc>
          <w:tcPr>
            <w:tcW w:w="1530" w:type="dxa"/>
            <w:gridSpan w:val="2"/>
            <w:tcBorders>
              <w:top w:val="nil"/>
              <w:bottom w:val="nil"/>
            </w:tcBorders>
            <w:hideMark/>
          </w:tcPr>
          <w:p w14:paraId="74C6F766"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0.9-312.8</w:t>
            </w:r>
          </w:p>
        </w:tc>
        <w:tc>
          <w:tcPr>
            <w:tcW w:w="1134" w:type="dxa"/>
            <w:tcBorders>
              <w:top w:val="nil"/>
              <w:bottom w:val="nil"/>
            </w:tcBorders>
            <w:hideMark/>
          </w:tcPr>
          <w:p w14:paraId="100E05FC"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0.05</w:t>
            </w:r>
          </w:p>
        </w:tc>
      </w:tr>
      <w:tr w:rsidR="00FB486B" w:rsidRPr="005F0812" w14:paraId="65F8EE5C" w14:textId="77777777" w:rsidTr="008E407C">
        <w:trPr>
          <w:trHeight w:val="150"/>
        </w:trPr>
        <w:tc>
          <w:tcPr>
            <w:tcW w:w="6663" w:type="dxa"/>
            <w:gridSpan w:val="6"/>
            <w:vMerge/>
            <w:vAlign w:val="center"/>
            <w:hideMark/>
          </w:tcPr>
          <w:p w14:paraId="2991E1EC"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bottom w:val="nil"/>
            </w:tcBorders>
            <w:hideMark/>
          </w:tcPr>
          <w:p w14:paraId="5C94E955"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Ferritin</w:t>
            </w:r>
          </w:p>
        </w:tc>
        <w:tc>
          <w:tcPr>
            <w:tcW w:w="709" w:type="dxa"/>
            <w:tcBorders>
              <w:top w:val="nil"/>
              <w:bottom w:val="nil"/>
            </w:tcBorders>
            <w:hideMark/>
          </w:tcPr>
          <w:p w14:paraId="57C85079"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20.7</w:t>
            </w:r>
          </w:p>
        </w:tc>
        <w:tc>
          <w:tcPr>
            <w:tcW w:w="1530" w:type="dxa"/>
            <w:gridSpan w:val="2"/>
            <w:tcBorders>
              <w:top w:val="nil"/>
              <w:bottom w:val="nil"/>
            </w:tcBorders>
            <w:hideMark/>
          </w:tcPr>
          <w:p w14:paraId="3AC40FB1" w14:textId="497B1586"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1.7-247</w:t>
            </w:r>
            <w:r>
              <w:rPr>
                <w:rFonts w:ascii="Book Antiqua" w:eastAsia="Calibri" w:hAnsi="Book Antiqua"/>
                <w:lang w:val="en-GB"/>
              </w:rPr>
              <w:t>.0</w:t>
            </w:r>
          </w:p>
        </w:tc>
        <w:tc>
          <w:tcPr>
            <w:tcW w:w="1134" w:type="dxa"/>
            <w:tcBorders>
              <w:top w:val="nil"/>
              <w:bottom w:val="nil"/>
            </w:tcBorders>
            <w:hideMark/>
          </w:tcPr>
          <w:p w14:paraId="0E9ADC0F"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0.01</w:t>
            </w:r>
          </w:p>
        </w:tc>
      </w:tr>
      <w:tr w:rsidR="00FB486B" w:rsidRPr="005F0812" w14:paraId="0E14FD36" w14:textId="77777777" w:rsidTr="008E407C">
        <w:trPr>
          <w:trHeight w:val="150"/>
        </w:trPr>
        <w:tc>
          <w:tcPr>
            <w:tcW w:w="6663" w:type="dxa"/>
            <w:gridSpan w:val="6"/>
            <w:vMerge/>
            <w:vAlign w:val="center"/>
            <w:hideMark/>
          </w:tcPr>
          <w:p w14:paraId="19DD2122" w14:textId="77777777" w:rsidR="00FB486B" w:rsidRPr="005F0812" w:rsidRDefault="00FB486B" w:rsidP="006309ED">
            <w:pPr>
              <w:spacing w:line="360" w:lineRule="auto"/>
              <w:jc w:val="both"/>
              <w:rPr>
                <w:rFonts w:ascii="Book Antiqua" w:eastAsia="Calibri" w:hAnsi="Book Antiqua" w:cs="Arial"/>
                <w:lang w:val="en-GB"/>
              </w:rPr>
            </w:pPr>
          </w:p>
        </w:tc>
        <w:tc>
          <w:tcPr>
            <w:tcW w:w="1134" w:type="dxa"/>
            <w:tcBorders>
              <w:top w:val="nil"/>
            </w:tcBorders>
            <w:hideMark/>
          </w:tcPr>
          <w:p w14:paraId="534CC36E"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Creatinine</w:t>
            </w:r>
          </w:p>
        </w:tc>
        <w:tc>
          <w:tcPr>
            <w:tcW w:w="709" w:type="dxa"/>
            <w:tcBorders>
              <w:top w:val="nil"/>
            </w:tcBorders>
            <w:hideMark/>
          </w:tcPr>
          <w:p w14:paraId="42F24800"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1.8</w:t>
            </w:r>
          </w:p>
        </w:tc>
        <w:tc>
          <w:tcPr>
            <w:tcW w:w="1530" w:type="dxa"/>
            <w:gridSpan w:val="2"/>
            <w:tcBorders>
              <w:top w:val="nil"/>
            </w:tcBorders>
            <w:hideMark/>
          </w:tcPr>
          <w:p w14:paraId="63C0F733"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0.6-5.8</w:t>
            </w:r>
          </w:p>
        </w:tc>
        <w:tc>
          <w:tcPr>
            <w:tcW w:w="1134" w:type="dxa"/>
            <w:tcBorders>
              <w:top w:val="nil"/>
            </w:tcBorders>
            <w:hideMark/>
          </w:tcPr>
          <w:p w14:paraId="7CD83923" w14:textId="77777777" w:rsidR="00FB486B" w:rsidRPr="005F0812" w:rsidRDefault="00FB486B" w:rsidP="006309ED">
            <w:pPr>
              <w:spacing w:line="360" w:lineRule="auto"/>
              <w:jc w:val="both"/>
              <w:rPr>
                <w:rFonts w:ascii="Book Antiqua" w:eastAsia="Calibri" w:hAnsi="Book Antiqua" w:cs="Arial"/>
                <w:lang w:val="en-GB"/>
              </w:rPr>
            </w:pPr>
            <w:r w:rsidRPr="005F0812">
              <w:rPr>
                <w:rFonts w:ascii="Book Antiqua" w:eastAsia="Calibri" w:hAnsi="Book Antiqua"/>
                <w:lang w:val="en-GB"/>
              </w:rPr>
              <w:t>0.3</w:t>
            </w:r>
          </w:p>
        </w:tc>
      </w:tr>
      <w:tr w:rsidR="00FB486B" w:rsidRPr="005F0812" w14:paraId="3546A5CC" w14:textId="77777777" w:rsidTr="008E407C">
        <w:trPr>
          <w:trHeight w:val="150"/>
        </w:trPr>
        <w:tc>
          <w:tcPr>
            <w:tcW w:w="6663" w:type="dxa"/>
            <w:gridSpan w:val="6"/>
            <w:vMerge/>
            <w:tcBorders>
              <w:bottom w:val="single" w:sz="4" w:space="0" w:color="auto"/>
            </w:tcBorders>
          </w:tcPr>
          <w:p w14:paraId="78AC905E" w14:textId="77777777" w:rsidR="00FB486B" w:rsidRPr="005F0812" w:rsidRDefault="00FB486B" w:rsidP="00FB486B">
            <w:pPr>
              <w:spacing w:line="360" w:lineRule="auto"/>
              <w:jc w:val="both"/>
              <w:rPr>
                <w:rFonts w:ascii="Book Antiqua" w:eastAsia="Calibri" w:hAnsi="Book Antiqua" w:cs="Arial"/>
                <w:lang w:val="en-GB"/>
              </w:rPr>
            </w:pPr>
          </w:p>
        </w:tc>
        <w:tc>
          <w:tcPr>
            <w:tcW w:w="1134" w:type="dxa"/>
            <w:tcBorders>
              <w:top w:val="nil"/>
              <w:bottom w:val="single" w:sz="4" w:space="0" w:color="auto"/>
            </w:tcBorders>
          </w:tcPr>
          <w:p w14:paraId="2E1C2AA3" w14:textId="76382E25" w:rsidR="00FB486B" w:rsidRPr="005F0812" w:rsidRDefault="00FB486B" w:rsidP="00FB486B">
            <w:pPr>
              <w:spacing w:line="360" w:lineRule="auto"/>
              <w:jc w:val="both"/>
              <w:rPr>
                <w:rFonts w:ascii="Book Antiqua" w:eastAsia="Calibri" w:hAnsi="Book Antiqua" w:cs="Arial"/>
                <w:lang w:val="en-GB"/>
              </w:rPr>
            </w:pPr>
            <w:r w:rsidRPr="00011CB5">
              <w:t>Obesity</w:t>
            </w:r>
          </w:p>
        </w:tc>
        <w:tc>
          <w:tcPr>
            <w:tcW w:w="709" w:type="dxa"/>
            <w:tcBorders>
              <w:top w:val="nil"/>
              <w:bottom w:val="single" w:sz="4" w:space="0" w:color="auto"/>
            </w:tcBorders>
          </w:tcPr>
          <w:p w14:paraId="099C7C18" w14:textId="6105647C" w:rsidR="00FB486B" w:rsidRPr="005F0812" w:rsidRDefault="00FB486B" w:rsidP="00FB486B">
            <w:pPr>
              <w:spacing w:line="360" w:lineRule="auto"/>
              <w:jc w:val="both"/>
              <w:rPr>
                <w:rFonts w:ascii="Book Antiqua" w:eastAsia="Calibri" w:hAnsi="Book Antiqua" w:cs="Arial"/>
                <w:lang w:val="en-GB"/>
              </w:rPr>
            </w:pPr>
            <w:r w:rsidRPr="00011CB5">
              <w:t>3.3</w:t>
            </w:r>
          </w:p>
        </w:tc>
        <w:tc>
          <w:tcPr>
            <w:tcW w:w="1530" w:type="dxa"/>
            <w:gridSpan w:val="2"/>
            <w:tcBorders>
              <w:top w:val="nil"/>
              <w:bottom w:val="single" w:sz="4" w:space="0" w:color="auto"/>
            </w:tcBorders>
          </w:tcPr>
          <w:p w14:paraId="53516621" w14:textId="26ECDE63" w:rsidR="00FB486B" w:rsidRPr="005F0812" w:rsidRDefault="00FB486B" w:rsidP="00FB486B">
            <w:pPr>
              <w:spacing w:line="360" w:lineRule="auto"/>
              <w:jc w:val="both"/>
              <w:rPr>
                <w:rFonts w:ascii="Book Antiqua" w:eastAsia="Calibri" w:hAnsi="Book Antiqua" w:cs="Arial"/>
                <w:lang w:val="en-GB"/>
              </w:rPr>
            </w:pPr>
            <w:r w:rsidRPr="00011CB5">
              <w:t>0.9-11.4</w:t>
            </w:r>
          </w:p>
        </w:tc>
        <w:tc>
          <w:tcPr>
            <w:tcW w:w="1134" w:type="dxa"/>
            <w:tcBorders>
              <w:top w:val="nil"/>
              <w:bottom w:val="single" w:sz="4" w:space="0" w:color="auto"/>
            </w:tcBorders>
          </w:tcPr>
          <w:p w14:paraId="74C7EFC7" w14:textId="0FBE6A5B" w:rsidR="00FB486B" w:rsidRPr="005F0812" w:rsidRDefault="00FB486B" w:rsidP="00FB486B">
            <w:pPr>
              <w:spacing w:line="360" w:lineRule="auto"/>
              <w:jc w:val="both"/>
              <w:rPr>
                <w:rFonts w:ascii="Book Antiqua" w:eastAsia="Calibri" w:hAnsi="Book Antiqua" w:cs="Arial"/>
                <w:lang w:val="en-GB"/>
              </w:rPr>
            </w:pPr>
            <w:r w:rsidRPr="00011CB5">
              <w:t>0.06</w:t>
            </w:r>
          </w:p>
        </w:tc>
      </w:tr>
    </w:tbl>
    <w:p w14:paraId="681A374D" w14:textId="1EBF9AEA" w:rsidR="00CD771A" w:rsidRPr="005F0812" w:rsidRDefault="00CD771A" w:rsidP="006309ED">
      <w:pPr>
        <w:spacing w:line="360" w:lineRule="auto"/>
        <w:jc w:val="both"/>
        <w:rPr>
          <w:rFonts w:ascii="Book Antiqua" w:eastAsia="Calibri" w:hAnsi="Book Antiqua" w:cs="Arial"/>
          <w:lang w:val="en-GB"/>
        </w:rPr>
      </w:pPr>
      <w:r w:rsidRPr="005F0812">
        <w:rPr>
          <w:rStyle w:val="15"/>
          <w:rFonts w:ascii="Book Antiqua" w:eastAsia="Calibri" w:hAnsi="Book Antiqua"/>
          <w:sz w:val="24"/>
          <w:szCs w:val="24"/>
          <w:lang w:val="en-GB"/>
        </w:rPr>
        <w:t>Adjusted odds ratios for in</w:t>
      </w:r>
      <w:r w:rsidR="00136BCD" w:rsidRPr="005F0812">
        <w:rPr>
          <w:rStyle w:val="15"/>
          <w:rFonts w:ascii="Book Antiqua" w:hAnsi="Book Antiqua"/>
          <w:sz w:val="24"/>
          <w:szCs w:val="24"/>
          <w:lang w:val="en-GB" w:eastAsia="zh-CN"/>
        </w:rPr>
        <w:t>-</w:t>
      </w:r>
      <w:r w:rsidRPr="005F0812">
        <w:rPr>
          <w:rStyle w:val="15"/>
          <w:rFonts w:ascii="Book Antiqua" w:eastAsia="Calibri" w:hAnsi="Book Antiqua"/>
          <w:sz w:val="24"/>
          <w:szCs w:val="24"/>
          <w:lang w:val="en-GB"/>
        </w:rPr>
        <w:t>hospital mortality. Model adjusted for sex and age. Model 2 adjusted for age, sex</w:t>
      </w:r>
      <w:r w:rsidR="00136BCD" w:rsidRPr="005F0812">
        <w:rPr>
          <w:rStyle w:val="15"/>
          <w:rFonts w:ascii="Book Antiqua" w:hAnsi="Book Antiqua"/>
          <w:sz w:val="24"/>
          <w:szCs w:val="24"/>
          <w:lang w:val="en-GB" w:eastAsia="zh-CN"/>
        </w:rPr>
        <w:t>.</w:t>
      </w:r>
      <w:r w:rsidRPr="005F0812">
        <w:rPr>
          <w:rStyle w:val="15"/>
          <w:rFonts w:ascii="Book Antiqua" w:eastAsia="Calibri" w:hAnsi="Book Antiqua"/>
          <w:sz w:val="24"/>
          <w:szCs w:val="24"/>
          <w:lang w:val="en-GB"/>
        </w:rPr>
        <w:t xml:space="preserve"> OR: </w:t>
      </w:r>
      <w:r w:rsidR="00136BCD" w:rsidRPr="005F0812">
        <w:rPr>
          <w:rStyle w:val="15"/>
          <w:rFonts w:ascii="Book Antiqua" w:hAnsi="Book Antiqua"/>
          <w:sz w:val="24"/>
          <w:szCs w:val="24"/>
          <w:lang w:val="en-GB" w:eastAsia="zh-CN"/>
        </w:rPr>
        <w:t>O</w:t>
      </w:r>
      <w:r w:rsidRPr="005F0812">
        <w:rPr>
          <w:rStyle w:val="15"/>
          <w:rFonts w:ascii="Book Antiqua" w:eastAsia="Calibri" w:hAnsi="Book Antiqua"/>
          <w:sz w:val="24"/>
          <w:szCs w:val="24"/>
          <w:lang w:val="en-GB"/>
        </w:rPr>
        <w:t xml:space="preserve">dds ratio; CI: </w:t>
      </w:r>
      <w:r w:rsidR="00136BCD" w:rsidRPr="005F0812">
        <w:rPr>
          <w:rStyle w:val="15"/>
          <w:rFonts w:ascii="Book Antiqua" w:hAnsi="Book Antiqua"/>
          <w:sz w:val="24"/>
          <w:szCs w:val="24"/>
          <w:lang w:val="en-GB" w:eastAsia="zh-CN"/>
        </w:rPr>
        <w:t>C</w:t>
      </w:r>
      <w:r w:rsidRPr="005F0812">
        <w:rPr>
          <w:rStyle w:val="15"/>
          <w:rFonts w:ascii="Book Antiqua" w:eastAsia="Calibri" w:hAnsi="Book Antiqua"/>
          <w:sz w:val="24"/>
          <w:szCs w:val="24"/>
          <w:lang w:val="en-GB"/>
        </w:rPr>
        <w:t>onfidence interval; DCI:</w:t>
      </w:r>
      <w:r w:rsidRPr="005F0812">
        <w:rPr>
          <w:rFonts w:ascii="Book Antiqua" w:eastAsia="Calibri" w:hAnsi="Book Antiqua"/>
          <w:lang w:val="en-GB"/>
        </w:rPr>
        <w:t xml:space="preserve"> Deyo–Charlson index</w:t>
      </w:r>
      <w:r w:rsidRPr="005F0812">
        <w:rPr>
          <w:rStyle w:val="15"/>
          <w:rFonts w:ascii="Book Antiqua" w:eastAsia="Calibri" w:hAnsi="Book Antiqua"/>
          <w:sz w:val="24"/>
          <w:szCs w:val="24"/>
          <w:lang w:val="en-GB"/>
        </w:rPr>
        <w:t xml:space="preserve">; DM: </w:t>
      </w:r>
      <w:r w:rsidR="00D85646" w:rsidRPr="005F0812">
        <w:rPr>
          <w:rStyle w:val="15"/>
          <w:rFonts w:ascii="Book Antiqua" w:hAnsi="Book Antiqua"/>
          <w:sz w:val="24"/>
          <w:szCs w:val="24"/>
          <w:lang w:val="en-GB" w:eastAsia="zh-CN"/>
        </w:rPr>
        <w:t>D</w:t>
      </w:r>
      <w:r w:rsidRPr="005F0812">
        <w:rPr>
          <w:rStyle w:val="15"/>
          <w:rFonts w:ascii="Book Antiqua" w:eastAsia="Calibri" w:hAnsi="Book Antiqua"/>
          <w:sz w:val="24"/>
          <w:szCs w:val="24"/>
          <w:lang w:val="en-GB"/>
        </w:rPr>
        <w:t xml:space="preserve">iabetes mellites; HTN: </w:t>
      </w:r>
      <w:r w:rsidR="00D85646" w:rsidRPr="005F0812">
        <w:rPr>
          <w:rStyle w:val="15"/>
          <w:rFonts w:ascii="Book Antiqua" w:hAnsi="Book Antiqua"/>
          <w:sz w:val="24"/>
          <w:szCs w:val="24"/>
          <w:lang w:val="en-GB" w:eastAsia="zh-CN"/>
        </w:rPr>
        <w:t>H</w:t>
      </w:r>
      <w:r w:rsidRPr="005F0812">
        <w:rPr>
          <w:rStyle w:val="15"/>
          <w:rFonts w:ascii="Book Antiqua" w:eastAsia="Calibri" w:hAnsi="Book Antiqua"/>
          <w:sz w:val="24"/>
          <w:szCs w:val="24"/>
          <w:lang w:val="en-GB"/>
        </w:rPr>
        <w:t xml:space="preserve">ypertension; IHD: </w:t>
      </w:r>
      <w:r w:rsidR="00D85646" w:rsidRPr="005F0812">
        <w:rPr>
          <w:rStyle w:val="15"/>
          <w:rFonts w:ascii="Book Antiqua" w:hAnsi="Book Antiqua"/>
          <w:sz w:val="24"/>
          <w:szCs w:val="24"/>
          <w:lang w:val="en-GB" w:eastAsia="zh-CN"/>
        </w:rPr>
        <w:t>I</w:t>
      </w:r>
      <w:r w:rsidRPr="005F0812">
        <w:rPr>
          <w:rStyle w:val="15"/>
          <w:rFonts w:ascii="Book Antiqua" w:eastAsia="Calibri" w:hAnsi="Book Antiqua"/>
          <w:sz w:val="24"/>
          <w:szCs w:val="24"/>
          <w:lang w:val="en-GB"/>
        </w:rPr>
        <w:t>sch</w:t>
      </w:r>
      <w:r w:rsidR="00E04EDE">
        <w:rPr>
          <w:rStyle w:val="15"/>
          <w:rFonts w:ascii="Book Antiqua" w:eastAsia="Calibri" w:hAnsi="Book Antiqua"/>
          <w:sz w:val="24"/>
          <w:szCs w:val="24"/>
          <w:lang w:val="en-GB"/>
        </w:rPr>
        <w:t>a</w:t>
      </w:r>
      <w:r w:rsidRPr="005F0812">
        <w:rPr>
          <w:rStyle w:val="15"/>
          <w:rFonts w:ascii="Book Antiqua" w:eastAsia="Calibri" w:hAnsi="Book Antiqua"/>
          <w:sz w:val="24"/>
          <w:szCs w:val="24"/>
          <w:lang w:val="en-GB"/>
        </w:rPr>
        <w:t xml:space="preserve">emic heart disease; COPD: </w:t>
      </w:r>
      <w:r w:rsidR="00D85646" w:rsidRPr="005F0812">
        <w:rPr>
          <w:rStyle w:val="15"/>
          <w:rFonts w:ascii="Book Antiqua" w:hAnsi="Book Antiqua"/>
          <w:sz w:val="24"/>
          <w:szCs w:val="24"/>
          <w:lang w:val="en-GB" w:eastAsia="zh-CN"/>
        </w:rPr>
        <w:t>C</w:t>
      </w:r>
      <w:r w:rsidRPr="005F0812">
        <w:rPr>
          <w:rStyle w:val="15"/>
          <w:rFonts w:ascii="Book Antiqua" w:eastAsia="Calibri" w:hAnsi="Book Antiqua"/>
          <w:sz w:val="24"/>
          <w:szCs w:val="24"/>
          <w:lang w:val="en-GB"/>
        </w:rPr>
        <w:t xml:space="preserve">hronic obstructive pulmonary disease; ALT: </w:t>
      </w:r>
      <w:r w:rsidR="00D85646" w:rsidRPr="005F0812">
        <w:rPr>
          <w:rStyle w:val="15"/>
          <w:rFonts w:ascii="Book Antiqua" w:hAnsi="Book Antiqua"/>
          <w:sz w:val="24"/>
          <w:szCs w:val="24"/>
          <w:lang w:val="en-GB" w:eastAsia="zh-CN"/>
        </w:rPr>
        <w:t>A</w:t>
      </w:r>
      <w:r w:rsidRPr="005F0812">
        <w:rPr>
          <w:rStyle w:val="15"/>
          <w:rFonts w:ascii="Book Antiqua" w:eastAsia="Calibri" w:hAnsi="Book Antiqua"/>
          <w:sz w:val="24"/>
          <w:szCs w:val="24"/>
          <w:lang w:val="en-GB"/>
        </w:rPr>
        <w:t xml:space="preserve">lanine transferase; AST: </w:t>
      </w:r>
      <w:r w:rsidR="00D85646" w:rsidRPr="005F0812">
        <w:rPr>
          <w:rStyle w:val="15"/>
          <w:rFonts w:ascii="Book Antiqua" w:hAnsi="Book Antiqua"/>
          <w:sz w:val="24"/>
          <w:szCs w:val="24"/>
          <w:lang w:val="en-GB" w:eastAsia="zh-CN"/>
        </w:rPr>
        <w:t>A</w:t>
      </w:r>
      <w:r w:rsidRPr="005F0812">
        <w:rPr>
          <w:rStyle w:val="15"/>
          <w:rFonts w:ascii="Book Antiqua" w:eastAsia="Calibri" w:hAnsi="Book Antiqua"/>
          <w:sz w:val="24"/>
          <w:szCs w:val="24"/>
          <w:lang w:val="en-GB"/>
        </w:rPr>
        <w:t xml:space="preserve">spartate transferase, albumin, bilirubin, ferritin, creatinine and obesity. </w:t>
      </w:r>
    </w:p>
    <w:p w14:paraId="50C86F25" w14:textId="5C54AA0B" w:rsidR="000228C3" w:rsidRDefault="000228C3">
      <w:pPr>
        <w:rPr>
          <w:rFonts w:ascii="Book Antiqua" w:hAnsi="Book Antiqua"/>
          <w:lang w:val="en-GB" w:eastAsia="zh-CN"/>
        </w:rPr>
      </w:pPr>
      <w:r>
        <w:rPr>
          <w:rFonts w:ascii="Book Antiqua" w:hAnsi="Book Antiqua"/>
          <w:lang w:val="en-GB" w:eastAsia="zh-CN"/>
        </w:rPr>
        <w:br w:type="page"/>
      </w:r>
    </w:p>
    <w:p w14:paraId="6DEBCA5D" w14:textId="77777777" w:rsidR="000228C3" w:rsidRDefault="000228C3" w:rsidP="000228C3">
      <w:pPr>
        <w:jc w:val="center"/>
        <w:rPr>
          <w:rFonts w:ascii="Book Antiqua" w:hAnsi="Book Antiqua"/>
          <w:lang w:eastAsia="zh-CN"/>
        </w:rPr>
      </w:pPr>
      <w:bookmarkStart w:id="5" w:name="OLE_LINK1"/>
      <w:bookmarkStart w:id="6" w:name="OLE_LINK2"/>
    </w:p>
    <w:p w14:paraId="09BF3CC9" w14:textId="77777777" w:rsidR="000228C3" w:rsidRDefault="000228C3" w:rsidP="000228C3">
      <w:pPr>
        <w:jc w:val="center"/>
        <w:rPr>
          <w:rFonts w:ascii="Book Antiqua" w:hAnsi="Book Antiqua"/>
          <w:lang w:eastAsia="zh-CN"/>
        </w:rPr>
      </w:pPr>
    </w:p>
    <w:p w14:paraId="088BAD2F" w14:textId="77777777" w:rsidR="000228C3" w:rsidRDefault="000228C3" w:rsidP="000228C3">
      <w:pPr>
        <w:jc w:val="center"/>
        <w:rPr>
          <w:rFonts w:ascii="Book Antiqua" w:hAnsi="Book Antiqua"/>
          <w:lang w:eastAsia="zh-CN"/>
        </w:rPr>
      </w:pPr>
    </w:p>
    <w:p w14:paraId="717FA675" w14:textId="77777777" w:rsidR="000228C3" w:rsidRDefault="000228C3" w:rsidP="000228C3">
      <w:pPr>
        <w:jc w:val="center"/>
        <w:rPr>
          <w:rFonts w:ascii="Book Antiqua" w:hAnsi="Book Antiqua"/>
          <w:lang w:eastAsia="zh-CN"/>
        </w:rPr>
      </w:pPr>
    </w:p>
    <w:p w14:paraId="4921D429" w14:textId="77777777" w:rsidR="000228C3" w:rsidRDefault="000228C3" w:rsidP="000228C3">
      <w:pPr>
        <w:jc w:val="center"/>
        <w:rPr>
          <w:rFonts w:ascii="Book Antiqua" w:hAnsi="Book Antiqua"/>
          <w:lang w:eastAsia="zh-CN"/>
        </w:rPr>
      </w:pPr>
    </w:p>
    <w:p w14:paraId="31D4F3E6" w14:textId="77777777" w:rsidR="000228C3" w:rsidRDefault="000228C3" w:rsidP="000228C3">
      <w:pPr>
        <w:jc w:val="center"/>
        <w:rPr>
          <w:rFonts w:ascii="Book Antiqua" w:hAnsi="Book Antiqua"/>
          <w:lang w:eastAsia="zh-CN"/>
        </w:rPr>
      </w:pPr>
      <w:r>
        <w:rPr>
          <w:rFonts w:ascii="Book Antiqua" w:hAnsi="Book Antiqua"/>
          <w:noProof/>
          <w:lang w:eastAsia="zh-CN"/>
        </w:rPr>
        <w:drawing>
          <wp:inline distT="0" distB="0" distL="0" distR="0" wp14:anchorId="3256B4EF" wp14:editId="436814C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9D9193" w14:textId="77777777" w:rsidR="000228C3" w:rsidRDefault="000228C3" w:rsidP="000228C3">
      <w:pPr>
        <w:jc w:val="center"/>
        <w:rPr>
          <w:rFonts w:ascii="Book Antiqua" w:hAnsi="Book Antiqua"/>
          <w:lang w:eastAsia="zh-CN"/>
        </w:rPr>
      </w:pPr>
    </w:p>
    <w:p w14:paraId="24E69822" w14:textId="77777777" w:rsidR="000228C3" w:rsidRPr="00763D22" w:rsidRDefault="000228C3" w:rsidP="000228C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D672120" w14:textId="77777777" w:rsidR="000228C3" w:rsidRPr="00763D22" w:rsidRDefault="000228C3" w:rsidP="000228C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86E9B1F" w14:textId="77777777" w:rsidR="000228C3" w:rsidRPr="00763D22" w:rsidRDefault="000228C3" w:rsidP="000228C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641CD95" w14:textId="77777777" w:rsidR="000228C3" w:rsidRPr="00763D22" w:rsidRDefault="000228C3" w:rsidP="000228C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5786E06" w14:textId="77777777" w:rsidR="000228C3" w:rsidRPr="00763D22" w:rsidRDefault="000228C3" w:rsidP="000228C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821AC0E" w14:textId="77777777" w:rsidR="000228C3" w:rsidRPr="00763D22" w:rsidRDefault="000228C3" w:rsidP="000228C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ED260B0" w14:textId="77777777" w:rsidR="000228C3" w:rsidRDefault="000228C3" w:rsidP="000228C3">
      <w:pPr>
        <w:jc w:val="center"/>
        <w:rPr>
          <w:rFonts w:ascii="Book Antiqua" w:hAnsi="Book Antiqua"/>
          <w:lang w:eastAsia="zh-CN"/>
        </w:rPr>
      </w:pPr>
    </w:p>
    <w:p w14:paraId="47D42457" w14:textId="77777777" w:rsidR="000228C3" w:rsidRDefault="000228C3" w:rsidP="000228C3">
      <w:pPr>
        <w:jc w:val="center"/>
        <w:rPr>
          <w:rFonts w:ascii="Book Antiqua" w:hAnsi="Book Antiqua"/>
          <w:lang w:eastAsia="zh-CN"/>
        </w:rPr>
      </w:pPr>
    </w:p>
    <w:p w14:paraId="308306BB" w14:textId="77777777" w:rsidR="000228C3" w:rsidRDefault="000228C3" w:rsidP="000228C3">
      <w:pPr>
        <w:jc w:val="center"/>
        <w:rPr>
          <w:rFonts w:ascii="Book Antiqua" w:hAnsi="Book Antiqua"/>
          <w:lang w:eastAsia="zh-CN"/>
        </w:rPr>
      </w:pPr>
    </w:p>
    <w:p w14:paraId="2DA607B4" w14:textId="77777777" w:rsidR="000228C3" w:rsidRDefault="000228C3" w:rsidP="000228C3">
      <w:pPr>
        <w:jc w:val="center"/>
        <w:rPr>
          <w:rFonts w:ascii="Book Antiqua" w:hAnsi="Book Antiqua"/>
          <w:lang w:eastAsia="zh-CN"/>
        </w:rPr>
      </w:pPr>
      <w:r>
        <w:rPr>
          <w:rFonts w:ascii="Book Antiqua" w:hAnsi="Book Antiqua"/>
          <w:noProof/>
          <w:lang w:eastAsia="zh-CN"/>
        </w:rPr>
        <w:drawing>
          <wp:inline distT="0" distB="0" distL="0" distR="0" wp14:anchorId="0AF316D4" wp14:editId="2ABF7D6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826113" w14:textId="77777777" w:rsidR="000228C3" w:rsidRDefault="000228C3" w:rsidP="000228C3">
      <w:pPr>
        <w:jc w:val="center"/>
        <w:rPr>
          <w:rFonts w:ascii="Book Antiqua" w:hAnsi="Book Antiqua"/>
          <w:lang w:eastAsia="zh-CN"/>
        </w:rPr>
      </w:pPr>
    </w:p>
    <w:p w14:paraId="05D30A32" w14:textId="77777777" w:rsidR="000228C3" w:rsidRDefault="000228C3" w:rsidP="000228C3">
      <w:pPr>
        <w:jc w:val="center"/>
        <w:rPr>
          <w:rFonts w:ascii="Book Antiqua" w:hAnsi="Book Antiqua"/>
          <w:lang w:eastAsia="zh-CN"/>
        </w:rPr>
      </w:pPr>
    </w:p>
    <w:p w14:paraId="0C3AD00C" w14:textId="77777777" w:rsidR="000228C3" w:rsidRDefault="000228C3" w:rsidP="000228C3">
      <w:pPr>
        <w:jc w:val="center"/>
        <w:rPr>
          <w:rFonts w:ascii="Book Antiqua" w:hAnsi="Book Antiqua"/>
          <w:lang w:eastAsia="zh-CN"/>
        </w:rPr>
      </w:pPr>
    </w:p>
    <w:p w14:paraId="474C1275" w14:textId="77777777" w:rsidR="000228C3" w:rsidRDefault="000228C3" w:rsidP="000228C3">
      <w:pPr>
        <w:jc w:val="center"/>
        <w:rPr>
          <w:rFonts w:ascii="Book Antiqua" w:hAnsi="Book Antiqua"/>
          <w:lang w:eastAsia="zh-CN"/>
        </w:rPr>
      </w:pPr>
    </w:p>
    <w:p w14:paraId="4C6CF1E3" w14:textId="77777777" w:rsidR="000228C3" w:rsidRDefault="000228C3" w:rsidP="000228C3">
      <w:pPr>
        <w:jc w:val="center"/>
        <w:rPr>
          <w:rFonts w:ascii="Book Antiqua" w:hAnsi="Book Antiqua"/>
          <w:lang w:eastAsia="zh-CN"/>
        </w:rPr>
      </w:pPr>
    </w:p>
    <w:p w14:paraId="0A887413" w14:textId="77777777" w:rsidR="000228C3" w:rsidRDefault="000228C3" w:rsidP="000228C3">
      <w:pPr>
        <w:jc w:val="center"/>
        <w:rPr>
          <w:rFonts w:ascii="Book Antiqua" w:hAnsi="Book Antiqua"/>
          <w:lang w:eastAsia="zh-CN"/>
        </w:rPr>
      </w:pPr>
    </w:p>
    <w:p w14:paraId="2FD9B1E1" w14:textId="77777777" w:rsidR="000228C3" w:rsidRDefault="000228C3" w:rsidP="000228C3">
      <w:pPr>
        <w:jc w:val="center"/>
        <w:rPr>
          <w:rFonts w:ascii="Book Antiqua" w:hAnsi="Book Antiqua"/>
          <w:lang w:eastAsia="zh-CN"/>
        </w:rPr>
      </w:pPr>
    </w:p>
    <w:p w14:paraId="4D89C853" w14:textId="77777777" w:rsidR="000228C3" w:rsidRDefault="000228C3" w:rsidP="000228C3">
      <w:pPr>
        <w:jc w:val="center"/>
        <w:rPr>
          <w:rFonts w:ascii="Book Antiqua" w:hAnsi="Book Antiqua"/>
          <w:lang w:eastAsia="zh-CN"/>
        </w:rPr>
      </w:pPr>
    </w:p>
    <w:p w14:paraId="39D6EBD9" w14:textId="77777777" w:rsidR="000228C3" w:rsidRDefault="000228C3" w:rsidP="000228C3">
      <w:pPr>
        <w:jc w:val="center"/>
        <w:rPr>
          <w:rFonts w:ascii="Book Antiqua" w:hAnsi="Book Antiqua"/>
          <w:lang w:eastAsia="zh-CN"/>
        </w:rPr>
      </w:pPr>
    </w:p>
    <w:p w14:paraId="0522B98E" w14:textId="77777777" w:rsidR="000228C3" w:rsidRPr="00763D22" w:rsidRDefault="000228C3" w:rsidP="000228C3">
      <w:pPr>
        <w:jc w:val="right"/>
        <w:rPr>
          <w:rFonts w:ascii="Book Antiqua" w:hAnsi="Book Antiqua"/>
          <w:color w:val="000000" w:themeColor="text1"/>
          <w:lang w:eastAsia="zh-CN"/>
        </w:rPr>
      </w:pPr>
    </w:p>
    <w:p w14:paraId="20352845" w14:textId="77777777" w:rsidR="000228C3" w:rsidRPr="00763D22" w:rsidRDefault="000228C3" w:rsidP="000228C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370C4761" w14:textId="77777777" w:rsidR="00ED2591" w:rsidRPr="000228C3" w:rsidRDefault="00ED2591" w:rsidP="006309ED">
      <w:pPr>
        <w:spacing w:line="360" w:lineRule="auto"/>
        <w:jc w:val="both"/>
        <w:rPr>
          <w:rFonts w:ascii="Book Antiqua" w:hAnsi="Book Antiqua"/>
          <w:lang w:eastAsia="zh-CN"/>
        </w:rPr>
      </w:pPr>
      <w:bookmarkStart w:id="7" w:name="_GoBack"/>
      <w:bookmarkEnd w:id="7"/>
    </w:p>
    <w:sectPr w:rsidR="00ED2591" w:rsidRPr="000228C3" w:rsidSect="00630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E307" w14:textId="77777777" w:rsidR="00051BB6" w:rsidRDefault="00051BB6" w:rsidP="00484DC2">
      <w:r>
        <w:separator/>
      </w:r>
    </w:p>
  </w:endnote>
  <w:endnote w:type="continuationSeparator" w:id="0">
    <w:p w14:paraId="3BA1E5BF" w14:textId="77777777" w:rsidR="00051BB6" w:rsidRDefault="00051BB6" w:rsidP="0048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riadPro-Light">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54692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82483E5" w14:textId="77777777" w:rsidR="006309ED" w:rsidRPr="00B46CB0" w:rsidRDefault="006309ED">
            <w:pPr>
              <w:pStyle w:val="a4"/>
              <w:jc w:val="right"/>
              <w:rPr>
                <w:rFonts w:ascii="Book Antiqua" w:hAnsi="Book Antiqua"/>
                <w:sz w:val="24"/>
                <w:szCs w:val="24"/>
              </w:rPr>
            </w:pPr>
            <w:r w:rsidRPr="00B46CB0">
              <w:rPr>
                <w:rFonts w:ascii="Book Antiqua" w:hAnsi="Book Antiqua"/>
                <w:sz w:val="24"/>
                <w:szCs w:val="24"/>
                <w:lang w:val="zh-CN" w:eastAsia="zh-CN"/>
              </w:rPr>
              <w:t xml:space="preserve"> </w:t>
            </w:r>
            <w:r w:rsidRPr="00183FA5">
              <w:rPr>
                <w:rFonts w:ascii="Book Antiqua" w:hAnsi="Book Antiqua"/>
                <w:sz w:val="24"/>
                <w:szCs w:val="24"/>
              </w:rPr>
              <w:fldChar w:fldCharType="begin"/>
            </w:r>
            <w:r w:rsidRPr="00183FA5">
              <w:rPr>
                <w:rFonts w:ascii="Book Antiqua" w:hAnsi="Book Antiqua"/>
                <w:sz w:val="24"/>
                <w:szCs w:val="24"/>
              </w:rPr>
              <w:instrText>PAGE</w:instrText>
            </w:r>
            <w:r w:rsidRPr="00183FA5">
              <w:rPr>
                <w:rFonts w:ascii="Book Antiqua" w:hAnsi="Book Antiqua"/>
                <w:sz w:val="24"/>
                <w:szCs w:val="24"/>
              </w:rPr>
              <w:fldChar w:fldCharType="separate"/>
            </w:r>
            <w:r w:rsidR="00051BB6">
              <w:rPr>
                <w:rFonts w:ascii="Book Antiqua" w:hAnsi="Book Antiqua"/>
                <w:noProof/>
                <w:sz w:val="24"/>
                <w:szCs w:val="24"/>
              </w:rPr>
              <w:t>1</w:t>
            </w:r>
            <w:r w:rsidRPr="00183FA5">
              <w:rPr>
                <w:rFonts w:ascii="Book Antiqua" w:hAnsi="Book Antiqua"/>
                <w:sz w:val="24"/>
                <w:szCs w:val="24"/>
              </w:rPr>
              <w:fldChar w:fldCharType="end"/>
            </w:r>
            <w:r w:rsidRPr="00B46CB0">
              <w:rPr>
                <w:rFonts w:ascii="Book Antiqua" w:hAnsi="Book Antiqua"/>
                <w:sz w:val="24"/>
                <w:szCs w:val="24"/>
                <w:lang w:val="zh-CN" w:eastAsia="zh-CN"/>
              </w:rPr>
              <w:t xml:space="preserve"> / </w:t>
            </w:r>
            <w:r w:rsidRPr="00183FA5">
              <w:rPr>
                <w:rFonts w:ascii="Book Antiqua" w:hAnsi="Book Antiqua"/>
                <w:sz w:val="24"/>
                <w:szCs w:val="24"/>
              </w:rPr>
              <w:fldChar w:fldCharType="begin"/>
            </w:r>
            <w:r w:rsidRPr="00183FA5">
              <w:rPr>
                <w:rFonts w:ascii="Book Antiqua" w:hAnsi="Book Antiqua"/>
                <w:sz w:val="24"/>
                <w:szCs w:val="24"/>
              </w:rPr>
              <w:instrText>NUMPAGES</w:instrText>
            </w:r>
            <w:r w:rsidRPr="00183FA5">
              <w:rPr>
                <w:rFonts w:ascii="Book Antiqua" w:hAnsi="Book Antiqua"/>
                <w:sz w:val="24"/>
                <w:szCs w:val="24"/>
              </w:rPr>
              <w:fldChar w:fldCharType="separate"/>
            </w:r>
            <w:r w:rsidR="00051BB6">
              <w:rPr>
                <w:rFonts w:ascii="Book Antiqua" w:hAnsi="Book Antiqua"/>
                <w:noProof/>
                <w:sz w:val="24"/>
                <w:szCs w:val="24"/>
              </w:rPr>
              <w:t>1</w:t>
            </w:r>
            <w:r w:rsidRPr="00183FA5">
              <w:rPr>
                <w:rFonts w:ascii="Book Antiqua" w:hAnsi="Book Antiqua"/>
                <w:sz w:val="24"/>
                <w:szCs w:val="24"/>
              </w:rPr>
              <w:fldChar w:fldCharType="end"/>
            </w:r>
          </w:p>
        </w:sdtContent>
      </w:sdt>
    </w:sdtContent>
  </w:sdt>
  <w:p w14:paraId="6BE4AAA7" w14:textId="77777777" w:rsidR="006309ED" w:rsidRDefault="006309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64F7" w14:textId="77777777" w:rsidR="00051BB6" w:rsidRDefault="00051BB6" w:rsidP="00484DC2">
      <w:r>
        <w:separator/>
      </w:r>
    </w:p>
  </w:footnote>
  <w:footnote w:type="continuationSeparator" w:id="0">
    <w:p w14:paraId="1761AA30" w14:textId="77777777" w:rsidR="00051BB6" w:rsidRDefault="00051BB6" w:rsidP="00484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8C3"/>
    <w:rsid w:val="0003777D"/>
    <w:rsid w:val="00044CD1"/>
    <w:rsid w:val="00051BB6"/>
    <w:rsid w:val="00066350"/>
    <w:rsid w:val="00067273"/>
    <w:rsid w:val="00071E2E"/>
    <w:rsid w:val="00087F35"/>
    <w:rsid w:val="00092BE3"/>
    <w:rsid w:val="000A3705"/>
    <w:rsid w:val="000B4258"/>
    <w:rsid w:val="000D6AC6"/>
    <w:rsid w:val="000F45E3"/>
    <w:rsid w:val="00100846"/>
    <w:rsid w:val="00111F5B"/>
    <w:rsid w:val="0013400C"/>
    <w:rsid w:val="00136BCD"/>
    <w:rsid w:val="00141CD2"/>
    <w:rsid w:val="00144F27"/>
    <w:rsid w:val="00164800"/>
    <w:rsid w:val="00183FA5"/>
    <w:rsid w:val="001857AF"/>
    <w:rsid w:val="001862D8"/>
    <w:rsid w:val="00190244"/>
    <w:rsid w:val="00194733"/>
    <w:rsid w:val="001B22EC"/>
    <w:rsid w:val="001B4B2E"/>
    <w:rsid w:val="001E08D0"/>
    <w:rsid w:val="001E4DB4"/>
    <w:rsid w:val="00213E92"/>
    <w:rsid w:val="0023433C"/>
    <w:rsid w:val="00237DA2"/>
    <w:rsid w:val="002977F8"/>
    <w:rsid w:val="002A148F"/>
    <w:rsid w:val="002D6A27"/>
    <w:rsid w:val="002D7FCF"/>
    <w:rsid w:val="003060BA"/>
    <w:rsid w:val="00311DB3"/>
    <w:rsid w:val="00375008"/>
    <w:rsid w:val="003A785A"/>
    <w:rsid w:val="003B3BEC"/>
    <w:rsid w:val="003D6B5F"/>
    <w:rsid w:val="00426EA1"/>
    <w:rsid w:val="00432CB7"/>
    <w:rsid w:val="00435E98"/>
    <w:rsid w:val="00457F6E"/>
    <w:rsid w:val="00467EEB"/>
    <w:rsid w:val="004847CD"/>
    <w:rsid w:val="00484DC2"/>
    <w:rsid w:val="00497AD5"/>
    <w:rsid w:val="004C3981"/>
    <w:rsid w:val="004D0114"/>
    <w:rsid w:val="004D5F5D"/>
    <w:rsid w:val="004E2F14"/>
    <w:rsid w:val="004F2305"/>
    <w:rsid w:val="0050115B"/>
    <w:rsid w:val="00506027"/>
    <w:rsid w:val="00524DB9"/>
    <w:rsid w:val="00555AD1"/>
    <w:rsid w:val="00575816"/>
    <w:rsid w:val="00580D26"/>
    <w:rsid w:val="005D5135"/>
    <w:rsid w:val="005E5BFF"/>
    <w:rsid w:val="005F0812"/>
    <w:rsid w:val="006309ED"/>
    <w:rsid w:val="00633ABD"/>
    <w:rsid w:val="00644732"/>
    <w:rsid w:val="006473EB"/>
    <w:rsid w:val="00664D5D"/>
    <w:rsid w:val="00684A43"/>
    <w:rsid w:val="006E04F4"/>
    <w:rsid w:val="006F33F8"/>
    <w:rsid w:val="00707122"/>
    <w:rsid w:val="0072009E"/>
    <w:rsid w:val="00721537"/>
    <w:rsid w:val="00751FA7"/>
    <w:rsid w:val="007634F3"/>
    <w:rsid w:val="00784613"/>
    <w:rsid w:val="0079637A"/>
    <w:rsid w:val="007A0708"/>
    <w:rsid w:val="007C042B"/>
    <w:rsid w:val="007F2DBC"/>
    <w:rsid w:val="00800400"/>
    <w:rsid w:val="00807D8D"/>
    <w:rsid w:val="00817762"/>
    <w:rsid w:val="00836B8D"/>
    <w:rsid w:val="008779BC"/>
    <w:rsid w:val="008A2EDA"/>
    <w:rsid w:val="008C2AEB"/>
    <w:rsid w:val="008F214D"/>
    <w:rsid w:val="009305F6"/>
    <w:rsid w:val="00961192"/>
    <w:rsid w:val="00991976"/>
    <w:rsid w:val="009B1E72"/>
    <w:rsid w:val="009B626D"/>
    <w:rsid w:val="009D0ADA"/>
    <w:rsid w:val="00A2248D"/>
    <w:rsid w:val="00A61DBD"/>
    <w:rsid w:val="00A77B3E"/>
    <w:rsid w:val="00A815BF"/>
    <w:rsid w:val="00AC2778"/>
    <w:rsid w:val="00AF65AD"/>
    <w:rsid w:val="00B03106"/>
    <w:rsid w:val="00B31D8D"/>
    <w:rsid w:val="00B41956"/>
    <w:rsid w:val="00B446D1"/>
    <w:rsid w:val="00B46CB0"/>
    <w:rsid w:val="00B52CFF"/>
    <w:rsid w:val="00B6438F"/>
    <w:rsid w:val="00BA1C6F"/>
    <w:rsid w:val="00BA2785"/>
    <w:rsid w:val="00BA5A76"/>
    <w:rsid w:val="00BB0BB6"/>
    <w:rsid w:val="00BB0F7E"/>
    <w:rsid w:val="00BB41F0"/>
    <w:rsid w:val="00BD2922"/>
    <w:rsid w:val="00BF4C4C"/>
    <w:rsid w:val="00C123EF"/>
    <w:rsid w:val="00C22E50"/>
    <w:rsid w:val="00C30913"/>
    <w:rsid w:val="00C33A21"/>
    <w:rsid w:val="00C379AC"/>
    <w:rsid w:val="00C52766"/>
    <w:rsid w:val="00CA0769"/>
    <w:rsid w:val="00CA2A55"/>
    <w:rsid w:val="00CA3976"/>
    <w:rsid w:val="00CD2361"/>
    <w:rsid w:val="00CD771A"/>
    <w:rsid w:val="00CE7AC6"/>
    <w:rsid w:val="00D04DBB"/>
    <w:rsid w:val="00D215DB"/>
    <w:rsid w:val="00D249F5"/>
    <w:rsid w:val="00D25927"/>
    <w:rsid w:val="00D5396E"/>
    <w:rsid w:val="00D623B2"/>
    <w:rsid w:val="00D639E5"/>
    <w:rsid w:val="00D67CCD"/>
    <w:rsid w:val="00D72EBB"/>
    <w:rsid w:val="00D85646"/>
    <w:rsid w:val="00DA0B01"/>
    <w:rsid w:val="00DA19B3"/>
    <w:rsid w:val="00DC1925"/>
    <w:rsid w:val="00DD1DC9"/>
    <w:rsid w:val="00DD368A"/>
    <w:rsid w:val="00DE0777"/>
    <w:rsid w:val="00E04EDE"/>
    <w:rsid w:val="00E127CF"/>
    <w:rsid w:val="00E314F6"/>
    <w:rsid w:val="00E84D2E"/>
    <w:rsid w:val="00E869E2"/>
    <w:rsid w:val="00E90111"/>
    <w:rsid w:val="00ED2591"/>
    <w:rsid w:val="00EE5B92"/>
    <w:rsid w:val="00EE63ED"/>
    <w:rsid w:val="00F07146"/>
    <w:rsid w:val="00F13278"/>
    <w:rsid w:val="00F27775"/>
    <w:rsid w:val="00F75CD9"/>
    <w:rsid w:val="00FA68C0"/>
    <w:rsid w:val="00FB3CB5"/>
    <w:rsid w:val="00FB486B"/>
    <w:rsid w:val="00FC0D1C"/>
    <w:rsid w:val="00FC6E44"/>
    <w:rsid w:val="00FD25EE"/>
    <w:rsid w:val="00FD5201"/>
    <w:rsid w:val="00FD6C00"/>
    <w:rsid w:val="00FD6EFF"/>
    <w:rsid w:val="00FE74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E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4D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4DC2"/>
    <w:rPr>
      <w:sz w:val="18"/>
      <w:szCs w:val="18"/>
    </w:rPr>
  </w:style>
  <w:style w:type="paragraph" w:styleId="a4">
    <w:name w:val="footer"/>
    <w:basedOn w:val="a"/>
    <w:link w:val="Char0"/>
    <w:uiPriority w:val="99"/>
    <w:rsid w:val="00484DC2"/>
    <w:pPr>
      <w:tabs>
        <w:tab w:val="center" w:pos="4153"/>
        <w:tab w:val="right" w:pos="8306"/>
      </w:tabs>
      <w:snapToGrid w:val="0"/>
    </w:pPr>
    <w:rPr>
      <w:sz w:val="18"/>
      <w:szCs w:val="18"/>
    </w:rPr>
  </w:style>
  <w:style w:type="character" w:customStyle="1" w:styleId="Char0">
    <w:name w:val="页脚 Char"/>
    <w:basedOn w:val="a0"/>
    <w:link w:val="a4"/>
    <w:uiPriority w:val="99"/>
    <w:rsid w:val="00484DC2"/>
    <w:rPr>
      <w:sz w:val="18"/>
      <w:szCs w:val="18"/>
    </w:rPr>
  </w:style>
  <w:style w:type="paragraph" w:styleId="a5">
    <w:name w:val="Balloon Text"/>
    <w:basedOn w:val="a"/>
    <w:link w:val="Char1"/>
    <w:rsid w:val="00DC1925"/>
    <w:rPr>
      <w:sz w:val="18"/>
      <w:szCs w:val="18"/>
    </w:rPr>
  </w:style>
  <w:style w:type="character" w:customStyle="1" w:styleId="Char1">
    <w:name w:val="批注框文本 Char"/>
    <w:basedOn w:val="a0"/>
    <w:link w:val="a5"/>
    <w:rsid w:val="00DC1925"/>
    <w:rPr>
      <w:sz w:val="18"/>
      <w:szCs w:val="18"/>
    </w:rPr>
  </w:style>
  <w:style w:type="character" w:customStyle="1" w:styleId="15">
    <w:name w:val="15"/>
    <w:basedOn w:val="a0"/>
    <w:rsid w:val="00CD771A"/>
    <w:rPr>
      <w:rFonts w:ascii="MyriadPro-Light" w:hAnsi="MyriadPro-Light" w:hint="default"/>
      <w:b w:val="0"/>
      <w:bCs w:val="0"/>
      <w:i w:val="0"/>
      <w:iCs w:val="0"/>
      <w:color w:val="000000"/>
      <w:sz w:val="16"/>
      <w:szCs w:val="16"/>
    </w:rPr>
  </w:style>
  <w:style w:type="table" w:styleId="a6">
    <w:name w:val="Table Grid"/>
    <w:basedOn w:val="a1"/>
    <w:uiPriority w:val="99"/>
    <w:unhideWhenUsed/>
    <w:rsid w:val="00CD771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rsid w:val="00B41956"/>
  </w:style>
  <w:style w:type="character" w:styleId="a7">
    <w:name w:val="annotation reference"/>
    <w:basedOn w:val="a0"/>
    <w:rsid w:val="00D5396E"/>
    <w:rPr>
      <w:sz w:val="21"/>
      <w:szCs w:val="21"/>
    </w:rPr>
  </w:style>
  <w:style w:type="paragraph" w:styleId="a8">
    <w:name w:val="annotation text"/>
    <w:basedOn w:val="a"/>
    <w:link w:val="Char2"/>
    <w:rsid w:val="00D5396E"/>
  </w:style>
  <w:style w:type="character" w:customStyle="1" w:styleId="Char2">
    <w:name w:val="批注文字 Char"/>
    <w:basedOn w:val="a0"/>
    <w:link w:val="a8"/>
    <w:rsid w:val="00D5396E"/>
    <w:rPr>
      <w:sz w:val="24"/>
      <w:szCs w:val="24"/>
    </w:rPr>
  </w:style>
  <w:style w:type="paragraph" w:styleId="a9">
    <w:name w:val="annotation subject"/>
    <w:basedOn w:val="a8"/>
    <w:next w:val="a8"/>
    <w:link w:val="Char3"/>
    <w:rsid w:val="00D5396E"/>
    <w:rPr>
      <w:b/>
      <w:bCs/>
    </w:rPr>
  </w:style>
  <w:style w:type="character" w:customStyle="1" w:styleId="Char3">
    <w:name w:val="批注主题 Char"/>
    <w:basedOn w:val="Char2"/>
    <w:link w:val="a9"/>
    <w:rsid w:val="00D5396E"/>
    <w:rPr>
      <w:b/>
      <w:bCs/>
      <w:sz w:val="24"/>
      <w:szCs w:val="24"/>
    </w:rPr>
  </w:style>
  <w:style w:type="character" w:styleId="aa">
    <w:name w:val="Hyperlink"/>
    <w:basedOn w:val="a0"/>
    <w:unhideWhenUsed/>
    <w:rsid w:val="00E84D2E"/>
    <w:rPr>
      <w:color w:val="0000FF" w:themeColor="hyperlink"/>
      <w:u w:val="single"/>
    </w:rPr>
  </w:style>
  <w:style w:type="character" w:customStyle="1" w:styleId="UnresolvedMention">
    <w:name w:val="Unresolved Mention"/>
    <w:basedOn w:val="a0"/>
    <w:uiPriority w:val="99"/>
    <w:semiHidden/>
    <w:unhideWhenUsed/>
    <w:rsid w:val="00E84D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4D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4DC2"/>
    <w:rPr>
      <w:sz w:val="18"/>
      <w:szCs w:val="18"/>
    </w:rPr>
  </w:style>
  <w:style w:type="paragraph" w:styleId="a4">
    <w:name w:val="footer"/>
    <w:basedOn w:val="a"/>
    <w:link w:val="Char0"/>
    <w:uiPriority w:val="99"/>
    <w:rsid w:val="00484DC2"/>
    <w:pPr>
      <w:tabs>
        <w:tab w:val="center" w:pos="4153"/>
        <w:tab w:val="right" w:pos="8306"/>
      </w:tabs>
      <w:snapToGrid w:val="0"/>
    </w:pPr>
    <w:rPr>
      <w:sz w:val="18"/>
      <w:szCs w:val="18"/>
    </w:rPr>
  </w:style>
  <w:style w:type="character" w:customStyle="1" w:styleId="Char0">
    <w:name w:val="页脚 Char"/>
    <w:basedOn w:val="a0"/>
    <w:link w:val="a4"/>
    <w:uiPriority w:val="99"/>
    <w:rsid w:val="00484DC2"/>
    <w:rPr>
      <w:sz w:val="18"/>
      <w:szCs w:val="18"/>
    </w:rPr>
  </w:style>
  <w:style w:type="paragraph" w:styleId="a5">
    <w:name w:val="Balloon Text"/>
    <w:basedOn w:val="a"/>
    <w:link w:val="Char1"/>
    <w:rsid w:val="00DC1925"/>
    <w:rPr>
      <w:sz w:val="18"/>
      <w:szCs w:val="18"/>
    </w:rPr>
  </w:style>
  <w:style w:type="character" w:customStyle="1" w:styleId="Char1">
    <w:name w:val="批注框文本 Char"/>
    <w:basedOn w:val="a0"/>
    <w:link w:val="a5"/>
    <w:rsid w:val="00DC1925"/>
    <w:rPr>
      <w:sz w:val="18"/>
      <w:szCs w:val="18"/>
    </w:rPr>
  </w:style>
  <w:style w:type="character" w:customStyle="1" w:styleId="15">
    <w:name w:val="15"/>
    <w:basedOn w:val="a0"/>
    <w:rsid w:val="00CD771A"/>
    <w:rPr>
      <w:rFonts w:ascii="MyriadPro-Light" w:hAnsi="MyriadPro-Light" w:hint="default"/>
      <w:b w:val="0"/>
      <w:bCs w:val="0"/>
      <w:i w:val="0"/>
      <w:iCs w:val="0"/>
      <w:color w:val="000000"/>
      <w:sz w:val="16"/>
      <w:szCs w:val="16"/>
    </w:rPr>
  </w:style>
  <w:style w:type="table" w:styleId="a6">
    <w:name w:val="Table Grid"/>
    <w:basedOn w:val="a1"/>
    <w:uiPriority w:val="99"/>
    <w:unhideWhenUsed/>
    <w:rsid w:val="00CD771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rsid w:val="00B41956"/>
  </w:style>
  <w:style w:type="character" w:styleId="a7">
    <w:name w:val="annotation reference"/>
    <w:basedOn w:val="a0"/>
    <w:rsid w:val="00D5396E"/>
    <w:rPr>
      <w:sz w:val="21"/>
      <w:szCs w:val="21"/>
    </w:rPr>
  </w:style>
  <w:style w:type="paragraph" w:styleId="a8">
    <w:name w:val="annotation text"/>
    <w:basedOn w:val="a"/>
    <w:link w:val="Char2"/>
    <w:rsid w:val="00D5396E"/>
  </w:style>
  <w:style w:type="character" w:customStyle="1" w:styleId="Char2">
    <w:name w:val="批注文字 Char"/>
    <w:basedOn w:val="a0"/>
    <w:link w:val="a8"/>
    <w:rsid w:val="00D5396E"/>
    <w:rPr>
      <w:sz w:val="24"/>
      <w:szCs w:val="24"/>
    </w:rPr>
  </w:style>
  <w:style w:type="paragraph" w:styleId="a9">
    <w:name w:val="annotation subject"/>
    <w:basedOn w:val="a8"/>
    <w:next w:val="a8"/>
    <w:link w:val="Char3"/>
    <w:rsid w:val="00D5396E"/>
    <w:rPr>
      <w:b/>
      <w:bCs/>
    </w:rPr>
  </w:style>
  <w:style w:type="character" w:customStyle="1" w:styleId="Char3">
    <w:name w:val="批注主题 Char"/>
    <w:basedOn w:val="Char2"/>
    <w:link w:val="a9"/>
    <w:rsid w:val="00D5396E"/>
    <w:rPr>
      <w:b/>
      <w:bCs/>
      <w:sz w:val="24"/>
      <w:szCs w:val="24"/>
    </w:rPr>
  </w:style>
  <w:style w:type="character" w:styleId="aa">
    <w:name w:val="Hyperlink"/>
    <w:basedOn w:val="a0"/>
    <w:unhideWhenUsed/>
    <w:rsid w:val="00E84D2E"/>
    <w:rPr>
      <w:color w:val="0000FF" w:themeColor="hyperlink"/>
      <w:u w:val="single"/>
    </w:rPr>
  </w:style>
  <w:style w:type="character" w:customStyle="1" w:styleId="UnresolvedMention">
    <w:name w:val="Unresolved Mention"/>
    <w:basedOn w:val="a0"/>
    <w:uiPriority w:val="99"/>
    <w:semiHidden/>
    <w:unhideWhenUsed/>
    <w:rsid w:val="00E84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2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5364</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2021-07-22T04:35:00Z</dcterms:created>
  <dcterms:modified xsi:type="dcterms:W3CDTF">2021-08-19T08:52:00Z</dcterms:modified>
</cp:coreProperties>
</file>