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3D2F" w14:textId="77777777" w:rsidR="00A77B3E" w:rsidRDefault="00EC18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93204EB" w14:textId="77777777" w:rsidR="00A77B3E" w:rsidRDefault="00EC18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68221</w:t>
      </w:r>
    </w:p>
    <w:p w14:paraId="3EF3AB33" w14:textId="77777777" w:rsidR="00A77B3E" w:rsidRDefault="00EC18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4FB98B9" w14:textId="77777777" w:rsidR="00A77B3E" w:rsidRDefault="00A77B3E">
      <w:pPr>
        <w:spacing w:line="360" w:lineRule="auto"/>
        <w:jc w:val="both"/>
      </w:pPr>
    </w:p>
    <w:p w14:paraId="631EB8D6" w14:textId="77777777" w:rsidR="00A77B3E" w:rsidRDefault="00EC18EB">
      <w:pPr>
        <w:spacing w:line="360" w:lineRule="auto"/>
        <w:jc w:val="both"/>
      </w:pPr>
      <w:r>
        <w:rPr>
          <w:rFonts w:ascii="Book Antiqua" w:eastAsia="Book Antiqua" w:hAnsi="Book Antiqua" w:cs="Book Antiqua"/>
          <w:b/>
          <w:color w:val="000000"/>
        </w:rPr>
        <w:t>Hepatocellular carcinoma biomarkers, an imminent need</w:t>
      </w:r>
    </w:p>
    <w:p w14:paraId="2CA5DC75" w14:textId="77777777" w:rsidR="00A77B3E" w:rsidRDefault="00A77B3E">
      <w:pPr>
        <w:spacing w:line="360" w:lineRule="auto"/>
        <w:jc w:val="both"/>
      </w:pPr>
    </w:p>
    <w:p w14:paraId="720751DD" w14:textId="77777777" w:rsidR="00A77B3E" w:rsidRDefault="009B0B0E">
      <w:pPr>
        <w:spacing w:line="360" w:lineRule="auto"/>
        <w:jc w:val="both"/>
      </w:pPr>
      <w:r>
        <w:rPr>
          <w:rFonts w:ascii="Book Antiqua" w:eastAsia="Book Antiqua" w:hAnsi="Book Antiqua" w:cs="Book Antiqua"/>
          <w:color w:val="000000"/>
        </w:rPr>
        <w:t xml:space="preserve">Zamora-León </w:t>
      </w:r>
      <w:r>
        <w:rPr>
          <w:rFonts w:ascii="Book Antiqua" w:hAnsi="Book Antiqua" w:cs="Book Antiqua" w:hint="eastAsia"/>
          <w:color w:val="000000"/>
          <w:lang w:eastAsia="zh-CN"/>
        </w:rPr>
        <w:t xml:space="preserve">SP. </w:t>
      </w:r>
      <w:r w:rsidR="00EC18EB">
        <w:rPr>
          <w:rFonts w:ascii="Book Antiqua" w:eastAsia="Book Antiqua" w:hAnsi="Book Antiqua" w:cs="Book Antiqua"/>
          <w:color w:val="000000"/>
        </w:rPr>
        <w:t>Hepatocellular carcinoma biomarkers</w:t>
      </w:r>
    </w:p>
    <w:p w14:paraId="1DDC7191" w14:textId="77777777" w:rsidR="00A77B3E" w:rsidRDefault="00A77B3E">
      <w:pPr>
        <w:spacing w:line="360" w:lineRule="auto"/>
        <w:jc w:val="both"/>
      </w:pPr>
    </w:p>
    <w:p w14:paraId="2CFD78E8" w14:textId="77777777" w:rsidR="00A77B3E" w:rsidRDefault="00EC18EB">
      <w:pPr>
        <w:spacing w:line="360" w:lineRule="auto"/>
        <w:jc w:val="both"/>
      </w:pPr>
      <w:r>
        <w:rPr>
          <w:rFonts w:ascii="Book Antiqua" w:eastAsia="Book Antiqua" w:hAnsi="Book Antiqua" w:cs="Book Antiqua"/>
          <w:color w:val="000000"/>
        </w:rPr>
        <w:t>S Pilar Zamora-León</w:t>
      </w:r>
    </w:p>
    <w:p w14:paraId="13141CB9" w14:textId="77777777" w:rsidR="00A77B3E" w:rsidRDefault="00A77B3E">
      <w:pPr>
        <w:spacing w:line="360" w:lineRule="auto"/>
        <w:jc w:val="both"/>
      </w:pPr>
    </w:p>
    <w:p w14:paraId="059EA0C7" w14:textId="77777777" w:rsidR="00A77B3E" w:rsidRDefault="00EC18EB">
      <w:pPr>
        <w:spacing w:line="360" w:lineRule="auto"/>
        <w:jc w:val="both"/>
      </w:pPr>
      <w:r>
        <w:rPr>
          <w:rFonts w:ascii="Book Antiqua" w:eastAsia="Book Antiqua" w:hAnsi="Book Antiqua" w:cs="Book Antiqua"/>
          <w:b/>
          <w:bCs/>
          <w:color w:val="000000"/>
        </w:rPr>
        <w:t xml:space="preserve">S Pilar Zamora-León, </w:t>
      </w:r>
      <w:r>
        <w:rPr>
          <w:rFonts w:ascii="Book Antiqua" w:eastAsia="Book Antiqua" w:hAnsi="Book Antiqua" w:cs="Book Antiqua"/>
          <w:color w:val="000000"/>
        </w:rPr>
        <w:t xml:space="preserve">Department of Preclinical Sciences, Faculty of Medicine, Universidad </w:t>
      </w:r>
      <w:proofErr w:type="spellStart"/>
      <w:r>
        <w:rPr>
          <w:rFonts w:ascii="Book Antiqua" w:eastAsia="Book Antiqua" w:hAnsi="Book Antiqua" w:cs="Book Antiqua"/>
          <w:color w:val="000000"/>
        </w:rPr>
        <w:t>Católica</w:t>
      </w:r>
      <w:proofErr w:type="spellEnd"/>
      <w:r>
        <w:rPr>
          <w:rFonts w:ascii="Book Antiqua" w:eastAsia="Book Antiqua" w:hAnsi="Book Antiqua" w:cs="Book Antiqua"/>
          <w:color w:val="000000"/>
        </w:rPr>
        <w:t xml:space="preserve"> del Maule, Talca 3460000, Chile</w:t>
      </w:r>
    </w:p>
    <w:p w14:paraId="318AB548" w14:textId="77777777" w:rsidR="00A77B3E" w:rsidRDefault="00A77B3E">
      <w:pPr>
        <w:spacing w:line="360" w:lineRule="auto"/>
        <w:jc w:val="both"/>
      </w:pPr>
    </w:p>
    <w:p w14:paraId="31594D78" w14:textId="77777777" w:rsidR="00A77B3E" w:rsidRPr="009B0B0E" w:rsidRDefault="00EC18EB">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Zamora-León SP</w:t>
      </w:r>
      <w:r w:rsidR="009B0B0E">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wrote the letter</w:t>
      </w:r>
      <w:r w:rsidR="009B0B0E">
        <w:rPr>
          <w:rFonts w:ascii="Book Antiqua" w:hAnsi="Book Antiqua" w:cs="Book Antiqua" w:hint="eastAsia"/>
          <w:color w:val="000000"/>
          <w:szCs w:val="22"/>
          <w:lang w:eastAsia="zh-CN"/>
        </w:rPr>
        <w:t>.</w:t>
      </w:r>
    </w:p>
    <w:p w14:paraId="49FDC4EB" w14:textId="77777777" w:rsidR="00A77B3E" w:rsidRDefault="00A77B3E">
      <w:pPr>
        <w:spacing w:line="360" w:lineRule="auto"/>
        <w:jc w:val="both"/>
      </w:pPr>
    </w:p>
    <w:p w14:paraId="27783A6C" w14:textId="77777777" w:rsidR="00A77B3E" w:rsidRDefault="00EC18EB">
      <w:pPr>
        <w:spacing w:line="360" w:lineRule="auto"/>
        <w:jc w:val="both"/>
      </w:pPr>
      <w:r>
        <w:rPr>
          <w:rFonts w:ascii="Book Antiqua" w:eastAsia="Book Antiqua" w:hAnsi="Book Antiqua" w:cs="Book Antiqua"/>
          <w:b/>
          <w:bCs/>
          <w:color w:val="000000"/>
        </w:rPr>
        <w:t xml:space="preserve">Corresponding author: S Pilar Zamora-León, MSc, PhD, Academic Research, Assistant Professor, </w:t>
      </w:r>
      <w:r>
        <w:rPr>
          <w:rFonts w:ascii="Book Antiqua" w:eastAsia="Book Antiqua" w:hAnsi="Book Antiqua" w:cs="Book Antiqua"/>
          <w:color w:val="000000"/>
        </w:rPr>
        <w:t xml:space="preserve">Department of Preclinical Sciences, Faculty of Medicine, Universidad </w:t>
      </w:r>
      <w:proofErr w:type="spellStart"/>
      <w:r>
        <w:rPr>
          <w:rFonts w:ascii="Book Antiqua" w:eastAsia="Book Antiqua" w:hAnsi="Book Antiqua" w:cs="Book Antiqua"/>
          <w:color w:val="000000"/>
        </w:rPr>
        <w:t>Católica</w:t>
      </w:r>
      <w:proofErr w:type="spellEnd"/>
      <w:r>
        <w:rPr>
          <w:rFonts w:ascii="Book Antiqua" w:eastAsia="Book Antiqua" w:hAnsi="Book Antiqua" w:cs="Book Antiqua"/>
          <w:color w:val="000000"/>
        </w:rPr>
        <w:t xml:space="preserve"> del Maule, Avenida San Miguel 3605, Talca 3460000, Chile. pzamora@ucm.cl</w:t>
      </w:r>
    </w:p>
    <w:p w14:paraId="4A660CE9" w14:textId="77777777" w:rsidR="00A77B3E" w:rsidRDefault="00A77B3E">
      <w:pPr>
        <w:spacing w:line="360" w:lineRule="auto"/>
        <w:jc w:val="both"/>
      </w:pPr>
    </w:p>
    <w:p w14:paraId="480A3204" w14:textId="77777777" w:rsidR="00A77B3E" w:rsidRDefault="00EC18E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2021</w:t>
      </w:r>
    </w:p>
    <w:p w14:paraId="4A2DA875" w14:textId="77777777" w:rsidR="00A77B3E" w:rsidRDefault="00EC18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 2021</w:t>
      </w:r>
    </w:p>
    <w:p w14:paraId="54A464A6" w14:textId="52C3CD3E" w:rsidR="00A77B3E" w:rsidRDefault="00EC18EB">
      <w:pPr>
        <w:spacing w:line="360" w:lineRule="auto"/>
        <w:jc w:val="both"/>
      </w:pPr>
      <w:r>
        <w:rPr>
          <w:rFonts w:ascii="Book Antiqua" w:eastAsia="Book Antiqua" w:hAnsi="Book Antiqua" w:cs="Book Antiqua"/>
          <w:b/>
          <w:bCs/>
          <w:color w:val="000000"/>
        </w:rPr>
        <w:t xml:space="preserve">Accepted: </w:t>
      </w:r>
      <w:r w:rsidR="002400D3" w:rsidRPr="002400D3">
        <w:rPr>
          <w:rFonts w:ascii="Book Antiqua" w:eastAsia="Book Antiqua" w:hAnsi="Book Antiqua" w:cs="Book Antiqua"/>
          <w:color w:val="000000"/>
        </w:rPr>
        <w:t>September 19, 2021</w:t>
      </w:r>
    </w:p>
    <w:p w14:paraId="41B60D78" w14:textId="77777777" w:rsidR="00A77B3E" w:rsidRDefault="00EC18EB">
      <w:pPr>
        <w:spacing w:line="360" w:lineRule="auto"/>
        <w:jc w:val="both"/>
      </w:pPr>
      <w:r>
        <w:rPr>
          <w:rFonts w:ascii="Book Antiqua" w:eastAsia="Book Antiqua" w:hAnsi="Book Antiqua" w:cs="Book Antiqua"/>
          <w:b/>
          <w:bCs/>
          <w:color w:val="000000"/>
        </w:rPr>
        <w:t xml:space="preserve">Published online: </w:t>
      </w:r>
    </w:p>
    <w:p w14:paraId="002F944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C583FE9" w14:textId="77777777" w:rsidR="00A77B3E" w:rsidRDefault="00EC18EB">
      <w:pPr>
        <w:spacing w:line="360" w:lineRule="auto"/>
        <w:jc w:val="both"/>
      </w:pPr>
      <w:r>
        <w:rPr>
          <w:rFonts w:ascii="Book Antiqua" w:eastAsia="Book Antiqua" w:hAnsi="Book Antiqua" w:cs="Book Antiqua"/>
          <w:b/>
          <w:color w:val="000000"/>
        </w:rPr>
        <w:lastRenderedPageBreak/>
        <w:t>Abstract</w:t>
      </w:r>
    </w:p>
    <w:p w14:paraId="20989880" w14:textId="77777777" w:rsidR="00A77B3E" w:rsidRDefault="00EC18EB">
      <w:pPr>
        <w:spacing w:line="360" w:lineRule="auto"/>
        <w:jc w:val="both"/>
      </w:pPr>
      <w:r>
        <w:rPr>
          <w:rFonts w:ascii="Book Antiqua" w:eastAsia="Book Antiqua" w:hAnsi="Book Antiqua" w:cs="Book Antiqua"/>
          <w:color w:val="000000"/>
        </w:rPr>
        <w:t>Hepatocellular carcinoma (HCC) is the most common malignant neoplasm of the liver and one of the deadliest cancers worldwide. The identification of novel, highly specific and more sensitive biomarkers for HCC is crucial because existing ones are deficient and non-confirmatory without histological biopsy or imaging techniques.</w:t>
      </w:r>
    </w:p>
    <w:p w14:paraId="191F39F9" w14:textId="77777777" w:rsidR="00A77B3E" w:rsidRDefault="00A77B3E">
      <w:pPr>
        <w:spacing w:line="360" w:lineRule="auto"/>
        <w:jc w:val="both"/>
      </w:pPr>
    </w:p>
    <w:p w14:paraId="5DFFC645" w14:textId="77777777" w:rsidR="00A77B3E" w:rsidRDefault="00EC18E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Biomarker; Blood; Urine; Feces; Gut microbiota</w:t>
      </w:r>
    </w:p>
    <w:p w14:paraId="3866237A" w14:textId="77777777" w:rsidR="00A77B3E" w:rsidRDefault="00A77B3E">
      <w:pPr>
        <w:spacing w:line="360" w:lineRule="auto"/>
        <w:jc w:val="both"/>
      </w:pPr>
    </w:p>
    <w:p w14:paraId="416BD410" w14:textId="77777777" w:rsidR="00A77B3E" w:rsidRDefault="00EC18EB">
      <w:pPr>
        <w:spacing w:line="360" w:lineRule="auto"/>
        <w:jc w:val="both"/>
      </w:pPr>
      <w:r>
        <w:rPr>
          <w:rFonts w:ascii="Book Antiqua" w:eastAsia="Book Antiqua" w:hAnsi="Book Antiqua" w:cs="Book Antiqua"/>
          <w:color w:val="000000"/>
        </w:rPr>
        <w:t xml:space="preserve">Zamora-León SP. Hepatocellular carcinoma biomarkers, an imminent need.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60B3545C" w14:textId="77777777" w:rsidR="00A77B3E" w:rsidRDefault="00A77B3E">
      <w:pPr>
        <w:spacing w:line="360" w:lineRule="auto"/>
        <w:jc w:val="both"/>
      </w:pPr>
    </w:p>
    <w:p w14:paraId="5AB83280" w14:textId="77777777" w:rsidR="00A77B3E" w:rsidRDefault="00EC18E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identification of specific, sensitive and validated biomarkers for hepatocellular carcinoma (HCC) is complex because of the variability in genetic profiles, but their requirement is urgent to achieve earlier detection of HCC. Body fluids and feces for biomarker detection constitute feasible and low cost screening tools for early diagnosis, prognosis and treatment of HCC.</w:t>
      </w:r>
    </w:p>
    <w:p w14:paraId="6776339C" w14:textId="77777777" w:rsidR="00A77B3E" w:rsidRDefault="009B0B0E">
      <w:pPr>
        <w:spacing w:line="360" w:lineRule="auto"/>
        <w:jc w:val="both"/>
      </w:pPr>
      <w:r>
        <w:br w:type="page"/>
      </w:r>
      <w:r w:rsidR="00EC18EB">
        <w:rPr>
          <w:rFonts w:ascii="Book Antiqua" w:eastAsia="Book Antiqua" w:hAnsi="Book Antiqua" w:cs="Book Antiqua"/>
          <w:b/>
          <w:caps/>
          <w:color w:val="000000"/>
          <w:u w:val="single"/>
        </w:rPr>
        <w:lastRenderedPageBreak/>
        <w:t>TO THE EDITOR</w:t>
      </w:r>
    </w:p>
    <w:p w14:paraId="3CA6E314" w14:textId="77777777" w:rsidR="00A77B3E" w:rsidRDefault="00EC18EB">
      <w:pPr>
        <w:spacing w:line="360" w:lineRule="auto"/>
        <w:jc w:val="both"/>
      </w:pPr>
      <w:r>
        <w:rPr>
          <w:rFonts w:ascii="Book Antiqua" w:eastAsia="Book Antiqua" w:hAnsi="Book Antiqua" w:cs="Book Antiqua"/>
          <w:color w:val="000000"/>
        </w:rPr>
        <w:t xml:space="preserve">I read the review by Guan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“Biomarkers for hepatocellular carcinoma based on body fluids and feces”, published in the April 2021 issue of the </w:t>
      </w:r>
      <w:r>
        <w:rPr>
          <w:rFonts w:ascii="Book Antiqua" w:eastAsia="Book Antiqua" w:hAnsi="Book Antiqua" w:cs="Book Antiqua"/>
          <w:i/>
          <w:iCs/>
          <w:color w:val="000000"/>
        </w:rPr>
        <w:t>World Journal of Gastrointestinal Oncology</w:t>
      </w:r>
      <w:r>
        <w:rPr>
          <w:rFonts w:ascii="Book Antiqua" w:eastAsia="Book Antiqua" w:hAnsi="Book Antiqua" w:cs="Book Antiqua"/>
          <w:color w:val="000000"/>
        </w:rPr>
        <w:t>, with profound interest.</w:t>
      </w:r>
    </w:p>
    <w:p w14:paraId="69625652"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Hepatocellular carcinoma (HCC) is the leading malignant neoplasm of the liver and one of the most common lethal cancers worldwide. For this reason, an early detection is crucial to decrease mortality, since symptomatology appears at later stages of the disease. The identification of novel, highly specific and sensitive biomarkers, or a combination of them, is of special concern because the existing ones are deficient and non-confirmatory without histological biopsy or imaging techniques. The utilization of body fluids and feces for biomarker detection constitutes a feasible minimally- or non-invasive and low-cost screening method that facilitates studies for early diagnosis, prognosis and treatment of HCC.</w:t>
      </w:r>
    </w:p>
    <w:p w14:paraId="7C9682BE" w14:textId="77777777" w:rsidR="00A77B3E" w:rsidRDefault="00EC18EB" w:rsidP="009B0B0E">
      <w:pPr>
        <w:spacing w:line="360" w:lineRule="auto"/>
        <w:ind w:firstLineChars="100" w:firstLine="240"/>
        <w:jc w:val="both"/>
      </w:pPr>
      <w:r>
        <w:rPr>
          <w:rFonts w:ascii="Book Antiqua" w:eastAsia="Book Antiqua" w:hAnsi="Book Antiqua" w:cs="Book Antiqua"/>
          <w:color w:val="000000"/>
        </w:rPr>
        <w:t xml:space="preserve">Since HCC can arise from a variety of etiological factors, such as metabolic disorders, virus infections or toxin exposure, the genetic profiles are considerably variable, resulting in diverse hepatic immune microenvironments. This implies that the metabolomic, proteomic and </w:t>
      </w:r>
      <w:proofErr w:type="spellStart"/>
      <w:r>
        <w:rPr>
          <w:rFonts w:ascii="Book Antiqua" w:eastAsia="Book Antiqua" w:hAnsi="Book Antiqua" w:cs="Book Antiqua"/>
          <w:color w:val="000000"/>
        </w:rPr>
        <w:t>glycomic</w:t>
      </w:r>
      <w:proofErr w:type="spellEnd"/>
      <w:r>
        <w:rPr>
          <w:rFonts w:ascii="Book Antiqua" w:eastAsia="Book Antiqua" w:hAnsi="Book Antiqua" w:cs="Book Antiqua"/>
          <w:color w:val="000000"/>
        </w:rPr>
        <w:t xml:space="preserve"> profiles should be better clarified for the various HCCs in order to improve overall understanding of the disease and allow for identification of appropriate and validated biomarkers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522B600"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 xml:space="preserve">Alpha-fetoprotein (AFP) is the most common biomarker utilized for HCC diagnosis, but its sensitivity is only 39%-65% and its performance at early stages of the disease is suboptimal. Therefore, to improve detection of the malignancy, AFP has to be combined with imaging findings as well as other parameters, such as age and sex, which increase the sensitivity. In addition, AFP-L3, the highest </w:t>
      </w:r>
      <w:proofErr w:type="spellStart"/>
      <w:r>
        <w:rPr>
          <w:rFonts w:ascii="Book Antiqua" w:eastAsia="Book Antiqua" w:hAnsi="Book Antiqua" w:cs="Book Antiqua"/>
          <w:color w:val="000000"/>
        </w:rPr>
        <w:t>glycoform</w:t>
      </w:r>
      <w:proofErr w:type="spellEnd"/>
      <w:r>
        <w:rPr>
          <w:rFonts w:ascii="Book Antiqua" w:eastAsia="Book Antiqua" w:hAnsi="Book Antiqua" w:cs="Book Antiqua"/>
          <w:color w:val="000000"/>
        </w:rPr>
        <w:t xml:space="preserve"> of AFP, has exhibited much higher sensitivity, and the AFP-L3/AFP ratio can be considered as a risk factor for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FACE4F6" w14:textId="77777777" w:rsidR="00A77B3E" w:rsidRDefault="00EC18EB" w:rsidP="009B0B0E">
      <w:pPr>
        <w:spacing w:line="360" w:lineRule="auto"/>
        <w:ind w:firstLineChars="100" w:firstLine="240"/>
        <w:jc w:val="both"/>
      </w:pPr>
      <w:r>
        <w:rPr>
          <w:rFonts w:ascii="Book Antiqua" w:eastAsia="Book Antiqua" w:hAnsi="Book Antiqua" w:cs="Book Antiqua"/>
          <w:color w:val="000000"/>
        </w:rPr>
        <w:t xml:space="preserve">Several metabolites have displayed higher accuracy than AFP, showing aberrant levels that can be detected at earlier stages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Circulating tumor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)DNA also has great potential to became a biomarker, since it contains several tumor-specific </w:t>
      </w:r>
      <w:r>
        <w:rPr>
          <w:rFonts w:ascii="Book Antiqua" w:eastAsia="Book Antiqua" w:hAnsi="Book Antiqua" w:cs="Book Antiqua"/>
          <w:color w:val="000000"/>
        </w:rPr>
        <w:lastRenderedPageBreak/>
        <w:t>mutations or epimutations, constituting a good approach for HCC detection and prognosis, and to serve as a tool for monitoring therapeutic response. Additionally, several different micro (mi)RNAs and other non-coding (</w:t>
      </w:r>
      <w:proofErr w:type="spellStart"/>
      <w:r>
        <w:rPr>
          <w:rFonts w:ascii="Book Antiqua" w:eastAsia="Book Antiqua" w:hAnsi="Book Antiqua" w:cs="Book Antiqua"/>
          <w:color w:val="000000"/>
        </w:rPr>
        <w:t>nc</w:t>
      </w:r>
      <w:proofErr w:type="spellEnd"/>
      <w:r>
        <w:rPr>
          <w:rFonts w:ascii="Book Antiqua" w:eastAsia="Book Antiqua" w:hAnsi="Book Antiqua" w:cs="Book Antiqua"/>
          <w:color w:val="000000"/>
        </w:rPr>
        <w:t>)RNAs have been shown to be deregulated in HCC, implying that their aberrant expression should be evaluated and validated as potential prognostic biomarkers. Unfortunately, miRNA variabilities have been detected depending on whether they are measured in serum or plasma, thereby complicating interpretation</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76D8655D"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 xml:space="preserve">Moreover, circulating tumor cells (CTCs) have shown partial sensitivity but high specificity and are considered to have great potential in prediction of recurrence and prognostic evaluation of HCC. On the other hand, extracellular vesicles (EVs), such as exosomes and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the contents of which are very heterogeneous, do not present better diagnostic performances than CTCs or circulating cell-free DNA, but they do have good potential as future therapeutic agents</w:t>
      </w:r>
      <w:r>
        <w:rPr>
          <w:rFonts w:ascii="Book Antiqua" w:eastAsia="Book Antiqua" w:hAnsi="Book Antiqua" w:cs="Book Antiqua"/>
          <w:color w:val="000000"/>
          <w:szCs w:val="30"/>
          <w:vertAlign w:val="superscript"/>
        </w:rPr>
        <w:t>[5,8,9]</w:t>
      </w:r>
      <w:r>
        <w:rPr>
          <w:rFonts w:ascii="Book Antiqua" w:eastAsia="Book Antiqua" w:hAnsi="Book Antiqua" w:cs="Book Antiqua"/>
          <w:color w:val="000000"/>
        </w:rPr>
        <w:t>.</w:t>
      </w:r>
    </w:p>
    <w:p w14:paraId="66B5A33C"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 xml:space="preserve">The above-mentioned biomarkers,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miRNAs, CTCs and EVs, are tumor-specific, which is of great advantage, because they exhibit the heterogeneity of the tumor and its evolution. These features cannot be detected with other plasma biomarkers.</w:t>
      </w:r>
    </w:p>
    <w:p w14:paraId="614417C7" w14:textId="77777777" w:rsidR="00A77B3E" w:rsidRPr="009B0B0E" w:rsidRDefault="00EC18EB" w:rsidP="009B0B0E">
      <w:pPr>
        <w:spacing w:line="360" w:lineRule="auto"/>
        <w:ind w:firstLineChars="100" w:firstLine="240"/>
        <w:jc w:val="both"/>
        <w:rPr>
          <w:lang w:eastAsia="zh-CN"/>
        </w:rPr>
      </w:pPr>
      <w:r>
        <w:rPr>
          <w:rFonts w:ascii="Book Antiqua" w:eastAsia="Book Antiqua" w:hAnsi="Book Antiqua" w:cs="Book Antiqua"/>
          <w:color w:val="000000"/>
        </w:rPr>
        <w:t xml:space="preserve">Additionally, several urine molecules have the potential to be classified as biomarkers for prevention, detection, progression monitoring, and recurrence prediction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It is possible that they can be used as auxiliary diagnostic tools in combination with AFP. Moreover, feces-based biomarkers, which reflect the gut microbiota —</w:t>
      </w:r>
      <w:r w:rsidR="009B0B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is itself known to vary with different pathological stages, are under evaluation for their potential utility in early diagnosis, prognosis and progression monitoring of HCC. In addition, the use of antibiotics to modulate gut microbiota appears to be a favorable strategy to influence the progression of HCC. Promising results have also been obtained with probiotics in mouse HCC models, which have shown a reduction in the development of this malignant neoplasm, opening avenues of possible application as a therapy in humans in the </w:t>
      </w:r>
      <w:proofErr w:type="gramStart"/>
      <w:r>
        <w:rPr>
          <w:rFonts w:ascii="Book Antiqua" w:eastAsia="Book Antiqua" w:hAnsi="Book Antiqua" w:cs="Book Antiqua"/>
          <w:color w:val="000000"/>
        </w:rPr>
        <w:t>future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w:t>
      </w:r>
    </w:p>
    <w:p w14:paraId="0C51051D" w14:textId="77777777" w:rsidR="00A77B3E" w:rsidRDefault="00EC18EB" w:rsidP="009B0B0E">
      <w:pPr>
        <w:spacing w:line="360" w:lineRule="auto"/>
        <w:ind w:firstLineChars="100" w:firstLine="240"/>
        <w:jc w:val="both"/>
      </w:pPr>
      <w:r>
        <w:rPr>
          <w:rFonts w:ascii="Book Antiqua" w:eastAsia="Book Antiqua" w:hAnsi="Book Antiqua" w:cs="Book Antiqua"/>
          <w:color w:val="000000"/>
        </w:rPr>
        <w:lastRenderedPageBreak/>
        <w:t>The identification of more specific and sensitive biomarkers for HCC, and their variability over time, is an urgent requirement due to their critical role for early detection and prognosis, for choosing appropriate therapy, or for use as a tool to follow-up the patient’s treatment response. Ideally, biomarkers should detect HCC months before the tumor is visible, to improve surveillance and facilitate initiation of an earlier therapy. Clearly, the identification of new biomarkers for prompt HCC detection is complex, nonetheless because of the diverse type of tumors (genetic heterogeneity). However, efforts must be made to combat this devastating tumor malignancy. Moreover, the performance of new biomarkers will have to be clinically validated to optimize the current therapeutical strategies.</w:t>
      </w:r>
    </w:p>
    <w:p w14:paraId="1B3DD885" w14:textId="77777777" w:rsidR="00A77B3E" w:rsidRDefault="00A77B3E" w:rsidP="009B0B0E">
      <w:pPr>
        <w:spacing w:line="360" w:lineRule="auto"/>
        <w:jc w:val="both"/>
        <w:rPr>
          <w:lang w:eastAsia="zh-CN"/>
        </w:rPr>
      </w:pPr>
    </w:p>
    <w:p w14:paraId="2EA81586" w14:textId="77777777" w:rsidR="00A77B3E" w:rsidRDefault="00EC18EB">
      <w:pPr>
        <w:spacing w:line="360" w:lineRule="auto"/>
        <w:jc w:val="both"/>
      </w:pPr>
      <w:r>
        <w:rPr>
          <w:rFonts w:ascii="Book Antiqua" w:eastAsia="Book Antiqua" w:hAnsi="Book Antiqua" w:cs="Book Antiqua"/>
          <w:b/>
          <w:caps/>
          <w:color w:val="000000"/>
          <w:u w:val="single"/>
        </w:rPr>
        <w:t>ACKNOWLEDGEMENTS</w:t>
      </w:r>
    </w:p>
    <w:p w14:paraId="014E79CB" w14:textId="77777777" w:rsidR="00A77B3E" w:rsidRDefault="00EC18EB">
      <w:pPr>
        <w:spacing w:line="360" w:lineRule="auto"/>
        <w:jc w:val="both"/>
      </w:pPr>
      <w:r>
        <w:rPr>
          <w:rFonts w:ascii="Book Antiqua" w:eastAsia="Book Antiqua" w:hAnsi="Book Antiqua" w:cs="Book Antiqua"/>
          <w:color w:val="000000"/>
        </w:rPr>
        <w:t xml:space="preserve">I would like to thank the Faculty of Medicine and Universidad </w:t>
      </w:r>
      <w:proofErr w:type="spellStart"/>
      <w:r>
        <w:rPr>
          <w:rFonts w:ascii="Book Antiqua" w:eastAsia="Book Antiqua" w:hAnsi="Book Antiqua" w:cs="Book Antiqua"/>
          <w:color w:val="000000"/>
        </w:rPr>
        <w:t>Católica</w:t>
      </w:r>
      <w:proofErr w:type="spellEnd"/>
      <w:r>
        <w:rPr>
          <w:rFonts w:ascii="Book Antiqua" w:eastAsia="Book Antiqua" w:hAnsi="Book Antiqua" w:cs="Book Antiqua"/>
          <w:color w:val="000000"/>
        </w:rPr>
        <w:t xml:space="preserve"> del Maule for giving me the time to write this letter.</w:t>
      </w:r>
    </w:p>
    <w:p w14:paraId="3AA3187E" w14:textId="77777777" w:rsidR="00A77B3E" w:rsidRDefault="00A77B3E">
      <w:pPr>
        <w:spacing w:line="360" w:lineRule="auto"/>
        <w:jc w:val="both"/>
      </w:pPr>
    </w:p>
    <w:p w14:paraId="1DEF7903" w14:textId="77777777" w:rsidR="00A77B3E" w:rsidRDefault="00EC18EB">
      <w:pPr>
        <w:spacing w:line="360" w:lineRule="auto"/>
        <w:jc w:val="both"/>
      </w:pPr>
      <w:r>
        <w:rPr>
          <w:rFonts w:ascii="Book Antiqua" w:eastAsia="Book Antiqua" w:hAnsi="Book Antiqua" w:cs="Book Antiqua"/>
          <w:b/>
          <w:color w:val="000000"/>
        </w:rPr>
        <w:t>REFERENCES</w:t>
      </w:r>
    </w:p>
    <w:p w14:paraId="070221DD" w14:textId="77777777" w:rsidR="00A77B3E" w:rsidRDefault="00EC18E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Guan MC</w:t>
      </w:r>
      <w:r>
        <w:rPr>
          <w:rFonts w:ascii="Book Antiqua" w:eastAsia="Book Antiqua" w:hAnsi="Book Antiqua" w:cs="Book Antiqua"/>
          <w:color w:val="000000"/>
        </w:rPr>
        <w:t xml:space="preserve">, Ouyang W, Wang MD, Liang L, Li N, Fu TT, Shen F, Lau WY, Xu QR, Huang DS, Zhu H, Yang T. Biomarkers for hepatocellular carcinoma based on body fluids and feces.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351-365 [PMID: 34040698 DOI: 10.4251/wjgo.v13.i5.351]</w:t>
      </w:r>
    </w:p>
    <w:p w14:paraId="77D9D07B" w14:textId="77777777" w:rsidR="00A77B3E" w:rsidRDefault="00EC18E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Duan J</w:t>
      </w:r>
      <w:r>
        <w:rPr>
          <w:rFonts w:ascii="Book Antiqua" w:eastAsia="Book Antiqua" w:hAnsi="Book Antiqua" w:cs="Book Antiqua"/>
          <w:color w:val="000000"/>
        </w:rPr>
        <w:t xml:space="preserve">, Wu Y, Liu J, Zhang J, Fu Z, Feng T, Liu M, Han J, Li Z, Chen S. Genetic Biomarkers For Hepatocellular Carcinoma In The Era Of Precision Medicine.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151-166 [PMID: 31696097 DOI: 10.2147/JHC.S224849]</w:t>
      </w:r>
    </w:p>
    <w:p w14:paraId="7A1FFD89" w14:textId="77777777" w:rsidR="00A77B3E" w:rsidRDefault="00EC18E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Daniele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Bencivenga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Megna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Tinessa</w:t>
      </w:r>
      <w:proofErr w:type="spellEnd"/>
      <w:r>
        <w:rPr>
          <w:rFonts w:ascii="Book Antiqua" w:eastAsia="Book Antiqua" w:hAnsi="Book Antiqua" w:cs="Book Antiqua"/>
          <w:color w:val="000000"/>
        </w:rPr>
        <w:t xml:space="preserve"> V. Alpha-fetoprotein and ultrasonography screening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S108-S112 [PMID: 15508073 DOI: 10.1053/j.gastro.2004.09.023]</w:t>
      </w:r>
    </w:p>
    <w:p w14:paraId="384E5E8A" w14:textId="77777777" w:rsidR="00A77B3E" w:rsidRDefault="00EC18E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DJ</w:t>
      </w:r>
      <w:r>
        <w:rPr>
          <w:rFonts w:ascii="Book Antiqua" w:eastAsia="Book Antiqua" w:hAnsi="Book Antiqua" w:cs="Book Antiqua"/>
          <w:color w:val="000000"/>
        </w:rPr>
        <w:t xml:space="preserve">, Cho EJ, Yu KS, Jang IJ, Yoon JH, Park T, Cho JY. Comprehensive Metabolomic Search for Biomarkers to Differentiate Early Stage Hepatocellular </w:t>
      </w:r>
      <w:r>
        <w:rPr>
          <w:rFonts w:ascii="Book Antiqua" w:eastAsia="Book Antiqua" w:hAnsi="Book Antiqua" w:cs="Book Antiqua"/>
          <w:color w:val="000000"/>
        </w:rPr>
        <w:lastRenderedPageBreak/>
        <w:t xml:space="preserve">Carcinoma from Cirrhosis.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31590436 DOI: 10.3390/cancers11101497]</w:t>
      </w:r>
    </w:p>
    <w:p w14:paraId="318DB205" w14:textId="77777777" w:rsidR="00A77B3E" w:rsidRDefault="00EC18E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Singh G</w:t>
      </w:r>
      <w:r>
        <w:rPr>
          <w:rFonts w:ascii="Book Antiqua" w:eastAsia="Book Antiqua" w:hAnsi="Book Antiqua" w:cs="Book Antiqua"/>
          <w:color w:val="000000"/>
        </w:rPr>
        <w:t xml:space="preserve">, Yoshida EM, Rathi S, Marquez V, Kim P, </w:t>
      </w:r>
      <w:proofErr w:type="spellStart"/>
      <w:r>
        <w:rPr>
          <w:rFonts w:ascii="Book Antiqua" w:eastAsia="Book Antiqua" w:hAnsi="Book Antiqua" w:cs="Book Antiqua"/>
          <w:color w:val="000000"/>
        </w:rPr>
        <w:t>Erb</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Salh</w:t>
      </w:r>
      <w:proofErr w:type="spellEnd"/>
      <w:r>
        <w:rPr>
          <w:rFonts w:ascii="Book Antiqua" w:eastAsia="Book Antiqua" w:hAnsi="Book Antiqua" w:cs="Book Antiqua"/>
          <w:color w:val="000000"/>
        </w:rPr>
        <w:t xml:space="preserve"> BS. Biomarkers for hepatocellular cancer.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558-573 [PMID: 33033565 DOI: 10.4254/wjh.v12.i9.558]</w:t>
      </w:r>
    </w:p>
    <w:p w14:paraId="23F33426" w14:textId="77777777" w:rsidR="00A77B3E" w:rsidRDefault="00EC18E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Beudeker</w:t>
      </w:r>
      <w:proofErr w:type="spellEnd"/>
      <w:r>
        <w:rPr>
          <w:rFonts w:ascii="Book Antiqua" w:eastAsia="Book Antiqua" w:hAnsi="Book Antiqua" w:cs="Book Antiqua"/>
          <w:b/>
          <w:bCs/>
          <w:color w:val="000000"/>
        </w:rPr>
        <w:t xml:space="preserve"> BJB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Boonstra</w:t>
      </w:r>
      <w:proofErr w:type="spellEnd"/>
      <w:r>
        <w:rPr>
          <w:rFonts w:ascii="Book Antiqua" w:eastAsia="Book Antiqua" w:hAnsi="Book Antiqua" w:cs="Book Antiqua"/>
          <w:color w:val="000000"/>
        </w:rPr>
        <w:t xml:space="preserve"> A. Circulating biomarkers for early detection of hepatocellular carcinoma.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1756284820931734 [PMID: 32647536 DOI: 10.1177/1756284820931734]</w:t>
      </w:r>
    </w:p>
    <w:p w14:paraId="44245079" w14:textId="77777777" w:rsidR="00A77B3E" w:rsidRDefault="00EC18E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 Stefano F</w:t>
      </w:r>
      <w:r>
        <w:rPr>
          <w:rFonts w:ascii="Book Antiqua" w:eastAsia="Book Antiqua" w:hAnsi="Book Antiqua" w:cs="Book Antiqua"/>
          <w:color w:val="000000"/>
        </w:rPr>
        <w:t xml:space="preserve">, Chacon E, Turcios L, Marti F, </w:t>
      </w:r>
      <w:proofErr w:type="spellStart"/>
      <w:r>
        <w:rPr>
          <w:rFonts w:ascii="Book Antiqua" w:eastAsia="Book Antiqua" w:hAnsi="Book Antiqua" w:cs="Book Antiqua"/>
          <w:color w:val="000000"/>
        </w:rPr>
        <w:t>Gedaly</w:t>
      </w:r>
      <w:proofErr w:type="spellEnd"/>
      <w:r>
        <w:rPr>
          <w:rFonts w:ascii="Book Antiqua" w:eastAsia="Book Antiqua" w:hAnsi="Book Antiqua" w:cs="Book Antiqua"/>
          <w:color w:val="000000"/>
        </w:rPr>
        <w:t xml:space="preserve"> R. Novel biomarkers in hepatocellular carcinoma.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1115-1123 [PMID: 30217732 DOI: 10.1016/j.dld.2018.08.019]</w:t>
      </w:r>
    </w:p>
    <w:p w14:paraId="4030146A" w14:textId="77777777" w:rsidR="00A77B3E" w:rsidRDefault="00EC18E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Piñero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Dirchwolf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Pessôa</w:t>
      </w:r>
      <w:proofErr w:type="spellEnd"/>
      <w:r>
        <w:rPr>
          <w:rFonts w:ascii="Book Antiqua" w:eastAsia="Book Antiqua" w:hAnsi="Book Antiqua" w:cs="Book Antiqua"/>
          <w:color w:val="000000"/>
        </w:rPr>
        <w:t xml:space="preserve"> MG. Biomarkers in Hepatocellular Carcinoma: Diagnosis, Prognosis and Treatment Response Assessment.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32492896 DOI: 10.3390/cells9061370]</w:t>
      </w:r>
    </w:p>
    <w:p w14:paraId="0F8BF3E9" w14:textId="77777777" w:rsidR="00A77B3E" w:rsidRDefault="00EC18E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W</w:t>
      </w:r>
      <w:r>
        <w:rPr>
          <w:rFonts w:ascii="Book Antiqua" w:eastAsia="Book Antiqua" w:hAnsi="Book Antiqua" w:cs="Book Antiqua"/>
          <w:color w:val="000000"/>
        </w:rPr>
        <w:t xml:space="preserve">, Mao Y, Liu C, Wu H, Chen S. Exosome in Hepatocellular Carcinoma: an update.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2526-2536 [PMID: 33854614 DOI: 10.7150/jca.54566]</w:t>
      </w:r>
    </w:p>
    <w:p w14:paraId="0718FD7A" w14:textId="77777777" w:rsidR="00A77B3E" w:rsidRDefault="00EC18E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Zhao Y</w:t>
      </w:r>
      <w:r>
        <w:rPr>
          <w:rFonts w:ascii="Book Antiqua" w:eastAsia="Book Antiqua" w:hAnsi="Book Antiqua" w:cs="Book Antiqua"/>
          <w:color w:val="000000"/>
        </w:rPr>
        <w:t xml:space="preserve">, Li Y, Liu W, Xing S, Wang D, Chen J, Sun L, Mu J, Liu W, Xing B, Sun W, He F. Identification of noninvasive diagnostic biomarkers for hepatocellular carcinoma by urinary proteomics.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225</w:t>
      </w:r>
      <w:r>
        <w:rPr>
          <w:rFonts w:ascii="Book Antiqua" w:eastAsia="Book Antiqua" w:hAnsi="Book Antiqua" w:cs="Book Antiqua"/>
          <w:color w:val="000000"/>
        </w:rPr>
        <w:t>: 103780 [PMID: 32298775 DOI: 10.1016/j.jprot.2020.103780]</w:t>
      </w:r>
    </w:p>
    <w:p w14:paraId="64C0DDE7" w14:textId="77777777" w:rsidR="00A77B3E" w:rsidRDefault="00EC18E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Ren Z</w:t>
      </w:r>
      <w:r>
        <w:rPr>
          <w:rFonts w:ascii="Book Antiqua" w:eastAsia="Book Antiqua" w:hAnsi="Book Antiqua" w:cs="Book Antiqua"/>
          <w:color w:val="000000"/>
        </w:rPr>
        <w:t xml:space="preserve">, Li A, Jiang J, Zhou L, Yu Z, Lu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Chen X, Shao L, Zhang R, Xu S, Zhang H, Cui G, Chen X, Sun R, Wen H,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JP, Kan Q, Li L, Zheng S. Gut microbiome analysis as a tool towards targeted non-invasive biomarkers for early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1014-1023 [PMID: 30045880 DOI: 10.1136/gutjnl-2017-315084]</w:t>
      </w:r>
    </w:p>
    <w:p w14:paraId="560DC3AE" w14:textId="77777777" w:rsidR="00A77B3E" w:rsidRDefault="00EC18E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Rattan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Minacapelli</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V. The Microbiome and Hepatocellular Carcinoma.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1316-1327 [PMID: 32564483 DOI: 10.1002/</w:t>
      </w:r>
      <w:r w:rsidR="00423242">
        <w:rPr>
          <w:rFonts w:ascii="Book Antiqua" w:hAnsi="Book Antiqua" w:cs="Book Antiqua" w:hint="eastAsia"/>
          <w:color w:val="000000"/>
          <w:lang w:eastAsia="zh-CN"/>
        </w:rPr>
        <w:t>l</w:t>
      </w:r>
      <w:r>
        <w:rPr>
          <w:rFonts w:ascii="Book Antiqua" w:eastAsia="Book Antiqua" w:hAnsi="Book Antiqua" w:cs="Book Antiqua"/>
          <w:color w:val="000000"/>
        </w:rPr>
        <w:t>t.25828]</w:t>
      </w:r>
    </w:p>
    <w:p w14:paraId="6918BF1A" w14:textId="77777777" w:rsidR="00A77B3E" w:rsidRDefault="00EC18E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 E</w:t>
      </w:r>
      <w:r>
        <w:rPr>
          <w:rFonts w:ascii="Book Antiqua" w:eastAsia="Book Antiqua" w:hAnsi="Book Antiqua" w:cs="Book Antiqua"/>
          <w:color w:val="000000"/>
        </w:rPr>
        <w:t xml:space="preserve">, Lin L, Chen CW,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DL. Mouse Models for Immunotherapy in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31731753 DOI: 10.3390/cancers11111800]</w:t>
      </w:r>
    </w:p>
    <w:p w14:paraId="756840E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8FC74C" w14:textId="77777777" w:rsidR="00A77B3E" w:rsidRDefault="00EC18EB">
      <w:pPr>
        <w:spacing w:line="360" w:lineRule="auto"/>
        <w:jc w:val="both"/>
      </w:pPr>
      <w:r>
        <w:rPr>
          <w:rFonts w:ascii="Book Antiqua" w:eastAsia="Book Antiqua" w:hAnsi="Book Antiqua" w:cs="Book Antiqua"/>
          <w:b/>
          <w:color w:val="000000"/>
        </w:rPr>
        <w:lastRenderedPageBreak/>
        <w:t>Footnotes</w:t>
      </w:r>
    </w:p>
    <w:p w14:paraId="15DD8A8D" w14:textId="77777777" w:rsidR="00A77B3E" w:rsidRDefault="00EC18EB">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The author declares having no conflict of interest related to this </w:t>
      </w:r>
      <w:r w:rsidR="009B0B0E">
        <w:rPr>
          <w:rFonts w:ascii="Book Antiqua" w:hAnsi="Book Antiqua" w:cs="Book Antiqua" w:hint="eastAsia"/>
          <w:color w:val="000000"/>
          <w:lang w:eastAsia="zh-CN"/>
        </w:rPr>
        <w:t>l</w:t>
      </w:r>
      <w:r>
        <w:rPr>
          <w:rFonts w:ascii="Book Antiqua" w:eastAsia="Book Antiqua" w:hAnsi="Book Antiqua" w:cs="Book Antiqua"/>
          <w:color w:val="000000"/>
        </w:rPr>
        <w:t>etter.</w:t>
      </w:r>
    </w:p>
    <w:p w14:paraId="6F18F1D3" w14:textId="77777777" w:rsidR="00A77B3E" w:rsidRDefault="00A77B3E">
      <w:pPr>
        <w:spacing w:line="360" w:lineRule="auto"/>
        <w:jc w:val="both"/>
      </w:pPr>
    </w:p>
    <w:p w14:paraId="2B022B1B" w14:textId="77777777" w:rsidR="00A77B3E" w:rsidRDefault="00EC18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3C839A" w14:textId="77777777" w:rsidR="00A77B3E" w:rsidRDefault="00A77B3E">
      <w:pPr>
        <w:spacing w:line="360" w:lineRule="auto"/>
        <w:jc w:val="both"/>
      </w:pPr>
    </w:p>
    <w:p w14:paraId="659167C9" w14:textId="77777777" w:rsidR="00A77B3E" w:rsidRDefault="00EC18E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B0B0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64776BE" w14:textId="77777777" w:rsidR="00A77B3E" w:rsidRDefault="00A77B3E">
      <w:pPr>
        <w:spacing w:line="360" w:lineRule="auto"/>
        <w:jc w:val="both"/>
      </w:pPr>
    </w:p>
    <w:p w14:paraId="4EA32001" w14:textId="77777777" w:rsidR="00A77B3E" w:rsidRDefault="00EC18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2021</w:t>
      </w:r>
    </w:p>
    <w:p w14:paraId="630F9D0E" w14:textId="77777777" w:rsidR="00A77B3E" w:rsidRDefault="00EC18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2021</w:t>
      </w:r>
    </w:p>
    <w:p w14:paraId="690901FE" w14:textId="77777777" w:rsidR="00A77B3E" w:rsidRDefault="00EC18EB">
      <w:pPr>
        <w:spacing w:line="360" w:lineRule="auto"/>
        <w:jc w:val="both"/>
      </w:pPr>
      <w:r>
        <w:rPr>
          <w:rFonts w:ascii="Book Antiqua" w:eastAsia="Book Antiqua" w:hAnsi="Book Antiqua" w:cs="Book Antiqua"/>
          <w:b/>
          <w:color w:val="000000"/>
        </w:rPr>
        <w:t xml:space="preserve">Article in press: </w:t>
      </w:r>
    </w:p>
    <w:p w14:paraId="199E5A4C" w14:textId="77777777" w:rsidR="00A77B3E" w:rsidRDefault="00A77B3E">
      <w:pPr>
        <w:spacing w:line="360" w:lineRule="auto"/>
        <w:jc w:val="both"/>
      </w:pPr>
    </w:p>
    <w:p w14:paraId="6AFAD419" w14:textId="77777777" w:rsidR="00A77B3E" w:rsidRDefault="00EC18EB">
      <w:pPr>
        <w:spacing w:line="360" w:lineRule="auto"/>
        <w:jc w:val="both"/>
      </w:pPr>
      <w:r>
        <w:rPr>
          <w:rFonts w:ascii="Book Antiqua" w:eastAsia="Book Antiqua" w:hAnsi="Book Antiqua" w:cs="Book Antiqua"/>
          <w:b/>
          <w:color w:val="000000"/>
        </w:rPr>
        <w:t xml:space="preserve">Specialty type: </w:t>
      </w:r>
      <w:r w:rsidR="009B0B0E" w:rsidRPr="00E700C2">
        <w:rPr>
          <w:rFonts w:ascii="Book Antiqua" w:eastAsia="微软雅黑" w:hAnsi="Book Antiqua" w:cs="宋体"/>
        </w:rPr>
        <w:t>Oncology</w:t>
      </w:r>
    </w:p>
    <w:p w14:paraId="33A7AFA7" w14:textId="77777777" w:rsidR="00A77B3E" w:rsidRDefault="00EC18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Chile</w:t>
      </w:r>
    </w:p>
    <w:p w14:paraId="430A7B26" w14:textId="77777777" w:rsidR="00A77B3E" w:rsidRDefault="00EC18EB">
      <w:pPr>
        <w:spacing w:line="360" w:lineRule="auto"/>
        <w:jc w:val="both"/>
      </w:pPr>
      <w:r>
        <w:rPr>
          <w:rFonts w:ascii="Book Antiqua" w:eastAsia="Book Antiqua" w:hAnsi="Book Antiqua" w:cs="Book Antiqua"/>
          <w:b/>
          <w:color w:val="000000"/>
        </w:rPr>
        <w:t>Peer-review report’s scientific quality classification</w:t>
      </w:r>
    </w:p>
    <w:p w14:paraId="042346B6" w14:textId="77777777" w:rsidR="00A77B3E" w:rsidRDefault="00EC18EB">
      <w:pPr>
        <w:spacing w:line="360" w:lineRule="auto"/>
        <w:jc w:val="both"/>
      </w:pPr>
      <w:r>
        <w:rPr>
          <w:rFonts w:ascii="Book Antiqua" w:eastAsia="Book Antiqua" w:hAnsi="Book Antiqua" w:cs="Book Antiqua"/>
          <w:color w:val="000000"/>
        </w:rPr>
        <w:t>Grade A (Excellent): 0</w:t>
      </w:r>
    </w:p>
    <w:p w14:paraId="585C68CA" w14:textId="77777777" w:rsidR="00A77B3E" w:rsidRDefault="00EC18EB">
      <w:pPr>
        <w:spacing w:line="360" w:lineRule="auto"/>
        <w:jc w:val="both"/>
      </w:pPr>
      <w:r>
        <w:rPr>
          <w:rFonts w:ascii="Book Antiqua" w:eastAsia="Book Antiqua" w:hAnsi="Book Antiqua" w:cs="Book Antiqua"/>
          <w:color w:val="000000"/>
        </w:rPr>
        <w:t>Grade B (Very good): 0</w:t>
      </w:r>
    </w:p>
    <w:p w14:paraId="6C2D01D2" w14:textId="77777777" w:rsidR="00A77B3E" w:rsidRDefault="00EC18EB">
      <w:pPr>
        <w:spacing w:line="360" w:lineRule="auto"/>
        <w:jc w:val="both"/>
      </w:pPr>
      <w:r>
        <w:rPr>
          <w:rFonts w:ascii="Book Antiqua" w:eastAsia="Book Antiqua" w:hAnsi="Book Antiqua" w:cs="Book Antiqua"/>
          <w:color w:val="000000"/>
        </w:rPr>
        <w:t>Grade C (Good): C</w:t>
      </w:r>
    </w:p>
    <w:p w14:paraId="15ABB979" w14:textId="77777777" w:rsidR="00A77B3E" w:rsidRDefault="00EC18EB">
      <w:pPr>
        <w:spacing w:line="360" w:lineRule="auto"/>
        <w:jc w:val="both"/>
      </w:pPr>
      <w:r>
        <w:rPr>
          <w:rFonts w:ascii="Book Antiqua" w:eastAsia="Book Antiqua" w:hAnsi="Book Antiqua" w:cs="Book Antiqua"/>
          <w:color w:val="000000"/>
        </w:rPr>
        <w:t>Grade D (Fair): 0</w:t>
      </w:r>
    </w:p>
    <w:p w14:paraId="77F704E3" w14:textId="77777777" w:rsidR="00A77B3E" w:rsidRDefault="00EC18EB">
      <w:pPr>
        <w:spacing w:line="360" w:lineRule="auto"/>
        <w:jc w:val="both"/>
      </w:pPr>
      <w:r>
        <w:rPr>
          <w:rFonts w:ascii="Book Antiqua" w:eastAsia="Book Antiqua" w:hAnsi="Book Antiqua" w:cs="Book Antiqua"/>
          <w:color w:val="000000"/>
        </w:rPr>
        <w:t>Grade E (Poor): 0</w:t>
      </w:r>
    </w:p>
    <w:p w14:paraId="5A835F91" w14:textId="77777777" w:rsidR="00A77B3E" w:rsidRDefault="00A77B3E">
      <w:pPr>
        <w:spacing w:line="360" w:lineRule="auto"/>
        <w:jc w:val="both"/>
      </w:pPr>
    </w:p>
    <w:p w14:paraId="7CF6151D" w14:textId="77777777" w:rsidR="00A77B3E" w:rsidRDefault="00EC18EB">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Tajiri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9349E1">
        <w:rPr>
          <w:rFonts w:ascii="Book Antiqua" w:hAnsi="Book Antiqua" w:cs="Book Antiqua" w:hint="eastAsia"/>
          <w:b/>
          <w:color w:val="000000"/>
          <w:lang w:eastAsia="zh-CN"/>
        </w:rPr>
        <w:t xml:space="preserve"> </w:t>
      </w:r>
      <w:r w:rsidR="009349E1" w:rsidRPr="009349E1">
        <w:rPr>
          <w:rFonts w:ascii="Book Antiqua" w:hAnsi="Book Antiqua" w:cs="Book Antiqua" w:hint="eastAsia"/>
          <w:color w:val="000000"/>
          <w:lang w:eastAsia="zh-CN"/>
        </w:rPr>
        <w:t>A</w:t>
      </w:r>
      <w:r w:rsidR="009349E1">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125D" w14:textId="77777777" w:rsidR="00134B3D" w:rsidRDefault="00134B3D" w:rsidP="00097C23">
      <w:r>
        <w:separator/>
      </w:r>
    </w:p>
  </w:endnote>
  <w:endnote w:type="continuationSeparator" w:id="0">
    <w:p w14:paraId="525F0972" w14:textId="77777777" w:rsidR="00134B3D" w:rsidRDefault="00134B3D" w:rsidP="0009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97471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55C8094" w14:textId="77777777" w:rsidR="00097C23" w:rsidRPr="00097C23" w:rsidRDefault="00097C23" w:rsidP="00097C23">
            <w:pPr>
              <w:pStyle w:val="a5"/>
              <w:jc w:val="right"/>
              <w:rPr>
                <w:rFonts w:ascii="Book Antiqua" w:hAnsi="Book Antiqua"/>
                <w:sz w:val="24"/>
                <w:szCs w:val="24"/>
              </w:rPr>
            </w:pPr>
            <w:r w:rsidRPr="00097C23">
              <w:rPr>
                <w:rFonts w:ascii="Book Antiqua" w:hAnsi="Book Antiqua"/>
                <w:sz w:val="24"/>
                <w:szCs w:val="24"/>
                <w:lang w:val="zh-CN" w:eastAsia="zh-CN"/>
              </w:rPr>
              <w:t xml:space="preserve"> </w:t>
            </w:r>
            <w:r w:rsidRPr="00097C23">
              <w:rPr>
                <w:rFonts w:ascii="Book Antiqua" w:hAnsi="Book Antiqua"/>
                <w:bCs/>
                <w:sz w:val="24"/>
                <w:szCs w:val="24"/>
              </w:rPr>
              <w:fldChar w:fldCharType="begin"/>
            </w:r>
            <w:r w:rsidRPr="00097C23">
              <w:rPr>
                <w:rFonts w:ascii="Book Antiqua" w:hAnsi="Book Antiqua"/>
                <w:bCs/>
                <w:sz w:val="24"/>
                <w:szCs w:val="24"/>
              </w:rPr>
              <w:instrText>PAGE</w:instrText>
            </w:r>
            <w:r w:rsidRPr="00097C23">
              <w:rPr>
                <w:rFonts w:ascii="Book Antiqua" w:hAnsi="Book Antiqua"/>
                <w:bCs/>
                <w:sz w:val="24"/>
                <w:szCs w:val="24"/>
              </w:rPr>
              <w:fldChar w:fldCharType="separate"/>
            </w:r>
            <w:r w:rsidR="009349E1">
              <w:rPr>
                <w:rFonts w:ascii="Book Antiqua" w:hAnsi="Book Antiqua"/>
                <w:bCs/>
                <w:noProof/>
                <w:sz w:val="24"/>
                <w:szCs w:val="24"/>
              </w:rPr>
              <w:t>7</w:t>
            </w:r>
            <w:r w:rsidRPr="00097C23">
              <w:rPr>
                <w:rFonts w:ascii="Book Antiqua" w:hAnsi="Book Antiqua"/>
                <w:bCs/>
                <w:sz w:val="24"/>
                <w:szCs w:val="24"/>
              </w:rPr>
              <w:fldChar w:fldCharType="end"/>
            </w:r>
            <w:r w:rsidRPr="00097C23">
              <w:rPr>
                <w:rFonts w:ascii="Book Antiqua" w:hAnsi="Book Antiqua"/>
                <w:sz w:val="24"/>
                <w:szCs w:val="24"/>
                <w:lang w:val="zh-CN" w:eastAsia="zh-CN"/>
              </w:rPr>
              <w:t xml:space="preserve"> / </w:t>
            </w:r>
            <w:r w:rsidRPr="00097C23">
              <w:rPr>
                <w:rFonts w:ascii="Book Antiqua" w:hAnsi="Book Antiqua"/>
                <w:bCs/>
                <w:sz w:val="24"/>
                <w:szCs w:val="24"/>
              </w:rPr>
              <w:fldChar w:fldCharType="begin"/>
            </w:r>
            <w:r w:rsidRPr="00097C23">
              <w:rPr>
                <w:rFonts w:ascii="Book Antiqua" w:hAnsi="Book Antiqua"/>
                <w:bCs/>
                <w:sz w:val="24"/>
                <w:szCs w:val="24"/>
              </w:rPr>
              <w:instrText>NUMPAGES</w:instrText>
            </w:r>
            <w:r w:rsidRPr="00097C23">
              <w:rPr>
                <w:rFonts w:ascii="Book Antiqua" w:hAnsi="Book Antiqua"/>
                <w:bCs/>
                <w:sz w:val="24"/>
                <w:szCs w:val="24"/>
              </w:rPr>
              <w:fldChar w:fldCharType="separate"/>
            </w:r>
            <w:r w:rsidR="009349E1">
              <w:rPr>
                <w:rFonts w:ascii="Book Antiqua" w:hAnsi="Book Antiqua"/>
                <w:bCs/>
                <w:noProof/>
                <w:sz w:val="24"/>
                <w:szCs w:val="24"/>
              </w:rPr>
              <w:t>7</w:t>
            </w:r>
            <w:r w:rsidRPr="00097C23">
              <w:rPr>
                <w:rFonts w:ascii="Book Antiqua" w:hAnsi="Book Antiqua"/>
                <w:bCs/>
                <w:sz w:val="24"/>
                <w:szCs w:val="24"/>
              </w:rPr>
              <w:fldChar w:fldCharType="end"/>
            </w:r>
          </w:p>
        </w:sdtContent>
      </w:sdt>
    </w:sdtContent>
  </w:sdt>
  <w:p w14:paraId="48BD67AF" w14:textId="77777777" w:rsidR="00097C23" w:rsidRPr="00097C23" w:rsidRDefault="00097C23" w:rsidP="00097C23">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9921" w14:textId="77777777" w:rsidR="00134B3D" w:rsidRDefault="00134B3D" w:rsidP="00097C23">
      <w:r>
        <w:separator/>
      </w:r>
    </w:p>
  </w:footnote>
  <w:footnote w:type="continuationSeparator" w:id="0">
    <w:p w14:paraId="5734BF39" w14:textId="77777777" w:rsidR="00134B3D" w:rsidRDefault="00134B3D" w:rsidP="0009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07A"/>
    <w:rsid w:val="00097C23"/>
    <w:rsid w:val="00134B3D"/>
    <w:rsid w:val="002400D3"/>
    <w:rsid w:val="00423242"/>
    <w:rsid w:val="004A2AB8"/>
    <w:rsid w:val="005070A3"/>
    <w:rsid w:val="0059103C"/>
    <w:rsid w:val="006D5731"/>
    <w:rsid w:val="008A614F"/>
    <w:rsid w:val="008F5434"/>
    <w:rsid w:val="009349E1"/>
    <w:rsid w:val="009B0B0E"/>
    <w:rsid w:val="00A6576E"/>
    <w:rsid w:val="00A77B3E"/>
    <w:rsid w:val="00CA2A55"/>
    <w:rsid w:val="00E47D55"/>
    <w:rsid w:val="00EC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FE0D"/>
  <w15:docId w15:val="{0381BEB8-B277-44EE-B3AD-556DBA13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7C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7C23"/>
    <w:rPr>
      <w:sz w:val="18"/>
      <w:szCs w:val="18"/>
    </w:rPr>
  </w:style>
  <w:style w:type="paragraph" w:styleId="a5">
    <w:name w:val="footer"/>
    <w:basedOn w:val="a"/>
    <w:link w:val="a6"/>
    <w:uiPriority w:val="99"/>
    <w:rsid w:val="00097C23"/>
    <w:pPr>
      <w:tabs>
        <w:tab w:val="center" w:pos="4153"/>
        <w:tab w:val="right" w:pos="8306"/>
      </w:tabs>
      <w:snapToGrid w:val="0"/>
    </w:pPr>
    <w:rPr>
      <w:sz w:val="18"/>
      <w:szCs w:val="18"/>
    </w:rPr>
  </w:style>
  <w:style w:type="character" w:customStyle="1" w:styleId="a6">
    <w:name w:val="页脚 字符"/>
    <w:basedOn w:val="a0"/>
    <w:link w:val="a5"/>
    <w:uiPriority w:val="99"/>
    <w:rsid w:val="00097C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2021-09-19T07:22:00Z</dcterms:created>
  <dcterms:modified xsi:type="dcterms:W3CDTF">2021-09-19T07:22:00Z</dcterms:modified>
</cp:coreProperties>
</file>