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6F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Name of Journal: </w:t>
      </w:r>
      <w:r w:rsidRPr="00B66BCA">
        <w:rPr>
          <w:rFonts w:ascii="Book Antiqua" w:hAnsi="Book Antiqua"/>
          <w:i/>
          <w:iCs/>
        </w:rPr>
        <w:t>World Journal of Clinical Cases</w:t>
      </w:r>
    </w:p>
    <w:p w14:paraId="4EF4B0D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Manuscript NO: </w:t>
      </w:r>
      <w:r w:rsidRPr="00B66BCA">
        <w:rPr>
          <w:rFonts w:ascii="Book Antiqua" w:hAnsi="Book Antiqua"/>
        </w:rPr>
        <w:t>68240</w:t>
      </w:r>
    </w:p>
    <w:p w14:paraId="1C318B3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Manuscript Type: </w:t>
      </w:r>
      <w:r w:rsidRPr="00B66BCA">
        <w:rPr>
          <w:rFonts w:ascii="Book Antiqua" w:hAnsi="Book Antiqua"/>
        </w:rPr>
        <w:t>ORIGINAL ARTICLE</w:t>
      </w:r>
    </w:p>
    <w:p w14:paraId="33B685A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C32859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Case Control Study</w:t>
      </w:r>
    </w:p>
    <w:p w14:paraId="393B48C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Correlation between circulating endothelial cell level and acute respiratory distress syndrome in postoperative patients</w:t>
      </w:r>
    </w:p>
    <w:p w14:paraId="32647F45"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47346A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Peng M e</w:t>
      </w:r>
      <w:r w:rsidRPr="00B66BCA">
        <w:rPr>
          <w:rFonts w:ascii="Book Antiqua" w:hAnsi="Book Antiqua"/>
          <w:i/>
          <w:iCs/>
        </w:rPr>
        <w:t>t al</w:t>
      </w:r>
      <w:r w:rsidRPr="00B66BCA">
        <w:rPr>
          <w:rFonts w:ascii="Book Antiqua" w:hAnsi="Book Antiqua"/>
        </w:rPr>
        <w:t>. CEC and ARDS</w:t>
      </w:r>
    </w:p>
    <w:p w14:paraId="6569F3D8"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CBC7F6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Min Peng, Qing-He Yan, Ying Gao, Zhen Zhang, Ying Zhang, Yi-Feng Wang, He-Ning Wu</w:t>
      </w:r>
    </w:p>
    <w:p w14:paraId="566FAB3E"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5093ECB" w14:textId="4D9FC488"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Min Peng, Qing-</w:t>
      </w:r>
      <w:r w:rsidR="00A72C94" w:rsidRPr="00B66BCA">
        <w:rPr>
          <w:rFonts w:ascii="Book Antiqua" w:hAnsi="Book Antiqua"/>
          <w:b/>
          <w:bCs/>
        </w:rPr>
        <w:t>H</w:t>
      </w:r>
      <w:r w:rsidRPr="00B66BCA">
        <w:rPr>
          <w:rFonts w:ascii="Book Antiqua" w:hAnsi="Book Antiqua"/>
          <w:b/>
          <w:bCs/>
        </w:rPr>
        <w:t xml:space="preserve">e Yan, Ying Gao, Zhen Zhang, Ying Zhang, Yi-Feng Wang, He-Ning Wu, </w:t>
      </w:r>
      <w:r w:rsidRPr="00B66BCA">
        <w:rPr>
          <w:rFonts w:ascii="Book Antiqua" w:hAnsi="Book Antiqua"/>
        </w:rPr>
        <w:t>Department of Intensive Care Unit, Tianjin Medical University General Hospital, Tianjin 300070, China</w:t>
      </w:r>
    </w:p>
    <w:p w14:paraId="1EBAC05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D71DE8F" w14:textId="08A20375"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Author contributions: </w:t>
      </w:r>
      <w:r w:rsidRPr="00B66BCA">
        <w:rPr>
          <w:rFonts w:ascii="Book Antiqua" w:hAnsi="Book Antiqua"/>
        </w:rPr>
        <w:t xml:space="preserve">Peng M conceived and coordinated </w:t>
      </w:r>
      <w:r w:rsidR="00A72C94" w:rsidRPr="00B66BCA">
        <w:rPr>
          <w:rFonts w:ascii="Book Antiqua" w:hAnsi="Book Antiqua"/>
        </w:rPr>
        <w:t xml:space="preserve">the </w:t>
      </w:r>
      <w:r w:rsidRPr="00B66BCA">
        <w:rPr>
          <w:rFonts w:ascii="Book Antiqua" w:hAnsi="Book Antiqua"/>
        </w:rPr>
        <w:t xml:space="preserve">study, designed, performed, and analyzed </w:t>
      </w:r>
      <w:r w:rsidR="00A72C94" w:rsidRPr="00B66BCA">
        <w:rPr>
          <w:rFonts w:ascii="Book Antiqua" w:hAnsi="Book Antiqua"/>
        </w:rPr>
        <w:t xml:space="preserve">the </w:t>
      </w:r>
      <w:r w:rsidRPr="00B66BCA">
        <w:rPr>
          <w:rFonts w:ascii="Book Antiqua" w:hAnsi="Book Antiqua"/>
        </w:rPr>
        <w:t xml:space="preserve">experiments, and wrote </w:t>
      </w:r>
      <w:r w:rsidR="00A72C94" w:rsidRPr="00B66BCA">
        <w:rPr>
          <w:rFonts w:ascii="Book Antiqua" w:hAnsi="Book Antiqua"/>
        </w:rPr>
        <w:t xml:space="preserve">the </w:t>
      </w:r>
      <w:r w:rsidRPr="00B66BCA">
        <w:rPr>
          <w:rFonts w:ascii="Book Antiqua" w:hAnsi="Book Antiqua"/>
        </w:rPr>
        <w:t xml:space="preserve">article; Yan QH and Gao Y carried out </w:t>
      </w:r>
      <w:r w:rsidR="00A72C94" w:rsidRPr="00B66BCA">
        <w:rPr>
          <w:rFonts w:ascii="Book Antiqua" w:hAnsi="Book Antiqua"/>
        </w:rPr>
        <w:t xml:space="preserve">the </w:t>
      </w:r>
      <w:r w:rsidRPr="00B66BCA">
        <w:rPr>
          <w:rFonts w:ascii="Book Antiqua" w:hAnsi="Book Antiqua"/>
        </w:rPr>
        <w:t xml:space="preserve">data collection; Zhang Z, Zhang Y, Wang YF and Wu HN </w:t>
      </w:r>
      <w:r w:rsidR="00A72C94" w:rsidRPr="00B66BCA">
        <w:rPr>
          <w:rFonts w:ascii="Book Antiqua" w:hAnsi="Book Antiqua"/>
        </w:rPr>
        <w:t xml:space="preserve">performed the </w:t>
      </w:r>
      <w:r w:rsidRPr="00B66BCA">
        <w:rPr>
          <w:rFonts w:ascii="Book Antiqua" w:hAnsi="Book Antiqua"/>
        </w:rPr>
        <w:t xml:space="preserve">data analysis; </w:t>
      </w:r>
      <w:r w:rsidR="00A72C94" w:rsidRPr="00B66BCA">
        <w:rPr>
          <w:rFonts w:ascii="Book Antiqua" w:hAnsi="Book Antiqua"/>
        </w:rPr>
        <w:t>A</w:t>
      </w:r>
      <w:r w:rsidRPr="00B66BCA">
        <w:rPr>
          <w:rFonts w:ascii="Book Antiqua" w:hAnsi="Book Antiqua"/>
        </w:rPr>
        <w:t xml:space="preserve">ll authors reviewed </w:t>
      </w:r>
      <w:r w:rsidR="00A72C94" w:rsidRPr="00B66BCA">
        <w:rPr>
          <w:rFonts w:ascii="Book Antiqua" w:hAnsi="Book Antiqua"/>
        </w:rPr>
        <w:t xml:space="preserve">the </w:t>
      </w:r>
      <w:r w:rsidRPr="00B66BCA">
        <w:rPr>
          <w:rFonts w:ascii="Book Antiqua" w:hAnsi="Book Antiqua"/>
        </w:rPr>
        <w:t>results and approved the final version of manuscript.</w:t>
      </w:r>
    </w:p>
    <w:p w14:paraId="1474180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4CB673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Supported by </w:t>
      </w:r>
      <w:r w:rsidRPr="00B66BCA">
        <w:rPr>
          <w:rFonts w:ascii="Book Antiqua" w:hAnsi="Book Antiqua"/>
        </w:rPr>
        <w:t>Science and Technology Development Fund Program of Higher Education of Tianjin, No. 20120121.</w:t>
      </w:r>
    </w:p>
    <w:p w14:paraId="4A428CAE"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61BCCC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Corresponding author: Min Peng, MD, Chief Physician, </w:t>
      </w:r>
      <w:r w:rsidRPr="00B66BCA">
        <w:rPr>
          <w:rFonts w:ascii="Book Antiqua" w:hAnsi="Book Antiqua"/>
        </w:rPr>
        <w:t>Department of Intensive Care Unit, Tianjin Medical University General Hospital, No. 154 Anshan Street, Heping District, Tianjin 300070, China. pengmin2021@sina.com</w:t>
      </w:r>
    </w:p>
    <w:p w14:paraId="238C82EE"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087AF9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Received: </w:t>
      </w:r>
      <w:r w:rsidRPr="00B66BCA">
        <w:rPr>
          <w:rFonts w:ascii="Book Antiqua" w:hAnsi="Book Antiqua"/>
        </w:rPr>
        <w:t>June 30, 2021</w:t>
      </w:r>
    </w:p>
    <w:p w14:paraId="5068FAF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Revised: </w:t>
      </w:r>
      <w:r w:rsidRPr="00B66BCA">
        <w:rPr>
          <w:rFonts w:ascii="Book Antiqua" w:hAnsi="Book Antiqua"/>
        </w:rPr>
        <w:t>August 27, 2021</w:t>
      </w:r>
    </w:p>
    <w:p w14:paraId="6671BDC2" w14:textId="542186A5"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Accepted: </w:t>
      </w:r>
      <w:r w:rsidR="00152D05" w:rsidRPr="00152D05">
        <w:rPr>
          <w:rFonts w:ascii="Book Antiqua" w:hAnsi="Book Antiqua"/>
        </w:rPr>
        <w:t>September 26, 2021</w:t>
      </w:r>
    </w:p>
    <w:p w14:paraId="053BAD1D" w14:textId="621082CA" w:rsidR="00C1490D" w:rsidRPr="00B66BCA" w:rsidRDefault="0098248C" w:rsidP="00B66BCA">
      <w:pPr>
        <w:pStyle w:val="Body"/>
        <w:adjustRightInd w:val="0"/>
        <w:snapToGrid w:val="0"/>
        <w:spacing w:line="360" w:lineRule="auto"/>
        <w:jc w:val="both"/>
        <w:rPr>
          <w:rFonts w:ascii="Book Antiqua" w:hAnsi="Book Antiqua"/>
          <w:b/>
          <w:bCs/>
        </w:rPr>
      </w:pPr>
      <w:r w:rsidRPr="00B66BCA">
        <w:rPr>
          <w:rFonts w:ascii="Book Antiqua" w:hAnsi="Book Antiqua"/>
          <w:b/>
          <w:bCs/>
        </w:rPr>
        <w:t xml:space="preserve">Published online: </w:t>
      </w:r>
      <w:r w:rsidR="00400DA0" w:rsidRPr="006F3127">
        <w:rPr>
          <w:rFonts w:ascii="Book Antiqua" w:hAnsi="Book Antiqua"/>
          <w:shd w:val="clear" w:color="auto" w:fill="FFFFFF"/>
        </w:rPr>
        <w:t>November 16</w:t>
      </w:r>
      <w:r w:rsidR="00400DA0" w:rsidRPr="006F3127">
        <w:rPr>
          <w:rFonts w:ascii="Book Antiqua" w:hAnsi="Book Antiqua" w:hint="eastAsia"/>
          <w:shd w:val="clear" w:color="auto" w:fill="FFFFFF"/>
          <w:lang w:eastAsia="zh-CN"/>
        </w:rPr>
        <w:t>, 2021</w:t>
      </w:r>
    </w:p>
    <w:p w14:paraId="637FDA28" w14:textId="3AE11323" w:rsidR="00B01F60" w:rsidRPr="00B66BCA" w:rsidRDefault="00B01F60" w:rsidP="00B66BCA">
      <w:pPr>
        <w:pStyle w:val="Body"/>
        <w:adjustRightInd w:val="0"/>
        <w:snapToGrid w:val="0"/>
        <w:spacing w:line="360" w:lineRule="auto"/>
        <w:jc w:val="both"/>
        <w:rPr>
          <w:rFonts w:ascii="Book Antiqua" w:hAnsi="Book Antiqua"/>
          <w:b/>
          <w:bCs/>
        </w:rPr>
      </w:pPr>
    </w:p>
    <w:p w14:paraId="67A8010D" w14:textId="77777777" w:rsidR="00B01F60" w:rsidRPr="00B66BCA" w:rsidRDefault="00B01F60" w:rsidP="00B66BCA">
      <w:pPr>
        <w:pStyle w:val="Body"/>
        <w:adjustRightInd w:val="0"/>
        <w:snapToGrid w:val="0"/>
        <w:spacing w:line="360" w:lineRule="auto"/>
        <w:jc w:val="both"/>
        <w:rPr>
          <w:rFonts w:ascii="Book Antiqua" w:hAnsi="Book Antiqua"/>
          <w:b/>
          <w:bCs/>
        </w:rPr>
      </w:pPr>
    </w:p>
    <w:p w14:paraId="61D10F7D" w14:textId="04B09473"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Abstract</w:t>
      </w:r>
    </w:p>
    <w:p w14:paraId="2C4C27C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BACKGROUND</w:t>
      </w:r>
    </w:p>
    <w:p w14:paraId="009F7A7B" w14:textId="4A6B5108"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Acute respiratory distress syndrome (ARDS) is injury of alveolar epithelial cells and capillary endothelial cells caused by various factors, including endogenous and exogenous lung factors, leading to diffuse pulmonary interstitial and alveolar edema, and acute respiratory failure. ARDS involves alveolar epithelial cells and pulmonary interstitial capillary endothelial cells. Circulating endothelial cells (CECs) are the only marker that directly reflects vascular endothelial injury </w:t>
      </w:r>
      <w:r w:rsidRPr="00B66BCA">
        <w:rPr>
          <w:rFonts w:ascii="Book Antiqua" w:hAnsi="Book Antiqua"/>
          <w:i/>
          <w:iCs/>
        </w:rPr>
        <w:t>in vivo</w:t>
      </w:r>
      <w:r w:rsidRPr="00B66BCA">
        <w:rPr>
          <w:rFonts w:ascii="Book Antiqua" w:hAnsi="Book Antiqua"/>
        </w:rPr>
        <w:t xml:space="preserve">. There have been few studies on the correlation between peripheral blood CECs and ARDS at home and abroad. The lungs are the organs with the highest capillary density and the most endothelial cells, thus, it is speculated that when ARDS occurs, CECs are stimulated and damaged, and released into the circulatory system. </w:t>
      </w:r>
    </w:p>
    <w:p w14:paraId="012A6B1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35B4A3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AIM</w:t>
      </w:r>
    </w:p>
    <w:p w14:paraId="703B04C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To explore the correlation between CEC level and severity of ARDS in patients postoperatively.</w:t>
      </w:r>
    </w:p>
    <w:p w14:paraId="2333C50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41B4D6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METHODS</w:t>
      </w:r>
    </w:p>
    <w:p w14:paraId="76744AE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Blood samples were collected from all patients on day 2 (d2) and day 5 (d5) after surgery. The control group comprised 32 healthy volunteers. Number of CECs was measured by flow cytometry, and operation time was recorded. Changes in various indexes of patients were monitored, and diagnosis of ARDS was determined based on ARDS Berlin </w:t>
      </w:r>
      <w:r w:rsidRPr="00B66BCA">
        <w:rPr>
          <w:rFonts w:ascii="Book Antiqua" w:hAnsi="Book Antiqua"/>
        </w:rPr>
        <w:lastRenderedPageBreak/>
        <w:t>definition. We comprised d2 CECs in different groups, correlation between operation time and d2 CECs, ARDS of different severity by d2 CECs, and predictive value of d2 CECs for ARDS in postoperative patients.</w:t>
      </w:r>
    </w:p>
    <w:p w14:paraId="666AFA8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11AE3B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RESULTS</w:t>
      </w:r>
    </w:p>
    <w:p w14:paraId="6F9DC96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 number of d2 CECs in the ARDS group was significantly higher than that in the healthy control group (</w:t>
      </w:r>
      <w:r w:rsidRPr="00B66BCA">
        <w:rPr>
          <w:rFonts w:ascii="Book Antiqua" w:hAnsi="Book Antiqua"/>
          <w:i/>
          <w:iCs/>
        </w:rPr>
        <w:t>P</w:t>
      </w:r>
      <w:r w:rsidRPr="00B66BCA">
        <w:rPr>
          <w:rFonts w:ascii="Book Antiqua" w:hAnsi="Book Antiqua"/>
        </w:rPr>
        <w:t xml:space="preserve"> &lt; 0.001). The number of d2 CECs in the ARDS group was significantly higher than that in the non-ARDS group (</w:t>
      </w:r>
      <w:r w:rsidRPr="00B66BCA">
        <w:rPr>
          <w:rFonts w:ascii="Book Antiqua" w:hAnsi="Book Antiqua"/>
          <w:i/>
          <w:iCs/>
        </w:rPr>
        <w:t>P</w:t>
      </w:r>
      <w:r w:rsidRPr="00B66BCA">
        <w:rPr>
          <w:rFonts w:ascii="Book Antiqua" w:hAnsi="Book Antiqua"/>
        </w:rPr>
        <w:t xml:space="preserve"> &lt; 0.001). The number of d2 CECs in the non-ARDS group was significantly higher than that in the healthy control group (</w:t>
      </w:r>
      <w:r w:rsidRPr="00B66BCA">
        <w:rPr>
          <w:rFonts w:ascii="Book Antiqua" w:hAnsi="Book Antiqua"/>
          <w:i/>
          <w:iCs/>
        </w:rPr>
        <w:t>P</w:t>
      </w:r>
      <w:r w:rsidRPr="00B66BCA">
        <w:rPr>
          <w:rFonts w:ascii="Book Antiqua" w:hAnsi="Book Antiqua"/>
        </w:rPr>
        <w:t xml:space="preserve"> &lt; 0.001). Operation time was positively correlated with number of CECs on d2 (rs = 0.302, </w:t>
      </w:r>
      <w:r w:rsidRPr="00B66BCA">
        <w:rPr>
          <w:rFonts w:ascii="Book Antiqua" w:hAnsi="Book Antiqua"/>
          <w:i/>
          <w:iCs/>
        </w:rPr>
        <w:t>P</w:t>
      </w:r>
      <w:r w:rsidRPr="00B66BCA">
        <w:rPr>
          <w:rFonts w:ascii="Book Antiqua" w:hAnsi="Book Antiqua"/>
        </w:rPr>
        <w:t xml:space="preserve"> = 0.001). The number of d2 CECs in the deceased group was significantly higher than that in the improved group (</w:t>
      </w:r>
      <w:r w:rsidRPr="00B66BCA">
        <w:rPr>
          <w:rFonts w:ascii="Book Antiqua" w:hAnsi="Book Antiqua"/>
          <w:i/>
          <w:iCs/>
        </w:rPr>
        <w:t>P</w:t>
      </w:r>
      <w:r w:rsidRPr="00B66BCA">
        <w:rPr>
          <w:rFonts w:ascii="Book Antiqua" w:hAnsi="Book Antiqua"/>
        </w:rPr>
        <w:t xml:space="preserve"> &lt; 0.001). There was no significant difference in number of d2 CECs between patients with mild and moderate ARDS. The number of d2 CECs in patients with severe ARDS was significantly higher than that in patients with mild and moderate ARDS (</w:t>
      </w:r>
      <w:r w:rsidRPr="00B66BCA">
        <w:rPr>
          <w:rFonts w:ascii="Book Antiqua" w:hAnsi="Book Antiqua"/>
          <w:i/>
          <w:iCs/>
        </w:rPr>
        <w:t>P</w:t>
      </w:r>
      <w:r w:rsidRPr="00B66BCA">
        <w:rPr>
          <w:rFonts w:ascii="Book Antiqua" w:hAnsi="Book Antiqua"/>
        </w:rPr>
        <w:t xml:space="preserve"> = 0.041, </w:t>
      </w:r>
      <w:r w:rsidRPr="00B66BCA">
        <w:rPr>
          <w:rFonts w:ascii="Book Antiqua" w:hAnsi="Book Antiqua"/>
          <w:i/>
          <w:iCs/>
        </w:rPr>
        <w:t>P</w:t>
      </w:r>
      <w:r w:rsidRPr="00B66BCA">
        <w:rPr>
          <w:rFonts w:ascii="Book Antiqua" w:hAnsi="Book Antiqua"/>
        </w:rPr>
        <w:t xml:space="preserve"> = 0.037). There was no significant difference in number of d5 and d2 CECs in the non-ARDS group after admission to intensive care. The number of d5 CECs was higher than the number of d2 CECs in the ARDS improved group (</w:t>
      </w:r>
      <w:r w:rsidRPr="00B66BCA">
        <w:rPr>
          <w:rFonts w:ascii="Book Antiqua" w:hAnsi="Book Antiqua"/>
          <w:i/>
          <w:iCs/>
        </w:rPr>
        <w:t>P</w:t>
      </w:r>
      <w:r w:rsidRPr="00B66BCA">
        <w:rPr>
          <w:rFonts w:ascii="Book Antiqua" w:hAnsi="Book Antiqua"/>
        </w:rPr>
        <w:t xml:space="preserve"> &lt; 0.001). The number of d5 CECs was higher than the number of d2 CECs in the ARDS deceased group (</w:t>
      </w:r>
      <w:r w:rsidRPr="00B66BCA">
        <w:rPr>
          <w:rFonts w:ascii="Book Antiqua" w:hAnsi="Book Antiqua"/>
          <w:i/>
          <w:iCs/>
        </w:rPr>
        <w:t>P</w:t>
      </w:r>
      <w:r w:rsidRPr="00B66BCA">
        <w:rPr>
          <w:rFonts w:ascii="Book Antiqua" w:hAnsi="Book Antiqua"/>
        </w:rPr>
        <w:t xml:space="preserve"> = 0.002). If the number of CECs was &gt; 1351/mL, sensitivity and specificity of predicting ARDS were 80.8% and 78.1%, respectively. </w:t>
      </w:r>
    </w:p>
    <w:p w14:paraId="1345496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41E5A3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CONCLUSION</w:t>
      </w:r>
    </w:p>
    <w:p w14:paraId="7B781A10"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Changes in number of CECs might predict occurrence and adverse outcome of ARDS after surgery, and higher numbers of CECs indicate worse prognosis of ARDS.</w:t>
      </w:r>
    </w:p>
    <w:p w14:paraId="498CE474"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D250DB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Key Words: </w:t>
      </w:r>
      <w:r w:rsidRPr="00B66BCA">
        <w:rPr>
          <w:rFonts w:ascii="Book Antiqua" w:hAnsi="Book Antiqua"/>
        </w:rPr>
        <w:t>Circulating endothelial cells; Acute respiratory distress syndrome; Intensive care unit; Postoperative period; Outcome; Flow cytometry</w:t>
      </w:r>
    </w:p>
    <w:p w14:paraId="39188603" w14:textId="77777777" w:rsidR="0002097E" w:rsidRDefault="0002097E" w:rsidP="0002097E">
      <w:pPr>
        <w:spacing w:line="360" w:lineRule="auto"/>
        <w:jc w:val="both"/>
        <w:rPr>
          <w:lang w:eastAsia="zh-CN"/>
        </w:rPr>
      </w:pPr>
    </w:p>
    <w:p w14:paraId="7CD9E592" w14:textId="77777777" w:rsidR="0002097E" w:rsidRPr="00026CB8" w:rsidRDefault="0002097E" w:rsidP="0002097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E4912FD" w14:textId="77777777" w:rsidR="0002097E" w:rsidRPr="009C101B" w:rsidRDefault="0002097E" w:rsidP="0002097E">
      <w:pPr>
        <w:spacing w:line="360" w:lineRule="auto"/>
        <w:jc w:val="both"/>
        <w:rPr>
          <w:lang w:eastAsia="zh-CN"/>
        </w:rPr>
      </w:pPr>
    </w:p>
    <w:p w14:paraId="0086A0C3" w14:textId="19E8DA5B" w:rsidR="006D4CC3" w:rsidRDefault="0002097E" w:rsidP="0002097E">
      <w:pPr>
        <w:pStyle w:val="Body"/>
        <w:adjustRightInd w:val="0"/>
        <w:snapToGrid w:val="0"/>
        <w:spacing w:line="360" w:lineRule="auto"/>
        <w:jc w:val="both"/>
        <w:rPr>
          <w:rFonts w:ascii="Book Antiqua" w:eastAsia="Book Antiqua" w:hAnsi="Book Antiqua" w:cs="Book Antiqua"/>
        </w:rPr>
      </w:pPr>
      <w:r w:rsidRPr="00AE1DD1">
        <w:rPr>
          <w:rFonts w:ascii="Book Antiqua" w:hAnsi="Book Antiqua" w:cs="Book Antiqua" w:hint="eastAsia"/>
          <w:b/>
          <w:lang w:eastAsia="zh-CN"/>
        </w:rPr>
        <w:t>Citation:</w:t>
      </w:r>
      <w:r>
        <w:rPr>
          <w:rFonts w:ascii="Book Antiqua" w:hAnsi="Book Antiqua" w:cs="Book Antiqua" w:hint="eastAsia"/>
          <w:lang w:eastAsia="zh-CN"/>
        </w:rPr>
        <w:t xml:space="preserve"> </w:t>
      </w:r>
      <w:r w:rsidR="0098248C" w:rsidRPr="00B66BCA">
        <w:rPr>
          <w:rFonts w:ascii="Book Antiqua" w:hAnsi="Book Antiqua"/>
        </w:rPr>
        <w:t xml:space="preserve">Peng M, Yan QH, Gao Y, Zhang Z, Zhang Y, Wang </w:t>
      </w:r>
      <w:r w:rsidR="00D35505" w:rsidRPr="00B66BCA">
        <w:rPr>
          <w:rFonts w:ascii="Book Antiqua" w:hAnsi="Book Antiqua"/>
        </w:rPr>
        <w:t>Y</w:t>
      </w:r>
      <w:r w:rsidR="0098248C" w:rsidRPr="00B66BCA">
        <w:rPr>
          <w:rFonts w:ascii="Book Antiqua" w:hAnsi="Book Antiqua"/>
        </w:rPr>
        <w:t xml:space="preserve">F, Wu HN. Correlation between circulating endothelial cell level and acute respiratory distress syndrome in postoperative patients. </w:t>
      </w:r>
      <w:r w:rsidR="0098248C" w:rsidRPr="00B66BCA">
        <w:rPr>
          <w:rFonts w:ascii="Book Antiqua" w:hAnsi="Book Antiqua"/>
          <w:i/>
          <w:iCs/>
        </w:rPr>
        <w:t>World J Clin Cases</w:t>
      </w:r>
      <w:r w:rsidR="00FF3F1A">
        <w:rPr>
          <w:rFonts w:ascii="Book Antiqua" w:hAnsi="Book Antiqua"/>
          <w:i/>
          <w:iCs/>
        </w:rPr>
        <w:t xml:space="preserve"> </w:t>
      </w:r>
      <w:r w:rsidR="00FF3F1A" w:rsidRPr="006F3127">
        <w:rPr>
          <w:rFonts w:ascii="Book Antiqua" w:eastAsia="Book Antiqua" w:hAnsi="Book Antiqua" w:cs="Book Antiqua"/>
        </w:rPr>
        <w:t>2021; 9(3</w:t>
      </w:r>
      <w:r w:rsidR="00FF3F1A" w:rsidRPr="006F3127">
        <w:rPr>
          <w:rFonts w:ascii="Book Antiqua" w:hAnsi="Book Antiqua" w:cs="Book Antiqua" w:hint="eastAsia"/>
          <w:lang w:eastAsia="zh-CN"/>
        </w:rPr>
        <w:t>2</w:t>
      </w:r>
      <w:r w:rsidR="00FF3F1A" w:rsidRPr="006F3127">
        <w:rPr>
          <w:rFonts w:ascii="Book Antiqua" w:eastAsia="Book Antiqua" w:hAnsi="Book Antiqua" w:cs="Book Antiqua"/>
        </w:rPr>
        <w:t xml:space="preserve">): </w:t>
      </w:r>
      <w:r w:rsidR="006D4CC3">
        <w:rPr>
          <w:rFonts w:ascii="Book Antiqua" w:hAnsi="Book Antiqua" w:hint="eastAsia"/>
        </w:rPr>
        <w:t>9</w:t>
      </w:r>
      <w:r w:rsidR="006D4CC3">
        <w:rPr>
          <w:rFonts w:ascii="Book Antiqua" w:hAnsi="Book Antiqua"/>
        </w:rPr>
        <w:t>731</w:t>
      </w:r>
      <w:r w:rsidR="006D4CC3">
        <w:rPr>
          <w:rFonts w:ascii="Book Antiqua" w:hAnsi="Book Antiqua" w:hint="eastAsia"/>
          <w:lang w:eastAsia="zh-CN"/>
        </w:rPr>
        <w:t>-</w:t>
      </w:r>
      <w:r w:rsidR="006D4CC3">
        <w:rPr>
          <w:rFonts w:ascii="Book Antiqua" w:hAnsi="Book Antiqua"/>
        </w:rPr>
        <w:t>9740</w:t>
      </w:r>
    </w:p>
    <w:p w14:paraId="60043309" w14:textId="2AAF3F0A" w:rsidR="006D4CC3" w:rsidRDefault="00FF3F1A" w:rsidP="0002097E">
      <w:pPr>
        <w:pStyle w:val="Body"/>
        <w:adjustRightInd w:val="0"/>
        <w:snapToGrid w:val="0"/>
        <w:spacing w:line="360" w:lineRule="auto"/>
        <w:jc w:val="both"/>
        <w:rPr>
          <w:rFonts w:ascii="Book Antiqua" w:eastAsia="Book Antiqua" w:hAnsi="Book Antiqua" w:cs="Book Antiqua"/>
        </w:rPr>
      </w:pPr>
      <w:r w:rsidRPr="006F3127">
        <w:rPr>
          <w:rFonts w:ascii="Book Antiqua" w:eastAsia="Book Antiqua" w:hAnsi="Book Antiqua" w:cs="Book Antiqua"/>
        </w:rPr>
        <w:t>URL: https://www.wjgnet.com/2307-8960/full/v9/i3</w:t>
      </w:r>
      <w:r w:rsidRPr="006F3127">
        <w:rPr>
          <w:rFonts w:ascii="Book Antiqua" w:hAnsi="Book Antiqua" w:cs="Book Antiqua" w:hint="eastAsia"/>
          <w:lang w:eastAsia="zh-CN"/>
        </w:rPr>
        <w:t>2</w:t>
      </w:r>
      <w:r w:rsidRPr="006F3127">
        <w:rPr>
          <w:rFonts w:ascii="Book Antiqua" w:eastAsia="Book Antiqua" w:hAnsi="Book Antiqua" w:cs="Book Antiqua"/>
        </w:rPr>
        <w:t>/</w:t>
      </w:r>
      <w:r w:rsidR="006D4CC3">
        <w:rPr>
          <w:rFonts w:ascii="Book Antiqua" w:hAnsi="Book Antiqua" w:hint="eastAsia"/>
        </w:rPr>
        <w:t>9</w:t>
      </w:r>
      <w:r w:rsidR="006D4CC3">
        <w:rPr>
          <w:rFonts w:ascii="Book Antiqua" w:hAnsi="Book Antiqua"/>
        </w:rPr>
        <w:t>731</w:t>
      </w:r>
      <w:r w:rsidRPr="006F3127">
        <w:rPr>
          <w:rFonts w:ascii="Book Antiqua" w:eastAsia="Book Antiqua" w:hAnsi="Book Antiqua" w:cs="Book Antiqua"/>
        </w:rPr>
        <w:t xml:space="preserve">.htm  </w:t>
      </w:r>
    </w:p>
    <w:p w14:paraId="1BBEFF3B" w14:textId="5EC00D80" w:rsidR="00CC76E5" w:rsidRPr="00B66BCA" w:rsidRDefault="00FF3F1A" w:rsidP="0002097E">
      <w:pPr>
        <w:pStyle w:val="Body"/>
        <w:adjustRightInd w:val="0"/>
        <w:snapToGrid w:val="0"/>
        <w:spacing w:line="360" w:lineRule="auto"/>
        <w:jc w:val="both"/>
        <w:rPr>
          <w:rFonts w:ascii="Book Antiqua" w:eastAsia="Book Antiqua" w:hAnsi="Book Antiqua" w:cs="Book Antiqua"/>
        </w:rPr>
      </w:pPr>
      <w:r w:rsidRPr="006F3127">
        <w:rPr>
          <w:rFonts w:ascii="Book Antiqua" w:eastAsia="Book Antiqua" w:hAnsi="Book Antiqua" w:cs="Book Antiqua"/>
        </w:rPr>
        <w:t>DOI: https://dx.doi.org/10.12998/wjcc.v9.i3</w:t>
      </w:r>
      <w:r w:rsidRPr="006F3127">
        <w:rPr>
          <w:rFonts w:ascii="Book Antiqua" w:hAnsi="Book Antiqua" w:cs="Book Antiqua" w:hint="eastAsia"/>
          <w:lang w:eastAsia="zh-CN"/>
        </w:rPr>
        <w:t>2</w:t>
      </w:r>
      <w:r w:rsidRPr="006F3127">
        <w:rPr>
          <w:rFonts w:ascii="Book Antiqua" w:eastAsia="Book Antiqua" w:hAnsi="Book Antiqua" w:cs="Book Antiqua"/>
        </w:rPr>
        <w:t>.</w:t>
      </w:r>
      <w:r w:rsidR="006D4CC3">
        <w:rPr>
          <w:rFonts w:ascii="Book Antiqua" w:hAnsi="Book Antiqua" w:hint="eastAsia"/>
        </w:rPr>
        <w:t>9</w:t>
      </w:r>
      <w:r w:rsidR="006D4CC3">
        <w:rPr>
          <w:rFonts w:ascii="Book Antiqua" w:hAnsi="Book Antiqua"/>
        </w:rPr>
        <w:t>731</w:t>
      </w:r>
    </w:p>
    <w:p w14:paraId="09523D6C"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30B1A8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Core Tip: </w:t>
      </w:r>
      <w:r w:rsidRPr="00B66BCA">
        <w:rPr>
          <w:rFonts w:ascii="Book Antiqua" w:hAnsi="Book Antiqua"/>
        </w:rPr>
        <w:t>This manuscript evaluated the changes in number of circulating endothelial cells (CECs) might predict occurrence and adverse outcome of acute respiratory distress syndrome (ARDS) postoperatively, and higher numbers of CECs are associated with a worse prognosis of ARDS.</w:t>
      </w:r>
    </w:p>
    <w:p w14:paraId="4C063D2F"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666032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292AE4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INTRODUCTION</w:t>
      </w:r>
    </w:p>
    <w:p w14:paraId="4035AB5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Acute respiratory distress syndrome (ARDS) is injury of alveolar epithelial cells and capillary endothelial cells caused by various factors, including endogenous and exogenous lung factors, leading to diffuse pulmonary interstitial and alveolar edema, and acute respiratory failure</w:t>
      </w:r>
      <w:r w:rsidRPr="00B66BCA">
        <w:rPr>
          <w:rFonts w:ascii="Book Antiqua" w:hAnsi="Book Antiqua"/>
          <w:vertAlign w:val="superscript"/>
        </w:rPr>
        <w:t>[1-3]</w:t>
      </w:r>
      <w:r w:rsidRPr="00B66BCA">
        <w:rPr>
          <w:rFonts w:ascii="Book Antiqua" w:hAnsi="Book Antiqua"/>
        </w:rPr>
        <w:t>. The clinical manifestations are progressive respiratory distress and refractory hypoxemia, and the imaging manifestations are heterogeneous exudative changes</w:t>
      </w:r>
      <w:r w:rsidRPr="00B66BCA">
        <w:rPr>
          <w:rFonts w:ascii="Book Antiqua" w:hAnsi="Book Antiqua"/>
          <w:vertAlign w:val="superscript"/>
        </w:rPr>
        <w:t>[4]</w:t>
      </w:r>
      <w:r w:rsidRPr="00B66BCA">
        <w:rPr>
          <w:rFonts w:ascii="Book Antiqua" w:hAnsi="Book Antiqua"/>
        </w:rPr>
        <w:t>. The incidence rate of ARDS is 25%-50% when caused by severe infection, 11%-25% when caused by multiple trauma, and the incidence rate can reach 40% when caused by massive blood transfusion. The incidence rate of ARDS may increase further when two or more risk factors are present</w:t>
      </w:r>
      <w:r w:rsidRPr="00B66BCA">
        <w:rPr>
          <w:rFonts w:ascii="Book Antiqua" w:hAnsi="Book Antiqua"/>
          <w:vertAlign w:val="superscript"/>
        </w:rPr>
        <w:t>[5]</w:t>
      </w:r>
      <w:r w:rsidRPr="00B66BCA">
        <w:rPr>
          <w:rFonts w:ascii="Book Antiqua" w:hAnsi="Book Antiqua"/>
        </w:rPr>
        <w:t xml:space="preserve">. The longer the exposure to risk factors, the higher the incidence rate of ARDS. Studies have shown that when exposure to risk factors persisted for 24, 48 and 72 h, the incidence of ARDS was 76%, 85% and 93%, respectively. The incidence rate of ARDS is high, treatment is difficult, and ARDS has a long course and poor prognosis. Many studies have tried to identify the best </w:t>
      </w:r>
      <w:r w:rsidRPr="00B66BCA">
        <w:rPr>
          <w:rFonts w:ascii="Book Antiqua" w:hAnsi="Book Antiqua"/>
        </w:rPr>
        <w:lastRenderedPageBreak/>
        <w:t>marker to predict development and prognosis of ARDS at an early stage</w:t>
      </w:r>
      <w:r w:rsidRPr="00B66BCA">
        <w:rPr>
          <w:rFonts w:ascii="Book Antiqua" w:hAnsi="Book Antiqua"/>
          <w:vertAlign w:val="superscript"/>
        </w:rPr>
        <w:t>[6,7]</w:t>
      </w:r>
      <w:r w:rsidRPr="00B66BCA">
        <w:rPr>
          <w:rFonts w:ascii="Book Antiqua" w:hAnsi="Book Antiqua"/>
        </w:rPr>
        <w:t>. However, predictive ARDS markers are still in the research stage</w:t>
      </w:r>
      <w:r w:rsidRPr="00B66BCA">
        <w:rPr>
          <w:rFonts w:ascii="Book Antiqua" w:hAnsi="Book Antiqua"/>
          <w:vertAlign w:val="superscript"/>
        </w:rPr>
        <w:t>[3]</w:t>
      </w:r>
      <w:r w:rsidRPr="00B66BCA">
        <w:rPr>
          <w:rFonts w:ascii="Book Antiqua" w:hAnsi="Book Antiqua"/>
        </w:rPr>
        <w:t>.</w:t>
      </w:r>
    </w:p>
    <w:p w14:paraId="65FB33F8"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 xml:space="preserve">ARDS involves alveolar epithelial cells and pulmonary interstitial capillary endothelial cells. Current research on the markers related to capillary endothelial cells is mainly focused on angiotensin-2, selectin, von Willebrand factor antigen, intercellular adhesion molecule-1, vascular endothelial growth factor, insulin-like growth factor binding protein-3, apolipoprotein A1, S-100, </w:t>
      </w:r>
      <w:r w:rsidRPr="00B66BCA">
        <w:rPr>
          <w:rFonts w:ascii="Book Antiqua" w:hAnsi="Book Antiqua"/>
          <w:i/>
          <w:iCs/>
        </w:rPr>
        <w:t>PPFIA1</w:t>
      </w:r>
      <w:r w:rsidRPr="00B66BCA">
        <w:rPr>
          <w:rFonts w:ascii="Book Antiqua" w:hAnsi="Book Antiqua"/>
        </w:rPr>
        <w:t xml:space="preserve"> gene and other aspects</w:t>
      </w:r>
      <w:r w:rsidRPr="00B66BCA">
        <w:rPr>
          <w:rFonts w:ascii="Book Antiqua" w:hAnsi="Book Antiqua"/>
          <w:vertAlign w:val="superscript"/>
        </w:rPr>
        <w:t>[8]</w:t>
      </w:r>
      <w:r w:rsidRPr="00B66BCA">
        <w:rPr>
          <w:rFonts w:ascii="Book Antiqua" w:hAnsi="Book Antiqua"/>
        </w:rPr>
        <w:t xml:space="preserve">, although the sensitivity and specificity of these markers are low. Compared with above indicators, Eizawa </w:t>
      </w:r>
      <w:r w:rsidRPr="00B66BCA">
        <w:rPr>
          <w:rFonts w:ascii="Book Antiqua" w:hAnsi="Book Antiqua"/>
          <w:i/>
          <w:iCs/>
        </w:rPr>
        <w:t>et al</w:t>
      </w:r>
      <w:r w:rsidRPr="00B66BCA">
        <w:rPr>
          <w:rFonts w:ascii="Book Antiqua" w:hAnsi="Book Antiqua"/>
          <w:vertAlign w:val="superscript"/>
        </w:rPr>
        <w:t>[9]</w:t>
      </w:r>
      <w:r w:rsidRPr="00B66BCA">
        <w:rPr>
          <w:rFonts w:ascii="Book Antiqua" w:hAnsi="Book Antiqua"/>
        </w:rPr>
        <w:t xml:space="preserve"> have considered that circulating endothelial cells (CECs) are the only marker that directly reflects vascular endothelial injury </w:t>
      </w:r>
      <w:r w:rsidRPr="00B66BCA">
        <w:rPr>
          <w:rFonts w:ascii="Book Antiqua" w:hAnsi="Book Antiqua"/>
          <w:i/>
          <w:iCs/>
        </w:rPr>
        <w:t>in vivo</w:t>
      </w:r>
      <w:r w:rsidRPr="00B66BCA">
        <w:rPr>
          <w:rFonts w:ascii="Book Antiqua" w:hAnsi="Book Antiqua"/>
        </w:rPr>
        <w:t>. There have been few studies on the correlation between peripheral blood CECs and ARDS at home and abroad. The lungs are the organs with the highest capillary density and the most endothelial cells, thus, it is speculated that when ARDS occurs, CECs are stimulated and damaged, and released into the circulatory system.</w:t>
      </w:r>
    </w:p>
    <w:p w14:paraId="7105AB99"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The present study aimed to investigate the correlation between number of CECs and incidence of ARDS, and to explore whether CECs can be used as a predictive biomarker for incidence and adverse clinical outcomes of ARDS.</w:t>
      </w:r>
    </w:p>
    <w:p w14:paraId="01950C1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DFE6E0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MATERIALS AND METHODS</w:t>
      </w:r>
    </w:p>
    <w:p w14:paraId="34CF026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Research objective</w:t>
      </w:r>
    </w:p>
    <w:p w14:paraId="049C90F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During 2012–2014, 125 surgical patients were admitted postoperatively to Tianjin Medical University General Hospital. Blood samples were collected on day 2 (d2) and day 5 (d5) after surgery.</w:t>
      </w:r>
    </w:p>
    <w:p w14:paraId="05717819"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 xml:space="preserve">Inclusion criteria were: (1) patients after general anesthesia; and (2) operation time ≥ 4 h. Exclusion criteria were: (1) thoracic surgery, including thoracotomy, thoracoscopic surgery and chest wall mass operation; (2) vascular diseases, such as arteriosclerosis (including hypertensive arteriosclerosis and atherosclerosis), systemic vasculitis, and arteriovenous thrombosis; (3) patients with malignant tumors; (4) patients with chronic </w:t>
      </w:r>
      <w:r w:rsidRPr="00B66BCA">
        <w:rPr>
          <w:rFonts w:ascii="Book Antiqua" w:hAnsi="Book Antiqua"/>
        </w:rPr>
        <w:lastRenderedPageBreak/>
        <w:t>organ dysfunction, such as chronic obstructive pulmonary disease, chronic liver failure, or chronic renal insufficiency; (5) head trauma; and (6) non-ARDS related death.</w:t>
      </w:r>
    </w:p>
    <w:p w14:paraId="6D1904F0" w14:textId="7AC452EF"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The clinical data of the enrolled patients are shown in Table 1. There were 32 healthy people in the control group, including 19 men and 13 women, with an average age of 53 ± 11 years (range</w:t>
      </w:r>
      <w:r w:rsidR="00FD7CE4" w:rsidRPr="00B66BCA">
        <w:rPr>
          <w:rFonts w:ascii="Book Antiqua" w:hAnsi="Book Antiqua"/>
        </w:rPr>
        <w:t>:</w:t>
      </w:r>
      <w:r w:rsidRPr="00B66BCA">
        <w:rPr>
          <w:rFonts w:ascii="Book Antiqua" w:hAnsi="Book Antiqua"/>
        </w:rPr>
        <w:t xml:space="preserve"> 33–67 years).</w:t>
      </w:r>
    </w:p>
    <w:p w14:paraId="73DF4B5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859646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Research methods</w:t>
      </w:r>
    </w:p>
    <w:p w14:paraId="786E8921" w14:textId="0E21E530"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We selected CD146</w:t>
      </w:r>
      <w:r w:rsidRPr="00B66BCA">
        <w:rPr>
          <w:rFonts w:ascii="Book Antiqua" w:hAnsi="Book Antiqua"/>
          <w:vertAlign w:val="superscript"/>
        </w:rPr>
        <w:t>+</w:t>
      </w:r>
      <w:r w:rsidRPr="00B66BCA">
        <w:rPr>
          <w:rFonts w:ascii="Book Antiqua" w:hAnsi="Book Antiqua"/>
        </w:rPr>
        <w:t xml:space="preserve"> CD45</w:t>
      </w:r>
      <w:r w:rsidRPr="00B66BCA">
        <w:rPr>
          <w:rFonts w:ascii="Book Antiqua" w:hAnsi="Book Antiqua"/>
          <w:vertAlign w:val="superscript"/>
        </w:rPr>
        <w:t>-</w:t>
      </w:r>
      <w:r w:rsidRPr="00B66BCA">
        <w:rPr>
          <w:rFonts w:ascii="Book Antiqua" w:hAnsi="Book Antiqua"/>
        </w:rPr>
        <w:t>-labeled CECs, FITC Mouse anti-Human CD146 (Cat No: 560846</w:t>
      </w:r>
      <w:r w:rsidR="00FF51D1" w:rsidRPr="00B66BCA">
        <w:rPr>
          <w:rFonts w:ascii="Book Antiqua" w:hAnsi="Book Antiqua"/>
        </w:rPr>
        <w:t xml:space="preserve">; BD Biosciences, </w:t>
      </w:r>
      <w:r w:rsidR="003A10BB" w:rsidRPr="00B66BCA">
        <w:rPr>
          <w:rFonts w:ascii="Book Antiqua" w:hAnsi="Book Antiqua"/>
        </w:rPr>
        <w:t>Franklin Lakes, NJ, United States</w:t>
      </w:r>
      <w:r w:rsidRPr="00B66BCA">
        <w:rPr>
          <w:rFonts w:ascii="Book Antiqua" w:hAnsi="Book Antiqua"/>
        </w:rPr>
        <w:t>), FITC Mouse IgG1, κ Isotype Control (Cat No: 554679</w:t>
      </w:r>
      <w:r w:rsidR="003A10BB" w:rsidRPr="00B66BCA">
        <w:rPr>
          <w:rFonts w:ascii="Book Antiqua" w:hAnsi="Book Antiqua"/>
        </w:rPr>
        <w:t>; BD Biosciences</w:t>
      </w:r>
      <w:r w:rsidRPr="00B66BCA">
        <w:rPr>
          <w:rFonts w:ascii="Book Antiqua" w:hAnsi="Book Antiqua"/>
        </w:rPr>
        <w:t>), PE Mouse anti-Human CD45 (Cat No: 555483</w:t>
      </w:r>
      <w:r w:rsidR="003A10BB" w:rsidRPr="00B66BCA">
        <w:rPr>
          <w:rFonts w:ascii="Book Antiqua" w:hAnsi="Book Antiqua"/>
        </w:rPr>
        <w:t>; BD Biosciences</w:t>
      </w:r>
      <w:r w:rsidRPr="00B66BCA">
        <w:rPr>
          <w:rFonts w:ascii="Book Antiqua" w:hAnsi="Book Antiqua"/>
        </w:rPr>
        <w:t>), PE Mouse IgG1, κ Isotype Control (Cat No: 555489</w:t>
      </w:r>
      <w:r w:rsidR="003A10BB" w:rsidRPr="00B66BCA">
        <w:rPr>
          <w:rFonts w:ascii="Book Antiqua" w:hAnsi="Book Antiqua"/>
        </w:rPr>
        <w:t>; BD Biosciences</w:t>
      </w:r>
      <w:r w:rsidRPr="00B66BCA">
        <w:rPr>
          <w:rFonts w:ascii="Book Antiqua" w:hAnsi="Book Antiqua"/>
        </w:rPr>
        <w:t>). We counted 500000 nucleated cells in each blood sample. The samples were detected by flow cytometry with 488 nm excitation wavelength. The results were analyzed by Flow Cytometry CellQuest software. The percentage of CECs among nuclear cells was calculated.</w:t>
      </w:r>
    </w:p>
    <w:p w14:paraId="438FA788" w14:textId="5ADF4FE2"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We collected 5 mL peripheral blood from the median cubital vein of enrolled patients. Two EDTA anticoagulant tubes were used to collect blood samples</w:t>
      </w:r>
      <w:r w:rsidR="001562C8" w:rsidRPr="00B66BCA">
        <w:rPr>
          <w:rFonts w:ascii="Book Antiqua" w:hAnsi="Book Antiqua"/>
        </w:rPr>
        <w:t>, with</w:t>
      </w:r>
      <w:r w:rsidRPr="00B66BCA">
        <w:rPr>
          <w:rFonts w:ascii="Book Antiqua" w:hAnsi="Book Antiqua"/>
        </w:rPr>
        <w:t xml:space="preserve"> 3 mL for the first tube and 2 mL for the second tube</w:t>
      </w:r>
      <w:r w:rsidR="001562C8" w:rsidRPr="00B66BCA">
        <w:rPr>
          <w:rFonts w:ascii="Book Antiqua" w:hAnsi="Book Antiqua"/>
        </w:rPr>
        <w:t>,</w:t>
      </w:r>
      <w:r w:rsidRPr="00B66BCA">
        <w:rPr>
          <w:rFonts w:ascii="Book Antiqua" w:hAnsi="Book Antiqua"/>
        </w:rPr>
        <w:t xml:space="preserve"> and placed in ice. The blood (200 mL) was taken from the second tube for detection. We added 4 mL red blood cell lysate; incubated at room temperature for 20 min; centrifuged at 1500 rpm at room temperature for 5 min; discarded supernatant and washed with once or twice with PBS; resuspended the blood cells in PBS to 100 ml; and added antibodies in the following sequence: 10 mL IgG1, κ PE; 5 mL IgG1, κ FITC; 10 mL CD45 PE; 5 mL CD146 FITC; 10 mL CD45 PE; 5 mL IgG1, κ FITC; 10 mL CD45 PE; and 5 mL CD146 FITC. The samples were then incubated in the dark for 20 min, resuspended in 300 mL PBS and subjected to flow cytometry. At the same time, blood samples were removed and analyzed by automatic blood cell analyzer to obtain the white blood cell count.</w:t>
      </w:r>
    </w:p>
    <w:p w14:paraId="791ADFA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702DBF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Statistical analysis</w:t>
      </w:r>
    </w:p>
    <w:p w14:paraId="63BC711C" w14:textId="1DEDC3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SPSS version 20.0 software was used for data processing</w:t>
      </w:r>
      <w:r w:rsidR="00D506B0" w:rsidRPr="00B66BCA">
        <w:rPr>
          <w:rFonts w:ascii="Book Antiqua" w:hAnsi="Book Antiqua"/>
        </w:rPr>
        <w:t xml:space="preserve"> (IBM Corp., Armonk, NY, United States)</w:t>
      </w:r>
      <w:r w:rsidRPr="00B66BCA">
        <w:rPr>
          <w:rFonts w:ascii="Book Antiqua" w:hAnsi="Book Antiqua"/>
        </w:rPr>
        <w:t xml:space="preserve">. The measurement data were expressed as mean ± SD. We compared by independent sample </w:t>
      </w:r>
      <w:r w:rsidRPr="00B66BCA">
        <w:rPr>
          <w:rFonts w:ascii="Book Antiqua" w:hAnsi="Book Antiqua"/>
          <w:i/>
          <w:iCs/>
        </w:rPr>
        <w:t>t</w:t>
      </w:r>
      <w:r w:rsidRPr="00B66BCA">
        <w:rPr>
          <w:rFonts w:ascii="Book Antiqua" w:hAnsi="Book Antiqua"/>
        </w:rPr>
        <w:t xml:space="preserve"> test the numbers of CECs between the ARDS and healthy control groups, and ARDS and non-ARDS groups, the number of CECs between groups with different severity of ARDS, and the number of CECs between the improved and dead groups. The change in number of CECs after surgery was analyzed by paired </w:t>
      </w:r>
      <w:r w:rsidRPr="00B66BCA">
        <w:rPr>
          <w:rFonts w:ascii="Book Antiqua" w:hAnsi="Book Antiqua"/>
          <w:i/>
          <w:iCs/>
        </w:rPr>
        <w:t>t</w:t>
      </w:r>
      <w:r w:rsidRPr="00B66BCA">
        <w:rPr>
          <w:rFonts w:ascii="Book Antiqua" w:hAnsi="Book Antiqua"/>
        </w:rPr>
        <w:t xml:space="preserve"> test. Spearman’s correlation was used to analyze the relationship between d2 CECs and operation time. Receiver operating characteristic (ROC) curve was used to detect the number of d2 CECs as best cut-off value to predict ARDS occurrence (obtained by calculating the maximum sensitivity and specificity), and defined the number of d2 CECs higher than cut-off value as Hd2. A binary regression model was used to detect the predictive value on the occurrence of ARDS. All tests were bilateral, and </w:t>
      </w:r>
      <w:r w:rsidRPr="00B66BCA">
        <w:rPr>
          <w:rFonts w:ascii="Book Antiqua" w:hAnsi="Book Antiqua"/>
          <w:i/>
          <w:iCs/>
        </w:rPr>
        <w:t>P</w:t>
      </w:r>
      <w:r w:rsidRPr="00B66BCA">
        <w:rPr>
          <w:rFonts w:ascii="Book Antiqua" w:hAnsi="Book Antiqua"/>
        </w:rPr>
        <w:t xml:space="preserve"> &lt; 0.05 was considered to be statistically significant.</w:t>
      </w:r>
    </w:p>
    <w:p w14:paraId="4F4C20BA"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36906C7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RESULTS</w:t>
      </w:r>
    </w:p>
    <w:p w14:paraId="5D9D01F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General clinical results</w:t>
      </w:r>
    </w:p>
    <w:p w14:paraId="6B61558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Among the 125 patients enrolled, 105 patients received ventilator support. If their condition progressed to ARDS, a protective lung ventilation strategy was implemented</w:t>
      </w:r>
      <w:r w:rsidRPr="00B66BCA">
        <w:rPr>
          <w:rFonts w:ascii="Book Antiqua" w:hAnsi="Book Antiqua"/>
          <w:vertAlign w:val="superscript"/>
        </w:rPr>
        <w:t>[10,11]</w:t>
      </w:r>
      <w:r w:rsidRPr="00B66BCA">
        <w:rPr>
          <w:rFonts w:ascii="Book Antiqua" w:hAnsi="Book Antiqua"/>
        </w:rPr>
        <w:t>. Comprehensive parameters were monitored including vital signs, blood gas analysis, central venous pressure, and pulse contour cardiac output monitoring was carried out if necessary, and all patients were given bundle treatment in the intensive care unit. We enrolled 52 patients with ARDS; 13 died and the others showed eventual improvement; 73 patients did not develop ARDS and improved (Table 1). CECs were measured by flow cytometry (Figure 1). A1, B1 and C1 were isotype control groups, and A2, B2 and C2 were experimental groups.</w:t>
      </w:r>
    </w:p>
    <w:p w14:paraId="101B9628"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D5C3C4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Comparison of d2 CECs in ARDS, healthy control and non-ARDS groups</w:t>
      </w:r>
    </w:p>
    <w:p w14:paraId="2681F93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i/>
          <w:iCs/>
        </w:rPr>
        <w:t>D</w:t>
      </w:r>
      <w:r w:rsidRPr="00B66BCA">
        <w:rPr>
          <w:rFonts w:ascii="Book Antiqua" w:hAnsi="Book Antiqua"/>
        </w:rPr>
        <w:t>2 CECs were significantly higher in patients with ARDS compared with the healthy control group (</w:t>
      </w:r>
      <w:r w:rsidRPr="00B66BCA">
        <w:rPr>
          <w:rFonts w:ascii="Book Antiqua" w:hAnsi="Book Antiqua"/>
          <w:i/>
          <w:iCs/>
        </w:rPr>
        <w:t>P</w:t>
      </w:r>
      <w:r w:rsidRPr="00B66BCA">
        <w:rPr>
          <w:rFonts w:ascii="Book Antiqua" w:hAnsi="Book Antiqua"/>
        </w:rPr>
        <w:t xml:space="preserve"> &lt; 0.001) (Table 2). D2 CECs of the ARDS group were significantly higher </w:t>
      </w:r>
      <w:r w:rsidRPr="00B66BCA">
        <w:rPr>
          <w:rFonts w:ascii="Book Antiqua" w:hAnsi="Book Antiqua"/>
        </w:rPr>
        <w:lastRenderedPageBreak/>
        <w:t>in the ARDS group than in the non-ARDS group (</w:t>
      </w:r>
      <w:r w:rsidRPr="00B66BCA">
        <w:rPr>
          <w:rFonts w:ascii="Book Antiqua" w:hAnsi="Book Antiqua"/>
          <w:i/>
          <w:iCs/>
        </w:rPr>
        <w:t>P</w:t>
      </w:r>
      <w:r w:rsidRPr="00B66BCA">
        <w:rPr>
          <w:rFonts w:ascii="Book Antiqua" w:hAnsi="Book Antiqua"/>
        </w:rPr>
        <w:t xml:space="preserve"> &lt; 0.001). D2 CECs in the non-ARDS group were significantly higher than in the healthy control group (</w:t>
      </w:r>
      <w:r w:rsidRPr="00B66BCA">
        <w:rPr>
          <w:rFonts w:ascii="Book Antiqua" w:hAnsi="Book Antiqua"/>
          <w:i/>
          <w:iCs/>
        </w:rPr>
        <w:t>P</w:t>
      </w:r>
      <w:r w:rsidRPr="00B66BCA">
        <w:rPr>
          <w:rFonts w:ascii="Book Antiqua" w:hAnsi="Book Antiqua"/>
        </w:rPr>
        <w:t xml:space="preserve"> &lt; 0.001). </w:t>
      </w:r>
    </w:p>
    <w:p w14:paraId="63418E83"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5051CE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 xml:space="preserve">Correlation between operation time and d2 CECs </w:t>
      </w:r>
    </w:p>
    <w:p w14:paraId="103246D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Spearman’s correlation analysis showed a significantly positive correlation between operation time and d2 CECs (rs = 0.302, </w:t>
      </w:r>
      <w:r w:rsidRPr="00B66BCA">
        <w:rPr>
          <w:rFonts w:ascii="Book Antiqua" w:hAnsi="Book Antiqua"/>
          <w:i/>
          <w:iCs/>
        </w:rPr>
        <w:t>P</w:t>
      </w:r>
      <w:r w:rsidRPr="00B66BCA">
        <w:rPr>
          <w:rFonts w:ascii="Book Antiqua" w:hAnsi="Book Antiqua"/>
        </w:rPr>
        <w:t xml:space="preserve"> = 0.001) (Figure 2).</w:t>
      </w:r>
    </w:p>
    <w:p w14:paraId="73D4BB8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32A71C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Comparison of d2 CECs between the deceased and improved groups of ARDS patients</w:t>
      </w:r>
    </w:p>
    <w:p w14:paraId="4E5B8309" w14:textId="44086E9D"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 number of d2 CECs in the dead group was significantly higher than in the improved group (</w:t>
      </w:r>
      <w:r w:rsidRPr="00B66BCA">
        <w:rPr>
          <w:rFonts w:ascii="Book Antiqua" w:hAnsi="Book Antiqua"/>
          <w:i/>
          <w:iCs/>
        </w:rPr>
        <w:t>P</w:t>
      </w:r>
      <w:r w:rsidRPr="00B66BCA">
        <w:rPr>
          <w:rFonts w:ascii="Book Antiqua" w:hAnsi="Book Antiqua"/>
        </w:rPr>
        <w:t xml:space="preserve"> &lt; 0.001</w:t>
      </w:r>
      <w:r w:rsidR="004F43C7" w:rsidRPr="00B66BCA">
        <w:rPr>
          <w:rFonts w:ascii="Book Antiqua" w:hAnsi="Book Antiqua"/>
        </w:rPr>
        <w:t>)</w:t>
      </w:r>
      <w:r w:rsidRPr="00B66BCA">
        <w:rPr>
          <w:rFonts w:ascii="Book Antiqua" w:hAnsi="Book Antiqua"/>
        </w:rPr>
        <w:t xml:space="preserve"> </w:t>
      </w:r>
      <w:r w:rsidR="004F43C7" w:rsidRPr="00B66BCA">
        <w:rPr>
          <w:rFonts w:ascii="Book Antiqua" w:hAnsi="Book Antiqua"/>
        </w:rPr>
        <w:t>(</w:t>
      </w:r>
      <w:r w:rsidRPr="00B66BCA">
        <w:rPr>
          <w:rFonts w:ascii="Book Antiqua" w:hAnsi="Book Antiqua"/>
        </w:rPr>
        <w:t>Table 3).</w:t>
      </w:r>
    </w:p>
    <w:p w14:paraId="27BEBC6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B4E5D8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 xml:space="preserve">Comparison of d2 CECs in patients with ARDS of different severity </w:t>
      </w:r>
    </w:p>
    <w:p w14:paraId="686636D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There was no significant difference in number of CECs in patients with mild compared with moderate ARDS (</w:t>
      </w:r>
      <w:r w:rsidRPr="00B66BCA">
        <w:rPr>
          <w:rFonts w:ascii="Book Antiqua" w:hAnsi="Book Antiqua"/>
          <w:i/>
          <w:iCs/>
        </w:rPr>
        <w:t>P</w:t>
      </w:r>
      <w:r w:rsidRPr="00B66BCA">
        <w:rPr>
          <w:rFonts w:ascii="Book Antiqua" w:hAnsi="Book Antiqua"/>
        </w:rPr>
        <w:t xml:space="preserve"> = 0.924). The number of CECs in patients with severe ARDS was significantly greater than in patients with moderate ARDS (</w:t>
      </w:r>
      <w:r w:rsidRPr="00B66BCA">
        <w:rPr>
          <w:rFonts w:ascii="Book Antiqua" w:hAnsi="Book Antiqua"/>
          <w:i/>
          <w:iCs/>
        </w:rPr>
        <w:t>P</w:t>
      </w:r>
      <w:r w:rsidRPr="00B66BCA">
        <w:rPr>
          <w:rFonts w:ascii="Book Antiqua" w:hAnsi="Book Antiqua"/>
        </w:rPr>
        <w:t xml:space="preserve"> = 0.037). The number of CECs in patients with severe ARDS was significantly greater than in patients with mild ARDS (</w:t>
      </w:r>
      <w:r w:rsidRPr="00B66BCA">
        <w:rPr>
          <w:rFonts w:ascii="Book Antiqua" w:hAnsi="Book Antiqua"/>
          <w:i/>
          <w:iCs/>
        </w:rPr>
        <w:t>P</w:t>
      </w:r>
      <w:r w:rsidRPr="00B66BCA">
        <w:rPr>
          <w:rFonts w:ascii="Book Antiqua" w:hAnsi="Book Antiqua"/>
        </w:rPr>
        <w:t xml:space="preserve"> = 0.041) (Table 4).</w:t>
      </w:r>
    </w:p>
    <w:p w14:paraId="3453B90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AEE9F0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Changes in CECs over time in the non-ARDS, improved and deceased groups</w:t>
      </w:r>
    </w:p>
    <w:p w14:paraId="7F57CD0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There was no significant difference between the number of d5 and d2 CECs in the non-ARDS group after admission (</w:t>
      </w:r>
      <w:r w:rsidRPr="00B66BCA">
        <w:rPr>
          <w:rFonts w:ascii="Book Antiqua" w:hAnsi="Book Antiqua"/>
          <w:i/>
          <w:iCs/>
        </w:rPr>
        <w:t>P</w:t>
      </w:r>
      <w:r w:rsidRPr="00B66BCA">
        <w:rPr>
          <w:rFonts w:ascii="Book Antiqua" w:hAnsi="Book Antiqua"/>
        </w:rPr>
        <w:t xml:space="preserve"> = 0273). The number of d5 CECs was significantly higher than the number of d2 CECs in the improved group (</w:t>
      </w:r>
      <w:r w:rsidRPr="00B66BCA">
        <w:rPr>
          <w:rFonts w:ascii="Book Antiqua" w:hAnsi="Book Antiqua"/>
          <w:i/>
          <w:iCs/>
        </w:rPr>
        <w:t>P</w:t>
      </w:r>
      <w:r w:rsidRPr="00B66BCA">
        <w:rPr>
          <w:rFonts w:ascii="Book Antiqua" w:hAnsi="Book Antiqua"/>
        </w:rPr>
        <w:t xml:space="preserve"> &lt; 0.001). The number of d5 CECs was significantly higher than the number of d2 in the deceased group (</w:t>
      </w:r>
      <w:r w:rsidRPr="00B66BCA">
        <w:rPr>
          <w:rFonts w:ascii="Book Antiqua" w:hAnsi="Book Antiqua"/>
          <w:i/>
          <w:iCs/>
        </w:rPr>
        <w:t>P</w:t>
      </w:r>
      <w:r w:rsidRPr="00B66BCA">
        <w:rPr>
          <w:rFonts w:ascii="Book Antiqua" w:hAnsi="Book Antiqua"/>
        </w:rPr>
        <w:t xml:space="preserve"> = 0.002) (Table 5).</w:t>
      </w:r>
    </w:p>
    <w:p w14:paraId="666228B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EC0C8E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i/>
          <w:iCs/>
        </w:rPr>
      </w:pPr>
      <w:r w:rsidRPr="00B66BCA">
        <w:rPr>
          <w:rFonts w:ascii="Book Antiqua" w:hAnsi="Book Antiqua"/>
          <w:b/>
          <w:bCs/>
          <w:i/>
          <w:iCs/>
        </w:rPr>
        <w:t xml:space="preserve">Predictive value of d2 CECs for ARDS in postoperative patients </w:t>
      </w:r>
    </w:p>
    <w:p w14:paraId="24E8FAC6" w14:textId="11ADB5BE"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The Youden index of the ROC curve was used to calculate the best cut-off value of d2 CECs at 1351/mL (</w:t>
      </w:r>
      <w:r w:rsidR="004F43C7" w:rsidRPr="00B66BCA">
        <w:rPr>
          <w:rFonts w:ascii="Book Antiqua" w:hAnsi="Book Antiqua"/>
        </w:rPr>
        <w:t>a</w:t>
      </w:r>
      <w:r w:rsidRPr="00B66BCA">
        <w:rPr>
          <w:rFonts w:ascii="Book Antiqua" w:hAnsi="Book Antiqua"/>
        </w:rPr>
        <w:t xml:space="preserve">rea under the curve = 0.85, 95%CI: 0.781–0.919, </w:t>
      </w:r>
      <w:r w:rsidRPr="00B66BCA">
        <w:rPr>
          <w:rFonts w:ascii="Book Antiqua" w:hAnsi="Book Antiqua"/>
          <w:i/>
          <w:iCs/>
        </w:rPr>
        <w:t>P</w:t>
      </w:r>
      <w:r w:rsidRPr="00B66BCA">
        <w:rPr>
          <w:rFonts w:ascii="Book Antiqua" w:hAnsi="Book Antiqua"/>
        </w:rPr>
        <w:t xml:space="preserve"> &lt; 0.001), sensitivity to predict occurrence of ARDS was 80.8%, and specificity was 78.1%. Hd2 was an </w:t>
      </w:r>
      <w:r w:rsidRPr="00B66BCA">
        <w:rPr>
          <w:rFonts w:ascii="Book Antiqua" w:hAnsi="Book Antiqua"/>
        </w:rPr>
        <w:lastRenderedPageBreak/>
        <w:t>independent predictor of ARDS (</w:t>
      </w:r>
      <w:r w:rsidR="004F43C7" w:rsidRPr="00B66BCA">
        <w:rPr>
          <w:rFonts w:ascii="Book Antiqua" w:hAnsi="Book Antiqua"/>
        </w:rPr>
        <w:t>o</w:t>
      </w:r>
      <w:r w:rsidRPr="00B66BCA">
        <w:rPr>
          <w:rFonts w:ascii="Book Antiqua" w:hAnsi="Book Antiqua"/>
        </w:rPr>
        <w:t xml:space="preserve">dds ratio = 14.96, 95%CI: 6.18–36.25, </w:t>
      </w:r>
      <w:r w:rsidRPr="00B66BCA">
        <w:rPr>
          <w:rFonts w:ascii="Book Antiqua" w:hAnsi="Book Antiqua"/>
          <w:i/>
          <w:iCs/>
        </w:rPr>
        <w:t>P</w:t>
      </w:r>
      <w:r w:rsidRPr="00B66BCA">
        <w:rPr>
          <w:rFonts w:ascii="Book Antiqua" w:hAnsi="Book Antiqua"/>
        </w:rPr>
        <w:t xml:space="preserve"> &lt; 0.002) (Figure 3).</w:t>
      </w:r>
    </w:p>
    <w:p w14:paraId="18E94D2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940C49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DISCUSSION</w:t>
      </w:r>
    </w:p>
    <w:p w14:paraId="54C32B1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CECs refer to vascular endothelial cells (VECs) obtained from circulating blood under physiological or pathological conditions</w:t>
      </w:r>
      <w:r w:rsidRPr="00B66BCA">
        <w:rPr>
          <w:rFonts w:ascii="Book Antiqua" w:hAnsi="Book Antiqua"/>
          <w:vertAlign w:val="superscript"/>
        </w:rPr>
        <w:t>[12]</w:t>
      </w:r>
      <w:r w:rsidRPr="00B66BCA">
        <w:rPr>
          <w:rFonts w:ascii="Book Antiqua" w:hAnsi="Book Antiqua"/>
        </w:rPr>
        <w:t>. VECs are large cells that are present in large numbers throughout the pulmonary circulation, and have active metabolism and complex function. Pulmonary VECs are important target and effector cells in ARDS, and are damaged earliest in the disease course</w:t>
      </w:r>
      <w:r w:rsidRPr="00B66BCA">
        <w:rPr>
          <w:rFonts w:ascii="Book Antiqua" w:hAnsi="Book Antiqua"/>
          <w:vertAlign w:val="superscript"/>
        </w:rPr>
        <w:t>[13]</w:t>
      </w:r>
      <w:r w:rsidRPr="00B66BCA">
        <w:rPr>
          <w:rFonts w:ascii="Book Antiqua" w:hAnsi="Book Antiqua"/>
        </w:rPr>
        <w:t>. Under pathological conditions, the number of CECs often increases significantly. At present, although research on CECs is common, most of it is limited to studies of infection, cardiovascular disease and oxidative stress. There are few clinical studies on the changes in CECs and their predictive potency in patients with ARDS. Recently, a relationship between endothelial damage, CECs and ARDS has been seen in the study of ARDS induced by coronavirus disease 2019</w:t>
      </w:r>
      <w:r w:rsidRPr="00B66BCA">
        <w:rPr>
          <w:rFonts w:ascii="Book Antiqua" w:hAnsi="Book Antiqua"/>
          <w:vertAlign w:val="superscript"/>
        </w:rPr>
        <w:t>[14]</w:t>
      </w:r>
      <w:r w:rsidRPr="00B66BCA">
        <w:rPr>
          <w:rFonts w:ascii="Book Antiqua" w:hAnsi="Book Antiqua"/>
        </w:rPr>
        <w:t>.</w:t>
      </w:r>
    </w:p>
    <w:p w14:paraId="5E585DA7"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The cellular immunophenotype of CECs is currently not clear</w:t>
      </w:r>
      <w:r w:rsidRPr="00B66BCA">
        <w:rPr>
          <w:rFonts w:ascii="Book Antiqua" w:hAnsi="Book Antiqua"/>
          <w:vertAlign w:val="superscript"/>
        </w:rPr>
        <w:t>[15]</w:t>
      </w:r>
      <w:r w:rsidRPr="00B66BCA">
        <w:rPr>
          <w:rFonts w:ascii="Book Antiqua" w:hAnsi="Book Antiqua"/>
        </w:rPr>
        <w:t>, and most endothelial progenitor cells and partially activated T lymphocytes also express part of the same phenotype as CECs. Therefore, it is necessary to label multiple phenotypic antibodies at the same time to identify CECs more accurately by flow cytometry. In this study, we defined CECs as CD146</w:t>
      </w:r>
      <w:r w:rsidRPr="00B66BCA">
        <w:rPr>
          <w:rFonts w:ascii="Book Antiqua" w:hAnsi="Book Antiqua"/>
          <w:vertAlign w:val="superscript"/>
        </w:rPr>
        <w:t>+</w:t>
      </w:r>
      <w:r w:rsidRPr="00B66BCA">
        <w:rPr>
          <w:rFonts w:ascii="Book Antiqua" w:hAnsi="Book Antiqua"/>
        </w:rPr>
        <w:t xml:space="preserve"> CD45</w:t>
      </w:r>
      <w:r w:rsidRPr="00B66BCA">
        <w:rPr>
          <w:rFonts w:ascii="Book Antiqua" w:hAnsi="Book Antiqua"/>
          <w:vertAlign w:val="superscript"/>
        </w:rPr>
        <w:t>-</w:t>
      </w:r>
      <w:r w:rsidRPr="00B66BCA">
        <w:rPr>
          <w:rFonts w:ascii="Book Antiqua" w:hAnsi="Book Antiqua"/>
        </w:rPr>
        <w:t xml:space="preserve"> cells.</w:t>
      </w:r>
    </w:p>
    <w:p w14:paraId="7F0DC321"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This is believed to be the first study to compare numbers of CECs in patients with ARDS. In patients with ARDS postoperatively, the number of d2 CECs in the deceased group was higher than in the improved group, so increased number of CECs might predict increased mortality at an early stage. Number of CECs on d2 was correlated with whether patients developed ARDS, severity of ARDS and clinical outcome of ARDS, which indicated that degree of endothelial injury represented by CECs had a predictive and warning effect on the clinical outcome of ARDS. Most ARDS patients are have respiratory dysfunction, but not all of them die of respiratory failure. A large number of etiological studies have shown that multiple organ dysfunction is an independent risk factor for poor prognosis of ARDS</w:t>
      </w:r>
      <w:r w:rsidRPr="00B66BCA">
        <w:rPr>
          <w:rFonts w:ascii="Book Antiqua" w:hAnsi="Book Antiqua"/>
          <w:vertAlign w:val="superscript"/>
        </w:rPr>
        <w:t>[16]</w:t>
      </w:r>
      <w:r w:rsidRPr="00B66BCA">
        <w:rPr>
          <w:rFonts w:ascii="Book Antiqua" w:hAnsi="Book Antiqua"/>
        </w:rPr>
        <w:t xml:space="preserve">. Therefore, extensive endothelial injury and massive </w:t>
      </w:r>
      <w:r w:rsidRPr="00B66BCA">
        <w:rPr>
          <w:rFonts w:ascii="Book Antiqua" w:hAnsi="Book Antiqua"/>
        </w:rPr>
        <w:lastRenderedPageBreak/>
        <w:t xml:space="preserve">platelet thrombosis lead to tissue hypoxia and multiple organ dysfunction. Therefore, changes in CECs, which are a marker of endothelial cell injury, might predict mortality of ARDS patients. Moussa </w:t>
      </w:r>
      <w:r w:rsidRPr="00B66BCA">
        <w:rPr>
          <w:rFonts w:ascii="Book Antiqua" w:hAnsi="Book Antiqua"/>
          <w:i/>
          <w:iCs/>
        </w:rPr>
        <w:t>et al</w:t>
      </w:r>
      <w:r w:rsidRPr="00B66BCA">
        <w:rPr>
          <w:rFonts w:ascii="Book Antiqua" w:hAnsi="Book Antiqua"/>
          <w:vertAlign w:val="superscript"/>
        </w:rPr>
        <w:t>[17]</w:t>
      </w:r>
      <w:r w:rsidRPr="00B66BCA">
        <w:rPr>
          <w:rFonts w:ascii="Book Antiqua" w:hAnsi="Book Antiqua"/>
        </w:rPr>
        <w:t xml:space="preserve"> have suggested that activation and dysfunction of endothelial cells are involved in the pathophysiological process of ARDS. CECs might be a useful biomarker of endothelial dysfunction and injury. Therefore, they conducted a study on sepsis-related ARDS. The median CECs count in moderate and severe ARDS on d1 was significantly higher than that in patients with sepsis and mild ARDS and sepsis control patients, and all sepsis patients (with or without ARDS) had higher CECs counts on d1 than patients without ARDS. Therefore, CECs count on d1 of ARDS could be used as a useful indicator of severity of ARDS.</w:t>
      </w:r>
    </w:p>
    <w:p w14:paraId="4E03C5AB"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In our study, the number of CECs in patients with ARDS on d2, postoperatively, was significantly higher than that in the control group. Moreover, ROC curve analysis showed that the best cut-off value of d2 CECs was 1351 cells/mL. Therefore, number of CECs was an effective marker to predict development and outcome of ARDS. The cut-off value showed that when CECs were &gt; 1351 cells/mL, patients were more likely to have ARDS, and sensitivity and specificity were 80.8% and 78.1%, respectively. For patients with ARDS, there was no significant difference in number of d2 CECs between mild and moderate disease, while the number of d2 CECs in severe ARDS was significantly higher than that in mild and moderate ARDS. Therefore, it could be inferred that number of CECs in peripheral blood is significantly increased in patients with severe ARDS, which reflected severity of ARDS. We need to expand sample size and investigate specific changes in CECs in peripheral blood of patients with ARDS of different severity.</w:t>
      </w:r>
    </w:p>
    <w:p w14:paraId="01C3148E" w14:textId="77777777" w:rsidR="00CC76E5" w:rsidRPr="00B66BCA" w:rsidRDefault="0098248C" w:rsidP="00B66BCA">
      <w:pPr>
        <w:pStyle w:val="Body"/>
        <w:adjustRightInd w:val="0"/>
        <w:snapToGrid w:val="0"/>
        <w:spacing w:line="360" w:lineRule="auto"/>
        <w:ind w:firstLine="240"/>
        <w:jc w:val="both"/>
        <w:rPr>
          <w:rFonts w:ascii="Book Antiqua" w:eastAsia="Book Antiqua" w:hAnsi="Book Antiqua" w:cs="Book Antiqua"/>
        </w:rPr>
      </w:pPr>
      <w:r w:rsidRPr="00B66BCA">
        <w:rPr>
          <w:rFonts w:ascii="Book Antiqua" w:hAnsi="Book Antiqua"/>
        </w:rPr>
        <w:t>According to the current consensus, the time course of ARDS is: corresponding respiratory symptoms appear, or respiratory symptoms are aggravated, or new respiratory symptoms appear after an external stress within 1 wk</w:t>
      </w:r>
      <w:r w:rsidRPr="00B66BCA">
        <w:rPr>
          <w:rFonts w:ascii="Book Antiqua" w:hAnsi="Book Antiqua"/>
          <w:vertAlign w:val="superscript"/>
        </w:rPr>
        <w:t>[18,19]</w:t>
      </w:r>
      <w:r w:rsidRPr="00B66BCA">
        <w:rPr>
          <w:rFonts w:ascii="Book Antiqua" w:hAnsi="Book Antiqua"/>
        </w:rPr>
        <w:t xml:space="preserve">. Therefore, in our study, the number of CECs was detected on d5 for patients enrolled postoperatively. We found that there was no significant change in CECs during recovery of non-ARDS patients, suggesting that there was no further damage to the vascular endothelial system; however, the number of CECs increased in the improved and deceased groups of ARDS </w:t>
      </w:r>
      <w:r w:rsidRPr="00B66BCA">
        <w:rPr>
          <w:rFonts w:ascii="Book Antiqua" w:hAnsi="Book Antiqua"/>
        </w:rPr>
        <w:lastRenderedPageBreak/>
        <w:t>patients, which was thought to be related to the combined effects of many factors such as shock and infection postoperatively. We found that there was a positive correlation between operation time and number of CECs, suggesting that longer operation time resulted in greater trauma. The effects of the operation itself and postoperative inflammatory reaction could both lead to damage of the vascular endothelial system. This mechanism is consistent with pathogenesis of extrapulmonary ARDS</w:t>
      </w:r>
      <w:r w:rsidRPr="00B66BCA">
        <w:rPr>
          <w:rFonts w:ascii="Book Antiqua" w:hAnsi="Book Antiqua"/>
          <w:vertAlign w:val="superscript"/>
        </w:rPr>
        <w:t>[20]</w:t>
      </w:r>
      <w:r w:rsidRPr="00B66BCA">
        <w:rPr>
          <w:rFonts w:ascii="Book Antiqua" w:hAnsi="Book Antiqua"/>
        </w:rPr>
        <w:t>.</w:t>
      </w:r>
    </w:p>
    <w:p w14:paraId="33F8407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5CEB80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CONCLUSION</w:t>
      </w:r>
    </w:p>
    <w:p w14:paraId="7676D35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Changes in number of CECs might predict occurrence and adverse outcome of ARDS postoperatively, and higher numbers of CECs are associated with worse prognosis of ARDS.</w:t>
      </w:r>
    </w:p>
    <w:p w14:paraId="4797631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5C0335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caps/>
          <w:u w:val="single"/>
        </w:rPr>
        <w:t>ARTICLE HIGHLIGHTS</w:t>
      </w:r>
    </w:p>
    <w:p w14:paraId="097EFC0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background</w:t>
      </w:r>
    </w:p>
    <w:p w14:paraId="67978DC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Acute respiratory distress syndrome (ARDS) involves alveolar epithelial cells and pulmonary interstitial capillary endothelial cells. Circulating endothelial cells (CECs) are the only marker that directly reflects vascular endothelial injury </w:t>
      </w:r>
      <w:r w:rsidRPr="00B66BCA">
        <w:rPr>
          <w:rFonts w:ascii="Book Antiqua" w:hAnsi="Book Antiqua"/>
          <w:i/>
          <w:iCs/>
        </w:rPr>
        <w:t>in vivo</w:t>
      </w:r>
      <w:r w:rsidRPr="00B66BCA">
        <w:rPr>
          <w:rFonts w:ascii="Book Antiqua" w:hAnsi="Book Antiqua"/>
        </w:rPr>
        <w:t xml:space="preserve">. There have been few studies on the correlation between peripheral blood CECs and ARDS at home and abroad. </w:t>
      </w:r>
    </w:p>
    <w:p w14:paraId="3C27FBF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4F919C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motivation</w:t>
      </w:r>
    </w:p>
    <w:p w14:paraId="435FB1B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This research studied correlation between level of CECs and severity of ARDS, and preliminarily observed change trend of CECs at different time points. This is believed to be initiated research to compare CECs levels changes in patients with ARDS, and it had value of guiding treatment and evaluating prognosis for ARDS patients.</w:t>
      </w:r>
    </w:p>
    <w:p w14:paraId="493207C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F60797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objectives</w:t>
      </w:r>
    </w:p>
    <w:p w14:paraId="53218C5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This study aimed to explore the correlation between CEC level and severity of ARDS in patients postoperatively.</w:t>
      </w:r>
    </w:p>
    <w:p w14:paraId="4912074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3AEEE10"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methods</w:t>
      </w:r>
    </w:p>
    <w:p w14:paraId="78EFB48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Blood samples were collected from all patients on day 2 (d2) and day 5 (d5) after surgery. Number of CECs was measured by flow cytometry, and operation time was recorded. Changes in various indexes of patients were monitored, and diagnosis of ARDS was determined based on ARDS Berlin definition. </w:t>
      </w:r>
    </w:p>
    <w:p w14:paraId="1EED7B48"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179F43B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results</w:t>
      </w:r>
    </w:p>
    <w:p w14:paraId="53F56CB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The number of d2 CECs in the ARDS group was significantly higher than that in the healthy control group. The number of d2 CECs in the ARDS group was significantly higher than that in the non-ARDS group. The number of d2 CECs in the non-ARDS group was significantly higher than that in the healthy control group. There was no significant difference in number of d2 CECs between patients with mild and moderate ARDS. The number of d2 CECs in patients with severe ARDS was significantly higher than that in patients with mild and moderate ARDS. The number of d5 CECs was higher than the number of d2 CECs in the ARDS deceased group. </w:t>
      </w:r>
    </w:p>
    <w:p w14:paraId="0957986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07E293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conclusions</w:t>
      </w:r>
    </w:p>
    <w:p w14:paraId="03000A9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Changes in number of CECs might predict occurrence and adverse outcome of ARDS postoperatively, and higher numbers of CECs are associated with worse prognosis of ARDS.</w:t>
      </w:r>
    </w:p>
    <w:p w14:paraId="33A3BE2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BC33F2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i/>
          <w:iCs/>
        </w:rPr>
        <w:t>Research perspectives</w:t>
      </w:r>
    </w:p>
    <w:p w14:paraId="7C5A0627" w14:textId="41A3CD88"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In future experiments, we need to further expand sample size by collecting more enrolled patients, refining grouping, and conducting hierarchical analysis. If one special group of patients was dynamically tracked for detection, this would increase the refinement of CECs detection time points for better observation of dynamic changes of CECs.</w:t>
      </w:r>
    </w:p>
    <w:p w14:paraId="24AB05F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0106CE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REFERENCES</w:t>
      </w:r>
    </w:p>
    <w:p w14:paraId="212FDA0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 xml:space="preserve">1 </w:t>
      </w:r>
      <w:r w:rsidRPr="00B66BCA">
        <w:rPr>
          <w:rFonts w:ascii="Book Antiqua" w:hAnsi="Book Antiqua"/>
          <w:b/>
          <w:bCs/>
        </w:rPr>
        <w:t>Spinelli E</w:t>
      </w:r>
      <w:r w:rsidRPr="00B66BCA">
        <w:rPr>
          <w:rFonts w:ascii="Book Antiqua" w:hAnsi="Book Antiqua"/>
        </w:rPr>
        <w:t xml:space="preserve">, Mauri T, Beitler JR, Pesenti A, Brodie D. Respiratory drive in the acute respiratory distress syndrome: pathophysiology, monitoring, and therapeutic interventions. </w:t>
      </w:r>
      <w:r w:rsidRPr="00B66BCA">
        <w:rPr>
          <w:rFonts w:ascii="Book Antiqua" w:hAnsi="Book Antiqua"/>
          <w:i/>
          <w:iCs/>
        </w:rPr>
        <w:t>Intensive Care Med</w:t>
      </w:r>
      <w:r w:rsidRPr="00B66BCA">
        <w:rPr>
          <w:rFonts w:ascii="Book Antiqua" w:hAnsi="Book Antiqua"/>
        </w:rPr>
        <w:t xml:space="preserve"> 2020; </w:t>
      </w:r>
      <w:r w:rsidRPr="00B66BCA">
        <w:rPr>
          <w:rFonts w:ascii="Book Antiqua" w:hAnsi="Book Antiqua"/>
          <w:b/>
          <w:bCs/>
        </w:rPr>
        <w:t>46</w:t>
      </w:r>
      <w:r w:rsidRPr="00B66BCA">
        <w:rPr>
          <w:rFonts w:ascii="Book Antiqua" w:hAnsi="Book Antiqua"/>
        </w:rPr>
        <w:t>: 606-618 [PMID: 32016537 DOI: 10.1007/s00134-020-05942-6]</w:t>
      </w:r>
    </w:p>
    <w:p w14:paraId="43CB0F4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2 </w:t>
      </w:r>
      <w:r w:rsidRPr="00B66BCA">
        <w:rPr>
          <w:rFonts w:ascii="Book Antiqua" w:hAnsi="Book Antiqua"/>
          <w:b/>
          <w:bCs/>
        </w:rPr>
        <w:t>Yadav H</w:t>
      </w:r>
      <w:r w:rsidRPr="00B66BCA">
        <w:rPr>
          <w:rFonts w:ascii="Book Antiqua" w:hAnsi="Book Antiqua"/>
        </w:rPr>
        <w:t xml:space="preserve">, Thompson BT, Gajic O. Fifty Years of Research in ARDS. Is Acute Respiratory Distress Syndrome a Preventable Disease? </w:t>
      </w:r>
      <w:r w:rsidRPr="00B66BCA">
        <w:rPr>
          <w:rFonts w:ascii="Book Antiqua" w:hAnsi="Book Antiqua"/>
          <w:i/>
          <w:iCs/>
        </w:rPr>
        <w:t>Am J Respir Crit Care Med</w:t>
      </w:r>
      <w:r w:rsidRPr="00B66BCA">
        <w:rPr>
          <w:rFonts w:ascii="Book Antiqua" w:hAnsi="Book Antiqua"/>
        </w:rPr>
        <w:t xml:space="preserve"> 2017; </w:t>
      </w:r>
      <w:r w:rsidRPr="00B66BCA">
        <w:rPr>
          <w:rFonts w:ascii="Book Antiqua" w:hAnsi="Book Antiqua"/>
          <w:b/>
          <w:bCs/>
        </w:rPr>
        <w:t>195</w:t>
      </w:r>
      <w:r w:rsidRPr="00B66BCA">
        <w:rPr>
          <w:rFonts w:ascii="Book Antiqua" w:hAnsi="Book Antiqua"/>
        </w:rPr>
        <w:t>: 725-736 [PMID: 28040987 DOI: 10.1164/rccm.201609-1767CI]</w:t>
      </w:r>
    </w:p>
    <w:p w14:paraId="601642D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3 </w:t>
      </w:r>
      <w:r w:rsidRPr="00B66BCA">
        <w:rPr>
          <w:rFonts w:ascii="Book Antiqua" w:hAnsi="Book Antiqua"/>
          <w:b/>
          <w:bCs/>
        </w:rPr>
        <w:t>Redant S</w:t>
      </w:r>
      <w:r w:rsidRPr="00B66BCA">
        <w:rPr>
          <w:rFonts w:ascii="Book Antiqua" w:hAnsi="Book Antiqua"/>
        </w:rPr>
        <w:t xml:space="preserve">, Devriendt J, Botta I, Attou R, De Bels D, Honoré PM, Pierrakos C. Diagnosing Acute Respiratory Distress Syndrome with the Berlin Definition: Which Technical Investigations Should be the Best to Confirm it? </w:t>
      </w:r>
      <w:r w:rsidRPr="00B66BCA">
        <w:rPr>
          <w:rFonts w:ascii="Book Antiqua" w:hAnsi="Book Antiqua"/>
          <w:i/>
          <w:iCs/>
        </w:rPr>
        <w:t>J Transl Int Med</w:t>
      </w:r>
      <w:r w:rsidRPr="00B66BCA">
        <w:rPr>
          <w:rFonts w:ascii="Book Antiqua" w:hAnsi="Book Antiqua"/>
        </w:rPr>
        <w:t xml:space="preserve"> 2019; </w:t>
      </w:r>
      <w:r w:rsidRPr="00B66BCA">
        <w:rPr>
          <w:rFonts w:ascii="Book Antiqua" w:hAnsi="Book Antiqua"/>
          <w:b/>
          <w:bCs/>
        </w:rPr>
        <w:t>7</w:t>
      </w:r>
      <w:r w:rsidRPr="00B66BCA">
        <w:rPr>
          <w:rFonts w:ascii="Book Antiqua" w:hAnsi="Book Antiqua"/>
        </w:rPr>
        <w:t>: 1-2 [PMID: 30997349 DOI: 10.2478/jtim-2019-0001]</w:t>
      </w:r>
    </w:p>
    <w:p w14:paraId="510E9AA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4 </w:t>
      </w:r>
      <w:r w:rsidRPr="00B66BCA">
        <w:rPr>
          <w:rFonts w:ascii="Book Antiqua" w:hAnsi="Book Antiqua"/>
          <w:b/>
          <w:bCs/>
        </w:rPr>
        <w:t>Rawal G</w:t>
      </w:r>
      <w:r w:rsidRPr="00B66BCA">
        <w:rPr>
          <w:rFonts w:ascii="Book Antiqua" w:hAnsi="Book Antiqua"/>
        </w:rPr>
        <w:t xml:space="preserve">, Yadav S, Kumar R. Acute Respiratory Distress Syndrome: An Update and Review. </w:t>
      </w:r>
      <w:r w:rsidRPr="00B66BCA">
        <w:rPr>
          <w:rFonts w:ascii="Book Antiqua" w:hAnsi="Book Antiqua"/>
          <w:i/>
          <w:iCs/>
        </w:rPr>
        <w:t>J Transl Int Med</w:t>
      </w:r>
      <w:r w:rsidRPr="00B66BCA">
        <w:rPr>
          <w:rFonts w:ascii="Book Antiqua" w:hAnsi="Book Antiqua"/>
        </w:rPr>
        <w:t xml:space="preserve"> 2018; </w:t>
      </w:r>
      <w:r w:rsidRPr="00B66BCA">
        <w:rPr>
          <w:rFonts w:ascii="Book Antiqua" w:hAnsi="Book Antiqua"/>
          <w:b/>
          <w:bCs/>
        </w:rPr>
        <w:t>6</w:t>
      </w:r>
      <w:r w:rsidRPr="00B66BCA">
        <w:rPr>
          <w:rFonts w:ascii="Book Antiqua" w:hAnsi="Book Antiqua"/>
        </w:rPr>
        <w:t>: 74-77 [PMID: 29984201 DOI: 10.1515/jtim-2016-0012]</w:t>
      </w:r>
    </w:p>
    <w:p w14:paraId="384FD82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5 </w:t>
      </w:r>
      <w:r w:rsidRPr="00B66BCA">
        <w:rPr>
          <w:rFonts w:ascii="Book Antiqua" w:hAnsi="Book Antiqua"/>
          <w:b/>
          <w:bCs/>
        </w:rPr>
        <w:t>Huppert LA</w:t>
      </w:r>
      <w:r w:rsidRPr="00B66BCA">
        <w:rPr>
          <w:rFonts w:ascii="Book Antiqua" w:hAnsi="Book Antiqua"/>
        </w:rPr>
        <w:t xml:space="preserve">, Matthay MA, Ware LB. Pathogenesis of Acute Respiratory Distress Syndrome. </w:t>
      </w:r>
      <w:r w:rsidRPr="00B66BCA">
        <w:rPr>
          <w:rFonts w:ascii="Book Antiqua" w:hAnsi="Book Antiqua"/>
          <w:i/>
          <w:iCs/>
        </w:rPr>
        <w:t>Semin Respir Crit Care Med</w:t>
      </w:r>
      <w:r w:rsidRPr="00B66BCA">
        <w:rPr>
          <w:rFonts w:ascii="Book Antiqua" w:hAnsi="Book Antiqua"/>
        </w:rPr>
        <w:t xml:space="preserve"> 2019; </w:t>
      </w:r>
      <w:r w:rsidRPr="00B66BCA">
        <w:rPr>
          <w:rFonts w:ascii="Book Antiqua" w:hAnsi="Book Antiqua"/>
          <w:b/>
          <w:bCs/>
        </w:rPr>
        <w:t>40</w:t>
      </w:r>
      <w:r w:rsidRPr="00B66BCA">
        <w:rPr>
          <w:rFonts w:ascii="Book Antiqua" w:hAnsi="Book Antiqua"/>
        </w:rPr>
        <w:t>: 31-39 [PMID: 31060086 DOI: 10.1055/s-0039-1683996]</w:t>
      </w:r>
    </w:p>
    <w:p w14:paraId="6A232D3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6 </w:t>
      </w:r>
      <w:r w:rsidRPr="00B66BCA">
        <w:rPr>
          <w:rFonts w:ascii="Book Antiqua" w:hAnsi="Book Antiqua"/>
          <w:b/>
          <w:bCs/>
        </w:rPr>
        <w:t>Ren R</w:t>
      </w:r>
      <w:r w:rsidRPr="00B66BCA">
        <w:rPr>
          <w:rFonts w:ascii="Book Antiqua" w:hAnsi="Book Antiqua"/>
        </w:rPr>
        <w:t xml:space="preserve">, Ruan Z, Ding H, Du J, Yu W. Phosphoproteome profiling provides insight into the mechanisms of ventilator-induced lung injury. </w:t>
      </w:r>
      <w:r w:rsidRPr="00B66BCA">
        <w:rPr>
          <w:rFonts w:ascii="Book Antiqua" w:hAnsi="Book Antiqua"/>
          <w:i/>
          <w:iCs/>
        </w:rPr>
        <w:t>Exp Ther Med</w:t>
      </w:r>
      <w:r w:rsidRPr="00B66BCA">
        <w:rPr>
          <w:rFonts w:ascii="Book Antiqua" w:hAnsi="Book Antiqua"/>
        </w:rPr>
        <w:t xml:space="preserve"> 2020; </w:t>
      </w:r>
      <w:r w:rsidRPr="00B66BCA">
        <w:rPr>
          <w:rFonts w:ascii="Book Antiqua" w:hAnsi="Book Antiqua"/>
          <w:b/>
          <w:bCs/>
        </w:rPr>
        <w:t>19</w:t>
      </w:r>
      <w:r w:rsidRPr="00B66BCA">
        <w:rPr>
          <w:rFonts w:ascii="Book Antiqua" w:hAnsi="Book Antiqua"/>
        </w:rPr>
        <w:t>: 3627-3633 [PMID: 32346427 DOI: 10.3892/etm.2020.8634]</w:t>
      </w:r>
    </w:p>
    <w:p w14:paraId="6289D4B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7 </w:t>
      </w:r>
      <w:r w:rsidRPr="00B66BCA">
        <w:rPr>
          <w:rFonts w:ascii="Book Antiqua" w:hAnsi="Book Antiqua"/>
          <w:b/>
          <w:bCs/>
        </w:rPr>
        <w:t>Harris AJ</w:t>
      </w:r>
      <w:r w:rsidRPr="00B66BCA">
        <w:rPr>
          <w:rFonts w:ascii="Book Antiqua" w:hAnsi="Book Antiqua"/>
        </w:rPr>
        <w:t xml:space="preserve">, Mirchandani AS, Lynch RW, Murphy F, Delaney L, Small D, Coelho P, Watts ER, Sadiku P, Griffith D, Dickinson RS, Clark E, Willson JA, Morrison T, Mazzone M, Carmeliet P, Ghesquiere B, O'Kane C, McAuley D, Jenkins SJ, Whyte MKB, Walmsley SR. IL4Rα Signaling Abrogates Hypoxic Neutrophil Survival and Limits Acute Lung Injury Responses </w:t>
      </w:r>
      <w:r w:rsidRPr="00B66BCA">
        <w:rPr>
          <w:rFonts w:ascii="Book Antiqua" w:hAnsi="Book Antiqua"/>
          <w:i/>
          <w:iCs/>
        </w:rPr>
        <w:t>In Vivo</w:t>
      </w:r>
      <w:r w:rsidRPr="00B66BCA">
        <w:rPr>
          <w:rFonts w:ascii="Book Antiqua" w:hAnsi="Book Antiqua"/>
        </w:rPr>
        <w:t xml:space="preserve">. </w:t>
      </w:r>
      <w:r w:rsidRPr="00B66BCA">
        <w:rPr>
          <w:rFonts w:ascii="Book Antiqua" w:hAnsi="Book Antiqua"/>
          <w:i/>
          <w:iCs/>
        </w:rPr>
        <w:t>Am J Respir Crit Care Med</w:t>
      </w:r>
      <w:r w:rsidRPr="00B66BCA">
        <w:rPr>
          <w:rFonts w:ascii="Book Antiqua" w:hAnsi="Book Antiqua"/>
        </w:rPr>
        <w:t xml:space="preserve"> 2019; </w:t>
      </w:r>
      <w:r w:rsidRPr="00B66BCA">
        <w:rPr>
          <w:rFonts w:ascii="Book Antiqua" w:hAnsi="Book Antiqua"/>
          <w:b/>
          <w:bCs/>
        </w:rPr>
        <w:t>200</w:t>
      </w:r>
      <w:r w:rsidRPr="00B66BCA">
        <w:rPr>
          <w:rFonts w:ascii="Book Antiqua" w:hAnsi="Book Antiqua"/>
        </w:rPr>
        <w:t>: 235-246 [PMID: 30849228 DOI: 10.1164/rccm.201808-1599OC]</w:t>
      </w:r>
    </w:p>
    <w:p w14:paraId="5CB3675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8 </w:t>
      </w:r>
      <w:r w:rsidRPr="00B66BCA">
        <w:rPr>
          <w:rFonts w:ascii="Book Antiqua" w:hAnsi="Book Antiqua"/>
          <w:b/>
          <w:bCs/>
        </w:rPr>
        <w:t>Janz DR</w:t>
      </w:r>
      <w:r w:rsidRPr="00B66BCA">
        <w:rPr>
          <w:rFonts w:ascii="Book Antiqua" w:hAnsi="Book Antiqua"/>
        </w:rPr>
        <w:t xml:space="preserve">, Ware LB. Biomarkers of ALI/ARDS: pathogenesis, discovery, and relevance to clinical trials. </w:t>
      </w:r>
      <w:r w:rsidRPr="00B66BCA">
        <w:rPr>
          <w:rFonts w:ascii="Book Antiqua" w:hAnsi="Book Antiqua"/>
          <w:i/>
          <w:iCs/>
        </w:rPr>
        <w:t>Semin Respir Crit Care Med</w:t>
      </w:r>
      <w:r w:rsidRPr="00B66BCA">
        <w:rPr>
          <w:rFonts w:ascii="Book Antiqua" w:hAnsi="Book Antiqua"/>
        </w:rPr>
        <w:t xml:space="preserve"> 2013; </w:t>
      </w:r>
      <w:r w:rsidRPr="00B66BCA">
        <w:rPr>
          <w:rFonts w:ascii="Book Antiqua" w:hAnsi="Book Antiqua"/>
          <w:b/>
          <w:bCs/>
        </w:rPr>
        <w:t>34</w:t>
      </w:r>
      <w:r w:rsidRPr="00B66BCA">
        <w:rPr>
          <w:rFonts w:ascii="Book Antiqua" w:hAnsi="Book Antiqua"/>
        </w:rPr>
        <w:t>: 537-548 [PMID: 23934723 DOI: 10.1055/s-0033-1351124]</w:t>
      </w:r>
    </w:p>
    <w:p w14:paraId="6990918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lastRenderedPageBreak/>
        <w:t xml:space="preserve">9 </w:t>
      </w:r>
      <w:r w:rsidRPr="00B66BCA">
        <w:rPr>
          <w:rFonts w:ascii="Book Antiqua" w:hAnsi="Book Antiqua"/>
          <w:b/>
          <w:bCs/>
        </w:rPr>
        <w:t>Eizawa T</w:t>
      </w:r>
      <w:r w:rsidRPr="00B66BCA">
        <w:rPr>
          <w:rFonts w:ascii="Book Antiqua" w:hAnsi="Book Antiqua"/>
        </w:rPr>
        <w:t xml:space="preserve">, Ikeda U, Murakami Y, Matsui K, Yoshioka T, Suzuki C, Takahashi M, Muroi K, Kamisawa O, Fuse K, Shimada K. Increase in circulating endothelial progenitor cells after aortic aneurysm repair. </w:t>
      </w:r>
      <w:r w:rsidRPr="00B66BCA">
        <w:rPr>
          <w:rFonts w:ascii="Book Antiqua" w:hAnsi="Book Antiqua"/>
          <w:i/>
          <w:iCs/>
        </w:rPr>
        <w:t>Heart Vessels</w:t>
      </w:r>
      <w:r w:rsidRPr="00B66BCA">
        <w:rPr>
          <w:rFonts w:ascii="Book Antiqua" w:hAnsi="Book Antiqua"/>
        </w:rPr>
        <w:t xml:space="preserve"> 2004; </w:t>
      </w:r>
      <w:r w:rsidRPr="00B66BCA">
        <w:rPr>
          <w:rFonts w:ascii="Book Antiqua" w:hAnsi="Book Antiqua"/>
          <w:b/>
          <w:bCs/>
        </w:rPr>
        <w:t>19</w:t>
      </w:r>
      <w:r w:rsidRPr="00B66BCA">
        <w:rPr>
          <w:rFonts w:ascii="Book Antiqua" w:hAnsi="Book Antiqua"/>
        </w:rPr>
        <w:t>: 107-110 [PMID: 15168056 DOI: 10.1007/s00380-003-0751-7]</w:t>
      </w:r>
    </w:p>
    <w:p w14:paraId="6A2AE956"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10 </w:t>
      </w:r>
      <w:r w:rsidRPr="00B66BCA">
        <w:rPr>
          <w:rFonts w:ascii="Book Antiqua" w:hAnsi="Book Antiqua"/>
          <w:b/>
          <w:bCs/>
        </w:rPr>
        <w:t>Derwall M</w:t>
      </w:r>
      <w:r w:rsidRPr="00B66BCA">
        <w:rPr>
          <w:rFonts w:ascii="Book Antiqua" w:hAnsi="Book Antiqua"/>
        </w:rPr>
        <w:t xml:space="preserve">, Martin L, Rossaint R. The acute respiratory distress syndrome: pathophysiology, current clinical practice, and emerging therapies. </w:t>
      </w:r>
      <w:r w:rsidRPr="00B66BCA">
        <w:rPr>
          <w:rFonts w:ascii="Book Antiqua" w:hAnsi="Book Antiqua"/>
          <w:i/>
          <w:iCs/>
        </w:rPr>
        <w:t>Expert Rev Respir Med</w:t>
      </w:r>
      <w:r w:rsidRPr="00B66BCA">
        <w:rPr>
          <w:rFonts w:ascii="Book Antiqua" w:hAnsi="Book Antiqua"/>
        </w:rPr>
        <w:t xml:space="preserve"> 2018; </w:t>
      </w:r>
      <w:r w:rsidRPr="00B66BCA">
        <w:rPr>
          <w:rFonts w:ascii="Book Antiqua" w:hAnsi="Book Antiqua"/>
          <w:b/>
          <w:bCs/>
        </w:rPr>
        <w:t>12</w:t>
      </w:r>
      <w:r w:rsidRPr="00B66BCA">
        <w:rPr>
          <w:rFonts w:ascii="Book Antiqua" w:hAnsi="Book Antiqua"/>
        </w:rPr>
        <w:t>: 1021-1029 [PMID: 30431366 DOI: 10.1080/17476348.2018.1548280]</w:t>
      </w:r>
    </w:p>
    <w:p w14:paraId="0B46828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11 </w:t>
      </w:r>
      <w:r w:rsidRPr="00B66BCA">
        <w:rPr>
          <w:rFonts w:ascii="Book Antiqua" w:hAnsi="Book Antiqua"/>
          <w:b/>
          <w:bCs/>
        </w:rPr>
        <w:t>Neto AS</w:t>
      </w:r>
      <w:r w:rsidRPr="00B66BCA">
        <w:rPr>
          <w:rFonts w:ascii="Book Antiqua" w:hAnsi="Book Antiqua"/>
        </w:rPr>
        <w:t xml:space="preserve">, Simonis FD, Barbas CS, Biehl M, Determann RM, Elmer J, Friedman G, Gajic O, Goldstein JN, Linko R, Pinheiro de Oliveira R, Sundar S, Talmor D, Wolthuis EK, Gama de Abreu M, Pelosi P, Schultz MJ; PROtective Ventilation Network Investigators. Lung-Protective Ventilation With Low Tidal Volumes and the Occurrence of Pulmonary Complications in Patients Without Acute Respiratory Distress Syndrome: A Systematic Review and Individual Patient Data Analysis. </w:t>
      </w:r>
      <w:r w:rsidRPr="00B66BCA">
        <w:rPr>
          <w:rFonts w:ascii="Book Antiqua" w:hAnsi="Book Antiqua"/>
          <w:i/>
          <w:iCs/>
        </w:rPr>
        <w:t>Crit Care Med</w:t>
      </w:r>
      <w:r w:rsidRPr="00B66BCA">
        <w:rPr>
          <w:rFonts w:ascii="Book Antiqua" w:hAnsi="Book Antiqua"/>
        </w:rPr>
        <w:t xml:space="preserve"> 2015; </w:t>
      </w:r>
      <w:r w:rsidRPr="00B66BCA">
        <w:rPr>
          <w:rFonts w:ascii="Book Antiqua" w:hAnsi="Book Antiqua"/>
          <w:b/>
          <w:bCs/>
        </w:rPr>
        <w:t>43</w:t>
      </w:r>
      <w:r w:rsidRPr="00B66BCA">
        <w:rPr>
          <w:rFonts w:ascii="Book Antiqua" w:hAnsi="Book Antiqua"/>
        </w:rPr>
        <w:t>: 2155-2163 [PMID: 26181219 DOI: 10.1097/CCM.0000000000001189]</w:t>
      </w:r>
    </w:p>
    <w:p w14:paraId="2B0A394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12 </w:t>
      </w:r>
      <w:r w:rsidRPr="00B66BCA">
        <w:rPr>
          <w:rFonts w:ascii="Book Antiqua" w:hAnsi="Book Antiqua"/>
          <w:b/>
          <w:bCs/>
        </w:rPr>
        <w:t>Mohandas R</w:t>
      </w:r>
      <w:r w:rsidRPr="00B66BCA">
        <w:rPr>
          <w:rFonts w:ascii="Book Antiqua" w:hAnsi="Book Antiqua"/>
        </w:rPr>
        <w:t xml:space="preserve">, Diao Y, Chamarthi G, Krishnan S, Agrawal N, Wen X, Dass B, Shukla AM, Gopal S, Koç M, Segal MS. Circulating endothelial cells as predictor of long-term mortality and adverse cardiovascular outcomes in hemodialysis patients. </w:t>
      </w:r>
      <w:r w:rsidRPr="00B66BCA">
        <w:rPr>
          <w:rFonts w:ascii="Book Antiqua" w:hAnsi="Book Antiqua"/>
          <w:i/>
          <w:iCs/>
        </w:rPr>
        <w:t>Semin Dial</w:t>
      </w:r>
      <w:r w:rsidRPr="00B66BCA">
        <w:rPr>
          <w:rFonts w:ascii="Book Antiqua" w:hAnsi="Book Antiqua"/>
        </w:rPr>
        <w:t xml:space="preserve"> 2021; </w:t>
      </w:r>
      <w:r w:rsidRPr="00B66BCA">
        <w:rPr>
          <w:rFonts w:ascii="Book Antiqua" w:hAnsi="Book Antiqua"/>
          <w:b/>
          <w:bCs/>
        </w:rPr>
        <w:t>34</w:t>
      </w:r>
      <w:r w:rsidRPr="00B66BCA">
        <w:rPr>
          <w:rFonts w:ascii="Book Antiqua" w:hAnsi="Book Antiqua"/>
        </w:rPr>
        <w:t>: 163-169 [PMID: 33280176 DOI: 10.1111/sdi.12943]</w:t>
      </w:r>
    </w:p>
    <w:p w14:paraId="42452B0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13 </w:t>
      </w:r>
      <w:r w:rsidRPr="00B66BCA">
        <w:rPr>
          <w:rFonts w:ascii="Book Antiqua" w:hAnsi="Book Antiqua"/>
          <w:b/>
          <w:bCs/>
        </w:rPr>
        <w:t>Kawasaki T</w:t>
      </w:r>
      <w:r w:rsidRPr="00B66BCA">
        <w:rPr>
          <w:rFonts w:ascii="Book Antiqua" w:hAnsi="Book Antiqua"/>
        </w:rPr>
        <w:t xml:space="preserve">, Chen W, Htwe YM, Tatsumi K, Dudek SM. DPP4 inhibition by sitagliptin attenuates LPS-induced lung injury in mice. </w:t>
      </w:r>
      <w:r w:rsidRPr="00B66BCA">
        <w:rPr>
          <w:rFonts w:ascii="Book Antiqua" w:hAnsi="Book Antiqua"/>
          <w:i/>
          <w:iCs/>
        </w:rPr>
        <w:t>Am J Physiol Lung Cell Mol Physiol</w:t>
      </w:r>
      <w:r w:rsidRPr="00B66BCA">
        <w:rPr>
          <w:rFonts w:ascii="Book Antiqua" w:hAnsi="Book Antiqua"/>
        </w:rPr>
        <w:t xml:space="preserve"> 2018; </w:t>
      </w:r>
      <w:r w:rsidRPr="00B66BCA">
        <w:rPr>
          <w:rFonts w:ascii="Book Antiqua" w:hAnsi="Book Antiqua"/>
          <w:b/>
          <w:bCs/>
        </w:rPr>
        <w:t>315</w:t>
      </w:r>
      <w:r w:rsidRPr="00B66BCA">
        <w:rPr>
          <w:rFonts w:ascii="Book Antiqua" w:hAnsi="Book Antiqua"/>
        </w:rPr>
        <w:t>: L834-L845 [PMID: 30188745 DOI: 10.1152/ajplung.00031.2018]</w:t>
      </w:r>
    </w:p>
    <w:p w14:paraId="729035C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14 </w:t>
      </w:r>
      <w:r w:rsidRPr="00B66BCA">
        <w:rPr>
          <w:rFonts w:ascii="Book Antiqua" w:hAnsi="Book Antiqua"/>
          <w:b/>
          <w:bCs/>
        </w:rPr>
        <w:t>Rambaldi A</w:t>
      </w:r>
      <w:r w:rsidRPr="00B66BCA">
        <w:rPr>
          <w:rFonts w:ascii="Book Antiqua" w:hAnsi="Book Antiqua"/>
        </w:rPr>
        <w:t xml:space="preserve">, Gritti G, Micò MC, Frigeni M, Borleri G, Salvi A, Landi F, Pavoni C, Sonzogni A, Gianatti A, Binda F, Fagiuoli S, Di Marco F, Lorini L, Remuzzi G, Whitaker S, Demopulos G. Endothelial injury and thrombotic microangiopathy in COVID-19: Treatment with the lectin-pathway inhibitor narsoplimab. </w:t>
      </w:r>
      <w:r w:rsidRPr="00B66BCA">
        <w:rPr>
          <w:rFonts w:ascii="Book Antiqua" w:hAnsi="Book Antiqua"/>
          <w:i/>
          <w:iCs/>
        </w:rPr>
        <w:t>Immunobiology</w:t>
      </w:r>
      <w:r w:rsidRPr="00B66BCA">
        <w:rPr>
          <w:rFonts w:ascii="Book Antiqua" w:hAnsi="Book Antiqua"/>
        </w:rPr>
        <w:t xml:space="preserve"> 2020; </w:t>
      </w:r>
      <w:r w:rsidRPr="00B66BCA">
        <w:rPr>
          <w:rFonts w:ascii="Book Antiqua" w:hAnsi="Book Antiqua"/>
          <w:b/>
          <w:bCs/>
        </w:rPr>
        <w:t>225</w:t>
      </w:r>
      <w:r w:rsidRPr="00B66BCA">
        <w:rPr>
          <w:rFonts w:ascii="Book Antiqua" w:hAnsi="Book Antiqua"/>
        </w:rPr>
        <w:t>: 152001 [PMID: 32943233 DOI: 10.1016/j.imbio.2020.152001]</w:t>
      </w:r>
    </w:p>
    <w:p w14:paraId="216D1B9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15 </w:t>
      </w:r>
      <w:r w:rsidRPr="00B66BCA">
        <w:rPr>
          <w:rFonts w:ascii="Book Antiqua" w:hAnsi="Book Antiqua"/>
          <w:b/>
          <w:bCs/>
        </w:rPr>
        <w:t>Danova M</w:t>
      </w:r>
      <w:r w:rsidRPr="00B66BCA">
        <w:rPr>
          <w:rFonts w:ascii="Book Antiqua" w:hAnsi="Book Antiqua"/>
        </w:rPr>
        <w:t xml:space="preserve">, Comolli G, Manzoni M, Torchio M, Mazzini G. Flow cytometric analysis of circulating endothelial cells and endothelial progenitors for clinical purposes in </w:t>
      </w:r>
      <w:r w:rsidRPr="00B66BCA">
        <w:rPr>
          <w:rFonts w:ascii="Book Antiqua" w:hAnsi="Book Antiqua"/>
        </w:rPr>
        <w:lastRenderedPageBreak/>
        <w:t xml:space="preserve">oncology: A critical evaluation. </w:t>
      </w:r>
      <w:r w:rsidRPr="00B66BCA">
        <w:rPr>
          <w:rFonts w:ascii="Book Antiqua" w:hAnsi="Book Antiqua"/>
          <w:i/>
          <w:iCs/>
        </w:rPr>
        <w:t>Mol Clin Oncol</w:t>
      </w:r>
      <w:r w:rsidRPr="00B66BCA">
        <w:rPr>
          <w:rFonts w:ascii="Book Antiqua" w:hAnsi="Book Antiqua"/>
        </w:rPr>
        <w:t xml:space="preserve"> 2016; </w:t>
      </w:r>
      <w:r w:rsidRPr="00B66BCA">
        <w:rPr>
          <w:rFonts w:ascii="Book Antiqua" w:hAnsi="Book Antiqua"/>
          <w:b/>
          <w:bCs/>
        </w:rPr>
        <w:t>4</w:t>
      </w:r>
      <w:r w:rsidRPr="00B66BCA">
        <w:rPr>
          <w:rFonts w:ascii="Book Antiqua" w:hAnsi="Book Antiqua"/>
        </w:rPr>
        <w:t>: 909-917 [PMID: 27284422 DOI: 10.3892/mco.2016.823]</w:t>
      </w:r>
    </w:p>
    <w:p w14:paraId="71C958E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16 </w:t>
      </w:r>
      <w:r w:rsidRPr="00B66BCA">
        <w:rPr>
          <w:rFonts w:ascii="Book Antiqua" w:hAnsi="Book Antiqua"/>
          <w:b/>
          <w:bCs/>
        </w:rPr>
        <w:t>Bhatia M</w:t>
      </w:r>
      <w:r w:rsidRPr="00B66BCA">
        <w:rPr>
          <w:rFonts w:ascii="Book Antiqua" w:hAnsi="Book Antiqua"/>
        </w:rPr>
        <w:t xml:space="preserve">, Moochhala S. Role of inflammatory mediators in the pathophysiology of acute respiratory distress syndrome. </w:t>
      </w:r>
      <w:r w:rsidRPr="00B66BCA">
        <w:rPr>
          <w:rFonts w:ascii="Book Antiqua" w:hAnsi="Book Antiqua"/>
          <w:i/>
          <w:iCs/>
        </w:rPr>
        <w:t>J Pathol</w:t>
      </w:r>
      <w:r w:rsidRPr="00B66BCA">
        <w:rPr>
          <w:rFonts w:ascii="Book Antiqua" w:hAnsi="Book Antiqua"/>
        </w:rPr>
        <w:t xml:space="preserve"> 2004; </w:t>
      </w:r>
      <w:r w:rsidRPr="00B66BCA">
        <w:rPr>
          <w:rFonts w:ascii="Book Antiqua" w:hAnsi="Book Antiqua"/>
          <w:b/>
          <w:bCs/>
        </w:rPr>
        <w:t>202</w:t>
      </w:r>
      <w:r w:rsidRPr="00B66BCA">
        <w:rPr>
          <w:rFonts w:ascii="Book Antiqua" w:hAnsi="Book Antiqua"/>
        </w:rPr>
        <w:t>: 145-156 [PMID: 14743496 DOI: 10.1002/path.1491]</w:t>
      </w:r>
    </w:p>
    <w:p w14:paraId="5465AF2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17 </w:t>
      </w:r>
      <w:r w:rsidRPr="00B66BCA">
        <w:rPr>
          <w:rFonts w:ascii="Book Antiqua" w:hAnsi="Book Antiqua"/>
          <w:b/>
          <w:bCs/>
        </w:rPr>
        <w:t>Moussa MD</w:t>
      </w:r>
      <w:r w:rsidRPr="00B66BCA">
        <w:rPr>
          <w:rFonts w:ascii="Book Antiqua" w:hAnsi="Book Antiqua"/>
        </w:rPr>
        <w:t xml:space="preserve">, Santonocito C, Fagnoul D, Donadello K, Pradier O, Gaussem P, De Backer D, Vincent JL. Evaluation of endothelial damage in sepsis-related ARDS using circulating endothelial cells. </w:t>
      </w:r>
      <w:r w:rsidRPr="00B66BCA">
        <w:rPr>
          <w:rFonts w:ascii="Book Antiqua" w:hAnsi="Book Antiqua"/>
          <w:i/>
          <w:iCs/>
        </w:rPr>
        <w:t>Intensive Care Med</w:t>
      </w:r>
      <w:r w:rsidRPr="00B66BCA">
        <w:rPr>
          <w:rFonts w:ascii="Book Antiqua" w:hAnsi="Book Antiqua"/>
        </w:rPr>
        <w:t xml:space="preserve"> 2015; </w:t>
      </w:r>
      <w:r w:rsidRPr="00B66BCA">
        <w:rPr>
          <w:rFonts w:ascii="Book Antiqua" w:hAnsi="Book Antiqua"/>
          <w:b/>
          <w:bCs/>
        </w:rPr>
        <w:t>41</w:t>
      </w:r>
      <w:r w:rsidRPr="00B66BCA">
        <w:rPr>
          <w:rFonts w:ascii="Book Antiqua" w:hAnsi="Book Antiqua"/>
        </w:rPr>
        <w:t>: 231-238 [PMID: 25510299 DOI: 10.1007/s00134-014-3589-9]</w:t>
      </w:r>
    </w:p>
    <w:p w14:paraId="5BFE2FFB"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18 </w:t>
      </w:r>
      <w:r w:rsidRPr="00B66BCA">
        <w:rPr>
          <w:rFonts w:ascii="Book Antiqua" w:hAnsi="Book Antiqua"/>
          <w:b/>
          <w:bCs/>
        </w:rPr>
        <w:t>Potey PM</w:t>
      </w:r>
      <w:r w:rsidRPr="00B66BCA">
        <w:rPr>
          <w:rFonts w:ascii="Book Antiqua" w:hAnsi="Book Antiqua"/>
        </w:rPr>
        <w:t xml:space="preserve">, Rossi AG, Lucas CD, Dorward DA. Neutrophils in the initiation and resolution of acute pulmonary inflammation: understanding biological function and therapeutic potential. </w:t>
      </w:r>
      <w:r w:rsidRPr="00B66BCA">
        <w:rPr>
          <w:rFonts w:ascii="Book Antiqua" w:hAnsi="Book Antiqua"/>
          <w:i/>
          <w:iCs/>
        </w:rPr>
        <w:t>J Pathol</w:t>
      </w:r>
      <w:r w:rsidRPr="00B66BCA">
        <w:rPr>
          <w:rFonts w:ascii="Book Antiqua" w:hAnsi="Book Antiqua"/>
        </w:rPr>
        <w:t xml:space="preserve"> 2019; </w:t>
      </w:r>
      <w:r w:rsidRPr="00B66BCA">
        <w:rPr>
          <w:rFonts w:ascii="Book Antiqua" w:hAnsi="Book Antiqua"/>
          <w:b/>
          <w:bCs/>
        </w:rPr>
        <w:t>247</w:t>
      </w:r>
      <w:r w:rsidRPr="00B66BCA">
        <w:rPr>
          <w:rFonts w:ascii="Book Antiqua" w:hAnsi="Book Antiqua"/>
        </w:rPr>
        <w:t>: 672-685 [PMID: 30570146 DOI: 10.1002/path.5221]</w:t>
      </w:r>
    </w:p>
    <w:p w14:paraId="418399D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19 </w:t>
      </w:r>
      <w:r w:rsidRPr="00B66BCA">
        <w:rPr>
          <w:rFonts w:ascii="Book Antiqua" w:hAnsi="Book Antiqua"/>
          <w:b/>
          <w:bCs/>
        </w:rPr>
        <w:t>Rebetz J</w:t>
      </w:r>
      <w:r w:rsidRPr="00B66BCA">
        <w:rPr>
          <w:rFonts w:ascii="Book Antiqua" w:hAnsi="Book Antiqua"/>
        </w:rPr>
        <w:t xml:space="preserve">, Semple JW, Kapur R. The Pathogenic Involvement of Neutrophils in Acute Respiratory Distress Syndrome and Transfusion-Related Acute Lung Injury. </w:t>
      </w:r>
      <w:r w:rsidRPr="00B66BCA">
        <w:rPr>
          <w:rFonts w:ascii="Book Antiqua" w:hAnsi="Book Antiqua"/>
          <w:i/>
          <w:iCs/>
        </w:rPr>
        <w:t>Transfus Med Hemother</w:t>
      </w:r>
      <w:r w:rsidRPr="00B66BCA">
        <w:rPr>
          <w:rFonts w:ascii="Book Antiqua" w:hAnsi="Book Antiqua"/>
        </w:rPr>
        <w:t xml:space="preserve"> 2018; </w:t>
      </w:r>
      <w:r w:rsidRPr="00B66BCA">
        <w:rPr>
          <w:rFonts w:ascii="Book Antiqua" w:hAnsi="Book Antiqua"/>
          <w:b/>
          <w:bCs/>
        </w:rPr>
        <w:t>45</w:t>
      </w:r>
      <w:r w:rsidRPr="00B66BCA">
        <w:rPr>
          <w:rFonts w:ascii="Book Antiqua" w:hAnsi="Book Antiqua"/>
        </w:rPr>
        <w:t>: 290-298 [PMID: 30498407 DOI: 10.1159/000492950]</w:t>
      </w:r>
    </w:p>
    <w:p w14:paraId="70B15E90"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 xml:space="preserve">20 </w:t>
      </w:r>
      <w:r w:rsidRPr="00B66BCA">
        <w:rPr>
          <w:rFonts w:ascii="Book Antiqua" w:hAnsi="Book Antiqua"/>
          <w:b/>
          <w:bCs/>
        </w:rPr>
        <w:t>Xiong S</w:t>
      </w:r>
      <w:r w:rsidRPr="00B66BCA">
        <w:rPr>
          <w:rFonts w:ascii="Book Antiqua" w:hAnsi="Book Antiqua"/>
        </w:rPr>
        <w:t xml:space="preserve">, Hong Z, Huang LS, Tsukasaki Y, Nepal S, Di A, Zhong M, Wu W, Ye Z, Gao X, Rao GN, Mehta D, Rehman J, Malik AB. IL-1β suppression of VE-cadherin transcription underlies sepsis-induced inflammatory lung injury. </w:t>
      </w:r>
      <w:r w:rsidRPr="00B66BCA">
        <w:rPr>
          <w:rFonts w:ascii="Book Antiqua" w:hAnsi="Book Antiqua"/>
          <w:i/>
          <w:iCs/>
        </w:rPr>
        <w:t>J Clin Invest</w:t>
      </w:r>
      <w:r w:rsidRPr="00B66BCA">
        <w:rPr>
          <w:rFonts w:ascii="Book Antiqua" w:hAnsi="Book Antiqua"/>
        </w:rPr>
        <w:t xml:space="preserve"> 2020; </w:t>
      </w:r>
      <w:r w:rsidRPr="00B66BCA">
        <w:rPr>
          <w:rFonts w:ascii="Book Antiqua" w:hAnsi="Book Antiqua"/>
          <w:b/>
          <w:bCs/>
        </w:rPr>
        <w:t>130</w:t>
      </w:r>
      <w:r w:rsidRPr="00B66BCA">
        <w:rPr>
          <w:rFonts w:ascii="Book Antiqua" w:hAnsi="Book Antiqua"/>
        </w:rPr>
        <w:t>: 3684-3698 [PMID: 32298238 DOI: 10.1172/JCI136908]</w:t>
      </w:r>
    </w:p>
    <w:p w14:paraId="1C110D99" w14:textId="77777777" w:rsidR="00B01F60" w:rsidRPr="00B66BCA" w:rsidRDefault="00B01F60" w:rsidP="00B66BCA">
      <w:pPr>
        <w:pStyle w:val="Body"/>
        <w:adjustRightInd w:val="0"/>
        <w:snapToGrid w:val="0"/>
        <w:spacing w:line="360" w:lineRule="auto"/>
        <w:jc w:val="both"/>
        <w:rPr>
          <w:rFonts w:ascii="Book Antiqua" w:hAnsi="Book Antiqua"/>
          <w:b/>
          <w:bCs/>
        </w:rPr>
      </w:pPr>
    </w:p>
    <w:p w14:paraId="14CE7885" w14:textId="77777777" w:rsidR="00B01F60" w:rsidRPr="00B66BCA" w:rsidRDefault="00B01F60" w:rsidP="00B66BCA">
      <w:pPr>
        <w:pStyle w:val="Body"/>
        <w:adjustRightInd w:val="0"/>
        <w:snapToGrid w:val="0"/>
        <w:spacing w:line="360" w:lineRule="auto"/>
        <w:jc w:val="both"/>
        <w:rPr>
          <w:rFonts w:ascii="Book Antiqua" w:hAnsi="Book Antiqua"/>
          <w:b/>
          <w:bCs/>
        </w:rPr>
      </w:pPr>
    </w:p>
    <w:p w14:paraId="246BB881" w14:textId="55436033"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Footnotes</w:t>
      </w:r>
    </w:p>
    <w:p w14:paraId="5391EA74"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Institutional review board statement: </w:t>
      </w:r>
      <w:r w:rsidRPr="00B66BCA">
        <w:rPr>
          <w:rFonts w:ascii="Book Antiqua" w:hAnsi="Book Antiqua"/>
        </w:rPr>
        <w:t>The study was approved by the Ethics Committees of Tianjin Medical University General Hospital (No. IRB2014-YX-002).</w:t>
      </w:r>
    </w:p>
    <w:p w14:paraId="1FDC49D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108C36C"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Informed consent statement: </w:t>
      </w:r>
      <w:r w:rsidRPr="00B66BCA">
        <w:rPr>
          <w:rFonts w:ascii="Book Antiqua" w:hAnsi="Book Antiqua"/>
        </w:rPr>
        <w:t>All patients signed the informed consent form.</w:t>
      </w:r>
    </w:p>
    <w:p w14:paraId="283DE0A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68E1098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Conflict-of-interest statement: </w:t>
      </w:r>
      <w:r w:rsidRPr="00B66BCA">
        <w:rPr>
          <w:rFonts w:ascii="Book Antiqua" w:hAnsi="Book Antiqua"/>
        </w:rPr>
        <w:t>All authors declare that they have no competing interests.</w:t>
      </w:r>
    </w:p>
    <w:p w14:paraId="1C37D1EB"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47CF59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Data sharing statement: </w:t>
      </w:r>
      <w:r w:rsidRPr="00B66BCA">
        <w:rPr>
          <w:rFonts w:ascii="Book Antiqua" w:hAnsi="Book Antiqua"/>
        </w:rPr>
        <w:t>Not applicable.</w:t>
      </w:r>
    </w:p>
    <w:p w14:paraId="68E69E29"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24E71D8" w14:textId="77777777" w:rsidR="00CC76E5" w:rsidRPr="00B66BCA" w:rsidRDefault="0098248C" w:rsidP="00B66BCA">
      <w:pPr>
        <w:pStyle w:val="Body"/>
        <w:tabs>
          <w:tab w:val="left" w:pos="8860"/>
        </w:tabs>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STROBE Statement: </w:t>
      </w:r>
      <w:r w:rsidRPr="00B66BCA">
        <w:rPr>
          <w:rFonts w:ascii="Book Antiqua" w:hAnsi="Book Antiqua"/>
        </w:rPr>
        <w:t>The manuscript was checked according to the STROBE.</w:t>
      </w:r>
    </w:p>
    <w:p w14:paraId="46725B5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C26D36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Open-Access: </w:t>
      </w:r>
      <w:r w:rsidRPr="00B66BCA">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9C6A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895D3A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Manuscript source: </w:t>
      </w:r>
      <w:r w:rsidRPr="00B66BCA">
        <w:rPr>
          <w:rFonts w:ascii="Book Antiqua" w:hAnsi="Book Antiqua"/>
        </w:rPr>
        <w:t>Unsolicited manuscript</w:t>
      </w:r>
    </w:p>
    <w:p w14:paraId="76E553E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56CFD10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Peer-review started: </w:t>
      </w:r>
      <w:r w:rsidRPr="00B66BCA">
        <w:rPr>
          <w:rFonts w:ascii="Book Antiqua" w:hAnsi="Book Antiqua"/>
        </w:rPr>
        <w:t>June 30, 2021</w:t>
      </w:r>
    </w:p>
    <w:p w14:paraId="7D91ED59"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First decision: </w:t>
      </w:r>
      <w:r w:rsidRPr="00B66BCA">
        <w:rPr>
          <w:rFonts w:ascii="Book Antiqua" w:hAnsi="Book Antiqua"/>
        </w:rPr>
        <w:t>July 26, 2021</w:t>
      </w:r>
    </w:p>
    <w:p w14:paraId="501775EF" w14:textId="77777777" w:rsidR="00400DA0" w:rsidRPr="00B66BCA" w:rsidRDefault="0098248C" w:rsidP="00400DA0">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Article in press: </w:t>
      </w:r>
      <w:r w:rsidR="00400DA0" w:rsidRPr="00152D05">
        <w:rPr>
          <w:rFonts w:ascii="Book Antiqua" w:hAnsi="Book Antiqua"/>
        </w:rPr>
        <w:t>September 26, 2021</w:t>
      </w:r>
    </w:p>
    <w:p w14:paraId="624B754D" w14:textId="2F142AC4"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03E0027D"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43CC1E0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Specialty type: </w:t>
      </w:r>
      <w:r w:rsidRPr="00B66BCA">
        <w:rPr>
          <w:rFonts w:ascii="Book Antiqua" w:hAnsi="Book Antiqua"/>
        </w:rPr>
        <w:t>Critical Care Medicine</w:t>
      </w:r>
    </w:p>
    <w:p w14:paraId="08A890E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 xml:space="preserve">Country/Territory of origin: </w:t>
      </w:r>
      <w:r w:rsidRPr="00B66BCA">
        <w:rPr>
          <w:rFonts w:ascii="Book Antiqua" w:hAnsi="Book Antiqua"/>
        </w:rPr>
        <w:t>China</w:t>
      </w:r>
    </w:p>
    <w:p w14:paraId="45CB43F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Peer-review report’s scientific quality classification</w:t>
      </w:r>
    </w:p>
    <w:p w14:paraId="21FAF2A2"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A (Excellent): 0</w:t>
      </w:r>
    </w:p>
    <w:p w14:paraId="333B088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B (Very good): 0</w:t>
      </w:r>
    </w:p>
    <w:p w14:paraId="7AC29DB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C (Good): C</w:t>
      </w:r>
    </w:p>
    <w:p w14:paraId="1729A005"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D (Fair): 0</w:t>
      </w:r>
    </w:p>
    <w:p w14:paraId="32ECA32E"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Grade E (Poor): 0</w:t>
      </w:r>
    </w:p>
    <w:p w14:paraId="3B3CDA80"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8974295" w14:textId="4DFC1323"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 xml:space="preserve">P-Reviewer: </w:t>
      </w:r>
      <w:r w:rsidRPr="00B66BCA">
        <w:rPr>
          <w:rFonts w:ascii="Book Antiqua" w:hAnsi="Book Antiqua"/>
        </w:rPr>
        <w:t>Arima A</w:t>
      </w:r>
      <w:r w:rsidRPr="00B66BCA">
        <w:rPr>
          <w:rFonts w:ascii="Book Antiqua" w:hAnsi="Book Antiqua"/>
          <w:b/>
          <w:bCs/>
        </w:rPr>
        <w:t xml:space="preserve"> S-Editor: </w:t>
      </w:r>
      <w:r w:rsidRPr="00B66BCA">
        <w:rPr>
          <w:rFonts w:ascii="Book Antiqua" w:hAnsi="Book Antiqua"/>
        </w:rPr>
        <w:t>Wang JL</w:t>
      </w:r>
      <w:r w:rsidRPr="00B66BCA">
        <w:rPr>
          <w:rFonts w:ascii="Book Antiqua" w:hAnsi="Book Antiqua"/>
          <w:b/>
          <w:bCs/>
        </w:rPr>
        <w:t xml:space="preserve"> L-Editor: </w:t>
      </w:r>
      <w:r w:rsidRPr="00B66BCA">
        <w:rPr>
          <w:rFonts w:ascii="Book Antiqua" w:hAnsi="Book Antiqua"/>
        </w:rPr>
        <w:t xml:space="preserve">Filipodia </w:t>
      </w:r>
      <w:r w:rsidRPr="00B66BCA">
        <w:rPr>
          <w:rFonts w:ascii="Book Antiqua" w:hAnsi="Book Antiqua"/>
          <w:b/>
          <w:bCs/>
        </w:rPr>
        <w:t xml:space="preserve">P-Editor: </w:t>
      </w:r>
      <w:r w:rsidR="00400DA0" w:rsidRPr="00400DA0">
        <w:rPr>
          <w:rFonts w:ascii="Book Antiqua" w:hAnsi="Book Antiqua"/>
        </w:rPr>
        <w:t>W</w:t>
      </w:r>
      <w:r w:rsidR="00400DA0" w:rsidRPr="00400DA0">
        <w:rPr>
          <w:rFonts w:ascii="Book Antiqua" w:hAnsi="Book Antiqua"/>
          <w:lang w:eastAsia="zh-CN"/>
        </w:rPr>
        <w:t>ang JL</w:t>
      </w:r>
    </w:p>
    <w:p w14:paraId="4DE21F0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lastRenderedPageBreak/>
        <w:br w:type="page"/>
      </w:r>
    </w:p>
    <w:p w14:paraId="76CE1627"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lastRenderedPageBreak/>
        <w:t>Figure Legends</w:t>
      </w:r>
    </w:p>
    <w:p w14:paraId="5B34CD9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A                                                                B</w:t>
      </w:r>
    </w:p>
    <w:p w14:paraId="13C07B7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18960C1C" wp14:editId="4F5B5BB9">
            <wp:extent cx="2190750" cy="2073518"/>
            <wp:effectExtent l="0" t="0" r="0" b="0"/>
            <wp:docPr id="1073741825" name="officeArt object" descr="I:\新建文件夹 (2)\新建文件夹（2）\撰写文章\彭主任--完成\给张老师\文稿\Figure 1--A1.tif"/>
            <wp:cNvGraphicFramePr/>
            <a:graphic xmlns:a="http://schemas.openxmlformats.org/drawingml/2006/main">
              <a:graphicData uri="http://schemas.openxmlformats.org/drawingml/2006/picture">
                <pic:pic xmlns:pic="http://schemas.openxmlformats.org/drawingml/2006/picture">
                  <pic:nvPicPr>
                    <pic:cNvPr id="1073741825" name="I:\新建文件夹 (2)\新建文件夹（2）\撰写文章\彭主任--完成\给张老师\文稿\Figure 1--A1.tif" descr="I:\新建文件夹 (2)\新建文件夹（2）\撰写文章\彭主任--完成\给张老师\文稿\Figure 1--A1.tif"/>
                    <pic:cNvPicPr>
                      <a:picLocks noChangeAspect="1"/>
                    </pic:cNvPicPr>
                  </pic:nvPicPr>
                  <pic:blipFill>
                    <a:blip r:embed="rId6"/>
                    <a:stretch>
                      <a:fillRect/>
                    </a:stretch>
                  </pic:blipFill>
                  <pic:spPr>
                    <a:xfrm>
                      <a:off x="0" y="0"/>
                      <a:ext cx="2190750" cy="2073518"/>
                    </a:xfrm>
                    <a:prstGeom prst="rect">
                      <a:avLst/>
                    </a:prstGeom>
                    <a:ln w="12700" cap="flat">
                      <a:noFill/>
                      <a:miter lim="400000"/>
                    </a:ln>
                    <a:effectLst/>
                  </pic:spPr>
                </pic:pic>
              </a:graphicData>
            </a:graphic>
          </wp:inline>
        </w:drawing>
      </w:r>
      <w:r w:rsidRPr="00B66BCA">
        <w:rPr>
          <w:rFonts w:ascii="Book Antiqua" w:eastAsia="Book Antiqua" w:hAnsi="Book Antiqua" w:cs="Book Antiqua"/>
          <w:b/>
          <w:bCs/>
          <w:noProof/>
        </w:rPr>
        <w:drawing>
          <wp:inline distT="0" distB="0" distL="0" distR="0" wp14:anchorId="7EDAA1F8" wp14:editId="2484982A">
            <wp:extent cx="2267648" cy="2146300"/>
            <wp:effectExtent l="0" t="0" r="0" b="0"/>
            <wp:docPr id="1073741826" name="officeArt object" descr="I:\新建文件夹 (2)\新建文件夹（2）\撰写文章\彭主任--完成\给张老师\文稿\Figure 1--A2.tif"/>
            <wp:cNvGraphicFramePr/>
            <a:graphic xmlns:a="http://schemas.openxmlformats.org/drawingml/2006/main">
              <a:graphicData uri="http://schemas.openxmlformats.org/drawingml/2006/picture">
                <pic:pic xmlns:pic="http://schemas.openxmlformats.org/drawingml/2006/picture">
                  <pic:nvPicPr>
                    <pic:cNvPr id="1073741826" name="I:\新建文件夹 (2)\新建文件夹（2）\撰写文章\彭主任--完成\给张老师\文稿\Figure 1--A2.tif" descr="I:\新建文件夹 (2)\新建文件夹（2）\撰写文章\彭主任--完成\给张老师\文稿\Figure 1--A2.tif"/>
                    <pic:cNvPicPr>
                      <a:picLocks noChangeAspect="1"/>
                    </pic:cNvPicPr>
                  </pic:nvPicPr>
                  <pic:blipFill>
                    <a:blip r:embed="rId7"/>
                    <a:stretch>
                      <a:fillRect/>
                    </a:stretch>
                  </pic:blipFill>
                  <pic:spPr>
                    <a:xfrm>
                      <a:off x="0" y="0"/>
                      <a:ext cx="2267648" cy="2146300"/>
                    </a:xfrm>
                    <a:prstGeom prst="rect">
                      <a:avLst/>
                    </a:prstGeom>
                    <a:ln w="12700" cap="flat">
                      <a:noFill/>
                      <a:miter lim="400000"/>
                    </a:ln>
                    <a:effectLst/>
                  </pic:spPr>
                </pic:pic>
              </a:graphicData>
            </a:graphic>
          </wp:inline>
        </w:drawing>
      </w:r>
    </w:p>
    <w:p w14:paraId="5A4D5AFF"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C                                                              D</w:t>
      </w:r>
    </w:p>
    <w:p w14:paraId="64A8CF8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0DCE3A7C" wp14:editId="3BA65581">
            <wp:extent cx="2230492" cy="2114550"/>
            <wp:effectExtent l="0" t="0" r="0" b="0"/>
            <wp:docPr id="1073741827" name="officeArt object" descr="I:\新建文件夹 (2)\新建文件夹（2）\撰写文章\彭主任--完成\给张老师\文稿\Figure 2--B1.tif"/>
            <wp:cNvGraphicFramePr/>
            <a:graphic xmlns:a="http://schemas.openxmlformats.org/drawingml/2006/main">
              <a:graphicData uri="http://schemas.openxmlformats.org/drawingml/2006/picture">
                <pic:pic xmlns:pic="http://schemas.openxmlformats.org/drawingml/2006/picture">
                  <pic:nvPicPr>
                    <pic:cNvPr id="1073741827" name="I:\新建文件夹 (2)\新建文件夹（2）\撰写文章\彭主任--完成\给张老师\文稿\Figure 2--B1.tif" descr="I:\新建文件夹 (2)\新建文件夹（2）\撰写文章\彭主任--完成\给张老师\文稿\Figure 2--B1.tif"/>
                    <pic:cNvPicPr>
                      <a:picLocks noChangeAspect="1"/>
                    </pic:cNvPicPr>
                  </pic:nvPicPr>
                  <pic:blipFill>
                    <a:blip r:embed="rId8"/>
                    <a:stretch>
                      <a:fillRect/>
                    </a:stretch>
                  </pic:blipFill>
                  <pic:spPr>
                    <a:xfrm>
                      <a:off x="0" y="0"/>
                      <a:ext cx="2230492" cy="2114550"/>
                    </a:xfrm>
                    <a:prstGeom prst="rect">
                      <a:avLst/>
                    </a:prstGeom>
                    <a:ln w="12700" cap="flat">
                      <a:noFill/>
                      <a:miter lim="400000"/>
                    </a:ln>
                    <a:effectLst/>
                  </pic:spPr>
                </pic:pic>
              </a:graphicData>
            </a:graphic>
          </wp:inline>
        </w:drawing>
      </w:r>
      <w:r w:rsidRPr="00B66BCA">
        <w:rPr>
          <w:rFonts w:ascii="Book Antiqua" w:eastAsia="Book Antiqua" w:hAnsi="Book Antiqua" w:cs="Book Antiqua"/>
          <w:b/>
          <w:bCs/>
          <w:noProof/>
        </w:rPr>
        <w:drawing>
          <wp:inline distT="0" distB="0" distL="0" distR="0" wp14:anchorId="772B0103" wp14:editId="47D2D769">
            <wp:extent cx="2247521" cy="2127250"/>
            <wp:effectExtent l="0" t="0" r="0" b="0"/>
            <wp:docPr id="1073741828" name="officeArt object" descr="I:\新建文件夹 (2)\新建文件夹（2）\撰写文章\彭主任--完成\给张老师\文稿\Figure 2--B2.tif"/>
            <wp:cNvGraphicFramePr/>
            <a:graphic xmlns:a="http://schemas.openxmlformats.org/drawingml/2006/main">
              <a:graphicData uri="http://schemas.openxmlformats.org/drawingml/2006/picture">
                <pic:pic xmlns:pic="http://schemas.openxmlformats.org/drawingml/2006/picture">
                  <pic:nvPicPr>
                    <pic:cNvPr id="1073741828" name="I:\新建文件夹 (2)\新建文件夹（2）\撰写文章\彭主任--完成\给张老师\文稿\Figure 2--B2.tif" descr="I:\新建文件夹 (2)\新建文件夹（2）\撰写文章\彭主任--完成\给张老师\文稿\Figure 2--B2.tif"/>
                    <pic:cNvPicPr>
                      <a:picLocks noChangeAspect="1"/>
                    </pic:cNvPicPr>
                  </pic:nvPicPr>
                  <pic:blipFill>
                    <a:blip r:embed="rId9"/>
                    <a:stretch>
                      <a:fillRect/>
                    </a:stretch>
                  </pic:blipFill>
                  <pic:spPr>
                    <a:xfrm>
                      <a:off x="0" y="0"/>
                      <a:ext cx="2247521" cy="2127250"/>
                    </a:xfrm>
                    <a:prstGeom prst="rect">
                      <a:avLst/>
                    </a:prstGeom>
                    <a:ln w="12700" cap="flat">
                      <a:noFill/>
                      <a:miter lim="400000"/>
                    </a:ln>
                    <a:effectLst/>
                  </pic:spPr>
                </pic:pic>
              </a:graphicData>
            </a:graphic>
          </wp:inline>
        </w:drawing>
      </w:r>
    </w:p>
    <w:p w14:paraId="3B2DBD7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br w:type="page"/>
      </w:r>
    </w:p>
    <w:p w14:paraId="64CB49A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lastRenderedPageBreak/>
        <w:t>E                                                                  F</w:t>
      </w:r>
    </w:p>
    <w:p w14:paraId="65D4DB43"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7E9EB2C7" wp14:editId="293D821E">
            <wp:extent cx="2133600" cy="2027977"/>
            <wp:effectExtent l="0" t="0" r="0" b="0"/>
            <wp:docPr id="1073741829" name="officeArt object" descr="I:\新建文件夹 (2)\新建文件夹（2）\撰写文章\彭主任--完成\给张老师\文稿\Figure 3--C1.tif"/>
            <wp:cNvGraphicFramePr/>
            <a:graphic xmlns:a="http://schemas.openxmlformats.org/drawingml/2006/main">
              <a:graphicData uri="http://schemas.openxmlformats.org/drawingml/2006/picture">
                <pic:pic xmlns:pic="http://schemas.openxmlformats.org/drawingml/2006/picture">
                  <pic:nvPicPr>
                    <pic:cNvPr id="1073741829" name="I:\新建文件夹 (2)\新建文件夹（2）\撰写文章\彭主任--完成\给张老师\文稿\Figure 3--C1.tif" descr="I:\新建文件夹 (2)\新建文件夹（2）\撰写文章\彭主任--完成\给张老师\文稿\Figure 3--C1.tif"/>
                    <pic:cNvPicPr>
                      <a:picLocks noChangeAspect="1"/>
                    </pic:cNvPicPr>
                  </pic:nvPicPr>
                  <pic:blipFill>
                    <a:blip r:embed="rId10"/>
                    <a:stretch>
                      <a:fillRect/>
                    </a:stretch>
                  </pic:blipFill>
                  <pic:spPr>
                    <a:xfrm>
                      <a:off x="0" y="0"/>
                      <a:ext cx="2133600" cy="2027977"/>
                    </a:xfrm>
                    <a:prstGeom prst="rect">
                      <a:avLst/>
                    </a:prstGeom>
                    <a:ln w="12700" cap="flat">
                      <a:noFill/>
                      <a:miter lim="400000"/>
                    </a:ln>
                    <a:effectLst/>
                  </pic:spPr>
                </pic:pic>
              </a:graphicData>
            </a:graphic>
          </wp:inline>
        </w:drawing>
      </w:r>
      <w:r w:rsidRPr="00B66BCA">
        <w:rPr>
          <w:rFonts w:ascii="Book Antiqua" w:eastAsia="Book Antiqua" w:hAnsi="Book Antiqua" w:cs="Book Antiqua"/>
          <w:b/>
          <w:bCs/>
          <w:noProof/>
        </w:rPr>
        <w:drawing>
          <wp:inline distT="0" distB="0" distL="0" distR="0" wp14:anchorId="37B57C43" wp14:editId="486CD521">
            <wp:extent cx="2114550" cy="2004636"/>
            <wp:effectExtent l="0" t="0" r="0" b="0"/>
            <wp:docPr id="1073741830" name="officeArt object" descr="I:\新建文件夹 (2)\新建文件夹（2）\撰写文章\彭主任--完成\给张老师\文稿\Figure 3--C2.tif"/>
            <wp:cNvGraphicFramePr/>
            <a:graphic xmlns:a="http://schemas.openxmlformats.org/drawingml/2006/main">
              <a:graphicData uri="http://schemas.openxmlformats.org/drawingml/2006/picture">
                <pic:pic xmlns:pic="http://schemas.openxmlformats.org/drawingml/2006/picture">
                  <pic:nvPicPr>
                    <pic:cNvPr id="1073741830" name="I:\新建文件夹 (2)\新建文件夹（2）\撰写文章\彭主任--完成\给张老师\文稿\Figure 3--C2.tif" descr="I:\新建文件夹 (2)\新建文件夹（2）\撰写文章\彭主任--完成\给张老师\文稿\Figure 3--C2.tif"/>
                    <pic:cNvPicPr>
                      <a:picLocks noChangeAspect="1"/>
                    </pic:cNvPicPr>
                  </pic:nvPicPr>
                  <pic:blipFill>
                    <a:blip r:embed="rId11"/>
                    <a:stretch>
                      <a:fillRect/>
                    </a:stretch>
                  </pic:blipFill>
                  <pic:spPr>
                    <a:xfrm>
                      <a:off x="0" y="0"/>
                      <a:ext cx="2114550" cy="2004636"/>
                    </a:xfrm>
                    <a:prstGeom prst="rect">
                      <a:avLst/>
                    </a:prstGeom>
                    <a:ln w="12700" cap="flat">
                      <a:noFill/>
                      <a:miter lim="400000"/>
                    </a:ln>
                    <a:effectLst/>
                  </pic:spPr>
                </pic:pic>
              </a:graphicData>
            </a:graphic>
          </wp:inline>
        </w:drawing>
      </w:r>
    </w:p>
    <w:p w14:paraId="31EC8C81"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b/>
          <w:bCs/>
        </w:rPr>
      </w:pPr>
    </w:p>
    <w:p w14:paraId="07CDC10A" w14:textId="2671DA34"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Figure 1 Circulating endothelial cells were measured by flow cytometry.</w:t>
      </w:r>
      <w:r w:rsidRPr="00B66BCA">
        <w:rPr>
          <w:rFonts w:ascii="Book Antiqua" w:hAnsi="Book Antiqua"/>
        </w:rPr>
        <w:t xml:space="preserve"> A, C, E: Isotype control group; B, D, F: Experimental groups.</w:t>
      </w:r>
    </w:p>
    <w:p w14:paraId="78CCC737"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63FB7233"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7B735008"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b/>
          <w:bCs/>
          <w:noProof/>
        </w:rPr>
        <w:drawing>
          <wp:inline distT="0" distB="0" distL="0" distR="0" wp14:anchorId="12393513" wp14:editId="6487D1F6">
            <wp:extent cx="4981651" cy="3518611"/>
            <wp:effectExtent l="0" t="0" r="0" b="5715"/>
            <wp:docPr id="1073741831" name="officeArt object" descr="I:\新建文件夹 (2)\新建文件夹（2）\撰写文章\彭主任--完成\给张老师\文稿\Figure 4.tif"/>
            <wp:cNvGraphicFramePr/>
            <a:graphic xmlns:a="http://schemas.openxmlformats.org/drawingml/2006/main">
              <a:graphicData uri="http://schemas.openxmlformats.org/drawingml/2006/picture">
                <pic:pic xmlns:pic="http://schemas.openxmlformats.org/drawingml/2006/picture">
                  <pic:nvPicPr>
                    <pic:cNvPr id="1073741831" name="I:\新建文件夹 (2)\新建文件夹（2）\撰写文章\彭主任--完成\给张老师\文稿\Figure 4.tif" descr="I:\新建文件夹 (2)\新建文件夹（2）\撰写文章\彭主任--完成\给张老师\文稿\Figure 4.tif"/>
                    <pic:cNvPicPr>
                      <a:picLocks noChangeAspect="1"/>
                    </pic:cNvPicPr>
                  </pic:nvPicPr>
                  <pic:blipFill>
                    <a:blip r:embed="rId12"/>
                    <a:stretch>
                      <a:fillRect/>
                    </a:stretch>
                  </pic:blipFill>
                  <pic:spPr>
                    <a:xfrm>
                      <a:off x="0" y="0"/>
                      <a:ext cx="4985414" cy="3521269"/>
                    </a:xfrm>
                    <a:prstGeom prst="rect">
                      <a:avLst/>
                    </a:prstGeom>
                    <a:ln w="12700" cap="flat">
                      <a:noFill/>
                      <a:miter lim="400000"/>
                    </a:ln>
                    <a:effectLst/>
                  </pic:spPr>
                </pic:pic>
              </a:graphicData>
            </a:graphic>
          </wp:inline>
        </w:drawing>
      </w:r>
    </w:p>
    <w:p w14:paraId="11D233FA"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b/>
          <w:bCs/>
        </w:rPr>
        <w:t>Figure 2</w:t>
      </w:r>
      <w:r w:rsidRPr="00B66BCA">
        <w:rPr>
          <w:rFonts w:ascii="Book Antiqua" w:hAnsi="Book Antiqua"/>
        </w:rPr>
        <w:t xml:space="preserve"> </w:t>
      </w:r>
      <w:r w:rsidRPr="00B66BCA">
        <w:rPr>
          <w:rFonts w:ascii="Book Antiqua" w:hAnsi="Book Antiqua"/>
          <w:b/>
          <w:bCs/>
        </w:rPr>
        <w:t xml:space="preserve">Spearman's correlation analysis was utilized, and there was significantly positively correlated between two groups. </w:t>
      </w:r>
      <w:r w:rsidRPr="00B66BCA">
        <w:rPr>
          <w:rFonts w:ascii="Book Antiqua" w:hAnsi="Book Antiqua"/>
        </w:rPr>
        <w:t xml:space="preserve">d2 CECs: Day 2 circulating endothelial cells. </w:t>
      </w:r>
    </w:p>
    <w:p w14:paraId="4820B50B" w14:textId="405908E3" w:rsidR="006D5FE1" w:rsidRPr="00B66BCA" w:rsidRDefault="006D5FE1" w:rsidP="00B66BCA">
      <w:pPr>
        <w:adjustRightInd w:val="0"/>
        <w:snapToGrid w:val="0"/>
        <w:spacing w:line="360" w:lineRule="auto"/>
        <w:jc w:val="both"/>
        <w:rPr>
          <w:rFonts w:ascii="Book Antiqua" w:eastAsia="Book Antiqua" w:hAnsi="Book Antiqua" w:cs="Book Antiqua"/>
          <w:color w:val="000000"/>
          <w:u w:color="000000"/>
          <w14:textOutline w14:w="0" w14:cap="flat" w14:cmpd="sng" w14:algn="ctr">
            <w14:noFill/>
            <w14:prstDash w14:val="solid"/>
            <w14:bevel/>
          </w14:textOutline>
        </w:rPr>
      </w:pPr>
      <w:r w:rsidRPr="00B66BCA">
        <w:rPr>
          <w:rFonts w:ascii="Book Antiqua" w:eastAsia="Book Antiqua" w:hAnsi="Book Antiqua" w:cs="Book Antiqua"/>
        </w:rPr>
        <w:br w:type="page"/>
      </w:r>
    </w:p>
    <w:p w14:paraId="32B6B7B2"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rPr>
      </w:pPr>
    </w:p>
    <w:p w14:paraId="29CE3BD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eastAsia="Book Antiqua" w:hAnsi="Book Antiqua" w:cs="Book Antiqua"/>
          <w:noProof/>
        </w:rPr>
        <w:drawing>
          <wp:inline distT="0" distB="0" distL="0" distR="0" wp14:anchorId="533EC34D" wp14:editId="225F4B36">
            <wp:extent cx="5508346" cy="3847795"/>
            <wp:effectExtent l="0" t="0" r="0" b="635"/>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3"/>
                    <a:stretch>
                      <a:fillRect/>
                    </a:stretch>
                  </pic:blipFill>
                  <pic:spPr>
                    <a:xfrm>
                      <a:off x="0" y="0"/>
                      <a:ext cx="5511436" cy="3849953"/>
                    </a:xfrm>
                    <a:prstGeom prst="rect">
                      <a:avLst/>
                    </a:prstGeom>
                    <a:ln w="12700" cap="flat">
                      <a:noFill/>
                      <a:miter lim="400000"/>
                    </a:ln>
                    <a:effectLst/>
                  </pic:spPr>
                </pic:pic>
              </a:graphicData>
            </a:graphic>
          </wp:inline>
        </w:drawing>
      </w:r>
    </w:p>
    <w:p w14:paraId="1FDFBC3A" w14:textId="7866FF96"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Figure 3 Youden index in receiver operating characteristic curve.</w:t>
      </w:r>
      <w:r w:rsidRPr="00B66BCA">
        <w:rPr>
          <w:rFonts w:ascii="Book Antiqua" w:hAnsi="Book Antiqua"/>
        </w:rPr>
        <w:t xml:space="preserve"> ROC: Receiver operating characteristic; d2 CECs: Day 2 circulating endothelial cells. </w:t>
      </w:r>
    </w:p>
    <w:p w14:paraId="2268287C" w14:textId="10E5F4CB" w:rsidR="00B01F60" w:rsidRPr="00B66BCA" w:rsidRDefault="00B01F60" w:rsidP="00B66BCA">
      <w:pPr>
        <w:pStyle w:val="Body"/>
        <w:adjustRightInd w:val="0"/>
        <w:snapToGrid w:val="0"/>
        <w:spacing w:line="360" w:lineRule="auto"/>
        <w:jc w:val="both"/>
        <w:rPr>
          <w:rFonts w:ascii="Book Antiqua" w:hAnsi="Book Antiqua"/>
        </w:rPr>
      </w:pPr>
    </w:p>
    <w:p w14:paraId="60ECB7C2"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6544B231"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1 Clinical data of patients enrolled</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9"/>
        <w:gridCol w:w="4311"/>
      </w:tblGrid>
      <w:tr w:rsidR="00CC76E5" w:rsidRPr="00B66BCA" w14:paraId="5664F2CB" w14:textId="77777777">
        <w:trPr>
          <w:trHeight w:val="290"/>
        </w:trPr>
        <w:tc>
          <w:tcPr>
            <w:tcW w:w="50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774F9B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Clinical data</w:t>
            </w:r>
          </w:p>
        </w:tc>
        <w:tc>
          <w:tcPr>
            <w:tcW w:w="43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D9BA063" w14:textId="77777777" w:rsidR="00CC76E5" w:rsidRPr="00B66BCA" w:rsidRDefault="0098248C" w:rsidP="00B66BCA">
            <w:pPr>
              <w:pStyle w:val="Body"/>
              <w:adjustRightInd w:val="0"/>
              <w:snapToGrid w:val="0"/>
              <w:spacing w:line="360" w:lineRule="auto"/>
              <w:ind w:firstLine="482"/>
              <w:jc w:val="both"/>
              <w:rPr>
                <w:rFonts w:ascii="Book Antiqua" w:hAnsi="Book Antiqua"/>
              </w:rPr>
            </w:pPr>
            <w:r w:rsidRPr="00B66BCA">
              <w:rPr>
                <w:rFonts w:ascii="Book Antiqua" w:hAnsi="Book Antiqua"/>
                <w:b/>
                <w:bCs/>
                <w:i/>
                <w:iCs/>
              </w:rPr>
              <w:t>n</w:t>
            </w:r>
            <w:r w:rsidRPr="00B66BCA">
              <w:rPr>
                <w:rFonts w:ascii="Book Antiqua" w:hAnsi="Book Antiqua"/>
                <w:b/>
                <w:bCs/>
              </w:rPr>
              <w:t xml:space="preserve"> (%)</w:t>
            </w:r>
          </w:p>
        </w:tc>
      </w:tr>
      <w:tr w:rsidR="00CC76E5" w:rsidRPr="00B66BCA" w14:paraId="180B5D40" w14:textId="77777777">
        <w:trPr>
          <w:trHeight w:val="285"/>
        </w:trPr>
        <w:tc>
          <w:tcPr>
            <w:tcW w:w="504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9C3474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Gender</w:t>
            </w:r>
          </w:p>
        </w:tc>
        <w:tc>
          <w:tcPr>
            <w:tcW w:w="431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391B64C"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40C861B7"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7051959"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Male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69AA2E8A"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75 (60)</w:t>
            </w:r>
          </w:p>
        </w:tc>
      </w:tr>
      <w:tr w:rsidR="00CC76E5" w:rsidRPr="00B66BCA" w14:paraId="6FED6A2E"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62596D7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Female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1BC8583A"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50 (40)</w:t>
            </w:r>
          </w:p>
        </w:tc>
      </w:tr>
      <w:tr w:rsidR="00CC76E5" w:rsidRPr="00B66BCA" w14:paraId="25C26F3E"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20F60F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Age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2308DAE6"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59206A76"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2F32652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Age distribution</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3B5F7BE2"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33-67</w:t>
            </w:r>
          </w:p>
        </w:tc>
      </w:tr>
      <w:tr w:rsidR="00CC76E5" w:rsidRPr="00B66BCA" w14:paraId="23E13FD7"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4BA11725"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lastRenderedPageBreak/>
              <w:t>Average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7E01BDF4"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53 ± 11</w:t>
            </w:r>
          </w:p>
        </w:tc>
      </w:tr>
      <w:tr w:rsidR="00CC76E5" w:rsidRPr="00B66BCA" w14:paraId="41EB96EE"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135ADAD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Mechanical ventilation</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1F8B6698"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105 (84)</w:t>
            </w:r>
          </w:p>
        </w:tc>
      </w:tr>
      <w:tr w:rsidR="00CC76E5" w:rsidRPr="00B66BCA" w14:paraId="17EB7D9B"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60A0DC5"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occurrence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4ABEE1DB"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52 (42)</w:t>
            </w:r>
          </w:p>
        </w:tc>
      </w:tr>
      <w:tr w:rsidR="00CC76E5" w:rsidRPr="00B66BCA" w14:paraId="30C49EFA"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403E5E21"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Improvement</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33ADE205"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39 (31)</w:t>
            </w:r>
          </w:p>
        </w:tc>
      </w:tr>
      <w:tr w:rsidR="00CC76E5" w:rsidRPr="00B66BCA" w14:paraId="5B9185EB"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0213A967"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Death</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475679F5"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13 (10)</w:t>
            </w:r>
          </w:p>
        </w:tc>
      </w:tr>
      <w:tr w:rsidR="00CC76E5" w:rsidRPr="00B66BCA" w14:paraId="035AE589"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78CB780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Average APACHE II score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30C7FDA8"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11 ± 5</w:t>
            </w:r>
          </w:p>
        </w:tc>
      </w:tr>
      <w:tr w:rsidR="00CC76E5" w:rsidRPr="00B66BCA" w14:paraId="5403E6F9"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5124618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Department type</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7BBE710D"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38D1E37D"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34C0C3FC"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General surgery</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622B791B"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77 (62)</w:t>
            </w:r>
          </w:p>
        </w:tc>
      </w:tr>
      <w:tr w:rsidR="00CC76E5" w:rsidRPr="00B66BCA" w14:paraId="691728C4" w14:textId="77777777">
        <w:trPr>
          <w:trHeight w:val="280"/>
        </w:trPr>
        <w:tc>
          <w:tcPr>
            <w:tcW w:w="5049" w:type="dxa"/>
            <w:tcBorders>
              <w:top w:val="nil"/>
              <w:left w:val="nil"/>
              <w:bottom w:val="nil"/>
              <w:right w:val="nil"/>
            </w:tcBorders>
            <w:shd w:val="clear" w:color="auto" w:fill="auto"/>
            <w:tcMar>
              <w:top w:w="80" w:type="dxa"/>
              <w:left w:w="80" w:type="dxa"/>
              <w:bottom w:w="80" w:type="dxa"/>
              <w:right w:w="80" w:type="dxa"/>
            </w:tcMar>
            <w:vAlign w:val="bottom"/>
          </w:tcPr>
          <w:p w14:paraId="671114B7" w14:textId="4410C089"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Orthopedics</w:t>
            </w:r>
          </w:p>
        </w:tc>
        <w:tc>
          <w:tcPr>
            <w:tcW w:w="4311" w:type="dxa"/>
            <w:tcBorders>
              <w:top w:val="nil"/>
              <w:left w:val="nil"/>
              <w:bottom w:val="nil"/>
              <w:right w:val="nil"/>
            </w:tcBorders>
            <w:shd w:val="clear" w:color="auto" w:fill="auto"/>
            <w:tcMar>
              <w:top w:w="80" w:type="dxa"/>
              <w:left w:w="80" w:type="dxa"/>
              <w:bottom w:w="80" w:type="dxa"/>
              <w:right w:w="80" w:type="dxa"/>
            </w:tcMar>
            <w:vAlign w:val="bottom"/>
          </w:tcPr>
          <w:p w14:paraId="15549650"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25 (20)</w:t>
            </w:r>
          </w:p>
        </w:tc>
      </w:tr>
      <w:tr w:rsidR="00CC76E5" w:rsidRPr="00B66BCA" w14:paraId="55C6D4AE" w14:textId="77777777">
        <w:trPr>
          <w:trHeight w:val="285"/>
        </w:trPr>
        <w:tc>
          <w:tcPr>
            <w:tcW w:w="504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883DFC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Other</w:t>
            </w:r>
          </w:p>
        </w:tc>
        <w:tc>
          <w:tcPr>
            <w:tcW w:w="431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62C1FA5" w14:textId="77777777" w:rsidR="00CC76E5" w:rsidRPr="00B66BCA" w:rsidRDefault="0098248C" w:rsidP="00B66BCA">
            <w:pPr>
              <w:pStyle w:val="Body"/>
              <w:adjustRightInd w:val="0"/>
              <w:snapToGrid w:val="0"/>
              <w:spacing w:line="360" w:lineRule="auto"/>
              <w:ind w:firstLine="480"/>
              <w:jc w:val="both"/>
              <w:rPr>
                <w:rFonts w:ascii="Book Antiqua" w:hAnsi="Book Antiqua"/>
              </w:rPr>
            </w:pPr>
            <w:r w:rsidRPr="00B66BCA">
              <w:rPr>
                <w:rFonts w:ascii="Book Antiqua" w:hAnsi="Book Antiqua"/>
              </w:rPr>
              <w:t>23 (18)</w:t>
            </w:r>
          </w:p>
        </w:tc>
      </w:tr>
    </w:tbl>
    <w:p w14:paraId="5C8A9016" w14:textId="3EBC6ED9" w:rsidR="00B01F60"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Acute respiratory distress syndrome.</w:t>
      </w:r>
    </w:p>
    <w:p w14:paraId="5DF54C34" w14:textId="26794AC6" w:rsidR="00B01F60" w:rsidRPr="00B66BCA" w:rsidRDefault="00B01F60" w:rsidP="00B66BCA">
      <w:pPr>
        <w:pStyle w:val="Body"/>
        <w:adjustRightInd w:val="0"/>
        <w:snapToGrid w:val="0"/>
        <w:spacing w:line="360" w:lineRule="auto"/>
        <w:jc w:val="both"/>
        <w:rPr>
          <w:rFonts w:ascii="Book Antiqua" w:hAnsi="Book Antiqua"/>
        </w:rPr>
      </w:pPr>
    </w:p>
    <w:p w14:paraId="16364647"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24EC5AC8" w14:textId="77216B68"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2 Comparison of the levels of circulating endothelial cells in three groups</w:t>
      </w:r>
      <w:r w:rsidR="006D5FE1" w:rsidRPr="00B66BCA">
        <w:rPr>
          <w:rFonts w:ascii="Book Antiqua" w:hAnsi="Book Antiqua"/>
          <w:b/>
          <w:bCs/>
        </w:rPr>
        <w:t>,</w:t>
      </w:r>
      <w:r w:rsidRPr="00B66BCA">
        <w:rPr>
          <w:rFonts w:ascii="Book Antiqua" w:hAnsi="Book Antiqua"/>
          <w:b/>
          <w:bCs/>
        </w:rPr>
        <w:t xml:space="preserve"> mean ± SD</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1"/>
        <w:gridCol w:w="2847"/>
        <w:gridCol w:w="3481"/>
      </w:tblGrid>
      <w:tr w:rsidR="00CC76E5" w:rsidRPr="00B66BCA" w14:paraId="12E23781" w14:textId="77777777">
        <w:trPr>
          <w:trHeight w:val="290"/>
        </w:trPr>
        <w:tc>
          <w:tcPr>
            <w:tcW w:w="30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37D9B"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Group</w:t>
            </w:r>
          </w:p>
        </w:tc>
        <w:tc>
          <w:tcPr>
            <w:tcW w:w="28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D659B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34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3C49A6" w14:textId="38E6C7A6"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w:t>
            </w:r>
            <w:r w:rsidR="006D5FE1" w:rsidRPr="00B66BCA">
              <w:rPr>
                <w:rFonts w:ascii="Book Antiqua" w:hAnsi="Book Antiqua"/>
                <w:b/>
                <w:bCs/>
              </w:rPr>
              <w:t xml:space="preserve">in </w:t>
            </w:r>
            <w:r w:rsidRPr="00B66BCA">
              <w:rPr>
                <w:rFonts w:ascii="Book Antiqua" w:hAnsi="Book Antiqua"/>
                <w:b/>
                <w:bCs/>
              </w:rPr>
              <w:t>mL</w:t>
            </w:r>
          </w:p>
        </w:tc>
      </w:tr>
      <w:tr w:rsidR="00CC76E5" w:rsidRPr="00B66BCA" w14:paraId="5D7BEF44" w14:textId="77777777">
        <w:trPr>
          <w:trHeight w:val="285"/>
        </w:trPr>
        <w:tc>
          <w:tcPr>
            <w:tcW w:w="3030" w:type="dxa"/>
            <w:tcBorders>
              <w:top w:val="single" w:sz="4" w:space="0" w:color="000000"/>
              <w:left w:val="nil"/>
              <w:bottom w:val="nil"/>
              <w:right w:val="nil"/>
            </w:tcBorders>
            <w:shd w:val="clear" w:color="auto" w:fill="auto"/>
            <w:tcMar>
              <w:top w:w="80" w:type="dxa"/>
              <w:left w:w="80" w:type="dxa"/>
              <w:bottom w:w="80" w:type="dxa"/>
              <w:right w:w="80" w:type="dxa"/>
            </w:tcMar>
          </w:tcPr>
          <w:p w14:paraId="0B780D4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Group</w:t>
            </w:r>
          </w:p>
        </w:tc>
        <w:tc>
          <w:tcPr>
            <w:tcW w:w="2847" w:type="dxa"/>
            <w:tcBorders>
              <w:top w:val="single" w:sz="4" w:space="0" w:color="000000"/>
              <w:left w:val="nil"/>
              <w:bottom w:val="nil"/>
              <w:right w:val="nil"/>
            </w:tcBorders>
            <w:shd w:val="clear" w:color="auto" w:fill="auto"/>
            <w:tcMar>
              <w:top w:w="80" w:type="dxa"/>
              <w:left w:w="80" w:type="dxa"/>
              <w:bottom w:w="80" w:type="dxa"/>
              <w:right w:w="80" w:type="dxa"/>
            </w:tcMar>
          </w:tcPr>
          <w:p w14:paraId="17A3411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52</w:t>
            </w:r>
          </w:p>
        </w:tc>
        <w:tc>
          <w:tcPr>
            <w:tcW w:w="3481" w:type="dxa"/>
            <w:tcBorders>
              <w:top w:val="single" w:sz="4" w:space="0" w:color="000000"/>
              <w:left w:val="nil"/>
              <w:bottom w:val="nil"/>
              <w:right w:val="nil"/>
            </w:tcBorders>
            <w:shd w:val="clear" w:color="auto" w:fill="auto"/>
            <w:tcMar>
              <w:top w:w="80" w:type="dxa"/>
              <w:left w:w="80" w:type="dxa"/>
              <w:bottom w:w="80" w:type="dxa"/>
              <w:right w:w="80" w:type="dxa"/>
            </w:tcMar>
          </w:tcPr>
          <w:p w14:paraId="6D046AA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2064 ± 892</w:t>
            </w:r>
          </w:p>
        </w:tc>
      </w:tr>
      <w:tr w:rsidR="00CC76E5" w:rsidRPr="00B66BCA" w14:paraId="70C17384" w14:textId="77777777">
        <w:trPr>
          <w:trHeight w:val="280"/>
        </w:trPr>
        <w:tc>
          <w:tcPr>
            <w:tcW w:w="3030" w:type="dxa"/>
            <w:tcBorders>
              <w:top w:val="nil"/>
              <w:left w:val="nil"/>
              <w:bottom w:val="nil"/>
              <w:right w:val="nil"/>
            </w:tcBorders>
            <w:shd w:val="clear" w:color="auto" w:fill="auto"/>
            <w:tcMar>
              <w:top w:w="80" w:type="dxa"/>
              <w:left w:w="80" w:type="dxa"/>
              <w:bottom w:w="80" w:type="dxa"/>
              <w:right w:w="80" w:type="dxa"/>
            </w:tcMar>
          </w:tcPr>
          <w:p w14:paraId="7696EDE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Non-ARDS Group</w:t>
            </w:r>
          </w:p>
        </w:tc>
        <w:tc>
          <w:tcPr>
            <w:tcW w:w="2847" w:type="dxa"/>
            <w:tcBorders>
              <w:top w:val="nil"/>
              <w:left w:val="nil"/>
              <w:bottom w:val="nil"/>
              <w:right w:val="nil"/>
            </w:tcBorders>
            <w:shd w:val="clear" w:color="auto" w:fill="auto"/>
            <w:tcMar>
              <w:top w:w="80" w:type="dxa"/>
              <w:left w:w="80" w:type="dxa"/>
              <w:bottom w:w="80" w:type="dxa"/>
              <w:right w:w="80" w:type="dxa"/>
            </w:tcMar>
          </w:tcPr>
          <w:p w14:paraId="173092F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73</w:t>
            </w:r>
          </w:p>
        </w:tc>
        <w:tc>
          <w:tcPr>
            <w:tcW w:w="3481" w:type="dxa"/>
            <w:tcBorders>
              <w:top w:val="nil"/>
              <w:left w:val="nil"/>
              <w:bottom w:val="nil"/>
              <w:right w:val="nil"/>
            </w:tcBorders>
            <w:shd w:val="clear" w:color="auto" w:fill="auto"/>
            <w:tcMar>
              <w:top w:w="80" w:type="dxa"/>
              <w:left w:w="80" w:type="dxa"/>
              <w:bottom w:w="80" w:type="dxa"/>
              <w:right w:w="80" w:type="dxa"/>
            </w:tcMar>
          </w:tcPr>
          <w:p w14:paraId="3D834A2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1038 ± 1371</w:t>
            </w:r>
          </w:p>
        </w:tc>
      </w:tr>
      <w:tr w:rsidR="00CC76E5" w:rsidRPr="00B66BCA" w14:paraId="04CDE9F0" w14:textId="77777777">
        <w:trPr>
          <w:trHeight w:val="285"/>
        </w:trPr>
        <w:tc>
          <w:tcPr>
            <w:tcW w:w="3030" w:type="dxa"/>
            <w:tcBorders>
              <w:top w:val="nil"/>
              <w:left w:val="nil"/>
              <w:bottom w:val="single" w:sz="4" w:space="0" w:color="000000"/>
              <w:right w:val="nil"/>
            </w:tcBorders>
            <w:shd w:val="clear" w:color="auto" w:fill="auto"/>
            <w:tcMar>
              <w:top w:w="80" w:type="dxa"/>
              <w:left w:w="80" w:type="dxa"/>
              <w:bottom w:w="80" w:type="dxa"/>
              <w:right w:w="80" w:type="dxa"/>
            </w:tcMar>
          </w:tcPr>
          <w:p w14:paraId="4879809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Healthy control group</w:t>
            </w:r>
          </w:p>
        </w:tc>
        <w:tc>
          <w:tcPr>
            <w:tcW w:w="2847" w:type="dxa"/>
            <w:tcBorders>
              <w:top w:val="nil"/>
              <w:left w:val="nil"/>
              <w:bottom w:val="single" w:sz="4" w:space="0" w:color="000000"/>
              <w:right w:val="nil"/>
            </w:tcBorders>
            <w:shd w:val="clear" w:color="auto" w:fill="auto"/>
            <w:tcMar>
              <w:top w:w="80" w:type="dxa"/>
              <w:left w:w="80" w:type="dxa"/>
              <w:bottom w:w="80" w:type="dxa"/>
              <w:right w:w="80" w:type="dxa"/>
            </w:tcMar>
          </w:tcPr>
          <w:p w14:paraId="78481C5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32</w:t>
            </w:r>
          </w:p>
        </w:tc>
        <w:tc>
          <w:tcPr>
            <w:tcW w:w="3481" w:type="dxa"/>
            <w:tcBorders>
              <w:top w:val="nil"/>
              <w:left w:val="nil"/>
              <w:bottom w:val="single" w:sz="4" w:space="0" w:color="000000"/>
              <w:right w:val="nil"/>
            </w:tcBorders>
            <w:shd w:val="clear" w:color="auto" w:fill="auto"/>
            <w:tcMar>
              <w:top w:w="80" w:type="dxa"/>
              <w:left w:w="80" w:type="dxa"/>
              <w:bottom w:w="80" w:type="dxa"/>
              <w:right w:w="80" w:type="dxa"/>
            </w:tcMar>
          </w:tcPr>
          <w:p w14:paraId="01751C5E"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167 ± 148</w:t>
            </w:r>
          </w:p>
        </w:tc>
      </w:tr>
    </w:tbl>
    <w:p w14:paraId="59590C0D" w14:textId="77777777" w:rsidR="00CC76E5" w:rsidRPr="00B66BCA" w:rsidRDefault="0098248C" w:rsidP="00B66BCA">
      <w:pPr>
        <w:pStyle w:val="Body"/>
        <w:adjustRightInd w:val="0"/>
        <w:snapToGrid w:val="0"/>
        <w:spacing w:line="360" w:lineRule="auto"/>
        <w:jc w:val="both"/>
        <w:rPr>
          <w:rFonts w:ascii="Book Antiqua" w:eastAsia="Book Antiqua" w:hAnsi="Book Antiqua" w:cs="Book Antiqua"/>
        </w:rPr>
      </w:pPr>
      <w:r w:rsidRPr="00B66BCA">
        <w:rPr>
          <w:rFonts w:ascii="Book Antiqua" w:hAnsi="Book Antiqua"/>
        </w:rPr>
        <w:t>ARDS: Acute respiratory distress syndrome; CECs: Circulating endothelial cells.</w:t>
      </w:r>
    </w:p>
    <w:p w14:paraId="48303646" w14:textId="77777777" w:rsidR="00CC76E5" w:rsidRPr="00B66BCA" w:rsidRDefault="00CC76E5" w:rsidP="00B66BCA">
      <w:pPr>
        <w:pStyle w:val="Body"/>
        <w:adjustRightInd w:val="0"/>
        <w:snapToGrid w:val="0"/>
        <w:spacing w:line="360" w:lineRule="auto"/>
        <w:jc w:val="both"/>
        <w:rPr>
          <w:rFonts w:ascii="Book Antiqua" w:eastAsia="Book Antiqua" w:hAnsi="Book Antiqua" w:cs="Book Antiqua"/>
          <w:b/>
          <w:bCs/>
        </w:rPr>
      </w:pPr>
    </w:p>
    <w:p w14:paraId="7C9EF650" w14:textId="7B51DC75" w:rsidR="006D5FE1" w:rsidRPr="00B66BCA" w:rsidRDefault="006D5FE1" w:rsidP="00B66BCA">
      <w:pPr>
        <w:adjustRightInd w:val="0"/>
        <w:snapToGrid w:val="0"/>
        <w:spacing w:line="360" w:lineRule="auto"/>
        <w:jc w:val="both"/>
        <w:rPr>
          <w:rFonts w:ascii="Book Antiqua" w:eastAsia="Book Antiqua" w:hAnsi="Book Antiqua" w:cs="Book Antiqua"/>
          <w:b/>
          <w:bCs/>
          <w:color w:val="000000"/>
          <w:u w:color="000000"/>
          <w14:textOutline w14:w="0" w14:cap="flat" w14:cmpd="sng" w14:algn="ctr">
            <w14:noFill/>
            <w14:prstDash w14:val="solid"/>
            <w14:bevel/>
          </w14:textOutline>
        </w:rPr>
      </w:pPr>
      <w:r w:rsidRPr="00B66BCA">
        <w:rPr>
          <w:rFonts w:ascii="Book Antiqua" w:eastAsia="Book Antiqua" w:hAnsi="Book Antiqua" w:cs="Book Antiqua"/>
          <w:b/>
          <w:bCs/>
        </w:rPr>
        <w:br w:type="page"/>
      </w:r>
    </w:p>
    <w:p w14:paraId="795C67ED" w14:textId="15EDEBBB"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lastRenderedPageBreak/>
        <w:t>Table 3 Comparison of day 2 circulating endothelial cells levels between death group and improvement group in acute respiratory distress syndrome patients</w:t>
      </w:r>
      <w:r w:rsidR="006D5FE1" w:rsidRPr="00B66BCA">
        <w:rPr>
          <w:rFonts w:ascii="Book Antiqua" w:hAnsi="Book Antiqua"/>
          <w:b/>
          <w:bCs/>
        </w:rPr>
        <w:t>,</w:t>
      </w:r>
      <w:r w:rsidRPr="00B66BCA">
        <w:rPr>
          <w:rFonts w:ascii="Book Antiqua" w:hAnsi="Book Antiqua"/>
          <w:b/>
          <w:bCs/>
        </w:rPr>
        <w:t xml:space="preserve"> mean ± SD</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8"/>
        <w:gridCol w:w="2220"/>
        <w:gridCol w:w="2707"/>
        <w:gridCol w:w="2055"/>
      </w:tblGrid>
      <w:tr w:rsidR="00CC76E5" w:rsidRPr="00B66BCA" w14:paraId="25E8DE6D" w14:textId="77777777">
        <w:trPr>
          <w:trHeight w:val="290"/>
        </w:trPr>
        <w:tc>
          <w:tcPr>
            <w:tcW w:w="23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BDB8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Group</w:t>
            </w:r>
          </w:p>
        </w:tc>
        <w:tc>
          <w:tcPr>
            <w:tcW w:w="22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F150DE"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2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B7F610" w14:textId="3B0B7EE4"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mL</w:t>
            </w:r>
          </w:p>
        </w:tc>
        <w:tc>
          <w:tcPr>
            <w:tcW w:w="20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67C47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i/>
                <w:iCs/>
              </w:rPr>
              <w:t xml:space="preserve">P </w:t>
            </w:r>
            <w:r w:rsidRPr="00B66BCA">
              <w:rPr>
                <w:rFonts w:ascii="Book Antiqua" w:hAnsi="Book Antiqua"/>
                <w:b/>
                <w:bCs/>
              </w:rPr>
              <w:t>value</w:t>
            </w:r>
          </w:p>
        </w:tc>
      </w:tr>
      <w:tr w:rsidR="00CC76E5" w:rsidRPr="00B66BCA" w14:paraId="4A759A5C" w14:textId="77777777">
        <w:trPr>
          <w:trHeight w:val="285"/>
        </w:trPr>
        <w:tc>
          <w:tcPr>
            <w:tcW w:w="2378" w:type="dxa"/>
            <w:tcBorders>
              <w:top w:val="single" w:sz="4" w:space="0" w:color="000000"/>
              <w:left w:val="nil"/>
              <w:bottom w:val="nil"/>
              <w:right w:val="nil"/>
            </w:tcBorders>
            <w:shd w:val="clear" w:color="auto" w:fill="auto"/>
            <w:tcMar>
              <w:top w:w="80" w:type="dxa"/>
              <w:left w:w="80" w:type="dxa"/>
              <w:bottom w:w="80" w:type="dxa"/>
              <w:right w:w="80" w:type="dxa"/>
            </w:tcMar>
          </w:tcPr>
          <w:p w14:paraId="71A9C33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Deceased group</w:t>
            </w:r>
          </w:p>
        </w:tc>
        <w:tc>
          <w:tcPr>
            <w:tcW w:w="2220" w:type="dxa"/>
            <w:tcBorders>
              <w:top w:val="single" w:sz="4" w:space="0" w:color="000000"/>
              <w:left w:val="nil"/>
              <w:bottom w:val="nil"/>
              <w:right w:val="nil"/>
            </w:tcBorders>
            <w:shd w:val="clear" w:color="auto" w:fill="auto"/>
            <w:tcMar>
              <w:top w:w="80" w:type="dxa"/>
              <w:left w:w="80" w:type="dxa"/>
              <w:bottom w:w="80" w:type="dxa"/>
              <w:right w:w="80" w:type="dxa"/>
            </w:tcMar>
          </w:tcPr>
          <w:p w14:paraId="18B37AC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13</w:t>
            </w:r>
          </w:p>
        </w:tc>
        <w:tc>
          <w:tcPr>
            <w:tcW w:w="2707" w:type="dxa"/>
            <w:tcBorders>
              <w:top w:val="single" w:sz="4" w:space="0" w:color="000000"/>
              <w:left w:val="nil"/>
              <w:bottom w:val="nil"/>
              <w:right w:val="nil"/>
            </w:tcBorders>
            <w:shd w:val="clear" w:color="auto" w:fill="auto"/>
            <w:tcMar>
              <w:top w:w="80" w:type="dxa"/>
              <w:left w:w="80" w:type="dxa"/>
              <w:bottom w:w="80" w:type="dxa"/>
              <w:right w:w="80" w:type="dxa"/>
            </w:tcMar>
          </w:tcPr>
          <w:p w14:paraId="387A4E75"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2863 ± 651</w:t>
            </w:r>
          </w:p>
        </w:tc>
        <w:tc>
          <w:tcPr>
            <w:tcW w:w="2055"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20A56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&lt; 0.001</w:t>
            </w:r>
          </w:p>
        </w:tc>
      </w:tr>
      <w:tr w:rsidR="00CC76E5" w:rsidRPr="00B66BCA" w14:paraId="7602A1C2" w14:textId="77777777">
        <w:trPr>
          <w:trHeight w:val="285"/>
        </w:trPr>
        <w:tc>
          <w:tcPr>
            <w:tcW w:w="2378" w:type="dxa"/>
            <w:tcBorders>
              <w:top w:val="nil"/>
              <w:left w:val="nil"/>
              <w:bottom w:val="single" w:sz="4" w:space="0" w:color="000000"/>
              <w:right w:val="nil"/>
            </w:tcBorders>
            <w:shd w:val="clear" w:color="auto" w:fill="auto"/>
            <w:tcMar>
              <w:top w:w="80" w:type="dxa"/>
              <w:left w:w="80" w:type="dxa"/>
              <w:bottom w:w="80" w:type="dxa"/>
              <w:right w:w="80" w:type="dxa"/>
            </w:tcMar>
          </w:tcPr>
          <w:p w14:paraId="1CAF9BA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Improvement group</w:t>
            </w:r>
          </w:p>
        </w:tc>
        <w:tc>
          <w:tcPr>
            <w:tcW w:w="2220" w:type="dxa"/>
            <w:tcBorders>
              <w:top w:val="nil"/>
              <w:left w:val="nil"/>
              <w:bottom w:val="single" w:sz="4" w:space="0" w:color="000000"/>
              <w:right w:val="nil"/>
            </w:tcBorders>
            <w:shd w:val="clear" w:color="auto" w:fill="auto"/>
            <w:tcMar>
              <w:top w:w="80" w:type="dxa"/>
              <w:left w:w="80" w:type="dxa"/>
              <w:bottom w:w="80" w:type="dxa"/>
              <w:right w:w="80" w:type="dxa"/>
            </w:tcMar>
          </w:tcPr>
          <w:p w14:paraId="17F25206"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39</w:t>
            </w:r>
          </w:p>
        </w:tc>
        <w:tc>
          <w:tcPr>
            <w:tcW w:w="2707" w:type="dxa"/>
            <w:tcBorders>
              <w:top w:val="nil"/>
              <w:left w:val="nil"/>
              <w:bottom w:val="single" w:sz="4" w:space="0" w:color="000000"/>
              <w:right w:val="nil"/>
            </w:tcBorders>
            <w:shd w:val="clear" w:color="auto" w:fill="auto"/>
            <w:tcMar>
              <w:top w:w="80" w:type="dxa"/>
              <w:left w:w="80" w:type="dxa"/>
              <w:bottom w:w="80" w:type="dxa"/>
              <w:right w:w="80" w:type="dxa"/>
            </w:tcMar>
          </w:tcPr>
          <w:p w14:paraId="46415E3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1799 ± 801</w:t>
            </w:r>
          </w:p>
        </w:tc>
        <w:tc>
          <w:tcPr>
            <w:tcW w:w="2055" w:type="dxa"/>
            <w:vMerge/>
            <w:tcBorders>
              <w:top w:val="single" w:sz="4" w:space="0" w:color="000000"/>
              <w:left w:val="nil"/>
              <w:bottom w:val="single" w:sz="4" w:space="0" w:color="000000"/>
              <w:right w:val="nil"/>
            </w:tcBorders>
            <w:shd w:val="clear" w:color="auto" w:fill="auto"/>
          </w:tcPr>
          <w:p w14:paraId="54C71F25" w14:textId="77777777" w:rsidR="00CC76E5" w:rsidRPr="00B66BCA" w:rsidRDefault="00CC76E5" w:rsidP="00B66BCA">
            <w:pPr>
              <w:adjustRightInd w:val="0"/>
              <w:snapToGrid w:val="0"/>
              <w:spacing w:line="360" w:lineRule="auto"/>
              <w:jc w:val="both"/>
              <w:rPr>
                <w:rFonts w:ascii="Book Antiqua" w:hAnsi="Book Antiqua"/>
              </w:rPr>
            </w:pPr>
          </w:p>
        </w:tc>
      </w:tr>
    </w:tbl>
    <w:p w14:paraId="24D1E26B" w14:textId="66C73B96"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CECs: Circulating endothelial cells.</w:t>
      </w:r>
    </w:p>
    <w:p w14:paraId="0445DF35" w14:textId="0790B572" w:rsidR="00B01F60" w:rsidRPr="00B66BCA" w:rsidRDefault="00B01F60" w:rsidP="00B66BCA">
      <w:pPr>
        <w:pStyle w:val="Body"/>
        <w:adjustRightInd w:val="0"/>
        <w:snapToGrid w:val="0"/>
        <w:spacing w:line="360" w:lineRule="auto"/>
        <w:jc w:val="both"/>
        <w:rPr>
          <w:rFonts w:ascii="Book Antiqua" w:hAnsi="Book Antiqua"/>
        </w:rPr>
      </w:pPr>
    </w:p>
    <w:p w14:paraId="558D8AF0" w14:textId="77777777" w:rsidR="00B01F60" w:rsidRPr="00B66BCA" w:rsidRDefault="00B01F60" w:rsidP="00B66BCA">
      <w:pPr>
        <w:pStyle w:val="Body"/>
        <w:adjustRightInd w:val="0"/>
        <w:snapToGrid w:val="0"/>
        <w:spacing w:line="360" w:lineRule="auto"/>
        <w:jc w:val="both"/>
        <w:rPr>
          <w:rFonts w:ascii="Book Antiqua" w:eastAsia="Book Antiqua" w:hAnsi="Book Antiqua" w:cs="Book Antiqua"/>
        </w:rPr>
      </w:pPr>
    </w:p>
    <w:p w14:paraId="22E7F2BF" w14:textId="4DE20AAF"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4 Comparison of number of day 2 circulating endothelial cells in patients with acute respiratory distress syndrome under different severity</w:t>
      </w:r>
      <w:r w:rsidR="006D5FE1" w:rsidRPr="00B66BCA">
        <w:rPr>
          <w:rFonts w:ascii="Book Antiqua" w:hAnsi="Book Antiqua"/>
          <w:b/>
          <w:bCs/>
        </w:rPr>
        <w:t>,</w:t>
      </w:r>
      <w:r w:rsidRPr="00B66BCA">
        <w:rPr>
          <w:rFonts w:ascii="Book Antiqua" w:hAnsi="Book Antiqua"/>
          <w:b/>
          <w:bCs/>
        </w:rPr>
        <w:t xml:space="preserve"> mean ± SD</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6"/>
        <w:gridCol w:w="2449"/>
        <w:gridCol w:w="3465"/>
      </w:tblGrid>
      <w:tr w:rsidR="00CC76E5" w:rsidRPr="00B66BCA" w14:paraId="0696F536" w14:textId="77777777">
        <w:trPr>
          <w:trHeight w:val="290"/>
          <w:jc w:val="center"/>
        </w:trPr>
        <w:tc>
          <w:tcPr>
            <w:tcW w:w="34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5854F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 xml:space="preserve">Severity of ARDS </w:t>
            </w:r>
          </w:p>
        </w:tc>
        <w:tc>
          <w:tcPr>
            <w:tcW w:w="24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C1525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34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7FB02F" w14:textId="42FF550D"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mL</w:t>
            </w:r>
          </w:p>
        </w:tc>
      </w:tr>
      <w:tr w:rsidR="00CC76E5" w:rsidRPr="00B66BCA" w14:paraId="5C2CDFD9" w14:textId="77777777">
        <w:trPr>
          <w:trHeight w:val="285"/>
          <w:jc w:val="center"/>
        </w:trPr>
        <w:tc>
          <w:tcPr>
            <w:tcW w:w="3446" w:type="dxa"/>
            <w:tcBorders>
              <w:top w:val="single" w:sz="4" w:space="0" w:color="000000"/>
              <w:left w:val="nil"/>
              <w:bottom w:val="nil"/>
              <w:right w:val="nil"/>
            </w:tcBorders>
            <w:shd w:val="clear" w:color="auto" w:fill="auto"/>
            <w:tcMar>
              <w:top w:w="80" w:type="dxa"/>
              <w:left w:w="80" w:type="dxa"/>
              <w:bottom w:w="80" w:type="dxa"/>
              <w:right w:w="80" w:type="dxa"/>
            </w:tcMar>
          </w:tcPr>
          <w:p w14:paraId="6849CEF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Mild</w:t>
            </w:r>
          </w:p>
        </w:tc>
        <w:tc>
          <w:tcPr>
            <w:tcW w:w="2449" w:type="dxa"/>
            <w:tcBorders>
              <w:top w:val="single" w:sz="4" w:space="0" w:color="000000"/>
              <w:left w:val="nil"/>
              <w:bottom w:val="nil"/>
              <w:right w:val="nil"/>
            </w:tcBorders>
            <w:shd w:val="clear" w:color="auto" w:fill="auto"/>
            <w:tcMar>
              <w:top w:w="80" w:type="dxa"/>
              <w:left w:w="80" w:type="dxa"/>
              <w:bottom w:w="80" w:type="dxa"/>
              <w:right w:w="80" w:type="dxa"/>
            </w:tcMar>
          </w:tcPr>
          <w:p w14:paraId="7294C179"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19</w:t>
            </w:r>
          </w:p>
        </w:tc>
        <w:tc>
          <w:tcPr>
            <w:tcW w:w="3465" w:type="dxa"/>
            <w:tcBorders>
              <w:top w:val="single" w:sz="4" w:space="0" w:color="000000"/>
              <w:left w:val="nil"/>
              <w:bottom w:val="nil"/>
              <w:right w:val="nil"/>
            </w:tcBorders>
            <w:shd w:val="clear" w:color="auto" w:fill="auto"/>
            <w:tcMar>
              <w:top w:w="80" w:type="dxa"/>
              <w:left w:w="80" w:type="dxa"/>
              <w:bottom w:w="80" w:type="dxa"/>
              <w:right w:w="80" w:type="dxa"/>
            </w:tcMar>
          </w:tcPr>
          <w:p w14:paraId="4FCF3B9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1924 ± 872</w:t>
            </w:r>
          </w:p>
        </w:tc>
      </w:tr>
      <w:tr w:rsidR="00CC76E5" w:rsidRPr="00B66BCA" w14:paraId="3CEDD5D2" w14:textId="77777777">
        <w:trPr>
          <w:trHeight w:val="280"/>
          <w:jc w:val="center"/>
        </w:trPr>
        <w:tc>
          <w:tcPr>
            <w:tcW w:w="3446" w:type="dxa"/>
            <w:tcBorders>
              <w:top w:val="nil"/>
              <w:left w:val="nil"/>
              <w:bottom w:val="nil"/>
              <w:right w:val="nil"/>
            </w:tcBorders>
            <w:shd w:val="clear" w:color="auto" w:fill="auto"/>
            <w:tcMar>
              <w:top w:w="80" w:type="dxa"/>
              <w:left w:w="80" w:type="dxa"/>
              <w:bottom w:w="80" w:type="dxa"/>
              <w:right w:w="80" w:type="dxa"/>
            </w:tcMar>
          </w:tcPr>
          <w:p w14:paraId="40946E2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Moderate</w:t>
            </w:r>
          </w:p>
        </w:tc>
        <w:tc>
          <w:tcPr>
            <w:tcW w:w="2449" w:type="dxa"/>
            <w:tcBorders>
              <w:top w:val="nil"/>
              <w:left w:val="nil"/>
              <w:bottom w:val="nil"/>
              <w:right w:val="nil"/>
            </w:tcBorders>
            <w:shd w:val="clear" w:color="auto" w:fill="auto"/>
            <w:tcMar>
              <w:top w:w="80" w:type="dxa"/>
              <w:left w:w="80" w:type="dxa"/>
              <w:bottom w:w="80" w:type="dxa"/>
              <w:right w:w="80" w:type="dxa"/>
            </w:tcMar>
          </w:tcPr>
          <w:p w14:paraId="1953DF9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20</w:t>
            </w:r>
          </w:p>
        </w:tc>
        <w:tc>
          <w:tcPr>
            <w:tcW w:w="3465" w:type="dxa"/>
            <w:tcBorders>
              <w:top w:val="nil"/>
              <w:left w:val="nil"/>
              <w:bottom w:val="nil"/>
              <w:right w:val="nil"/>
            </w:tcBorders>
            <w:shd w:val="clear" w:color="auto" w:fill="auto"/>
            <w:tcMar>
              <w:top w:w="80" w:type="dxa"/>
              <w:left w:w="80" w:type="dxa"/>
              <w:bottom w:w="80" w:type="dxa"/>
              <w:right w:w="80" w:type="dxa"/>
            </w:tcMar>
          </w:tcPr>
          <w:p w14:paraId="41B44CA9"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1897 ± 890</w:t>
            </w:r>
          </w:p>
        </w:tc>
      </w:tr>
      <w:tr w:rsidR="00CC76E5" w:rsidRPr="00B66BCA" w14:paraId="497A12AC" w14:textId="77777777">
        <w:trPr>
          <w:trHeight w:val="285"/>
          <w:jc w:val="center"/>
        </w:trPr>
        <w:tc>
          <w:tcPr>
            <w:tcW w:w="3446" w:type="dxa"/>
            <w:tcBorders>
              <w:top w:val="nil"/>
              <w:left w:val="nil"/>
              <w:bottom w:val="single" w:sz="4" w:space="0" w:color="000000"/>
              <w:right w:val="nil"/>
            </w:tcBorders>
            <w:shd w:val="clear" w:color="auto" w:fill="auto"/>
            <w:tcMar>
              <w:top w:w="80" w:type="dxa"/>
              <w:left w:w="80" w:type="dxa"/>
              <w:bottom w:w="80" w:type="dxa"/>
              <w:right w:w="80" w:type="dxa"/>
            </w:tcMar>
          </w:tcPr>
          <w:p w14:paraId="0B30BEB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Severe</w:t>
            </w:r>
          </w:p>
        </w:tc>
        <w:tc>
          <w:tcPr>
            <w:tcW w:w="2449" w:type="dxa"/>
            <w:tcBorders>
              <w:top w:val="nil"/>
              <w:left w:val="nil"/>
              <w:bottom w:val="single" w:sz="4" w:space="0" w:color="000000"/>
              <w:right w:val="nil"/>
            </w:tcBorders>
            <w:shd w:val="clear" w:color="auto" w:fill="auto"/>
            <w:tcMar>
              <w:top w:w="80" w:type="dxa"/>
              <w:left w:w="80" w:type="dxa"/>
              <w:bottom w:w="80" w:type="dxa"/>
              <w:right w:w="80" w:type="dxa"/>
            </w:tcMar>
          </w:tcPr>
          <w:p w14:paraId="6812569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13</w:t>
            </w:r>
          </w:p>
        </w:tc>
        <w:tc>
          <w:tcPr>
            <w:tcW w:w="3465" w:type="dxa"/>
            <w:tcBorders>
              <w:top w:val="nil"/>
              <w:left w:val="nil"/>
              <w:bottom w:val="single" w:sz="4" w:space="0" w:color="000000"/>
              <w:right w:val="nil"/>
            </w:tcBorders>
            <w:shd w:val="clear" w:color="auto" w:fill="auto"/>
            <w:tcMar>
              <w:top w:w="80" w:type="dxa"/>
              <w:left w:w="80" w:type="dxa"/>
              <w:bottom w:w="80" w:type="dxa"/>
              <w:right w:w="80" w:type="dxa"/>
            </w:tcMar>
          </w:tcPr>
          <w:p w14:paraId="2291ABD7"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2580 ± 791</w:t>
            </w:r>
          </w:p>
        </w:tc>
      </w:tr>
    </w:tbl>
    <w:p w14:paraId="52A27F09" w14:textId="1CF54E09" w:rsidR="006D5FE1"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Acute respiratory distress syndrome; CECs: Circulating endothelial cells.</w:t>
      </w:r>
    </w:p>
    <w:p w14:paraId="09BF6DFD" w14:textId="77777777" w:rsidR="00B01F60" w:rsidRPr="00B66BCA" w:rsidRDefault="00B01F60" w:rsidP="00B66BCA">
      <w:pPr>
        <w:pStyle w:val="Body"/>
        <w:adjustRightInd w:val="0"/>
        <w:snapToGrid w:val="0"/>
        <w:spacing w:line="360" w:lineRule="auto"/>
        <w:jc w:val="both"/>
        <w:rPr>
          <w:rFonts w:ascii="Book Antiqua" w:hAnsi="Book Antiqua"/>
          <w:b/>
          <w:bCs/>
        </w:rPr>
      </w:pPr>
    </w:p>
    <w:p w14:paraId="1836A124" w14:textId="2858C6BF" w:rsidR="00CC76E5" w:rsidRPr="00B66BCA" w:rsidRDefault="0098248C" w:rsidP="00B66BCA">
      <w:pPr>
        <w:pStyle w:val="Body"/>
        <w:adjustRightInd w:val="0"/>
        <w:snapToGrid w:val="0"/>
        <w:spacing w:line="360" w:lineRule="auto"/>
        <w:jc w:val="both"/>
        <w:rPr>
          <w:rFonts w:ascii="Book Antiqua" w:eastAsia="Book Antiqua" w:hAnsi="Book Antiqua" w:cs="Book Antiqua"/>
          <w:b/>
          <w:bCs/>
        </w:rPr>
      </w:pPr>
      <w:r w:rsidRPr="00B66BCA">
        <w:rPr>
          <w:rFonts w:ascii="Book Antiqua" w:hAnsi="Book Antiqua"/>
          <w:b/>
          <w:bCs/>
        </w:rPr>
        <w:t>Table 5 Changes of circulating endothelial cells levels in three groups as acute respiratory distress syndrome development</w:t>
      </w:r>
      <w:r w:rsidR="006D5FE1" w:rsidRPr="00B66BCA">
        <w:rPr>
          <w:rFonts w:ascii="Book Antiqua" w:hAnsi="Book Antiqua"/>
          <w:b/>
          <w:bCs/>
        </w:rPr>
        <w:t>,</w:t>
      </w:r>
      <w:r w:rsidRPr="00B66BCA">
        <w:rPr>
          <w:rFonts w:ascii="Book Antiqua" w:hAnsi="Book Antiqua"/>
          <w:b/>
          <w:bCs/>
        </w:rPr>
        <w:t xml:space="preserve"> mean ± SD</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6"/>
        <w:gridCol w:w="1259"/>
        <w:gridCol w:w="2346"/>
        <w:gridCol w:w="2347"/>
        <w:gridCol w:w="1202"/>
      </w:tblGrid>
      <w:tr w:rsidR="00CC76E5" w:rsidRPr="00B66BCA" w14:paraId="7DCCB621" w14:textId="77777777">
        <w:trPr>
          <w:trHeight w:val="290"/>
        </w:trPr>
        <w:tc>
          <w:tcPr>
            <w:tcW w:w="2206"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2D0B09B"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Group</w:t>
            </w:r>
          </w:p>
        </w:tc>
        <w:tc>
          <w:tcPr>
            <w:tcW w:w="1259"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B13EB9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Number</w:t>
            </w:r>
          </w:p>
        </w:tc>
        <w:tc>
          <w:tcPr>
            <w:tcW w:w="469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4121E5" w14:textId="0FBC5340"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CECs</w:t>
            </w:r>
            <w:r w:rsidR="006D5FE1" w:rsidRPr="00B66BCA">
              <w:rPr>
                <w:rFonts w:ascii="Book Antiqua" w:hAnsi="Book Antiqua"/>
                <w:b/>
                <w:bCs/>
              </w:rPr>
              <w:t>,</w:t>
            </w:r>
            <w:r w:rsidRPr="00B66BCA">
              <w:rPr>
                <w:rFonts w:ascii="Book Antiqua" w:hAnsi="Book Antiqua"/>
                <w:b/>
                <w:bCs/>
              </w:rPr>
              <w:t xml:space="preserve"> mL</w:t>
            </w:r>
          </w:p>
        </w:tc>
        <w:tc>
          <w:tcPr>
            <w:tcW w:w="1202"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BE479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i/>
                <w:iCs/>
              </w:rPr>
              <w:t>P</w:t>
            </w:r>
            <w:r w:rsidRPr="00B66BCA">
              <w:rPr>
                <w:rFonts w:ascii="Book Antiqua" w:hAnsi="Book Antiqua"/>
                <w:b/>
                <w:bCs/>
              </w:rPr>
              <w:t xml:space="preserve"> value</w:t>
            </w:r>
          </w:p>
        </w:tc>
      </w:tr>
      <w:tr w:rsidR="00CC76E5" w:rsidRPr="00B66BCA" w14:paraId="6AB268F7" w14:textId="77777777">
        <w:trPr>
          <w:trHeight w:val="290"/>
        </w:trPr>
        <w:tc>
          <w:tcPr>
            <w:tcW w:w="2206" w:type="dxa"/>
            <w:vMerge/>
            <w:tcBorders>
              <w:top w:val="single" w:sz="4" w:space="0" w:color="000000"/>
              <w:left w:val="nil"/>
              <w:bottom w:val="single" w:sz="4" w:space="0" w:color="000000"/>
              <w:right w:val="nil"/>
            </w:tcBorders>
            <w:shd w:val="clear" w:color="auto" w:fill="auto"/>
          </w:tcPr>
          <w:p w14:paraId="31740733" w14:textId="77777777" w:rsidR="00CC76E5" w:rsidRPr="00B66BCA" w:rsidRDefault="00CC76E5" w:rsidP="00B66BCA">
            <w:pPr>
              <w:adjustRightInd w:val="0"/>
              <w:snapToGrid w:val="0"/>
              <w:spacing w:line="360" w:lineRule="auto"/>
              <w:jc w:val="both"/>
              <w:rPr>
                <w:rFonts w:ascii="Book Antiqua" w:hAnsi="Book Antiqua"/>
              </w:rPr>
            </w:pPr>
          </w:p>
        </w:tc>
        <w:tc>
          <w:tcPr>
            <w:tcW w:w="1259" w:type="dxa"/>
            <w:vMerge/>
            <w:tcBorders>
              <w:top w:val="single" w:sz="4" w:space="0" w:color="000000"/>
              <w:left w:val="nil"/>
              <w:bottom w:val="single" w:sz="4" w:space="0" w:color="000000"/>
              <w:right w:val="nil"/>
            </w:tcBorders>
            <w:shd w:val="clear" w:color="auto" w:fill="auto"/>
          </w:tcPr>
          <w:p w14:paraId="4B450911" w14:textId="77777777" w:rsidR="00CC76E5" w:rsidRPr="00B66BCA" w:rsidRDefault="00CC76E5" w:rsidP="00B66BCA">
            <w:pPr>
              <w:adjustRightInd w:val="0"/>
              <w:snapToGrid w:val="0"/>
              <w:spacing w:line="360" w:lineRule="auto"/>
              <w:jc w:val="both"/>
              <w:rPr>
                <w:rFonts w:ascii="Book Antiqua" w:hAnsi="Book Antiqua"/>
              </w:rPr>
            </w:pPr>
          </w:p>
        </w:tc>
        <w:tc>
          <w:tcPr>
            <w:tcW w:w="23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79AD57"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d2 CECs</w:t>
            </w:r>
          </w:p>
        </w:tc>
        <w:tc>
          <w:tcPr>
            <w:tcW w:w="23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0FBA61F"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b/>
                <w:bCs/>
              </w:rPr>
              <w:t>Count of d5 CECs</w:t>
            </w:r>
          </w:p>
        </w:tc>
        <w:tc>
          <w:tcPr>
            <w:tcW w:w="1202" w:type="dxa"/>
            <w:vMerge/>
            <w:tcBorders>
              <w:top w:val="single" w:sz="4" w:space="0" w:color="000000"/>
              <w:left w:val="nil"/>
              <w:bottom w:val="single" w:sz="4" w:space="0" w:color="000000"/>
              <w:right w:val="nil"/>
            </w:tcBorders>
            <w:shd w:val="clear" w:color="auto" w:fill="auto"/>
          </w:tcPr>
          <w:p w14:paraId="512099A0" w14:textId="77777777" w:rsidR="00CC76E5" w:rsidRPr="00B66BCA" w:rsidRDefault="00CC76E5" w:rsidP="00B66BCA">
            <w:pPr>
              <w:adjustRightInd w:val="0"/>
              <w:snapToGrid w:val="0"/>
              <w:spacing w:line="360" w:lineRule="auto"/>
              <w:jc w:val="both"/>
              <w:rPr>
                <w:rFonts w:ascii="Book Antiqua" w:hAnsi="Book Antiqua"/>
              </w:rPr>
            </w:pPr>
          </w:p>
        </w:tc>
      </w:tr>
      <w:tr w:rsidR="00CC76E5" w:rsidRPr="00B66BCA" w14:paraId="1C3F5EF2" w14:textId="77777777">
        <w:trPr>
          <w:trHeight w:val="285"/>
        </w:trPr>
        <w:tc>
          <w:tcPr>
            <w:tcW w:w="2206" w:type="dxa"/>
            <w:tcBorders>
              <w:top w:val="single" w:sz="4" w:space="0" w:color="000000"/>
              <w:left w:val="nil"/>
              <w:bottom w:val="nil"/>
              <w:right w:val="nil"/>
            </w:tcBorders>
            <w:shd w:val="clear" w:color="auto" w:fill="auto"/>
            <w:tcMar>
              <w:top w:w="80" w:type="dxa"/>
              <w:left w:w="80" w:type="dxa"/>
              <w:bottom w:w="80" w:type="dxa"/>
              <w:right w:w="80" w:type="dxa"/>
            </w:tcMar>
          </w:tcPr>
          <w:p w14:paraId="5971A8D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Non-ARDS group</w:t>
            </w:r>
          </w:p>
        </w:tc>
        <w:tc>
          <w:tcPr>
            <w:tcW w:w="12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8681E0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73</w:t>
            </w:r>
          </w:p>
        </w:tc>
        <w:tc>
          <w:tcPr>
            <w:tcW w:w="2346" w:type="dxa"/>
            <w:tcBorders>
              <w:top w:val="single" w:sz="4" w:space="0" w:color="000000"/>
              <w:left w:val="nil"/>
              <w:bottom w:val="nil"/>
              <w:right w:val="nil"/>
            </w:tcBorders>
            <w:shd w:val="clear" w:color="auto" w:fill="auto"/>
            <w:tcMar>
              <w:top w:w="80" w:type="dxa"/>
              <w:left w:w="80" w:type="dxa"/>
              <w:bottom w:w="80" w:type="dxa"/>
              <w:right w:w="80" w:type="dxa"/>
            </w:tcMar>
          </w:tcPr>
          <w:p w14:paraId="4D5489B2"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1038 ± 1371</w:t>
            </w:r>
          </w:p>
        </w:tc>
        <w:tc>
          <w:tcPr>
            <w:tcW w:w="2347" w:type="dxa"/>
            <w:tcBorders>
              <w:top w:val="single" w:sz="4" w:space="0" w:color="000000"/>
              <w:left w:val="nil"/>
              <w:bottom w:val="nil"/>
              <w:right w:val="nil"/>
            </w:tcBorders>
            <w:shd w:val="clear" w:color="auto" w:fill="auto"/>
            <w:tcMar>
              <w:top w:w="80" w:type="dxa"/>
              <w:left w:w="80" w:type="dxa"/>
              <w:bottom w:w="80" w:type="dxa"/>
              <w:right w:w="80" w:type="dxa"/>
            </w:tcMar>
          </w:tcPr>
          <w:p w14:paraId="3F335073"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854 ± 648</w:t>
            </w:r>
          </w:p>
        </w:tc>
        <w:tc>
          <w:tcPr>
            <w:tcW w:w="1202" w:type="dxa"/>
            <w:tcBorders>
              <w:top w:val="single" w:sz="4" w:space="0" w:color="000000"/>
              <w:left w:val="nil"/>
              <w:bottom w:val="nil"/>
              <w:right w:val="nil"/>
            </w:tcBorders>
            <w:shd w:val="clear" w:color="auto" w:fill="auto"/>
            <w:tcMar>
              <w:top w:w="80" w:type="dxa"/>
              <w:left w:w="80" w:type="dxa"/>
              <w:bottom w:w="80" w:type="dxa"/>
              <w:right w:w="80" w:type="dxa"/>
            </w:tcMar>
          </w:tcPr>
          <w:p w14:paraId="2EA21D0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0.273</w:t>
            </w:r>
          </w:p>
        </w:tc>
      </w:tr>
      <w:tr w:rsidR="00CC76E5" w:rsidRPr="00B66BCA" w14:paraId="1BCE5736" w14:textId="77777777">
        <w:trPr>
          <w:trHeight w:val="700"/>
        </w:trPr>
        <w:tc>
          <w:tcPr>
            <w:tcW w:w="2206" w:type="dxa"/>
            <w:tcBorders>
              <w:top w:val="nil"/>
              <w:left w:val="nil"/>
              <w:bottom w:val="nil"/>
              <w:right w:val="nil"/>
            </w:tcBorders>
            <w:shd w:val="clear" w:color="auto" w:fill="auto"/>
            <w:tcMar>
              <w:top w:w="80" w:type="dxa"/>
              <w:left w:w="80" w:type="dxa"/>
              <w:bottom w:w="80" w:type="dxa"/>
              <w:right w:w="80" w:type="dxa"/>
            </w:tcMar>
          </w:tcPr>
          <w:p w14:paraId="462A2A81" w14:textId="46D2771F"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 xml:space="preserve">Improvement </w:t>
            </w:r>
            <w:r w:rsidR="006D5FE1" w:rsidRPr="00B66BCA">
              <w:rPr>
                <w:rFonts w:ascii="Book Antiqua" w:hAnsi="Book Antiqua"/>
              </w:rPr>
              <w:t>g</w:t>
            </w:r>
            <w:r w:rsidRPr="00B66BCA">
              <w:rPr>
                <w:rFonts w:ascii="Book Antiqua" w:hAnsi="Book Antiqua"/>
              </w:rPr>
              <w:t>roup</w:t>
            </w:r>
          </w:p>
        </w:tc>
        <w:tc>
          <w:tcPr>
            <w:tcW w:w="1259" w:type="dxa"/>
            <w:tcBorders>
              <w:top w:val="nil"/>
              <w:left w:val="nil"/>
              <w:bottom w:val="nil"/>
              <w:right w:val="nil"/>
            </w:tcBorders>
            <w:shd w:val="clear" w:color="auto" w:fill="auto"/>
            <w:tcMar>
              <w:top w:w="80" w:type="dxa"/>
              <w:left w:w="80" w:type="dxa"/>
              <w:bottom w:w="80" w:type="dxa"/>
              <w:right w:w="80" w:type="dxa"/>
            </w:tcMar>
            <w:vAlign w:val="center"/>
          </w:tcPr>
          <w:p w14:paraId="5AAD605E"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39</w:t>
            </w:r>
          </w:p>
        </w:tc>
        <w:tc>
          <w:tcPr>
            <w:tcW w:w="2346" w:type="dxa"/>
            <w:tcBorders>
              <w:top w:val="nil"/>
              <w:left w:val="nil"/>
              <w:bottom w:val="nil"/>
              <w:right w:val="nil"/>
            </w:tcBorders>
            <w:shd w:val="clear" w:color="auto" w:fill="auto"/>
            <w:tcMar>
              <w:top w:w="80" w:type="dxa"/>
              <w:left w:w="80" w:type="dxa"/>
              <w:bottom w:w="80" w:type="dxa"/>
              <w:right w:w="80" w:type="dxa"/>
            </w:tcMar>
          </w:tcPr>
          <w:p w14:paraId="4856D741"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1799 ± 801</w:t>
            </w:r>
          </w:p>
        </w:tc>
        <w:tc>
          <w:tcPr>
            <w:tcW w:w="2347" w:type="dxa"/>
            <w:tcBorders>
              <w:top w:val="nil"/>
              <w:left w:val="nil"/>
              <w:bottom w:val="nil"/>
              <w:right w:val="nil"/>
            </w:tcBorders>
            <w:shd w:val="clear" w:color="auto" w:fill="auto"/>
            <w:tcMar>
              <w:top w:w="80" w:type="dxa"/>
              <w:left w:w="80" w:type="dxa"/>
              <w:bottom w:w="80" w:type="dxa"/>
              <w:right w:w="80" w:type="dxa"/>
            </w:tcMar>
          </w:tcPr>
          <w:p w14:paraId="468CC20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2274 ± 1017</w:t>
            </w:r>
          </w:p>
        </w:tc>
        <w:tc>
          <w:tcPr>
            <w:tcW w:w="1202" w:type="dxa"/>
            <w:tcBorders>
              <w:top w:val="nil"/>
              <w:left w:val="nil"/>
              <w:bottom w:val="nil"/>
              <w:right w:val="nil"/>
            </w:tcBorders>
            <w:shd w:val="clear" w:color="auto" w:fill="auto"/>
            <w:tcMar>
              <w:top w:w="80" w:type="dxa"/>
              <w:left w:w="80" w:type="dxa"/>
              <w:bottom w:w="80" w:type="dxa"/>
              <w:right w:w="80" w:type="dxa"/>
            </w:tcMar>
          </w:tcPr>
          <w:p w14:paraId="20FCC2E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&lt; 0.001</w:t>
            </w:r>
          </w:p>
        </w:tc>
      </w:tr>
      <w:tr w:rsidR="00CC76E5" w:rsidRPr="00B66BCA" w14:paraId="64E79553" w14:textId="77777777">
        <w:trPr>
          <w:trHeight w:val="285"/>
        </w:trPr>
        <w:tc>
          <w:tcPr>
            <w:tcW w:w="2206" w:type="dxa"/>
            <w:tcBorders>
              <w:top w:val="nil"/>
              <w:left w:val="nil"/>
              <w:bottom w:val="single" w:sz="4" w:space="0" w:color="000000"/>
              <w:right w:val="nil"/>
            </w:tcBorders>
            <w:shd w:val="clear" w:color="auto" w:fill="auto"/>
            <w:tcMar>
              <w:top w:w="80" w:type="dxa"/>
              <w:left w:w="80" w:type="dxa"/>
              <w:bottom w:w="80" w:type="dxa"/>
              <w:right w:w="80" w:type="dxa"/>
            </w:tcMar>
          </w:tcPr>
          <w:p w14:paraId="55F4820A"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Death group</w:t>
            </w:r>
          </w:p>
        </w:tc>
        <w:tc>
          <w:tcPr>
            <w:tcW w:w="12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2DA828"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13</w:t>
            </w:r>
          </w:p>
        </w:tc>
        <w:tc>
          <w:tcPr>
            <w:tcW w:w="2346" w:type="dxa"/>
            <w:tcBorders>
              <w:top w:val="nil"/>
              <w:left w:val="nil"/>
              <w:bottom w:val="single" w:sz="4" w:space="0" w:color="000000"/>
              <w:right w:val="nil"/>
            </w:tcBorders>
            <w:shd w:val="clear" w:color="auto" w:fill="auto"/>
            <w:tcMar>
              <w:top w:w="80" w:type="dxa"/>
              <w:left w:w="80" w:type="dxa"/>
              <w:bottom w:w="80" w:type="dxa"/>
              <w:right w:w="80" w:type="dxa"/>
            </w:tcMar>
          </w:tcPr>
          <w:p w14:paraId="1298B6F0"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2863 ± 652</w:t>
            </w:r>
          </w:p>
        </w:tc>
        <w:tc>
          <w:tcPr>
            <w:tcW w:w="2347" w:type="dxa"/>
            <w:tcBorders>
              <w:top w:val="nil"/>
              <w:left w:val="nil"/>
              <w:bottom w:val="single" w:sz="4" w:space="0" w:color="000000"/>
              <w:right w:val="nil"/>
            </w:tcBorders>
            <w:shd w:val="clear" w:color="auto" w:fill="auto"/>
            <w:tcMar>
              <w:top w:w="80" w:type="dxa"/>
              <w:left w:w="80" w:type="dxa"/>
              <w:bottom w:w="80" w:type="dxa"/>
              <w:right w:w="80" w:type="dxa"/>
            </w:tcMar>
          </w:tcPr>
          <w:p w14:paraId="07AED5B4"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3548 ± 1035</w:t>
            </w:r>
          </w:p>
        </w:tc>
        <w:tc>
          <w:tcPr>
            <w:tcW w:w="1202" w:type="dxa"/>
            <w:tcBorders>
              <w:top w:val="nil"/>
              <w:left w:val="nil"/>
              <w:bottom w:val="single" w:sz="4" w:space="0" w:color="000000"/>
              <w:right w:val="nil"/>
            </w:tcBorders>
            <w:shd w:val="clear" w:color="auto" w:fill="auto"/>
            <w:tcMar>
              <w:top w:w="80" w:type="dxa"/>
              <w:left w:w="80" w:type="dxa"/>
              <w:bottom w:w="80" w:type="dxa"/>
              <w:right w:w="80" w:type="dxa"/>
            </w:tcMar>
          </w:tcPr>
          <w:p w14:paraId="59491CED" w14:textId="77777777" w:rsidR="00CC76E5" w:rsidRPr="00B66BCA"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0.002</w:t>
            </w:r>
          </w:p>
        </w:tc>
      </w:tr>
    </w:tbl>
    <w:p w14:paraId="1454E9B2" w14:textId="53A3FED2" w:rsidR="000208B2" w:rsidRDefault="0098248C" w:rsidP="00B66BCA">
      <w:pPr>
        <w:pStyle w:val="Body"/>
        <w:adjustRightInd w:val="0"/>
        <w:snapToGrid w:val="0"/>
        <w:spacing w:line="360" w:lineRule="auto"/>
        <w:jc w:val="both"/>
        <w:rPr>
          <w:rFonts w:ascii="Book Antiqua" w:hAnsi="Book Antiqua"/>
        </w:rPr>
      </w:pPr>
      <w:r w:rsidRPr="00B66BCA">
        <w:rPr>
          <w:rFonts w:ascii="Book Antiqua" w:hAnsi="Book Antiqua"/>
        </w:rPr>
        <w:t>ARDS: Acute respiratory distress syndrome; CECs: Circulating endothelial cells.</w:t>
      </w:r>
    </w:p>
    <w:p w14:paraId="5573A40A" w14:textId="77777777" w:rsidR="000208B2" w:rsidRDefault="000208B2">
      <w:pPr>
        <w:rPr>
          <w:rFonts w:ascii="Book Antiqua" w:hAnsi="Book Antiqua" w:cs="Arial Unicode MS"/>
          <w:color w:val="000000"/>
          <w:u w:color="000000"/>
          <w14:textOutline w14:w="0" w14:cap="flat" w14:cmpd="sng" w14:algn="ctr">
            <w14:noFill/>
            <w14:prstDash w14:val="solid"/>
            <w14:bevel/>
          </w14:textOutline>
        </w:rPr>
      </w:pPr>
      <w:r>
        <w:rPr>
          <w:rFonts w:ascii="Book Antiqua" w:hAnsi="Book Antiqua"/>
        </w:rPr>
        <w:lastRenderedPageBreak/>
        <w:br w:type="page"/>
      </w:r>
    </w:p>
    <w:p w14:paraId="50690719" w14:textId="77777777" w:rsidR="000208B2" w:rsidRDefault="000208B2" w:rsidP="000208B2">
      <w:pPr>
        <w:jc w:val="center"/>
        <w:rPr>
          <w:rFonts w:ascii="Book Antiqua" w:hAnsi="Book Antiqua"/>
          <w:lang w:eastAsia="zh-CN"/>
        </w:rPr>
      </w:pPr>
    </w:p>
    <w:p w14:paraId="68422066" w14:textId="77777777" w:rsidR="000208B2" w:rsidRDefault="000208B2" w:rsidP="000208B2">
      <w:pPr>
        <w:jc w:val="center"/>
        <w:rPr>
          <w:rFonts w:ascii="Book Antiqua" w:hAnsi="Book Antiqua"/>
          <w:lang w:eastAsia="zh-CN"/>
        </w:rPr>
      </w:pPr>
    </w:p>
    <w:p w14:paraId="4BE1CC7C" w14:textId="77777777" w:rsidR="000208B2" w:rsidRDefault="000208B2" w:rsidP="000208B2">
      <w:pPr>
        <w:jc w:val="center"/>
        <w:rPr>
          <w:rFonts w:ascii="Book Antiqua" w:hAnsi="Book Antiqua"/>
          <w:lang w:eastAsia="zh-CN"/>
        </w:rPr>
      </w:pPr>
    </w:p>
    <w:p w14:paraId="306E8C50" w14:textId="77777777" w:rsidR="000208B2" w:rsidRDefault="000208B2" w:rsidP="000208B2">
      <w:pPr>
        <w:jc w:val="center"/>
        <w:rPr>
          <w:rFonts w:ascii="Book Antiqua" w:hAnsi="Book Antiqua"/>
          <w:lang w:eastAsia="zh-CN"/>
        </w:rPr>
      </w:pPr>
    </w:p>
    <w:p w14:paraId="1C0995AF" w14:textId="77777777" w:rsidR="000208B2" w:rsidRDefault="000208B2" w:rsidP="000208B2">
      <w:pPr>
        <w:jc w:val="center"/>
        <w:rPr>
          <w:rFonts w:ascii="Book Antiqua" w:hAnsi="Book Antiqua"/>
          <w:lang w:eastAsia="zh-CN"/>
        </w:rPr>
      </w:pPr>
    </w:p>
    <w:p w14:paraId="36C00C07" w14:textId="77777777" w:rsidR="000208B2" w:rsidRDefault="000208B2" w:rsidP="000208B2">
      <w:pPr>
        <w:jc w:val="center"/>
        <w:rPr>
          <w:rFonts w:ascii="Book Antiqua" w:hAnsi="Book Antiqua"/>
          <w:lang w:eastAsia="zh-CN"/>
        </w:rPr>
      </w:pPr>
      <w:r>
        <w:rPr>
          <w:rFonts w:ascii="Book Antiqua" w:hAnsi="Book Antiqua"/>
          <w:noProof/>
          <w:lang w:eastAsia="zh-CN"/>
        </w:rPr>
        <w:drawing>
          <wp:inline distT="0" distB="0" distL="0" distR="0" wp14:anchorId="770DD0B4" wp14:editId="680C92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9A3DE4" w14:textId="77777777" w:rsidR="000208B2" w:rsidRDefault="000208B2" w:rsidP="000208B2">
      <w:pPr>
        <w:jc w:val="center"/>
        <w:rPr>
          <w:rFonts w:ascii="Book Antiqua" w:hAnsi="Book Antiqua"/>
          <w:lang w:eastAsia="zh-CN"/>
        </w:rPr>
      </w:pPr>
    </w:p>
    <w:p w14:paraId="38450309" w14:textId="77777777" w:rsidR="000208B2" w:rsidRPr="00763D22" w:rsidRDefault="000208B2" w:rsidP="000208B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923461" w14:textId="77777777" w:rsidR="000208B2" w:rsidRPr="00763D22" w:rsidRDefault="000208B2" w:rsidP="000208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F056CF" w14:textId="77777777" w:rsidR="000208B2" w:rsidRPr="00763D22" w:rsidRDefault="000208B2" w:rsidP="000208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3F40C7" w14:textId="77777777" w:rsidR="000208B2" w:rsidRPr="00763D22" w:rsidRDefault="000208B2" w:rsidP="000208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A4FC9E" w14:textId="77777777" w:rsidR="000208B2" w:rsidRPr="00763D22" w:rsidRDefault="000208B2" w:rsidP="000208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7C0992" w14:textId="77777777" w:rsidR="000208B2" w:rsidRPr="00763D22" w:rsidRDefault="000208B2" w:rsidP="000208B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2880D84" w14:textId="77777777" w:rsidR="000208B2" w:rsidRDefault="000208B2" w:rsidP="000208B2">
      <w:pPr>
        <w:jc w:val="center"/>
        <w:rPr>
          <w:rFonts w:ascii="Book Antiqua" w:hAnsi="Book Antiqua"/>
          <w:lang w:eastAsia="zh-CN"/>
        </w:rPr>
      </w:pPr>
    </w:p>
    <w:p w14:paraId="787B54DF" w14:textId="77777777" w:rsidR="000208B2" w:rsidRDefault="000208B2" w:rsidP="000208B2">
      <w:pPr>
        <w:jc w:val="center"/>
        <w:rPr>
          <w:rFonts w:ascii="Book Antiqua" w:hAnsi="Book Antiqua"/>
          <w:lang w:eastAsia="zh-CN"/>
        </w:rPr>
      </w:pPr>
    </w:p>
    <w:p w14:paraId="2E73D9A3" w14:textId="77777777" w:rsidR="000208B2" w:rsidRDefault="000208B2" w:rsidP="000208B2">
      <w:pPr>
        <w:jc w:val="center"/>
        <w:rPr>
          <w:rFonts w:ascii="Book Antiqua" w:hAnsi="Book Antiqua"/>
          <w:lang w:eastAsia="zh-CN"/>
        </w:rPr>
      </w:pPr>
    </w:p>
    <w:p w14:paraId="2D7107F9" w14:textId="77777777" w:rsidR="000208B2" w:rsidRDefault="000208B2" w:rsidP="000208B2">
      <w:pPr>
        <w:jc w:val="center"/>
        <w:rPr>
          <w:rFonts w:ascii="Book Antiqua" w:hAnsi="Book Antiqua"/>
          <w:lang w:eastAsia="zh-CN"/>
        </w:rPr>
      </w:pPr>
      <w:r>
        <w:rPr>
          <w:rFonts w:ascii="Book Antiqua" w:hAnsi="Book Antiqua"/>
          <w:noProof/>
          <w:lang w:eastAsia="zh-CN"/>
        </w:rPr>
        <w:drawing>
          <wp:inline distT="0" distB="0" distL="0" distR="0" wp14:anchorId="4554CEF7" wp14:editId="6194A8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4BB96A" w14:textId="77777777" w:rsidR="000208B2" w:rsidRDefault="000208B2" w:rsidP="000208B2">
      <w:pPr>
        <w:jc w:val="center"/>
        <w:rPr>
          <w:rFonts w:ascii="Book Antiqua" w:hAnsi="Book Antiqua"/>
          <w:lang w:eastAsia="zh-CN"/>
        </w:rPr>
      </w:pPr>
    </w:p>
    <w:p w14:paraId="48150F2B" w14:textId="77777777" w:rsidR="000208B2" w:rsidRDefault="000208B2" w:rsidP="000208B2">
      <w:pPr>
        <w:jc w:val="center"/>
        <w:rPr>
          <w:rFonts w:ascii="Book Antiqua" w:hAnsi="Book Antiqua"/>
          <w:lang w:eastAsia="zh-CN"/>
        </w:rPr>
      </w:pPr>
    </w:p>
    <w:p w14:paraId="6AF3C188" w14:textId="77777777" w:rsidR="000208B2" w:rsidRDefault="000208B2" w:rsidP="000208B2">
      <w:pPr>
        <w:jc w:val="center"/>
        <w:rPr>
          <w:rFonts w:ascii="Book Antiqua" w:hAnsi="Book Antiqua"/>
          <w:lang w:eastAsia="zh-CN"/>
        </w:rPr>
      </w:pPr>
    </w:p>
    <w:p w14:paraId="2454613D" w14:textId="77777777" w:rsidR="000208B2" w:rsidRDefault="000208B2" w:rsidP="000208B2">
      <w:pPr>
        <w:jc w:val="center"/>
        <w:rPr>
          <w:rFonts w:ascii="Book Antiqua" w:hAnsi="Book Antiqua"/>
          <w:lang w:eastAsia="zh-CN"/>
        </w:rPr>
      </w:pPr>
    </w:p>
    <w:p w14:paraId="54232B1D" w14:textId="77777777" w:rsidR="000208B2" w:rsidRDefault="000208B2" w:rsidP="000208B2">
      <w:pPr>
        <w:jc w:val="center"/>
        <w:rPr>
          <w:rFonts w:ascii="Book Antiqua" w:hAnsi="Book Antiqua"/>
          <w:lang w:eastAsia="zh-CN"/>
        </w:rPr>
      </w:pPr>
    </w:p>
    <w:p w14:paraId="6439DC16" w14:textId="77777777" w:rsidR="000208B2" w:rsidRDefault="000208B2" w:rsidP="000208B2">
      <w:pPr>
        <w:jc w:val="center"/>
        <w:rPr>
          <w:rFonts w:ascii="Book Antiqua" w:hAnsi="Book Antiqua"/>
          <w:lang w:eastAsia="zh-CN"/>
        </w:rPr>
      </w:pPr>
    </w:p>
    <w:p w14:paraId="1ABD2F0E" w14:textId="77777777" w:rsidR="000208B2" w:rsidRDefault="000208B2" w:rsidP="000208B2">
      <w:pPr>
        <w:jc w:val="center"/>
        <w:rPr>
          <w:rFonts w:ascii="Book Antiqua" w:hAnsi="Book Antiqua"/>
          <w:lang w:eastAsia="zh-CN"/>
        </w:rPr>
      </w:pPr>
    </w:p>
    <w:p w14:paraId="66C2F79D" w14:textId="77777777" w:rsidR="000208B2" w:rsidRDefault="000208B2" w:rsidP="000208B2">
      <w:pPr>
        <w:jc w:val="center"/>
        <w:rPr>
          <w:rFonts w:ascii="Book Antiqua" w:hAnsi="Book Antiqua"/>
          <w:lang w:eastAsia="zh-CN"/>
        </w:rPr>
      </w:pPr>
    </w:p>
    <w:p w14:paraId="60A21F78" w14:textId="77777777" w:rsidR="000208B2" w:rsidRDefault="000208B2" w:rsidP="000208B2">
      <w:pPr>
        <w:jc w:val="center"/>
        <w:rPr>
          <w:rFonts w:ascii="Book Antiqua" w:hAnsi="Book Antiqua"/>
          <w:lang w:eastAsia="zh-CN"/>
        </w:rPr>
      </w:pPr>
    </w:p>
    <w:p w14:paraId="469E2BD7" w14:textId="77777777" w:rsidR="000208B2" w:rsidRPr="00763D22" w:rsidRDefault="000208B2" w:rsidP="000208B2">
      <w:pPr>
        <w:jc w:val="right"/>
        <w:rPr>
          <w:rFonts w:ascii="Book Antiqua" w:hAnsi="Book Antiqua"/>
          <w:color w:val="000000" w:themeColor="text1"/>
          <w:lang w:eastAsia="zh-CN"/>
        </w:rPr>
      </w:pPr>
    </w:p>
    <w:p w14:paraId="3D04AA80" w14:textId="77777777" w:rsidR="000208B2" w:rsidRPr="00763D22" w:rsidRDefault="000208B2" w:rsidP="000208B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5164D65" w14:textId="77777777" w:rsidR="00CC76E5" w:rsidRPr="00B66BCA" w:rsidRDefault="00CC76E5" w:rsidP="00B66BCA">
      <w:pPr>
        <w:pStyle w:val="Body"/>
        <w:adjustRightInd w:val="0"/>
        <w:snapToGrid w:val="0"/>
        <w:spacing w:line="360" w:lineRule="auto"/>
        <w:jc w:val="both"/>
        <w:rPr>
          <w:rFonts w:ascii="Book Antiqua" w:hAnsi="Book Antiqua"/>
        </w:rPr>
      </w:pPr>
    </w:p>
    <w:sectPr w:rsidR="00CC76E5" w:rsidRPr="00B66BCA">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C651" w14:textId="77777777" w:rsidR="005832C3" w:rsidRDefault="005832C3">
      <w:r>
        <w:separator/>
      </w:r>
    </w:p>
  </w:endnote>
  <w:endnote w:type="continuationSeparator" w:id="0">
    <w:p w14:paraId="370748BC" w14:textId="77777777" w:rsidR="005832C3" w:rsidRDefault="005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594A" w14:textId="77777777" w:rsidR="00CC76E5" w:rsidRPr="00B0412D" w:rsidRDefault="0098248C">
    <w:pPr>
      <w:pStyle w:val="a4"/>
      <w:jc w:val="right"/>
      <w:rPr>
        <w:rFonts w:ascii="Book Antiqua" w:hAnsi="Book Antiqua"/>
        <w:sz w:val="24"/>
        <w:szCs w:val="24"/>
      </w:rPr>
    </w:pPr>
    <w:r w:rsidRPr="00B0412D">
      <w:rPr>
        <w:rFonts w:ascii="Book Antiqua" w:hAnsi="Book Antiqua"/>
        <w:sz w:val="24"/>
        <w:szCs w:val="24"/>
        <w:lang w:val="zh-TW" w:eastAsia="zh-TW"/>
      </w:rPr>
      <w:t xml:space="preserve"> </w:t>
    </w:r>
    <w:r w:rsidRPr="00B0412D">
      <w:rPr>
        <w:rFonts w:ascii="Book Antiqua" w:hAnsi="Book Antiqua"/>
        <w:sz w:val="24"/>
        <w:szCs w:val="24"/>
      </w:rPr>
      <w:fldChar w:fldCharType="begin"/>
    </w:r>
    <w:r w:rsidRPr="00B0412D">
      <w:rPr>
        <w:rFonts w:ascii="Book Antiqua" w:hAnsi="Book Antiqua"/>
        <w:sz w:val="24"/>
        <w:szCs w:val="24"/>
      </w:rPr>
      <w:instrText xml:space="preserve"> PAGE </w:instrText>
    </w:r>
    <w:r w:rsidRPr="00B0412D">
      <w:rPr>
        <w:rFonts w:ascii="Book Antiqua" w:hAnsi="Book Antiqua"/>
        <w:sz w:val="24"/>
        <w:szCs w:val="24"/>
      </w:rPr>
      <w:fldChar w:fldCharType="separate"/>
    </w:r>
    <w:r w:rsidR="00F35621" w:rsidRPr="00B0412D">
      <w:rPr>
        <w:rFonts w:ascii="Book Antiqua" w:hAnsi="Book Antiqua"/>
        <w:noProof/>
        <w:sz w:val="24"/>
        <w:szCs w:val="24"/>
      </w:rPr>
      <w:t>1</w:t>
    </w:r>
    <w:r w:rsidRPr="00B0412D">
      <w:rPr>
        <w:rFonts w:ascii="Book Antiqua" w:hAnsi="Book Antiqua"/>
        <w:sz w:val="24"/>
        <w:szCs w:val="24"/>
      </w:rPr>
      <w:fldChar w:fldCharType="end"/>
    </w:r>
    <w:r w:rsidRPr="00B0412D">
      <w:rPr>
        <w:rFonts w:ascii="Book Antiqua" w:hAnsi="Book Antiqua"/>
        <w:sz w:val="24"/>
        <w:szCs w:val="24"/>
        <w:lang w:val="zh-TW" w:eastAsia="zh-TW"/>
      </w:rPr>
      <w:t xml:space="preserve"> / </w:t>
    </w:r>
    <w:r w:rsidRPr="00B0412D">
      <w:rPr>
        <w:rFonts w:ascii="Book Antiqua" w:hAnsi="Book Antiqua"/>
        <w:sz w:val="24"/>
        <w:szCs w:val="24"/>
      </w:rPr>
      <w:fldChar w:fldCharType="begin"/>
    </w:r>
    <w:r w:rsidRPr="00B0412D">
      <w:rPr>
        <w:rFonts w:ascii="Book Antiqua" w:hAnsi="Book Antiqua"/>
        <w:sz w:val="24"/>
        <w:szCs w:val="24"/>
      </w:rPr>
      <w:instrText xml:space="preserve"> NUMPAGES </w:instrText>
    </w:r>
    <w:r w:rsidRPr="00B0412D">
      <w:rPr>
        <w:rFonts w:ascii="Book Antiqua" w:hAnsi="Book Antiqua"/>
        <w:sz w:val="24"/>
        <w:szCs w:val="24"/>
      </w:rPr>
      <w:fldChar w:fldCharType="separate"/>
    </w:r>
    <w:r w:rsidR="00F35621" w:rsidRPr="00B0412D">
      <w:rPr>
        <w:rFonts w:ascii="Book Antiqua" w:hAnsi="Book Antiqua"/>
        <w:noProof/>
        <w:sz w:val="24"/>
        <w:szCs w:val="24"/>
      </w:rPr>
      <w:t>2</w:t>
    </w:r>
    <w:r w:rsidRPr="00B0412D">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634" w14:textId="77777777" w:rsidR="005832C3" w:rsidRDefault="005832C3">
      <w:r>
        <w:separator/>
      </w:r>
    </w:p>
  </w:footnote>
  <w:footnote w:type="continuationSeparator" w:id="0">
    <w:p w14:paraId="18FE7E60" w14:textId="77777777" w:rsidR="005832C3" w:rsidRDefault="0058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E5"/>
    <w:rsid w:val="000208B2"/>
    <w:rsid w:val="0002097E"/>
    <w:rsid w:val="0009047C"/>
    <w:rsid w:val="00152D05"/>
    <w:rsid w:val="001562C8"/>
    <w:rsid w:val="0016531C"/>
    <w:rsid w:val="001C3410"/>
    <w:rsid w:val="003A10BB"/>
    <w:rsid w:val="003F7173"/>
    <w:rsid w:val="00400DA0"/>
    <w:rsid w:val="004E4768"/>
    <w:rsid w:val="004F43C7"/>
    <w:rsid w:val="005832C3"/>
    <w:rsid w:val="00653EFB"/>
    <w:rsid w:val="006D4CC3"/>
    <w:rsid w:val="006D5FE1"/>
    <w:rsid w:val="0098248C"/>
    <w:rsid w:val="00A72C94"/>
    <w:rsid w:val="00B01F60"/>
    <w:rsid w:val="00B0412D"/>
    <w:rsid w:val="00B66BCA"/>
    <w:rsid w:val="00C1490D"/>
    <w:rsid w:val="00CC76E5"/>
    <w:rsid w:val="00D35505"/>
    <w:rsid w:val="00D403E4"/>
    <w:rsid w:val="00D506B0"/>
    <w:rsid w:val="00D55671"/>
    <w:rsid w:val="00E108B5"/>
    <w:rsid w:val="00E17E3E"/>
    <w:rsid w:val="00EE4A8C"/>
    <w:rsid w:val="00F35621"/>
    <w:rsid w:val="00FD7CE4"/>
    <w:rsid w:val="00FF3F1A"/>
    <w:rsid w:val="00FF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B2F5"/>
  <w15:docId w15:val="{A834F8AB-EA46-EA4A-9F7E-725E61C4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a5">
    <w:name w:val="header"/>
    <w:basedOn w:val="a"/>
    <w:link w:val="a6"/>
    <w:uiPriority w:val="99"/>
    <w:unhideWhenUsed/>
    <w:rsid w:val="00C1490D"/>
    <w:pPr>
      <w:tabs>
        <w:tab w:val="center" w:pos="4680"/>
        <w:tab w:val="right" w:pos="9360"/>
      </w:tabs>
    </w:pPr>
  </w:style>
  <w:style w:type="character" w:customStyle="1" w:styleId="a6">
    <w:name w:val="页眉 字符"/>
    <w:basedOn w:val="a0"/>
    <w:link w:val="a5"/>
    <w:uiPriority w:val="99"/>
    <w:rsid w:val="00C1490D"/>
    <w:rPr>
      <w:sz w:val="24"/>
      <w:szCs w:val="24"/>
    </w:rPr>
  </w:style>
  <w:style w:type="paragraph" w:styleId="a7">
    <w:name w:val="Revision"/>
    <w:hidden/>
    <w:uiPriority w:val="99"/>
    <w:semiHidden/>
    <w:rsid w:val="00B041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TableParagraph">
    <w:name w:val="Table Paragraph"/>
    <w:basedOn w:val="a"/>
    <w:uiPriority w:val="1"/>
    <w:qFormat/>
    <w:rsid w:val="000209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28" w:hanging="181"/>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image" Target="media/image7.t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6.ti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tif"/><Relationship Id="rId4" Type="http://schemas.openxmlformats.org/officeDocument/2006/relationships/footnotes" Target="footnotes.xml"/><Relationship Id="rId9" Type="http://schemas.openxmlformats.org/officeDocument/2006/relationships/image" Target="media/image4.t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2021-09-26T08:57:00Z</dcterms:created>
  <dcterms:modified xsi:type="dcterms:W3CDTF">2021-11-04T07:07:00Z</dcterms:modified>
</cp:coreProperties>
</file>