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E4A2C" w14:textId="77777777" w:rsidR="004354B6" w:rsidRDefault="00D456F1">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B202C1C" w14:textId="77777777" w:rsidR="004354B6" w:rsidRDefault="00D456F1">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68422</w:t>
      </w:r>
    </w:p>
    <w:p w14:paraId="7C491BDD" w14:textId="77777777" w:rsidR="004354B6" w:rsidRDefault="00D456F1">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BBEEA7E" w14:textId="77777777" w:rsidR="004354B6" w:rsidRDefault="004354B6">
      <w:pPr>
        <w:spacing w:line="360" w:lineRule="auto"/>
        <w:jc w:val="both"/>
        <w:rPr>
          <w:rFonts w:ascii="Book Antiqua" w:hAnsi="Book Antiqua"/>
        </w:rPr>
      </w:pPr>
    </w:p>
    <w:p w14:paraId="0636AB55" w14:textId="77777777" w:rsidR="004354B6" w:rsidRDefault="00D456F1">
      <w:pPr>
        <w:spacing w:line="360" w:lineRule="auto"/>
        <w:jc w:val="both"/>
        <w:rPr>
          <w:rFonts w:ascii="Book Antiqua" w:hAnsi="Book Antiqua"/>
        </w:rPr>
      </w:pPr>
      <w:r>
        <w:rPr>
          <w:rFonts w:ascii="Book Antiqua" w:eastAsia="Book Antiqua" w:hAnsi="Book Antiqua" w:cs="Book Antiqua"/>
          <w:b/>
          <w:color w:val="000000"/>
        </w:rPr>
        <w:t xml:space="preserve">Diagnosis of upper gastrointestinal perforation complicated with fistula formation and subphrenic abscess by contrast-enhanced ultrasound: A case </w:t>
      </w:r>
      <w:r>
        <w:rPr>
          <w:rFonts w:ascii="Book Antiqua" w:eastAsia="Book Antiqua" w:hAnsi="Book Antiqua" w:cs="Book Antiqua"/>
          <w:b/>
          <w:color w:val="000000"/>
        </w:rPr>
        <w:t>report</w:t>
      </w:r>
    </w:p>
    <w:p w14:paraId="7A57A142" w14:textId="77777777" w:rsidR="004354B6" w:rsidRDefault="004354B6">
      <w:pPr>
        <w:spacing w:line="360" w:lineRule="auto"/>
        <w:jc w:val="both"/>
        <w:rPr>
          <w:rFonts w:ascii="Book Antiqua" w:hAnsi="Book Antiqua"/>
        </w:rPr>
      </w:pPr>
    </w:p>
    <w:p w14:paraId="0ED268D3"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 xml:space="preserve">Qiu TT </w:t>
      </w:r>
      <w:r>
        <w:rPr>
          <w:rFonts w:ascii="Book Antiqua" w:eastAsia="Book Antiqua" w:hAnsi="Book Antiqua" w:cs="Book Antiqua"/>
          <w:i/>
          <w:iCs/>
          <w:color w:val="000000"/>
        </w:rPr>
        <w:t>et al</w:t>
      </w:r>
      <w:r>
        <w:rPr>
          <w:rFonts w:ascii="Book Antiqua" w:eastAsia="Book Antiqua" w:hAnsi="Book Antiqua" w:cs="Book Antiqua"/>
          <w:color w:val="000000"/>
        </w:rPr>
        <w:t>. Gastrointestinal perforation diagnosed by CEUS</w:t>
      </w:r>
    </w:p>
    <w:p w14:paraId="390C2644" w14:textId="77777777" w:rsidR="004354B6" w:rsidRDefault="004354B6">
      <w:pPr>
        <w:spacing w:line="360" w:lineRule="auto"/>
        <w:jc w:val="both"/>
        <w:rPr>
          <w:rFonts w:ascii="Book Antiqua" w:hAnsi="Book Antiqua"/>
        </w:rPr>
      </w:pPr>
    </w:p>
    <w:p w14:paraId="2224E0B6"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Ting-Ting Qiu, Rong Fu, Yan Luo, Wen-Wu Ling</w:t>
      </w:r>
    </w:p>
    <w:p w14:paraId="7BCD7011" w14:textId="77777777" w:rsidR="004354B6" w:rsidRDefault="004354B6">
      <w:pPr>
        <w:spacing w:line="360" w:lineRule="auto"/>
        <w:jc w:val="both"/>
        <w:rPr>
          <w:rFonts w:ascii="Book Antiqua" w:hAnsi="Book Antiqua"/>
        </w:rPr>
      </w:pPr>
    </w:p>
    <w:p w14:paraId="13514719" w14:textId="77777777" w:rsidR="004354B6" w:rsidRDefault="00D456F1">
      <w:pPr>
        <w:spacing w:line="360" w:lineRule="auto"/>
        <w:jc w:val="both"/>
        <w:rPr>
          <w:rFonts w:ascii="Book Antiqua" w:hAnsi="Book Antiqua"/>
        </w:rPr>
      </w:pPr>
      <w:r>
        <w:rPr>
          <w:rFonts w:ascii="Book Antiqua" w:eastAsia="Book Antiqua" w:hAnsi="Book Antiqua" w:cs="Book Antiqua"/>
          <w:b/>
          <w:bCs/>
          <w:color w:val="000000"/>
        </w:rPr>
        <w:t xml:space="preserve">Ting-Ting Qiu, Rong Fu, Yan Luo, Wen-Wu Ling, </w:t>
      </w:r>
      <w:r>
        <w:rPr>
          <w:rFonts w:ascii="Book Antiqua" w:eastAsia="Book Antiqua" w:hAnsi="Book Antiqua" w:cs="Book Antiqua"/>
          <w:color w:val="000000"/>
        </w:rPr>
        <w:t>Department of Medical Ultrasound, West China Hospital of Sichuan University, Chengdu 610041, S</w:t>
      </w:r>
      <w:r>
        <w:rPr>
          <w:rFonts w:ascii="Book Antiqua" w:eastAsia="Book Antiqua" w:hAnsi="Book Antiqua" w:cs="Book Antiqua"/>
          <w:color w:val="000000"/>
        </w:rPr>
        <w:t>ichuan Province, China</w:t>
      </w:r>
    </w:p>
    <w:p w14:paraId="30213491" w14:textId="77777777" w:rsidR="004354B6" w:rsidRDefault="004354B6">
      <w:pPr>
        <w:spacing w:line="360" w:lineRule="auto"/>
        <w:jc w:val="both"/>
        <w:rPr>
          <w:rFonts w:ascii="Book Antiqua" w:hAnsi="Book Antiqua"/>
        </w:rPr>
      </w:pPr>
    </w:p>
    <w:p w14:paraId="04EA7825" w14:textId="77777777" w:rsidR="004354B6" w:rsidRDefault="00D456F1">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Ling WW performed the contrast-enhanced ultrasound examination and supervised the writing and revision of the manuscript; Qiu TT performed the literature review and was a major contributor in writing the manusc</w:t>
      </w:r>
      <w:r>
        <w:rPr>
          <w:rFonts w:ascii="Book Antiqua" w:eastAsia="Book Antiqua" w:hAnsi="Book Antiqua" w:cs="Book Antiqua"/>
          <w:color w:val="000000"/>
        </w:rPr>
        <w:t>ript; Fu R and Luo Y supported the data collection and manuscript revision; all authors read and approved the final manuscript.</w:t>
      </w:r>
    </w:p>
    <w:p w14:paraId="320FD246" w14:textId="77777777" w:rsidR="004354B6" w:rsidRDefault="004354B6">
      <w:pPr>
        <w:spacing w:line="360" w:lineRule="auto"/>
        <w:jc w:val="both"/>
        <w:rPr>
          <w:rFonts w:ascii="Book Antiqua" w:hAnsi="Book Antiqua"/>
        </w:rPr>
      </w:pPr>
    </w:p>
    <w:p w14:paraId="24028F10" w14:textId="77777777" w:rsidR="004354B6" w:rsidRDefault="00D456F1">
      <w:pPr>
        <w:spacing w:line="360" w:lineRule="auto"/>
        <w:jc w:val="both"/>
        <w:rPr>
          <w:rFonts w:ascii="Book Antiqua" w:hAnsi="Book Antiqua"/>
        </w:rPr>
      </w:pPr>
      <w:r>
        <w:rPr>
          <w:rFonts w:ascii="Book Antiqua" w:eastAsia="Book Antiqua" w:hAnsi="Book Antiqua" w:cs="Book Antiqua"/>
          <w:b/>
          <w:bCs/>
          <w:color w:val="000000"/>
        </w:rPr>
        <w:t>Supported by</w:t>
      </w:r>
      <w:r>
        <w:rPr>
          <w:rFonts w:ascii="Book Antiqua" w:eastAsia="Book Antiqua" w:hAnsi="Book Antiqua" w:cs="Book Antiqua"/>
          <w:color w:val="000000"/>
        </w:rPr>
        <w:t xml:space="preserve"> National Natural Science Foundation of China (NSFC), No. 82001833; Post-Doctor Research Project, West China Hospit</w:t>
      </w:r>
      <w:r>
        <w:rPr>
          <w:rFonts w:ascii="Book Antiqua" w:eastAsia="Book Antiqua" w:hAnsi="Book Antiqua" w:cs="Book Antiqua"/>
          <w:color w:val="000000"/>
        </w:rPr>
        <w:t>al, Sichuan University, No. 2019HXBH014; and Sichuan Science and Technology Program, No. 2020YFS0211.</w:t>
      </w:r>
    </w:p>
    <w:p w14:paraId="1137252B" w14:textId="77777777" w:rsidR="004354B6" w:rsidRDefault="004354B6">
      <w:pPr>
        <w:spacing w:line="360" w:lineRule="auto"/>
        <w:jc w:val="both"/>
        <w:rPr>
          <w:rFonts w:ascii="Book Antiqua" w:hAnsi="Book Antiqua"/>
        </w:rPr>
      </w:pPr>
    </w:p>
    <w:p w14:paraId="0B99999F" w14:textId="77777777" w:rsidR="004354B6" w:rsidRDefault="00D456F1">
      <w:pPr>
        <w:spacing w:line="360" w:lineRule="auto"/>
        <w:jc w:val="both"/>
        <w:rPr>
          <w:rFonts w:ascii="Book Antiqua" w:hAnsi="Book Antiqua"/>
        </w:rPr>
      </w:pPr>
      <w:r>
        <w:rPr>
          <w:rFonts w:ascii="Book Antiqua" w:eastAsia="Book Antiqua" w:hAnsi="Book Antiqua" w:cs="Book Antiqua"/>
          <w:b/>
          <w:bCs/>
          <w:color w:val="000000"/>
        </w:rPr>
        <w:t>Corresponding author: Wen-Wu Ling, MD, A</w:t>
      </w:r>
      <w:r>
        <w:rPr>
          <w:rFonts w:ascii="Book Antiqua" w:eastAsia="Book Antiqua" w:hAnsi="Book Antiqua" w:cs="Book Antiqua" w:hint="eastAsia"/>
          <w:b/>
          <w:bCs/>
          <w:color w:val="000000"/>
          <w:lang w:eastAsia="zh-CN"/>
        </w:rPr>
        <w:t>ssociate</w:t>
      </w:r>
      <w:r>
        <w:rPr>
          <w:rFonts w:ascii="Book Antiqua" w:eastAsia="Book Antiqua" w:hAnsi="Book Antiqua" w:cs="Book Antiqua"/>
          <w:b/>
          <w:bCs/>
          <w:color w:val="000000"/>
          <w:lang w:eastAsia="zh-CN"/>
        </w:rPr>
        <w:t xml:space="preserve"> </w:t>
      </w:r>
      <w:r>
        <w:rPr>
          <w:rFonts w:ascii="Book Antiqua" w:eastAsia="Book Antiqua" w:hAnsi="Book Antiqua" w:cs="Book Antiqua"/>
          <w:b/>
          <w:bCs/>
          <w:color w:val="000000"/>
        </w:rPr>
        <w:t xml:space="preserve">Professor, </w:t>
      </w:r>
      <w:r>
        <w:rPr>
          <w:rFonts w:ascii="Book Antiqua" w:eastAsia="Book Antiqua" w:hAnsi="Book Antiqua" w:cs="Book Antiqua"/>
          <w:color w:val="000000"/>
        </w:rPr>
        <w:t>Department of Medical Ultrasound, West China Hospital of Sichuan University, No. 37 Guoxue Xi</w:t>
      </w:r>
      <w:r>
        <w:rPr>
          <w:rFonts w:ascii="Book Antiqua" w:eastAsia="Book Antiqua" w:hAnsi="Book Antiqua" w:cs="Book Antiqua"/>
          <w:color w:val="000000"/>
        </w:rPr>
        <w:t>ang, Chengdu 610041, Sichuan Province, China. lingwenwubing@163.com</w:t>
      </w:r>
    </w:p>
    <w:p w14:paraId="1EA728AE" w14:textId="77777777" w:rsidR="004354B6" w:rsidRDefault="004354B6">
      <w:pPr>
        <w:spacing w:line="360" w:lineRule="auto"/>
        <w:jc w:val="both"/>
        <w:rPr>
          <w:rFonts w:ascii="Book Antiqua" w:hAnsi="Book Antiqua"/>
        </w:rPr>
      </w:pPr>
    </w:p>
    <w:p w14:paraId="0DD04C5E" w14:textId="77777777" w:rsidR="004354B6" w:rsidRDefault="00D456F1">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30, 2021</w:t>
      </w:r>
    </w:p>
    <w:p w14:paraId="0B0E6B9F" w14:textId="77777777" w:rsidR="004354B6" w:rsidRDefault="00D456F1">
      <w:pPr>
        <w:spacing w:line="360" w:lineRule="auto"/>
        <w:jc w:val="both"/>
        <w:rPr>
          <w:rFonts w:ascii="Book Antiqua" w:hAnsi="Book Antiqua"/>
        </w:rPr>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June 29, 2021</w:t>
      </w:r>
    </w:p>
    <w:p w14:paraId="43437273" w14:textId="77777777" w:rsidR="004354B6" w:rsidRDefault="00D456F1">
      <w:pPr>
        <w:spacing w:line="360" w:lineRule="auto"/>
        <w:jc w:val="both"/>
        <w:rPr>
          <w:rFonts w:ascii="Book Antiqua" w:hAnsi="Book Antiqua"/>
        </w:rPr>
      </w:pPr>
      <w:r>
        <w:rPr>
          <w:rFonts w:ascii="Book Antiqua" w:eastAsia="Book Antiqua" w:hAnsi="Book Antiqua" w:cs="Book Antiqua"/>
          <w:b/>
          <w:bCs/>
          <w:color w:val="000000"/>
        </w:rPr>
        <w:t xml:space="preserve">Accepted: </w:t>
      </w:r>
      <w:bookmarkStart w:id="0" w:name="OLE_LINK33"/>
      <w:bookmarkStart w:id="1" w:name="OLE_LINK48"/>
      <w:bookmarkStart w:id="2" w:name="OLE_LINK15"/>
      <w:r>
        <w:rPr>
          <w:rFonts w:ascii="Book Antiqua" w:eastAsia="宋体" w:hAnsi="Book Antiqua" w:hint="eastAsia"/>
          <w:color w:val="000000" w:themeColor="text1"/>
        </w:rPr>
        <w:t>Au</w:t>
      </w:r>
      <w:r>
        <w:rPr>
          <w:rFonts w:ascii="Book Antiqua" w:eastAsia="宋体" w:hAnsi="Book Antiqua"/>
          <w:color w:val="000000" w:themeColor="text1"/>
        </w:rPr>
        <w:t>gust 16, 2021</w:t>
      </w:r>
      <w:bookmarkEnd w:id="0"/>
      <w:bookmarkEnd w:id="1"/>
      <w:bookmarkEnd w:id="2"/>
    </w:p>
    <w:p w14:paraId="0D8A8EC1" w14:textId="77777777" w:rsidR="004354B6" w:rsidRDefault="00D456F1">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themeColor="text1"/>
        </w:rPr>
        <w:t>October 16</w:t>
      </w:r>
      <w:r>
        <w:rPr>
          <w:rFonts w:ascii="Book Antiqua" w:eastAsia="宋体" w:hAnsi="Book Antiqua" w:cs="Book Antiqua" w:hint="eastAsia"/>
          <w:color w:val="000000" w:themeColor="text1"/>
          <w:lang w:eastAsia="zh-CN"/>
        </w:rPr>
        <w:t>, 2021</w:t>
      </w:r>
    </w:p>
    <w:p w14:paraId="179347F3" w14:textId="77777777" w:rsidR="004354B6" w:rsidRDefault="004354B6">
      <w:pPr>
        <w:spacing w:line="360" w:lineRule="auto"/>
        <w:jc w:val="both"/>
        <w:rPr>
          <w:rFonts w:ascii="Book Antiqua" w:hAnsi="Book Antiqua"/>
        </w:rPr>
        <w:sectPr w:rsidR="004354B6">
          <w:footerReference w:type="default" r:id="rId7"/>
          <w:pgSz w:w="12240" w:h="15840"/>
          <w:pgMar w:top="1440" w:right="1440" w:bottom="1440" w:left="1440" w:header="720" w:footer="720" w:gutter="0"/>
          <w:cols w:space="720"/>
          <w:docGrid w:linePitch="360"/>
        </w:sectPr>
      </w:pPr>
    </w:p>
    <w:p w14:paraId="083BF3D9" w14:textId="77777777" w:rsidR="004354B6" w:rsidRDefault="00D456F1">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F0672A4"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BACKGROUND</w:t>
      </w:r>
    </w:p>
    <w:p w14:paraId="3569013A"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Gastrointestinal perforation complicated by subphrenic abscess is a surgical emergency. Its diagnosis relies mainly on X-ray or computed tomography (CT), while the value of ultrasound, especially</w:t>
      </w:r>
      <w:r>
        <w:rPr>
          <w:rFonts w:ascii="Book Antiqua" w:eastAsia="Book Antiqua" w:hAnsi="Book Antiqua" w:cs="Book Antiqua"/>
          <w:color w:val="000000"/>
        </w:rPr>
        <w:t xml:space="preserve"> contrast-enhanced ultrasound (CEUS), has been underestimated.</w:t>
      </w:r>
    </w:p>
    <w:p w14:paraId="1860ED75" w14:textId="77777777" w:rsidR="004354B6" w:rsidRDefault="004354B6">
      <w:pPr>
        <w:spacing w:line="360" w:lineRule="auto"/>
        <w:jc w:val="both"/>
        <w:rPr>
          <w:rFonts w:ascii="Book Antiqua" w:hAnsi="Book Antiqua"/>
        </w:rPr>
      </w:pPr>
    </w:p>
    <w:p w14:paraId="59825DBF"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CASE SUMMARY</w:t>
      </w:r>
    </w:p>
    <w:p w14:paraId="795343B9"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 xml:space="preserve">A 37-year-old man presented with fever and edema of the lower extremities for 10 d. He had a history of laparoscopic repair of gastroduodenal perforation 6 </w:t>
      </w:r>
      <w:r>
        <w:rPr>
          <w:rFonts w:ascii="Book Antiqua" w:eastAsia="宋体" w:hAnsi="Book Antiqua" w:cs="Book Antiqua" w:hint="eastAsia"/>
          <w:color w:val="000000"/>
          <w:lang w:eastAsia="zh-CN"/>
        </w:rPr>
        <w:t>mo</w:t>
      </w:r>
      <w:r>
        <w:rPr>
          <w:rFonts w:ascii="Book Antiqua" w:eastAsia="Book Antiqua" w:hAnsi="Book Antiqua" w:cs="Book Antiqua"/>
          <w:color w:val="000000"/>
        </w:rPr>
        <w:t xml:space="preserve"> prior. His first-tim</w:t>
      </w:r>
      <w:r>
        <w:rPr>
          <w:rFonts w:ascii="Book Antiqua" w:eastAsia="Book Antiqua" w:hAnsi="Book Antiqua" w:cs="Book Antiqua"/>
          <w:color w:val="000000"/>
        </w:rPr>
        <w:t>e intravenous CEUS indicated a diagnosis of subphrenic abscess. He received antibiotic therapy and ultrasound-guided percutaneous drainage of the abscess. However, second-time intravenous CEUS revealed an unsatisfactory therapeutic effect. Intracavitary CE</w:t>
      </w:r>
      <w:r>
        <w:rPr>
          <w:rFonts w:ascii="Book Antiqua" w:eastAsia="Book Antiqua" w:hAnsi="Book Antiqua" w:cs="Book Antiqua"/>
          <w:color w:val="000000"/>
        </w:rPr>
        <w:t>US was proposed, and this examination detected communication between the abscess and the stomach. Upper gastrointestinal perforation complicated by fistula formation and subphrenic abscess was diagnosed with the help of CEUS. Abdominal CT and esophagogastr</w:t>
      </w:r>
      <w:r>
        <w:rPr>
          <w:rFonts w:ascii="Book Antiqua" w:eastAsia="Book Antiqua" w:hAnsi="Book Antiqua" w:cs="Book Antiqua"/>
          <w:color w:val="000000"/>
        </w:rPr>
        <w:t>oduodenoscopy confirmed the diagnosis. The patient recovered after the perforation was repaired by surgery.</w:t>
      </w:r>
    </w:p>
    <w:p w14:paraId="0A59FA29" w14:textId="77777777" w:rsidR="004354B6" w:rsidRDefault="004354B6">
      <w:pPr>
        <w:spacing w:line="360" w:lineRule="auto"/>
        <w:jc w:val="both"/>
        <w:rPr>
          <w:rFonts w:ascii="Book Antiqua" w:hAnsi="Book Antiqua"/>
        </w:rPr>
      </w:pPr>
    </w:p>
    <w:p w14:paraId="38DEA460"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CONCLUSION</w:t>
      </w:r>
    </w:p>
    <w:p w14:paraId="5054DA87"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Intravenous and intracavitary CEUS provides helpful information for the diagnosis of upper gastrointestinal perforation complicated by f</w:t>
      </w:r>
      <w:r>
        <w:rPr>
          <w:rFonts w:ascii="Book Antiqua" w:eastAsia="Book Antiqua" w:hAnsi="Book Antiqua" w:cs="Book Antiqua"/>
          <w:color w:val="000000"/>
        </w:rPr>
        <w:t>istula formation and subphrenic abscess.</w:t>
      </w:r>
    </w:p>
    <w:p w14:paraId="62505D35" w14:textId="77777777" w:rsidR="004354B6" w:rsidRDefault="004354B6">
      <w:pPr>
        <w:spacing w:line="360" w:lineRule="auto"/>
        <w:jc w:val="both"/>
        <w:rPr>
          <w:rFonts w:ascii="Book Antiqua" w:hAnsi="Book Antiqua"/>
        </w:rPr>
      </w:pPr>
    </w:p>
    <w:p w14:paraId="4014B73C" w14:textId="77777777" w:rsidR="004354B6" w:rsidRDefault="00D456F1">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Contrast-enhanced ultrasound; Gastrointestinal perforation; Fistula; Abscess; Diagnosis; Case report</w:t>
      </w:r>
    </w:p>
    <w:p w14:paraId="7C78D274" w14:textId="77777777" w:rsidR="00B1492B" w:rsidRDefault="00B1492B" w:rsidP="00B1492B">
      <w:pPr>
        <w:spacing w:line="360" w:lineRule="auto"/>
        <w:jc w:val="both"/>
        <w:rPr>
          <w:lang w:eastAsia="zh-CN"/>
        </w:rPr>
      </w:pPr>
    </w:p>
    <w:p w14:paraId="422EAF1E" w14:textId="77777777" w:rsidR="00B1492B" w:rsidRPr="00026CB8" w:rsidRDefault="00B1492B" w:rsidP="00B1492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400D8DC" w14:textId="77777777" w:rsidR="00B1492B" w:rsidRPr="009C101B" w:rsidRDefault="00B1492B" w:rsidP="00B1492B">
      <w:pPr>
        <w:spacing w:line="360" w:lineRule="auto"/>
        <w:jc w:val="both"/>
        <w:rPr>
          <w:lang w:eastAsia="zh-CN"/>
        </w:rPr>
      </w:pPr>
    </w:p>
    <w:p w14:paraId="7D47072F" w14:textId="7960B5B2" w:rsidR="006F5D5E" w:rsidRDefault="00B1492B" w:rsidP="00B1492B">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D456F1">
        <w:rPr>
          <w:rFonts w:ascii="Book Antiqua" w:eastAsia="Book Antiqua" w:hAnsi="Book Antiqua" w:cs="Book Antiqua"/>
          <w:color w:val="000000"/>
        </w:rPr>
        <w:t>Qiu TT, Fu R, Luo Y, Ling WW. Diagnosis of upper gastrointestinal perforation complicated with fistul</w:t>
      </w:r>
      <w:r w:rsidR="00D456F1">
        <w:rPr>
          <w:rFonts w:ascii="Book Antiqua" w:eastAsia="Book Antiqua" w:hAnsi="Book Antiqua" w:cs="Book Antiqua"/>
          <w:color w:val="000000"/>
        </w:rPr>
        <w:t xml:space="preserve">a formation and subphrenic abscess by contrast-enhanced ultrasound: A case report. </w:t>
      </w:r>
      <w:r w:rsidR="00D456F1">
        <w:rPr>
          <w:rFonts w:ascii="Book Antiqua" w:eastAsia="Book Antiqua" w:hAnsi="Book Antiqua" w:cs="Book Antiqua"/>
          <w:i/>
          <w:iCs/>
          <w:color w:val="000000"/>
        </w:rPr>
        <w:t>World J Clin Cases</w:t>
      </w:r>
      <w:r w:rsidR="00D456F1">
        <w:rPr>
          <w:rFonts w:ascii="Book Antiqua" w:eastAsia="Book Antiqua" w:hAnsi="Book Antiqua" w:cs="Book Antiqua"/>
          <w:color w:val="000000"/>
        </w:rPr>
        <w:t xml:space="preserve"> 2021; </w:t>
      </w:r>
      <w:r w:rsidR="00D456F1">
        <w:rPr>
          <w:rFonts w:ascii="Book Antiqua" w:eastAsia="Book Antiqua" w:hAnsi="Book Antiqua" w:cs="Book Antiqua" w:hint="eastAsia"/>
          <w:color w:val="000000"/>
        </w:rPr>
        <w:t xml:space="preserve">9(29): </w:t>
      </w:r>
      <w:r w:rsidR="006F5D5E" w:rsidRPr="00246FC9">
        <w:rPr>
          <w:rFonts w:ascii="Book Antiqua" w:hAnsi="Book Antiqua" w:hint="eastAsia"/>
        </w:rPr>
        <w:t>8</w:t>
      </w:r>
      <w:r w:rsidR="006F5D5E" w:rsidRPr="00246FC9">
        <w:rPr>
          <w:rFonts w:ascii="Book Antiqua" w:hAnsi="Book Antiqua"/>
        </w:rPr>
        <w:t>858</w:t>
      </w:r>
      <w:r w:rsidR="006F5D5E" w:rsidRPr="00246FC9">
        <w:rPr>
          <w:rFonts w:ascii="Book Antiqua" w:hAnsi="Book Antiqua" w:hint="eastAsia"/>
        </w:rPr>
        <w:t>-</w:t>
      </w:r>
      <w:r w:rsidR="006F5D5E" w:rsidRPr="00246FC9">
        <w:rPr>
          <w:rFonts w:ascii="Book Antiqua" w:hAnsi="Book Antiqua"/>
        </w:rPr>
        <w:t>8863</w:t>
      </w:r>
    </w:p>
    <w:p w14:paraId="6D89FAA6" w14:textId="15F20858" w:rsidR="006F5D5E" w:rsidRDefault="00D456F1" w:rsidP="00B1492B">
      <w:pPr>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URL: https://www.wjgnet.com/2307-8960/full/v9/i29/</w:t>
      </w:r>
      <w:r w:rsidR="006F5D5E" w:rsidRPr="00246FC9">
        <w:rPr>
          <w:rFonts w:ascii="Book Antiqua" w:hAnsi="Book Antiqua" w:hint="eastAsia"/>
        </w:rPr>
        <w:t>8</w:t>
      </w:r>
      <w:r w:rsidR="006F5D5E" w:rsidRPr="00246FC9">
        <w:rPr>
          <w:rFonts w:ascii="Book Antiqua" w:hAnsi="Book Antiqua"/>
        </w:rPr>
        <w:t>858</w:t>
      </w:r>
      <w:r>
        <w:rPr>
          <w:rFonts w:ascii="Book Antiqua" w:eastAsia="Book Antiqua" w:hAnsi="Book Antiqua" w:cs="Book Antiqua" w:hint="eastAsia"/>
          <w:color w:val="000000"/>
        </w:rPr>
        <w:t xml:space="preserve">.htm  </w:t>
      </w:r>
    </w:p>
    <w:p w14:paraId="543A8A70" w14:textId="2816270F" w:rsidR="004354B6" w:rsidRDefault="00D456F1" w:rsidP="00B1492B">
      <w:pPr>
        <w:spacing w:line="360" w:lineRule="auto"/>
        <w:jc w:val="both"/>
        <w:rPr>
          <w:rFonts w:ascii="Book Antiqua" w:hAnsi="Book Antiqua"/>
        </w:rPr>
      </w:pPr>
      <w:r>
        <w:rPr>
          <w:rFonts w:ascii="Book Antiqua" w:eastAsia="Book Antiqua" w:hAnsi="Book Antiqua" w:cs="Book Antiqua" w:hint="eastAsia"/>
          <w:color w:val="000000"/>
        </w:rPr>
        <w:t>DOI: https://dx.doi.org/10.12998/wjcc.v9.i29.</w:t>
      </w:r>
      <w:r w:rsidR="006F5D5E" w:rsidRPr="00246FC9">
        <w:rPr>
          <w:rFonts w:ascii="Book Antiqua" w:hAnsi="Book Antiqua" w:hint="eastAsia"/>
        </w:rPr>
        <w:t>8</w:t>
      </w:r>
      <w:r w:rsidR="006F5D5E" w:rsidRPr="00246FC9">
        <w:rPr>
          <w:rFonts w:ascii="Book Antiqua" w:hAnsi="Book Antiqua"/>
        </w:rPr>
        <w:t>858</w:t>
      </w:r>
    </w:p>
    <w:p w14:paraId="64DDCF50" w14:textId="77777777" w:rsidR="004354B6" w:rsidRDefault="004354B6">
      <w:pPr>
        <w:spacing w:line="360" w:lineRule="auto"/>
        <w:jc w:val="both"/>
        <w:rPr>
          <w:rFonts w:ascii="Book Antiqua" w:hAnsi="Book Antiqua"/>
        </w:rPr>
      </w:pPr>
    </w:p>
    <w:p w14:paraId="2C672E18" w14:textId="77777777" w:rsidR="004354B6" w:rsidRDefault="00D456F1">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Gastroint</w:t>
      </w:r>
      <w:r>
        <w:rPr>
          <w:rFonts w:ascii="Book Antiqua" w:eastAsia="Book Antiqua" w:hAnsi="Book Antiqua" w:cs="Book Antiqua"/>
          <w:color w:val="000000"/>
        </w:rPr>
        <w:t>estinal perforation complicated by subphrenic abscess is a surgical emergency that is diagnosed mainly by X-ray or computed tomography. We present a case diagnosed with upper gastrointestinal perforation complicated by fistula formation and subphrenic absc</w:t>
      </w:r>
      <w:r>
        <w:rPr>
          <w:rFonts w:ascii="Book Antiqua" w:eastAsia="Book Antiqua" w:hAnsi="Book Antiqua" w:cs="Book Antiqua"/>
          <w:color w:val="000000"/>
        </w:rPr>
        <w:t>ess, with the rare application of intravenous and intracavitary contrast-enhanced ultrasound (CEUS). This case highlights that CEUS provides helpful information for diagnosis, with the advantages of bedside availability, real-time application, convenience,</w:t>
      </w:r>
      <w:r>
        <w:rPr>
          <w:rFonts w:ascii="Book Antiqua" w:eastAsia="Book Antiqua" w:hAnsi="Book Antiqua" w:cs="Book Antiqua"/>
          <w:color w:val="000000"/>
        </w:rPr>
        <w:t xml:space="preserve"> economical aspect, and lack of radiation.</w:t>
      </w:r>
    </w:p>
    <w:p w14:paraId="0D601621" w14:textId="77777777" w:rsidR="004354B6" w:rsidRDefault="004354B6">
      <w:pPr>
        <w:spacing w:line="360" w:lineRule="auto"/>
        <w:jc w:val="both"/>
        <w:rPr>
          <w:rFonts w:ascii="Book Antiqua" w:eastAsia="Book Antiqua" w:hAnsi="Book Antiqua" w:cs="Book Antiqua"/>
          <w:b/>
          <w:caps/>
          <w:color w:val="000000"/>
          <w:u w:val="single"/>
        </w:rPr>
        <w:sectPr w:rsidR="004354B6">
          <w:pgSz w:w="12240" w:h="15840"/>
          <w:pgMar w:top="1440" w:right="1440" w:bottom="1440" w:left="1440" w:header="720" w:footer="720" w:gutter="0"/>
          <w:cols w:space="720"/>
          <w:docGrid w:linePitch="360"/>
        </w:sectPr>
      </w:pPr>
    </w:p>
    <w:p w14:paraId="3A3DA770" w14:textId="77777777" w:rsidR="004354B6" w:rsidRDefault="00D456F1">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6A4D370C"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 xml:space="preserve">Gastrointestinal perforation is a common surgical emergency. Due to leakage of alimentary contents into the peritoneal cavity, most cases are associated with high mortality and </w:t>
      </w:r>
      <w:r>
        <w:rPr>
          <w:rFonts w:ascii="Book Antiqua" w:eastAsia="Book Antiqua" w:hAnsi="Book Antiqua" w:cs="Book Antiqua"/>
          <w:color w:val="000000"/>
        </w:rPr>
        <w:t>morbidity. Classic subdiaphragmatic air on chest X-ray may be absent, and computed tomography (CT) is a more sensitive investigation tool for stable patients</w:t>
      </w:r>
      <w:r>
        <w:rPr>
          <w:rFonts w:ascii="Book Antiqua" w:eastAsia="Book Antiqua" w:hAnsi="Book Antiqua" w:cs="Book Antiqua"/>
          <w:color w:val="000000"/>
          <w:vertAlign w:val="superscript"/>
        </w:rPr>
        <w:t>[1]</w:t>
      </w:r>
      <w:r>
        <w:rPr>
          <w:rFonts w:ascii="Book Antiqua" w:eastAsia="Book Antiqua" w:hAnsi="Book Antiqua" w:cs="Book Antiqua"/>
          <w:color w:val="000000"/>
        </w:rPr>
        <w:t>. Most of the reported cases present X-ray or CT findings of gastrointestinal perforation</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w:t>
      </w:r>
      <w:r>
        <w:rPr>
          <w:rFonts w:ascii="Book Antiqua" w:eastAsia="Book Antiqua" w:hAnsi="Book Antiqua" w:cs="Book Antiqua"/>
          <w:color w:val="000000"/>
        </w:rPr>
        <w:t>while few of them have demonstrated the crucial role of ultrasound and contrast-enhanced ultrasound (CEUS) for gastrointestinal perforation diagnosis</w:t>
      </w:r>
      <w:r>
        <w:rPr>
          <w:rFonts w:ascii="Book Antiqua" w:eastAsia="Book Antiqua" w:hAnsi="Book Antiqua" w:cs="Book Antiqua"/>
          <w:color w:val="000000"/>
          <w:vertAlign w:val="superscript"/>
        </w:rPr>
        <w:t>[5,6]</w:t>
      </w:r>
      <w:r>
        <w:rPr>
          <w:rFonts w:ascii="Book Antiqua" w:eastAsia="Book Antiqua" w:hAnsi="Book Antiqua" w:cs="Book Antiqua"/>
          <w:color w:val="000000"/>
        </w:rPr>
        <w:t>. Here, we report a case of upper gastrointestinal perforation complicated by fistula formation and su</w:t>
      </w:r>
      <w:r>
        <w:rPr>
          <w:rFonts w:ascii="Book Antiqua" w:eastAsia="Book Antiqua" w:hAnsi="Book Antiqua" w:cs="Book Antiqua"/>
          <w:color w:val="000000"/>
        </w:rPr>
        <w:t>bphrenic abscess, in which both intravenous CEUS (IVCEUS) and intracavitary CEUS (ICCEUS) were applied and provided the key clue for diagnosis. We present the following case in accordance with the CARE reporting checklist.</w:t>
      </w:r>
    </w:p>
    <w:p w14:paraId="2F45AC84" w14:textId="77777777" w:rsidR="004354B6" w:rsidRDefault="004354B6">
      <w:pPr>
        <w:spacing w:line="360" w:lineRule="auto"/>
        <w:jc w:val="both"/>
        <w:rPr>
          <w:rFonts w:ascii="Book Antiqua" w:hAnsi="Book Antiqua"/>
        </w:rPr>
      </w:pPr>
    </w:p>
    <w:p w14:paraId="1EF7FFAC" w14:textId="77777777" w:rsidR="004354B6" w:rsidRDefault="00D456F1">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2B183A69" w14:textId="77777777" w:rsidR="004354B6" w:rsidRDefault="00D456F1">
      <w:pPr>
        <w:spacing w:line="360" w:lineRule="auto"/>
        <w:jc w:val="both"/>
        <w:rPr>
          <w:rFonts w:ascii="Book Antiqua" w:hAnsi="Book Antiqua"/>
        </w:rPr>
      </w:pPr>
      <w:r>
        <w:rPr>
          <w:rFonts w:ascii="Book Antiqua" w:eastAsia="Book Antiqua" w:hAnsi="Book Antiqua" w:cs="Book Antiqua"/>
          <w:b/>
          <w:i/>
          <w:color w:val="000000"/>
        </w:rPr>
        <w:t xml:space="preserve">Chief </w:t>
      </w:r>
      <w:r>
        <w:rPr>
          <w:rFonts w:ascii="Book Antiqua" w:eastAsia="Book Antiqua" w:hAnsi="Book Antiqua" w:cs="Book Antiqua"/>
          <w:b/>
          <w:i/>
          <w:color w:val="000000"/>
        </w:rPr>
        <w:t>complaints</w:t>
      </w:r>
    </w:p>
    <w:p w14:paraId="5B858836"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A 37-year-old man presented with fever and edema of the lower extremities for 10 d.</w:t>
      </w:r>
    </w:p>
    <w:p w14:paraId="2CC7770E" w14:textId="77777777" w:rsidR="004354B6" w:rsidRDefault="004354B6">
      <w:pPr>
        <w:spacing w:line="360" w:lineRule="auto"/>
        <w:jc w:val="both"/>
        <w:rPr>
          <w:rFonts w:ascii="Book Antiqua" w:hAnsi="Book Antiqua"/>
        </w:rPr>
      </w:pPr>
    </w:p>
    <w:p w14:paraId="7B2F1C17" w14:textId="77777777" w:rsidR="004354B6" w:rsidRDefault="00D456F1">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59558D8C"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 xml:space="preserve">The patient had a history of laparoscopic repair of gastroduodenal perforation 6 </w:t>
      </w:r>
      <w:r>
        <w:rPr>
          <w:rFonts w:ascii="Book Antiqua" w:eastAsia="宋体" w:hAnsi="Book Antiqua" w:cs="Book Antiqua" w:hint="eastAsia"/>
          <w:color w:val="000000"/>
          <w:lang w:eastAsia="zh-CN"/>
        </w:rPr>
        <w:t>mo</w:t>
      </w:r>
      <w:r>
        <w:rPr>
          <w:rFonts w:ascii="Book Antiqua" w:eastAsia="Book Antiqua" w:hAnsi="Book Antiqua" w:cs="Book Antiqua"/>
          <w:color w:val="000000"/>
        </w:rPr>
        <w:t xml:space="preserve"> prior.</w:t>
      </w:r>
    </w:p>
    <w:p w14:paraId="422422FA" w14:textId="77777777" w:rsidR="004354B6" w:rsidRDefault="004354B6">
      <w:pPr>
        <w:spacing w:line="360" w:lineRule="auto"/>
        <w:jc w:val="both"/>
        <w:rPr>
          <w:rFonts w:ascii="Book Antiqua" w:hAnsi="Book Antiqua"/>
        </w:rPr>
      </w:pPr>
    </w:p>
    <w:p w14:paraId="7F5EB8F8" w14:textId="77777777" w:rsidR="004354B6" w:rsidRDefault="00D456F1">
      <w:pPr>
        <w:spacing w:line="360" w:lineRule="auto"/>
        <w:jc w:val="both"/>
        <w:rPr>
          <w:rFonts w:ascii="Book Antiqua" w:hAnsi="Book Antiqua"/>
        </w:rPr>
      </w:pPr>
      <w:r>
        <w:rPr>
          <w:rFonts w:ascii="Book Antiqua" w:eastAsia="Book Antiqua" w:hAnsi="Book Antiqua" w:cs="Book Antiqua"/>
          <w:b/>
          <w:i/>
          <w:color w:val="000000"/>
        </w:rPr>
        <w:t>History of past illness</w:t>
      </w:r>
    </w:p>
    <w:p w14:paraId="6FEAEE5D"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There was no hist</w:t>
      </w:r>
      <w:r>
        <w:rPr>
          <w:rFonts w:ascii="Book Antiqua" w:eastAsia="Book Antiqua" w:hAnsi="Book Antiqua" w:cs="Book Antiqua"/>
          <w:color w:val="000000"/>
        </w:rPr>
        <w:t>ory of past illness.</w:t>
      </w:r>
    </w:p>
    <w:p w14:paraId="22C751C2" w14:textId="77777777" w:rsidR="004354B6" w:rsidRDefault="004354B6">
      <w:pPr>
        <w:spacing w:line="360" w:lineRule="auto"/>
        <w:jc w:val="both"/>
        <w:rPr>
          <w:rFonts w:ascii="Book Antiqua" w:hAnsi="Book Antiqua"/>
        </w:rPr>
      </w:pPr>
    </w:p>
    <w:p w14:paraId="53984F93" w14:textId="77777777" w:rsidR="004354B6" w:rsidRDefault="00D456F1">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15319AEA" w14:textId="77777777" w:rsidR="004354B6" w:rsidRDefault="00D456F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There was no personal and family history.</w:t>
      </w:r>
    </w:p>
    <w:p w14:paraId="2B10B4B0" w14:textId="77777777" w:rsidR="004354B6" w:rsidRDefault="004354B6">
      <w:pPr>
        <w:spacing w:line="360" w:lineRule="auto"/>
        <w:jc w:val="both"/>
        <w:rPr>
          <w:rFonts w:ascii="Book Antiqua" w:hAnsi="Book Antiqua"/>
        </w:rPr>
      </w:pPr>
    </w:p>
    <w:p w14:paraId="3AF087D3" w14:textId="77777777" w:rsidR="004354B6" w:rsidRDefault="00D456F1">
      <w:pPr>
        <w:spacing w:line="360" w:lineRule="auto"/>
        <w:jc w:val="both"/>
        <w:rPr>
          <w:rFonts w:ascii="Book Antiqua" w:hAnsi="Book Antiqua"/>
        </w:rPr>
      </w:pPr>
      <w:r>
        <w:rPr>
          <w:rFonts w:ascii="Book Antiqua" w:eastAsia="Book Antiqua" w:hAnsi="Book Antiqua" w:cs="Book Antiqua"/>
          <w:b/>
          <w:i/>
          <w:color w:val="000000"/>
        </w:rPr>
        <w:t>Physical examination</w:t>
      </w:r>
    </w:p>
    <w:p w14:paraId="389772DC" w14:textId="77777777" w:rsidR="004354B6" w:rsidRDefault="00D456F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 physical examination was performed.</w:t>
      </w:r>
    </w:p>
    <w:p w14:paraId="251E2728" w14:textId="77777777" w:rsidR="004354B6" w:rsidRDefault="004354B6">
      <w:pPr>
        <w:spacing w:line="360" w:lineRule="auto"/>
        <w:jc w:val="both"/>
        <w:rPr>
          <w:rFonts w:ascii="Book Antiqua" w:hAnsi="Book Antiqua"/>
        </w:rPr>
      </w:pPr>
    </w:p>
    <w:p w14:paraId="10D0FD14" w14:textId="77777777" w:rsidR="004354B6" w:rsidRDefault="00D456F1">
      <w:pPr>
        <w:spacing w:line="360" w:lineRule="auto"/>
        <w:jc w:val="both"/>
        <w:rPr>
          <w:rFonts w:ascii="Book Antiqua" w:hAnsi="Book Antiqua"/>
        </w:rPr>
      </w:pPr>
      <w:r>
        <w:rPr>
          <w:rFonts w:ascii="Book Antiqua" w:eastAsia="Book Antiqua" w:hAnsi="Book Antiqua" w:cs="Book Antiqua"/>
          <w:b/>
          <w:i/>
          <w:color w:val="000000"/>
        </w:rPr>
        <w:lastRenderedPageBreak/>
        <w:t>Laboratory examinations</w:t>
      </w:r>
    </w:p>
    <w:p w14:paraId="3C89B00C"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Laboratory testing showed elevations in leukocyte count, neutrophil ratio, and</w:t>
      </w:r>
      <w:r>
        <w:rPr>
          <w:rFonts w:ascii="Book Antiqua" w:eastAsia="Book Antiqua" w:hAnsi="Book Antiqua" w:cs="Book Antiqua"/>
          <w:color w:val="000000"/>
        </w:rPr>
        <w:t xml:space="preserve"> C-reactive protein level (9.61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77.6%, and 23.1 mg/L; reference value, 3.5-9.5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40%-75%, and &lt; 5 mg/L, respectively). </w:t>
      </w:r>
    </w:p>
    <w:p w14:paraId="093396A7" w14:textId="77777777" w:rsidR="004354B6" w:rsidRDefault="004354B6">
      <w:pPr>
        <w:spacing w:line="360" w:lineRule="auto"/>
        <w:jc w:val="both"/>
        <w:rPr>
          <w:rFonts w:ascii="Book Antiqua" w:hAnsi="Book Antiqua"/>
        </w:rPr>
      </w:pPr>
    </w:p>
    <w:p w14:paraId="1B27336D" w14:textId="77777777" w:rsidR="004354B6" w:rsidRDefault="00D456F1">
      <w:pPr>
        <w:spacing w:line="360" w:lineRule="auto"/>
        <w:jc w:val="both"/>
        <w:rPr>
          <w:rFonts w:ascii="Book Antiqua" w:hAnsi="Book Antiqua"/>
        </w:rPr>
      </w:pPr>
      <w:r>
        <w:rPr>
          <w:rFonts w:ascii="Book Antiqua" w:eastAsia="Book Antiqua" w:hAnsi="Book Antiqua" w:cs="Book Antiqua"/>
          <w:b/>
          <w:i/>
          <w:color w:val="000000"/>
        </w:rPr>
        <w:t>Imaging examinations</w:t>
      </w:r>
    </w:p>
    <w:p w14:paraId="49EC9D43"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B-mode ultrasound revealed a 6.0 cm × 3.0 cm right subphrenic mass with a heterogeneous echo (Figu</w:t>
      </w:r>
      <w:r>
        <w:rPr>
          <w:rFonts w:ascii="Book Antiqua" w:eastAsia="Book Antiqua" w:hAnsi="Book Antiqua" w:cs="Book Antiqua"/>
          <w:color w:val="000000"/>
        </w:rPr>
        <w:t>re 1).</w:t>
      </w:r>
      <w:r>
        <w:rPr>
          <w:rFonts w:ascii="Book Antiqua" w:hAnsi="Book Antiqua"/>
          <w:lang w:eastAsia="zh-CN"/>
        </w:rPr>
        <w:t xml:space="preserve"> </w:t>
      </w:r>
      <w:r>
        <w:rPr>
          <w:rFonts w:ascii="Book Antiqua" w:eastAsia="Book Antiqua" w:hAnsi="Book Antiqua" w:cs="Book Antiqua"/>
          <w:color w:val="000000"/>
        </w:rPr>
        <w:t xml:space="preserve">The mass displayed a large-scale nonenhancement area with slightly enhanced septa inside for the first IVCEUS (Figure 2). Right subphrenic abscess was diagnosed. The patient received antibiotic therapy and ultrasound-guided percutaneous drainage of </w:t>
      </w:r>
      <w:r>
        <w:rPr>
          <w:rFonts w:ascii="Book Antiqua" w:eastAsia="Book Antiqua" w:hAnsi="Book Antiqua" w:cs="Book Antiqua"/>
          <w:color w:val="000000"/>
        </w:rPr>
        <w:t>the abscess.</w:t>
      </w:r>
      <w:r>
        <w:rPr>
          <w:rFonts w:ascii="Book Antiqua" w:hAnsi="Book Antiqua" w:cs="Book Antiqua"/>
          <w:color w:val="000000"/>
          <w:lang w:eastAsia="zh-CN"/>
        </w:rPr>
        <w:t xml:space="preserve"> </w:t>
      </w:r>
      <w:r>
        <w:rPr>
          <w:rFonts w:ascii="Book Antiqua" w:eastAsia="Book Antiqua" w:hAnsi="Book Antiqua" w:cs="Book Antiqua"/>
          <w:color w:val="000000"/>
        </w:rPr>
        <w:t>Nine days after treatment, second-time IVCEUS was performed to evaluate the therapeutic effects. No significant change in abscess size occurred after treatment (before treatment, 6.0 cm × 3.0 cm; after treatment, 6.0 cm × 1.7 cm) (Figure 3). However, the d</w:t>
      </w:r>
      <w:r>
        <w:rPr>
          <w:rFonts w:ascii="Book Antiqua" w:eastAsia="Book Antiqua" w:hAnsi="Book Antiqua" w:cs="Book Antiqua"/>
          <w:color w:val="000000"/>
        </w:rPr>
        <w:t xml:space="preserve">rainage volume from the catheter was 100-200 mL each day. In this situation, ICCEUS was proposed. SonoVue (0.2 mL) and 20 mL of saline were injected </w:t>
      </w:r>
      <w:r>
        <w:rPr>
          <w:rFonts w:ascii="Book Antiqua" w:eastAsia="Book Antiqua" w:hAnsi="Book Antiqua" w:cs="Book Antiqua"/>
          <w:i/>
          <w:color w:val="000000"/>
        </w:rPr>
        <w:t>via</w:t>
      </w:r>
      <w:r>
        <w:rPr>
          <w:rFonts w:ascii="Book Antiqua" w:eastAsia="Book Antiqua" w:hAnsi="Book Antiqua" w:cs="Book Antiqua"/>
          <w:color w:val="000000"/>
        </w:rPr>
        <w:t xml:space="preserve"> the drainage tube. Enhancement was observed from the drainage tube to the stomach through the early to </w:t>
      </w:r>
      <w:r>
        <w:rPr>
          <w:rFonts w:ascii="Book Antiqua" w:eastAsia="Book Antiqua" w:hAnsi="Book Antiqua" w:cs="Book Antiqua"/>
          <w:color w:val="000000"/>
        </w:rPr>
        <w:t>late phase (Figure 4 and Video), which indicated communication between the abscess and stomach.</w:t>
      </w:r>
      <w:r>
        <w:rPr>
          <w:rFonts w:ascii="Book Antiqua" w:hAnsi="Book Antiqua"/>
        </w:rPr>
        <w:t xml:space="preserve"> </w:t>
      </w:r>
      <w:r>
        <w:rPr>
          <w:rFonts w:ascii="Book Antiqua" w:eastAsia="Book Antiqua" w:hAnsi="Book Antiqua" w:cs="Book Antiqua"/>
          <w:color w:val="000000"/>
        </w:rPr>
        <w:t>Esophagogastroduodenoscopy (Figure 5) was performed to confirm the diagnosis of duodenal bulbar perforation.</w:t>
      </w:r>
    </w:p>
    <w:p w14:paraId="1559E3D1" w14:textId="77777777" w:rsidR="004354B6" w:rsidRDefault="004354B6">
      <w:pPr>
        <w:spacing w:line="360" w:lineRule="auto"/>
        <w:jc w:val="both"/>
        <w:rPr>
          <w:rFonts w:ascii="Book Antiqua" w:eastAsia="Book Antiqua" w:hAnsi="Book Antiqua" w:cs="Book Antiqua"/>
          <w:b/>
          <w:caps/>
          <w:color w:val="000000"/>
          <w:u w:val="single"/>
        </w:rPr>
      </w:pPr>
    </w:p>
    <w:p w14:paraId="34857F8D" w14:textId="77777777" w:rsidR="004354B6" w:rsidRDefault="00D456F1">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007B07AA"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Both ICCEUS and esophagogastroduod</w:t>
      </w:r>
      <w:r>
        <w:rPr>
          <w:rFonts w:ascii="Book Antiqua" w:eastAsia="Book Antiqua" w:hAnsi="Book Antiqua" w:cs="Book Antiqua"/>
          <w:color w:val="000000"/>
        </w:rPr>
        <w:t xml:space="preserve">enoscopy indicated </w:t>
      </w:r>
      <w:r>
        <w:rPr>
          <w:rFonts w:ascii="Book Antiqua" w:eastAsia="Book Antiqua" w:hAnsi="Book Antiqua" w:cs="Book Antiqua"/>
          <w:color w:val="000000"/>
          <w:shd w:val="clear" w:color="auto" w:fill="FFFFFF"/>
        </w:rPr>
        <w:t xml:space="preserve">a </w:t>
      </w:r>
      <w:r>
        <w:rPr>
          <w:rStyle w:val="tran"/>
          <w:rFonts w:ascii="Book Antiqua" w:eastAsia="Book Antiqua" w:hAnsi="Book Antiqua" w:cs="Book Antiqua"/>
          <w:color w:val="000000"/>
          <w:shd w:val="clear" w:color="auto" w:fill="FFFFFF"/>
        </w:rPr>
        <w:t>diagnosis</w:t>
      </w:r>
      <w:r>
        <w:rPr>
          <w:rFonts w:ascii="Book Antiqua" w:eastAsia="Book Antiqua" w:hAnsi="Book Antiqua" w:cs="Book Antiqua"/>
          <w:color w:val="000000"/>
          <w:shd w:val="clear" w:color="auto" w:fill="FFFFFF"/>
        </w:rPr>
        <w:t xml:space="preserve"> of duodenal bulbar perforation.</w:t>
      </w:r>
    </w:p>
    <w:p w14:paraId="0AE1A428" w14:textId="77777777" w:rsidR="004354B6" w:rsidRDefault="004354B6">
      <w:pPr>
        <w:spacing w:line="360" w:lineRule="auto"/>
        <w:jc w:val="both"/>
        <w:rPr>
          <w:rFonts w:ascii="Book Antiqua" w:hAnsi="Book Antiqua"/>
        </w:rPr>
      </w:pPr>
    </w:p>
    <w:p w14:paraId="0D634A22" w14:textId="77777777" w:rsidR="004354B6" w:rsidRDefault="00D456F1">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351FB0CA"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The patient received another 2 wk of antibiotic therapy, drainage of the subphrenic abscess, and jejunum enteral nutrition. The perforation was repaired by surgery. Intervention adhe</w:t>
      </w:r>
      <w:r>
        <w:rPr>
          <w:rFonts w:ascii="Book Antiqua" w:eastAsia="Book Antiqua" w:hAnsi="Book Antiqua" w:cs="Book Antiqua"/>
          <w:color w:val="000000"/>
        </w:rPr>
        <w:t xml:space="preserve">rence of the patient was good according to daily medical records. </w:t>
      </w:r>
    </w:p>
    <w:p w14:paraId="1BCDFA95" w14:textId="77777777" w:rsidR="004354B6" w:rsidRDefault="004354B6">
      <w:pPr>
        <w:spacing w:line="360" w:lineRule="auto"/>
        <w:jc w:val="both"/>
        <w:rPr>
          <w:rFonts w:ascii="Book Antiqua" w:hAnsi="Book Antiqua"/>
        </w:rPr>
      </w:pPr>
    </w:p>
    <w:p w14:paraId="4812E302" w14:textId="77777777" w:rsidR="004354B6" w:rsidRDefault="00D456F1">
      <w:pPr>
        <w:spacing w:line="360" w:lineRule="auto"/>
        <w:jc w:val="both"/>
        <w:rPr>
          <w:rFonts w:ascii="Book Antiqua" w:hAnsi="Book Antiqua"/>
        </w:rPr>
      </w:pPr>
      <w:r>
        <w:rPr>
          <w:rFonts w:ascii="Book Antiqua" w:eastAsia="Book Antiqua" w:hAnsi="Book Antiqua" w:cs="Book Antiqua"/>
          <w:b/>
          <w:caps/>
          <w:color w:val="000000"/>
          <w:u w:val="single"/>
        </w:rPr>
        <w:lastRenderedPageBreak/>
        <w:t>OUTCOME AND FOLLOW-UP</w:t>
      </w:r>
    </w:p>
    <w:p w14:paraId="179BA0C1"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No adverse or unanticipated events were recorded during the in-hospital days.</w:t>
      </w:r>
    </w:p>
    <w:p w14:paraId="4872BFD0" w14:textId="77777777" w:rsidR="004354B6" w:rsidRDefault="004354B6">
      <w:pPr>
        <w:spacing w:line="360" w:lineRule="auto"/>
        <w:jc w:val="both"/>
        <w:rPr>
          <w:rFonts w:ascii="Book Antiqua" w:hAnsi="Book Antiqua"/>
        </w:rPr>
      </w:pPr>
    </w:p>
    <w:p w14:paraId="75357523" w14:textId="77777777" w:rsidR="004354B6" w:rsidRDefault="00D456F1">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EDBB31B"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 xml:space="preserve">CEUS includes intravenous or intracavitary administration of </w:t>
      </w:r>
      <w:r>
        <w:rPr>
          <w:rFonts w:ascii="Book Antiqua" w:eastAsia="Book Antiqua" w:hAnsi="Book Antiqua" w:cs="Book Antiqua"/>
          <w:color w:val="000000"/>
        </w:rPr>
        <w:t>ultrasound contrast agents. IVCEUS helps characterize the enhancement pattern of the focal lesion itself. ICCEUS allows identification of the needle or catheter position, delineation of any cavity or duct, and improved tracking of a fistula. Reported detec</w:t>
      </w:r>
      <w:r>
        <w:rPr>
          <w:rFonts w:ascii="Book Antiqua" w:eastAsia="Book Antiqua" w:hAnsi="Book Antiqua" w:cs="Book Antiqua"/>
          <w:color w:val="000000"/>
        </w:rPr>
        <w:t>tion and classification of fistulas by ICCEUS include vesico-intestinal fistulas, anal fistulas, and rectovaginal fistulas</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this case, the patient had a history of laparoscopic repair of gastroduodenal perforation 6 </w:t>
      </w:r>
      <w:r>
        <w:rPr>
          <w:rFonts w:ascii="Book Antiqua" w:eastAsia="宋体" w:hAnsi="Book Antiqua" w:cs="Book Antiqua" w:hint="eastAsia"/>
          <w:color w:val="000000"/>
          <w:lang w:eastAsia="zh-CN"/>
        </w:rPr>
        <w:t>mo</w:t>
      </w:r>
      <w:r>
        <w:rPr>
          <w:rFonts w:ascii="Book Antiqua" w:eastAsia="Book Antiqua" w:hAnsi="Book Antiqua" w:cs="Book Antiqua"/>
          <w:color w:val="000000"/>
        </w:rPr>
        <w:t xml:space="preserve"> prior. Recurrent gastroduodenal</w:t>
      </w:r>
      <w:r>
        <w:rPr>
          <w:rFonts w:ascii="Book Antiqua" w:eastAsia="Book Antiqua" w:hAnsi="Book Antiqua" w:cs="Book Antiqua"/>
          <w:color w:val="000000"/>
        </w:rPr>
        <w:t xml:space="preserve"> perforation caused a right subphrenic abscess </w:t>
      </w:r>
      <w:r>
        <w:rPr>
          <w:rFonts w:ascii="Book Antiqua" w:eastAsia="Book Antiqua" w:hAnsi="Book Antiqua" w:cs="Book Antiqua"/>
          <w:i/>
          <w:iCs/>
          <w:color w:val="000000"/>
        </w:rPr>
        <w:t>via</w:t>
      </w:r>
      <w:r>
        <w:rPr>
          <w:rFonts w:ascii="Book Antiqua" w:eastAsia="Book Antiqua" w:hAnsi="Book Antiqua" w:cs="Book Antiqua"/>
          <w:color w:val="000000"/>
        </w:rPr>
        <w:t xml:space="preserve"> a fistula, which has seldom been reported through literature review</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This type of fistula is characterized by a large volume of digestive fluid leakage, including gastric and intestinal fluids, </w:t>
      </w:r>
      <w:r>
        <w:rPr>
          <w:rFonts w:ascii="Book Antiqua" w:eastAsia="Book Antiqua" w:hAnsi="Book Antiqua" w:cs="Book Antiqua"/>
          <w:color w:val="000000"/>
        </w:rPr>
        <w:t>which are relatively corrosive and may lead to complicated intra-abdominal infection</w:t>
      </w:r>
      <w:r>
        <w:rPr>
          <w:rFonts w:ascii="Book Antiqua" w:eastAsia="Book Antiqua" w:hAnsi="Book Antiqua" w:cs="Book Antiqua"/>
          <w:color w:val="000000"/>
          <w:vertAlign w:val="superscript"/>
        </w:rPr>
        <w:t>[9]</w:t>
      </w:r>
      <w:r>
        <w:rPr>
          <w:rFonts w:ascii="Book Antiqua" w:eastAsia="Book Antiqua" w:hAnsi="Book Antiqua" w:cs="Book Antiqua"/>
          <w:color w:val="000000"/>
        </w:rPr>
        <w:t>. It was noted by the ultrasound doctor that the relatively large drainage volume (100-200 mL each day) mismatched the relatively small and unchanged size of the abscess</w:t>
      </w:r>
      <w:r>
        <w:rPr>
          <w:rFonts w:ascii="Book Antiqua" w:eastAsia="Book Antiqua" w:hAnsi="Book Antiqua" w:cs="Book Antiqua"/>
          <w:color w:val="000000"/>
        </w:rPr>
        <w:t xml:space="preserve"> based on the findings of two-time IVCEUS. Therefore, ICCEUS was proposed, and a fistula between the subphrenic abscess and upper gastrointestinal tract was diagnosed by ICCEUS, which illuminated the way for further diagnosis and treatment. According to a </w:t>
      </w:r>
      <w:r>
        <w:rPr>
          <w:rFonts w:ascii="Book Antiqua" w:eastAsia="Book Antiqua" w:hAnsi="Book Antiqua" w:cs="Book Antiqua"/>
          <w:color w:val="000000"/>
        </w:rPr>
        <w:t>previous study</w:t>
      </w:r>
      <w:r>
        <w:rPr>
          <w:rFonts w:ascii="Book Antiqua" w:eastAsia="Book Antiqua" w:hAnsi="Book Antiqua" w:cs="Book Antiqua"/>
          <w:color w:val="000000"/>
          <w:vertAlign w:val="superscript"/>
        </w:rPr>
        <w:t>[10]</w:t>
      </w:r>
      <w:r>
        <w:rPr>
          <w:rFonts w:ascii="Book Antiqua" w:eastAsia="Book Antiqua" w:hAnsi="Book Antiqua" w:cs="Book Antiqua"/>
          <w:color w:val="000000"/>
        </w:rPr>
        <w:t>, the sensitivity, specificity, and accuracy of the diagnosis of gastrointestinal fistulas by ICCEUS were 72.7%, 95.0%, and 83.3%, respectively. It can improve the ability to diagnose post-surgical gastrointestinal fistulas as a novel tec</w:t>
      </w:r>
      <w:r>
        <w:rPr>
          <w:rFonts w:ascii="Book Antiqua" w:eastAsia="Book Antiqua" w:hAnsi="Book Antiqua" w:cs="Book Antiqua"/>
          <w:color w:val="000000"/>
        </w:rPr>
        <w:t>hnique and may also play an important role in interventional treatment and follow-up. The patient appreciated the help of CEUS, and the subsequent corresponding treatment was effective from his perspective.</w:t>
      </w:r>
    </w:p>
    <w:p w14:paraId="6D72E228" w14:textId="77777777" w:rsidR="004354B6" w:rsidRDefault="00D456F1">
      <w:pPr>
        <w:spacing w:line="360" w:lineRule="auto"/>
        <w:ind w:firstLineChars="100" w:firstLine="240"/>
        <w:jc w:val="both"/>
        <w:rPr>
          <w:rFonts w:ascii="Book Antiqua" w:hAnsi="Book Antiqua"/>
        </w:rPr>
      </w:pPr>
      <w:r>
        <w:rPr>
          <w:rFonts w:ascii="Book Antiqua" w:eastAsia="Book Antiqua" w:hAnsi="Book Antiqua" w:cs="Book Antiqua"/>
          <w:color w:val="000000"/>
        </w:rPr>
        <w:t>However, ultrasound has its own pitfalls. It is s</w:t>
      </w:r>
      <w:r>
        <w:rPr>
          <w:rFonts w:ascii="Book Antiqua" w:eastAsia="Book Antiqua" w:hAnsi="Book Antiqua" w:cs="Book Antiqua"/>
          <w:color w:val="000000"/>
        </w:rPr>
        <w:t xml:space="preserve">trongly operator-dependent and not suitable for obese patients or those with subcutaneous emphysema. Although the accuracy in detecting the perforation site between CT and CEUS has not been compared, </w:t>
      </w:r>
      <w:r>
        <w:rPr>
          <w:rFonts w:ascii="Book Antiqua" w:eastAsia="Book Antiqua" w:hAnsi="Book Antiqua" w:cs="Book Antiqua"/>
          <w:color w:val="000000"/>
        </w:rPr>
        <w:lastRenderedPageBreak/>
        <w:t>ultrasound may be particularly useful in cases where the</w:t>
      </w:r>
      <w:r>
        <w:rPr>
          <w:rFonts w:ascii="Book Antiqua" w:eastAsia="Book Antiqua" w:hAnsi="Book Antiqua" w:cs="Book Antiqua"/>
          <w:color w:val="000000"/>
        </w:rPr>
        <w:t xml:space="preserve"> radiation burden needs to be limited, notably in children and pregnant women.</w:t>
      </w:r>
    </w:p>
    <w:p w14:paraId="6B5B0014" w14:textId="77777777" w:rsidR="004354B6" w:rsidRDefault="004354B6">
      <w:pPr>
        <w:spacing w:line="360" w:lineRule="auto"/>
        <w:jc w:val="both"/>
        <w:rPr>
          <w:rFonts w:ascii="Book Antiqua" w:hAnsi="Book Antiqua"/>
        </w:rPr>
      </w:pPr>
    </w:p>
    <w:p w14:paraId="1D1F00AB" w14:textId="77777777" w:rsidR="004354B6" w:rsidRDefault="00D456F1">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9696E45"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In summary, CEUS may be used as a problem-solving tool for the diagnosis of gastrointestinal perforation complicated by fistula and/or abscess formation due to its l</w:t>
      </w:r>
      <w:r>
        <w:rPr>
          <w:rFonts w:ascii="Book Antiqua" w:eastAsia="Book Antiqua" w:hAnsi="Book Antiqua" w:cs="Book Antiqua"/>
          <w:color w:val="000000"/>
        </w:rPr>
        <w:t>ack of radiation, capability for real-time imaging of various planes, and availability at the bedside.</w:t>
      </w:r>
    </w:p>
    <w:p w14:paraId="6CB83836" w14:textId="77777777" w:rsidR="004354B6" w:rsidRDefault="004354B6">
      <w:pPr>
        <w:spacing w:line="360" w:lineRule="auto"/>
        <w:jc w:val="both"/>
        <w:rPr>
          <w:rFonts w:ascii="Book Antiqua" w:hAnsi="Book Antiqua"/>
        </w:rPr>
      </w:pPr>
    </w:p>
    <w:p w14:paraId="72516613" w14:textId="77777777" w:rsidR="004354B6" w:rsidRDefault="00D456F1">
      <w:pPr>
        <w:spacing w:line="360" w:lineRule="auto"/>
        <w:jc w:val="both"/>
        <w:rPr>
          <w:rFonts w:ascii="Book Antiqua" w:hAnsi="Book Antiqua"/>
        </w:rPr>
      </w:pPr>
      <w:r>
        <w:rPr>
          <w:rFonts w:ascii="Book Antiqua" w:eastAsia="Book Antiqua" w:hAnsi="Book Antiqua" w:cs="Book Antiqua"/>
          <w:b/>
          <w:color w:val="000000"/>
        </w:rPr>
        <w:t>REFERENCES</w:t>
      </w:r>
    </w:p>
    <w:p w14:paraId="37C5EDD9" w14:textId="77777777" w:rsidR="004354B6" w:rsidRDefault="00D456F1">
      <w:pPr>
        <w:spacing w:line="360" w:lineRule="auto"/>
        <w:jc w:val="both"/>
        <w:rPr>
          <w:rFonts w:ascii="Book Antiqua" w:hAnsi="Book Antiqua"/>
        </w:rPr>
      </w:pPr>
      <w:bookmarkStart w:id="3" w:name="OLE_LINK4"/>
      <w:r>
        <w:rPr>
          <w:rFonts w:ascii="Book Antiqua" w:eastAsia="Book Antiqua" w:hAnsi="Book Antiqua" w:cs="Book Antiqua"/>
          <w:color w:val="000000"/>
        </w:rPr>
        <w:t xml:space="preserve">1 </w:t>
      </w:r>
      <w:r>
        <w:rPr>
          <w:rFonts w:ascii="Book Antiqua" w:eastAsia="Book Antiqua" w:hAnsi="Book Antiqua" w:cs="Book Antiqua"/>
          <w:b/>
          <w:bCs/>
          <w:color w:val="000000"/>
        </w:rPr>
        <w:t>Weledji EP</w:t>
      </w:r>
      <w:r>
        <w:rPr>
          <w:rFonts w:ascii="Book Antiqua" w:eastAsia="Book Antiqua" w:hAnsi="Book Antiqua" w:cs="Book Antiqua"/>
          <w:color w:val="000000"/>
        </w:rPr>
        <w:t xml:space="preserve">. An Overview of Gastroduodenal Perforation. </w:t>
      </w:r>
      <w:r>
        <w:rPr>
          <w:rFonts w:ascii="Book Antiqua" w:eastAsia="Book Antiqua" w:hAnsi="Book Antiqua" w:cs="Book Antiqua"/>
          <w:i/>
          <w:iCs/>
          <w:color w:val="000000"/>
        </w:rPr>
        <w:t>Front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573901 [PMID: 33240923 DOI: 10.3389/fsurg.2020.573901]</w:t>
      </w:r>
    </w:p>
    <w:p w14:paraId="3F427CEB"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Borofsk</w:t>
      </w:r>
      <w:r>
        <w:rPr>
          <w:rFonts w:ascii="Book Antiqua" w:eastAsia="Book Antiqua" w:hAnsi="Book Antiqua" w:cs="Book Antiqua"/>
          <w:b/>
          <w:bCs/>
          <w:color w:val="000000"/>
        </w:rPr>
        <w:t>y S</w:t>
      </w:r>
      <w:r>
        <w:rPr>
          <w:rFonts w:ascii="Book Antiqua" w:eastAsia="Book Antiqua" w:hAnsi="Book Antiqua" w:cs="Book Antiqua"/>
          <w:color w:val="000000"/>
        </w:rPr>
        <w:t xml:space="preserve">, Taffel M, Khati N, Zeman R, Hill M. The emergency room diagnosis of gastrointestinal tract perforation: the role of CT. </w:t>
      </w:r>
      <w:r>
        <w:rPr>
          <w:rFonts w:ascii="Book Antiqua" w:eastAsia="Book Antiqua" w:hAnsi="Book Antiqua" w:cs="Book Antiqua"/>
          <w:i/>
          <w:iCs/>
          <w:color w:val="000000"/>
        </w:rPr>
        <w:t>Emerg Radiol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315-327 [PMID: 25417073 DOI: 10.1007/s10140-014-1283-4]</w:t>
      </w:r>
    </w:p>
    <w:p w14:paraId="74BF0A1A"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Toprak H</w:t>
      </w:r>
      <w:r>
        <w:rPr>
          <w:rFonts w:ascii="Book Antiqua" w:eastAsia="Book Antiqua" w:hAnsi="Book Antiqua" w:cs="Book Antiqua"/>
          <w:color w:val="000000"/>
        </w:rPr>
        <w:t>, Yilmaz TF, Yurtsever I, Sharifov R, Gült</w:t>
      </w:r>
      <w:r>
        <w:rPr>
          <w:rFonts w:ascii="Book Antiqua" w:eastAsia="Book Antiqua" w:hAnsi="Book Antiqua" w:cs="Book Antiqua"/>
          <w:color w:val="000000"/>
        </w:rPr>
        <w:t xml:space="preserve">ekin MA, Yiğman S, Yildiz Ş. Multidetector CT findings in gastrointestinal tract perforation that can help prediction of perforation site accurately. </w:t>
      </w:r>
      <w:r>
        <w:rPr>
          <w:rFonts w:ascii="Book Antiqua" w:eastAsia="Book Antiqua" w:hAnsi="Book Antiqua" w:cs="Book Antiqua"/>
          <w:i/>
          <w:iCs/>
          <w:color w:val="000000"/>
        </w:rPr>
        <w:t>Clin Radiol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74</w:t>
      </w:r>
      <w:r>
        <w:rPr>
          <w:rFonts w:ascii="Book Antiqua" w:eastAsia="Book Antiqua" w:hAnsi="Book Antiqua" w:cs="Book Antiqua"/>
          <w:color w:val="000000"/>
        </w:rPr>
        <w:t>: 736.e1-736.e7 [PMID: 31303326 DOI: 10.1016/j.crad.2019.06.005]</w:t>
      </w:r>
    </w:p>
    <w:p w14:paraId="5FF37344"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Shin D</w:t>
      </w:r>
      <w:r>
        <w:rPr>
          <w:rFonts w:ascii="Book Antiqua" w:eastAsia="Book Antiqua" w:hAnsi="Book Antiqua" w:cs="Book Antiqua"/>
          <w:color w:val="000000"/>
        </w:rPr>
        <w:t>, Rahimi H, H</w:t>
      </w:r>
      <w:r>
        <w:rPr>
          <w:rFonts w:ascii="Book Antiqua" w:eastAsia="Book Antiqua" w:hAnsi="Book Antiqua" w:cs="Book Antiqua"/>
          <w:color w:val="000000"/>
        </w:rPr>
        <w:t xml:space="preserve">aroon S, Merritt A, Vemula A, Noronha A, LeBedis CA. Imaging of Gastrointestinal Tract Perforation. </w:t>
      </w:r>
      <w:r>
        <w:rPr>
          <w:rFonts w:ascii="Book Antiqua" w:eastAsia="Book Antiqua" w:hAnsi="Book Antiqua" w:cs="Book Antiqua"/>
          <w:i/>
          <w:iCs/>
          <w:color w:val="000000"/>
        </w:rPr>
        <w:t>Radiol Clin North Am</w:t>
      </w:r>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19-44 [PMID: 31731901 DOI: 10.1016/j.rcl.2019.08.004]</w:t>
      </w:r>
    </w:p>
    <w:p w14:paraId="1999E03B"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Coppolino F</w:t>
      </w:r>
      <w:r>
        <w:rPr>
          <w:rFonts w:ascii="Book Antiqua" w:eastAsia="Book Antiqua" w:hAnsi="Book Antiqua" w:cs="Book Antiqua"/>
          <w:color w:val="000000"/>
        </w:rPr>
        <w:t>, Gatta G, Di Grezia G, Reginelli A, Iacobellis F, Vallone</w:t>
      </w:r>
      <w:r>
        <w:rPr>
          <w:rFonts w:ascii="Book Antiqua" w:eastAsia="Book Antiqua" w:hAnsi="Book Antiqua" w:cs="Book Antiqua"/>
          <w:color w:val="000000"/>
        </w:rPr>
        <w:t xml:space="preserve"> G, Giganti M, Genovese E. Gastrointestinal perforation: ultrasonographic diagnosis. </w:t>
      </w:r>
      <w:r>
        <w:rPr>
          <w:rFonts w:ascii="Book Antiqua" w:eastAsia="Book Antiqua" w:hAnsi="Book Antiqua" w:cs="Book Antiqua"/>
          <w:i/>
          <w:iCs/>
          <w:color w:val="000000"/>
        </w:rPr>
        <w:t>Crit Ultrasound J</w:t>
      </w:r>
      <w:r>
        <w:rPr>
          <w:rFonts w:ascii="Book Antiqua" w:eastAsia="Book Antiqua" w:hAnsi="Book Antiqua" w:cs="Book Antiqua"/>
          <w:color w:val="000000"/>
        </w:rPr>
        <w:t xml:space="preserve"> 2013; </w:t>
      </w:r>
      <w:r>
        <w:rPr>
          <w:rFonts w:ascii="Book Antiqua" w:eastAsia="Book Antiqua" w:hAnsi="Book Antiqua" w:cs="Book Antiqua"/>
          <w:b/>
          <w:bCs/>
          <w:color w:val="000000"/>
        </w:rPr>
        <w:t>5 Suppl 1</w:t>
      </w:r>
      <w:r>
        <w:rPr>
          <w:rFonts w:ascii="Book Antiqua" w:eastAsia="Book Antiqua" w:hAnsi="Book Antiqua" w:cs="Book Antiqua"/>
          <w:color w:val="000000"/>
        </w:rPr>
        <w:t>: S4 [PMID: 23902744 DOI: 10.1186/2036-7902-5-S1-S4]</w:t>
      </w:r>
    </w:p>
    <w:p w14:paraId="3F3BF9D2"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Sidhu PS,</w:t>
      </w:r>
      <w:r>
        <w:rPr>
          <w:rFonts w:ascii="Book Antiqua" w:eastAsia="Book Antiqua" w:hAnsi="Book Antiqua" w:cs="Book Antiqua"/>
          <w:color w:val="000000"/>
        </w:rPr>
        <w:t xml:space="preserve"> Cantisani V, Dietrich CF. The EFSUMB guidelines and recommendations for t</w:t>
      </w:r>
      <w:r>
        <w:rPr>
          <w:rFonts w:ascii="Book Antiqua" w:eastAsia="Book Antiqua" w:hAnsi="Book Antiqua" w:cs="Book Antiqua"/>
          <w:color w:val="000000"/>
        </w:rPr>
        <w:t xml:space="preserve">he clinical practice of contrast-enhanced ultrasound (CEUS) in non-hepatic applications: update 2017 (long version). </w:t>
      </w:r>
      <w:r>
        <w:rPr>
          <w:rFonts w:ascii="Book Antiqua" w:eastAsia="Book Antiqua" w:hAnsi="Book Antiqua" w:cs="Book Antiqua"/>
          <w:i/>
          <w:iCs/>
          <w:color w:val="000000"/>
        </w:rPr>
        <w:t>Ultraschall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e2-e44</w:t>
      </w:r>
    </w:p>
    <w:p w14:paraId="7AEBC494"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Hanaoka Y</w:t>
      </w:r>
      <w:r>
        <w:rPr>
          <w:rFonts w:ascii="Book Antiqua" w:eastAsia="Book Antiqua" w:hAnsi="Book Antiqua" w:cs="Book Antiqua"/>
          <w:color w:val="000000"/>
        </w:rPr>
        <w:t xml:space="preserve">, Sugimoto D, Nakamura H, Yamashita H, Igarashi H, Ogata I. A case of left subphrenic abscess caused by gastric ulcer penetration that was successfully treated with endoscopic transgastric drainage. </w:t>
      </w:r>
      <w:r>
        <w:rPr>
          <w:rFonts w:ascii="Book Antiqua" w:eastAsia="Book Antiqua" w:hAnsi="Book Antiqua" w:cs="Book Antiqua"/>
          <w:i/>
          <w:iCs/>
          <w:color w:val="000000"/>
        </w:rPr>
        <w:t>Nihon Shokakibyo Gakkai Zasshi</w:t>
      </w:r>
      <w:r>
        <w:rPr>
          <w:rFonts w:ascii="Book Antiqua" w:eastAsia="Book Antiqua" w:hAnsi="Book Antiqua" w:cs="Book Antiqua"/>
          <w:color w:val="000000"/>
        </w:rPr>
        <w:t xml:space="preserve"> 2016; </w:t>
      </w:r>
      <w:r>
        <w:rPr>
          <w:rFonts w:ascii="Book Antiqua" w:eastAsia="Book Antiqua" w:hAnsi="Book Antiqua" w:cs="Book Antiqua"/>
          <w:b/>
          <w:bCs/>
          <w:color w:val="000000"/>
        </w:rPr>
        <w:t>113</w:t>
      </w:r>
      <w:r>
        <w:rPr>
          <w:rFonts w:ascii="Book Antiqua" w:eastAsia="Book Antiqua" w:hAnsi="Book Antiqua" w:cs="Book Antiqua"/>
          <w:color w:val="000000"/>
        </w:rPr>
        <w:t>: 2035-2041 [PMID</w:t>
      </w:r>
      <w:r>
        <w:rPr>
          <w:rFonts w:ascii="Book Antiqua" w:eastAsia="Book Antiqua" w:hAnsi="Book Antiqua" w:cs="Book Antiqua"/>
          <w:color w:val="000000"/>
        </w:rPr>
        <w:t>: 27916771 DOI: 10.11405/nisshoshi.113.2035]</w:t>
      </w:r>
    </w:p>
    <w:p w14:paraId="41E1530F"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Hamura R</w:t>
      </w:r>
      <w:r>
        <w:rPr>
          <w:rFonts w:ascii="Book Antiqua" w:eastAsia="Book Antiqua" w:hAnsi="Book Antiqua" w:cs="Book Antiqua"/>
          <w:color w:val="000000"/>
        </w:rPr>
        <w:t>, Haruki K, Kumagai Y, Shiba H, Wakiyama S, Yanaga K. Subphrenic abscess due to Clostridium perfringens after hepatic resection for hepatocellular carcinoma following emphysematous cholecystitis: Repor</w:t>
      </w:r>
      <w:r>
        <w:rPr>
          <w:rFonts w:ascii="Book Antiqua" w:eastAsia="Book Antiqua" w:hAnsi="Book Antiqua" w:cs="Book Antiqua"/>
          <w:color w:val="000000"/>
        </w:rPr>
        <w:t xml:space="preserve">t of a case.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67</w:t>
      </w:r>
      <w:r>
        <w:rPr>
          <w:rFonts w:ascii="Book Antiqua" w:eastAsia="Book Antiqua" w:hAnsi="Book Antiqua" w:cs="Book Antiqua"/>
          <w:color w:val="000000"/>
        </w:rPr>
        <w:t>: 86-90 [PMID: 32045859 DOI: 10.1016/j.ijscr.2020.01.029]</w:t>
      </w:r>
    </w:p>
    <w:p w14:paraId="7C3C3280"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Li X</w:t>
      </w:r>
      <w:r>
        <w:rPr>
          <w:rFonts w:ascii="Book Antiqua" w:eastAsia="Book Antiqua" w:hAnsi="Book Antiqua" w:cs="Book Antiqua"/>
          <w:color w:val="000000"/>
        </w:rPr>
        <w:t>, Wu X, Bai B, Yu D, Yu P, Zhao Q. [Research progress of the open abdomen in the treatment of gastrointestinal fistula with complicated intra-abdominal</w:t>
      </w:r>
      <w:r>
        <w:rPr>
          <w:rFonts w:ascii="Book Antiqua" w:eastAsia="Book Antiqua" w:hAnsi="Book Antiqua" w:cs="Book Antiqua"/>
          <w:color w:val="000000"/>
        </w:rPr>
        <w:t xml:space="preserve"> infection]. </w:t>
      </w:r>
      <w:r>
        <w:rPr>
          <w:rFonts w:ascii="Book Antiqua" w:eastAsia="Book Antiqua" w:hAnsi="Book Antiqua" w:cs="Book Antiqua"/>
          <w:i/>
          <w:iCs/>
          <w:color w:val="000000"/>
        </w:rPr>
        <w:t>Zhonghua Weichangwaike Zazhi</w:t>
      </w:r>
      <w:r>
        <w:rPr>
          <w:rFonts w:ascii="Book Antiqua" w:eastAsia="Book Antiqua" w:hAnsi="Book Antiqua" w:cs="Book Antiqua"/>
          <w:color w:val="000000"/>
        </w:rPr>
        <w:t xml:space="preserve"> 2018; </w:t>
      </w:r>
      <w:r>
        <w:rPr>
          <w:rFonts w:ascii="Book Antiqua" w:eastAsia="Book Antiqua" w:hAnsi="Book Antiqua" w:cs="Book Antiqua"/>
          <w:b/>
          <w:bCs/>
          <w:color w:val="000000"/>
        </w:rPr>
        <w:t>21</w:t>
      </w:r>
      <w:r>
        <w:rPr>
          <w:rFonts w:ascii="Book Antiqua" w:eastAsia="Book Antiqua" w:hAnsi="Book Antiqua" w:cs="Book Antiqua"/>
          <w:color w:val="000000"/>
        </w:rPr>
        <w:t>: 1446-1450 [PMID: 30588599]</w:t>
      </w:r>
    </w:p>
    <w:p w14:paraId="2C6A405A"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Xu EJ</w:t>
      </w:r>
      <w:r>
        <w:rPr>
          <w:rFonts w:ascii="Book Antiqua" w:eastAsia="Book Antiqua" w:hAnsi="Book Antiqua" w:cs="Book Antiqua"/>
          <w:color w:val="000000"/>
        </w:rPr>
        <w:t xml:space="preserve">, Zhang M, Li K, Su ZZ, Long YL, Zeng QJ, Guo HY, Zheng RQ. Intracavitary Contrast-Enhanced Ultrasound in the Management of Post-Surgical Gastrointestinal Fistulas. </w:t>
      </w:r>
      <w:r>
        <w:rPr>
          <w:rFonts w:ascii="Book Antiqua" w:eastAsia="Book Antiqua" w:hAnsi="Book Antiqua" w:cs="Book Antiqua"/>
          <w:i/>
          <w:iCs/>
          <w:color w:val="000000"/>
        </w:rPr>
        <w:t>Ultr</w:t>
      </w:r>
      <w:r>
        <w:rPr>
          <w:rFonts w:ascii="Book Antiqua" w:eastAsia="Book Antiqua" w:hAnsi="Book Antiqua" w:cs="Book Antiqua"/>
          <w:i/>
          <w:iCs/>
          <w:color w:val="000000"/>
        </w:rPr>
        <w:t>asound Med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502-507 [PMID: 29229267 DOI: 10.1016/j.ultrasmedbio.2017.10.012]</w:t>
      </w:r>
    </w:p>
    <w:bookmarkEnd w:id="3"/>
    <w:p w14:paraId="03338D3F" w14:textId="77777777" w:rsidR="004354B6" w:rsidRDefault="004354B6">
      <w:pPr>
        <w:spacing w:line="360" w:lineRule="auto"/>
        <w:jc w:val="both"/>
        <w:rPr>
          <w:rFonts w:ascii="Book Antiqua" w:hAnsi="Book Antiqua"/>
        </w:rPr>
        <w:sectPr w:rsidR="004354B6">
          <w:pgSz w:w="12240" w:h="15840"/>
          <w:pgMar w:top="1440" w:right="1440" w:bottom="1440" w:left="1440" w:header="720" w:footer="720" w:gutter="0"/>
          <w:cols w:space="720"/>
          <w:docGrid w:linePitch="360"/>
        </w:sectPr>
      </w:pPr>
    </w:p>
    <w:p w14:paraId="6BBE677A" w14:textId="77777777" w:rsidR="004354B6" w:rsidRDefault="00D456F1">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2949901" w14:textId="77777777" w:rsidR="004354B6" w:rsidRDefault="00D456F1">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for publication was obtained from the patient.</w:t>
      </w:r>
    </w:p>
    <w:p w14:paraId="19BE7223" w14:textId="77777777" w:rsidR="004354B6" w:rsidRDefault="004354B6">
      <w:pPr>
        <w:spacing w:line="360" w:lineRule="auto"/>
        <w:jc w:val="both"/>
        <w:rPr>
          <w:rFonts w:ascii="Book Antiqua" w:hAnsi="Book Antiqua"/>
        </w:rPr>
      </w:pPr>
    </w:p>
    <w:p w14:paraId="3A2D7A17" w14:textId="77777777" w:rsidR="004354B6" w:rsidRDefault="00D456F1">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w:t>
      </w:r>
      <w:r>
        <w:rPr>
          <w:rFonts w:ascii="Book Antiqua" w:eastAsia="Book Antiqua" w:hAnsi="Book Antiqua" w:cs="Book Antiqua"/>
          <w:color w:val="000000"/>
        </w:rPr>
        <w:t>clare that they have no conflicts of interest to report.</w:t>
      </w:r>
    </w:p>
    <w:p w14:paraId="7DB198DF" w14:textId="77777777" w:rsidR="004354B6" w:rsidRDefault="004354B6">
      <w:pPr>
        <w:spacing w:line="360" w:lineRule="auto"/>
        <w:jc w:val="both"/>
        <w:rPr>
          <w:rFonts w:ascii="Book Antiqua" w:hAnsi="Book Antiqua"/>
        </w:rPr>
      </w:pPr>
    </w:p>
    <w:p w14:paraId="21429F05" w14:textId="77777777" w:rsidR="004354B6" w:rsidRDefault="00D456F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3DB4DF9" w14:textId="77777777" w:rsidR="004354B6" w:rsidRDefault="004354B6">
      <w:pPr>
        <w:spacing w:line="360" w:lineRule="auto"/>
        <w:jc w:val="both"/>
        <w:rPr>
          <w:rFonts w:ascii="Book Antiqua" w:eastAsia="Book Antiqua" w:hAnsi="Book Antiqua" w:cs="Book Antiqua"/>
          <w:b/>
          <w:bCs/>
          <w:color w:val="000000"/>
        </w:rPr>
      </w:pPr>
    </w:p>
    <w:p w14:paraId="5F4B040D" w14:textId="77777777" w:rsidR="004354B6" w:rsidRDefault="00D456F1">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w:t>
      </w:r>
      <w:r>
        <w:rPr>
          <w:rFonts w:ascii="Book Antiqua" w:eastAsia="Book Antiqua" w:hAnsi="Book Antiqua" w:cs="Book Antiqua"/>
          <w:color w:val="000000"/>
        </w:rPr>
        <w:t>article is an open-access article that was selected by an in-house editor and fully peer-reviewed by external reviewers. It is distributed in accordance with the Creative Commons Attribution NonCommercial (CC BY-NC 4.0) license, which permits others to dis</w:t>
      </w:r>
      <w:r>
        <w:rPr>
          <w:rFonts w:ascii="Book Antiqua" w:eastAsia="Book Antiqua" w:hAnsi="Book Antiqua" w:cs="Book Antiqua"/>
          <w:color w:val="000000"/>
        </w:rPr>
        <w:t>tribute, remix, adapt, build upon this work non-commercially, and license their derivative works on different terms, provided the original work is properly cited and the use is non-commercial. See: http://creativecommons.org/Licenses/by-nc/4.0/</w:t>
      </w:r>
    </w:p>
    <w:p w14:paraId="5BE74235" w14:textId="77777777" w:rsidR="004354B6" w:rsidRDefault="004354B6">
      <w:pPr>
        <w:spacing w:line="360" w:lineRule="auto"/>
        <w:jc w:val="both"/>
        <w:rPr>
          <w:rFonts w:ascii="Book Antiqua" w:hAnsi="Book Antiqua"/>
        </w:rPr>
      </w:pPr>
    </w:p>
    <w:p w14:paraId="51E3E323" w14:textId="77777777" w:rsidR="004354B6" w:rsidRDefault="00D456F1">
      <w:pPr>
        <w:spacing w:line="360" w:lineRule="auto"/>
        <w:jc w:val="both"/>
        <w:rPr>
          <w:rFonts w:ascii="Book Antiqua" w:hAnsi="Book Antiqua"/>
        </w:rPr>
      </w:pPr>
      <w:r>
        <w:rPr>
          <w:rFonts w:ascii="Book Antiqua" w:eastAsia="Book Antiqua" w:hAnsi="Book Antiqua" w:cs="Book Antiqua"/>
          <w:b/>
          <w:color w:val="000000"/>
        </w:rPr>
        <w:t>Manuscript</w:t>
      </w:r>
      <w:r>
        <w:rPr>
          <w:rFonts w:ascii="Book Antiqua" w:eastAsia="Book Antiqua" w:hAnsi="Book Antiqua" w:cs="Book Antiqua"/>
          <w:b/>
          <w:color w:val="000000"/>
        </w:rPr>
        <w:t xml:space="preserve"> source: </w:t>
      </w:r>
      <w:r>
        <w:rPr>
          <w:rFonts w:ascii="Book Antiqua" w:eastAsia="Book Antiqua" w:hAnsi="Book Antiqua" w:cs="Book Antiqua"/>
          <w:color w:val="000000"/>
        </w:rPr>
        <w:t>Unsolicited manuscript</w:t>
      </w:r>
    </w:p>
    <w:p w14:paraId="2E8DA788" w14:textId="77777777" w:rsidR="004354B6" w:rsidRDefault="004354B6">
      <w:pPr>
        <w:spacing w:line="360" w:lineRule="auto"/>
        <w:jc w:val="both"/>
        <w:rPr>
          <w:rFonts w:ascii="Book Antiqua" w:hAnsi="Book Antiqua"/>
        </w:rPr>
      </w:pPr>
    </w:p>
    <w:p w14:paraId="0B60E2E1" w14:textId="77777777" w:rsidR="004354B6" w:rsidRDefault="00D456F1">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30, 2021</w:t>
      </w:r>
    </w:p>
    <w:p w14:paraId="1EEC7661" w14:textId="77777777" w:rsidR="004354B6" w:rsidRDefault="00D456F1">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27, 2021</w:t>
      </w:r>
    </w:p>
    <w:p w14:paraId="70863A42" w14:textId="77777777" w:rsidR="004354B6" w:rsidRDefault="00D456F1">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宋体" w:hAnsi="Book Antiqua" w:hint="eastAsia"/>
          <w:color w:val="000000" w:themeColor="text1"/>
        </w:rPr>
        <w:t>Au</w:t>
      </w:r>
      <w:r>
        <w:rPr>
          <w:rFonts w:ascii="Book Antiqua" w:eastAsia="宋体" w:hAnsi="Book Antiqua"/>
          <w:color w:val="000000" w:themeColor="text1"/>
        </w:rPr>
        <w:t>gust 16, 2021</w:t>
      </w:r>
    </w:p>
    <w:p w14:paraId="6875D9B4" w14:textId="77777777" w:rsidR="004354B6" w:rsidRDefault="004354B6">
      <w:pPr>
        <w:spacing w:line="360" w:lineRule="auto"/>
        <w:jc w:val="both"/>
        <w:rPr>
          <w:rFonts w:ascii="Book Antiqua" w:hAnsi="Book Antiqua"/>
        </w:rPr>
      </w:pPr>
    </w:p>
    <w:p w14:paraId="0C2DC59B" w14:textId="77777777" w:rsidR="004354B6" w:rsidRDefault="00D456F1">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53027E69" w14:textId="77777777" w:rsidR="004354B6" w:rsidRDefault="00D456F1">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1B85757" w14:textId="77777777" w:rsidR="004354B6" w:rsidRDefault="00D456F1">
      <w:pPr>
        <w:spacing w:line="360" w:lineRule="auto"/>
        <w:jc w:val="both"/>
        <w:rPr>
          <w:rFonts w:ascii="Book Antiqua" w:hAnsi="Book Antiqua"/>
        </w:rPr>
      </w:pPr>
      <w:r>
        <w:rPr>
          <w:rFonts w:ascii="Book Antiqua" w:eastAsia="Book Antiqua" w:hAnsi="Book Antiqua" w:cs="Book Antiqua"/>
          <w:b/>
          <w:color w:val="000000"/>
        </w:rPr>
        <w:t xml:space="preserve">Peer-review report’s scientific </w:t>
      </w:r>
      <w:r>
        <w:rPr>
          <w:rFonts w:ascii="Book Antiqua" w:eastAsia="Book Antiqua" w:hAnsi="Book Antiqua" w:cs="Book Antiqua"/>
          <w:b/>
          <w:color w:val="000000"/>
        </w:rPr>
        <w:t>quality classification</w:t>
      </w:r>
    </w:p>
    <w:p w14:paraId="37FB6C3D"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Grade A (Excellent): 0</w:t>
      </w:r>
    </w:p>
    <w:p w14:paraId="43742C83"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Grade B (Very good): 0</w:t>
      </w:r>
    </w:p>
    <w:p w14:paraId="5ADC7AF3"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Grade C (Good): C</w:t>
      </w:r>
    </w:p>
    <w:p w14:paraId="5765A28E"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lastRenderedPageBreak/>
        <w:t>Grade D (Fair): D, D</w:t>
      </w:r>
    </w:p>
    <w:p w14:paraId="7119F919" w14:textId="77777777" w:rsidR="004354B6" w:rsidRDefault="00D456F1">
      <w:pPr>
        <w:spacing w:line="360" w:lineRule="auto"/>
        <w:jc w:val="both"/>
        <w:rPr>
          <w:rFonts w:ascii="Book Antiqua" w:hAnsi="Book Antiqua"/>
        </w:rPr>
      </w:pPr>
      <w:r>
        <w:rPr>
          <w:rFonts w:ascii="Book Antiqua" w:eastAsia="Book Antiqua" w:hAnsi="Book Antiqua" w:cs="Book Antiqua"/>
          <w:color w:val="000000"/>
        </w:rPr>
        <w:t>Grade E (Poor): 0</w:t>
      </w:r>
    </w:p>
    <w:p w14:paraId="0C763A48" w14:textId="77777777" w:rsidR="004354B6" w:rsidRDefault="004354B6">
      <w:pPr>
        <w:spacing w:line="360" w:lineRule="auto"/>
        <w:jc w:val="both"/>
        <w:rPr>
          <w:rFonts w:ascii="Book Antiqua" w:hAnsi="Book Antiqua"/>
        </w:rPr>
      </w:pPr>
    </w:p>
    <w:p w14:paraId="2EA69BEC" w14:textId="77777777" w:rsidR="004354B6" w:rsidRDefault="00D456F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Maglangit SACA, Priyadarshi RN</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themeColor="text1"/>
          <w:lang w:eastAsia="zh-CN"/>
        </w:rPr>
        <w:t>Guo X</w:t>
      </w:r>
    </w:p>
    <w:p w14:paraId="48B87650" w14:textId="77777777" w:rsidR="004354B6" w:rsidRDefault="004354B6">
      <w:pPr>
        <w:spacing w:line="360" w:lineRule="auto"/>
        <w:jc w:val="both"/>
        <w:rPr>
          <w:rFonts w:ascii="Book Antiqua" w:hAnsi="Book Antiqua"/>
        </w:rPr>
      </w:pPr>
    </w:p>
    <w:p w14:paraId="679FC323" w14:textId="77777777" w:rsidR="004354B6" w:rsidRDefault="004354B6">
      <w:pPr>
        <w:spacing w:line="360" w:lineRule="auto"/>
        <w:jc w:val="both"/>
        <w:rPr>
          <w:rFonts w:ascii="Book Antiqua" w:hAnsi="Book Antiqua"/>
        </w:rPr>
        <w:sectPr w:rsidR="004354B6">
          <w:pgSz w:w="12240" w:h="15840"/>
          <w:pgMar w:top="1440" w:right="1440" w:bottom="1440" w:left="1440" w:header="720" w:footer="720" w:gutter="0"/>
          <w:cols w:space="720"/>
          <w:docGrid w:linePitch="360"/>
        </w:sectPr>
      </w:pPr>
    </w:p>
    <w:p w14:paraId="770DFB04" w14:textId="77777777" w:rsidR="004354B6" w:rsidRDefault="00D456F1">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6E63B878" w14:textId="77777777" w:rsidR="004354B6" w:rsidRDefault="00D456F1">
      <w:pPr>
        <w:spacing w:line="360" w:lineRule="auto"/>
        <w:jc w:val="both"/>
        <w:rPr>
          <w:rFonts w:ascii="Book Antiqua" w:eastAsia="Book Antiqua" w:hAnsi="Book Antiqua" w:cs="Book Antiqua"/>
          <w:b/>
          <w:bCs/>
          <w:color w:val="000000"/>
        </w:rPr>
      </w:pPr>
      <w:r>
        <w:rPr>
          <w:noProof/>
          <w:lang w:eastAsia="zh-CN"/>
        </w:rPr>
        <w:drawing>
          <wp:inline distT="0" distB="0" distL="0" distR="0" wp14:anchorId="0FDE5C45" wp14:editId="6086812E">
            <wp:extent cx="3022600" cy="22110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t="8549"/>
                    <a:stretch>
                      <a:fillRect/>
                    </a:stretch>
                  </pic:blipFill>
                  <pic:spPr>
                    <a:xfrm>
                      <a:off x="0" y="0"/>
                      <a:ext cx="3025947" cy="2213407"/>
                    </a:xfrm>
                    <a:prstGeom prst="rect">
                      <a:avLst/>
                    </a:prstGeom>
                    <a:ln>
                      <a:noFill/>
                    </a:ln>
                  </pic:spPr>
                </pic:pic>
              </a:graphicData>
            </a:graphic>
          </wp:inline>
        </w:drawing>
      </w:r>
    </w:p>
    <w:p w14:paraId="02A8C2B7" w14:textId="77777777" w:rsidR="004354B6" w:rsidRDefault="00D456F1">
      <w:pPr>
        <w:spacing w:line="360" w:lineRule="auto"/>
        <w:jc w:val="both"/>
        <w:rPr>
          <w:rFonts w:ascii="Book Antiqua" w:hAnsi="Book Antiqua"/>
        </w:rPr>
      </w:pPr>
      <w:r>
        <w:rPr>
          <w:rFonts w:ascii="Book Antiqua" w:eastAsia="Book Antiqua" w:hAnsi="Book Antiqua" w:cs="Book Antiqua"/>
          <w:b/>
          <w:bCs/>
          <w:color w:val="000000"/>
        </w:rPr>
        <w:t xml:space="preserve">Figure 1 B-mode ultrasound displayed a right subphrenic mass with heterogeneous echo. </w:t>
      </w:r>
      <w:r>
        <w:rPr>
          <w:rFonts w:ascii="Book Antiqua" w:eastAsia="Book Antiqua" w:hAnsi="Book Antiqua" w:cs="Book Antiqua"/>
          <w:color w:val="000000"/>
        </w:rPr>
        <w:t>L: Liver; A: Abscess.</w:t>
      </w:r>
    </w:p>
    <w:p w14:paraId="1F42A858" w14:textId="77777777" w:rsidR="004354B6" w:rsidRDefault="004354B6">
      <w:pPr>
        <w:spacing w:line="360" w:lineRule="auto"/>
        <w:jc w:val="both"/>
        <w:rPr>
          <w:rFonts w:ascii="Book Antiqua" w:eastAsia="Book Antiqua" w:hAnsi="Book Antiqua" w:cs="Book Antiqua"/>
          <w:b/>
          <w:bCs/>
          <w:color w:val="000000"/>
        </w:rPr>
        <w:sectPr w:rsidR="004354B6">
          <w:pgSz w:w="12240" w:h="15840"/>
          <w:pgMar w:top="1440" w:right="1440" w:bottom="1440" w:left="1440" w:header="720" w:footer="720" w:gutter="0"/>
          <w:cols w:space="720"/>
          <w:docGrid w:linePitch="360"/>
        </w:sectPr>
      </w:pPr>
    </w:p>
    <w:p w14:paraId="5B4104D9" w14:textId="77777777" w:rsidR="004354B6" w:rsidRDefault="00D456F1">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2316B1CE" wp14:editId="38AFFB7C">
            <wp:extent cx="3248660" cy="22891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rcRect t="8418"/>
                    <a:stretch>
                      <a:fillRect/>
                    </a:stretch>
                  </pic:blipFill>
                  <pic:spPr>
                    <a:xfrm>
                      <a:off x="0" y="0"/>
                      <a:ext cx="3253134" cy="2292363"/>
                    </a:xfrm>
                    <a:prstGeom prst="rect">
                      <a:avLst/>
                    </a:prstGeom>
                    <a:ln>
                      <a:noFill/>
                    </a:ln>
                  </pic:spPr>
                </pic:pic>
              </a:graphicData>
            </a:graphic>
          </wp:inline>
        </w:drawing>
      </w:r>
    </w:p>
    <w:p w14:paraId="6863D13F" w14:textId="77777777" w:rsidR="004354B6" w:rsidRDefault="00D456F1">
      <w:pPr>
        <w:spacing w:line="360" w:lineRule="auto"/>
        <w:jc w:val="both"/>
        <w:rPr>
          <w:rFonts w:ascii="Book Antiqua" w:hAnsi="Book Antiqua"/>
        </w:rPr>
      </w:pPr>
      <w:r>
        <w:rPr>
          <w:rFonts w:ascii="Book Antiqua" w:eastAsia="Book Antiqua" w:hAnsi="Book Antiqua" w:cs="Book Antiqua"/>
          <w:b/>
          <w:bCs/>
          <w:color w:val="000000"/>
        </w:rPr>
        <w:t>Figure 2 First-time intravenous contrast-enhanced ultrasound showed that the right subphrenic mass (6.0 cm × 3.0 cm) presented a large-sca</w:t>
      </w:r>
      <w:r>
        <w:rPr>
          <w:rFonts w:ascii="Book Antiqua" w:eastAsia="Book Antiqua" w:hAnsi="Book Antiqua" w:cs="Book Antiqua"/>
          <w:b/>
          <w:bCs/>
          <w:color w:val="000000"/>
        </w:rPr>
        <w:t>le non-enhancement area with slightly enhanced septa inside.</w:t>
      </w:r>
    </w:p>
    <w:p w14:paraId="585F449D" w14:textId="77777777" w:rsidR="004354B6" w:rsidRDefault="004354B6">
      <w:pPr>
        <w:spacing w:line="360" w:lineRule="auto"/>
        <w:jc w:val="both"/>
        <w:rPr>
          <w:rFonts w:ascii="Book Antiqua" w:eastAsia="Book Antiqua" w:hAnsi="Book Antiqua" w:cs="Book Antiqua"/>
          <w:b/>
          <w:bCs/>
          <w:color w:val="000000"/>
        </w:rPr>
        <w:sectPr w:rsidR="004354B6">
          <w:pgSz w:w="12240" w:h="15840"/>
          <w:pgMar w:top="1440" w:right="1440" w:bottom="1440" w:left="1440" w:header="720" w:footer="720" w:gutter="0"/>
          <w:cols w:space="720"/>
          <w:docGrid w:linePitch="360"/>
        </w:sectPr>
      </w:pPr>
    </w:p>
    <w:p w14:paraId="59D815FF" w14:textId="77777777" w:rsidR="004354B6" w:rsidRDefault="00D456F1">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24FA11B" wp14:editId="53E47993">
            <wp:extent cx="2731770" cy="20116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rcRect t="8346"/>
                    <a:stretch>
                      <a:fillRect/>
                    </a:stretch>
                  </pic:blipFill>
                  <pic:spPr>
                    <a:xfrm>
                      <a:off x="0" y="0"/>
                      <a:ext cx="2738945" cy="2017457"/>
                    </a:xfrm>
                    <a:prstGeom prst="rect">
                      <a:avLst/>
                    </a:prstGeom>
                    <a:ln>
                      <a:noFill/>
                    </a:ln>
                  </pic:spPr>
                </pic:pic>
              </a:graphicData>
            </a:graphic>
          </wp:inline>
        </w:drawing>
      </w:r>
    </w:p>
    <w:p w14:paraId="51D0C51B" w14:textId="77777777" w:rsidR="004354B6" w:rsidRDefault="00D456F1">
      <w:pPr>
        <w:spacing w:line="360" w:lineRule="auto"/>
        <w:jc w:val="both"/>
        <w:rPr>
          <w:rFonts w:ascii="Book Antiqua" w:hAnsi="Book Antiqua"/>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Second-time intravenous contrast-enhanced ultrasound demonstrated that the right subphrenic mass (6.0 cm × 1.7cm) showed a similar enhancement pattern to the </w:t>
      </w:r>
      <w:r>
        <w:rPr>
          <w:rFonts w:ascii="Book Antiqua" w:eastAsia="Book Antiqua" w:hAnsi="Book Antiqua" w:cs="Book Antiqua"/>
          <w:b/>
          <w:bCs/>
          <w:color w:val="000000"/>
        </w:rPr>
        <w:t>first-time contrast-enhanced ultrasound.</w:t>
      </w:r>
    </w:p>
    <w:p w14:paraId="5126851C" w14:textId="77777777" w:rsidR="004354B6" w:rsidRDefault="004354B6">
      <w:pPr>
        <w:spacing w:line="360" w:lineRule="auto"/>
        <w:jc w:val="both"/>
        <w:rPr>
          <w:rFonts w:ascii="Book Antiqua" w:eastAsia="Book Antiqua" w:hAnsi="Book Antiqua" w:cs="Book Antiqua"/>
          <w:b/>
          <w:bCs/>
          <w:color w:val="000000"/>
        </w:rPr>
        <w:sectPr w:rsidR="004354B6">
          <w:pgSz w:w="12240" w:h="15840"/>
          <w:pgMar w:top="1440" w:right="1440" w:bottom="1440" w:left="1440" w:header="720" w:footer="720" w:gutter="0"/>
          <w:cols w:space="720"/>
          <w:docGrid w:linePitch="360"/>
        </w:sectPr>
      </w:pPr>
    </w:p>
    <w:p w14:paraId="4DCD5704" w14:textId="77777777" w:rsidR="004354B6" w:rsidRDefault="00D456F1">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7F18E466" wp14:editId="78FF21C0">
            <wp:extent cx="5943600" cy="1446530"/>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446530"/>
                    </a:xfrm>
                    <a:prstGeom prst="rect">
                      <a:avLst/>
                    </a:prstGeom>
                  </pic:spPr>
                </pic:pic>
              </a:graphicData>
            </a:graphic>
          </wp:inline>
        </w:drawing>
      </w:r>
    </w:p>
    <w:p w14:paraId="5990181B" w14:textId="77777777" w:rsidR="004354B6" w:rsidRDefault="00D456F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Imaging examinations.</w:t>
      </w:r>
      <w:r>
        <w:rPr>
          <w:rFonts w:ascii="Book Antiqua" w:eastAsia="Book Antiqua" w:hAnsi="Book Antiqua" w:cs="Book Antiqua"/>
          <w:color w:val="000000"/>
        </w:rPr>
        <w:t xml:space="preserve"> A: Intracavitary contrast-enhanced ultrasound (ICCEUS) displayed the process of ultrasound contrast agent (UCA) injection through the drainage tube to the abscess at 52 s; B:</w:t>
      </w:r>
      <w:r>
        <w:rPr>
          <w:rFonts w:ascii="Book Antiqua" w:eastAsia="Book Antiqua" w:hAnsi="Book Antiqua" w:cs="Book Antiqua"/>
          <w:color w:val="000000"/>
        </w:rPr>
        <w:t xml:space="preserve"> At 65 s, ICCEUS revealed a passage connecting the right abscess and left stomach; C: At 106 s, the stomach was filled with UCA on ICCEUS.</w:t>
      </w:r>
      <w:r>
        <w:t xml:space="preserve"> </w:t>
      </w:r>
    </w:p>
    <w:p w14:paraId="07F9B3FB" w14:textId="77777777" w:rsidR="004354B6" w:rsidRDefault="00D456F1">
      <w:pPr>
        <w:spacing w:line="360" w:lineRule="auto"/>
        <w:jc w:val="both"/>
        <w:rPr>
          <w:rFonts w:ascii="Book Antiqua" w:eastAsia="Book Antiqua" w:hAnsi="Book Antiqua" w:cs="Book Antiqua"/>
          <w:color w:val="000000"/>
        </w:rPr>
        <w:sectPr w:rsidR="004354B6">
          <w:pgSz w:w="12240" w:h="15840"/>
          <w:pgMar w:top="1440" w:right="1440" w:bottom="1440" w:left="1440" w:header="720" w:footer="720" w:gutter="0"/>
          <w:cols w:space="720"/>
          <w:docGrid w:linePitch="360"/>
        </w:sectPr>
      </w:pPr>
      <w:r>
        <w:rPr>
          <w:rFonts w:ascii="Book Antiqua" w:eastAsia="Book Antiqua" w:hAnsi="Book Antiqua" w:cs="Book Antiqua"/>
          <w:color w:val="000000"/>
        </w:rPr>
        <w:t xml:space="preserve"> </w:t>
      </w:r>
    </w:p>
    <w:p w14:paraId="117A5471" w14:textId="77777777" w:rsidR="004354B6" w:rsidRDefault="00D456F1">
      <w:pPr>
        <w:spacing w:line="360" w:lineRule="auto"/>
        <w:jc w:val="both"/>
        <w:rPr>
          <w:rFonts w:ascii="Book Antiqua" w:hAnsi="Book Antiqua"/>
        </w:rPr>
      </w:pPr>
      <w:r>
        <w:rPr>
          <w:noProof/>
          <w:lang w:eastAsia="zh-CN"/>
        </w:rPr>
        <w:lastRenderedPageBreak/>
        <w:drawing>
          <wp:inline distT="0" distB="0" distL="0" distR="0" wp14:anchorId="6EBEB6F6" wp14:editId="257DF115">
            <wp:extent cx="2947035" cy="2203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947387" cy="2203902"/>
                    </a:xfrm>
                    <a:prstGeom prst="rect">
                      <a:avLst/>
                    </a:prstGeom>
                  </pic:spPr>
                </pic:pic>
              </a:graphicData>
            </a:graphic>
          </wp:inline>
        </w:drawing>
      </w:r>
    </w:p>
    <w:p w14:paraId="1D0625A1" w14:textId="340039D6" w:rsidR="00100AF5" w:rsidRDefault="00D456F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Esophagogastroduodenoscopy showed the perforation site (white arrow) located at the duodenal bulb. </w:t>
      </w:r>
    </w:p>
    <w:p w14:paraId="07B78982" w14:textId="77777777" w:rsidR="00100AF5" w:rsidRDefault="00100AF5">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722EDA3" w14:textId="77777777" w:rsidR="00100AF5" w:rsidRDefault="00100AF5" w:rsidP="00100AF5">
      <w:pPr>
        <w:jc w:val="center"/>
        <w:rPr>
          <w:rFonts w:ascii="Book Antiqua" w:hAnsi="Book Antiqua"/>
          <w:lang w:eastAsia="zh-CN"/>
        </w:rPr>
      </w:pPr>
    </w:p>
    <w:p w14:paraId="02033C8B" w14:textId="77777777" w:rsidR="00100AF5" w:rsidRDefault="00100AF5" w:rsidP="00100AF5">
      <w:pPr>
        <w:jc w:val="center"/>
        <w:rPr>
          <w:rFonts w:ascii="Book Antiqua" w:hAnsi="Book Antiqua"/>
          <w:lang w:eastAsia="zh-CN"/>
        </w:rPr>
      </w:pPr>
    </w:p>
    <w:p w14:paraId="5136480F" w14:textId="77777777" w:rsidR="00100AF5" w:rsidRDefault="00100AF5" w:rsidP="00100AF5">
      <w:pPr>
        <w:jc w:val="center"/>
        <w:rPr>
          <w:rFonts w:ascii="Book Antiqua" w:hAnsi="Book Antiqua"/>
          <w:lang w:eastAsia="zh-CN"/>
        </w:rPr>
      </w:pPr>
    </w:p>
    <w:p w14:paraId="2A773DB2" w14:textId="77777777" w:rsidR="00100AF5" w:rsidRDefault="00100AF5" w:rsidP="00100AF5">
      <w:pPr>
        <w:jc w:val="center"/>
        <w:rPr>
          <w:rFonts w:ascii="Book Antiqua" w:hAnsi="Book Antiqua"/>
          <w:lang w:eastAsia="zh-CN"/>
        </w:rPr>
      </w:pPr>
    </w:p>
    <w:p w14:paraId="3B86A2C4" w14:textId="77777777" w:rsidR="00100AF5" w:rsidRDefault="00100AF5" w:rsidP="00100AF5">
      <w:pPr>
        <w:jc w:val="center"/>
        <w:rPr>
          <w:rFonts w:ascii="Book Antiqua" w:hAnsi="Book Antiqua"/>
          <w:lang w:eastAsia="zh-CN"/>
        </w:rPr>
      </w:pPr>
    </w:p>
    <w:p w14:paraId="371F0F85" w14:textId="77777777" w:rsidR="00100AF5" w:rsidRDefault="00100AF5" w:rsidP="00100AF5">
      <w:pPr>
        <w:jc w:val="center"/>
        <w:rPr>
          <w:rFonts w:ascii="Book Antiqua" w:hAnsi="Book Antiqua"/>
          <w:lang w:eastAsia="zh-CN"/>
        </w:rPr>
      </w:pPr>
      <w:r>
        <w:rPr>
          <w:rFonts w:ascii="Book Antiqua" w:hAnsi="Book Antiqua"/>
          <w:noProof/>
          <w:lang w:eastAsia="zh-CN"/>
        </w:rPr>
        <w:drawing>
          <wp:inline distT="0" distB="0" distL="0" distR="0" wp14:anchorId="1971FEF5" wp14:editId="454ECE27">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DA344BF" w14:textId="77777777" w:rsidR="00100AF5" w:rsidRDefault="00100AF5" w:rsidP="00100AF5">
      <w:pPr>
        <w:jc w:val="center"/>
        <w:rPr>
          <w:rFonts w:ascii="Book Antiqua" w:hAnsi="Book Antiqua"/>
          <w:lang w:eastAsia="zh-CN"/>
        </w:rPr>
      </w:pPr>
    </w:p>
    <w:p w14:paraId="3B912EA6" w14:textId="77777777" w:rsidR="00100AF5" w:rsidRPr="00763D22" w:rsidRDefault="00100AF5" w:rsidP="00100AF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BB77949" w14:textId="77777777" w:rsidR="00100AF5" w:rsidRPr="00763D22" w:rsidRDefault="00100AF5" w:rsidP="00100AF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8B4BD56" w14:textId="77777777" w:rsidR="00100AF5" w:rsidRPr="00763D22" w:rsidRDefault="00100AF5" w:rsidP="00100AF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8D06196" w14:textId="77777777" w:rsidR="00100AF5" w:rsidRPr="00763D22" w:rsidRDefault="00100AF5" w:rsidP="00100AF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D3C8D0F" w14:textId="77777777" w:rsidR="00100AF5" w:rsidRPr="00763D22" w:rsidRDefault="00100AF5" w:rsidP="00100AF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6FC62EB" w14:textId="77777777" w:rsidR="00100AF5" w:rsidRPr="00763D22" w:rsidRDefault="00100AF5" w:rsidP="00100AF5">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B6BD5D8" w14:textId="77777777" w:rsidR="00100AF5" w:rsidRDefault="00100AF5" w:rsidP="00100AF5">
      <w:pPr>
        <w:jc w:val="center"/>
        <w:rPr>
          <w:rFonts w:ascii="Book Antiqua" w:hAnsi="Book Antiqua"/>
          <w:lang w:eastAsia="zh-CN"/>
        </w:rPr>
      </w:pPr>
    </w:p>
    <w:p w14:paraId="02F79EB5" w14:textId="77777777" w:rsidR="00100AF5" w:rsidRDefault="00100AF5" w:rsidP="00100AF5">
      <w:pPr>
        <w:jc w:val="center"/>
        <w:rPr>
          <w:rFonts w:ascii="Book Antiqua" w:hAnsi="Book Antiqua"/>
          <w:lang w:eastAsia="zh-CN"/>
        </w:rPr>
      </w:pPr>
    </w:p>
    <w:p w14:paraId="7090340F" w14:textId="77777777" w:rsidR="00100AF5" w:rsidRDefault="00100AF5" w:rsidP="00100AF5">
      <w:pPr>
        <w:jc w:val="center"/>
        <w:rPr>
          <w:rFonts w:ascii="Book Antiqua" w:hAnsi="Book Antiqua"/>
          <w:lang w:eastAsia="zh-CN"/>
        </w:rPr>
      </w:pPr>
    </w:p>
    <w:p w14:paraId="672A0707" w14:textId="77777777" w:rsidR="00100AF5" w:rsidRDefault="00100AF5" w:rsidP="00100AF5">
      <w:pPr>
        <w:jc w:val="center"/>
        <w:rPr>
          <w:rFonts w:ascii="Book Antiqua" w:hAnsi="Book Antiqua"/>
          <w:lang w:eastAsia="zh-CN"/>
        </w:rPr>
      </w:pPr>
      <w:r>
        <w:rPr>
          <w:rFonts w:ascii="Book Antiqua" w:hAnsi="Book Antiqua"/>
          <w:noProof/>
          <w:lang w:eastAsia="zh-CN"/>
        </w:rPr>
        <w:drawing>
          <wp:inline distT="0" distB="0" distL="0" distR="0" wp14:anchorId="7B477D24" wp14:editId="0098B92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25C97BF" w14:textId="77777777" w:rsidR="00100AF5" w:rsidRDefault="00100AF5" w:rsidP="00100AF5">
      <w:pPr>
        <w:jc w:val="center"/>
        <w:rPr>
          <w:rFonts w:ascii="Book Antiqua" w:hAnsi="Book Antiqua"/>
          <w:lang w:eastAsia="zh-CN"/>
        </w:rPr>
      </w:pPr>
    </w:p>
    <w:p w14:paraId="45364C0F" w14:textId="77777777" w:rsidR="00100AF5" w:rsidRDefault="00100AF5" w:rsidP="00100AF5">
      <w:pPr>
        <w:jc w:val="center"/>
        <w:rPr>
          <w:rFonts w:ascii="Book Antiqua" w:hAnsi="Book Antiqua"/>
          <w:lang w:eastAsia="zh-CN"/>
        </w:rPr>
      </w:pPr>
    </w:p>
    <w:p w14:paraId="4F10B4D7" w14:textId="77777777" w:rsidR="00100AF5" w:rsidRDefault="00100AF5" w:rsidP="00100AF5">
      <w:pPr>
        <w:jc w:val="center"/>
        <w:rPr>
          <w:rFonts w:ascii="Book Antiqua" w:hAnsi="Book Antiqua"/>
          <w:lang w:eastAsia="zh-CN"/>
        </w:rPr>
      </w:pPr>
    </w:p>
    <w:p w14:paraId="4EF66A54" w14:textId="77777777" w:rsidR="00100AF5" w:rsidRDefault="00100AF5" w:rsidP="00100AF5">
      <w:pPr>
        <w:jc w:val="center"/>
        <w:rPr>
          <w:rFonts w:ascii="Book Antiqua" w:hAnsi="Book Antiqua"/>
          <w:lang w:eastAsia="zh-CN"/>
        </w:rPr>
      </w:pPr>
    </w:p>
    <w:p w14:paraId="5E5A0AA1" w14:textId="77777777" w:rsidR="00100AF5" w:rsidRDefault="00100AF5" w:rsidP="00100AF5">
      <w:pPr>
        <w:jc w:val="center"/>
        <w:rPr>
          <w:rFonts w:ascii="Book Antiqua" w:hAnsi="Book Antiqua"/>
          <w:lang w:eastAsia="zh-CN"/>
        </w:rPr>
      </w:pPr>
    </w:p>
    <w:p w14:paraId="3F56B4D4" w14:textId="77777777" w:rsidR="00100AF5" w:rsidRDefault="00100AF5" w:rsidP="00100AF5">
      <w:pPr>
        <w:jc w:val="center"/>
        <w:rPr>
          <w:rFonts w:ascii="Book Antiqua" w:hAnsi="Book Antiqua"/>
          <w:lang w:eastAsia="zh-CN"/>
        </w:rPr>
      </w:pPr>
    </w:p>
    <w:p w14:paraId="7C6409E5" w14:textId="77777777" w:rsidR="00100AF5" w:rsidRDefault="00100AF5" w:rsidP="00100AF5">
      <w:pPr>
        <w:jc w:val="center"/>
        <w:rPr>
          <w:rFonts w:ascii="Book Antiqua" w:hAnsi="Book Antiqua"/>
          <w:lang w:eastAsia="zh-CN"/>
        </w:rPr>
      </w:pPr>
    </w:p>
    <w:p w14:paraId="24DC9113" w14:textId="77777777" w:rsidR="00100AF5" w:rsidRDefault="00100AF5" w:rsidP="00100AF5">
      <w:pPr>
        <w:jc w:val="center"/>
        <w:rPr>
          <w:rFonts w:ascii="Book Antiqua" w:hAnsi="Book Antiqua"/>
          <w:lang w:eastAsia="zh-CN"/>
        </w:rPr>
      </w:pPr>
    </w:p>
    <w:p w14:paraId="3CB65B8C" w14:textId="77777777" w:rsidR="00100AF5" w:rsidRDefault="00100AF5" w:rsidP="00100AF5">
      <w:pPr>
        <w:jc w:val="center"/>
        <w:rPr>
          <w:rFonts w:ascii="Book Antiqua" w:hAnsi="Book Antiqua"/>
          <w:lang w:eastAsia="zh-CN"/>
        </w:rPr>
      </w:pPr>
    </w:p>
    <w:p w14:paraId="3AE2D4F0" w14:textId="77777777" w:rsidR="00100AF5" w:rsidRPr="00763D22" w:rsidRDefault="00100AF5" w:rsidP="00100AF5">
      <w:pPr>
        <w:jc w:val="right"/>
        <w:rPr>
          <w:rFonts w:ascii="Book Antiqua" w:hAnsi="Book Antiqua"/>
          <w:color w:val="000000" w:themeColor="text1"/>
          <w:lang w:eastAsia="zh-CN"/>
        </w:rPr>
      </w:pPr>
    </w:p>
    <w:p w14:paraId="2B0FD52E" w14:textId="77777777" w:rsidR="00100AF5" w:rsidRPr="00763D22" w:rsidRDefault="00100AF5" w:rsidP="00100AF5">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14EB847" w14:textId="77777777" w:rsidR="004354B6" w:rsidRDefault="004354B6">
      <w:pPr>
        <w:spacing w:line="360" w:lineRule="auto"/>
        <w:jc w:val="both"/>
        <w:rPr>
          <w:rFonts w:ascii="Book Antiqua" w:hAnsi="Book Antiqua"/>
          <w:b/>
          <w:bCs/>
        </w:rPr>
      </w:pPr>
    </w:p>
    <w:sectPr w:rsidR="004354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914C1" w14:textId="77777777" w:rsidR="00D456F1" w:rsidRDefault="00D456F1">
      <w:r>
        <w:separator/>
      </w:r>
    </w:p>
  </w:endnote>
  <w:endnote w:type="continuationSeparator" w:id="0">
    <w:p w14:paraId="6EA68202" w14:textId="77777777" w:rsidR="00D456F1" w:rsidRDefault="00D45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6EAA" w14:textId="77777777" w:rsidR="004354B6" w:rsidRDefault="00D456F1">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0CD85" w14:textId="77777777" w:rsidR="00D456F1" w:rsidRDefault="00D456F1">
      <w:r>
        <w:separator/>
      </w:r>
    </w:p>
  </w:footnote>
  <w:footnote w:type="continuationSeparator" w:id="0">
    <w:p w14:paraId="0BD9F3E0" w14:textId="77777777" w:rsidR="00D456F1" w:rsidRDefault="00D456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Y_MEDREF_DOCUID" w:val="{AA0D8D56-0A63-42EA-865D-31F9F28BE23A}"/>
    <w:docVar w:name="KY_MEDREF_VERSION" w:val="3"/>
  </w:docVars>
  <w:rsids>
    <w:rsidRoot w:val="00A77B3E"/>
    <w:rsid w:val="000176B8"/>
    <w:rsid w:val="00024DAB"/>
    <w:rsid w:val="000356FA"/>
    <w:rsid w:val="00037F52"/>
    <w:rsid w:val="0006024B"/>
    <w:rsid w:val="0006552E"/>
    <w:rsid w:val="00092694"/>
    <w:rsid w:val="00097D9F"/>
    <w:rsid w:val="000B2D05"/>
    <w:rsid w:val="000C03F3"/>
    <w:rsid w:val="000C50DA"/>
    <w:rsid w:val="000D646E"/>
    <w:rsid w:val="000E43D7"/>
    <w:rsid w:val="000F100D"/>
    <w:rsid w:val="000F7386"/>
    <w:rsid w:val="00100AF5"/>
    <w:rsid w:val="0010640B"/>
    <w:rsid w:val="001215C8"/>
    <w:rsid w:val="00125A7A"/>
    <w:rsid w:val="00126131"/>
    <w:rsid w:val="00134AB5"/>
    <w:rsid w:val="00141F7F"/>
    <w:rsid w:val="00155BD1"/>
    <w:rsid w:val="00187FC4"/>
    <w:rsid w:val="0019725F"/>
    <w:rsid w:val="001B1F67"/>
    <w:rsid w:val="001C3F1B"/>
    <w:rsid w:val="001D3E5F"/>
    <w:rsid w:val="001D7BB3"/>
    <w:rsid w:val="001E3032"/>
    <w:rsid w:val="001F4294"/>
    <w:rsid w:val="001F4555"/>
    <w:rsid w:val="00225D74"/>
    <w:rsid w:val="002442D0"/>
    <w:rsid w:val="00261E63"/>
    <w:rsid w:val="002641EB"/>
    <w:rsid w:val="002A6DBB"/>
    <w:rsid w:val="002A7A1F"/>
    <w:rsid w:val="002F1EE6"/>
    <w:rsid w:val="00301B15"/>
    <w:rsid w:val="0031694E"/>
    <w:rsid w:val="00323E4F"/>
    <w:rsid w:val="00352129"/>
    <w:rsid w:val="00377160"/>
    <w:rsid w:val="0039150E"/>
    <w:rsid w:val="003957ED"/>
    <w:rsid w:val="003B1283"/>
    <w:rsid w:val="003C48BE"/>
    <w:rsid w:val="003C529B"/>
    <w:rsid w:val="00400965"/>
    <w:rsid w:val="00414065"/>
    <w:rsid w:val="00420BBF"/>
    <w:rsid w:val="00430E72"/>
    <w:rsid w:val="004354B6"/>
    <w:rsid w:val="004549EC"/>
    <w:rsid w:val="004654AE"/>
    <w:rsid w:val="00466CF8"/>
    <w:rsid w:val="00495E14"/>
    <w:rsid w:val="004A41DD"/>
    <w:rsid w:val="004D76DE"/>
    <w:rsid w:val="004F7301"/>
    <w:rsid w:val="0052116A"/>
    <w:rsid w:val="00522184"/>
    <w:rsid w:val="00527EBF"/>
    <w:rsid w:val="0053238C"/>
    <w:rsid w:val="005431BF"/>
    <w:rsid w:val="00555362"/>
    <w:rsid w:val="00563C70"/>
    <w:rsid w:val="00574435"/>
    <w:rsid w:val="005860CC"/>
    <w:rsid w:val="00594CD7"/>
    <w:rsid w:val="005A2CF8"/>
    <w:rsid w:val="005B0A7A"/>
    <w:rsid w:val="005E5B43"/>
    <w:rsid w:val="005F0D44"/>
    <w:rsid w:val="005F1DC5"/>
    <w:rsid w:val="005F27C5"/>
    <w:rsid w:val="0060338C"/>
    <w:rsid w:val="00603DF9"/>
    <w:rsid w:val="00617E0B"/>
    <w:rsid w:val="006264F6"/>
    <w:rsid w:val="00637482"/>
    <w:rsid w:val="0064204C"/>
    <w:rsid w:val="00660736"/>
    <w:rsid w:val="0067327A"/>
    <w:rsid w:val="006D1286"/>
    <w:rsid w:val="006F3332"/>
    <w:rsid w:val="006F5D5E"/>
    <w:rsid w:val="006F7255"/>
    <w:rsid w:val="0070428F"/>
    <w:rsid w:val="007143D3"/>
    <w:rsid w:val="00720005"/>
    <w:rsid w:val="0072518A"/>
    <w:rsid w:val="007263A4"/>
    <w:rsid w:val="00771EC7"/>
    <w:rsid w:val="007C1D55"/>
    <w:rsid w:val="007D6A94"/>
    <w:rsid w:val="007F5BD3"/>
    <w:rsid w:val="00800275"/>
    <w:rsid w:val="0080680F"/>
    <w:rsid w:val="00817888"/>
    <w:rsid w:val="008451B7"/>
    <w:rsid w:val="008B00D7"/>
    <w:rsid w:val="008C5005"/>
    <w:rsid w:val="008E4530"/>
    <w:rsid w:val="008E732A"/>
    <w:rsid w:val="008E7BB8"/>
    <w:rsid w:val="008F6398"/>
    <w:rsid w:val="00900DD3"/>
    <w:rsid w:val="00913E40"/>
    <w:rsid w:val="00926EF6"/>
    <w:rsid w:val="00930102"/>
    <w:rsid w:val="00935224"/>
    <w:rsid w:val="00947192"/>
    <w:rsid w:val="00954EA0"/>
    <w:rsid w:val="00961127"/>
    <w:rsid w:val="00975021"/>
    <w:rsid w:val="009773D5"/>
    <w:rsid w:val="009B5ED1"/>
    <w:rsid w:val="009B7241"/>
    <w:rsid w:val="009D2203"/>
    <w:rsid w:val="009F02E7"/>
    <w:rsid w:val="00A078BF"/>
    <w:rsid w:val="00A16C86"/>
    <w:rsid w:val="00A30F46"/>
    <w:rsid w:val="00A40A33"/>
    <w:rsid w:val="00A4697F"/>
    <w:rsid w:val="00A67695"/>
    <w:rsid w:val="00A7319E"/>
    <w:rsid w:val="00A767E6"/>
    <w:rsid w:val="00A77B2E"/>
    <w:rsid w:val="00A77B3E"/>
    <w:rsid w:val="00A94BEE"/>
    <w:rsid w:val="00A95C9F"/>
    <w:rsid w:val="00AC6691"/>
    <w:rsid w:val="00AD053A"/>
    <w:rsid w:val="00AE0002"/>
    <w:rsid w:val="00AF05D8"/>
    <w:rsid w:val="00AF56EE"/>
    <w:rsid w:val="00AF7A8A"/>
    <w:rsid w:val="00B017B3"/>
    <w:rsid w:val="00B018CF"/>
    <w:rsid w:val="00B035BC"/>
    <w:rsid w:val="00B067AA"/>
    <w:rsid w:val="00B1019B"/>
    <w:rsid w:val="00B1492B"/>
    <w:rsid w:val="00B22274"/>
    <w:rsid w:val="00B33F45"/>
    <w:rsid w:val="00B43076"/>
    <w:rsid w:val="00B5745C"/>
    <w:rsid w:val="00B72F6A"/>
    <w:rsid w:val="00B93536"/>
    <w:rsid w:val="00BC27C9"/>
    <w:rsid w:val="00BE2846"/>
    <w:rsid w:val="00BE6E15"/>
    <w:rsid w:val="00C16CC0"/>
    <w:rsid w:val="00C26875"/>
    <w:rsid w:val="00C50A68"/>
    <w:rsid w:val="00C85B20"/>
    <w:rsid w:val="00CA2A55"/>
    <w:rsid w:val="00CC571E"/>
    <w:rsid w:val="00CD0489"/>
    <w:rsid w:val="00CE5007"/>
    <w:rsid w:val="00CF7D93"/>
    <w:rsid w:val="00D128AC"/>
    <w:rsid w:val="00D22A76"/>
    <w:rsid w:val="00D456F1"/>
    <w:rsid w:val="00D6568D"/>
    <w:rsid w:val="00D82746"/>
    <w:rsid w:val="00D92D78"/>
    <w:rsid w:val="00DA1CCF"/>
    <w:rsid w:val="00DC68BF"/>
    <w:rsid w:val="00DE2E8D"/>
    <w:rsid w:val="00E04037"/>
    <w:rsid w:val="00E419B8"/>
    <w:rsid w:val="00E551C6"/>
    <w:rsid w:val="00E6695A"/>
    <w:rsid w:val="00E734ED"/>
    <w:rsid w:val="00E73588"/>
    <w:rsid w:val="00E81C54"/>
    <w:rsid w:val="00E9003F"/>
    <w:rsid w:val="00EB134A"/>
    <w:rsid w:val="00EC4AC6"/>
    <w:rsid w:val="00EC58A4"/>
    <w:rsid w:val="00ED19D5"/>
    <w:rsid w:val="00ED3F76"/>
    <w:rsid w:val="00ED5230"/>
    <w:rsid w:val="00EE322B"/>
    <w:rsid w:val="00EF200C"/>
    <w:rsid w:val="00F6620F"/>
    <w:rsid w:val="00F70D39"/>
    <w:rsid w:val="00F84387"/>
    <w:rsid w:val="00FA42F3"/>
    <w:rsid w:val="00FC6321"/>
    <w:rsid w:val="00FE56A4"/>
    <w:rsid w:val="14B00529"/>
    <w:rsid w:val="17EA2E7B"/>
    <w:rsid w:val="1BFB22F1"/>
    <w:rsid w:val="31E12046"/>
    <w:rsid w:val="31EF7BBA"/>
    <w:rsid w:val="5C804937"/>
    <w:rsid w:val="784512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F9B1F8"/>
  <w15:docId w15:val="{A9B3EE08-858F-48F7-A36A-BA01BD449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rFonts w:ascii="宋体" w:eastAsia="宋体"/>
      <w:sz w:val="18"/>
      <w:szCs w:val="18"/>
    </w:rPr>
  </w:style>
  <w:style w:type="paragraph" w:styleId="a7">
    <w:name w:val="footer"/>
    <w:basedOn w:val="a"/>
    <w:link w:val="a8"/>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tran">
    <w:name w:val="tran"/>
    <w:basedOn w:val="a0"/>
    <w:qFormat/>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a">
    <w:name w:val="页眉 字符"/>
    <w:basedOn w:val="a0"/>
    <w:link w:val="a9"/>
    <w:rPr>
      <w:sz w:val="18"/>
      <w:szCs w:val="18"/>
    </w:rPr>
  </w:style>
  <w:style w:type="character" w:customStyle="1" w:styleId="a8">
    <w:name w:val="页脚 字符"/>
    <w:basedOn w:val="a0"/>
    <w:link w:val="a7"/>
    <w:rPr>
      <w:sz w:val="18"/>
      <w:szCs w:val="18"/>
    </w:rPr>
  </w:style>
  <w:style w:type="character" w:customStyle="1" w:styleId="a6">
    <w:name w:val="批注框文本 字符"/>
    <w:basedOn w:val="a0"/>
    <w:link w:val="a5"/>
    <w:rPr>
      <w:rFonts w:ascii="宋体" w:eastAsia="宋体"/>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2191</Words>
  <Characters>12493</Characters>
  <Application>Microsoft Office Word</Application>
  <DocSecurity>0</DocSecurity>
  <Lines>104</Lines>
  <Paragraphs>29</Paragraphs>
  <ScaleCrop>false</ScaleCrop>
  <Company/>
  <LinksUpToDate>false</LinksUpToDate>
  <CharactersWithSpaces>14655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符榕</dc:creator>
  <cp:lastModifiedBy>Li Jia-Hui</cp:lastModifiedBy>
  <cp:revision>7</cp:revision>
  <dcterms:created xsi:type="dcterms:W3CDTF">2021-08-27T08:21:00Z</dcterms:created>
  <dcterms:modified xsi:type="dcterms:W3CDTF">2021-10-12T02:06:00Z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D3705265FBD04ECDBD4C6D142EBE7DC2</vt:lpwstr>
  </property>
</Properties>
</file>