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920E" w14:textId="77777777" w:rsidR="00A77B3E" w:rsidRDefault="00A564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1B4F85B" w14:textId="77777777" w:rsidR="00A77B3E" w:rsidRDefault="00A564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68434</w:t>
      </w:r>
    </w:p>
    <w:p w14:paraId="06A889AA" w14:textId="77777777" w:rsidR="00A77B3E" w:rsidRDefault="00A564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AB5E0A1" w14:textId="77777777" w:rsidR="00A77B3E" w:rsidRDefault="00A77B3E">
      <w:pPr>
        <w:spacing w:line="360" w:lineRule="auto"/>
        <w:jc w:val="both"/>
      </w:pPr>
    </w:p>
    <w:p w14:paraId="7E7737DB" w14:textId="77777777" w:rsidR="00A77B3E" w:rsidRDefault="00A5649E">
      <w:pPr>
        <w:spacing w:line="360" w:lineRule="auto"/>
        <w:jc w:val="both"/>
      </w:pPr>
      <w:r>
        <w:rPr>
          <w:rFonts w:ascii="Book Antiqua" w:eastAsia="Book Antiqua" w:hAnsi="Book Antiqua" w:cs="Book Antiqua"/>
          <w:b/>
          <w:bCs/>
          <w:color w:val="000000"/>
        </w:rPr>
        <w:t>Non-alcoholic fatty liver disease, diabetes medications and blood pressure</w:t>
      </w:r>
    </w:p>
    <w:p w14:paraId="3EA6D5AE" w14:textId="77777777" w:rsidR="00A77B3E" w:rsidRDefault="00A77B3E">
      <w:pPr>
        <w:spacing w:line="360" w:lineRule="auto"/>
        <w:jc w:val="both"/>
      </w:pPr>
    </w:p>
    <w:p w14:paraId="21603746" w14:textId="77777777" w:rsidR="00A77B3E" w:rsidRDefault="00DC2CE5">
      <w:pPr>
        <w:spacing w:line="360" w:lineRule="auto"/>
        <w:jc w:val="both"/>
      </w:pP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DC2CE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5649E">
        <w:rPr>
          <w:rFonts w:ascii="Book Antiqua" w:eastAsia="Book Antiqua" w:hAnsi="Book Antiqua" w:cs="Book Antiqua"/>
          <w:color w:val="000000"/>
        </w:rPr>
        <w:t>NAFLD, DM medications and BP</w:t>
      </w:r>
    </w:p>
    <w:p w14:paraId="033541B7" w14:textId="77777777" w:rsidR="00A77B3E" w:rsidRDefault="00A77B3E">
      <w:pPr>
        <w:spacing w:line="360" w:lineRule="auto"/>
        <w:jc w:val="both"/>
      </w:pPr>
    </w:p>
    <w:p w14:paraId="2D26AF52" w14:textId="77777777" w:rsidR="00A77B3E" w:rsidRDefault="00A5649E">
      <w:pPr>
        <w:spacing w:line="360" w:lineRule="auto"/>
        <w:jc w:val="both"/>
      </w:pP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Costas </w:t>
      </w:r>
      <w:proofErr w:type="spellStart"/>
      <w:r>
        <w:rPr>
          <w:rFonts w:ascii="Book Antiqua" w:eastAsia="Book Antiqua" w:hAnsi="Book Antiqua" w:cs="Book Antiqua"/>
          <w:color w:val="000000"/>
        </w:rPr>
        <w:t>Thomopoulos</w:t>
      </w:r>
      <w:proofErr w:type="spellEnd"/>
    </w:p>
    <w:p w14:paraId="4020AC37" w14:textId="77777777" w:rsidR="00A77B3E" w:rsidRDefault="00A77B3E">
      <w:pPr>
        <w:spacing w:line="360" w:lineRule="auto"/>
        <w:jc w:val="both"/>
      </w:pPr>
    </w:p>
    <w:p w14:paraId="407B9924" w14:textId="77777777" w:rsidR="00A77B3E" w:rsidRDefault="00A5649E">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Diabetes and Metabolism,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Hospital, Athens 11521, Greece</w:t>
      </w:r>
    </w:p>
    <w:p w14:paraId="60AEC7C7" w14:textId="77777777" w:rsidR="00A77B3E" w:rsidRDefault="00A77B3E">
      <w:pPr>
        <w:spacing w:line="360" w:lineRule="auto"/>
        <w:jc w:val="both"/>
      </w:pPr>
    </w:p>
    <w:p w14:paraId="2C3304FF" w14:textId="77777777" w:rsidR="00A77B3E" w:rsidRDefault="00A5649E">
      <w:pPr>
        <w:spacing w:line="360" w:lineRule="auto"/>
        <w:jc w:val="both"/>
      </w:pPr>
      <w:r>
        <w:rPr>
          <w:rFonts w:ascii="Book Antiqua" w:eastAsia="Book Antiqua" w:hAnsi="Book Antiqua" w:cs="Book Antiqua"/>
          <w:b/>
          <w:bCs/>
          <w:color w:val="000000"/>
        </w:rPr>
        <w:t xml:space="preserve">Costas </w:t>
      </w:r>
      <w:proofErr w:type="spellStart"/>
      <w:r>
        <w:rPr>
          <w:rFonts w:ascii="Book Antiqua" w:eastAsia="Book Antiqua" w:hAnsi="Book Antiqua" w:cs="Book Antiqua"/>
          <w:b/>
          <w:bCs/>
          <w:color w:val="000000"/>
        </w:rPr>
        <w:t>Thomopoulos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Cardiology,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Hospital, Athens 11521, Greece</w:t>
      </w:r>
    </w:p>
    <w:p w14:paraId="3C536D19" w14:textId="77777777" w:rsidR="00A77B3E" w:rsidRDefault="00A77B3E">
      <w:pPr>
        <w:spacing w:line="360" w:lineRule="auto"/>
        <w:jc w:val="both"/>
      </w:pPr>
    </w:p>
    <w:p w14:paraId="678D3657" w14:textId="77777777" w:rsidR="00A77B3E" w:rsidRDefault="00A5649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Both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I </w:t>
      </w:r>
      <w:r w:rsidR="00DC2CE5">
        <w:rPr>
          <w:rFonts w:ascii="Book Antiqua" w:hAnsi="Book Antiqua" w:cs="Book Antiqua" w:hint="eastAsia"/>
          <w:color w:val="000000"/>
          <w:lang w:eastAsia="zh-CN"/>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C conceived this work</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 performed the literature research</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 wrote this letter and revised it.</w:t>
      </w:r>
    </w:p>
    <w:p w14:paraId="2F6A94C7" w14:textId="77777777" w:rsidR="00A77B3E" w:rsidRDefault="00A77B3E">
      <w:pPr>
        <w:spacing w:line="360" w:lineRule="auto"/>
        <w:jc w:val="both"/>
      </w:pPr>
    </w:p>
    <w:p w14:paraId="26DA62B9" w14:textId="77777777" w:rsidR="00A77B3E" w:rsidRDefault="00A5649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MD, PhD, Consultant Physician-Scientist, </w:t>
      </w:r>
      <w:r>
        <w:rPr>
          <w:rFonts w:ascii="Book Antiqua" w:eastAsia="Book Antiqua" w:hAnsi="Book Antiqua" w:cs="Book Antiqua"/>
          <w:color w:val="000000"/>
        </w:rPr>
        <w:t xml:space="preserve">Department of Endocrinology, Diabetes and Metabolism,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Hospital, 2, El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Square, Athens 11521, Greece. iiliasmd@yahoo.com</w:t>
      </w:r>
    </w:p>
    <w:p w14:paraId="230A112D" w14:textId="77777777" w:rsidR="00A77B3E" w:rsidRDefault="00A77B3E">
      <w:pPr>
        <w:spacing w:line="360" w:lineRule="auto"/>
        <w:jc w:val="both"/>
      </w:pPr>
    </w:p>
    <w:p w14:paraId="5441A724" w14:textId="77777777" w:rsidR="00A77B3E" w:rsidRDefault="00A564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23, 2021</w:t>
      </w:r>
    </w:p>
    <w:p w14:paraId="75B5E7F7" w14:textId="77777777" w:rsidR="00A77B3E" w:rsidRDefault="00A564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22, 2021</w:t>
      </w:r>
    </w:p>
    <w:p w14:paraId="5E90F167" w14:textId="017F77BC" w:rsidR="00A77B3E" w:rsidRDefault="00A5649E">
      <w:pPr>
        <w:spacing w:line="360" w:lineRule="auto"/>
        <w:jc w:val="both"/>
      </w:pPr>
      <w:r>
        <w:rPr>
          <w:rFonts w:ascii="Book Antiqua" w:eastAsia="Book Antiqua" w:hAnsi="Book Antiqua" w:cs="Book Antiqua"/>
          <w:b/>
          <w:bCs/>
          <w:color w:val="000000"/>
        </w:rPr>
        <w:t xml:space="preserve">Accepted: </w:t>
      </w:r>
      <w:r w:rsidR="00273080" w:rsidRPr="00273080">
        <w:rPr>
          <w:rFonts w:ascii="Book Antiqua" w:eastAsia="Book Antiqua" w:hAnsi="Book Antiqua" w:cs="Book Antiqua"/>
          <w:color w:val="000000"/>
        </w:rPr>
        <w:t>September 6, 2021</w:t>
      </w:r>
    </w:p>
    <w:p w14:paraId="7989F43A" w14:textId="77777777" w:rsidR="00A77B3E" w:rsidRDefault="00A5649E">
      <w:pPr>
        <w:spacing w:line="360" w:lineRule="auto"/>
        <w:jc w:val="both"/>
      </w:pPr>
      <w:r>
        <w:rPr>
          <w:rFonts w:ascii="Book Antiqua" w:eastAsia="Book Antiqua" w:hAnsi="Book Antiqua" w:cs="Book Antiqua"/>
          <w:b/>
          <w:bCs/>
          <w:color w:val="000000"/>
        </w:rPr>
        <w:t xml:space="preserve">Published online: </w:t>
      </w:r>
    </w:p>
    <w:p w14:paraId="3C6B3FE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97FF51B" w14:textId="77777777" w:rsidR="00A77B3E" w:rsidRDefault="00A5649E">
      <w:pPr>
        <w:spacing w:line="360" w:lineRule="auto"/>
        <w:jc w:val="both"/>
      </w:pPr>
      <w:r>
        <w:rPr>
          <w:rFonts w:ascii="Book Antiqua" w:eastAsia="Book Antiqua" w:hAnsi="Book Antiqua" w:cs="Book Antiqua"/>
          <w:b/>
          <w:color w:val="000000"/>
        </w:rPr>
        <w:lastRenderedPageBreak/>
        <w:t>Abstract</w:t>
      </w:r>
    </w:p>
    <w:p w14:paraId="3CEB0BBD" w14:textId="77777777" w:rsidR="00A77B3E" w:rsidRDefault="00A5649E">
      <w:pPr>
        <w:spacing w:line="360" w:lineRule="auto"/>
        <w:jc w:val="both"/>
      </w:pPr>
      <w:r>
        <w:rPr>
          <w:rFonts w:ascii="Book Antiqua" w:eastAsia="Book Antiqua" w:hAnsi="Book Antiqua" w:cs="Book Antiqua"/>
          <w:color w:val="000000"/>
        </w:rPr>
        <w:t xml:space="preserve">New glucose-lowering agents reduce liver enzyme levels and </w:t>
      </w:r>
      <w:r w:rsidR="00DC2CE5">
        <w:rPr>
          <w:rFonts w:ascii="Book Antiqua" w:eastAsia="Book Antiqua" w:hAnsi="Book Antiqua" w:cs="Book Antiqua"/>
          <w:color w:val="000000"/>
        </w:rPr>
        <w:t>blood pressure (BP)</w:t>
      </w:r>
      <w:r>
        <w:rPr>
          <w:rFonts w:ascii="Book Antiqua" w:eastAsia="Book Antiqua" w:hAnsi="Book Antiqua" w:cs="Book Antiqua"/>
          <w:color w:val="000000"/>
        </w:rPr>
        <w:t xml:space="preserve">. Whether this finding can be extended to </w:t>
      </w:r>
      <w:r w:rsidR="00DC2CE5">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patients, in whom a bidirectional association of NAFLD measures and BP has been also demonstrated, remains by and large unknown.</w:t>
      </w:r>
    </w:p>
    <w:p w14:paraId="202E201D" w14:textId="77777777" w:rsidR="00A77B3E" w:rsidRDefault="00A77B3E">
      <w:pPr>
        <w:spacing w:line="360" w:lineRule="auto"/>
        <w:jc w:val="both"/>
      </w:pPr>
    </w:p>
    <w:p w14:paraId="2492B2D5" w14:textId="77777777" w:rsidR="00A77B3E" w:rsidRPr="00DC2CE5" w:rsidRDefault="00A5649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Antidiabetic drugs; </w:t>
      </w:r>
      <w:r w:rsidR="00DC2CE5">
        <w:rPr>
          <w:rFonts w:ascii="Book Antiqua" w:hAnsi="Book Antiqua" w:cs="Book Antiqua" w:hint="eastAsia"/>
          <w:color w:val="000000"/>
          <w:lang w:eastAsia="zh-CN"/>
        </w:rPr>
        <w:t>B</w:t>
      </w:r>
      <w:r>
        <w:rPr>
          <w:rFonts w:ascii="Book Antiqua" w:eastAsia="Book Antiqua" w:hAnsi="Book Antiqua" w:cs="Book Antiqua"/>
          <w:color w:val="000000"/>
        </w:rPr>
        <w:t xml:space="preserve">lood pressure reduction; </w:t>
      </w:r>
      <w:r w:rsidR="00DC2CE5">
        <w:rPr>
          <w:rFonts w:ascii="Book Antiqua" w:hAnsi="Book Antiqua" w:cs="Book Antiqua" w:hint="eastAsia"/>
          <w:color w:val="000000"/>
          <w:lang w:eastAsia="zh-CN"/>
        </w:rPr>
        <w:t>N</w:t>
      </w:r>
      <w:r>
        <w:rPr>
          <w:rFonts w:ascii="Book Antiqua" w:eastAsia="Book Antiqua" w:hAnsi="Book Antiqua" w:cs="Book Antiqua"/>
          <w:color w:val="000000"/>
        </w:rPr>
        <w:t>on-alcoholic fatty liver disease</w:t>
      </w:r>
      <w:r w:rsidR="00DC2CE5">
        <w:rPr>
          <w:rFonts w:ascii="Book Antiqua" w:hAnsi="Book Antiqua" w:cs="Book Antiqua" w:hint="eastAsia"/>
          <w:color w:val="000000"/>
          <w:lang w:eastAsia="zh-CN"/>
        </w:rPr>
        <w:t>;</w:t>
      </w:r>
      <w:r w:rsidR="00DC2CE5" w:rsidRPr="00DC2CE5">
        <w:rPr>
          <w:rFonts w:ascii="Book Antiqua" w:eastAsia="Book Antiqua" w:hAnsi="Book Antiqua" w:cs="Book Antiqua"/>
          <w:color w:val="000000"/>
        </w:rPr>
        <w:t xml:space="preserve"> </w:t>
      </w:r>
      <w:r w:rsidR="00DC2CE5">
        <w:rPr>
          <w:rFonts w:ascii="Book Antiqua" w:hAnsi="Book Antiqua" w:cs="Book Antiqua" w:hint="eastAsia"/>
          <w:color w:val="000000"/>
          <w:lang w:eastAsia="zh-CN"/>
        </w:rPr>
        <w:t>S</w:t>
      </w:r>
      <w:r w:rsidR="00DC2CE5">
        <w:rPr>
          <w:rFonts w:ascii="Book Antiqua" w:eastAsia="Book Antiqua" w:hAnsi="Book Antiqua" w:cs="Book Antiqua"/>
          <w:color w:val="000000"/>
        </w:rPr>
        <w:t>odium glucose cotransporter 2</w:t>
      </w:r>
      <w:r w:rsidR="00DC2CE5">
        <w:rPr>
          <w:rFonts w:ascii="Book Antiqua" w:hAnsi="Book Antiqua" w:cs="Book Antiqua" w:hint="eastAsia"/>
          <w:color w:val="000000"/>
          <w:lang w:eastAsia="zh-CN"/>
        </w:rPr>
        <w:t>;</w:t>
      </w:r>
      <w:r w:rsidR="00DC2CE5" w:rsidRPr="00DC2CE5">
        <w:rPr>
          <w:rFonts w:ascii="Book Antiqua" w:eastAsia="Book Antiqua" w:hAnsi="Book Antiqua" w:cs="Book Antiqua"/>
          <w:color w:val="000000"/>
        </w:rPr>
        <w:t xml:space="preserve"> </w:t>
      </w:r>
      <w:r w:rsidR="00DC2CE5">
        <w:rPr>
          <w:rFonts w:ascii="Book Antiqua" w:hAnsi="Book Antiqua" w:cs="Book Antiqua" w:hint="eastAsia"/>
          <w:color w:val="000000"/>
          <w:lang w:eastAsia="zh-CN"/>
        </w:rPr>
        <w:t>A</w:t>
      </w:r>
      <w:r w:rsidR="00DC2CE5">
        <w:rPr>
          <w:rFonts w:ascii="Book Antiqua" w:eastAsia="Book Antiqua" w:hAnsi="Book Antiqua" w:cs="Book Antiqua"/>
          <w:color w:val="000000"/>
        </w:rPr>
        <w:t>lanine aminotransferase</w:t>
      </w:r>
      <w:r w:rsidR="00DC2CE5">
        <w:rPr>
          <w:rFonts w:ascii="Book Antiqua" w:hAnsi="Book Antiqua" w:cs="Book Antiqua" w:hint="eastAsia"/>
          <w:color w:val="000000"/>
          <w:lang w:eastAsia="zh-CN"/>
        </w:rPr>
        <w:t>;</w:t>
      </w:r>
      <w:r w:rsidR="00DC2CE5" w:rsidRPr="00DC2CE5">
        <w:rPr>
          <w:rFonts w:ascii="Book Antiqua" w:eastAsia="Book Antiqua" w:hAnsi="Book Antiqua" w:cs="Book Antiqua"/>
          <w:color w:val="000000"/>
        </w:rPr>
        <w:t xml:space="preserve"> </w:t>
      </w:r>
      <w:r w:rsidR="00DC2CE5">
        <w:rPr>
          <w:rFonts w:ascii="Book Antiqua" w:hAnsi="Book Antiqua" w:cs="Book Antiqua" w:hint="eastAsia"/>
          <w:color w:val="000000"/>
          <w:lang w:eastAsia="zh-CN"/>
        </w:rPr>
        <w:t>A</w:t>
      </w:r>
      <w:r w:rsidR="00DC2CE5">
        <w:rPr>
          <w:rFonts w:ascii="Book Antiqua" w:eastAsia="Book Antiqua" w:hAnsi="Book Antiqua" w:cs="Book Antiqua"/>
          <w:color w:val="000000"/>
        </w:rPr>
        <w:t>spartate aminotransferase</w:t>
      </w:r>
    </w:p>
    <w:p w14:paraId="2AE354FF" w14:textId="77777777" w:rsidR="00A77B3E" w:rsidRDefault="00A77B3E">
      <w:pPr>
        <w:spacing w:line="360" w:lineRule="auto"/>
        <w:jc w:val="both"/>
      </w:pPr>
    </w:p>
    <w:p w14:paraId="6E407647" w14:textId="77777777" w:rsidR="00A77B3E" w:rsidRDefault="00A5649E">
      <w:pPr>
        <w:spacing w:line="360" w:lineRule="auto"/>
        <w:jc w:val="both"/>
      </w:pP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C. Non-alcoholic fatty liver disease, diabetes medications and blood pressure.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3A06721C" w14:textId="77777777" w:rsidR="00A77B3E" w:rsidRDefault="00A77B3E">
      <w:pPr>
        <w:spacing w:line="360" w:lineRule="auto"/>
        <w:jc w:val="both"/>
      </w:pPr>
    </w:p>
    <w:p w14:paraId="245480CD" w14:textId="77777777" w:rsidR="00A77B3E" w:rsidRDefault="00A5649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All new glucose-lowering agents reduce liver enzyme levels. Additionally, </w:t>
      </w:r>
      <w:r w:rsidR="00DC2CE5">
        <w:rPr>
          <w:rFonts w:ascii="Book Antiqua" w:eastAsia="Book Antiqua" w:hAnsi="Book Antiqua" w:cs="Book Antiqua"/>
          <w:color w:val="000000"/>
        </w:rPr>
        <w:t>sodium glucose cotransporter 2</w:t>
      </w:r>
      <w:r>
        <w:rPr>
          <w:rFonts w:ascii="Book Antiqua" w:eastAsia="Book Antiqua" w:hAnsi="Book Antiqua" w:cs="Book Antiqua"/>
          <w:color w:val="000000"/>
        </w:rPr>
        <w:t xml:space="preserve"> inhibitors can reduce both systolic and diastolic </w:t>
      </w:r>
      <w:r w:rsidR="00DC2CE5">
        <w:rPr>
          <w:rFonts w:ascii="Book Antiqua" w:eastAsia="Book Antiqua" w:hAnsi="Book Antiqua" w:cs="Book Antiqua"/>
          <w:color w:val="000000"/>
        </w:rPr>
        <w:t>blood pressure (BP)</w:t>
      </w:r>
      <w:r>
        <w:rPr>
          <w:rFonts w:ascii="Book Antiqua" w:eastAsia="Book Antiqua" w:hAnsi="Book Antiqua" w:cs="Book Antiqua"/>
          <w:color w:val="000000"/>
        </w:rPr>
        <w:t xml:space="preserve"> by 3.5/1 mmHg, respectively, while </w:t>
      </w:r>
      <w:r w:rsidR="00DC2CE5">
        <w:rPr>
          <w:rFonts w:ascii="Book Antiqua" w:eastAsia="Book Antiqua" w:hAnsi="Book Antiqua" w:cs="Book Antiqua"/>
          <w:color w:val="000000"/>
        </w:rPr>
        <w:t>glucagon-like peptide-1</w:t>
      </w:r>
      <w:r>
        <w:rPr>
          <w:rFonts w:ascii="Book Antiqua" w:eastAsia="Book Antiqua" w:hAnsi="Book Antiqua" w:cs="Book Antiqua"/>
          <w:color w:val="000000"/>
        </w:rPr>
        <w:t xml:space="preserve"> agonist treatment was accompanied by systolic BP reduction of 1 mmHg. Whether this previous finding can be extended to </w:t>
      </w:r>
      <w:r w:rsidR="00DC2CE5">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patients, in whom a bidirectional association of NAFLD measures and BP has been also demonstrated, remains by and large unknown.</w:t>
      </w:r>
    </w:p>
    <w:p w14:paraId="58DE1023" w14:textId="77777777" w:rsidR="00A77B3E" w:rsidRDefault="00DC2CE5">
      <w:pPr>
        <w:spacing w:line="360" w:lineRule="auto"/>
        <w:jc w:val="both"/>
      </w:pPr>
      <w:r>
        <w:br w:type="page"/>
      </w:r>
      <w:r w:rsidR="00A5649E">
        <w:rPr>
          <w:rFonts w:ascii="Book Antiqua" w:eastAsia="Book Antiqua" w:hAnsi="Book Antiqua" w:cs="Book Antiqua"/>
          <w:b/>
          <w:caps/>
          <w:color w:val="000000"/>
          <w:u w:val="single"/>
        </w:rPr>
        <w:lastRenderedPageBreak/>
        <w:t>TO THE EDITOR</w:t>
      </w:r>
    </w:p>
    <w:p w14:paraId="5A1DFC7C" w14:textId="77777777" w:rsidR="00DC2CE5" w:rsidRDefault="00A5649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read with interest the meta-analysis by Fu </w:t>
      </w:r>
      <w:r w:rsidR="00DC2CE5" w:rsidRPr="00DC2CE5">
        <w:rPr>
          <w:rFonts w:ascii="Book Antiqua" w:hAnsi="Book Antiqua" w:cs="Book Antiqua" w:hint="eastAsia"/>
          <w:i/>
          <w:color w:val="000000"/>
          <w:lang w:eastAsia="zh-CN"/>
        </w:rPr>
        <w:t xml:space="preserve">et </w:t>
      </w:r>
      <w:proofErr w:type="gramStart"/>
      <w:r w:rsidR="00DC2CE5" w:rsidRPr="00DC2CE5">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which aimed to investigate the changes from baseline of selective liver enzymes, namely alanine aminotransferase</w:t>
      </w:r>
      <w:r w:rsidR="00DC2CE5">
        <w:rPr>
          <w:rFonts w:ascii="Book Antiqua" w:hAnsi="Book Antiqua" w:cs="Book Antiqua" w:hint="eastAsia"/>
          <w:color w:val="000000"/>
          <w:lang w:eastAsia="zh-CN"/>
        </w:rPr>
        <w:t xml:space="preserve"> </w:t>
      </w:r>
      <w:r>
        <w:rPr>
          <w:rFonts w:ascii="Book Antiqua" w:eastAsia="Book Antiqua" w:hAnsi="Book Antiqua" w:cs="Book Antiqua"/>
          <w:color w:val="000000"/>
        </w:rPr>
        <w:t>and/or aspartate aminotransferase, in patients with non-alcoholic fatty liver disease (NAFLD). Patients were treated with either new glucose-lowering agents [</w:t>
      </w:r>
      <w:r w:rsidRPr="00DC2CE5">
        <w:rPr>
          <w:rFonts w:ascii="Book Antiqua" w:eastAsia="Book Antiqua" w:hAnsi="Book Antiqua" w:cs="Book Antiqua"/>
          <w:i/>
          <w:color w:val="000000"/>
        </w:rPr>
        <w:t>i.e.</w:t>
      </w:r>
      <w:r>
        <w:rPr>
          <w:rFonts w:ascii="Book Antiqua" w:eastAsia="Book Antiqua" w:hAnsi="Book Antiqua" w:cs="Book Antiqua"/>
          <w:color w:val="000000"/>
        </w:rPr>
        <w:t xml:space="preserve">, dipeptidyl peptidase-4 (DPP-4) inhibitors, glucagon-like peptide-1 receptor (GLP-1) agonists, and sodium glucose cotransporter 2 (SGLT2) inhibitors] or placebo/other glucose-lowering drugs. Secondary outcomes along with the same comparison were changes from baseline of </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1) different measures of body adiposity partly estimated by liver magnetic resonance, and </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2) glycated hemoglobin levels. The authors clearly </w:t>
      </w:r>
      <w:proofErr w:type="gramStart"/>
      <w:r>
        <w:rPr>
          <w:rFonts w:ascii="Book Antiqua" w:eastAsia="Book Antiqua" w:hAnsi="Book Antiqua" w:cs="Book Antiqua"/>
          <w:color w:val="000000"/>
        </w:rPr>
        <w:t>showed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that all new glucose-lowering agents reduced liver enzyme levels, whereas measures of body adiposity including body fat composition were at least numerically reduced in all cases. It would be interesting to know the changes of fatty liver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which is a more integrated measure of liver damage in NAFLD, and whether new glucose-lowering agents can effectively reduce blood pressure (BP) levels in this pool of studies. The effect of new glucose-lowering agents against placebo on BP levels has been investigated in a pool of outcome trials</w:t>
      </w:r>
      <w:r>
        <w:rPr>
          <w:rFonts w:ascii="Book Antiqua" w:eastAsia="Book Antiqua" w:hAnsi="Book Antiqua" w:cs="Book Antiqua"/>
          <w:color w:val="000000"/>
          <w:vertAlign w:val="superscript"/>
        </w:rPr>
        <w:t>[5]</w:t>
      </w:r>
      <w:r>
        <w:rPr>
          <w:rFonts w:ascii="Book Antiqua" w:eastAsia="Book Antiqua" w:hAnsi="Book Antiqua" w:cs="Book Antiqua"/>
          <w:color w:val="000000"/>
        </w:rPr>
        <w:t>, suggesting th</w:t>
      </w:r>
      <w:r w:rsidR="00DC2CE5">
        <w:rPr>
          <w:rFonts w:ascii="Book Antiqua" w:eastAsia="Book Antiqua" w:hAnsi="Book Antiqua" w:cs="Book Antiqua"/>
          <w:color w:val="000000"/>
        </w:rPr>
        <w:t>at among these agents, only SGL</w:t>
      </w:r>
      <w:r>
        <w:rPr>
          <w:rFonts w:ascii="Book Antiqua" w:eastAsia="Book Antiqua" w:hAnsi="Book Antiqua" w:cs="Book Antiqua"/>
          <w:color w:val="000000"/>
        </w:rPr>
        <w:t>T2 inhibitors can reduce both systolic and diastolic BP by 3.5/1 mmHg, respectively, while GLP</w:t>
      </w:r>
      <w:r w:rsidR="00DC2CE5">
        <w:rPr>
          <w:rFonts w:ascii="Book Antiqua" w:hAnsi="Book Antiqua" w:cs="Book Antiqua" w:hint="eastAsia"/>
          <w:color w:val="000000"/>
          <w:lang w:eastAsia="zh-CN"/>
        </w:rPr>
        <w:t>-</w:t>
      </w:r>
      <w:r>
        <w:rPr>
          <w:rFonts w:ascii="Book Antiqua" w:eastAsia="Book Antiqua" w:hAnsi="Book Antiqua" w:cs="Book Antiqua"/>
          <w:color w:val="000000"/>
        </w:rPr>
        <w:t xml:space="preserve">1 agonist treatment was accompanied by systolic BP reduction of 1 mmHg. Whether this previous </w:t>
      </w:r>
      <w:proofErr w:type="gramStart"/>
      <w:r>
        <w:rPr>
          <w:rFonts w:ascii="Book Antiqua" w:eastAsia="Book Antiqua" w:hAnsi="Book Antiqua" w:cs="Book Antiqua"/>
          <w:color w:val="000000"/>
        </w:rPr>
        <w:t>finding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can be extended to NAFLD patients, in whom a bidirectional association of NAFLD measures and BP has been also demonstrated</w:t>
      </w:r>
      <w:r>
        <w:rPr>
          <w:rFonts w:ascii="Book Antiqua" w:eastAsia="Book Antiqua" w:hAnsi="Book Antiqua" w:cs="Book Antiqua"/>
          <w:color w:val="000000"/>
          <w:vertAlign w:val="superscript"/>
        </w:rPr>
        <w:t>[6]</w:t>
      </w:r>
      <w:r>
        <w:rPr>
          <w:rFonts w:ascii="Book Antiqua" w:eastAsia="Book Antiqua" w:hAnsi="Book Antiqua" w:cs="Book Antiqua"/>
          <w:color w:val="000000"/>
        </w:rPr>
        <w:t>, remains by and large unknown.</w:t>
      </w:r>
    </w:p>
    <w:p w14:paraId="4B6BFEDB" w14:textId="77777777" w:rsidR="00DC2CE5" w:rsidRDefault="00A5649E" w:rsidP="00DC2CE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Beyond the above clinical considerations, we would like to emphasize on some technical issues regarding the meta-analysis by Fu </w:t>
      </w:r>
      <w:r w:rsidR="00DC2CE5" w:rsidRPr="00DC2CE5">
        <w:rPr>
          <w:rFonts w:ascii="Book Antiqua" w:hAnsi="Book Antiqua" w:cs="Book Antiqua" w:hint="eastAsia"/>
          <w:i/>
          <w:color w:val="000000"/>
          <w:lang w:eastAsia="zh-CN"/>
        </w:rPr>
        <w:t xml:space="preserve">et </w:t>
      </w:r>
      <w:proofErr w:type="gramStart"/>
      <w:r w:rsidR="00DC2CE5" w:rsidRPr="00DC2CE5">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the authors estimated changes from baseline and not differences after the intervention. Differences from baseline can bias the results in two ways, </w:t>
      </w:r>
      <w:r w:rsidR="00DC2CE5">
        <w:rPr>
          <w:rFonts w:ascii="Book Antiqua" w:hAnsi="Book Antiqua" w:cs="Book Antiqua" w:hint="eastAsia"/>
          <w:color w:val="000000"/>
          <w:lang w:eastAsia="zh-CN"/>
        </w:rPr>
        <w:t>(</w:t>
      </w:r>
      <w:r>
        <w:rPr>
          <w:rFonts w:ascii="Book Antiqua" w:eastAsia="Book Antiqua" w:hAnsi="Book Antiqua" w:cs="Book Antiqua"/>
          <w:color w:val="000000"/>
        </w:rPr>
        <w:t>1) because of Wilder’s principle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indicating that reductions are higher from higher baseline levels, and </w:t>
      </w:r>
      <w:r w:rsidR="00DC2CE5">
        <w:rPr>
          <w:rFonts w:ascii="Book Antiqua" w:hAnsi="Book Antiqua" w:cs="Book Antiqua" w:hint="eastAsia"/>
          <w:color w:val="000000"/>
          <w:lang w:eastAsia="zh-CN"/>
        </w:rPr>
        <w:t>(</w:t>
      </w:r>
      <w:r>
        <w:rPr>
          <w:rFonts w:ascii="Book Antiqua" w:eastAsia="Book Antiqua" w:hAnsi="Book Antiqua" w:cs="Book Antiqua"/>
          <w:color w:val="000000"/>
        </w:rPr>
        <w:t>2) because in randomized studies with a limited number of participants, the levels of a given measure are not identical between treatment arms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Second, another source of bias is the inclusion of </w:t>
      </w:r>
      <w:r>
        <w:rPr>
          <w:rFonts w:ascii="Book Antiqua" w:eastAsia="Book Antiqua" w:hAnsi="Book Antiqua" w:cs="Book Antiqua"/>
          <w:color w:val="000000"/>
        </w:rPr>
        <w:lastRenderedPageBreak/>
        <w:t xml:space="preserve">placebo-controlled and active-controlled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Although placebo is a fair comparator in this type of investigation, active-controls may have reduced the net outcome effect of new glucose-lowering agents. Third, wandering between statistical models (</w:t>
      </w:r>
      <w:r w:rsidRPr="00DC2CE5">
        <w:rPr>
          <w:rFonts w:ascii="Book Antiqua" w:eastAsia="Book Antiqua" w:hAnsi="Book Antiqua" w:cs="Book Antiqua"/>
          <w:i/>
          <w:color w:val="000000"/>
        </w:rPr>
        <w:t>i.e.</w:t>
      </w:r>
      <w:r>
        <w:rPr>
          <w:rFonts w:ascii="Book Antiqua" w:eastAsia="Book Antiqua" w:hAnsi="Book Antiqua" w:cs="Book Antiqua"/>
          <w:color w:val="000000"/>
        </w:rPr>
        <w:t xml:space="preserve">, fixed-effect </w:t>
      </w:r>
      <w:r>
        <w:rPr>
          <w:rFonts w:ascii="Book Antiqua" w:eastAsia="Book Antiqua" w:hAnsi="Book Antiqua" w:cs="Book Antiqua"/>
          <w:i/>
          <w:iCs/>
          <w:color w:val="000000"/>
        </w:rPr>
        <w:t>vs</w:t>
      </w:r>
      <w:r>
        <w:rPr>
          <w:rFonts w:ascii="Book Antiqua" w:eastAsia="Book Antiqua" w:hAnsi="Book Antiqua" w:cs="Book Antiqua"/>
          <w:color w:val="000000"/>
        </w:rPr>
        <w:t xml:space="preserve"> random-effects) is not advised in clinical meta-analyses and a random-effects model, when gathering studies from the literature, should always - a priori - be selected irrespectively of the underlying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91D0149" w14:textId="77777777" w:rsidR="00A77B3E" w:rsidRPr="00DC2CE5" w:rsidRDefault="00A5649E" w:rsidP="00DC2CE5">
      <w:pPr>
        <w:spacing w:line="360" w:lineRule="auto"/>
        <w:ind w:firstLineChars="100" w:firstLine="240"/>
        <w:jc w:val="both"/>
        <w:rPr>
          <w:lang w:eastAsia="zh-CN"/>
        </w:rPr>
      </w:pPr>
      <w:r>
        <w:rPr>
          <w:rFonts w:ascii="Book Antiqua" w:eastAsia="Book Antiqua" w:hAnsi="Book Antiqua" w:cs="Book Antiqua"/>
          <w:color w:val="000000"/>
        </w:rPr>
        <w:t xml:space="preserve">The study by Fu </w:t>
      </w:r>
      <w:r w:rsidR="00DC2CE5" w:rsidRPr="00DC2CE5">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is clinically important and suggests that new glucose-lowering agents contribute to a reduction of NAFLD severity, which may partially explain the cardioprotective effect of these drugs on major outcomes</w:t>
      </w:r>
      <w:r>
        <w:rPr>
          <w:rFonts w:ascii="Book Antiqua" w:eastAsia="Book Antiqua" w:hAnsi="Book Antiqua" w:cs="Book Antiqua"/>
          <w:color w:val="000000"/>
          <w:vertAlign w:val="superscript"/>
        </w:rPr>
        <w:t>[5,11]</w:t>
      </w:r>
      <w:r>
        <w:rPr>
          <w:rFonts w:ascii="Book Antiqua" w:eastAsia="Book Antiqua" w:hAnsi="Book Antiqua" w:cs="Book Antiqua"/>
          <w:color w:val="000000"/>
        </w:rPr>
        <w:t>.</w:t>
      </w:r>
    </w:p>
    <w:p w14:paraId="38C70C4F" w14:textId="77777777" w:rsidR="00A77B3E" w:rsidRDefault="00A77B3E">
      <w:pPr>
        <w:spacing w:line="360" w:lineRule="auto"/>
        <w:jc w:val="both"/>
      </w:pPr>
    </w:p>
    <w:p w14:paraId="473014C8" w14:textId="77777777" w:rsidR="00A77B3E" w:rsidRDefault="00A5649E">
      <w:pPr>
        <w:spacing w:line="360" w:lineRule="auto"/>
        <w:jc w:val="both"/>
      </w:pPr>
      <w:r>
        <w:rPr>
          <w:rFonts w:ascii="Book Antiqua" w:eastAsia="Book Antiqua" w:hAnsi="Book Antiqua" w:cs="Book Antiqua"/>
          <w:b/>
          <w:color w:val="000000"/>
        </w:rPr>
        <w:t>REFERENCES</w:t>
      </w:r>
    </w:p>
    <w:p w14:paraId="1A9A0D95" w14:textId="77777777" w:rsidR="00A77B3E" w:rsidRDefault="00A5649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Fu ZD</w:t>
      </w:r>
      <w:r>
        <w:rPr>
          <w:rFonts w:ascii="Book Antiqua" w:eastAsia="Book Antiqua" w:hAnsi="Book Antiqua" w:cs="Book Antiqua"/>
          <w:color w:val="000000"/>
        </w:rPr>
        <w:t xml:space="preserve">, Cai XL, Yang WJ, Zhao MM, Li R, Li YF. Novel glucose-lowering drugs for non-alcoholic fatty liver disease.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84-97 [PMID: 33520110 DOI: 10.4239/wjd.v12.i1.84]</w:t>
      </w:r>
    </w:p>
    <w:p w14:paraId="2307C733" w14:textId="77777777" w:rsidR="00A77B3E" w:rsidRDefault="00A5649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Bedogni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Bellentani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Miglioli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M, Castiglione A, </w:t>
      </w:r>
      <w:proofErr w:type="spellStart"/>
      <w:r>
        <w:rPr>
          <w:rFonts w:ascii="Book Antiqua" w:eastAsia="Book Antiqua" w:hAnsi="Book Antiqua" w:cs="Book Antiqua"/>
          <w:color w:val="000000"/>
        </w:rPr>
        <w:t>Tiribelli</w:t>
      </w:r>
      <w:proofErr w:type="spellEnd"/>
      <w:r>
        <w:rPr>
          <w:rFonts w:ascii="Book Antiqua" w:eastAsia="Book Antiqua" w:hAnsi="Book Antiqua" w:cs="Book Antiqua"/>
          <w:color w:val="000000"/>
        </w:rPr>
        <w:t xml:space="preserve"> C. The Fatty Liver Index: a simple and accurate predictor of hepatic steatosis in the general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33 [PMID: 17081293 DOI: 10.1186/1471-230x-6-33]</w:t>
      </w:r>
    </w:p>
    <w:p w14:paraId="7C71C099" w14:textId="77777777" w:rsidR="00A77B3E" w:rsidRDefault="00A5649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Zelber-Sagi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Webb M, Assy N, </w:t>
      </w:r>
      <w:proofErr w:type="spellStart"/>
      <w:r>
        <w:rPr>
          <w:rFonts w:ascii="Book Antiqua" w:eastAsia="Book Antiqua" w:hAnsi="Book Antiqua" w:cs="Book Antiqua"/>
          <w:color w:val="000000"/>
        </w:rPr>
        <w:t>Blendis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Yeshua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Leshno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Halpern Z, Oren R, Santo E. Comparison of fatty liver index with noninvasive methods for steatosis detection and quantification.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57-64 [PMID: 23326163 DOI: 10.3748/wjg.v19.i1.57]</w:t>
      </w:r>
    </w:p>
    <w:p w14:paraId="32F69BF4" w14:textId="77777777" w:rsidR="00A77B3E" w:rsidRDefault="00A5649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Motamed</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Sohrabi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Ajdarkosh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Hemmasi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Sayeedian</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Pirzad</w:t>
      </w:r>
      <w:proofErr w:type="spellEnd"/>
      <w:r>
        <w:rPr>
          <w:rFonts w:ascii="Book Antiqua" w:eastAsia="Book Antiqua" w:hAnsi="Book Antiqua" w:cs="Book Antiqua"/>
          <w:color w:val="000000"/>
        </w:rPr>
        <w:t xml:space="preserve"> R, Abedi K, </w:t>
      </w:r>
      <w:proofErr w:type="spellStart"/>
      <w:r>
        <w:rPr>
          <w:rFonts w:ascii="Book Antiqua" w:eastAsia="Book Antiqua" w:hAnsi="Book Antiqua" w:cs="Book Antiqua"/>
          <w:color w:val="000000"/>
        </w:rPr>
        <w:t>Aghapour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Fallahnezhad</w:t>
      </w:r>
      <w:proofErr w:type="spellEnd"/>
      <w:r>
        <w:rPr>
          <w:rFonts w:ascii="Book Antiqua" w:eastAsia="Book Antiqua" w:hAnsi="Book Antiqua" w:cs="Book Antiqua"/>
          <w:color w:val="000000"/>
        </w:rPr>
        <w:t xml:space="preserve"> M, Zamani F. Fatty liver index </w:t>
      </w:r>
      <w:r>
        <w:rPr>
          <w:rFonts w:ascii="Book Antiqua" w:eastAsia="Book Antiqua" w:hAnsi="Book Antiqua" w:cs="Book Antiqua"/>
          <w:i/>
          <w:iCs/>
          <w:color w:val="000000"/>
        </w:rPr>
        <w:t>vs</w:t>
      </w:r>
      <w:r>
        <w:rPr>
          <w:rFonts w:ascii="Book Antiqua" w:eastAsia="Book Antiqua" w:hAnsi="Book Antiqua" w:cs="Book Antiqua"/>
          <w:color w:val="000000"/>
        </w:rPr>
        <w:t xml:space="preserve"> waist circumference for predicting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3023-3030 [PMID: 26973398 DOI: 10.3748/wjg.v22.i10.3023]</w:t>
      </w:r>
    </w:p>
    <w:p w14:paraId="39C9A88C" w14:textId="77777777" w:rsidR="00A77B3E" w:rsidRDefault="00A5649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Michalopoulou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Bazoukis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Makris T. Antidiabetic drugs and blood pressure changes.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105108 [PMID: 32738493 DOI: 10.1016/j.phrs.2020.105108]</w:t>
      </w:r>
    </w:p>
    <w:p w14:paraId="0853D296" w14:textId="77777777" w:rsidR="00A77B3E" w:rsidRDefault="00A5649E">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Oikonomou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Katsi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Alexopoulou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Koutli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Non-alcoholic fatty liver disease and hypertension: </w:t>
      </w:r>
      <w:proofErr w:type="spellStart"/>
      <w:r>
        <w:rPr>
          <w:rFonts w:ascii="Book Antiqua" w:eastAsia="Book Antiqua" w:hAnsi="Book Antiqua" w:cs="Book Antiqua"/>
          <w:color w:val="000000"/>
        </w:rPr>
        <w:t>coprevalent</w:t>
      </w:r>
      <w:proofErr w:type="spellEnd"/>
      <w:r>
        <w:rPr>
          <w:rFonts w:ascii="Book Antiqua" w:eastAsia="Book Antiqua" w:hAnsi="Book Antiqua" w:cs="Book Antiqua"/>
          <w:color w:val="000000"/>
        </w:rPr>
        <w:t xml:space="preserve"> or correlated?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979-985 [PMID: 30048367 DOI: 10.1097/MEG.0000000000001191]</w:t>
      </w:r>
    </w:p>
    <w:p w14:paraId="12C28229" w14:textId="77777777" w:rsidR="00A77B3E" w:rsidRDefault="00A5649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Messerli FH</w:t>
      </w:r>
      <w:r>
        <w:rPr>
          <w:rFonts w:ascii="Book Antiqua" w:eastAsia="Book Antiqua" w:hAnsi="Book Antiqua" w:cs="Book Antiqua"/>
          <w:color w:val="000000"/>
        </w:rPr>
        <w:t xml:space="preserve">, Bangalore S, </w:t>
      </w:r>
      <w:proofErr w:type="spellStart"/>
      <w:r>
        <w:rPr>
          <w:rFonts w:ascii="Book Antiqua" w:eastAsia="Book Antiqua" w:hAnsi="Book Antiqua" w:cs="Book Antiqua"/>
          <w:color w:val="000000"/>
        </w:rPr>
        <w:t>Schmieder</w:t>
      </w:r>
      <w:proofErr w:type="spellEnd"/>
      <w:r>
        <w:rPr>
          <w:rFonts w:ascii="Book Antiqua" w:eastAsia="Book Antiqua" w:hAnsi="Book Antiqua" w:cs="Book Antiqua"/>
          <w:color w:val="000000"/>
        </w:rPr>
        <w:t xml:space="preserve"> RE. Wilder's principle: pre-treatment value determines post-treatment response.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576-579 [PMID: 25540187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/ehu467]</w:t>
      </w:r>
    </w:p>
    <w:p w14:paraId="4B08252D" w14:textId="77777777" w:rsidR="00A77B3E" w:rsidRDefault="00A5649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Evans SR</w:t>
      </w:r>
      <w:r>
        <w:rPr>
          <w:rFonts w:ascii="Book Antiqua" w:eastAsia="Book Antiqua" w:hAnsi="Book Antiqua" w:cs="Book Antiqua"/>
          <w:color w:val="000000"/>
        </w:rPr>
        <w:t xml:space="preserve">. Clinical trial structures. </w:t>
      </w:r>
      <w:r>
        <w:rPr>
          <w:rFonts w:ascii="Book Antiqua" w:eastAsia="Book Antiqua" w:hAnsi="Book Antiqua" w:cs="Book Antiqua"/>
          <w:i/>
          <w:iCs/>
          <w:color w:val="000000"/>
        </w:rPr>
        <w:t xml:space="preserve">J Exp Stroke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8-18 [PMID: 21423788 DOI: 10.6030/1939-067x-3.1.8]</w:t>
      </w:r>
    </w:p>
    <w:p w14:paraId="128717BA" w14:textId="77777777" w:rsidR="00A77B3E" w:rsidRDefault="00A5649E">
      <w:pPr>
        <w:spacing w:line="360" w:lineRule="auto"/>
        <w:jc w:val="both"/>
      </w:pPr>
      <w:r w:rsidRPr="00901DC2">
        <w:rPr>
          <w:rFonts w:ascii="Book Antiqua" w:eastAsia="Book Antiqua" w:hAnsi="Book Antiqua" w:cs="Book Antiqua"/>
          <w:color w:val="000000"/>
          <w:highlight w:val="yellow"/>
        </w:rPr>
        <w:t xml:space="preserve">9 </w:t>
      </w:r>
      <w:proofErr w:type="spellStart"/>
      <w:r w:rsidRPr="00901DC2">
        <w:rPr>
          <w:rFonts w:ascii="Book Antiqua" w:eastAsia="Book Antiqua" w:hAnsi="Book Antiqua" w:cs="Book Antiqua"/>
          <w:b/>
          <w:bCs/>
          <w:color w:val="000000"/>
          <w:highlight w:val="yellow"/>
        </w:rPr>
        <w:t>Jadad</w:t>
      </w:r>
      <w:proofErr w:type="spellEnd"/>
      <w:r w:rsidRPr="00901DC2">
        <w:rPr>
          <w:rFonts w:ascii="Book Antiqua" w:eastAsia="Book Antiqua" w:hAnsi="Book Antiqua" w:cs="Book Antiqua"/>
          <w:b/>
          <w:bCs/>
          <w:color w:val="000000"/>
          <w:highlight w:val="yellow"/>
        </w:rPr>
        <w:t xml:space="preserve"> AR</w:t>
      </w:r>
      <w:r w:rsidRPr="00901DC2">
        <w:rPr>
          <w:rFonts w:ascii="Book Antiqua" w:eastAsia="Book Antiqua" w:hAnsi="Book Antiqua" w:cs="Book Antiqua"/>
          <w:bCs/>
          <w:color w:val="000000"/>
          <w:highlight w:val="yellow"/>
        </w:rPr>
        <w:t>,</w:t>
      </w:r>
      <w:r w:rsidRPr="00901DC2">
        <w:rPr>
          <w:rFonts w:ascii="Book Antiqua" w:eastAsia="Book Antiqua" w:hAnsi="Book Antiqua" w:cs="Book Antiqua"/>
          <w:color w:val="000000"/>
          <w:highlight w:val="yellow"/>
        </w:rPr>
        <w:t xml:space="preserve"> </w:t>
      </w:r>
      <w:proofErr w:type="spellStart"/>
      <w:r w:rsidRPr="00901DC2">
        <w:rPr>
          <w:rFonts w:ascii="Book Antiqua" w:eastAsia="Book Antiqua" w:hAnsi="Book Antiqua" w:cs="Book Antiqua"/>
          <w:color w:val="000000"/>
          <w:highlight w:val="yellow"/>
        </w:rPr>
        <w:t>Enkin</w:t>
      </w:r>
      <w:proofErr w:type="spellEnd"/>
      <w:r w:rsidRPr="00901DC2">
        <w:rPr>
          <w:rFonts w:ascii="Book Antiqua" w:eastAsia="Book Antiqua" w:hAnsi="Book Antiqua" w:cs="Book Antiqua"/>
          <w:color w:val="000000"/>
          <w:highlight w:val="yellow"/>
        </w:rPr>
        <w:t xml:space="preserve"> MW. Bias in randomized controlled trials. In: </w:t>
      </w:r>
      <w:proofErr w:type="spellStart"/>
      <w:r w:rsidR="00901DC2" w:rsidRPr="00901DC2">
        <w:rPr>
          <w:rFonts w:ascii="Book Antiqua" w:eastAsia="Book Antiqua" w:hAnsi="Book Antiqua" w:cs="Book Antiqua"/>
          <w:color w:val="000000"/>
          <w:highlight w:val="yellow"/>
        </w:rPr>
        <w:t>Jadad</w:t>
      </w:r>
      <w:proofErr w:type="spellEnd"/>
      <w:r w:rsidR="00901DC2" w:rsidRPr="00901DC2">
        <w:rPr>
          <w:rFonts w:ascii="Book Antiqua" w:eastAsia="Book Antiqua" w:hAnsi="Book Antiqua" w:cs="Book Antiqua"/>
          <w:color w:val="000000"/>
          <w:highlight w:val="yellow"/>
        </w:rPr>
        <w:t xml:space="preserve"> AR, </w:t>
      </w:r>
      <w:proofErr w:type="spellStart"/>
      <w:r w:rsidR="00901DC2" w:rsidRPr="00901DC2">
        <w:rPr>
          <w:rFonts w:ascii="Book Antiqua" w:eastAsia="Book Antiqua" w:hAnsi="Book Antiqua" w:cs="Book Antiqua"/>
          <w:color w:val="000000"/>
          <w:highlight w:val="yellow"/>
        </w:rPr>
        <w:t>Enkin</w:t>
      </w:r>
      <w:proofErr w:type="spellEnd"/>
      <w:r w:rsidR="00901DC2" w:rsidRPr="00901DC2">
        <w:rPr>
          <w:rFonts w:ascii="Book Antiqua" w:eastAsia="Book Antiqua" w:hAnsi="Book Antiqua" w:cs="Book Antiqua"/>
          <w:color w:val="000000"/>
          <w:highlight w:val="yellow"/>
        </w:rPr>
        <w:t xml:space="preserve"> MW.</w:t>
      </w:r>
      <w:r w:rsidR="00901DC2" w:rsidRPr="00901DC2">
        <w:rPr>
          <w:rFonts w:ascii="Book Antiqua" w:hAnsi="Book Antiqua" w:cs="Book Antiqua" w:hint="eastAsia"/>
          <w:color w:val="000000"/>
          <w:highlight w:val="yellow"/>
          <w:lang w:eastAsia="zh-CN"/>
        </w:rPr>
        <w:t xml:space="preserve"> </w:t>
      </w:r>
      <w:r w:rsidRPr="00901DC2">
        <w:rPr>
          <w:rFonts w:ascii="Book Antiqua" w:eastAsia="Book Antiqua" w:hAnsi="Book Antiqua" w:cs="Book Antiqua"/>
          <w:color w:val="000000"/>
          <w:highlight w:val="yellow"/>
        </w:rPr>
        <w:t xml:space="preserve">Randomized Controlled Trials Questions, Answers, and Musings. 2nd ed. Malden, </w:t>
      </w:r>
      <w:r w:rsidR="00901DC2" w:rsidRPr="00901DC2">
        <w:rPr>
          <w:rFonts w:ascii="Book Antiqua" w:hAnsi="Book Antiqua" w:cs="Book Antiqua" w:hint="eastAsia"/>
          <w:color w:val="000000"/>
          <w:highlight w:val="yellow"/>
          <w:lang w:eastAsia="zh-CN"/>
        </w:rPr>
        <w:t>MA</w:t>
      </w:r>
      <w:r w:rsidRPr="00901DC2">
        <w:rPr>
          <w:rFonts w:ascii="Book Antiqua" w:eastAsia="Book Antiqua" w:hAnsi="Book Antiqua" w:cs="Book Antiqua"/>
          <w:color w:val="000000"/>
          <w:highlight w:val="yellow"/>
        </w:rPr>
        <w:t>, U</w:t>
      </w:r>
      <w:r w:rsidR="00901DC2" w:rsidRPr="00901DC2">
        <w:rPr>
          <w:rFonts w:ascii="Book Antiqua" w:hAnsi="Book Antiqua" w:cs="Book Antiqua" w:hint="eastAsia"/>
          <w:color w:val="000000"/>
          <w:highlight w:val="yellow"/>
          <w:lang w:eastAsia="zh-CN"/>
        </w:rPr>
        <w:t>nited States</w:t>
      </w:r>
      <w:r w:rsidRPr="00901DC2">
        <w:rPr>
          <w:rFonts w:ascii="Book Antiqua" w:eastAsia="Book Antiqua" w:hAnsi="Book Antiqua" w:cs="Book Antiqua"/>
          <w:color w:val="000000"/>
          <w:highlight w:val="yellow"/>
        </w:rPr>
        <w:t>: Blackwell Publishing, Inc., 2007: 29-47</w:t>
      </w:r>
    </w:p>
    <w:p w14:paraId="63A5EF05" w14:textId="77777777" w:rsidR="00A77B3E" w:rsidRDefault="00A5649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Nikolakopoulou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Mavridis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Salanti</w:t>
      </w:r>
      <w:proofErr w:type="spellEnd"/>
      <w:r>
        <w:rPr>
          <w:rFonts w:ascii="Book Antiqua" w:eastAsia="Book Antiqua" w:hAnsi="Book Antiqua" w:cs="Book Antiqua"/>
          <w:color w:val="000000"/>
        </w:rPr>
        <w:t xml:space="preserve"> G. How to interpret meta-analysis models: fixed effect and random effects meta-analyses. </w:t>
      </w:r>
      <w:r>
        <w:rPr>
          <w:rFonts w:ascii="Book Antiqua" w:eastAsia="Book Antiqua" w:hAnsi="Book Antiqua" w:cs="Book Antiqua"/>
          <w:i/>
          <w:iCs/>
          <w:color w:val="000000"/>
        </w:rPr>
        <w:t xml:space="preserve">Evid Based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64 [PMID: 24778439 DOI: 10.1136/eb-2014-101794]</w:t>
      </w:r>
    </w:p>
    <w:p w14:paraId="6FCF7259" w14:textId="77777777" w:rsidR="00A77B3E" w:rsidRDefault="00A5649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Buzzetti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EA. The multiple-hit pathogenesis of non-alcoholic fatty liver disease (NAFLD).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1038-1048 [PMID: 26823198 DOI: 10.1016/j.metabol.2015.12.012]</w:t>
      </w:r>
    </w:p>
    <w:p w14:paraId="0462B0E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28549E" w14:textId="77777777" w:rsidR="00A77B3E" w:rsidRDefault="00A5649E">
      <w:pPr>
        <w:spacing w:line="360" w:lineRule="auto"/>
        <w:jc w:val="both"/>
      </w:pPr>
      <w:r>
        <w:rPr>
          <w:rFonts w:ascii="Book Antiqua" w:eastAsia="Book Antiqua" w:hAnsi="Book Antiqua" w:cs="Book Antiqua"/>
          <w:b/>
          <w:color w:val="000000"/>
        </w:rPr>
        <w:lastRenderedPageBreak/>
        <w:t>Footnotes</w:t>
      </w:r>
    </w:p>
    <w:p w14:paraId="7B432A08" w14:textId="77777777" w:rsidR="00A77B3E" w:rsidRDefault="00A5649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w:t>
      </w:r>
      <w:r w:rsidR="00DC2CE5">
        <w:rPr>
          <w:rFonts w:ascii="Book Antiqua" w:hAnsi="Book Antiqua" w:cs="Book Antiqua" w:hint="eastAsia"/>
          <w:color w:val="000000"/>
          <w:lang w:eastAsia="zh-CN"/>
        </w:rPr>
        <w:t>a</w:t>
      </w:r>
      <w:r>
        <w:rPr>
          <w:rFonts w:ascii="Book Antiqua" w:eastAsia="Book Antiqua" w:hAnsi="Book Antiqua" w:cs="Book Antiqua"/>
          <w:color w:val="000000"/>
        </w:rPr>
        <w:t>uthors declare no conflict of interest.</w:t>
      </w:r>
    </w:p>
    <w:p w14:paraId="5AB05FAE" w14:textId="77777777" w:rsidR="00A77B3E" w:rsidRDefault="00A77B3E">
      <w:pPr>
        <w:spacing w:line="360" w:lineRule="auto"/>
        <w:jc w:val="both"/>
      </w:pPr>
    </w:p>
    <w:p w14:paraId="3B5369E8" w14:textId="77777777" w:rsidR="00A77B3E" w:rsidRDefault="00A564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12BF01" w14:textId="77777777" w:rsidR="00A77B3E" w:rsidRDefault="00A77B3E">
      <w:pPr>
        <w:spacing w:line="360" w:lineRule="auto"/>
        <w:jc w:val="both"/>
      </w:pPr>
    </w:p>
    <w:p w14:paraId="0C36350D" w14:textId="77777777" w:rsidR="00A77B3E" w:rsidRDefault="00A564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01DC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69DE33B" w14:textId="77777777" w:rsidR="00A77B3E" w:rsidRDefault="00A77B3E">
      <w:pPr>
        <w:spacing w:line="360" w:lineRule="auto"/>
        <w:jc w:val="both"/>
      </w:pPr>
    </w:p>
    <w:p w14:paraId="4223080E" w14:textId="77777777" w:rsidR="00A77B3E" w:rsidRDefault="00A564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23, 2021</w:t>
      </w:r>
    </w:p>
    <w:p w14:paraId="54F8CEB6" w14:textId="77777777" w:rsidR="00A77B3E" w:rsidRDefault="00A564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681EFCD9" w14:textId="77777777" w:rsidR="00A77B3E" w:rsidRDefault="00A5649E">
      <w:pPr>
        <w:spacing w:line="360" w:lineRule="auto"/>
        <w:jc w:val="both"/>
      </w:pPr>
      <w:r>
        <w:rPr>
          <w:rFonts w:ascii="Book Antiqua" w:eastAsia="Book Antiqua" w:hAnsi="Book Antiqua" w:cs="Book Antiqua"/>
          <w:b/>
          <w:color w:val="000000"/>
        </w:rPr>
        <w:t xml:space="preserve">Article in press: </w:t>
      </w:r>
    </w:p>
    <w:p w14:paraId="07D6FDC8" w14:textId="77777777" w:rsidR="00A77B3E" w:rsidRDefault="00A77B3E">
      <w:pPr>
        <w:spacing w:line="360" w:lineRule="auto"/>
        <w:jc w:val="both"/>
      </w:pPr>
    </w:p>
    <w:p w14:paraId="5DD2992D" w14:textId="77777777" w:rsidR="00A77B3E" w:rsidRDefault="00A5649E">
      <w:pPr>
        <w:spacing w:line="360" w:lineRule="auto"/>
        <w:jc w:val="both"/>
      </w:pPr>
      <w:r>
        <w:rPr>
          <w:rFonts w:ascii="Book Antiqua" w:eastAsia="Book Antiqua" w:hAnsi="Book Antiqua" w:cs="Book Antiqua"/>
          <w:b/>
          <w:color w:val="000000"/>
        </w:rPr>
        <w:t xml:space="preserve">Specialty type: </w:t>
      </w:r>
      <w:r w:rsidR="00901DC2" w:rsidRPr="00E700C2">
        <w:rPr>
          <w:rFonts w:ascii="Book Antiqua" w:eastAsia="微软雅黑" w:hAnsi="Book Antiqua" w:cs="宋体"/>
        </w:rPr>
        <w:t>Endocrinology and metabolism</w:t>
      </w:r>
    </w:p>
    <w:p w14:paraId="734B4409" w14:textId="77777777" w:rsidR="00A77B3E" w:rsidRDefault="00A564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97E14AB" w14:textId="77777777" w:rsidR="00A77B3E" w:rsidRDefault="00A5649E">
      <w:pPr>
        <w:spacing w:line="360" w:lineRule="auto"/>
        <w:jc w:val="both"/>
      </w:pPr>
      <w:r>
        <w:rPr>
          <w:rFonts w:ascii="Book Antiqua" w:eastAsia="Book Antiqua" w:hAnsi="Book Antiqua" w:cs="Book Antiqua"/>
          <w:b/>
          <w:color w:val="000000"/>
        </w:rPr>
        <w:t>Peer-review report’s scientific quality classification</w:t>
      </w:r>
    </w:p>
    <w:p w14:paraId="64EBA049" w14:textId="77777777" w:rsidR="00A77B3E" w:rsidRDefault="00A5649E">
      <w:pPr>
        <w:spacing w:line="360" w:lineRule="auto"/>
        <w:jc w:val="both"/>
      </w:pPr>
      <w:r>
        <w:rPr>
          <w:rFonts w:ascii="Book Antiqua" w:eastAsia="Book Antiqua" w:hAnsi="Book Antiqua" w:cs="Book Antiqua"/>
          <w:color w:val="000000"/>
        </w:rPr>
        <w:t>Grade A (Excellent): 0</w:t>
      </w:r>
    </w:p>
    <w:p w14:paraId="3E710B41" w14:textId="77777777" w:rsidR="00A77B3E" w:rsidRDefault="00A5649E">
      <w:pPr>
        <w:spacing w:line="360" w:lineRule="auto"/>
        <w:jc w:val="both"/>
      </w:pPr>
      <w:r>
        <w:rPr>
          <w:rFonts w:ascii="Book Antiqua" w:eastAsia="Book Antiqua" w:hAnsi="Book Antiqua" w:cs="Book Antiqua"/>
          <w:color w:val="000000"/>
        </w:rPr>
        <w:t>Grade B (Very good): B, B</w:t>
      </w:r>
    </w:p>
    <w:p w14:paraId="11C98453" w14:textId="77777777" w:rsidR="00A77B3E" w:rsidRDefault="00A5649E">
      <w:pPr>
        <w:spacing w:line="360" w:lineRule="auto"/>
        <w:jc w:val="both"/>
      </w:pPr>
      <w:r>
        <w:rPr>
          <w:rFonts w:ascii="Book Antiqua" w:eastAsia="Book Antiqua" w:hAnsi="Book Antiqua" w:cs="Book Antiqua"/>
          <w:color w:val="000000"/>
        </w:rPr>
        <w:t>Grade C (Good): 0</w:t>
      </w:r>
    </w:p>
    <w:p w14:paraId="7AE6111B" w14:textId="77777777" w:rsidR="00A77B3E" w:rsidRDefault="00A5649E">
      <w:pPr>
        <w:spacing w:line="360" w:lineRule="auto"/>
        <w:jc w:val="both"/>
      </w:pPr>
      <w:r>
        <w:rPr>
          <w:rFonts w:ascii="Book Antiqua" w:eastAsia="Book Antiqua" w:hAnsi="Book Antiqua" w:cs="Book Antiqua"/>
          <w:color w:val="000000"/>
        </w:rPr>
        <w:t>Grade D (Fair): 0</w:t>
      </w:r>
    </w:p>
    <w:p w14:paraId="672B3869" w14:textId="77777777" w:rsidR="00A77B3E" w:rsidRDefault="00A5649E">
      <w:pPr>
        <w:spacing w:line="360" w:lineRule="auto"/>
        <w:jc w:val="both"/>
      </w:pPr>
      <w:r>
        <w:rPr>
          <w:rFonts w:ascii="Book Antiqua" w:eastAsia="Book Antiqua" w:hAnsi="Book Antiqua" w:cs="Book Antiqua"/>
          <w:color w:val="000000"/>
        </w:rPr>
        <w:t>Grade E (Poor): 0</w:t>
      </w:r>
    </w:p>
    <w:p w14:paraId="001FFAE0" w14:textId="77777777" w:rsidR="00A77B3E" w:rsidRDefault="00A77B3E">
      <w:pPr>
        <w:spacing w:line="360" w:lineRule="auto"/>
        <w:jc w:val="both"/>
      </w:pPr>
    </w:p>
    <w:p w14:paraId="65E817F9" w14:textId="77777777" w:rsidR="00A77B3E" w:rsidRPr="00DC2CE5" w:rsidRDefault="00A5649E">
      <w:pPr>
        <w:spacing w:line="360" w:lineRule="auto"/>
        <w:jc w:val="both"/>
        <w:rPr>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CP,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w:t>
      </w:r>
      <w:r w:rsidR="00DC2CE5">
        <w:rPr>
          <w:rFonts w:ascii="Book Antiqua" w:hAnsi="Book Antiqua" w:cs="Book Antiqua" w:hint="eastAsia"/>
          <w:b/>
          <w:color w:val="000000"/>
          <w:lang w:eastAsia="zh-CN"/>
        </w:rPr>
        <w:t xml:space="preserve"> </w:t>
      </w:r>
    </w:p>
    <w:sectPr w:rsidR="00A77B3E" w:rsidRPr="00DC2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3F43" w14:textId="77777777" w:rsidR="00A74241" w:rsidRDefault="00A74241" w:rsidP="00E94CD4">
      <w:r>
        <w:separator/>
      </w:r>
    </w:p>
  </w:endnote>
  <w:endnote w:type="continuationSeparator" w:id="0">
    <w:p w14:paraId="2BD6F8F0" w14:textId="77777777" w:rsidR="00A74241" w:rsidRDefault="00A74241" w:rsidP="00E9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222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4E9DC66" w14:textId="77777777" w:rsidR="00E94CD4" w:rsidRPr="00E94CD4" w:rsidRDefault="00E94CD4" w:rsidP="00E94CD4">
            <w:pPr>
              <w:pStyle w:val="a5"/>
              <w:jc w:val="right"/>
              <w:rPr>
                <w:rFonts w:ascii="Book Antiqua" w:hAnsi="Book Antiqua"/>
                <w:sz w:val="24"/>
                <w:szCs w:val="24"/>
              </w:rPr>
            </w:pPr>
            <w:r w:rsidRPr="00E94CD4">
              <w:rPr>
                <w:rFonts w:ascii="Book Antiqua" w:hAnsi="Book Antiqua"/>
                <w:sz w:val="24"/>
                <w:szCs w:val="24"/>
                <w:lang w:val="zh-CN" w:eastAsia="zh-CN"/>
              </w:rPr>
              <w:t xml:space="preserve"> </w:t>
            </w:r>
            <w:r w:rsidRPr="00E94CD4">
              <w:rPr>
                <w:rFonts w:ascii="Book Antiqua" w:hAnsi="Book Antiqua"/>
                <w:bCs/>
                <w:sz w:val="24"/>
                <w:szCs w:val="24"/>
              </w:rPr>
              <w:fldChar w:fldCharType="begin"/>
            </w:r>
            <w:r w:rsidRPr="00E94CD4">
              <w:rPr>
                <w:rFonts w:ascii="Book Antiqua" w:hAnsi="Book Antiqua"/>
                <w:bCs/>
                <w:sz w:val="24"/>
                <w:szCs w:val="24"/>
              </w:rPr>
              <w:instrText>PAGE</w:instrText>
            </w:r>
            <w:r w:rsidRPr="00E94CD4">
              <w:rPr>
                <w:rFonts w:ascii="Book Antiqua" w:hAnsi="Book Antiqua"/>
                <w:bCs/>
                <w:sz w:val="24"/>
                <w:szCs w:val="24"/>
              </w:rPr>
              <w:fldChar w:fldCharType="separate"/>
            </w:r>
            <w:r w:rsidR="009A3688">
              <w:rPr>
                <w:rFonts w:ascii="Book Antiqua" w:hAnsi="Book Antiqua"/>
                <w:bCs/>
                <w:noProof/>
                <w:sz w:val="24"/>
                <w:szCs w:val="24"/>
              </w:rPr>
              <w:t>3</w:t>
            </w:r>
            <w:r w:rsidRPr="00E94CD4">
              <w:rPr>
                <w:rFonts w:ascii="Book Antiqua" w:hAnsi="Book Antiqua"/>
                <w:bCs/>
                <w:sz w:val="24"/>
                <w:szCs w:val="24"/>
              </w:rPr>
              <w:fldChar w:fldCharType="end"/>
            </w:r>
            <w:r w:rsidRPr="00E94CD4">
              <w:rPr>
                <w:rFonts w:ascii="Book Antiqua" w:hAnsi="Book Antiqua"/>
                <w:sz w:val="24"/>
                <w:szCs w:val="24"/>
                <w:lang w:val="zh-CN" w:eastAsia="zh-CN"/>
              </w:rPr>
              <w:t xml:space="preserve"> / </w:t>
            </w:r>
            <w:r w:rsidRPr="00E94CD4">
              <w:rPr>
                <w:rFonts w:ascii="Book Antiqua" w:hAnsi="Book Antiqua"/>
                <w:bCs/>
                <w:sz w:val="24"/>
                <w:szCs w:val="24"/>
              </w:rPr>
              <w:fldChar w:fldCharType="begin"/>
            </w:r>
            <w:r w:rsidRPr="00E94CD4">
              <w:rPr>
                <w:rFonts w:ascii="Book Antiqua" w:hAnsi="Book Antiqua"/>
                <w:bCs/>
                <w:sz w:val="24"/>
                <w:szCs w:val="24"/>
              </w:rPr>
              <w:instrText>NUMPAGES</w:instrText>
            </w:r>
            <w:r w:rsidRPr="00E94CD4">
              <w:rPr>
                <w:rFonts w:ascii="Book Antiqua" w:hAnsi="Book Antiqua"/>
                <w:bCs/>
                <w:sz w:val="24"/>
                <w:szCs w:val="24"/>
              </w:rPr>
              <w:fldChar w:fldCharType="separate"/>
            </w:r>
            <w:r w:rsidR="009A3688">
              <w:rPr>
                <w:rFonts w:ascii="Book Antiqua" w:hAnsi="Book Antiqua"/>
                <w:bCs/>
                <w:noProof/>
                <w:sz w:val="24"/>
                <w:szCs w:val="24"/>
              </w:rPr>
              <w:t>6</w:t>
            </w:r>
            <w:r w:rsidRPr="00E94CD4">
              <w:rPr>
                <w:rFonts w:ascii="Book Antiqua" w:hAnsi="Book Antiqua"/>
                <w:bCs/>
                <w:sz w:val="24"/>
                <w:szCs w:val="24"/>
              </w:rPr>
              <w:fldChar w:fldCharType="end"/>
            </w:r>
          </w:p>
        </w:sdtContent>
      </w:sdt>
    </w:sdtContent>
  </w:sdt>
  <w:p w14:paraId="6AB8E8D4" w14:textId="77777777" w:rsidR="00E94CD4" w:rsidRPr="00E94CD4" w:rsidRDefault="00E94CD4" w:rsidP="00E94CD4">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6B8C" w14:textId="77777777" w:rsidR="00A74241" w:rsidRDefault="00A74241" w:rsidP="00E94CD4">
      <w:r>
        <w:separator/>
      </w:r>
    </w:p>
  </w:footnote>
  <w:footnote w:type="continuationSeparator" w:id="0">
    <w:p w14:paraId="62AA21B3" w14:textId="77777777" w:rsidR="00A74241" w:rsidRDefault="00A74241" w:rsidP="00E9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775B"/>
    <w:rsid w:val="00273080"/>
    <w:rsid w:val="002C3921"/>
    <w:rsid w:val="0034520D"/>
    <w:rsid w:val="00901DC2"/>
    <w:rsid w:val="009A3688"/>
    <w:rsid w:val="00A5649E"/>
    <w:rsid w:val="00A74241"/>
    <w:rsid w:val="00A77B3E"/>
    <w:rsid w:val="00CA2A55"/>
    <w:rsid w:val="00DC2CE5"/>
    <w:rsid w:val="00E94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C3B35"/>
  <w15:docId w15:val="{898A59A4-3335-419E-8270-E1AE55EF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C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94CD4"/>
    <w:rPr>
      <w:sz w:val="18"/>
      <w:szCs w:val="18"/>
    </w:rPr>
  </w:style>
  <w:style w:type="paragraph" w:styleId="a5">
    <w:name w:val="footer"/>
    <w:basedOn w:val="a"/>
    <w:link w:val="a6"/>
    <w:uiPriority w:val="99"/>
    <w:rsid w:val="00E94CD4"/>
    <w:pPr>
      <w:tabs>
        <w:tab w:val="center" w:pos="4153"/>
        <w:tab w:val="right" w:pos="8306"/>
      </w:tabs>
      <w:snapToGrid w:val="0"/>
    </w:pPr>
    <w:rPr>
      <w:sz w:val="18"/>
      <w:szCs w:val="18"/>
    </w:rPr>
  </w:style>
  <w:style w:type="character" w:customStyle="1" w:styleId="a6">
    <w:name w:val="页脚 字符"/>
    <w:basedOn w:val="a0"/>
    <w:link w:val="a5"/>
    <w:uiPriority w:val="99"/>
    <w:rsid w:val="00E94C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2021-09-06T10:39:00Z</dcterms:created>
  <dcterms:modified xsi:type="dcterms:W3CDTF">2021-09-06T10:39:00Z</dcterms:modified>
</cp:coreProperties>
</file>