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AA5F"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rPr>
        <w:t xml:space="preserve">Name of Journal: </w:t>
      </w:r>
      <w:r w:rsidRPr="0049564D">
        <w:rPr>
          <w:rFonts w:ascii="Book Antiqua" w:eastAsia="Book Antiqua" w:hAnsi="Book Antiqua" w:cs="Book Antiqua"/>
          <w:i/>
        </w:rPr>
        <w:t>World Journal of Clinical Cases</w:t>
      </w:r>
    </w:p>
    <w:p w14:paraId="2415AA7F"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rPr>
        <w:t xml:space="preserve">Manuscript NO: </w:t>
      </w:r>
      <w:r w:rsidRPr="0049564D">
        <w:rPr>
          <w:rFonts w:ascii="Book Antiqua" w:eastAsia="Book Antiqua" w:hAnsi="Book Antiqua" w:cs="Book Antiqua"/>
        </w:rPr>
        <w:t>68486</w:t>
      </w:r>
    </w:p>
    <w:p w14:paraId="6E3AA103"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rPr>
        <w:t xml:space="preserve">Manuscript Type: </w:t>
      </w:r>
      <w:r w:rsidRPr="0049564D">
        <w:rPr>
          <w:rFonts w:ascii="Book Antiqua" w:eastAsia="Book Antiqua" w:hAnsi="Book Antiqua" w:cs="Book Antiqua"/>
        </w:rPr>
        <w:t>ORIGINAL ARTICLE</w:t>
      </w:r>
    </w:p>
    <w:p w14:paraId="5A3FF499" w14:textId="77777777" w:rsidR="00A77B3E" w:rsidRPr="0049564D" w:rsidRDefault="00A77B3E" w:rsidP="00B24044">
      <w:pPr>
        <w:adjustRightInd w:val="0"/>
        <w:snapToGrid w:val="0"/>
        <w:spacing w:line="360" w:lineRule="auto"/>
        <w:jc w:val="both"/>
        <w:rPr>
          <w:rFonts w:ascii="Book Antiqua" w:hAnsi="Book Antiqua"/>
        </w:rPr>
      </w:pPr>
    </w:p>
    <w:p w14:paraId="62978798"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i/>
        </w:rPr>
        <w:t>Retrospective Study</w:t>
      </w:r>
    </w:p>
    <w:p w14:paraId="4206278F" w14:textId="7FCBCE16" w:rsidR="00A77B3E" w:rsidRPr="0049564D" w:rsidRDefault="0062767C" w:rsidP="00B24044">
      <w:pPr>
        <w:adjustRightInd w:val="0"/>
        <w:snapToGrid w:val="0"/>
        <w:spacing w:line="360" w:lineRule="auto"/>
        <w:jc w:val="both"/>
        <w:rPr>
          <w:rFonts w:ascii="Book Antiqua" w:eastAsia="Book Antiqua" w:hAnsi="Book Antiqua" w:cs="Book Antiqua"/>
          <w:b/>
        </w:rPr>
      </w:pPr>
      <w:r w:rsidRPr="0049564D">
        <w:rPr>
          <w:rFonts w:ascii="Book Antiqua" w:eastAsia="Book Antiqua" w:hAnsi="Book Antiqua" w:cs="Book Antiqua"/>
          <w:b/>
        </w:rPr>
        <w:t>Risk factors for occult metastasis detected by inflammation-based prognostic scores and tumor markers in biliary tract cancer</w:t>
      </w:r>
    </w:p>
    <w:p w14:paraId="48AE1E13" w14:textId="77777777" w:rsidR="0062767C" w:rsidRPr="0049564D" w:rsidRDefault="0062767C" w:rsidP="00B24044">
      <w:pPr>
        <w:adjustRightInd w:val="0"/>
        <w:snapToGrid w:val="0"/>
        <w:spacing w:line="360" w:lineRule="auto"/>
        <w:jc w:val="both"/>
        <w:rPr>
          <w:rFonts w:ascii="Book Antiqua" w:hAnsi="Book Antiqua"/>
        </w:rPr>
      </w:pPr>
    </w:p>
    <w:p w14:paraId="012880F4" w14:textId="0B26947B" w:rsidR="00A77B3E" w:rsidRPr="0049564D" w:rsidRDefault="00B87D2C"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Hashimoto Y </w:t>
      </w:r>
      <w:r w:rsidRPr="0049564D">
        <w:rPr>
          <w:rFonts w:ascii="Book Antiqua" w:eastAsia="Book Antiqua" w:hAnsi="Book Antiqua" w:cs="Book Antiqua"/>
          <w:i/>
          <w:iCs/>
        </w:rPr>
        <w:t>et al</w:t>
      </w:r>
      <w:r w:rsidRPr="0049564D">
        <w:rPr>
          <w:rFonts w:ascii="Book Antiqua" w:eastAsia="Book Antiqua" w:hAnsi="Book Antiqua" w:cs="Book Antiqua"/>
        </w:rPr>
        <w:t xml:space="preserve">. </w:t>
      </w:r>
      <w:r w:rsidR="006939FE" w:rsidRPr="0049564D">
        <w:rPr>
          <w:rFonts w:ascii="Book Antiqua" w:eastAsia="Book Antiqua" w:hAnsi="Book Antiqua" w:cs="Book Antiqua"/>
        </w:rPr>
        <w:t>Risk factors for occult metastasis in BTC</w:t>
      </w:r>
    </w:p>
    <w:p w14:paraId="09E7C89E" w14:textId="77777777" w:rsidR="00A77B3E" w:rsidRPr="0049564D" w:rsidRDefault="00A77B3E" w:rsidP="00B24044">
      <w:pPr>
        <w:adjustRightInd w:val="0"/>
        <w:snapToGrid w:val="0"/>
        <w:spacing w:line="360" w:lineRule="auto"/>
        <w:jc w:val="both"/>
        <w:rPr>
          <w:rFonts w:ascii="Book Antiqua" w:hAnsi="Book Antiqua"/>
        </w:rPr>
      </w:pPr>
    </w:p>
    <w:p w14:paraId="1C07FCD0" w14:textId="5BCD78C3"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Yu </w:t>
      </w:r>
      <w:r w:rsidR="00B87D2C" w:rsidRPr="0049564D">
        <w:rPr>
          <w:rFonts w:ascii="Book Antiqua" w:eastAsia="Book Antiqua" w:hAnsi="Book Antiqua" w:cs="Book Antiqua"/>
        </w:rPr>
        <w:t>Hashimoto</w:t>
      </w:r>
      <w:r w:rsidRPr="0049564D">
        <w:rPr>
          <w:rFonts w:ascii="Book Antiqua" w:eastAsia="Book Antiqua" w:hAnsi="Book Antiqua" w:cs="Book Antiqua"/>
        </w:rPr>
        <w:t>, Tetsuo Ajiki, Hiroaki Yanagimoto, Daisuke Tsugawa, Kenta Shinozaki, Hirochika Toyama, Masahiro Kido, Takumi Fukumoto</w:t>
      </w:r>
    </w:p>
    <w:p w14:paraId="797A8B5E" w14:textId="77777777" w:rsidR="00A77B3E" w:rsidRPr="0049564D" w:rsidRDefault="00A77B3E" w:rsidP="00B24044">
      <w:pPr>
        <w:adjustRightInd w:val="0"/>
        <w:snapToGrid w:val="0"/>
        <w:spacing w:line="360" w:lineRule="auto"/>
        <w:jc w:val="both"/>
        <w:rPr>
          <w:rFonts w:ascii="Book Antiqua" w:hAnsi="Book Antiqua"/>
        </w:rPr>
      </w:pPr>
    </w:p>
    <w:p w14:paraId="6075775B" w14:textId="0609A6E2" w:rsidR="00C121EB" w:rsidRPr="0049564D" w:rsidRDefault="006939FE" w:rsidP="00B24044">
      <w:pPr>
        <w:pStyle w:val="1"/>
        <w:snapToGrid w:val="0"/>
        <w:spacing w:line="360" w:lineRule="auto"/>
        <w:rPr>
          <w:rFonts w:ascii="Book Antiqua" w:hAnsi="Book Antiqua"/>
          <w:sz w:val="24"/>
          <w:szCs w:val="24"/>
        </w:rPr>
      </w:pPr>
      <w:r w:rsidRPr="0049564D">
        <w:rPr>
          <w:rFonts w:ascii="Book Antiqua" w:eastAsia="Book Antiqua" w:hAnsi="Book Antiqua" w:cs="Book Antiqua"/>
          <w:b/>
          <w:bCs/>
          <w:sz w:val="24"/>
          <w:szCs w:val="24"/>
        </w:rPr>
        <w:t xml:space="preserve">Yu Hashimoto, Tetsuo Ajiki, Hiroaki Yanagimoto, Daisuke Tsugawa, Kenta Shinozaki, Hirochika Toyama, Masahiro Kido, Takumi Fukumoto, </w:t>
      </w:r>
      <w:r w:rsidR="00C121EB" w:rsidRPr="0049564D">
        <w:rPr>
          <w:rFonts w:ascii="Book Antiqua" w:hAnsi="Book Antiqua"/>
          <w:sz w:val="24"/>
          <w:szCs w:val="24"/>
        </w:rPr>
        <w:t>Department of Surgery, Division of Hepato-Biliary-Pancreatic Surgery</w:t>
      </w:r>
      <w:r w:rsidR="00C121EB" w:rsidRPr="0049564D">
        <w:rPr>
          <w:rFonts w:ascii="Book Antiqua" w:hAnsi="Book Antiqua"/>
          <w:b/>
          <w:sz w:val="24"/>
          <w:szCs w:val="24"/>
        </w:rPr>
        <w:t xml:space="preserve">, </w:t>
      </w:r>
      <w:r w:rsidR="00C121EB" w:rsidRPr="0049564D">
        <w:rPr>
          <w:rFonts w:ascii="Book Antiqua" w:hAnsi="Book Antiqua"/>
          <w:sz w:val="24"/>
          <w:szCs w:val="24"/>
        </w:rPr>
        <w:t>Kobe University Graduate School of Medicine, Kobe, Hyogo 650-0017, Japan</w:t>
      </w:r>
    </w:p>
    <w:p w14:paraId="061E7596" w14:textId="1570C34A" w:rsidR="00A77B3E" w:rsidRPr="0049564D" w:rsidRDefault="00A77B3E" w:rsidP="00B24044">
      <w:pPr>
        <w:adjustRightInd w:val="0"/>
        <w:snapToGrid w:val="0"/>
        <w:spacing w:line="360" w:lineRule="auto"/>
        <w:jc w:val="both"/>
        <w:rPr>
          <w:rFonts w:ascii="Book Antiqua" w:hAnsi="Book Antiqua"/>
        </w:rPr>
      </w:pPr>
    </w:p>
    <w:p w14:paraId="5991C24C" w14:textId="5446634C"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bCs/>
        </w:rPr>
        <w:t xml:space="preserve">Author contributions: </w:t>
      </w:r>
      <w:r w:rsidRPr="0049564D">
        <w:rPr>
          <w:rFonts w:ascii="Book Antiqua" w:eastAsia="Book Antiqua" w:hAnsi="Book Antiqua" w:cs="Book Antiqua"/>
        </w:rPr>
        <w:t>Ajiki T and Hashimoto Y designed and performed the research and wrote the paper; Yanagimoto H and Tsugawa D contributed to the analysis; Shinozaki K collected the clinical data; Toyama H</w:t>
      </w:r>
      <w:r w:rsidR="00C121EB" w:rsidRPr="0049564D">
        <w:rPr>
          <w:rFonts w:ascii="Book Antiqua" w:eastAsia="Book Antiqua" w:hAnsi="Book Antiqua" w:cs="Book Antiqua"/>
        </w:rPr>
        <w:t xml:space="preserve"> </w:t>
      </w:r>
      <w:r w:rsidR="00C121EB" w:rsidRPr="0049564D">
        <w:rPr>
          <w:rFonts w:ascii="Book Antiqua" w:hAnsi="Book Antiqua" w:cs="Book Antiqua"/>
          <w:lang w:eastAsia="zh-CN"/>
        </w:rPr>
        <w:t>and</w:t>
      </w:r>
      <w:r w:rsidRPr="0049564D">
        <w:rPr>
          <w:rFonts w:ascii="Book Antiqua" w:eastAsia="Book Antiqua" w:hAnsi="Book Antiqua" w:cs="Book Antiqua"/>
        </w:rPr>
        <w:t xml:space="preserve"> Kido M provided clinical advice; Fukumoto T supervised the report.</w:t>
      </w:r>
    </w:p>
    <w:p w14:paraId="47D7D066" w14:textId="77777777" w:rsidR="00A77B3E" w:rsidRPr="0049564D" w:rsidRDefault="00A77B3E" w:rsidP="00B24044">
      <w:pPr>
        <w:adjustRightInd w:val="0"/>
        <w:snapToGrid w:val="0"/>
        <w:spacing w:line="360" w:lineRule="auto"/>
        <w:jc w:val="both"/>
        <w:rPr>
          <w:rFonts w:ascii="Book Antiqua" w:hAnsi="Book Antiqua"/>
        </w:rPr>
      </w:pPr>
    </w:p>
    <w:p w14:paraId="7EF1142F" w14:textId="77777777" w:rsidR="00C121EB" w:rsidRPr="0049564D" w:rsidRDefault="006939FE" w:rsidP="00B24044">
      <w:pPr>
        <w:pStyle w:val="1"/>
        <w:snapToGrid w:val="0"/>
        <w:spacing w:line="360" w:lineRule="auto"/>
        <w:rPr>
          <w:rFonts w:ascii="Book Antiqua" w:hAnsi="Book Antiqua"/>
          <w:sz w:val="24"/>
          <w:szCs w:val="24"/>
        </w:rPr>
      </w:pPr>
      <w:r w:rsidRPr="0049564D">
        <w:rPr>
          <w:rFonts w:ascii="Book Antiqua" w:eastAsia="Book Antiqua" w:hAnsi="Book Antiqua" w:cs="Book Antiqua"/>
          <w:b/>
          <w:bCs/>
          <w:sz w:val="24"/>
          <w:szCs w:val="24"/>
        </w:rPr>
        <w:t xml:space="preserve">Corresponding author: Tetsuo Ajiki, MD, Professor, </w:t>
      </w:r>
      <w:r w:rsidR="00C121EB" w:rsidRPr="0049564D">
        <w:rPr>
          <w:rFonts w:ascii="Book Antiqua" w:hAnsi="Book Antiqua"/>
          <w:sz w:val="24"/>
          <w:szCs w:val="24"/>
        </w:rPr>
        <w:t>Department of Surgery, Division of Hepato-Biliary-Pancreatic Surgery</w:t>
      </w:r>
      <w:r w:rsidR="00C121EB" w:rsidRPr="0049564D">
        <w:rPr>
          <w:rFonts w:ascii="Book Antiqua" w:hAnsi="Book Antiqua"/>
          <w:b/>
          <w:sz w:val="24"/>
          <w:szCs w:val="24"/>
        </w:rPr>
        <w:t xml:space="preserve">, </w:t>
      </w:r>
      <w:r w:rsidR="00C121EB" w:rsidRPr="0049564D">
        <w:rPr>
          <w:rFonts w:ascii="Book Antiqua" w:hAnsi="Book Antiqua"/>
          <w:sz w:val="24"/>
          <w:szCs w:val="24"/>
        </w:rPr>
        <w:t>Kobe University Graduate School of Medicine, 7-5-2, Kusunoki-cho, Chuo-ku, Kobe, Hyogo 650-0017, Japan. ajiki@med.kobe-u.ac.jp</w:t>
      </w:r>
    </w:p>
    <w:p w14:paraId="10083AC3" w14:textId="01A04D68" w:rsidR="00A77B3E" w:rsidRPr="0049564D" w:rsidRDefault="00A77B3E" w:rsidP="00B24044">
      <w:pPr>
        <w:adjustRightInd w:val="0"/>
        <w:snapToGrid w:val="0"/>
        <w:spacing w:line="360" w:lineRule="auto"/>
        <w:jc w:val="both"/>
        <w:rPr>
          <w:rFonts w:ascii="Book Antiqua" w:hAnsi="Book Antiqua"/>
        </w:rPr>
      </w:pPr>
    </w:p>
    <w:p w14:paraId="26C2FC5F"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bCs/>
        </w:rPr>
        <w:t xml:space="preserve">Received: </w:t>
      </w:r>
      <w:r w:rsidRPr="0049564D">
        <w:rPr>
          <w:rFonts w:ascii="Book Antiqua" w:eastAsia="Book Antiqua" w:hAnsi="Book Antiqua" w:cs="Book Antiqua"/>
        </w:rPr>
        <w:t>May 25, 2021</w:t>
      </w:r>
    </w:p>
    <w:p w14:paraId="21587E76" w14:textId="6BBEF90A"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bCs/>
        </w:rPr>
        <w:t xml:space="preserve">Revised: </w:t>
      </w:r>
      <w:r w:rsidR="00530F0B" w:rsidRPr="0049564D">
        <w:rPr>
          <w:rFonts w:ascii="Book Antiqua" w:eastAsia="Book Antiqua" w:hAnsi="Book Antiqua" w:cs="Book Antiqua"/>
        </w:rPr>
        <w:t>July 13, 2021</w:t>
      </w:r>
    </w:p>
    <w:p w14:paraId="5AF84650" w14:textId="724E3033"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bCs/>
        </w:rPr>
        <w:lastRenderedPageBreak/>
        <w:t xml:space="preserve">Accepted: </w:t>
      </w:r>
      <w:r w:rsidR="00916F8A" w:rsidRPr="0049564D">
        <w:rPr>
          <w:rFonts w:ascii="Book Antiqua" w:hAnsi="Book Antiqua"/>
          <w:color w:val="000000" w:themeColor="text1"/>
        </w:rPr>
        <w:t>September 22, 2021</w:t>
      </w:r>
    </w:p>
    <w:p w14:paraId="01AE55EA" w14:textId="15DB23D8" w:rsidR="00A77B3E" w:rsidRPr="0049564D" w:rsidRDefault="006939FE" w:rsidP="00B24044">
      <w:pPr>
        <w:adjustRightInd w:val="0"/>
        <w:snapToGrid w:val="0"/>
        <w:spacing w:line="360" w:lineRule="auto"/>
        <w:jc w:val="both"/>
        <w:rPr>
          <w:rFonts w:ascii="Book Antiqua" w:hAnsi="Book Antiqua"/>
          <w:color w:val="000000" w:themeColor="text1"/>
        </w:rPr>
      </w:pPr>
      <w:r w:rsidRPr="0049564D">
        <w:rPr>
          <w:rFonts w:ascii="Book Antiqua" w:eastAsia="Book Antiqua" w:hAnsi="Book Antiqua" w:cs="Book Antiqua"/>
          <w:b/>
          <w:bCs/>
        </w:rPr>
        <w:t>Published online:</w:t>
      </w:r>
      <w:r w:rsidRPr="0049564D">
        <w:rPr>
          <w:rFonts w:ascii="Book Antiqua" w:hAnsi="Book Antiqua"/>
          <w:color w:val="000000" w:themeColor="text1"/>
        </w:rPr>
        <w:t xml:space="preserve"> </w:t>
      </w:r>
      <w:r w:rsidR="0005223D" w:rsidRPr="0049564D">
        <w:rPr>
          <w:rFonts w:ascii="Book Antiqua" w:hAnsi="Book Antiqua" w:hint="eastAsia"/>
          <w:color w:val="000000" w:themeColor="text1"/>
        </w:rPr>
        <w:t>N</w:t>
      </w:r>
      <w:r w:rsidR="0005223D" w:rsidRPr="0049564D">
        <w:rPr>
          <w:rFonts w:ascii="Book Antiqua" w:hAnsi="Book Antiqua"/>
          <w:color w:val="000000" w:themeColor="text1"/>
        </w:rPr>
        <w:t>ovember 16, 2021</w:t>
      </w:r>
    </w:p>
    <w:p w14:paraId="34B0AFD3" w14:textId="77777777" w:rsidR="0062767C" w:rsidRPr="0049564D" w:rsidRDefault="0062767C" w:rsidP="00B24044">
      <w:pPr>
        <w:adjustRightInd w:val="0"/>
        <w:snapToGrid w:val="0"/>
        <w:spacing w:line="360" w:lineRule="auto"/>
        <w:jc w:val="both"/>
        <w:rPr>
          <w:rFonts w:ascii="Book Antiqua" w:hAnsi="Book Antiqua"/>
          <w:color w:val="000000" w:themeColor="text1"/>
        </w:rPr>
      </w:pPr>
    </w:p>
    <w:p w14:paraId="70F60121" w14:textId="77777777" w:rsidR="0062767C" w:rsidRPr="0049564D" w:rsidRDefault="0062767C" w:rsidP="00B24044">
      <w:pPr>
        <w:adjustRightInd w:val="0"/>
        <w:snapToGrid w:val="0"/>
        <w:spacing w:line="360" w:lineRule="auto"/>
        <w:jc w:val="both"/>
        <w:rPr>
          <w:rFonts w:ascii="Book Antiqua" w:eastAsia="Book Antiqua" w:hAnsi="Book Antiqua" w:cs="Book Antiqua"/>
          <w:b/>
        </w:rPr>
      </w:pPr>
    </w:p>
    <w:p w14:paraId="0450166F" w14:textId="7955F070"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rPr>
        <w:t>Abstract</w:t>
      </w:r>
    </w:p>
    <w:p w14:paraId="0F794125"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BACKGROUND</w:t>
      </w:r>
    </w:p>
    <w:p w14:paraId="6A97DB8E" w14:textId="0D6351A8" w:rsidR="00C121EB" w:rsidRPr="0049564D" w:rsidRDefault="00C121EB" w:rsidP="00B24044">
      <w:pPr>
        <w:pStyle w:val="1"/>
        <w:snapToGrid w:val="0"/>
        <w:spacing w:line="360" w:lineRule="auto"/>
        <w:rPr>
          <w:rFonts w:ascii="Book Antiqua" w:hAnsi="Book Antiqua"/>
          <w:sz w:val="24"/>
          <w:szCs w:val="24"/>
        </w:rPr>
      </w:pPr>
      <w:r w:rsidRPr="0049564D">
        <w:rPr>
          <w:rFonts w:ascii="Book Antiqua" w:hAnsi="Book Antiqua"/>
          <w:sz w:val="24"/>
          <w:szCs w:val="24"/>
        </w:rPr>
        <w:t>Radiological detection of small liver metastasis or peritoneal metastasis is still difficult, and some patients with biliary tract cancer (BTC) are unresectable after laparotomy. Staging laparoscopy may help avoid unnecessary laparotomy. However, which category of BTC is amenable with staging laparoscopy remains unclear.</w:t>
      </w:r>
    </w:p>
    <w:p w14:paraId="536BB30E" w14:textId="77777777" w:rsidR="00A77B3E" w:rsidRPr="0049564D" w:rsidRDefault="00A77B3E" w:rsidP="00B24044">
      <w:pPr>
        <w:adjustRightInd w:val="0"/>
        <w:snapToGrid w:val="0"/>
        <w:spacing w:line="360" w:lineRule="auto"/>
        <w:jc w:val="both"/>
        <w:rPr>
          <w:rFonts w:ascii="Book Antiqua" w:hAnsi="Book Antiqua"/>
        </w:rPr>
      </w:pPr>
    </w:p>
    <w:p w14:paraId="65C1041D"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AIM</w:t>
      </w:r>
    </w:p>
    <w:p w14:paraId="38C7B92F" w14:textId="20CB23FC"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To clarify the risk factors for occult metastasis in patients with BTC.</w:t>
      </w:r>
    </w:p>
    <w:p w14:paraId="61180216" w14:textId="77777777" w:rsidR="00A77B3E" w:rsidRPr="0049564D" w:rsidRDefault="00A77B3E" w:rsidP="00B24044">
      <w:pPr>
        <w:adjustRightInd w:val="0"/>
        <w:snapToGrid w:val="0"/>
        <w:spacing w:line="360" w:lineRule="auto"/>
        <w:jc w:val="both"/>
        <w:rPr>
          <w:rFonts w:ascii="Book Antiqua" w:hAnsi="Book Antiqua"/>
        </w:rPr>
      </w:pPr>
    </w:p>
    <w:p w14:paraId="7114E0CD"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METHODS</w:t>
      </w:r>
    </w:p>
    <w:p w14:paraId="4536ED58" w14:textId="5909BF02" w:rsidR="00C121EB" w:rsidRPr="0049564D" w:rsidRDefault="00C121EB" w:rsidP="00B24044">
      <w:pPr>
        <w:pStyle w:val="1"/>
        <w:snapToGrid w:val="0"/>
        <w:spacing w:line="360" w:lineRule="auto"/>
        <w:rPr>
          <w:rFonts w:ascii="Book Antiqua" w:hAnsi="Book Antiqua"/>
          <w:sz w:val="24"/>
          <w:szCs w:val="24"/>
        </w:rPr>
      </w:pPr>
      <w:r w:rsidRPr="0049564D">
        <w:rPr>
          <w:rFonts w:ascii="Book Antiqua" w:hAnsi="Book Antiqua"/>
          <w:sz w:val="24"/>
          <w:szCs w:val="24"/>
        </w:rPr>
        <w:t>Medical records of patients with BTC who underwent surgery at our institution between January 2008 and June 2014 were retrospectively reviewed. The patients were divided into two groups, according to resection or exploratory laparotomy (EL). Preoperative laboratory data, including inflammation-based prognostic scores and tumor markers, were compared between the two groups. Prognostic importance of detected risk factors was also evaluated.</w:t>
      </w:r>
    </w:p>
    <w:p w14:paraId="4AF6ECC4" w14:textId="77777777" w:rsidR="00A77B3E" w:rsidRPr="0049564D" w:rsidRDefault="00A77B3E" w:rsidP="00B24044">
      <w:pPr>
        <w:adjustRightInd w:val="0"/>
        <w:snapToGrid w:val="0"/>
        <w:spacing w:line="360" w:lineRule="auto"/>
        <w:jc w:val="both"/>
        <w:rPr>
          <w:rFonts w:ascii="Book Antiqua" w:hAnsi="Book Antiqua"/>
        </w:rPr>
      </w:pPr>
    </w:p>
    <w:p w14:paraId="7DE5F543"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RESULTS</w:t>
      </w:r>
    </w:p>
    <w:p w14:paraId="6920750D" w14:textId="5E586E05" w:rsidR="00C121EB" w:rsidRPr="0049564D" w:rsidRDefault="00C121EB" w:rsidP="00B24044">
      <w:pPr>
        <w:pStyle w:val="1"/>
        <w:snapToGrid w:val="0"/>
        <w:spacing w:line="360" w:lineRule="auto"/>
        <w:rPr>
          <w:rFonts w:ascii="Book Antiqua" w:hAnsi="Book Antiqua"/>
          <w:sz w:val="24"/>
          <w:szCs w:val="24"/>
        </w:rPr>
      </w:pPr>
      <w:r w:rsidRPr="0049564D">
        <w:rPr>
          <w:rFonts w:ascii="Book Antiqua" w:hAnsi="Book Antiqua"/>
          <w:sz w:val="24"/>
          <w:szCs w:val="24"/>
        </w:rPr>
        <w:t xml:space="preserve">A total of 236 patients were enrolled in this study. Twenty-six (11%) patients underwent EL. Among the EL patients, there were 16 cases of occult metastasis (7 liver metastases and 9 abdominal disseminations). Serum carcinoembryonic antigen level, carbohydrate antigen 19-9 level, neutrophil-lymphocyte ratio and modified Glasgow prognostic score were significantly higher in the EL group than in the resected group, and these factors were prognostic. Among these factors, carcinoembryonic antigen &gt; 7 ng/mL was the </w:t>
      </w:r>
      <w:r w:rsidRPr="0049564D">
        <w:rPr>
          <w:rFonts w:ascii="Book Antiqua" w:hAnsi="Book Antiqua"/>
          <w:sz w:val="24"/>
          <w:szCs w:val="24"/>
        </w:rPr>
        <w:lastRenderedPageBreak/>
        <w:t xml:space="preserve">most useful to predict occult metastasis in BTC. </w:t>
      </w:r>
      <w:bookmarkStart w:id="0" w:name="_Hlk76935287"/>
      <w:r w:rsidRPr="0049564D">
        <w:rPr>
          <w:rFonts w:ascii="Book Antiqua" w:hAnsi="Book Antiqua"/>
          <w:sz w:val="24"/>
          <w:szCs w:val="24"/>
        </w:rPr>
        <w:t>When patients have more than three of these positive factors, the rate of occult metastasis increases.</w:t>
      </w:r>
      <w:bookmarkEnd w:id="0"/>
    </w:p>
    <w:p w14:paraId="4A534F42" w14:textId="77777777" w:rsidR="00A77B3E" w:rsidRPr="0049564D" w:rsidRDefault="00A77B3E" w:rsidP="00B24044">
      <w:pPr>
        <w:adjustRightInd w:val="0"/>
        <w:snapToGrid w:val="0"/>
        <w:spacing w:line="360" w:lineRule="auto"/>
        <w:jc w:val="both"/>
        <w:rPr>
          <w:rFonts w:ascii="Book Antiqua" w:hAnsi="Book Antiqua"/>
        </w:rPr>
      </w:pPr>
    </w:p>
    <w:p w14:paraId="79146D5E"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CONCLUSION</w:t>
      </w:r>
    </w:p>
    <w:p w14:paraId="177AAB3B" w14:textId="13088160" w:rsidR="00C121EB" w:rsidRPr="0049564D" w:rsidRDefault="00C121EB" w:rsidP="00B24044">
      <w:pPr>
        <w:pStyle w:val="1"/>
        <w:snapToGrid w:val="0"/>
        <w:spacing w:line="360" w:lineRule="auto"/>
        <w:rPr>
          <w:rFonts w:ascii="Book Antiqua" w:hAnsi="Book Antiqua"/>
          <w:sz w:val="24"/>
          <w:szCs w:val="24"/>
        </w:rPr>
      </w:pPr>
      <w:r w:rsidRPr="0049564D">
        <w:rPr>
          <w:rFonts w:ascii="Book Antiqua" w:hAnsi="Book Antiqua"/>
          <w:sz w:val="24"/>
          <w:szCs w:val="24"/>
        </w:rPr>
        <w:t>Inflammation-based prognostic scores and tumor markers are useful in detecting occult metastasis in BTC; based on these factors, staging laparoscopy may reduce the rate of EL.</w:t>
      </w:r>
    </w:p>
    <w:p w14:paraId="6E736700" w14:textId="77777777" w:rsidR="00A77B3E" w:rsidRPr="0049564D" w:rsidRDefault="00A77B3E" w:rsidP="00B24044">
      <w:pPr>
        <w:adjustRightInd w:val="0"/>
        <w:snapToGrid w:val="0"/>
        <w:spacing w:line="360" w:lineRule="auto"/>
        <w:jc w:val="both"/>
        <w:rPr>
          <w:rFonts w:ascii="Book Antiqua" w:hAnsi="Book Antiqua"/>
        </w:rPr>
      </w:pPr>
    </w:p>
    <w:p w14:paraId="5C434E5B" w14:textId="70A550CD"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bCs/>
        </w:rPr>
        <w:t xml:space="preserve">Key Words: </w:t>
      </w:r>
      <w:r w:rsidRPr="0049564D">
        <w:rPr>
          <w:rFonts w:ascii="Book Antiqua" w:eastAsia="Book Antiqua" w:hAnsi="Book Antiqua" w:cs="Book Antiqua"/>
        </w:rPr>
        <w:t xml:space="preserve">Biliary tract cancer; Staging laparoscopy; Neutrophil-lymphocyte ratio; Modified Glasgow prognostic score; </w:t>
      </w:r>
      <w:r w:rsidR="00B87D2C" w:rsidRPr="0049564D">
        <w:rPr>
          <w:rFonts w:ascii="Book Antiqua" w:eastAsia="Book Antiqua" w:hAnsi="Book Antiqua" w:cs="Book Antiqua"/>
        </w:rPr>
        <w:t>Carbohydrate antigen 19-9</w:t>
      </w:r>
      <w:r w:rsidRPr="0049564D">
        <w:rPr>
          <w:rFonts w:ascii="Book Antiqua" w:eastAsia="Book Antiqua" w:hAnsi="Book Antiqua" w:cs="Book Antiqua"/>
        </w:rPr>
        <w:t xml:space="preserve">; </w:t>
      </w:r>
      <w:r w:rsidR="00B87D2C" w:rsidRPr="0049564D">
        <w:rPr>
          <w:rFonts w:ascii="Book Antiqua" w:eastAsia="Book Antiqua" w:hAnsi="Book Antiqua" w:cs="Book Antiqua"/>
        </w:rPr>
        <w:t>Carcinoembryonic antigen</w:t>
      </w:r>
    </w:p>
    <w:p w14:paraId="1DE692E3" w14:textId="77777777" w:rsidR="005600E5" w:rsidRPr="0049564D" w:rsidRDefault="005600E5" w:rsidP="005600E5">
      <w:pPr>
        <w:spacing w:line="360" w:lineRule="auto"/>
        <w:jc w:val="both"/>
        <w:rPr>
          <w:lang w:eastAsia="zh-CN"/>
        </w:rPr>
      </w:pPr>
    </w:p>
    <w:p w14:paraId="319DC384" w14:textId="77777777" w:rsidR="005600E5" w:rsidRPr="0049564D" w:rsidRDefault="005600E5" w:rsidP="005600E5">
      <w:pPr>
        <w:spacing w:line="360" w:lineRule="auto"/>
        <w:jc w:val="both"/>
        <w:rPr>
          <w:rFonts w:ascii="Book Antiqua" w:eastAsia="Book Antiqua" w:hAnsi="Book Antiqua" w:cs="Book Antiqua"/>
          <w:color w:val="000000"/>
        </w:rPr>
      </w:pPr>
      <w:r w:rsidRPr="0049564D">
        <w:rPr>
          <w:rFonts w:ascii="Book Antiqua" w:eastAsia="Book Antiqua" w:hAnsi="Book Antiqua" w:cs="Book Antiqua"/>
          <w:b/>
          <w:color w:val="000000"/>
        </w:rPr>
        <w:t>©The</w:t>
      </w:r>
      <w:r w:rsidRPr="0049564D">
        <w:rPr>
          <w:rFonts w:ascii="Book Antiqua" w:eastAsia="Book Antiqua" w:hAnsi="Book Antiqua" w:cs="Book Antiqua"/>
          <w:color w:val="000000"/>
        </w:rPr>
        <w:t xml:space="preserve"> </w:t>
      </w:r>
      <w:r w:rsidRPr="0049564D">
        <w:rPr>
          <w:rFonts w:ascii="Book Antiqua" w:eastAsia="Book Antiqua" w:hAnsi="Book Antiqua" w:cs="Book Antiqua"/>
          <w:b/>
          <w:color w:val="000000"/>
        </w:rPr>
        <w:t xml:space="preserve">Author(s) 2021. </w:t>
      </w:r>
      <w:r w:rsidRPr="0049564D">
        <w:rPr>
          <w:rFonts w:ascii="Book Antiqua" w:eastAsia="Book Antiqua" w:hAnsi="Book Antiqua" w:cs="Book Antiqua"/>
          <w:color w:val="000000"/>
        </w:rPr>
        <w:t xml:space="preserve">Published by Baishideng Publishing Group Inc. All rights reserved. </w:t>
      </w:r>
    </w:p>
    <w:p w14:paraId="0C626983" w14:textId="77777777" w:rsidR="005600E5" w:rsidRPr="0049564D" w:rsidRDefault="005600E5" w:rsidP="005600E5">
      <w:pPr>
        <w:spacing w:line="360" w:lineRule="auto"/>
        <w:jc w:val="both"/>
        <w:rPr>
          <w:lang w:eastAsia="zh-CN"/>
        </w:rPr>
      </w:pPr>
    </w:p>
    <w:p w14:paraId="23051CCB" w14:textId="3919E9D6" w:rsidR="00DD751A" w:rsidRDefault="005600E5" w:rsidP="005600E5">
      <w:pPr>
        <w:adjustRightInd w:val="0"/>
        <w:snapToGrid w:val="0"/>
        <w:spacing w:line="360" w:lineRule="auto"/>
        <w:jc w:val="both"/>
        <w:rPr>
          <w:rFonts w:ascii="Book Antiqua" w:eastAsia="Book Antiqua" w:hAnsi="Book Antiqua" w:cs="Book Antiqua"/>
        </w:rPr>
      </w:pPr>
      <w:r w:rsidRPr="0049564D">
        <w:rPr>
          <w:rFonts w:ascii="Book Antiqua" w:hAnsi="Book Antiqua" w:cs="Book Antiqua"/>
          <w:b/>
          <w:color w:val="000000"/>
          <w:lang w:eastAsia="zh-CN"/>
        </w:rPr>
        <w:t>Citation:</w:t>
      </w:r>
      <w:r w:rsidRPr="0049564D">
        <w:rPr>
          <w:rFonts w:ascii="Book Antiqua" w:hAnsi="Book Antiqua" w:cs="Book Antiqua"/>
          <w:color w:val="000000"/>
          <w:lang w:eastAsia="zh-CN"/>
        </w:rPr>
        <w:t xml:space="preserve"> </w:t>
      </w:r>
      <w:r w:rsidR="006939FE" w:rsidRPr="0049564D">
        <w:rPr>
          <w:rFonts w:ascii="Book Antiqua" w:eastAsia="Book Antiqua" w:hAnsi="Book Antiqua" w:cs="Book Antiqua"/>
        </w:rPr>
        <w:t xml:space="preserve">Hashimoto Y, Ajiki T, Yanagimoto H, Tsugawa D, Shinozaki K, Toyama H, Kido M, Fukumoto T. Risk factors for occult metastasis detected by inflammation-based prognostic scores and tumor markers in biliary tract cancer. </w:t>
      </w:r>
      <w:r w:rsidR="006939FE" w:rsidRPr="0049564D">
        <w:rPr>
          <w:rFonts w:ascii="Book Antiqua" w:eastAsia="Book Antiqua" w:hAnsi="Book Antiqua" w:cs="Book Antiqua"/>
          <w:i/>
          <w:iCs/>
        </w:rPr>
        <w:t>World J Clin Cases</w:t>
      </w:r>
      <w:r w:rsidR="006939FE" w:rsidRPr="0049564D">
        <w:rPr>
          <w:rFonts w:ascii="Book Antiqua" w:eastAsia="Book Antiqua" w:hAnsi="Book Antiqua" w:cs="Book Antiqua"/>
        </w:rPr>
        <w:t xml:space="preserve"> 2021; </w:t>
      </w:r>
      <w:r w:rsidR="00652271" w:rsidRPr="0049564D">
        <w:rPr>
          <w:rFonts w:ascii="Book Antiqua" w:eastAsia="Book Antiqua" w:hAnsi="Book Antiqua" w:cs="Book Antiqua"/>
        </w:rPr>
        <w:t xml:space="preserve">9(32): </w:t>
      </w:r>
      <w:r w:rsidR="00DD751A">
        <w:rPr>
          <w:rFonts w:ascii="Book Antiqua" w:hAnsi="Book Antiqua"/>
        </w:rPr>
        <w:t>9770-9782</w:t>
      </w:r>
    </w:p>
    <w:p w14:paraId="0DDF83A5" w14:textId="64B349CD" w:rsidR="00DD751A" w:rsidRDefault="00652271" w:rsidP="005600E5">
      <w:pPr>
        <w:adjustRightInd w:val="0"/>
        <w:snapToGrid w:val="0"/>
        <w:spacing w:line="360" w:lineRule="auto"/>
        <w:jc w:val="both"/>
        <w:rPr>
          <w:rFonts w:ascii="Book Antiqua" w:eastAsia="Book Antiqua" w:hAnsi="Book Antiqua" w:cs="Book Antiqua"/>
        </w:rPr>
      </w:pPr>
      <w:r w:rsidRPr="0049564D">
        <w:rPr>
          <w:rFonts w:ascii="Book Antiqua" w:eastAsia="Book Antiqua" w:hAnsi="Book Antiqua" w:cs="Book Antiqua"/>
        </w:rPr>
        <w:t>URL: https://www.wjgnet.com/2307-8960/full/v9/i32/</w:t>
      </w:r>
      <w:r w:rsidR="00DD751A">
        <w:rPr>
          <w:rFonts w:ascii="Book Antiqua" w:hAnsi="Book Antiqua"/>
        </w:rPr>
        <w:t>9770</w:t>
      </w:r>
      <w:r w:rsidRPr="0049564D">
        <w:rPr>
          <w:rFonts w:ascii="Book Antiqua" w:eastAsia="Book Antiqua" w:hAnsi="Book Antiqua" w:cs="Book Antiqua"/>
        </w:rPr>
        <w:t xml:space="preserve">.htm  </w:t>
      </w:r>
    </w:p>
    <w:p w14:paraId="34D59C8A" w14:textId="70023197" w:rsidR="00A77B3E" w:rsidRPr="0049564D" w:rsidRDefault="00652271" w:rsidP="005600E5">
      <w:pPr>
        <w:adjustRightInd w:val="0"/>
        <w:snapToGrid w:val="0"/>
        <w:spacing w:line="360" w:lineRule="auto"/>
        <w:jc w:val="both"/>
        <w:rPr>
          <w:rFonts w:ascii="Book Antiqua" w:hAnsi="Book Antiqua"/>
        </w:rPr>
      </w:pPr>
      <w:r w:rsidRPr="0049564D">
        <w:rPr>
          <w:rFonts w:ascii="Book Antiqua" w:eastAsia="Book Antiqua" w:hAnsi="Book Antiqua" w:cs="Book Antiqua"/>
        </w:rPr>
        <w:t>DOI: https://dx.doi.org/10.12998/wjcc.v9.i32.</w:t>
      </w:r>
      <w:r w:rsidR="00DD751A">
        <w:rPr>
          <w:rFonts w:ascii="Book Antiqua" w:hAnsi="Book Antiqua"/>
        </w:rPr>
        <w:t>9770</w:t>
      </w:r>
    </w:p>
    <w:p w14:paraId="01E32956" w14:textId="77777777" w:rsidR="00A77B3E" w:rsidRPr="0049564D" w:rsidRDefault="00A77B3E" w:rsidP="00B24044">
      <w:pPr>
        <w:adjustRightInd w:val="0"/>
        <w:snapToGrid w:val="0"/>
        <w:spacing w:line="360" w:lineRule="auto"/>
        <w:jc w:val="both"/>
        <w:rPr>
          <w:rFonts w:ascii="Book Antiqua" w:hAnsi="Book Antiqua"/>
        </w:rPr>
      </w:pPr>
    </w:p>
    <w:p w14:paraId="02B57B7F" w14:textId="6554CF3D"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bCs/>
        </w:rPr>
        <w:t xml:space="preserve">Core Tip: </w:t>
      </w:r>
      <w:r w:rsidRPr="0049564D">
        <w:rPr>
          <w:rFonts w:ascii="Book Antiqua" w:eastAsia="Book Antiqua" w:hAnsi="Book Antiqua" w:cs="Book Antiqua"/>
        </w:rPr>
        <w:t>This is a retrospective study to clarify the risk factors for occult metastasis in patients with biliary tract cancer (BTC). Radiological detection of small liver metastasis or peritoneal metastasis is difficult, and 11% BTC patients resulted in exploratory laparotomy in 7 years. Serum carcinoembryonic antigen (CEA) and carbohydrate antigen 19-9 levels, neutrophil-lymphocyte ratio and modified Glasgow prognostic score were significantly higher in the exploratory laparotomy group than in resected group. In these, CEA</w:t>
      </w:r>
      <w:r w:rsidR="00B87D2C" w:rsidRPr="0049564D">
        <w:rPr>
          <w:rFonts w:ascii="Book Antiqua" w:eastAsia="Book Antiqua" w:hAnsi="Book Antiqua" w:cs="Book Antiqua"/>
        </w:rPr>
        <w:t xml:space="preserve"> </w:t>
      </w:r>
      <w:r w:rsidRPr="0049564D">
        <w:rPr>
          <w:rFonts w:ascii="Book Antiqua" w:eastAsia="Book Antiqua" w:hAnsi="Book Antiqua" w:cs="Book Antiqua"/>
        </w:rPr>
        <w:t>&gt;</w:t>
      </w:r>
      <w:r w:rsidR="00B87D2C" w:rsidRPr="0049564D">
        <w:rPr>
          <w:rFonts w:ascii="Book Antiqua" w:eastAsia="Book Antiqua" w:hAnsi="Book Antiqua" w:cs="Book Antiqua"/>
        </w:rPr>
        <w:t xml:space="preserve"> </w:t>
      </w:r>
      <w:r w:rsidRPr="0049564D">
        <w:rPr>
          <w:rFonts w:ascii="Book Antiqua" w:eastAsia="Book Antiqua" w:hAnsi="Book Antiqua" w:cs="Book Antiqua"/>
        </w:rPr>
        <w:t>7 ng/mL and a combination of these factors were useful for predicting occult metastasis in BTC. Based on these factors, selective staging laparoscopy may reduce the rate of exploratory laparotomy.</w:t>
      </w:r>
    </w:p>
    <w:p w14:paraId="074F73E9" w14:textId="77777777" w:rsidR="00A77B3E" w:rsidRPr="0049564D" w:rsidRDefault="00A77B3E" w:rsidP="00B24044">
      <w:pPr>
        <w:adjustRightInd w:val="0"/>
        <w:snapToGrid w:val="0"/>
        <w:spacing w:line="360" w:lineRule="auto"/>
        <w:jc w:val="both"/>
        <w:rPr>
          <w:rFonts w:ascii="Book Antiqua" w:hAnsi="Book Antiqua"/>
        </w:rPr>
      </w:pPr>
    </w:p>
    <w:p w14:paraId="0E1E61AC"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caps/>
          <w:u w:val="single"/>
        </w:rPr>
        <w:t>INTRODUCTION</w:t>
      </w:r>
    </w:p>
    <w:p w14:paraId="3E95BFE5" w14:textId="4857FCF1"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Biliary tract cancer (BTC) has a poor prognosis. Curative resection is the most promising therapy, but many patients present with advanced or unresectable disease at the time of diagnosis</w:t>
      </w:r>
      <w:r w:rsidRPr="0049564D">
        <w:rPr>
          <w:rFonts w:ascii="Book Antiqua" w:eastAsia="Book Antiqua" w:hAnsi="Book Antiqua" w:cs="Book Antiqua"/>
          <w:vertAlign w:val="superscript"/>
        </w:rPr>
        <w:t xml:space="preserve"> [1</w:t>
      </w:r>
      <w:r w:rsidR="00B87D2C" w:rsidRPr="0049564D">
        <w:rPr>
          <w:rFonts w:ascii="Book Antiqua" w:eastAsia="Book Antiqua" w:hAnsi="Book Antiqua" w:cs="Book Antiqua"/>
          <w:vertAlign w:val="superscript"/>
        </w:rPr>
        <w:t>,</w:t>
      </w:r>
      <w:r w:rsidRPr="0049564D">
        <w:rPr>
          <w:rFonts w:ascii="Book Antiqua" w:eastAsia="Book Antiqua" w:hAnsi="Book Antiqua" w:cs="Book Antiqua"/>
          <w:vertAlign w:val="superscript"/>
        </w:rPr>
        <w:t>2]</w:t>
      </w:r>
      <w:r w:rsidRPr="0049564D">
        <w:rPr>
          <w:rFonts w:ascii="Book Antiqua" w:eastAsia="Book Antiqua" w:hAnsi="Book Antiqua" w:cs="Book Antiqua"/>
        </w:rPr>
        <w:t xml:space="preserve">. It is widely accepted that metastases to the liver, peritoneum, </w:t>
      </w:r>
      <w:r w:rsidR="00C121EB" w:rsidRPr="0049564D">
        <w:rPr>
          <w:rFonts w:ascii="Book Antiqua" w:hAnsi="Book Antiqua"/>
        </w:rPr>
        <w:t>distant lymph nodes, lung and bone are definite unresectable factors</w:t>
      </w:r>
      <w:r w:rsidR="00C121EB" w:rsidRPr="0049564D">
        <w:rPr>
          <w:rFonts w:ascii="Book Antiqua" w:hAnsi="Book Antiqua"/>
          <w:vertAlign w:val="superscript"/>
        </w:rPr>
        <w:t>[3]</w:t>
      </w:r>
      <w:r w:rsidRPr="0049564D">
        <w:rPr>
          <w:rFonts w:ascii="Book Antiqua" w:eastAsia="Book Antiqua" w:hAnsi="Book Antiqua" w:cs="Book Antiqua"/>
        </w:rPr>
        <w:t xml:space="preserve">. Advances in radiological imaging techniques have enabled us to understand the details of BTC preoperatively. Detecting small liver metastasis or peritoneal metastasis remains difficult, and </w:t>
      </w:r>
      <w:r w:rsidR="00C121EB" w:rsidRPr="0049564D">
        <w:rPr>
          <w:rFonts w:ascii="Book Antiqua" w:eastAsia="Book Antiqua" w:hAnsi="Book Antiqua" w:cs="Book Antiqua"/>
        </w:rPr>
        <w:t>some</w:t>
      </w:r>
      <w:r w:rsidRPr="0049564D">
        <w:rPr>
          <w:rFonts w:ascii="Book Antiqua" w:eastAsia="Book Antiqua" w:hAnsi="Book Antiqua" w:cs="Book Antiqua"/>
        </w:rPr>
        <w:t xml:space="preserve"> patients are decided to be unresectable after laparotomy</w:t>
      </w:r>
      <w:r w:rsidRPr="0049564D">
        <w:rPr>
          <w:rFonts w:ascii="Book Antiqua" w:eastAsia="Book Antiqua" w:hAnsi="Book Antiqua" w:cs="Book Antiqua"/>
          <w:vertAlign w:val="superscript"/>
        </w:rPr>
        <w:t>[2</w:t>
      </w:r>
      <w:r w:rsidR="00B87D2C" w:rsidRPr="0049564D">
        <w:rPr>
          <w:rFonts w:ascii="Book Antiqua" w:eastAsia="Book Antiqua" w:hAnsi="Book Antiqua" w:cs="Book Antiqua"/>
          <w:vertAlign w:val="superscript"/>
        </w:rPr>
        <w:t>,</w:t>
      </w:r>
      <w:r w:rsidRPr="0049564D">
        <w:rPr>
          <w:rFonts w:ascii="Book Antiqua" w:eastAsia="Book Antiqua" w:hAnsi="Book Antiqua" w:cs="Book Antiqua"/>
          <w:vertAlign w:val="superscript"/>
        </w:rPr>
        <w:t>4]</w:t>
      </w:r>
      <w:r w:rsidRPr="0049564D">
        <w:rPr>
          <w:rFonts w:ascii="Book Antiqua" w:eastAsia="Book Antiqua" w:hAnsi="Book Antiqua" w:cs="Book Antiqua"/>
        </w:rPr>
        <w:t xml:space="preserve">. Staging laparoscopy (SL) may help avoid unnecessary laparotomy due to these occult metastases, and </w:t>
      </w:r>
      <w:r w:rsidR="00C121EB" w:rsidRPr="0049564D">
        <w:rPr>
          <w:rFonts w:ascii="Book Antiqua" w:eastAsia="Book Antiqua" w:hAnsi="Book Antiqua" w:cs="Book Antiqua"/>
        </w:rPr>
        <w:t xml:space="preserve">it </w:t>
      </w:r>
      <w:r w:rsidRPr="0049564D">
        <w:rPr>
          <w:rFonts w:ascii="Book Antiqua" w:eastAsia="Book Antiqua" w:hAnsi="Book Antiqua" w:cs="Book Antiqua"/>
        </w:rPr>
        <w:t>is widely performed in patients with various solid cancer types</w:t>
      </w:r>
      <w:r w:rsidRPr="0049564D">
        <w:rPr>
          <w:rFonts w:ascii="Book Antiqua" w:eastAsia="Book Antiqua" w:hAnsi="Book Antiqua" w:cs="Book Antiqua"/>
          <w:vertAlign w:val="superscript"/>
        </w:rPr>
        <w:t xml:space="preserve"> [5–8]</w:t>
      </w:r>
      <w:r w:rsidRPr="0049564D">
        <w:rPr>
          <w:rFonts w:ascii="Book Antiqua" w:eastAsia="Book Antiqua" w:hAnsi="Book Antiqua" w:cs="Book Antiqua"/>
        </w:rPr>
        <w:t xml:space="preserve">. </w:t>
      </w:r>
    </w:p>
    <w:p w14:paraId="11EF959F" w14:textId="67596663" w:rsidR="00A77B3E" w:rsidRPr="0049564D" w:rsidRDefault="006939FE" w:rsidP="00B24044">
      <w:pPr>
        <w:adjustRightInd w:val="0"/>
        <w:snapToGrid w:val="0"/>
        <w:spacing w:line="360" w:lineRule="auto"/>
        <w:ind w:firstLine="240"/>
        <w:jc w:val="both"/>
        <w:rPr>
          <w:rFonts w:ascii="Book Antiqua" w:hAnsi="Book Antiqua"/>
        </w:rPr>
      </w:pPr>
      <w:r w:rsidRPr="0049564D">
        <w:rPr>
          <w:rFonts w:ascii="Book Antiqua" w:eastAsia="Book Antiqua" w:hAnsi="Book Antiqua" w:cs="Book Antiqua"/>
        </w:rPr>
        <w:t xml:space="preserve">Inflammation-based prognostic scores and serum carbohydrate antigen 19-9 (CA19-9) </w:t>
      </w:r>
      <w:r w:rsidR="00C121EB" w:rsidRPr="0049564D">
        <w:rPr>
          <w:rFonts w:ascii="Book Antiqua" w:eastAsia="Book Antiqua" w:hAnsi="Book Antiqua" w:cs="Book Antiqua"/>
        </w:rPr>
        <w:t xml:space="preserve">level </w:t>
      </w:r>
      <w:r w:rsidRPr="0049564D">
        <w:rPr>
          <w:rFonts w:ascii="Book Antiqua" w:eastAsia="Book Antiqua" w:hAnsi="Book Antiqua" w:cs="Book Antiqua"/>
        </w:rPr>
        <w:t>are useful for the selection of SL in pancreatic head and periampullary cancer</w:t>
      </w:r>
      <w:r w:rsidRPr="0049564D">
        <w:rPr>
          <w:rFonts w:ascii="Book Antiqua" w:eastAsia="Book Antiqua" w:hAnsi="Book Antiqua" w:cs="Book Antiqua"/>
          <w:vertAlign w:val="superscript"/>
        </w:rPr>
        <w:t>[9</w:t>
      </w:r>
      <w:r w:rsidR="00B87D2C" w:rsidRPr="0049564D">
        <w:rPr>
          <w:rFonts w:ascii="Book Antiqua" w:eastAsia="Book Antiqua" w:hAnsi="Book Antiqua" w:cs="Book Antiqua"/>
          <w:vertAlign w:val="superscript"/>
        </w:rPr>
        <w:t>,</w:t>
      </w:r>
      <w:r w:rsidRPr="0049564D">
        <w:rPr>
          <w:rFonts w:ascii="Book Antiqua" w:eastAsia="Book Antiqua" w:hAnsi="Book Antiqua" w:cs="Book Antiqua"/>
          <w:vertAlign w:val="superscript"/>
        </w:rPr>
        <w:t>10]</w:t>
      </w:r>
      <w:r w:rsidRPr="0049564D">
        <w:rPr>
          <w:rFonts w:ascii="Book Antiqua" w:eastAsia="Book Antiqua" w:hAnsi="Book Antiqua" w:cs="Book Antiqua"/>
        </w:rPr>
        <w:t>. In BTCs, serum levels of tumor markers, including CA19-9 and carcinoembryonic antigen (CEA), and inflammation-based prognostic scores are associated with prognostic outcomes</w:t>
      </w:r>
      <w:r w:rsidRPr="0049564D">
        <w:rPr>
          <w:rFonts w:ascii="Book Antiqua" w:eastAsia="Book Antiqua" w:hAnsi="Book Antiqua" w:cs="Book Antiqua"/>
          <w:vertAlign w:val="superscript"/>
        </w:rPr>
        <w:t xml:space="preserve"> [11–13]</w:t>
      </w:r>
      <w:r w:rsidRPr="0049564D">
        <w:rPr>
          <w:rFonts w:ascii="Book Antiqua" w:eastAsia="Book Antiqua" w:hAnsi="Book Antiqua" w:cs="Book Antiqua"/>
        </w:rPr>
        <w:t xml:space="preserve">. However, it remains unclear whether tumor markers and inflammation-based prognostic scores are associated with resectability or distant metastases </w:t>
      </w:r>
      <w:r w:rsidR="00C121EB" w:rsidRPr="0049564D">
        <w:rPr>
          <w:rFonts w:ascii="Book Antiqua" w:hAnsi="Book Antiqua"/>
        </w:rPr>
        <w:t xml:space="preserve">in BTC and whether resection should be performed in certain categories of patients with BTC. </w:t>
      </w:r>
      <w:r w:rsidRPr="0049564D">
        <w:rPr>
          <w:rFonts w:ascii="Book Antiqua" w:eastAsia="Book Antiqua" w:hAnsi="Book Antiqua" w:cs="Book Antiqua"/>
        </w:rPr>
        <w:t>This study aimed to elucidate the risk factors for exploratory laparotomy (EL) in patients with BTC using tumor markers and inflammation-based prognostic scores, to estimate the reduction rate of EL due to occult metastases, and to evaluate the prognosis of the risk factors.</w:t>
      </w:r>
    </w:p>
    <w:p w14:paraId="2F4BA577" w14:textId="77777777" w:rsidR="00A77B3E" w:rsidRPr="0049564D" w:rsidRDefault="00A77B3E" w:rsidP="00B24044">
      <w:pPr>
        <w:adjustRightInd w:val="0"/>
        <w:snapToGrid w:val="0"/>
        <w:spacing w:line="360" w:lineRule="auto"/>
        <w:ind w:firstLine="240"/>
        <w:jc w:val="both"/>
        <w:rPr>
          <w:rFonts w:ascii="Book Antiqua" w:hAnsi="Book Antiqua"/>
        </w:rPr>
      </w:pPr>
    </w:p>
    <w:p w14:paraId="0417A29F"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caps/>
          <w:u w:val="single"/>
        </w:rPr>
        <w:t>MATERIALS AND METHODS</w:t>
      </w:r>
    </w:p>
    <w:p w14:paraId="19C65FD1"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bCs/>
          <w:i/>
          <w:iCs/>
        </w:rPr>
        <w:t>Patients</w:t>
      </w:r>
    </w:p>
    <w:p w14:paraId="079AE625" w14:textId="45AA4A10" w:rsidR="00C121EB" w:rsidRPr="0049564D" w:rsidRDefault="006939FE" w:rsidP="00B24044">
      <w:pPr>
        <w:adjustRightInd w:val="0"/>
        <w:snapToGrid w:val="0"/>
        <w:spacing w:line="360" w:lineRule="auto"/>
        <w:jc w:val="both"/>
        <w:rPr>
          <w:rFonts w:ascii="Book Antiqua" w:eastAsia="Book Antiqua" w:hAnsi="Book Antiqua" w:cs="Book Antiqua"/>
        </w:rPr>
      </w:pPr>
      <w:r w:rsidRPr="0049564D">
        <w:rPr>
          <w:rFonts w:ascii="Book Antiqua" w:eastAsia="Book Antiqua" w:hAnsi="Book Antiqua" w:cs="Book Antiqua"/>
        </w:rPr>
        <w:t>This retrospective study included 236 patients with BTC who underwent open surgery between January 2008 and June 2014 at the Kobe University Hospital</w:t>
      </w:r>
      <w:r w:rsidR="00C121EB" w:rsidRPr="0049564D">
        <w:rPr>
          <w:rFonts w:ascii="Book Antiqua" w:eastAsia="Book Antiqua" w:hAnsi="Book Antiqua" w:cs="Book Antiqua"/>
        </w:rPr>
        <w:t xml:space="preserve"> </w:t>
      </w:r>
      <w:r w:rsidR="00C121EB" w:rsidRPr="0049564D">
        <w:rPr>
          <w:rFonts w:ascii="Book Antiqua" w:hAnsi="Book Antiqua"/>
        </w:rPr>
        <w:t>(Kobe, Hyogo, Japan)</w:t>
      </w:r>
      <w:r w:rsidRPr="0049564D">
        <w:rPr>
          <w:rFonts w:ascii="Book Antiqua" w:eastAsia="Book Antiqua" w:hAnsi="Book Antiqua" w:cs="Book Antiqua"/>
        </w:rPr>
        <w:t xml:space="preserve">. All BTC cases were histologically confirmed. For each patient, the following clinical information was collected: </w:t>
      </w:r>
      <w:r w:rsidR="00252AB2" w:rsidRPr="0049564D">
        <w:rPr>
          <w:rFonts w:ascii="Book Antiqua" w:eastAsia="Book Antiqua" w:hAnsi="Book Antiqua" w:cs="Book Antiqua"/>
        </w:rPr>
        <w:t>A</w:t>
      </w:r>
      <w:r w:rsidRPr="0049564D">
        <w:rPr>
          <w:rFonts w:ascii="Book Antiqua" w:eastAsia="Book Antiqua" w:hAnsi="Book Antiqua" w:cs="Book Antiqua"/>
        </w:rPr>
        <w:t xml:space="preserve">ge, sex, body mass index (BMI), location of tumor, </w:t>
      </w:r>
      <w:r w:rsidRPr="0049564D">
        <w:rPr>
          <w:rFonts w:ascii="Book Antiqua" w:eastAsia="Book Antiqua" w:hAnsi="Book Antiqua" w:cs="Book Antiqua"/>
        </w:rPr>
        <w:lastRenderedPageBreak/>
        <w:t>operative procedure, prognosis, and preoperative laboratory and imaging findings. The patients were divided</w:t>
      </w:r>
      <w:r w:rsidR="00C121EB" w:rsidRPr="0049564D">
        <w:rPr>
          <w:rFonts w:ascii="Book Antiqua" w:eastAsia="Book Antiqua" w:hAnsi="Book Antiqua" w:cs="Book Antiqua"/>
        </w:rPr>
        <w:t xml:space="preserve"> the following</w:t>
      </w:r>
      <w:r w:rsidRPr="0049564D">
        <w:rPr>
          <w:rFonts w:ascii="Book Antiqua" w:eastAsia="Book Antiqua" w:hAnsi="Book Antiqua" w:cs="Book Antiqua"/>
        </w:rPr>
        <w:t xml:space="preserve"> into two groups: </w:t>
      </w:r>
      <w:r w:rsidR="00252AB2" w:rsidRPr="0049564D">
        <w:rPr>
          <w:rFonts w:ascii="Book Antiqua" w:eastAsia="Book Antiqua" w:hAnsi="Book Antiqua" w:cs="Book Antiqua"/>
        </w:rPr>
        <w:t>R</w:t>
      </w:r>
      <w:r w:rsidRPr="0049564D">
        <w:rPr>
          <w:rFonts w:ascii="Book Antiqua" w:eastAsia="Book Antiqua" w:hAnsi="Book Antiqua" w:cs="Book Antiqua"/>
        </w:rPr>
        <w:t>esected (R) and</w:t>
      </w:r>
      <w:r w:rsidR="00C121EB" w:rsidRPr="0049564D">
        <w:rPr>
          <w:rFonts w:ascii="Book Antiqua" w:eastAsia="Book Antiqua" w:hAnsi="Book Antiqua" w:cs="Book Antiqua"/>
        </w:rPr>
        <w:t xml:space="preserve"> </w:t>
      </w:r>
      <w:r w:rsidRPr="0049564D">
        <w:rPr>
          <w:rFonts w:ascii="Book Antiqua" w:eastAsia="Book Antiqua" w:hAnsi="Book Antiqua" w:cs="Book Antiqua"/>
        </w:rPr>
        <w:t>EL.</w:t>
      </w:r>
    </w:p>
    <w:p w14:paraId="6A569549" w14:textId="7260D366" w:rsidR="00A77B3E" w:rsidRPr="0049564D" w:rsidRDefault="006939FE" w:rsidP="00B24044">
      <w:pPr>
        <w:adjustRightInd w:val="0"/>
        <w:snapToGrid w:val="0"/>
        <w:spacing w:line="360" w:lineRule="auto"/>
        <w:ind w:firstLineChars="200" w:firstLine="480"/>
        <w:jc w:val="both"/>
        <w:rPr>
          <w:rFonts w:ascii="Book Antiqua" w:hAnsi="Book Antiqua"/>
        </w:rPr>
      </w:pPr>
      <w:r w:rsidRPr="0049564D">
        <w:rPr>
          <w:rFonts w:ascii="Book Antiqua" w:eastAsia="Book Antiqua" w:hAnsi="Book Antiqua" w:cs="Book Antiqua"/>
        </w:rPr>
        <w:t>This study protocol was approved by the Ethics Committee of the Kobe University Graduate School of Medicine (#160163). Informed consent was obtained using the opt-out principle.</w:t>
      </w:r>
    </w:p>
    <w:p w14:paraId="16AA12D9" w14:textId="77777777" w:rsidR="00A77B3E" w:rsidRPr="0049564D" w:rsidRDefault="00A77B3E" w:rsidP="00B24044">
      <w:pPr>
        <w:adjustRightInd w:val="0"/>
        <w:snapToGrid w:val="0"/>
        <w:spacing w:line="360" w:lineRule="auto"/>
        <w:jc w:val="both"/>
        <w:rPr>
          <w:rFonts w:ascii="Book Antiqua" w:hAnsi="Book Antiqua"/>
        </w:rPr>
      </w:pPr>
    </w:p>
    <w:p w14:paraId="15A1D5F1"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bCs/>
          <w:i/>
          <w:iCs/>
        </w:rPr>
        <w:t>Management strategy for BTC patients</w:t>
      </w:r>
    </w:p>
    <w:p w14:paraId="7C99407C" w14:textId="43818DD4"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Preoperative laboratory tests and imaging studies including dynamic multidetector row computed tomography (MDCT), endoscopic retrograde cholangiography, magnetic resonance cholangiopancreatography, </w:t>
      </w:r>
      <w:r w:rsidR="00C121EB" w:rsidRPr="0049564D">
        <w:rPr>
          <w:rFonts w:ascii="Book Antiqua" w:hAnsi="Book Antiqua"/>
        </w:rPr>
        <w:t xml:space="preserve">gadolinium ethoxybenzyl-diethylenetriamine pentaacetic acid contrast-enhanced magnetic resonance imaging and </w:t>
      </w:r>
      <w:r w:rsidR="00C121EB" w:rsidRPr="0049564D">
        <w:rPr>
          <w:rFonts w:ascii="Book Antiqua" w:hAnsi="Book Antiqua"/>
          <w:vertAlign w:val="superscript"/>
        </w:rPr>
        <w:t>18</w:t>
      </w:r>
      <w:r w:rsidR="00C121EB" w:rsidRPr="0049564D">
        <w:rPr>
          <w:rFonts w:ascii="Book Antiqua" w:hAnsi="Book Antiqua"/>
        </w:rPr>
        <w:t>F-fluorodeoxyglucose positron emission tomography (FDG-PET), were performed routinely. Tumor marker, serum CA19-9 and CEA levels were assessed just before operation. Endoscopic biopsy and brushing cytology for pathological diagnosis were also performed. Endoscopic biliary drainage was performed, if necessary.</w:t>
      </w:r>
    </w:p>
    <w:p w14:paraId="1E4BCF42" w14:textId="6178FBF3" w:rsidR="00A77B3E" w:rsidRPr="0049564D" w:rsidRDefault="006939FE" w:rsidP="00B24044">
      <w:pPr>
        <w:adjustRightInd w:val="0"/>
        <w:snapToGrid w:val="0"/>
        <w:spacing w:line="360" w:lineRule="auto"/>
        <w:ind w:firstLineChars="200" w:firstLine="480"/>
        <w:jc w:val="both"/>
        <w:rPr>
          <w:rFonts w:ascii="Book Antiqua" w:hAnsi="Book Antiqua"/>
        </w:rPr>
      </w:pPr>
      <w:r w:rsidRPr="0049564D">
        <w:rPr>
          <w:rFonts w:ascii="Book Antiqua" w:eastAsia="Book Antiqua" w:hAnsi="Book Antiqua" w:cs="Book Antiqua"/>
        </w:rPr>
        <w:t>The patients were diagnosed with unresectable diseases when the imaging study findings showed definite distant metastases, far extended disease, or several locally advanced diseases such as arterial and/or portal vein encasement. Patients with unresectable disease received systemic chemotherapy or best supportive care. In the absence of radiologically unresectable disease, patients underwent open surgery. At the time of laparotomy, we routinely explored abnormalities in the abdominal cavity. EL was selected when we found liver or peritoneal metastasis and macroscopic bulky distant lymph node metastasis. When histological distant lymph node metastases (para-aortic lymph node metastases) were detected in patients with gallbladder cancer, we also performed EL according to a previous study</w:t>
      </w:r>
      <w:r w:rsidRPr="0049564D">
        <w:rPr>
          <w:rFonts w:ascii="Book Antiqua" w:eastAsia="Book Antiqua" w:hAnsi="Book Antiqua" w:cs="Book Antiqua"/>
          <w:vertAlign w:val="superscript"/>
        </w:rPr>
        <w:t>[14]</w:t>
      </w:r>
      <w:r w:rsidRPr="0049564D">
        <w:rPr>
          <w:rFonts w:ascii="Book Antiqua" w:eastAsia="Book Antiqua" w:hAnsi="Book Antiqua" w:cs="Book Antiqua"/>
        </w:rPr>
        <w:t>. When surgeons judged locally advanced tumor more than expected at laparotomy, EL was occasionally selected. In the absence of unresectable factor</w:t>
      </w:r>
      <w:r w:rsidR="00C121EB" w:rsidRPr="0049564D">
        <w:rPr>
          <w:rFonts w:ascii="Book Antiqua" w:eastAsia="Book Antiqua" w:hAnsi="Book Antiqua" w:cs="Book Antiqua"/>
        </w:rPr>
        <w:t>s</w:t>
      </w:r>
      <w:r w:rsidRPr="0049564D">
        <w:rPr>
          <w:rFonts w:ascii="Book Antiqua" w:eastAsia="Book Antiqua" w:hAnsi="Book Antiqua" w:cs="Book Antiqua"/>
        </w:rPr>
        <w:t>, complete tumor resection with lymphadenectomy was performed.</w:t>
      </w:r>
    </w:p>
    <w:p w14:paraId="5D5AD457" w14:textId="77777777" w:rsidR="00A77B3E" w:rsidRPr="0049564D" w:rsidRDefault="00A77B3E" w:rsidP="00B24044">
      <w:pPr>
        <w:adjustRightInd w:val="0"/>
        <w:snapToGrid w:val="0"/>
        <w:spacing w:line="360" w:lineRule="auto"/>
        <w:jc w:val="both"/>
        <w:rPr>
          <w:rFonts w:ascii="Book Antiqua" w:hAnsi="Book Antiqua"/>
        </w:rPr>
      </w:pPr>
    </w:p>
    <w:p w14:paraId="009104BF"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bCs/>
          <w:i/>
          <w:iCs/>
        </w:rPr>
        <w:t>Inflammation-based prognostic scores</w:t>
      </w:r>
    </w:p>
    <w:p w14:paraId="566FBF85" w14:textId="52FB6560"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lastRenderedPageBreak/>
        <w:t>The neutrophil-lymphocyte ratio (NLR) was defined as the circulating blood neutrophil/</w:t>
      </w:r>
      <w:r w:rsidR="00B87D2C" w:rsidRPr="0049564D">
        <w:rPr>
          <w:rFonts w:ascii="Book Antiqua" w:eastAsia="Book Antiqua" w:hAnsi="Book Antiqua" w:cs="Book Antiqua"/>
        </w:rPr>
        <w:t>lym</w:t>
      </w:r>
      <w:r w:rsidRPr="0049564D">
        <w:rPr>
          <w:rFonts w:ascii="Book Antiqua" w:eastAsia="Book Antiqua" w:hAnsi="Book Antiqua" w:cs="Book Antiqua"/>
        </w:rPr>
        <w:t>phocyte count ratio. The platelet-lymphocyte ratio (PLR) was defined as the circulating blood platelet/</w:t>
      </w:r>
      <w:r w:rsidR="00C121EB" w:rsidRPr="0049564D">
        <w:rPr>
          <w:rFonts w:ascii="Book Antiqua" w:eastAsia="Book Antiqua" w:hAnsi="Book Antiqua" w:cs="Book Antiqua"/>
        </w:rPr>
        <w:t>l</w:t>
      </w:r>
      <w:r w:rsidRPr="0049564D">
        <w:rPr>
          <w:rFonts w:ascii="Book Antiqua" w:eastAsia="Book Antiqua" w:hAnsi="Book Antiqua" w:cs="Book Antiqua"/>
        </w:rPr>
        <w:t xml:space="preserve">ymphocyte count ratio. Modified Glasgow </w:t>
      </w:r>
      <w:r w:rsidR="00C121EB" w:rsidRPr="0049564D">
        <w:rPr>
          <w:rFonts w:ascii="Book Antiqua" w:eastAsia="Book Antiqua" w:hAnsi="Book Antiqua" w:cs="Book Antiqua"/>
        </w:rPr>
        <w:t>prognostic scor</w:t>
      </w:r>
      <w:r w:rsidRPr="0049564D">
        <w:rPr>
          <w:rFonts w:ascii="Book Antiqua" w:eastAsia="Book Antiqua" w:hAnsi="Book Antiqua" w:cs="Book Antiqua"/>
        </w:rPr>
        <w:t xml:space="preserve">e (mGPS) was defined as follows: </w:t>
      </w:r>
      <w:r w:rsidR="00252AB2" w:rsidRPr="0049564D">
        <w:rPr>
          <w:rFonts w:ascii="Book Antiqua" w:eastAsia="Book Antiqua" w:hAnsi="Book Antiqua" w:cs="Book Antiqua"/>
        </w:rPr>
        <w:t>G</w:t>
      </w:r>
      <w:r w:rsidRPr="0049564D">
        <w:rPr>
          <w:rFonts w:ascii="Book Antiqua" w:eastAsia="Book Antiqua" w:hAnsi="Book Antiqua" w:cs="Book Antiqua"/>
        </w:rPr>
        <w:t>roup A, albumin ≥ 3.5 g/dL and C-reactive protein (CRP) &lt; 0.5 mg/dL; group B, albumin &lt; 3.5 g/dL and CRP &lt; 0.5 mg/dL; group C, albumin ≥ 3.5 g/dL and CRP ≥ 0.5 mg/dL; and group D, albumin &lt; 3.5 g/dL and CRP &lt; 0.5 mg/dL</w:t>
      </w:r>
      <w:r w:rsidRPr="0049564D">
        <w:rPr>
          <w:rFonts w:ascii="Book Antiqua" w:eastAsia="Book Antiqua" w:hAnsi="Book Antiqua" w:cs="Book Antiqua"/>
          <w:vertAlign w:val="superscript"/>
        </w:rPr>
        <w:t>[15</w:t>
      </w:r>
      <w:r w:rsidR="00B87D2C" w:rsidRPr="0049564D">
        <w:rPr>
          <w:rFonts w:ascii="Book Antiqua" w:eastAsia="Book Antiqua" w:hAnsi="Book Antiqua" w:cs="Book Antiqua"/>
          <w:vertAlign w:val="superscript"/>
        </w:rPr>
        <w:t>,</w:t>
      </w:r>
      <w:r w:rsidRPr="0049564D">
        <w:rPr>
          <w:rFonts w:ascii="Book Antiqua" w:eastAsia="Book Antiqua" w:hAnsi="Book Antiqua" w:cs="Book Antiqua"/>
          <w:vertAlign w:val="superscript"/>
        </w:rPr>
        <w:t>16]</w:t>
      </w:r>
      <w:r w:rsidRPr="0049564D">
        <w:rPr>
          <w:rFonts w:ascii="Book Antiqua" w:eastAsia="Book Antiqua" w:hAnsi="Book Antiqua" w:cs="Book Antiqua"/>
        </w:rPr>
        <w:t>. The prognostic nutrition index was defined as: “10 × albumin levels (g/dL) + 0.005 × total lymphocyte count (/ μL)”</w:t>
      </w:r>
      <w:r w:rsidRPr="0049564D">
        <w:rPr>
          <w:rFonts w:ascii="Book Antiqua" w:eastAsia="Book Antiqua" w:hAnsi="Book Antiqua" w:cs="Book Antiqua"/>
          <w:vertAlign w:val="superscript"/>
        </w:rPr>
        <w:t>[12]</w:t>
      </w:r>
      <w:r w:rsidRPr="0049564D">
        <w:rPr>
          <w:rFonts w:ascii="Book Antiqua" w:eastAsia="Book Antiqua" w:hAnsi="Book Antiqua" w:cs="Book Antiqua"/>
        </w:rPr>
        <w:t>.</w:t>
      </w:r>
    </w:p>
    <w:p w14:paraId="18132AA3" w14:textId="77777777" w:rsidR="00A77B3E" w:rsidRPr="0049564D" w:rsidRDefault="00A77B3E" w:rsidP="00B24044">
      <w:pPr>
        <w:adjustRightInd w:val="0"/>
        <w:snapToGrid w:val="0"/>
        <w:spacing w:line="360" w:lineRule="auto"/>
        <w:jc w:val="both"/>
        <w:rPr>
          <w:rFonts w:ascii="Book Antiqua" w:hAnsi="Book Antiqua"/>
        </w:rPr>
      </w:pPr>
    </w:p>
    <w:p w14:paraId="32575B93"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bCs/>
          <w:i/>
          <w:iCs/>
        </w:rPr>
        <w:t>Statistical analysis</w:t>
      </w:r>
    </w:p>
    <w:p w14:paraId="5C60DE42" w14:textId="7CE9592E"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Continuous variables were analyzed using the Wilcoxon rank-sum test. Fisher’s exact test was used to compare categorical variables. To elucidate the risk factors for EL in patients with BTC, tumor markers and inflammation-based prognostic scores differences between EL and R groups were compared. A receiver operating characteristic (ROC) curve was generated and the area under the curve </w:t>
      </w:r>
      <w:r w:rsidR="00733BD4" w:rsidRPr="0049564D">
        <w:rPr>
          <w:rFonts w:ascii="Book Antiqua" w:eastAsia="Book Antiqua" w:hAnsi="Book Antiqua" w:cs="Book Antiqua"/>
        </w:rPr>
        <w:t>[</w:t>
      </w:r>
      <w:r w:rsidRPr="0049564D">
        <w:rPr>
          <w:rFonts w:ascii="Book Antiqua" w:eastAsia="Book Antiqua" w:hAnsi="Book Antiqua" w:cs="Book Antiqua"/>
        </w:rPr>
        <w:t>and its 95%</w:t>
      </w:r>
      <w:r w:rsidR="00733BD4" w:rsidRPr="0049564D">
        <w:rPr>
          <w:rFonts w:ascii="Book Antiqua" w:eastAsia="Book Antiqua" w:hAnsi="Book Antiqua" w:cs="Book Antiqua"/>
        </w:rPr>
        <w:t xml:space="preserve"> confidence interval (CI)]</w:t>
      </w:r>
      <w:r w:rsidRPr="0049564D">
        <w:rPr>
          <w:rFonts w:ascii="Book Antiqua" w:eastAsia="Book Antiqua" w:hAnsi="Book Antiqua" w:cs="Book Antiqua"/>
        </w:rPr>
        <w:t xml:space="preserve"> </w:t>
      </w:r>
      <w:r w:rsidR="00C121EB" w:rsidRPr="0049564D">
        <w:rPr>
          <w:rFonts w:ascii="Book Antiqua" w:eastAsia="Book Antiqua" w:hAnsi="Book Antiqua" w:cs="Book Antiqua"/>
        </w:rPr>
        <w:t xml:space="preserve">was </w:t>
      </w:r>
      <w:r w:rsidRPr="0049564D">
        <w:rPr>
          <w:rFonts w:ascii="Book Antiqua" w:eastAsia="Book Antiqua" w:hAnsi="Book Antiqua" w:cs="Book Antiqua"/>
        </w:rPr>
        <w:t>calculated to determine the best cutoff values for continuous parameter to discriminate the level of</w:t>
      </w:r>
      <w:r w:rsidR="00C121EB" w:rsidRPr="0049564D">
        <w:rPr>
          <w:rFonts w:ascii="Book Antiqua" w:eastAsia="Book Antiqua" w:hAnsi="Book Antiqua" w:cs="Book Antiqua"/>
        </w:rPr>
        <w:t xml:space="preserve"> the</w:t>
      </w:r>
      <w:r w:rsidRPr="0049564D">
        <w:rPr>
          <w:rFonts w:ascii="Book Antiqua" w:eastAsia="Book Antiqua" w:hAnsi="Book Antiqua" w:cs="Book Antiqua"/>
        </w:rPr>
        <w:t xml:space="preserve"> EL and R group. </w:t>
      </w:r>
    </w:p>
    <w:p w14:paraId="6239A36C" w14:textId="5B415ADF" w:rsidR="00C121EB" w:rsidRPr="0049564D" w:rsidRDefault="00C121EB" w:rsidP="00B24044">
      <w:pPr>
        <w:pStyle w:val="1"/>
        <w:snapToGrid w:val="0"/>
        <w:spacing w:line="360" w:lineRule="auto"/>
        <w:ind w:firstLineChars="200" w:firstLine="480"/>
        <w:rPr>
          <w:rFonts w:ascii="Book Antiqua" w:hAnsi="Book Antiqua"/>
          <w:sz w:val="24"/>
          <w:szCs w:val="24"/>
        </w:rPr>
      </w:pPr>
      <w:r w:rsidRPr="0049564D">
        <w:rPr>
          <w:rFonts w:ascii="Book Antiqua" w:hAnsi="Book Antiqua"/>
          <w:sz w:val="24"/>
          <w:szCs w:val="24"/>
        </w:rPr>
        <w:t>Next, the reduction rate of EL was estimated by the identified risk factors to assess how many patients with unresectable factors avoid EL when SL is performed. The reduction rate was calculated by the number of patients with occult liver or peritoneal metastasis divided by the number of patients.</w:t>
      </w:r>
    </w:p>
    <w:p w14:paraId="018DADCC" w14:textId="77777777" w:rsidR="00A77B3E" w:rsidRPr="0049564D" w:rsidRDefault="006939FE" w:rsidP="00B24044">
      <w:pPr>
        <w:adjustRightInd w:val="0"/>
        <w:snapToGrid w:val="0"/>
        <w:spacing w:line="360" w:lineRule="auto"/>
        <w:ind w:firstLineChars="200" w:firstLine="480"/>
        <w:jc w:val="both"/>
        <w:rPr>
          <w:rFonts w:ascii="Book Antiqua" w:hAnsi="Book Antiqua"/>
        </w:rPr>
      </w:pPr>
      <w:r w:rsidRPr="0049564D">
        <w:rPr>
          <w:rFonts w:ascii="Book Antiqua" w:eastAsia="Book Antiqua" w:hAnsi="Book Antiqua" w:cs="Book Antiqua"/>
        </w:rPr>
        <w:t xml:space="preserve">Finally, to evaluate the prognosis of the risk factors, the Kaplan-Meier analysis with the log-rank test was used to compare survival curves by the identified risk factors. </w:t>
      </w:r>
    </w:p>
    <w:p w14:paraId="33512C26" w14:textId="77777777" w:rsidR="00A77B3E" w:rsidRPr="0049564D" w:rsidRDefault="006939FE" w:rsidP="00B24044">
      <w:pPr>
        <w:adjustRightInd w:val="0"/>
        <w:snapToGrid w:val="0"/>
        <w:spacing w:line="360" w:lineRule="auto"/>
        <w:ind w:firstLineChars="200" w:firstLine="480"/>
        <w:jc w:val="both"/>
        <w:rPr>
          <w:rFonts w:ascii="Book Antiqua" w:hAnsi="Book Antiqua"/>
        </w:rPr>
      </w:pPr>
      <w:r w:rsidRPr="0049564D">
        <w:rPr>
          <w:rFonts w:ascii="Book Antiqua" w:eastAsia="Book Antiqua" w:hAnsi="Book Antiqua" w:cs="Book Antiqua"/>
        </w:rPr>
        <w:t>All statistical tests were two-sided and performed at a significance level of 0.05.</w:t>
      </w:r>
    </w:p>
    <w:p w14:paraId="4C177AC2" w14:textId="5A12AF9E" w:rsidR="00A77B3E" w:rsidRPr="0049564D" w:rsidRDefault="006939FE" w:rsidP="00B24044">
      <w:pPr>
        <w:adjustRightInd w:val="0"/>
        <w:snapToGrid w:val="0"/>
        <w:spacing w:line="360" w:lineRule="auto"/>
        <w:ind w:firstLineChars="200" w:firstLine="480"/>
        <w:jc w:val="both"/>
        <w:rPr>
          <w:rFonts w:ascii="Book Antiqua" w:hAnsi="Book Antiqua"/>
        </w:rPr>
      </w:pPr>
      <w:r w:rsidRPr="0049564D">
        <w:rPr>
          <w:rFonts w:ascii="Book Antiqua" w:eastAsia="Book Antiqua" w:hAnsi="Book Antiqua" w:cs="Book Antiqua"/>
        </w:rPr>
        <w:t>These analyses were performed using JMP version 12.0 (SAS Institute Inc. Cary, NC, U</w:t>
      </w:r>
      <w:r w:rsidR="00733BD4" w:rsidRPr="0049564D">
        <w:rPr>
          <w:rFonts w:ascii="Book Antiqua" w:eastAsia="Book Antiqua" w:hAnsi="Book Antiqua" w:cs="Book Antiqua"/>
        </w:rPr>
        <w:t>nited States</w:t>
      </w:r>
      <w:r w:rsidRPr="0049564D">
        <w:rPr>
          <w:rFonts w:ascii="Book Antiqua" w:eastAsia="Book Antiqua" w:hAnsi="Book Antiqua" w:cs="Book Antiqua"/>
        </w:rPr>
        <w:t xml:space="preserve">). </w:t>
      </w:r>
    </w:p>
    <w:p w14:paraId="3BCD385C" w14:textId="77777777" w:rsidR="00A77B3E" w:rsidRPr="0049564D" w:rsidRDefault="00A77B3E" w:rsidP="00B24044">
      <w:pPr>
        <w:adjustRightInd w:val="0"/>
        <w:snapToGrid w:val="0"/>
        <w:spacing w:line="360" w:lineRule="auto"/>
        <w:jc w:val="both"/>
        <w:rPr>
          <w:rFonts w:ascii="Book Antiqua" w:hAnsi="Book Antiqua"/>
        </w:rPr>
      </w:pPr>
    </w:p>
    <w:p w14:paraId="4AF7F557"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caps/>
          <w:u w:val="single"/>
        </w:rPr>
        <w:t>RESULTS</w:t>
      </w:r>
    </w:p>
    <w:p w14:paraId="258BF53B"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bCs/>
          <w:i/>
          <w:iCs/>
        </w:rPr>
        <w:t>Patient characteristics</w:t>
      </w:r>
    </w:p>
    <w:p w14:paraId="054B9E1F" w14:textId="1CAE82B9"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lastRenderedPageBreak/>
        <w:t xml:space="preserve">As shown in Table 1, there were 134 men and 102 women with a median age of 70 years. The tumor locations were as follows: </w:t>
      </w:r>
      <w:r w:rsidR="00252AB2" w:rsidRPr="0049564D">
        <w:rPr>
          <w:rFonts w:ascii="Book Antiqua" w:eastAsia="Book Antiqua" w:hAnsi="Book Antiqua" w:cs="Book Antiqua"/>
        </w:rPr>
        <w:t>I</w:t>
      </w:r>
      <w:r w:rsidRPr="0049564D">
        <w:rPr>
          <w:rFonts w:ascii="Book Antiqua" w:eastAsia="Book Antiqua" w:hAnsi="Book Antiqua" w:cs="Book Antiqua"/>
        </w:rPr>
        <w:t>ntrahepatic bile duct (</w:t>
      </w:r>
      <w:r w:rsidR="00047B4A" w:rsidRPr="0049564D">
        <w:rPr>
          <w:rFonts w:ascii="Book Antiqua" w:eastAsia="Book Antiqua" w:hAnsi="Book Antiqua" w:cs="Book Antiqua"/>
          <w:i/>
          <w:iCs/>
        </w:rPr>
        <w:t xml:space="preserve">n </w:t>
      </w:r>
      <w:r w:rsidR="00047B4A" w:rsidRPr="0049564D">
        <w:rPr>
          <w:rFonts w:ascii="Book Antiqua" w:eastAsia="Book Antiqua" w:hAnsi="Book Antiqua" w:cs="Book Antiqua"/>
          <w:iCs/>
        </w:rPr>
        <w:t>=</w:t>
      </w:r>
      <w:r w:rsidR="00047B4A" w:rsidRPr="0049564D">
        <w:rPr>
          <w:rFonts w:ascii="Book Antiqua" w:eastAsia="Book Antiqua" w:hAnsi="Book Antiqua" w:cs="Book Antiqua"/>
        </w:rPr>
        <w:t xml:space="preserve"> </w:t>
      </w:r>
      <w:r w:rsidRPr="0049564D">
        <w:rPr>
          <w:rFonts w:ascii="Book Antiqua" w:eastAsia="Book Antiqua" w:hAnsi="Book Antiqua" w:cs="Book Antiqua"/>
        </w:rPr>
        <w:t>39), extrahepatic bile duct (</w:t>
      </w:r>
      <w:r w:rsidR="00047B4A" w:rsidRPr="0049564D">
        <w:rPr>
          <w:rFonts w:ascii="Book Antiqua" w:eastAsia="Book Antiqua" w:hAnsi="Book Antiqua" w:cs="Book Antiqua"/>
          <w:i/>
          <w:iCs/>
        </w:rPr>
        <w:t xml:space="preserve">n </w:t>
      </w:r>
      <w:r w:rsidR="00047B4A" w:rsidRPr="0049564D">
        <w:rPr>
          <w:rFonts w:ascii="Book Antiqua" w:eastAsia="Book Antiqua" w:hAnsi="Book Antiqua" w:cs="Book Antiqua"/>
          <w:iCs/>
        </w:rPr>
        <w:t>=</w:t>
      </w:r>
      <w:r w:rsidR="00047B4A" w:rsidRPr="0049564D">
        <w:rPr>
          <w:rFonts w:ascii="Book Antiqua" w:eastAsia="Book Antiqua" w:hAnsi="Book Antiqua" w:cs="Book Antiqua"/>
        </w:rPr>
        <w:t xml:space="preserve"> </w:t>
      </w:r>
      <w:r w:rsidRPr="0049564D">
        <w:rPr>
          <w:rFonts w:ascii="Book Antiqua" w:eastAsia="Book Antiqua" w:hAnsi="Book Antiqua" w:cs="Book Antiqua"/>
        </w:rPr>
        <w:t xml:space="preserve">110) </w:t>
      </w:r>
      <w:r w:rsidR="00733BD4" w:rsidRPr="0049564D">
        <w:rPr>
          <w:rFonts w:ascii="Book Antiqua" w:eastAsia="Book Antiqua" w:hAnsi="Book Antiqua" w:cs="Book Antiqua"/>
        </w:rPr>
        <w:t>[</w:t>
      </w:r>
      <w:r w:rsidRPr="0049564D">
        <w:rPr>
          <w:rFonts w:ascii="Book Antiqua" w:eastAsia="Book Antiqua" w:hAnsi="Book Antiqua" w:cs="Book Antiqua"/>
        </w:rPr>
        <w:t xml:space="preserve">perihilar bile duct </w:t>
      </w:r>
      <w:r w:rsidR="00733BD4" w:rsidRPr="0049564D">
        <w:rPr>
          <w:rFonts w:ascii="Book Antiqua" w:eastAsia="Book Antiqua" w:hAnsi="Book Antiqua" w:cs="Book Antiqua"/>
        </w:rPr>
        <w:t>(</w:t>
      </w:r>
      <w:r w:rsidR="00047B4A" w:rsidRPr="0049564D">
        <w:rPr>
          <w:rFonts w:ascii="Book Antiqua" w:eastAsia="Book Antiqua" w:hAnsi="Book Antiqua" w:cs="Book Antiqua"/>
          <w:i/>
          <w:iCs/>
        </w:rPr>
        <w:t xml:space="preserve">n </w:t>
      </w:r>
      <w:r w:rsidR="00047B4A" w:rsidRPr="0049564D">
        <w:rPr>
          <w:rFonts w:ascii="Book Antiqua" w:eastAsia="Book Antiqua" w:hAnsi="Book Antiqua" w:cs="Book Antiqua"/>
          <w:iCs/>
        </w:rPr>
        <w:t>=</w:t>
      </w:r>
      <w:r w:rsidR="00047B4A" w:rsidRPr="0049564D">
        <w:rPr>
          <w:rFonts w:ascii="Book Antiqua" w:eastAsia="Book Antiqua" w:hAnsi="Book Antiqua" w:cs="Book Antiqua"/>
        </w:rPr>
        <w:t xml:space="preserve"> </w:t>
      </w:r>
      <w:r w:rsidRPr="0049564D">
        <w:rPr>
          <w:rFonts w:ascii="Book Antiqua" w:eastAsia="Book Antiqua" w:hAnsi="Book Antiqua" w:cs="Book Antiqua"/>
        </w:rPr>
        <w:t>55</w:t>
      </w:r>
      <w:r w:rsidR="00733BD4" w:rsidRPr="0049564D">
        <w:rPr>
          <w:rFonts w:ascii="Book Antiqua" w:eastAsia="Book Antiqua" w:hAnsi="Book Antiqua" w:cs="Book Antiqua"/>
        </w:rPr>
        <w:t>)</w:t>
      </w:r>
      <w:r w:rsidR="00C121EB" w:rsidRPr="0049564D">
        <w:rPr>
          <w:rFonts w:ascii="Book Antiqua" w:eastAsia="Book Antiqua" w:hAnsi="Book Antiqua" w:cs="Book Antiqua"/>
        </w:rPr>
        <w:t xml:space="preserve"> and </w:t>
      </w:r>
      <w:r w:rsidRPr="0049564D">
        <w:rPr>
          <w:rFonts w:ascii="Book Antiqua" w:eastAsia="Book Antiqua" w:hAnsi="Book Antiqua" w:cs="Book Antiqua"/>
        </w:rPr>
        <w:t xml:space="preserve">distal bile duct </w:t>
      </w:r>
      <w:r w:rsidR="00733BD4" w:rsidRPr="0049564D">
        <w:rPr>
          <w:rFonts w:ascii="Book Antiqua" w:eastAsia="Book Antiqua" w:hAnsi="Book Antiqua" w:cs="Book Antiqua"/>
        </w:rPr>
        <w:t>(</w:t>
      </w:r>
      <w:r w:rsidR="00047B4A" w:rsidRPr="0049564D">
        <w:rPr>
          <w:rFonts w:ascii="Book Antiqua" w:eastAsia="Book Antiqua" w:hAnsi="Book Antiqua" w:cs="Book Antiqua"/>
          <w:i/>
          <w:iCs/>
        </w:rPr>
        <w:t xml:space="preserve">n </w:t>
      </w:r>
      <w:r w:rsidR="00047B4A" w:rsidRPr="0049564D">
        <w:rPr>
          <w:rFonts w:ascii="Book Antiqua" w:eastAsia="Book Antiqua" w:hAnsi="Book Antiqua" w:cs="Book Antiqua"/>
          <w:iCs/>
        </w:rPr>
        <w:t>=</w:t>
      </w:r>
      <w:r w:rsidR="00047B4A" w:rsidRPr="0049564D">
        <w:rPr>
          <w:rFonts w:ascii="Book Antiqua" w:eastAsia="Book Antiqua" w:hAnsi="Book Antiqua" w:cs="Book Antiqua"/>
        </w:rPr>
        <w:t xml:space="preserve"> </w:t>
      </w:r>
      <w:r w:rsidRPr="0049564D">
        <w:rPr>
          <w:rFonts w:ascii="Book Antiqua" w:eastAsia="Book Antiqua" w:hAnsi="Book Antiqua" w:cs="Book Antiqua"/>
        </w:rPr>
        <w:t>55)</w:t>
      </w:r>
      <w:r w:rsidR="00733BD4" w:rsidRPr="0049564D">
        <w:rPr>
          <w:rFonts w:ascii="Book Antiqua" w:eastAsia="Book Antiqua" w:hAnsi="Book Antiqua" w:cs="Book Antiqua"/>
        </w:rPr>
        <w:t>]</w:t>
      </w:r>
      <w:r w:rsidRPr="0049564D">
        <w:rPr>
          <w:rFonts w:ascii="Book Antiqua" w:eastAsia="Book Antiqua" w:hAnsi="Book Antiqua" w:cs="Book Antiqua"/>
        </w:rPr>
        <w:t>, gallbladder (</w:t>
      </w:r>
      <w:r w:rsidR="00047B4A" w:rsidRPr="0049564D">
        <w:rPr>
          <w:rFonts w:ascii="Book Antiqua" w:eastAsia="Book Antiqua" w:hAnsi="Book Antiqua" w:cs="Book Antiqua"/>
          <w:i/>
          <w:iCs/>
        </w:rPr>
        <w:t xml:space="preserve">n </w:t>
      </w:r>
      <w:r w:rsidR="00047B4A" w:rsidRPr="0049564D">
        <w:rPr>
          <w:rFonts w:ascii="Book Antiqua" w:eastAsia="Book Antiqua" w:hAnsi="Book Antiqua" w:cs="Book Antiqua"/>
          <w:iCs/>
        </w:rPr>
        <w:t>=</w:t>
      </w:r>
      <w:r w:rsidR="00047B4A" w:rsidRPr="0049564D">
        <w:rPr>
          <w:rFonts w:ascii="Book Antiqua" w:eastAsia="Book Antiqua" w:hAnsi="Book Antiqua" w:cs="Book Antiqua"/>
        </w:rPr>
        <w:t xml:space="preserve"> </w:t>
      </w:r>
      <w:r w:rsidRPr="0049564D">
        <w:rPr>
          <w:rFonts w:ascii="Book Antiqua" w:eastAsia="Book Antiqua" w:hAnsi="Book Antiqua" w:cs="Book Antiqua"/>
        </w:rPr>
        <w:t>50), and papilla of Vater (</w:t>
      </w:r>
      <w:r w:rsidR="00047B4A" w:rsidRPr="0049564D">
        <w:rPr>
          <w:rFonts w:ascii="Book Antiqua" w:eastAsia="Book Antiqua" w:hAnsi="Book Antiqua" w:cs="Book Antiqua"/>
          <w:i/>
          <w:iCs/>
        </w:rPr>
        <w:t xml:space="preserve">n </w:t>
      </w:r>
      <w:r w:rsidR="00047B4A" w:rsidRPr="0049564D">
        <w:rPr>
          <w:rFonts w:ascii="Book Antiqua" w:eastAsia="Book Antiqua" w:hAnsi="Book Antiqua" w:cs="Book Antiqua"/>
          <w:iCs/>
        </w:rPr>
        <w:t>=</w:t>
      </w:r>
      <w:r w:rsidR="00047B4A" w:rsidRPr="0049564D">
        <w:rPr>
          <w:rFonts w:ascii="Book Antiqua" w:eastAsia="Book Antiqua" w:hAnsi="Book Antiqua" w:cs="Book Antiqua"/>
        </w:rPr>
        <w:t xml:space="preserve"> </w:t>
      </w:r>
      <w:r w:rsidRPr="0049564D">
        <w:rPr>
          <w:rFonts w:ascii="Book Antiqua" w:eastAsia="Book Antiqua" w:hAnsi="Book Antiqua" w:cs="Book Antiqua"/>
        </w:rPr>
        <w:t>37). Twenty-six patients (11%) had an EL. The unresectable factors in the EL group were liver metastasis (</w:t>
      </w:r>
      <w:r w:rsidR="00047B4A" w:rsidRPr="0049564D">
        <w:rPr>
          <w:rFonts w:ascii="Book Antiqua" w:eastAsia="Book Antiqua" w:hAnsi="Book Antiqua" w:cs="Book Antiqua"/>
          <w:i/>
          <w:iCs/>
        </w:rPr>
        <w:t xml:space="preserve">n </w:t>
      </w:r>
      <w:r w:rsidR="00047B4A" w:rsidRPr="0049564D">
        <w:rPr>
          <w:rFonts w:ascii="Book Antiqua" w:eastAsia="Book Antiqua" w:hAnsi="Book Antiqua" w:cs="Book Antiqua"/>
          <w:iCs/>
        </w:rPr>
        <w:t>=</w:t>
      </w:r>
      <w:r w:rsidR="00047B4A" w:rsidRPr="0049564D">
        <w:rPr>
          <w:rFonts w:ascii="Book Antiqua" w:eastAsia="Book Antiqua" w:hAnsi="Book Antiqua" w:cs="Book Antiqua"/>
        </w:rPr>
        <w:t xml:space="preserve"> </w:t>
      </w:r>
      <w:r w:rsidRPr="0049564D">
        <w:rPr>
          <w:rFonts w:ascii="Book Antiqua" w:eastAsia="Book Antiqua" w:hAnsi="Book Antiqua" w:cs="Book Antiqua"/>
        </w:rPr>
        <w:t>7), peritoneal metastasis (</w:t>
      </w:r>
      <w:r w:rsidR="00047B4A" w:rsidRPr="0049564D">
        <w:rPr>
          <w:rFonts w:ascii="Book Antiqua" w:eastAsia="Book Antiqua" w:hAnsi="Book Antiqua" w:cs="Book Antiqua"/>
          <w:i/>
          <w:iCs/>
        </w:rPr>
        <w:t xml:space="preserve">n </w:t>
      </w:r>
      <w:r w:rsidR="00047B4A" w:rsidRPr="0049564D">
        <w:rPr>
          <w:rFonts w:ascii="Book Antiqua" w:eastAsia="Book Antiqua" w:hAnsi="Book Antiqua" w:cs="Book Antiqua"/>
          <w:iCs/>
        </w:rPr>
        <w:t>=</w:t>
      </w:r>
      <w:r w:rsidR="00047B4A" w:rsidRPr="0049564D">
        <w:rPr>
          <w:rFonts w:ascii="Book Antiqua" w:eastAsia="Book Antiqua" w:hAnsi="Book Antiqua" w:cs="Book Antiqua"/>
        </w:rPr>
        <w:t xml:space="preserve"> </w:t>
      </w:r>
      <w:r w:rsidRPr="0049564D">
        <w:rPr>
          <w:rFonts w:ascii="Book Antiqua" w:eastAsia="Book Antiqua" w:hAnsi="Book Antiqua" w:cs="Book Antiqua"/>
        </w:rPr>
        <w:t>9), distant lymph node metastasis (</w:t>
      </w:r>
      <w:r w:rsidR="00047B4A" w:rsidRPr="0049564D">
        <w:rPr>
          <w:rFonts w:ascii="Book Antiqua" w:eastAsia="Book Antiqua" w:hAnsi="Book Antiqua" w:cs="Book Antiqua"/>
          <w:i/>
          <w:iCs/>
        </w:rPr>
        <w:t xml:space="preserve">n </w:t>
      </w:r>
      <w:r w:rsidR="00047B4A" w:rsidRPr="0049564D">
        <w:rPr>
          <w:rFonts w:ascii="Book Antiqua" w:eastAsia="Book Antiqua" w:hAnsi="Book Antiqua" w:cs="Book Antiqua"/>
          <w:iCs/>
        </w:rPr>
        <w:t>=</w:t>
      </w:r>
      <w:r w:rsidR="00047B4A" w:rsidRPr="0049564D">
        <w:rPr>
          <w:rFonts w:ascii="Book Antiqua" w:eastAsia="Book Antiqua" w:hAnsi="Book Antiqua" w:cs="Book Antiqua"/>
        </w:rPr>
        <w:t xml:space="preserve"> </w:t>
      </w:r>
      <w:r w:rsidRPr="0049564D">
        <w:rPr>
          <w:rFonts w:ascii="Book Antiqua" w:eastAsia="Book Antiqua" w:hAnsi="Book Antiqua" w:cs="Book Antiqua"/>
        </w:rPr>
        <w:t>4), and locally advanced disease (</w:t>
      </w:r>
      <w:r w:rsidR="00047B4A" w:rsidRPr="0049564D">
        <w:rPr>
          <w:rFonts w:ascii="Book Antiqua" w:eastAsia="Book Antiqua" w:hAnsi="Book Antiqua" w:cs="Book Antiqua"/>
          <w:i/>
          <w:iCs/>
        </w:rPr>
        <w:t xml:space="preserve">n </w:t>
      </w:r>
      <w:r w:rsidR="00047B4A" w:rsidRPr="0049564D">
        <w:rPr>
          <w:rFonts w:ascii="Book Antiqua" w:eastAsia="Book Antiqua" w:hAnsi="Book Antiqua" w:cs="Book Antiqua"/>
          <w:iCs/>
        </w:rPr>
        <w:t>=</w:t>
      </w:r>
      <w:r w:rsidR="00047B4A" w:rsidRPr="0049564D">
        <w:rPr>
          <w:rFonts w:ascii="Book Antiqua" w:eastAsia="Book Antiqua" w:hAnsi="Book Antiqua" w:cs="Book Antiqua"/>
        </w:rPr>
        <w:t xml:space="preserve"> </w:t>
      </w:r>
      <w:r w:rsidRPr="0049564D">
        <w:rPr>
          <w:rFonts w:ascii="Book Antiqua" w:eastAsia="Book Antiqua" w:hAnsi="Book Antiqua" w:cs="Book Antiqua"/>
        </w:rPr>
        <w:t xml:space="preserve">6), including duplications. </w:t>
      </w:r>
    </w:p>
    <w:p w14:paraId="40FDBBE4" w14:textId="77777777" w:rsidR="00A77B3E" w:rsidRPr="0049564D" w:rsidRDefault="00A77B3E" w:rsidP="00B24044">
      <w:pPr>
        <w:adjustRightInd w:val="0"/>
        <w:snapToGrid w:val="0"/>
        <w:spacing w:line="360" w:lineRule="auto"/>
        <w:jc w:val="both"/>
        <w:rPr>
          <w:rFonts w:ascii="Book Antiqua" w:hAnsi="Book Antiqua"/>
        </w:rPr>
      </w:pPr>
    </w:p>
    <w:p w14:paraId="611DEF3F" w14:textId="7351D703"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bCs/>
          <w:i/>
          <w:iCs/>
        </w:rPr>
        <w:t>Risk factors for</w:t>
      </w:r>
      <w:r w:rsidR="00B87D2C" w:rsidRPr="0049564D">
        <w:rPr>
          <w:rFonts w:ascii="Book Antiqua" w:eastAsia="Book Antiqua" w:hAnsi="Book Antiqua" w:cs="Book Antiqua"/>
          <w:b/>
          <w:bCs/>
          <w:i/>
          <w:iCs/>
        </w:rPr>
        <w:t xml:space="preserve"> </w:t>
      </w:r>
      <w:r w:rsidRPr="0049564D">
        <w:rPr>
          <w:rFonts w:ascii="Book Antiqua" w:eastAsia="Book Antiqua" w:hAnsi="Book Antiqua" w:cs="Book Antiqua"/>
          <w:b/>
          <w:bCs/>
          <w:i/>
          <w:iCs/>
        </w:rPr>
        <w:t>EL</w:t>
      </w:r>
    </w:p>
    <w:p w14:paraId="5470206C" w14:textId="02AE6C52"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There were no significant differences between the EL and R groups for the individual indices of inflammation and nutrition. However, CA19-9 (5198</w:t>
      </w:r>
      <w:r w:rsidR="00733BD4" w:rsidRPr="0049564D">
        <w:rPr>
          <w:rFonts w:ascii="Book Antiqua" w:eastAsia="Book Antiqua" w:hAnsi="Book Antiqua" w:cs="Book Antiqua"/>
        </w:rPr>
        <w:t xml:space="preserve"> </w:t>
      </w:r>
      <w:r w:rsidRPr="0049564D">
        <w:rPr>
          <w:rFonts w:ascii="Book Antiqua" w:eastAsia="Book Antiqua" w:hAnsi="Book Antiqua" w:cs="Book Antiqua"/>
        </w:rPr>
        <w:t>±</w:t>
      </w:r>
      <w:r w:rsidR="00733BD4" w:rsidRPr="0049564D">
        <w:rPr>
          <w:rFonts w:ascii="Book Antiqua" w:eastAsia="Book Antiqua" w:hAnsi="Book Antiqua" w:cs="Book Antiqua"/>
        </w:rPr>
        <w:t xml:space="preserve"> </w:t>
      </w:r>
      <w:r w:rsidRPr="0049564D">
        <w:rPr>
          <w:rFonts w:ascii="Book Antiqua" w:eastAsia="Book Antiqua" w:hAnsi="Book Antiqua" w:cs="Book Antiqua"/>
        </w:rPr>
        <w:t xml:space="preserve">2767 </w:t>
      </w:r>
      <w:r w:rsidR="00C121EB" w:rsidRPr="0049564D">
        <w:rPr>
          <w:rFonts w:ascii="Book Antiqua" w:hAnsi="Book Antiqua"/>
        </w:rPr>
        <w:t>U/mL</w:t>
      </w:r>
      <w:r w:rsidR="00C121EB" w:rsidRPr="0049564D">
        <w:rPr>
          <w:rFonts w:ascii="Book Antiqua" w:eastAsia="Book Antiqua" w:hAnsi="Book Antiqua" w:cs="Book Antiqua"/>
          <w:i/>
          <w:iCs/>
        </w:rPr>
        <w:t xml:space="preserve"> </w:t>
      </w:r>
      <w:r w:rsidRPr="0049564D">
        <w:rPr>
          <w:rFonts w:ascii="Book Antiqua" w:eastAsia="Book Antiqua" w:hAnsi="Book Antiqua" w:cs="Book Antiqua"/>
          <w:i/>
          <w:iCs/>
        </w:rPr>
        <w:t>vs</w:t>
      </w:r>
      <w:r w:rsidRPr="0049564D">
        <w:rPr>
          <w:rFonts w:ascii="Book Antiqua" w:eastAsia="Book Antiqua" w:hAnsi="Book Antiqua" w:cs="Book Antiqua"/>
        </w:rPr>
        <w:t xml:space="preserve"> 777</w:t>
      </w:r>
      <w:r w:rsidR="00733BD4" w:rsidRPr="0049564D">
        <w:rPr>
          <w:rFonts w:ascii="Book Antiqua" w:eastAsia="Book Antiqua" w:hAnsi="Book Antiqua" w:cs="Book Antiqua"/>
        </w:rPr>
        <w:t xml:space="preserve"> </w:t>
      </w:r>
      <w:r w:rsidRPr="0049564D">
        <w:rPr>
          <w:rFonts w:ascii="Book Antiqua" w:eastAsia="Book Antiqua" w:hAnsi="Book Antiqua" w:cs="Book Antiqua"/>
        </w:rPr>
        <w:t>±</w:t>
      </w:r>
      <w:r w:rsidR="00733BD4" w:rsidRPr="0049564D">
        <w:rPr>
          <w:rFonts w:ascii="Book Antiqua" w:eastAsia="Book Antiqua" w:hAnsi="Book Antiqua" w:cs="Book Antiqua"/>
        </w:rPr>
        <w:t xml:space="preserve"> </w:t>
      </w:r>
      <w:r w:rsidRPr="0049564D">
        <w:rPr>
          <w:rFonts w:ascii="Book Antiqua" w:eastAsia="Book Antiqua" w:hAnsi="Book Antiqua" w:cs="Book Antiqua"/>
        </w:rPr>
        <w:t>357</w:t>
      </w:r>
      <w:r w:rsidR="00C121EB" w:rsidRPr="0049564D">
        <w:rPr>
          <w:rFonts w:ascii="Book Antiqua" w:hAnsi="Book Antiqua"/>
        </w:rPr>
        <w:t xml:space="preserve"> U/mL</w:t>
      </w:r>
      <w:r w:rsidRPr="0049564D">
        <w:rPr>
          <w:rFonts w:ascii="Book Antiqua" w:eastAsia="Book Antiqua" w:hAnsi="Book Antiqua" w:cs="Book Antiqua"/>
        </w:rPr>
        <w:t xml:space="preserve">, </w:t>
      </w:r>
      <w:r w:rsidRPr="0049564D">
        <w:rPr>
          <w:rFonts w:ascii="Book Antiqua" w:eastAsia="Book Antiqua" w:hAnsi="Book Antiqua" w:cs="Book Antiqua"/>
          <w:i/>
          <w:iCs/>
        </w:rPr>
        <w:t>P</w:t>
      </w:r>
      <w:r w:rsidR="00047B4A" w:rsidRPr="0049564D">
        <w:rPr>
          <w:rFonts w:ascii="Book Antiqua" w:eastAsia="Book Antiqua" w:hAnsi="Book Antiqua" w:cs="Book Antiqua"/>
        </w:rPr>
        <w:t xml:space="preserve"> = </w:t>
      </w:r>
      <w:r w:rsidRPr="0049564D">
        <w:rPr>
          <w:rFonts w:ascii="Book Antiqua" w:eastAsia="Book Antiqua" w:hAnsi="Book Antiqua" w:cs="Book Antiqua"/>
        </w:rPr>
        <w:t>0.014), CEA (12.3 ± 3.1</w:t>
      </w:r>
      <w:r w:rsidR="00C121EB" w:rsidRPr="0049564D">
        <w:rPr>
          <w:rFonts w:ascii="Book Antiqua" w:hAnsi="Book Antiqua"/>
        </w:rPr>
        <w:t xml:space="preserve"> ng/mL</w:t>
      </w:r>
      <w:r w:rsidRPr="0049564D">
        <w:rPr>
          <w:rFonts w:ascii="Book Antiqua" w:eastAsia="Book Antiqua" w:hAnsi="Book Antiqua" w:cs="Book Antiqua"/>
        </w:rPr>
        <w:t xml:space="preserve"> </w:t>
      </w:r>
      <w:r w:rsidRPr="0049564D">
        <w:rPr>
          <w:rFonts w:ascii="Book Antiqua" w:eastAsia="Book Antiqua" w:hAnsi="Book Antiqua" w:cs="Book Antiqua"/>
          <w:i/>
          <w:iCs/>
        </w:rPr>
        <w:t>vs</w:t>
      </w:r>
      <w:r w:rsidRPr="0049564D">
        <w:rPr>
          <w:rFonts w:ascii="Book Antiqua" w:eastAsia="Book Antiqua" w:hAnsi="Book Antiqua" w:cs="Book Antiqua"/>
        </w:rPr>
        <w:t xml:space="preserve"> 5.1 ± 1.0</w:t>
      </w:r>
      <w:r w:rsidR="00C121EB" w:rsidRPr="0049564D">
        <w:rPr>
          <w:rFonts w:ascii="Book Antiqua" w:hAnsi="Book Antiqua"/>
        </w:rPr>
        <w:t xml:space="preserve"> ng/mL</w:t>
      </w:r>
      <w:r w:rsidRPr="0049564D">
        <w:rPr>
          <w:rFonts w:ascii="Book Antiqua" w:eastAsia="Book Antiqua" w:hAnsi="Book Antiqua" w:cs="Book Antiqua"/>
        </w:rPr>
        <w:t xml:space="preserve">, </w:t>
      </w:r>
      <w:r w:rsidRPr="0049564D">
        <w:rPr>
          <w:rFonts w:ascii="Book Antiqua" w:eastAsia="Book Antiqua" w:hAnsi="Book Antiqua" w:cs="Book Antiqua"/>
          <w:i/>
          <w:iCs/>
        </w:rPr>
        <w:t>P</w:t>
      </w:r>
      <w:r w:rsidR="00047B4A" w:rsidRPr="0049564D">
        <w:rPr>
          <w:rFonts w:ascii="Book Antiqua" w:eastAsia="Book Antiqua" w:hAnsi="Book Antiqua" w:cs="Book Antiqua"/>
        </w:rPr>
        <w:t xml:space="preserve"> = </w:t>
      </w:r>
      <w:r w:rsidRPr="0049564D">
        <w:rPr>
          <w:rFonts w:ascii="Book Antiqua" w:eastAsia="Book Antiqua" w:hAnsi="Book Antiqua" w:cs="Book Antiqua"/>
        </w:rPr>
        <w:t>0.0054), NLR (3.92</w:t>
      </w:r>
      <w:r w:rsidR="00733BD4" w:rsidRPr="0049564D">
        <w:rPr>
          <w:rFonts w:ascii="Book Antiqua" w:eastAsia="Book Antiqua" w:hAnsi="Book Antiqua" w:cs="Book Antiqua"/>
        </w:rPr>
        <w:t xml:space="preserve"> </w:t>
      </w:r>
      <w:r w:rsidRPr="0049564D">
        <w:rPr>
          <w:rFonts w:ascii="Book Antiqua" w:eastAsia="Book Antiqua" w:hAnsi="Book Antiqua" w:cs="Book Antiqua"/>
        </w:rPr>
        <w:t>±</w:t>
      </w:r>
      <w:r w:rsidR="00733BD4" w:rsidRPr="0049564D">
        <w:rPr>
          <w:rFonts w:ascii="Book Antiqua" w:eastAsia="Book Antiqua" w:hAnsi="Book Antiqua" w:cs="Book Antiqua"/>
        </w:rPr>
        <w:t xml:space="preserve"> </w:t>
      </w:r>
      <w:r w:rsidRPr="0049564D">
        <w:rPr>
          <w:rFonts w:ascii="Book Antiqua" w:eastAsia="Book Antiqua" w:hAnsi="Book Antiqua" w:cs="Book Antiqua"/>
        </w:rPr>
        <w:t xml:space="preserve">0.40 </w:t>
      </w:r>
      <w:r w:rsidRPr="0049564D">
        <w:rPr>
          <w:rFonts w:ascii="Book Antiqua" w:eastAsia="Book Antiqua" w:hAnsi="Book Antiqua" w:cs="Book Antiqua"/>
          <w:i/>
          <w:iCs/>
        </w:rPr>
        <w:t>vs</w:t>
      </w:r>
      <w:r w:rsidRPr="0049564D">
        <w:rPr>
          <w:rFonts w:ascii="Book Antiqua" w:eastAsia="Book Antiqua" w:hAnsi="Book Antiqua" w:cs="Book Antiqua"/>
        </w:rPr>
        <w:t xml:space="preserve"> 2.81</w:t>
      </w:r>
      <w:r w:rsidR="00733BD4" w:rsidRPr="0049564D">
        <w:rPr>
          <w:rFonts w:ascii="Book Antiqua" w:eastAsia="Book Antiqua" w:hAnsi="Book Antiqua" w:cs="Book Antiqua"/>
        </w:rPr>
        <w:t xml:space="preserve"> </w:t>
      </w:r>
      <w:r w:rsidRPr="0049564D">
        <w:rPr>
          <w:rFonts w:ascii="Book Antiqua" w:eastAsia="Book Antiqua" w:hAnsi="Book Antiqua" w:cs="Book Antiqua"/>
        </w:rPr>
        <w:t>±</w:t>
      </w:r>
      <w:r w:rsidR="00733BD4" w:rsidRPr="0049564D">
        <w:rPr>
          <w:rFonts w:ascii="Book Antiqua" w:eastAsia="Book Antiqua" w:hAnsi="Book Antiqua" w:cs="Book Antiqua"/>
        </w:rPr>
        <w:t xml:space="preserve"> </w:t>
      </w:r>
      <w:r w:rsidRPr="0049564D">
        <w:rPr>
          <w:rFonts w:ascii="Book Antiqua" w:eastAsia="Book Antiqua" w:hAnsi="Book Antiqua" w:cs="Book Antiqua"/>
        </w:rPr>
        <w:t xml:space="preserve">0.14, </w:t>
      </w:r>
      <w:r w:rsidRPr="0049564D">
        <w:rPr>
          <w:rFonts w:ascii="Book Antiqua" w:eastAsia="Book Antiqua" w:hAnsi="Book Antiqua" w:cs="Book Antiqua"/>
          <w:i/>
          <w:iCs/>
        </w:rPr>
        <w:t>P</w:t>
      </w:r>
      <w:r w:rsidR="00047B4A" w:rsidRPr="0049564D">
        <w:rPr>
          <w:rFonts w:ascii="Book Antiqua" w:eastAsia="Book Antiqua" w:hAnsi="Book Antiqua" w:cs="Book Antiqua"/>
        </w:rPr>
        <w:t xml:space="preserve"> = </w:t>
      </w:r>
      <w:r w:rsidRPr="0049564D">
        <w:rPr>
          <w:rFonts w:ascii="Book Antiqua" w:eastAsia="Book Antiqua" w:hAnsi="Book Antiqua" w:cs="Book Antiqua"/>
        </w:rPr>
        <w:t>0.0018), and mGPS (</w:t>
      </w:r>
      <w:r w:rsidRPr="0049564D">
        <w:rPr>
          <w:rFonts w:ascii="Book Antiqua" w:eastAsia="Book Antiqua" w:hAnsi="Book Antiqua" w:cs="Book Antiqua"/>
          <w:i/>
          <w:iCs/>
        </w:rPr>
        <w:t>P</w:t>
      </w:r>
      <w:r w:rsidR="00047B4A" w:rsidRPr="0049564D">
        <w:rPr>
          <w:rFonts w:ascii="Book Antiqua" w:eastAsia="Book Antiqua" w:hAnsi="Book Antiqua" w:cs="Book Antiqua"/>
        </w:rPr>
        <w:t xml:space="preserve"> = </w:t>
      </w:r>
      <w:r w:rsidRPr="0049564D">
        <w:rPr>
          <w:rFonts w:ascii="Book Antiqua" w:eastAsia="Book Antiqua" w:hAnsi="Book Antiqua" w:cs="Book Antiqua"/>
        </w:rPr>
        <w:t xml:space="preserve">0.012) were significantly higher in the EL group than in </w:t>
      </w:r>
      <w:r w:rsidR="00C121EB" w:rsidRPr="0049564D">
        <w:rPr>
          <w:rFonts w:ascii="Book Antiqua" w:eastAsia="Book Antiqua" w:hAnsi="Book Antiqua" w:cs="Book Antiqua"/>
        </w:rPr>
        <w:t xml:space="preserve">the </w:t>
      </w:r>
      <w:r w:rsidRPr="0049564D">
        <w:rPr>
          <w:rFonts w:ascii="Book Antiqua" w:eastAsia="Book Antiqua" w:hAnsi="Book Antiqua" w:cs="Book Antiqua"/>
        </w:rPr>
        <w:t>R group</w:t>
      </w:r>
      <w:r w:rsidR="00C121EB" w:rsidRPr="0049564D">
        <w:rPr>
          <w:rFonts w:ascii="Book Antiqua" w:eastAsia="Book Antiqua" w:hAnsi="Book Antiqua" w:cs="Book Antiqua"/>
        </w:rPr>
        <w:t>,</w:t>
      </w:r>
      <w:r w:rsidR="00C121EB" w:rsidRPr="0049564D">
        <w:rPr>
          <w:rFonts w:ascii="Book Antiqua" w:hAnsi="Book Antiqua"/>
        </w:rPr>
        <w:t xml:space="preserve"> respectively</w:t>
      </w:r>
      <w:r w:rsidRPr="0049564D">
        <w:rPr>
          <w:rFonts w:ascii="Book Antiqua" w:eastAsia="Book Antiqua" w:hAnsi="Book Antiqua" w:cs="Book Antiqua"/>
        </w:rPr>
        <w:t xml:space="preserve"> (Table 2). Consequently, we determined the cutoff values of CA19-9, CEA, and NLR as 255 U/mL, 7 ng/mL, and 3, respectively, using the ROC curve for all BTCs (Table 3, Figure 1). The area under the curve at each cutoff value was 0.688 (95%CI: 0.488-0.740), 0.645 (95%CI: 0.544-0.767), and 0.667 (95%CI: 0.565-0.780), respectively.</w:t>
      </w:r>
    </w:p>
    <w:p w14:paraId="6C98B596" w14:textId="0D1B3EEA" w:rsidR="00A77B3E" w:rsidRPr="0049564D" w:rsidRDefault="006939FE" w:rsidP="00B24044">
      <w:pPr>
        <w:adjustRightInd w:val="0"/>
        <w:snapToGrid w:val="0"/>
        <w:spacing w:line="360" w:lineRule="auto"/>
        <w:ind w:firstLine="120"/>
        <w:jc w:val="both"/>
        <w:rPr>
          <w:rFonts w:ascii="Book Antiqua" w:hAnsi="Book Antiqua"/>
        </w:rPr>
      </w:pPr>
      <w:r w:rsidRPr="0049564D">
        <w:rPr>
          <w:rFonts w:ascii="Book Antiqua" w:eastAsia="Book Antiqua" w:hAnsi="Book Antiqua" w:cs="Book Antiqua"/>
        </w:rPr>
        <w:t xml:space="preserve">Table 4 shows the tumor markers, inflammation-based prognostic scores, and cumulative survival time for each biliary cancer. CA19-9 was high in intrahepatic and extrahepatic bile duct cancer and gallbladder cancer, but low in ampullary cancer. Inflammation-based prognostic scores were similar for each </w:t>
      </w:r>
      <w:r w:rsidR="00B87D2C" w:rsidRPr="0049564D">
        <w:rPr>
          <w:rFonts w:ascii="Book Antiqua" w:eastAsia="Book Antiqua" w:hAnsi="Book Antiqua" w:cs="Book Antiqua"/>
        </w:rPr>
        <w:t>BTC</w:t>
      </w:r>
      <w:r w:rsidRPr="0049564D">
        <w:rPr>
          <w:rFonts w:ascii="Book Antiqua" w:eastAsia="Book Antiqua" w:hAnsi="Book Antiqua" w:cs="Book Antiqua"/>
        </w:rPr>
        <w:t xml:space="preserve">. In terms of postoperative survival time, ampullary cancer showed a good prognosis compared to other </w:t>
      </w:r>
      <w:r w:rsidR="00B87D2C" w:rsidRPr="0049564D">
        <w:rPr>
          <w:rFonts w:ascii="Book Antiqua" w:eastAsia="Book Antiqua" w:hAnsi="Book Antiqua" w:cs="Book Antiqua"/>
        </w:rPr>
        <w:t>BTC</w:t>
      </w:r>
      <w:r w:rsidR="00C121EB" w:rsidRPr="0049564D">
        <w:rPr>
          <w:rFonts w:ascii="Book Antiqua" w:eastAsia="Book Antiqua" w:hAnsi="Book Antiqua" w:cs="Book Antiqua"/>
        </w:rPr>
        <w:t>s</w:t>
      </w:r>
      <w:r w:rsidRPr="0049564D">
        <w:rPr>
          <w:rFonts w:ascii="Book Antiqua" w:eastAsia="Book Antiqua" w:hAnsi="Book Antiqua" w:cs="Book Antiqua"/>
        </w:rPr>
        <w:t>.</w:t>
      </w:r>
    </w:p>
    <w:p w14:paraId="58F53BB4" w14:textId="5940209C" w:rsidR="00C121EB" w:rsidRPr="0049564D" w:rsidRDefault="00C121EB" w:rsidP="00B24044">
      <w:pPr>
        <w:pStyle w:val="1"/>
        <w:snapToGrid w:val="0"/>
        <w:spacing w:line="360" w:lineRule="auto"/>
        <w:ind w:firstLineChars="150" w:firstLine="360"/>
        <w:rPr>
          <w:rFonts w:ascii="Book Antiqua" w:hAnsi="Book Antiqua"/>
          <w:sz w:val="24"/>
          <w:szCs w:val="24"/>
        </w:rPr>
      </w:pPr>
      <w:r w:rsidRPr="0049564D">
        <w:rPr>
          <w:rFonts w:ascii="Book Antiqua" w:hAnsi="Book Antiqua"/>
          <w:sz w:val="24"/>
          <w:szCs w:val="24"/>
        </w:rPr>
        <w:t>When we performed sensitivity analysis for each biliary cancer (excluding ampullary cancer since ampullary cancer had zero EL cases) by using the cutoff value shown in Table 3, we found a similar tendency to the result for all BTCs; that is, specificity was high but sensitivity was particularly low in each cancer (Table 5).</w:t>
      </w:r>
    </w:p>
    <w:p w14:paraId="42A0679C" w14:textId="77777777" w:rsidR="00A77B3E" w:rsidRPr="0049564D" w:rsidRDefault="00A77B3E" w:rsidP="00B24044">
      <w:pPr>
        <w:adjustRightInd w:val="0"/>
        <w:snapToGrid w:val="0"/>
        <w:spacing w:line="360" w:lineRule="auto"/>
        <w:ind w:firstLine="120"/>
        <w:jc w:val="both"/>
        <w:rPr>
          <w:rFonts w:ascii="Book Antiqua" w:hAnsi="Book Antiqua"/>
        </w:rPr>
      </w:pPr>
    </w:p>
    <w:p w14:paraId="1EB392B5"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bCs/>
          <w:i/>
          <w:iCs/>
        </w:rPr>
        <w:lastRenderedPageBreak/>
        <w:t xml:space="preserve">Estimated reduction rate of occult metastasis </w:t>
      </w:r>
    </w:p>
    <w:p w14:paraId="6A0FE4B8" w14:textId="38E3A26E"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The positive outcome of this examination was liver or peritoneal metastasis. The considered criteria were: CA19-9 &gt; 255 U/mL, CEA &gt; 7 ng/mL, NLR &gt; 3,</w:t>
      </w:r>
      <w:r w:rsidR="00C121EB" w:rsidRPr="0049564D">
        <w:rPr>
          <w:rFonts w:ascii="Book Antiqua" w:eastAsia="Book Antiqua" w:hAnsi="Book Antiqua" w:cs="Book Antiqua"/>
        </w:rPr>
        <w:t xml:space="preserve"> and</w:t>
      </w:r>
      <w:r w:rsidRPr="0049564D">
        <w:rPr>
          <w:rFonts w:ascii="Book Antiqua" w:eastAsia="Book Antiqua" w:hAnsi="Book Antiqua" w:cs="Book Antiqua"/>
        </w:rPr>
        <w:t xml:space="preserve"> mGPS ≥ B, as mentioned above. Among all 236 patients, the number of patients at each of these criteria were 48 (20%), 26 (11%), 77 (33%) and 101 (43%), and </w:t>
      </w:r>
      <w:r w:rsidR="00C121EB" w:rsidRPr="0049564D">
        <w:rPr>
          <w:rFonts w:ascii="Book Antiqua" w:eastAsia="Book Antiqua" w:hAnsi="Book Antiqua" w:cs="Book Antiqua"/>
        </w:rPr>
        <w:t xml:space="preserve">the </w:t>
      </w:r>
      <w:r w:rsidRPr="0049564D">
        <w:rPr>
          <w:rFonts w:ascii="Book Antiqua" w:eastAsia="Book Antiqua" w:hAnsi="Book Antiqua" w:cs="Book Antiqua"/>
        </w:rPr>
        <w:t xml:space="preserve">number of the patients with positive criterion, positive outcomes were 7, 6, 11 and 5, respectively (Table 6). Estimated reduction rate of EL was 14.6% (CA19-9 &gt; 255 U/mL), 23.1% (CEA &gt; 7 ng/mL), 14.3% (NLR &gt; 3) and 5.0% (mGPS ≥ B) of patients with BTC, respectively (Table 6). </w:t>
      </w:r>
    </w:p>
    <w:p w14:paraId="7EC6652B" w14:textId="07167904" w:rsidR="00A77B3E" w:rsidRPr="0049564D" w:rsidRDefault="006939FE" w:rsidP="00B24044">
      <w:pPr>
        <w:adjustRightInd w:val="0"/>
        <w:snapToGrid w:val="0"/>
        <w:spacing w:line="360" w:lineRule="auto"/>
        <w:ind w:firstLine="240"/>
        <w:jc w:val="both"/>
        <w:rPr>
          <w:rFonts w:ascii="Book Antiqua" w:hAnsi="Book Antiqua"/>
        </w:rPr>
      </w:pPr>
      <w:r w:rsidRPr="0049564D">
        <w:rPr>
          <w:rFonts w:ascii="Book Antiqua" w:eastAsia="Book Antiqua" w:hAnsi="Book Antiqua" w:cs="Book Antiqua"/>
        </w:rPr>
        <w:t>The number of patients with two of these positive factors was 73 (31%)</w:t>
      </w:r>
      <w:r w:rsidR="00C121EB" w:rsidRPr="0049564D">
        <w:rPr>
          <w:rFonts w:ascii="Book Antiqua" w:eastAsia="Book Antiqua" w:hAnsi="Book Antiqua" w:cs="Book Antiqua"/>
        </w:rPr>
        <w:t>. Among</w:t>
      </w:r>
      <w:r w:rsidRPr="0049564D">
        <w:rPr>
          <w:rFonts w:ascii="Book Antiqua" w:eastAsia="Book Antiqua" w:hAnsi="Book Antiqua" w:cs="Book Antiqua"/>
        </w:rPr>
        <w:t xml:space="preserve"> these 73 patients, 11 patients had occult metastasis, and the estimated reduction rate of EL was 15.1%. The estimat</w:t>
      </w:r>
      <w:r w:rsidR="00C121EB" w:rsidRPr="0049564D">
        <w:rPr>
          <w:rFonts w:ascii="Book Antiqua" w:eastAsia="Book Antiqua" w:hAnsi="Book Antiqua" w:cs="Book Antiqua"/>
        </w:rPr>
        <w:t>ed</w:t>
      </w:r>
      <w:r w:rsidRPr="0049564D">
        <w:rPr>
          <w:rFonts w:ascii="Book Antiqua" w:eastAsia="Book Antiqua" w:hAnsi="Book Antiqua" w:cs="Book Antiqua"/>
        </w:rPr>
        <w:t xml:space="preserve"> reduction rate of EL in patients with three and four positive factors w</w:t>
      </w:r>
      <w:r w:rsidR="00C121EB" w:rsidRPr="0049564D">
        <w:rPr>
          <w:rFonts w:ascii="Book Antiqua" w:eastAsia="Book Antiqua" w:hAnsi="Book Antiqua" w:cs="Book Antiqua"/>
        </w:rPr>
        <w:t>as</w:t>
      </w:r>
      <w:r w:rsidRPr="0049564D">
        <w:rPr>
          <w:rFonts w:ascii="Book Antiqua" w:eastAsia="Book Antiqua" w:hAnsi="Book Antiqua" w:cs="Book Antiqua"/>
        </w:rPr>
        <w:t xml:space="preserve"> 26.9% and 33.3%, respectively (Table 6).</w:t>
      </w:r>
    </w:p>
    <w:p w14:paraId="1C242C44" w14:textId="77777777" w:rsidR="00A77B3E" w:rsidRPr="0049564D" w:rsidRDefault="00A77B3E" w:rsidP="00B24044">
      <w:pPr>
        <w:adjustRightInd w:val="0"/>
        <w:snapToGrid w:val="0"/>
        <w:spacing w:line="360" w:lineRule="auto"/>
        <w:ind w:firstLine="240"/>
        <w:jc w:val="both"/>
        <w:rPr>
          <w:rFonts w:ascii="Book Antiqua" w:hAnsi="Book Antiqua"/>
        </w:rPr>
      </w:pPr>
    </w:p>
    <w:p w14:paraId="32C2FA1B"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bCs/>
          <w:i/>
          <w:iCs/>
        </w:rPr>
        <w:t>Evaluation of prognosis by the risk factors</w:t>
      </w:r>
    </w:p>
    <w:p w14:paraId="7D01A9A2" w14:textId="1D4429B1"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The overall survival curves between all the patients based on these </w:t>
      </w:r>
      <w:r w:rsidR="00C121EB" w:rsidRPr="0049564D">
        <w:rPr>
          <w:rFonts w:ascii="Book Antiqua" w:eastAsia="Book Antiqua" w:hAnsi="Book Antiqua" w:cs="Book Antiqua"/>
        </w:rPr>
        <w:t>four</w:t>
      </w:r>
      <w:r w:rsidRPr="0049564D">
        <w:rPr>
          <w:rFonts w:ascii="Book Antiqua" w:eastAsia="Book Antiqua" w:hAnsi="Book Antiqua" w:cs="Book Antiqua"/>
        </w:rPr>
        <w:t xml:space="preserve"> factors (CA19-9, CEA, NLR, </w:t>
      </w:r>
      <w:r w:rsidR="00C121EB" w:rsidRPr="0049564D">
        <w:rPr>
          <w:rFonts w:ascii="Book Antiqua" w:eastAsia="Book Antiqua" w:hAnsi="Book Antiqua" w:cs="Book Antiqua"/>
        </w:rPr>
        <w:t xml:space="preserve">and </w:t>
      </w:r>
      <w:r w:rsidRPr="0049564D">
        <w:rPr>
          <w:rFonts w:ascii="Book Antiqua" w:eastAsia="Book Antiqua" w:hAnsi="Book Antiqua" w:cs="Book Antiqua"/>
        </w:rPr>
        <w:t>mGPS) and type of operation were compared (Figure 2). The prognoses were significantly worse in the cohorts with CA19-9 &gt; 255 U/mL, CEA &gt; 7 ng/mL, NLR &gt; 3, mGPS</w:t>
      </w:r>
      <w:r w:rsidR="00047B4A" w:rsidRPr="0049564D">
        <w:rPr>
          <w:rFonts w:ascii="Book Antiqua" w:eastAsia="Book Antiqua" w:hAnsi="Book Antiqua" w:cs="Book Antiqua"/>
        </w:rPr>
        <w:t xml:space="preserve"> = </w:t>
      </w:r>
      <w:r w:rsidRPr="0049564D">
        <w:rPr>
          <w:rFonts w:ascii="Book Antiqua" w:eastAsia="Book Antiqua" w:hAnsi="Book Antiqua" w:cs="Book Antiqua"/>
        </w:rPr>
        <w:t>B, C, or D, and EL. This result suggests that these indices may be prognostic factors.</w:t>
      </w:r>
    </w:p>
    <w:p w14:paraId="43D5A529" w14:textId="77777777" w:rsidR="00A77B3E" w:rsidRPr="0049564D" w:rsidRDefault="00A77B3E" w:rsidP="00B24044">
      <w:pPr>
        <w:adjustRightInd w:val="0"/>
        <w:snapToGrid w:val="0"/>
        <w:spacing w:line="360" w:lineRule="auto"/>
        <w:ind w:firstLine="240"/>
        <w:jc w:val="both"/>
        <w:rPr>
          <w:rFonts w:ascii="Book Antiqua" w:hAnsi="Book Antiqua"/>
        </w:rPr>
      </w:pPr>
    </w:p>
    <w:p w14:paraId="762DF2BA"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caps/>
          <w:u w:val="single"/>
        </w:rPr>
        <w:t>DISCUSSION</w:t>
      </w:r>
    </w:p>
    <w:p w14:paraId="5BC5CBCB" w14:textId="65B7F2FD"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BTCs show poor prognosis and are often diagnosed at an advanced stage. The rate of resection of BTC with curative intent is only 70%</w:t>
      </w:r>
      <w:r w:rsidRPr="0049564D">
        <w:rPr>
          <w:rFonts w:ascii="Book Antiqua" w:eastAsia="Book Antiqua" w:hAnsi="Book Antiqua" w:cs="Book Antiqua"/>
          <w:vertAlign w:val="superscript"/>
        </w:rPr>
        <w:t>[1</w:t>
      </w:r>
      <w:r w:rsidR="00B87D2C" w:rsidRPr="0049564D">
        <w:rPr>
          <w:rFonts w:ascii="Book Antiqua" w:eastAsia="Book Antiqua" w:hAnsi="Book Antiqua" w:cs="Book Antiqua"/>
          <w:vertAlign w:val="superscript"/>
        </w:rPr>
        <w:t>,</w:t>
      </w:r>
      <w:r w:rsidRPr="0049564D">
        <w:rPr>
          <w:rFonts w:ascii="Book Antiqua" w:eastAsia="Book Antiqua" w:hAnsi="Book Antiqua" w:cs="Book Antiqua"/>
          <w:vertAlign w:val="superscript"/>
        </w:rPr>
        <w:t>2]</w:t>
      </w:r>
      <w:r w:rsidRPr="0049564D">
        <w:rPr>
          <w:rFonts w:ascii="Book Antiqua" w:eastAsia="Book Antiqua" w:hAnsi="Book Antiqua" w:cs="Book Antiqua"/>
        </w:rPr>
        <w:t>. In addition, approximately 30% of the patients preoperatively diagnosed with resectable diseases show unresectable diseases during laparotomy due to metastatic progression</w:t>
      </w:r>
      <w:r w:rsidRPr="0049564D">
        <w:rPr>
          <w:rFonts w:ascii="Book Antiqua" w:eastAsia="Book Antiqua" w:hAnsi="Book Antiqua" w:cs="Book Antiqua"/>
          <w:vertAlign w:val="superscript"/>
        </w:rPr>
        <w:t>[2</w:t>
      </w:r>
      <w:r w:rsidR="00B87D2C" w:rsidRPr="0049564D">
        <w:rPr>
          <w:rFonts w:ascii="Book Antiqua" w:eastAsia="Book Antiqua" w:hAnsi="Book Antiqua" w:cs="Book Antiqua"/>
          <w:vertAlign w:val="superscript"/>
        </w:rPr>
        <w:t>,</w:t>
      </w:r>
      <w:r w:rsidRPr="0049564D">
        <w:rPr>
          <w:rFonts w:ascii="Book Antiqua" w:eastAsia="Book Antiqua" w:hAnsi="Book Antiqua" w:cs="Book Antiqua"/>
          <w:vertAlign w:val="superscript"/>
        </w:rPr>
        <w:t>4]</w:t>
      </w:r>
      <w:r w:rsidRPr="0049564D">
        <w:rPr>
          <w:rFonts w:ascii="Book Antiqua" w:eastAsia="Book Antiqua" w:hAnsi="Book Antiqua" w:cs="Book Antiqua"/>
        </w:rPr>
        <w:t>. In our cohort, 11% of the patients diagnosed with resectable disease by imaging studies were eventually diagnosed with unresectable disease at laparotomy and underwent EL. This rate is better than that reported previously</w:t>
      </w:r>
      <w:r w:rsidRPr="0049564D">
        <w:rPr>
          <w:rFonts w:ascii="Book Antiqua" w:eastAsia="Book Antiqua" w:hAnsi="Book Antiqua" w:cs="Book Antiqua"/>
          <w:vertAlign w:val="superscript"/>
        </w:rPr>
        <w:t>[2</w:t>
      </w:r>
      <w:r w:rsidR="00B87D2C" w:rsidRPr="0049564D">
        <w:rPr>
          <w:rFonts w:ascii="Book Antiqua" w:eastAsia="Book Antiqua" w:hAnsi="Book Antiqua" w:cs="Book Antiqua"/>
          <w:vertAlign w:val="superscript"/>
        </w:rPr>
        <w:t>,</w:t>
      </w:r>
      <w:r w:rsidRPr="0049564D">
        <w:rPr>
          <w:rFonts w:ascii="Book Antiqua" w:eastAsia="Book Antiqua" w:hAnsi="Book Antiqua" w:cs="Book Antiqua"/>
          <w:vertAlign w:val="superscript"/>
        </w:rPr>
        <w:t>4]</w:t>
      </w:r>
      <w:r w:rsidRPr="0049564D">
        <w:rPr>
          <w:rFonts w:ascii="Book Antiqua" w:eastAsia="Book Antiqua" w:hAnsi="Book Antiqua" w:cs="Book Antiqua"/>
        </w:rPr>
        <w:t xml:space="preserve">. </w:t>
      </w:r>
      <w:r w:rsidR="00C121EB" w:rsidRPr="0049564D">
        <w:rPr>
          <w:rFonts w:ascii="Book Antiqua" w:hAnsi="Book Antiqua"/>
        </w:rPr>
        <w:t xml:space="preserve">This discrepancy may be due to previous studies including cases from the 1990s, </w:t>
      </w:r>
      <w:r w:rsidRPr="0049564D">
        <w:rPr>
          <w:rFonts w:ascii="Book Antiqua" w:eastAsia="Book Antiqua" w:hAnsi="Book Antiqua" w:cs="Book Antiqua"/>
        </w:rPr>
        <w:t xml:space="preserve">when the diagnostic modalities were limited and MDCT and FDG-PET </w:t>
      </w:r>
      <w:r w:rsidRPr="0049564D">
        <w:rPr>
          <w:rFonts w:ascii="Book Antiqua" w:eastAsia="Book Antiqua" w:hAnsi="Book Antiqua" w:cs="Book Antiqua"/>
        </w:rPr>
        <w:lastRenderedPageBreak/>
        <w:t xml:space="preserve">were unavailable. Recently, advances in imaging techniques, especially MDCT, have enabled us to evaluate the local resectability of BTC. The limitations in detecting liver and peritoneal metastases have not yet been </w:t>
      </w:r>
      <w:r w:rsidR="00C121EB" w:rsidRPr="0049564D">
        <w:rPr>
          <w:rFonts w:ascii="Book Antiqua" w:hAnsi="Book Antiqua"/>
        </w:rPr>
        <w:t>overcome</w:t>
      </w:r>
      <w:r w:rsidRPr="0049564D">
        <w:rPr>
          <w:rFonts w:ascii="Book Antiqua" w:eastAsia="Book Antiqua" w:hAnsi="Book Antiqua" w:cs="Book Antiqua"/>
          <w:vertAlign w:val="superscript"/>
        </w:rPr>
        <w:t>[17–20]</w:t>
      </w:r>
      <w:r w:rsidRPr="0049564D">
        <w:rPr>
          <w:rFonts w:ascii="Book Antiqua" w:eastAsia="Book Antiqua" w:hAnsi="Book Antiqua" w:cs="Book Antiqua"/>
        </w:rPr>
        <w:t xml:space="preserve">. </w:t>
      </w:r>
      <w:r w:rsidR="00C121EB" w:rsidRPr="0049564D">
        <w:rPr>
          <w:rFonts w:ascii="Book Antiqua" w:hAnsi="Book Antiqua"/>
        </w:rPr>
        <w:t>As the lesions of liver and peritoneal metastasis first detected during the</w:t>
      </w:r>
      <w:r w:rsidRPr="0049564D">
        <w:rPr>
          <w:rFonts w:ascii="Book Antiqua" w:eastAsia="Book Antiqua" w:hAnsi="Book Antiqua" w:cs="Book Antiqua"/>
        </w:rPr>
        <w:t xml:space="preserve"> operation are often very small and solitary, they are difficult to detect even with contrast-based techniques. Even FDG-PET scanners have difficulty in delineating lesions &lt; 8.8</w:t>
      </w:r>
      <w:r w:rsidR="00733BD4" w:rsidRPr="0049564D">
        <w:rPr>
          <w:rFonts w:ascii="Book Antiqua" w:eastAsia="Book Antiqua" w:hAnsi="Book Antiqua" w:cs="Book Antiqua"/>
        </w:rPr>
        <w:t xml:space="preserve"> </w:t>
      </w:r>
      <w:r w:rsidRPr="0049564D">
        <w:rPr>
          <w:rFonts w:ascii="Book Antiqua" w:eastAsia="Book Antiqua" w:hAnsi="Book Antiqua" w:cs="Book Antiqua"/>
        </w:rPr>
        <w:t>mm in diameter</w:t>
      </w:r>
      <w:r w:rsidRPr="0049564D">
        <w:rPr>
          <w:rFonts w:ascii="Book Antiqua" w:eastAsia="Book Antiqua" w:hAnsi="Book Antiqua" w:cs="Book Antiqua"/>
          <w:vertAlign w:val="superscript"/>
        </w:rPr>
        <w:t>[21]</w:t>
      </w:r>
      <w:r w:rsidRPr="0049564D">
        <w:rPr>
          <w:rFonts w:ascii="Book Antiqua" w:eastAsia="Book Antiqua" w:hAnsi="Book Antiqua" w:cs="Book Antiqua"/>
        </w:rPr>
        <w:t>.</w:t>
      </w:r>
    </w:p>
    <w:p w14:paraId="4E281F42" w14:textId="22AC468A" w:rsidR="00A77B3E" w:rsidRPr="0049564D" w:rsidRDefault="006939FE" w:rsidP="00B24044">
      <w:pPr>
        <w:adjustRightInd w:val="0"/>
        <w:snapToGrid w:val="0"/>
        <w:spacing w:line="360" w:lineRule="auto"/>
        <w:ind w:firstLine="240"/>
        <w:jc w:val="both"/>
        <w:rPr>
          <w:rFonts w:ascii="Book Antiqua" w:hAnsi="Book Antiqua"/>
        </w:rPr>
      </w:pPr>
      <w:r w:rsidRPr="0049564D">
        <w:rPr>
          <w:rFonts w:ascii="Book Antiqua" w:eastAsia="Book Antiqua" w:hAnsi="Book Antiqua" w:cs="Book Antiqua"/>
        </w:rPr>
        <w:t xml:space="preserve">Moreover, EL imparts physical strain on the patients and also has a negative impact on the optimization of medical resources. To perform an operation with curative intent, we have to secure the operation room for 8 </w:t>
      </w:r>
      <w:r w:rsidR="00733BD4" w:rsidRPr="0049564D">
        <w:rPr>
          <w:rFonts w:ascii="Book Antiqua" w:eastAsia="Book Antiqua" w:hAnsi="Book Antiqua" w:cs="Book Antiqua"/>
        </w:rPr>
        <w:t xml:space="preserve">h </w:t>
      </w:r>
      <w:r w:rsidRPr="0049564D">
        <w:rPr>
          <w:rFonts w:ascii="Book Antiqua" w:eastAsia="Book Antiqua" w:hAnsi="Book Antiqua" w:cs="Book Antiqua"/>
        </w:rPr>
        <w:t xml:space="preserve">to 12 h </w:t>
      </w:r>
      <w:r w:rsidR="00C121EB" w:rsidRPr="0049564D">
        <w:rPr>
          <w:rFonts w:ascii="Book Antiqua" w:hAnsi="Book Antiqua"/>
        </w:rPr>
        <w:t>along with</w:t>
      </w:r>
      <w:r w:rsidRPr="0049564D">
        <w:rPr>
          <w:rFonts w:ascii="Book Antiqua" w:eastAsia="Book Antiqua" w:hAnsi="Book Antiqua" w:cs="Book Antiqua"/>
        </w:rPr>
        <w:t xml:space="preserve"> the required number of surgeons and allied medical staff for each BTC patient. </w:t>
      </w:r>
      <w:r w:rsidR="00C121EB" w:rsidRPr="0049564D">
        <w:rPr>
          <w:rFonts w:ascii="Book Antiqua" w:hAnsi="Book Antiqua"/>
        </w:rPr>
        <w:t>If the operation necessitates EL, then these resources would be wasted. For this problem, the utility of SL in patients with BTC has been reported</w:t>
      </w:r>
      <w:r w:rsidR="00C121EB" w:rsidRPr="0049564D">
        <w:rPr>
          <w:rFonts w:ascii="Book Antiqua" w:hAnsi="Book Antiqua"/>
          <w:vertAlign w:val="superscript"/>
        </w:rPr>
        <w:t>[22–26]</w:t>
      </w:r>
      <w:r w:rsidR="00C121EB" w:rsidRPr="0049564D">
        <w:rPr>
          <w:rFonts w:ascii="Book Antiqua" w:hAnsi="Book Antiqua"/>
        </w:rPr>
        <w:t>.</w:t>
      </w:r>
      <w:r w:rsidRPr="0049564D">
        <w:rPr>
          <w:rFonts w:ascii="Book Antiqua" w:eastAsia="Book Antiqua" w:hAnsi="Book Antiqua" w:cs="Book Antiqua"/>
        </w:rPr>
        <w:t xml:space="preserve"> </w:t>
      </w:r>
      <w:r w:rsidR="00C121EB" w:rsidRPr="0049564D">
        <w:rPr>
          <w:rFonts w:ascii="Book Antiqua" w:hAnsi="Book Antiqua"/>
        </w:rPr>
        <w:t>SL ensures decreased blood loss, shorter duration of operation and faster induction of chemotherapy than EL</w:t>
      </w:r>
      <w:r w:rsidR="00C121EB" w:rsidRPr="0049564D">
        <w:rPr>
          <w:rFonts w:ascii="Book Antiqua" w:hAnsi="Book Antiqua"/>
          <w:vertAlign w:val="superscript"/>
        </w:rPr>
        <w:t>[7]</w:t>
      </w:r>
      <w:r w:rsidR="00C121EB" w:rsidRPr="0049564D">
        <w:rPr>
          <w:rFonts w:ascii="Book Antiqua" w:hAnsi="Book Antiqua"/>
        </w:rPr>
        <w:t>.</w:t>
      </w:r>
      <w:r w:rsidRPr="0049564D">
        <w:rPr>
          <w:rFonts w:ascii="Book Antiqua" w:eastAsia="Book Antiqua" w:hAnsi="Book Antiqua" w:cs="Book Antiqua"/>
        </w:rPr>
        <w:t xml:space="preserve"> However, as even SL may impose extra stress and costs for </w:t>
      </w:r>
      <w:r w:rsidR="00C121EB" w:rsidRPr="0049564D">
        <w:rPr>
          <w:rFonts w:ascii="Book Antiqua" w:eastAsia="Book Antiqua" w:hAnsi="Book Antiqua" w:cs="Book Antiqua"/>
        </w:rPr>
        <w:t xml:space="preserve">those </w:t>
      </w:r>
      <w:r w:rsidRPr="0049564D">
        <w:rPr>
          <w:rFonts w:ascii="Book Antiqua" w:eastAsia="Book Antiqua" w:hAnsi="Book Antiqua" w:cs="Book Antiqua"/>
        </w:rPr>
        <w:t>whom SL is potentially unnecessary, it would not be appropriate to perform SL for all patients with BTC. In our cohort, if we had performed SL in all the patients, the outcome of SL would have been only 6.8% (occult metastasis, 16/236). Thus, clinicians should select patients who undergo SL efficiently. There are some previous reports describing the selection criteria for SL in pancreas and periampullary cancer</w:t>
      </w:r>
      <w:r w:rsidRPr="0049564D">
        <w:rPr>
          <w:rFonts w:ascii="Book Antiqua" w:eastAsia="Book Antiqua" w:hAnsi="Book Antiqua" w:cs="Book Antiqua"/>
          <w:vertAlign w:val="superscript"/>
        </w:rPr>
        <w:t>[10</w:t>
      </w:r>
      <w:r w:rsidR="00B87D2C" w:rsidRPr="0049564D">
        <w:rPr>
          <w:rFonts w:ascii="Book Antiqua" w:eastAsia="Book Antiqua" w:hAnsi="Book Antiqua" w:cs="Book Antiqua"/>
          <w:vertAlign w:val="superscript"/>
        </w:rPr>
        <w:t>,</w:t>
      </w:r>
      <w:r w:rsidRPr="0049564D">
        <w:rPr>
          <w:rFonts w:ascii="Book Antiqua" w:eastAsia="Book Antiqua" w:hAnsi="Book Antiqua" w:cs="Book Antiqua"/>
          <w:vertAlign w:val="superscript"/>
        </w:rPr>
        <w:t>27</w:t>
      </w:r>
      <w:r w:rsidR="00B87D2C" w:rsidRPr="0049564D">
        <w:rPr>
          <w:rFonts w:ascii="Book Antiqua" w:eastAsia="Book Antiqua" w:hAnsi="Book Antiqua" w:cs="Book Antiqua"/>
          <w:vertAlign w:val="superscript"/>
        </w:rPr>
        <w:t>,</w:t>
      </w:r>
      <w:r w:rsidRPr="0049564D">
        <w:rPr>
          <w:rFonts w:ascii="Book Antiqua" w:eastAsia="Book Antiqua" w:hAnsi="Book Antiqua" w:cs="Book Antiqua"/>
          <w:vertAlign w:val="superscript"/>
        </w:rPr>
        <w:t>28].</w:t>
      </w:r>
      <w:r w:rsidRPr="0049564D">
        <w:rPr>
          <w:rFonts w:ascii="Book Antiqua" w:eastAsia="Book Antiqua" w:hAnsi="Book Antiqua" w:cs="Book Antiqua"/>
        </w:rPr>
        <w:t xml:space="preserve"> These studies indicated that serum CA19-9 </w:t>
      </w:r>
      <w:r w:rsidR="00733BD4" w:rsidRPr="0049564D">
        <w:rPr>
          <w:rFonts w:ascii="Book Antiqua" w:eastAsia="Book Antiqua" w:hAnsi="Book Antiqua" w:cs="Book Antiqua"/>
        </w:rPr>
        <w:t>l</w:t>
      </w:r>
      <w:r w:rsidRPr="0049564D">
        <w:rPr>
          <w:rFonts w:ascii="Book Antiqua" w:eastAsia="Book Antiqua" w:hAnsi="Book Antiqua" w:cs="Book Antiqua"/>
        </w:rPr>
        <w:t xml:space="preserve">evels and </w:t>
      </w:r>
      <w:r w:rsidR="00C121EB" w:rsidRPr="0049564D">
        <w:rPr>
          <w:rFonts w:ascii="Book Antiqua" w:eastAsia="Book Antiqua" w:hAnsi="Book Antiqua" w:cs="Book Antiqua"/>
        </w:rPr>
        <w:t xml:space="preserve">the </w:t>
      </w:r>
      <w:r w:rsidRPr="0049564D">
        <w:rPr>
          <w:rFonts w:ascii="Book Antiqua" w:eastAsia="Book Antiqua" w:hAnsi="Book Antiqua" w:cs="Book Antiqua"/>
        </w:rPr>
        <w:t>PLR are useful in selecting patients for SL. However, to the best of our knowledge, this is the first report discussing the selection criteria for SL in patients with BTC.</w:t>
      </w:r>
    </w:p>
    <w:p w14:paraId="7444121F" w14:textId="78FD42AE" w:rsidR="00A77B3E" w:rsidRPr="0049564D" w:rsidRDefault="006939FE" w:rsidP="00B24044">
      <w:pPr>
        <w:adjustRightInd w:val="0"/>
        <w:snapToGrid w:val="0"/>
        <w:spacing w:line="360" w:lineRule="auto"/>
        <w:ind w:firstLine="240"/>
        <w:jc w:val="both"/>
        <w:rPr>
          <w:rFonts w:ascii="Book Antiqua" w:hAnsi="Book Antiqua"/>
        </w:rPr>
      </w:pPr>
      <w:r w:rsidRPr="0049564D">
        <w:rPr>
          <w:rFonts w:ascii="Book Antiqua" w:eastAsia="Book Antiqua" w:hAnsi="Book Antiqua" w:cs="Book Antiqua"/>
        </w:rPr>
        <w:t>In this study, CEA, CA19-9, NLR and m</w:t>
      </w:r>
      <w:r w:rsidR="00C121EB" w:rsidRPr="0049564D">
        <w:rPr>
          <w:rFonts w:ascii="Book Antiqua" w:eastAsia="Book Antiqua" w:hAnsi="Book Antiqua" w:cs="Book Antiqua"/>
        </w:rPr>
        <w:t>GP</w:t>
      </w:r>
      <w:r w:rsidRPr="0049564D">
        <w:rPr>
          <w:rFonts w:ascii="Book Antiqua" w:eastAsia="Book Antiqua" w:hAnsi="Book Antiqua" w:cs="Book Antiqua"/>
        </w:rPr>
        <w:t>S were detected as the factors predicting EL as well as prognostic factors. The prognostic usefulness of inflammation-based prognostic scores has been reported in various cancer types, such as hepatobiliary, colorectal, gastric, esophageal, lung, and renal cell carcinoma</w:t>
      </w:r>
      <w:r w:rsidRPr="0049564D">
        <w:rPr>
          <w:rFonts w:ascii="Book Antiqua" w:eastAsia="Book Antiqua" w:hAnsi="Book Antiqua" w:cs="Book Antiqua"/>
          <w:vertAlign w:val="superscript"/>
        </w:rPr>
        <w:t>[21</w:t>
      </w:r>
      <w:r w:rsidR="00B87D2C" w:rsidRPr="0049564D">
        <w:rPr>
          <w:rFonts w:ascii="Book Antiqua" w:eastAsia="Book Antiqua" w:hAnsi="Book Antiqua" w:cs="Book Antiqua"/>
          <w:vertAlign w:val="superscript"/>
        </w:rPr>
        <w:t>,</w:t>
      </w:r>
      <w:r w:rsidRPr="0049564D">
        <w:rPr>
          <w:rFonts w:ascii="Book Antiqua" w:eastAsia="Book Antiqua" w:hAnsi="Book Antiqua" w:cs="Book Antiqua"/>
          <w:vertAlign w:val="superscript"/>
        </w:rPr>
        <w:t>29-36]</w:t>
      </w:r>
      <w:r w:rsidRPr="0049564D">
        <w:rPr>
          <w:rFonts w:ascii="Book Antiqua" w:eastAsia="Book Antiqua" w:hAnsi="Book Antiqua" w:cs="Book Antiqua"/>
        </w:rPr>
        <w:t>. We also reported that NLR is an independent prognostic factor for resectable pancreatic ductal carcinoma and</w:t>
      </w:r>
      <w:r w:rsidR="00B75740" w:rsidRPr="0049564D">
        <w:rPr>
          <w:rFonts w:ascii="Book Antiqua" w:eastAsia="Book Antiqua" w:hAnsi="Book Antiqua" w:cs="Book Antiqua"/>
        </w:rPr>
        <w:t xml:space="preserve"> hepatocellular carcinoma</w:t>
      </w:r>
      <w:r w:rsidRPr="0049564D">
        <w:rPr>
          <w:rFonts w:ascii="Book Antiqua" w:eastAsia="Book Antiqua" w:hAnsi="Book Antiqua" w:cs="Book Antiqua"/>
          <w:vertAlign w:val="superscript"/>
        </w:rPr>
        <w:t>[37]</w:t>
      </w:r>
      <w:r w:rsidRPr="0049564D">
        <w:rPr>
          <w:rFonts w:ascii="Book Antiqua" w:eastAsia="Book Antiqua" w:hAnsi="Book Antiqua" w:cs="Book Antiqua"/>
        </w:rPr>
        <w:t xml:space="preserve">. The remarkable advantages of inflammation-based prognostic scores are their simplicity and convenience. We can examine blood cell count and biochemistry, including CRP and albumin, with low costs in daily clinical practice. </w:t>
      </w:r>
      <w:r w:rsidRPr="0049564D">
        <w:rPr>
          <w:rFonts w:ascii="Book Antiqua" w:eastAsia="Book Antiqua" w:hAnsi="Book Antiqua" w:cs="Book Antiqua"/>
        </w:rPr>
        <w:lastRenderedPageBreak/>
        <w:t xml:space="preserve">There are no ethical issues, unlike </w:t>
      </w:r>
      <w:r w:rsidR="00B75740" w:rsidRPr="0049564D">
        <w:rPr>
          <w:rFonts w:ascii="Book Antiqua" w:eastAsia="Book Antiqua" w:hAnsi="Book Antiqua" w:cs="Book Antiqua"/>
        </w:rPr>
        <w:t xml:space="preserve">with </w:t>
      </w:r>
      <w:r w:rsidRPr="0049564D">
        <w:rPr>
          <w:rFonts w:ascii="Book Antiqua" w:eastAsia="Book Antiqua" w:hAnsi="Book Antiqua" w:cs="Book Antiqua"/>
        </w:rPr>
        <w:t>genetic examinations. Moreover, tumor markers, including CA19-9 and CEA, are widely used. CA19-9 is useful in selecting patients with pancreas and periampullary cancer for SL</w:t>
      </w:r>
      <w:r w:rsidRPr="0049564D">
        <w:rPr>
          <w:rFonts w:ascii="Book Antiqua" w:eastAsia="Book Antiqua" w:hAnsi="Book Antiqua" w:cs="Book Antiqua"/>
          <w:vertAlign w:val="superscript"/>
        </w:rPr>
        <w:t>[10</w:t>
      </w:r>
      <w:r w:rsidR="00B87D2C" w:rsidRPr="0049564D">
        <w:rPr>
          <w:rFonts w:ascii="Book Antiqua" w:eastAsia="Book Antiqua" w:hAnsi="Book Antiqua" w:cs="Book Antiqua"/>
          <w:vertAlign w:val="superscript"/>
        </w:rPr>
        <w:t>,</w:t>
      </w:r>
      <w:r w:rsidRPr="0049564D">
        <w:rPr>
          <w:rFonts w:ascii="Book Antiqua" w:eastAsia="Book Antiqua" w:hAnsi="Book Antiqua" w:cs="Book Antiqua"/>
          <w:vertAlign w:val="superscript"/>
        </w:rPr>
        <w:t>27</w:t>
      </w:r>
      <w:r w:rsidR="00B87D2C" w:rsidRPr="0049564D">
        <w:rPr>
          <w:rFonts w:ascii="Book Antiqua" w:eastAsia="Book Antiqua" w:hAnsi="Book Antiqua" w:cs="Book Antiqua"/>
          <w:vertAlign w:val="superscript"/>
        </w:rPr>
        <w:t>,</w:t>
      </w:r>
      <w:r w:rsidRPr="0049564D">
        <w:rPr>
          <w:rFonts w:ascii="Book Antiqua" w:eastAsia="Book Antiqua" w:hAnsi="Book Antiqua" w:cs="Book Antiqua"/>
          <w:vertAlign w:val="superscript"/>
        </w:rPr>
        <w:t>28]</w:t>
      </w:r>
      <w:r w:rsidRPr="0049564D">
        <w:rPr>
          <w:rFonts w:ascii="Book Antiqua" w:eastAsia="Book Antiqua" w:hAnsi="Book Antiqua" w:cs="Book Antiqua"/>
        </w:rPr>
        <w:t>. Here, we demonstrated that inflammation-based prognostic scores</w:t>
      </w:r>
      <w:r w:rsidR="00733BD4" w:rsidRPr="0049564D">
        <w:rPr>
          <w:rFonts w:ascii="Book Antiqua" w:eastAsia="Book Antiqua" w:hAnsi="Book Antiqua" w:cs="Book Antiqua"/>
        </w:rPr>
        <w:t>-</w:t>
      </w:r>
      <w:r w:rsidRPr="0049564D">
        <w:rPr>
          <w:rFonts w:ascii="Book Antiqua" w:eastAsia="Book Antiqua" w:hAnsi="Book Antiqua" w:cs="Book Antiqua"/>
        </w:rPr>
        <w:t>NLR and mGPS, and tumor markers were good predictors of unresectable BTC in patients who were radiologically diagnosed with resectable disease. Recently, the utility of neoadjuvant chemotherapy (NAC) in patients with BTC has been discussed</w:t>
      </w:r>
      <w:r w:rsidR="00704B63" w:rsidRPr="0049564D">
        <w:rPr>
          <w:rFonts w:ascii="Book Antiqua" w:eastAsia="Book Antiqua" w:hAnsi="Book Antiqua" w:cs="Book Antiqua"/>
          <w:vertAlign w:val="superscript"/>
        </w:rPr>
        <w:t>[38</w:t>
      </w:r>
      <w:r w:rsidRPr="0049564D">
        <w:rPr>
          <w:rFonts w:ascii="Book Antiqua" w:eastAsia="Book Antiqua" w:hAnsi="Book Antiqua" w:cs="Book Antiqua"/>
          <w:vertAlign w:val="superscript"/>
        </w:rPr>
        <w:t>]</w:t>
      </w:r>
      <w:r w:rsidRPr="0049564D">
        <w:rPr>
          <w:rFonts w:ascii="Book Antiqua" w:eastAsia="Book Antiqua" w:hAnsi="Book Antiqua" w:cs="Book Antiqua"/>
        </w:rPr>
        <w:t>. As one of the roles of NAC in BTC is to benefit the patients with distant micrometastasis who are potentially unresectable, inflammation-based prognostic scores and tumor markers may also be useful for selecting patients suitable for NAC.</w:t>
      </w:r>
    </w:p>
    <w:p w14:paraId="727825B8" w14:textId="1650848F" w:rsidR="00A77B3E" w:rsidRPr="0049564D" w:rsidRDefault="006939FE" w:rsidP="00B24044">
      <w:pPr>
        <w:adjustRightInd w:val="0"/>
        <w:snapToGrid w:val="0"/>
        <w:spacing w:line="360" w:lineRule="auto"/>
        <w:ind w:firstLine="240"/>
        <w:jc w:val="both"/>
        <w:rPr>
          <w:rFonts w:ascii="Book Antiqua" w:hAnsi="Book Antiqua"/>
        </w:rPr>
      </w:pPr>
      <w:r w:rsidRPr="0049564D">
        <w:rPr>
          <w:rFonts w:ascii="Book Antiqua" w:eastAsia="Book Antiqua" w:hAnsi="Book Antiqua" w:cs="Book Antiqua"/>
        </w:rPr>
        <w:t>In this study, CEA &gt;</w:t>
      </w:r>
      <w:r w:rsidR="00733BD4" w:rsidRPr="0049564D">
        <w:rPr>
          <w:rFonts w:ascii="Book Antiqua" w:eastAsia="Book Antiqua" w:hAnsi="Book Antiqua" w:cs="Book Antiqua"/>
        </w:rPr>
        <w:t xml:space="preserve"> </w:t>
      </w:r>
      <w:r w:rsidRPr="0049564D">
        <w:rPr>
          <w:rFonts w:ascii="Book Antiqua" w:eastAsia="Book Antiqua" w:hAnsi="Book Antiqua" w:cs="Book Antiqua"/>
        </w:rPr>
        <w:t>7 ng/mL was</w:t>
      </w:r>
      <w:r w:rsidR="00B75740" w:rsidRPr="0049564D">
        <w:rPr>
          <w:rFonts w:ascii="Book Antiqua" w:eastAsia="Book Antiqua" w:hAnsi="Book Antiqua" w:cs="Book Antiqua"/>
        </w:rPr>
        <w:t xml:space="preserve"> the</w:t>
      </w:r>
      <w:r w:rsidRPr="0049564D">
        <w:rPr>
          <w:rFonts w:ascii="Book Antiqua" w:eastAsia="Book Antiqua" w:hAnsi="Book Antiqua" w:cs="Book Antiqua"/>
        </w:rPr>
        <w:t xml:space="preserve"> most useful criteria for detecting occult metastasis. If SL was performed in cases with CEA &gt;</w:t>
      </w:r>
      <w:r w:rsidR="00733BD4" w:rsidRPr="0049564D">
        <w:rPr>
          <w:rFonts w:ascii="Book Antiqua" w:eastAsia="Book Antiqua" w:hAnsi="Book Antiqua" w:cs="Book Antiqua"/>
        </w:rPr>
        <w:t xml:space="preserve"> </w:t>
      </w:r>
      <w:r w:rsidRPr="0049564D">
        <w:rPr>
          <w:rFonts w:ascii="Book Antiqua" w:eastAsia="Book Antiqua" w:hAnsi="Book Antiqua" w:cs="Book Antiqua"/>
        </w:rPr>
        <w:t xml:space="preserve">7 ng/mL, unnecessary EL might be avoided in 23% </w:t>
      </w:r>
      <w:r w:rsidR="00B75740" w:rsidRPr="0049564D">
        <w:rPr>
          <w:rFonts w:ascii="Book Antiqua" w:eastAsia="Book Antiqua" w:hAnsi="Book Antiqua" w:cs="Book Antiqua"/>
        </w:rPr>
        <w:t xml:space="preserve">of </w:t>
      </w:r>
      <w:r w:rsidRPr="0049564D">
        <w:rPr>
          <w:rFonts w:ascii="Book Antiqua" w:eastAsia="Book Antiqua" w:hAnsi="Book Antiqua" w:cs="Book Antiqua"/>
        </w:rPr>
        <w:t xml:space="preserve">BTC patients. CA19-9, NLR and mGPS </w:t>
      </w:r>
      <w:r w:rsidR="00B75740" w:rsidRPr="0049564D">
        <w:rPr>
          <w:rFonts w:ascii="Book Antiqua" w:eastAsia="Book Antiqua" w:hAnsi="Book Antiqua" w:cs="Book Antiqua"/>
        </w:rPr>
        <w:t>were</w:t>
      </w:r>
      <w:r w:rsidRPr="0049564D">
        <w:rPr>
          <w:rFonts w:ascii="Book Antiqua" w:eastAsia="Book Antiqua" w:hAnsi="Book Antiqua" w:cs="Book Antiqua"/>
        </w:rPr>
        <w:t xml:space="preserve"> also useful to decrease unnecessary laparotomy. In addition, when the number of positive factors increased, the estimated reduction rate of EL gradually increased. In this study, if all four factors were positive, the rate was 33.3%. However, these factors </w:t>
      </w:r>
      <w:r w:rsidR="00B75740" w:rsidRPr="0049564D">
        <w:rPr>
          <w:rFonts w:ascii="Book Antiqua" w:eastAsia="Book Antiqua" w:hAnsi="Book Antiqua" w:cs="Book Antiqua"/>
        </w:rPr>
        <w:t>may</w:t>
      </w:r>
      <w:r w:rsidRPr="0049564D">
        <w:rPr>
          <w:rFonts w:ascii="Book Antiqua" w:eastAsia="Book Antiqua" w:hAnsi="Book Antiqua" w:cs="Book Antiqua"/>
        </w:rPr>
        <w:t xml:space="preserve"> not to be highly related for selective SL. Previous studies on BTC demonstrated that preoperative SL could detect liver or peritoneal metastasis in 14%–41% of the patients</w:t>
      </w:r>
      <w:r w:rsidRPr="0049564D">
        <w:rPr>
          <w:rFonts w:ascii="Book Antiqua" w:eastAsia="Book Antiqua" w:hAnsi="Book Antiqua" w:cs="Book Antiqua"/>
          <w:vertAlign w:val="superscript"/>
        </w:rPr>
        <w:t>[23-26]</w:t>
      </w:r>
      <w:r w:rsidRPr="0049564D">
        <w:rPr>
          <w:rFonts w:ascii="Book Antiqua" w:eastAsia="Book Antiqua" w:hAnsi="Book Antiqua" w:cs="Book Antiqua"/>
        </w:rPr>
        <w:t xml:space="preserve">. These studies discussed nonselective SL. Our data could be due to the relatively low rate of performing EL (11%) </w:t>
      </w:r>
      <w:r w:rsidR="00B75740" w:rsidRPr="0049564D">
        <w:rPr>
          <w:rFonts w:ascii="Book Antiqua" w:eastAsia="Book Antiqua" w:hAnsi="Book Antiqua" w:cs="Book Antiqua"/>
        </w:rPr>
        <w:t>due to</w:t>
      </w:r>
      <w:r w:rsidRPr="0049564D">
        <w:rPr>
          <w:rFonts w:ascii="Book Antiqua" w:eastAsia="Book Antiqua" w:hAnsi="Book Antiqua" w:cs="Book Antiqua"/>
        </w:rPr>
        <w:t xml:space="preserve"> accurate preoperative imaging studies, including MDCT and FDG-PET.</w:t>
      </w:r>
    </w:p>
    <w:p w14:paraId="064C0ACB" w14:textId="5614681B" w:rsidR="00A77B3E" w:rsidRPr="0049564D" w:rsidRDefault="006939FE" w:rsidP="00B24044">
      <w:pPr>
        <w:adjustRightInd w:val="0"/>
        <w:snapToGrid w:val="0"/>
        <w:spacing w:line="360" w:lineRule="auto"/>
        <w:ind w:firstLine="240"/>
        <w:jc w:val="both"/>
        <w:rPr>
          <w:rFonts w:ascii="Book Antiqua" w:hAnsi="Book Antiqua"/>
        </w:rPr>
      </w:pPr>
      <w:r w:rsidRPr="0049564D">
        <w:rPr>
          <w:rFonts w:ascii="Book Antiqua" w:eastAsia="Book Antiqua" w:hAnsi="Book Antiqua" w:cs="Book Antiqua"/>
        </w:rPr>
        <w:t xml:space="preserve">This study has several limitations. First, BTCs are heterogeneous malignancies comprising intrahepatic cholangiocarcinoma, extrahepatic cholangiocarcinoma, gallbladder carcinoma, and ampullary carcinoma. Although sensitivity analysis showed similar results </w:t>
      </w:r>
      <w:r w:rsidR="00B75740" w:rsidRPr="0049564D">
        <w:rPr>
          <w:rFonts w:ascii="Book Antiqua" w:eastAsia="Book Antiqua" w:hAnsi="Book Antiqua" w:cs="Book Antiqua"/>
        </w:rPr>
        <w:t>for</w:t>
      </w:r>
      <w:r w:rsidRPr="0049564D">
        <w:rPr>
          <w:rFonts w:ascii="Book Antiqua" w:eastAsia="Book Antiqua" w:hAnsi="Book Antiqua" w:cs="Book Antiqua"/>
        </w:rPr>
        <w:t xml:space="preserve"> all BTCs, a study with a large number of tumors is required. However, due to the heterogeneity of BTCs, the results of this study may be suitable for evaluation of other solid malignancies</w:t>
      </w:r>
      <w:r w:rsidR="00B75740" w:rsidRPr="0049564D">
        <w:rPr>
          <w:rFonts w:ascii="Book Antiqua" w:eastAsia="Book Antiqua" w:hAnsi="Book Antiqua" w:cs="Book Antiqua"/>
        </w:rPr>
        <w:t>. However</w:t>
      </w:r>
      <w:r w:rsidRPr="0049564D">
        <w:rPr>
          <w:rFonts w:ascii="Book Antiqua" w:eastAsia="Book Antiqua" w:hAnsi="Book Antiqua" w:cs="Book Antiqua"/>
        </w:rPr>
        <w:t xml:space="preserve">, studies on other solid malignancies are also required. Second, this study included a limited number of patients with EL and no representation from primarily unresectable patients. Further studies including primarily unresectable patients are needed. Lastly, although we detected the factors predicting the </w:t>
      </w:r>
      <w:r w:rsidR="00B87D2C" w:rsidRPr="0049564D">
        <w:rPr>
          <w:rFonts w:ascii="Book Antiqua" w:eastAsia="Book Antiqua" w:hAnsi="Book Antiqua" w:cs="Book Antiqua"/>
        </w:rPr>
        <w:lastRenderedPageBreak/>
        <w:t>EL</w:t>
      </w:r>
      <w:r w:rsidRPr="0049564D">
        <w:rPr>
          <w:rFonts w:ascii="Book Antiqua" w:eastAsia="Book Antiqua" w:hAnsi="Book Antiqua" w:cs="Book Antiqua"/>
        </w:rPr>
        <w:t xml:space="preserve"> or occult metastasis in BTC, the validation study has not been performed yet. To determine the selection criteria for SL future study is required.</w:t>
      </w:r>
    </w:p>
    <w:p w14:paraId="2E46C678" w14:textId="77777777" w:rsidR="00A77B3E" w:rsidRPr="0049564D" w:rsidRDefault="00A77B3E" w:rsidP="00B24044">
      <w:pPr>
        <w:adjustRightInd w:val="0"/>
        <w:snapToGrid w:val="0"/>
        <w:spacing w:line="360" w:lineRule="auto"/>
        <w:ind w:firstLine="240"/>
        <w:jc w:val="both"/>
        <w:rPr>
          <w:rFonts w:ascii="Book Antiqua" w:hAnsi="Book Antiqua"/>
        </w:rPr>
      </w:pPr>
    </w:p>
    <w:p w14:paraId="6C38B053"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caps/>
          <w:u w:val="single"/>
        </w:rPr>
        <w:t>CONCLUSION</w:t>
      </w:r>
    </w:p>
    <w:p w14:paraId="55D14BF9"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The study indicates that planned SL may reduce requirement of EL when the inflammation-based prognostic scores and tumor markers or their combinations are used in selecting patients with BTC.</w:t>
      </w:r>
    </w:p>
    <w:p w14:paraId="595C77FB" w14:textId="77777777" w:rsidR="00A77B3E" w:rsidRPr="0049564D" w:rsidRDefault="00A77B3E" w:rsidP="00B24044">
      <w:pPr>
        <w:adjustRightInd w:val="0"/>
        <w:snapToGrid w:val="0"/>
        <w:spacing w:line="360" w:lineRule="auto"/>
        <w:jc w:val="both"/>
        <w:rPr>
          <w:rFonts w:ascii="Book Antiqua" w:hAnsi="Book Antiqua"/>
        </w:rPr>
      </w:pPr>
    </w:p>
    <w:p w14:paraId="4B73C0EF"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caps/>
          <w:u w:val="single"/>
        </w:rPr>
        <w:t>ARTICLE HIGHLIGHTS</w:t>
      </w:r>
    </w:p>
    <w:p w14:paraId="32BD681E"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i/>
        </w:rPr>
        <w:t>Research background</w:t>
      </w:r>
    </w:p>
    <w:p w14:paraId="275011D4"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Advances in radiological imaging techniques have enabled us to understand the details of biliary tract cancer (BTC) preoperatively. However, detecting small liver metastasis or peritoneal metastasis remains difficult in BTCs.</w:t>
      </w:r>
    </w:p>
    <w:p w14:paraId="45C8BE11" w14:textId="77777777" w:rsidR="00A77B3E" w:rsidRPr="0049564D" w:rsidRDefault="00A77B3E" w:rsidP="00B24044">
      <w:pPr>
        <w:adjustRightInd w:val="0"/>
        <w:snapToGrid w:val="0"/>
        <w:spacing w:line="360" w:lineRule="auto"/>
        <w:jc w:val="both"/>
        <w:rPr>
          <w:rFonts w:ascii="Book Antiqua" w:hAnsi="Book Antiqua"/>
        </w:rPr>
      </w:pPr>
    </w:p>
    <w:p w14:paraId="41307A07"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i/>
        </w:rPr>
        <w:t>Research motivation</w:t>
      </w:r>
    </w:p>
    <w:p w14:paraId="7BC62EF0"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Staging laparoscopy may help avoid unnecessary laparotomy due to the occult metastases. However, there are no standard methods for selecting staging laparoscopy in BTC.</w:t>
      </w:r>
    </w:p>
    <w:p w14:paraId="7D03A991" w14:textId="77777777" w:rsidR="00A77B3E" w:rsidRPr="0049564D" w:rsidRDefault="00A77B3E" w:rsidP="00B24044">
      <w:pPr>
        <w:adjustRightInd w:val="0"/>
        <w:snapToGrid w:val="0"/>
        <w:spacing w:line="360" w:lineRule="auto"/>
        <w:jc w:val="both"/>
        <w:rPr>
          <w:rFonts w:ascii="Book Antiqua" w:hAnsi="Book Antiqua"/>
        </w:rPr>
      </w:pPr>
    </w:p>
    <w:p w14:paraId="108D0D99"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i/>
        </w:rPr>
        <w:t>Research objectives</w:t>
      </w:r>
    </w:p>
    <w:p w14:paraId="0E4F6C0B"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This study aimed to elucidate the risk factors for exploratory laparotomy due to occult metastasis in patients with BTC using tumor markers and inflammation-based prognostic scores.</w:t>
      </w:r>
    </w:p>
    <w:p w14:paraId="17F0A416" w14:textId="77777777" w:rsidR="00A77B3E" w:rsidRPr="0049564D" w:rsidRDefault="00A77B3E" w:rsidP="00B24044">
      <w:pPr>
        <w:adjustRightInd w:val="0"/>
        <w:snapToGrid w:val="0"/>
        <w:spacing w:line="360" w:lineRule="auto"/>
        <w:jc w:val="both"/>
        <w:rPr>
          <w:rFonts w:ascii="Book Antiqua" w:hAnsi="Book Antiqua"/>
        </w:rPr>
      </w:pPr>
    </w:p>
    <w:p w14:paraId="05D39B6A"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i/>
        </w:rPr>
        <w:t>Research methods</w:t>
      </w:r>
    </w:p>
    <w:p w14:paraId="1D647878" w14:textId="461AE94F" w:rsidR="00B75740" w:rsidRPr="0049564D" w:rsidRDefault="00B75740" w:rsidP="00B24044">
      <w:pPr>
        <w:pStyle w:val="1"/>
        <w:snapToGrid w:val="0"/>
        <w:spacing w:line="360" w:lineRule="auto"/>
        <w:rPr>
          <w:rFonts w:ascii="Book Antiqua" w:hAnsi="Book Antiqua"/>
          <w:sz w:val="24"/>
          <w:szCs w:val="24"/>
        </w:rPr>
      </w:pPr>
      <w:r w:rsidRPr="0049564D">
        <w:rPr>
          <w:rFonts w:ascii="Book Antiqua" w:hAnsi="Book Antiqua"/>
          <w:sz w:val="24"/>
          <w:szCs w:val="24"/>
        </w:rPr>
        <w:t>This was a retrospective study from the data of 236 BTC patients.</w:t>
      </w:r>
    </w:p>
    <w:p w14:paraId="2482C681" w14:textId="77777777" w:rsidR="00A77B3E" w:rsidRPr="0049564D" w:rsidRDefault="00A77B3E" w:rsidP="00B24044">
      <w:pPr>
        <w:adjustRightInd w:val="0"/>
        <w:snapToGrid w:val="0"/>
        <w:spacing w:line="360" w:lineRule="auto"/>
        <w:jc w:val="both"/>
        <w:rPr>
          <w:rFonts w:ascii="Book Antiqua" w:hAnsi="Book Antiqua"/>
        </w:rPr>
      </w:pPr>
    </w:p>
    <w:p w14:paraId="48061270"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i/>
        </w:rPr>
        <w:t>Research results</w:t>
      </w:r>
    </w:p>
    <w:p w14:paraId="57E7289E" w14:textId="6FEC4CBD" w:rsidR="00B75740" w:rsidRPr="0049564D" w:rsidRDefault="00B75740" w:rsidP="00B24044">
      <w:pPr>
        <w:pStyle w:val="1"/>
        <w:snapToGrid w:val="0"/>
        <w:spacing w:line="360" w:lineRule="auto"/>
        <w:rPr>
          <w:rFonts w:ascii="Book Antiqua" w:hAnsi="Book Antiqua"/>
          <w:sz w:val="24"/>
          <w:szCs w:val="24"/>
        </w:rPr>
      </w:pPr>
      <w:r w:rsidRPr="0049564D">
        <w:rPr>
          <w:rFonts w:ascii="Book Antiqua" w:hAnsi="Book Antiqua"/>
          <w:sz w:val="24"/>
          <w:szCs w:val="24"/>
        </w:rPr>
        <w:t xml:space="preserve">Twenty-six (11%) patients underwent exploratory laparotomy, and there were sixteen </w:t>
      </w:r>
      <w:r w:rsidRPr="0049564D">
        <w:rPr>
          <w:rFonts w:ascii="Book Antiqua" w:hAnsi="Book Antiqua"/>
          <w:sz w:val="24"/>
          <w:szCs w:val="24"/>
        </w:rPr>
        <w:lastRenderedPageBreak/>
        <w:t>occult metastasis cases (7 liver metastasis and 9 abdominal disseminations). Serum carcinoembryonic antigen, carbohydrate antigen 19-9, neutrophil-lymphocyte ratio and modified Glasgow prognostic score were significantly higher in the exploratory laparotomy group (</w:t>
      </w:r>
      <w:r w:rsidRPr="0049564D">
        <w:rPr>
          <w:rFonts w:ascii="Book Antiqua" w:hAnsi="Book Antiqua"/>
          <w:i/>
          <w:sz w:val="24"/>
          <w:szCs w:val="24"/>
        </w:rPr>
        <w:t>n</w:t>
      </w:r>
      <w:r w:rsidRPr="0049564D">
        <w:rPr>
          <w:rFonts w:ascii="Book Antiqua" w:hAnsi="Book Antiqua"/>
          <w:sz w:val="24"/>
          <w:szCs w:val="24"/>
        </w:rPr>
        <w:t xml:space="preserve"> = 26) than in the resected group (</w:t>
      </w:r>
      <w:r w:rsidRPr="0049564D">
        <w:rPr>
          <w:rFonts w:ascii="Book Antiqua" w:hAnsi="Book Antiqua"/>
          <w:i/>
          <w:sz w:val="24"/>
          <w:szCs w:val="24"/>
        </w:rPr>
        <w:t>n</w:t>
      </w:r>
      <w:r w:rsidRPr="0049564D">
        <w:rPr>
          <w:rFonts w:ascii="Book Antiqua" w:hAnsi="Book Antiqua"/>
          <w:sz w:val="24"/>
          <w:szCs w:val="24"/>
        </w:rPr>
        <w:t xml:space="preserve"> = 210). Among these factors, carcinoembryonic antigen &gt; 7 ng/mL was the most useful to predict occult metastasis. When patients had more than three of these positive factors, the rate of occult metastasis increased.</w:t>
      </w:r>
    </w:p>
    <w:p w14:paraId="506F4F2E" w14:textId="77777777" w:rsidR="00A77B3E" w:rsidRPr="0049564D" w:rsidRDefault="00A77B3E" w:rsidP="00B24044">
      <w:pPr>
        <w:adjustRightInd w:val="0"/>
        <w:snapToGrid w:val="0"/>
        <w:spacing w:line="360" w:lineRule="auto"/>
        <w:jc w:val="both"/>
        <w:rPr>
          <w:rFonts w:ascii="Book Antiqua" w:hAnsi="Book Antiqua"/>
        </w:rPr>
      </w:pPr>
    </w:p>
    <w:p w14:paraId="593D7F56"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i/>
        </w:rPr>
        <w:t>Research conclusions</w:t>
      </w:r>
    </w:p>
    <w:p w14:paraId="274AE81A"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Inflammation-based prognostic scores and tumor markers are useful in detecting occult metastasis in patients with BTC, and based on a combination of these factors, selective staging laparoscopy may reduce the rate of exploratory laparotomy.</w:t>
      </w:r>
    </w:p>
    <w:p w14:paraId="7FB6E976" w14:textId="77777777" w:rsidR="00A77B3E" w:rsidRPr="0049564D" w:rsidRDefault="00A77B3E" w:rsidP="00B24044">
      <w:pPr>
        <w:adjustRightInd w:val="0"/>
        <w:snapToGrid w:val="0"/>
        <w:spacing w:line="360" w:lineRule="auto"/>
        <w:jc w:val="both"/>
        <w:rPr>
          <w:rFonts w:ascii="Book Antiqua" w:hAnsi="Book Antiqua"/>
        </w:rPr>
      </w:pPr>
    </w:p>
    <w:p w14:paraId="272740AA"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i/>
        </w:rPr>
        <w:t>Research perspectives</w:t>
      </w:r>
    </w:p>
    <w:p w14:paraId="27E889B5"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Since BTCs are heterogeneous malignancies, a study with a large number of tumors is required.</w:t>
      </w:r>
    </w:p>
    <w:p w14:paraId="1EF7B754" w14:textId="77777777" w:rsidR="00A77B3E" w:rsidRPr="0049564D" w:rsidRDefault="00A77B3E" w:rsidP="00B24044">
      <w:pPr>
        <w:adjustRightInd w:val="0"/>
        <w:snapToGrid w:val="0"/>
        <w:spacing w:line="360" w:lineRule="auto"/>
        <w:jc w:val="both"/>
        <w:rPr>
          <w:rFonts w:ascii="Book Antiqua" w:hAnsi="Book Antiqua"/>
        </w:rPr>
      </w:pPr>
    </w:p>
    <w:p w14:paraId="2040CB70"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rPr>
        <w:t>REFERENCES</w:t>
      </w:r>
    </w:p>
    <w:p w14:paraId="70C94AD2"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1 </w:t>
      </w:r>
      <w:r w:rsidRPr="0049564D">
        <w:rPr>
          <w:rFonts w:ascii="Book Antiqua" w:eastAsia="Book Antiqua" w:hAnsi="Book Antiqua" w:cs="Book Antiqua"/>
          <w:b/>
          <w:bCs/>
        </w:rPr>
        <w:t>Ishihara S</w:t>
      </w:r>
      <w:r w:rsidRPr="0049564D">
        <w:rPr>
          <w:rFonts w:ascii="Book Antiqua" w:eastAsia="Book Antiqua" w:hAnsi="Book Antiqua" w:cs="Book Antiqua"/>
        </w:rPr>
        <w:t xml:space="preserve">, Horiguchi A, Miyakawa S, Endo I, Miyazaki M, Takada T. Biliary tract cancer registry in Japan from 2008 to 2013. </w:t>
      </w:r>
      <w:r w:rsidRPr="0049564D">
        <w:rPr>
          <w:rFonts w:ascii="Book Antiqua" w:eastAsia="Book Antiqua" w:hAnsi="Book Antiqua" w:cs="Book Antiqua"/>
          <w:i/>
          <w:iCs/>
        </w:rPr>
        <w:t>J Hepatobiliary Pancreat Sci</w:t>
      </w:r>
      <w:r w:rsidRPr="0049564D">
        <w:rPr>
          <w:rFonts w:ascii="Book Antiqua" w:eastAsia="Book Antiqua" w:hAnsi="Book Antiqua" w:cs="Book Antiqua"/>
        </w:rPr>
        <w:t xml:space="preserve"> 2016; </w:t>
      </w:r>
      <w:r w:rsidRPr="0049564D">
        <w:rPr>
          <w:rFonts w:ascii="Book Antiqua" w:eastAsia="Book Antiqua" w:hAnsi="Book Antiqua" w:cs="Book Antiqua"/>
          <w:b/>
          <w:bCs/>
        </w:rPr>
        <w:t>23</w:t>
      </w:r>
      <w:r w:rsidRPr="0049564D">
        <w:rPr>
          <w:rFonts w:ascii="Book Antiqua" w:eastAsia="Book Antiqua" w:hAnsi="Book Antiqua" w:cs="Book Antiqua"/>
        </w:rPr>
        <w:t>: 149-157 [PMID: 26699688 DOI: 10.1002/jhbp.314]</w:t>
      </w:r>
    </w:p>
    <w:p w14:paraId="754850E6"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2 </w:t>
      </w:r>
      <w:r w:rsidRPr="0049564D">
        <w:rPr>
          <w:rFonts w:ascii="Book Antiqua" w:eastAsia="Book Antiqua" w:hAnsi="Book Antiqua" w:cs="Book Antiqua"/>
          <w:b/>
          <w:bCs/>
        </w:rPr>
        <w:t>Shin DW</w:t>
      </w:r>
      <w:r w:rsidRPr="0049564D">
        <w:rPr>
          <w:rFonts w:ascii="Book Antiqua" w:eastAsia="Book Antiqua" w:hAnsi="Book Antiqua" w:cs="Book Antiqua"/>
        </w:rPr>
        <w:t xml:space="preserve">, Kim MJ, Lee JC, Kim J, Woo SM, Lee WJ, Lee KH, Hwang JH. Gemcitabine Plus Cisplatin Chemotherapy Prolongs the Survival in Advanced Hilar Cholangiocarcinoma: A Large Multicenter Study. </w:t>
      </w:r>
      <w:r w:rsidRPr="0049564D">
        <w:rPr>
          <w:rFonts w:ascii="Book Antiqua" w:eastAsia="Book Antiqua" w:hAnsi="Book Antiqua" w:cs="Book Antiqua"/>
          <w:i/>
          <w:iCs/>
        </w:rPr>
        <w:t>Am J Clin Oncol</w:t>
      </w:r>
      <w:r w:rsidRPr="0049564D">
        <w:rPr>
          <w:rFonts w:ascii="Book Antiqua" w:eastAsia="Book Antiqua" w:hAnsi="Book Antiqua" w:cs="Book Antiqua"/>
        </w:rPr>
        <w:t xml:space="preserve"> 2020; </w:t>
      </w:r>
      <w:r w:rsidRPr="0049564D">
        <w:rPr>
          <w:rFonts w:ascii="Book Antiqua" w:eastAsia="Book Antiqua" w:hAnsi="Book Antiqua" w:cs="Book Antiqua"/>
          <w:b/>
          <w:bCs/>
        </w:rPr>
        <w:t>43</w:t>
      </w:r>
      <w:r w:rsidRPr="0049564D">
        <w:rPr>
          <w:rFonts w:ascii="Book Antiqua" w:eastAsia="Book Antiqua" w:hAnsi="Book Antiqua" w:cs="Book Antiqua"/>
        </w:rPr>
        <w:t>: 422-427 [PMID: 32118610 DOI: 10.1097/COC.0000000000000682]</w:t>
      </w:r>
    </w:p>
    <w:p w14:paraId="72547612"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3 </w:t>
      </w:r>
      <w:r w:rsidRPr="0049564D">
        <w:rPr>
          <w:rFonts w:ascii="Book Antiqua" w:eastAsia="Book Antiqua" w:hAnsi="Book Antiqua" w:cs="Book Antiqua"/>
          <w:b/>
          <w:bCs/>
        </w:rPr>
        <w:t>Miyazaki M</w:t>
      </w:r>
      <w:r w:rsidRPr="0049564D">
        <w:rPr>
          <w:rFonts w:ascii="Book Antiqua" w:eastAsia="Book Antiqua" w:hAnsi="Book Antiqua" w:cs="Book Antiqua"/>
        </w:rPr>
        <w:t xml:space="preserve">, Yoshitomi H, Miyakawa S, Uesaka K, Unno M, Endo I, Ota T, Ohtsuka M, Kinoshita H, Shimada K, Shimizu H, Tabata M, Chijiiwa K, Nagino M, Hirano S, Wakai T, Wada K, Isayama H, Okusaka T, Tsuyuguchi T, Fujita N, Furuse J, Yamao K, Murakami K, Yamazaki H, Kijima H, Nakanuma Y, Yoshida M, Takayashiki T, Takada T. Clinical </w:t>
      </w:r>
      <w:r w:rsidRPr="0049564D">
        <w:rPr>
          <w:rFonts w:ascii="Book Antiqua" w:eastAsia="Book Antiqua" w:hAnsi="Book Antiqua" w:cs="Book Antiqua"/>
        </w:rPr>
        <w:lastRenderedPageBreak/>
        <w:t xml:space="preserve">practice guidelines for the management of biliary tract cancers 2015: the 2nd English edition. </w:t>
      </w:r>
      <w:r w:rsidRPr="0049564D">
        <w:rPr>
          <w:rFonts w:ascii="Book Antiqua" w:eastAsia="Book Antiqua" w:hAnsi="Book Antiqua" w:cs="Book Antiqua"/>
          <w:i/>
          <w:iCs/>
        </w:rPr>
        <w:t>J Hepatobiliary Pancreat Sci</w:t>
      </w:r>
      <w:r w:rsidRPr="0049564D">
        <w:rPr>
          <w:rFonts w:ascii="Book Antiqua" w:eastAsia="Book Antiqua" w:hAnsi="Book Antiqua" w:cs="Book Antiqua"/>
        </w:rPr>
        <w:t xml:space="preserve"> 2015; </w:t>
      </w:r>
      <w:r w:rsidRPr="0049564D">
        <w:rPr>
          <w:rFonts w:ascii="Book Antiqua" w:eastAsia="Book Antiqua" w:hAnsi="Book Antiqua" w:cs="Book Antiqua"/>
          <w:b/>
          <w:bCs/>
        </w:rPr>
        <w:t>22</w:t>
      </w:r>
      <w:r w:rsidRPr="0049564D">
        <w:rPr>
          <w:rFonts w:ascii="Book Antiqua" w:eastAsia="Book Antiqua" w:hAnsi="Book Antiqua" w:cs="Book Antiqua"/>
        </w:rPr>
        <w:t>: 249-273 [PMID: 25787274 DOI: 10.1002/jhbp.233]</w:t>
      </w:r>
    </w:p>
    <w:p w14:paraId="2D428DBF"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4 </w:t>
      </w:r>
      <w:r w:rsidRPr="0049564D">
        <w:rPr>
          <w:rFonts w:ascii="Book Antiqua" w:eastAsia="Book Antiqua" w:hAnsi="Book Antiqua" w:cs="Book Antiqua"/>
          <w:b/>
          <w:bCs/>
        </w:rPr>
        <w:t>Matsuo K</w:t>
      </w:r>
      <w:r w:rsidRPr="0049564D">
        <w:rPr>
          <w:rFonts w:ascii="Book Antiqua" w:eastAsia="Book Antiqua" w:hAnsi="Book Antiqua" w:cs="Book Antiqua"/>
        </w:rPr>
        <w:t xml:space="preserve">, Rocha FG, Ito K, D'Angelica MI, Allen PJ, Fong Y, Dematteo RP, Gonen M, Endo I, Jarnagin WR. The Blumgart preoperative staging system for hilar cholangiocarcinoma: analysis of resectability and outcomes in 380 patients. </w:t>
      </w:r>
      <w:r w:rsidRPr="0049564D">
        <w:rPr>
          <w:rFonts w:ascii="Book Antiqua" w:eastAsia="Book Antiqua" w:hAnsi="Book Antiqua" w:cs="Book Antiqua"/>
          <w:i/>
          <w:iCs/>
        </w:rPr>
        <w:t>J Am Coll Surg</w:t>
      </w:r>
      <w:r w:rsidRPr="0049564D">
        <w:rPr>
          <w:rFonts w:ascii="Book Antiqua" w:eastAsia="Book Antiqua" w:hAnsi="Book Antiqua" w:cs="Book Antiqua"/>
        </w:rPr>
        <w:t xml:space="preserve"> 2012; </w:t>
      </w:r>
      <w:r w:rsidRPr="0049564D">
        <w:rPr>
          <w:rFonts w:ascii="Book Antiqua" w:eastAsia="Book Antiqua" w:hAnsi="Book Antiqua" w:cs="Book Antiqua"/>
          <w:b/>
          <w:bCs/>
        </w:rPr>
        <w:t>215</w:t>
      </w:r>
      <w:r w:rsidRPr="0049564D">
        <w:rPr>
          <w:rFonts w:ascii="Book Antiqua" w:eastAsia="Book Antiqua" w:hAnsi="Book Antiqua" w:cs="Book Antiqua"/>
        </w:rPr>
        <w:t>: 343-355 [PMID: 22749003 DOI: 10.1016/j.jamcollsurg.2012.05.025]</w:t>
      </w:r>
    </w:p>
    <w:p w14:paraId="6D449FF1"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5 </w:t>
      </w:r>
      <w:r w:rsidRPr="0049564D">
        <w:rPr>
          <w:rFonts w:ascii="Book Antiqua" w:eastAsia="Book Antiqua" w:hAnsi="Book Antiqua" w:cs="Book Antiqua"/>
          <w:b/>
          <w:bCs/>
        </w:rPr>
        <w:t>Brockbank EC</w:t>
      </w:r>
      <w:r w:rsidRPr="0049564D">
        <w:rPr>
          <w:rFonts w:ascii="Book Antiqua" w:eastAsia="Book Antiqua" w:hAnsi="Book Antiqua" w:cs="Book Antiqua"/>
        </w:rPr>
        <w:t xml:space="preserve">, Harry V, Kolomainen D, Mukhopadhyay D, Sohaib A, Bridges JE, Nobbenhuis MA, Shepherd JH, Ind TE, Barton DP. Laparoscopic staging for apparent early stage ovarian or fallopian tube cancer. First case series from a UK cancer centre and systematic literature review. </w:t>
      </w:r>
      <w:r w:rsidRPr="0049564D">
        <w:rPr>
          <w:rFonts w:ascii="Book Antiqua" w:eastAsia="Book Antiqua" w:hAnsi="Book Antiqua" w:cs="Book Antiqua"/>
          <w:i/>
          <w:iCs/>
        </w:rPr>
        <w:t>Eur J Surg Oncol</w:t>
      </w:r>
      <w:r w:rsidRPr="0049564D">
        <w:rPr>
          <w:rFonts w:ascii="Book Antiqua" w:eastAsia="Book Antiqua" w:hAnsi="Book Antiqua" w:cs="Book Antiqua"/>
        </w:rPr>
        <w:t xml:space="preserve"> 2013; </w:t>
      </w:r>
      <w:r w:rsidRPr="0049564D">
        <w:rPr>
          <w:rFonts w:ascii="Book Antiqua" w:eastAsia="Book Antiqua" w:hAnsi="Book Antiqua" w:cs="Book Antiqua"/>
          <w:b/>
          <w:bCs/>
        </w:rPr>
        <w:t>39</w:t>
      </w:r>
      <w:r w:rsidRPr="0049564D">
        <w:rPr>
          <w:rFonts w:ascii="Book Antiqua" w:eastAsia="Book Antiqua" w:hAnsi="Book Antiqua" w:cs="Book Antiqua"/>
        </w:rPr>
        <w:t>: 912-917 [PMID: 23721765 DOI: 10.1016/j.ejso.2013.05.007]</w:t>
      </w:r>
    </w:p>
    <w:p w14:paraId="7CB8CC4B"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6 </w:t>
      </w:r>
      <w:r w:rsidRPr="0049564D">
        <w:rPr>
          <w:rFonts w:ascii="Book Antiqua" w:eastAsia="Book Antiqua" w:hAnsi="Book Antiqua" w:cs="Book Antiqua"/>
          <w:b/>
          <w:bCs/>
        </w:rPr>
        <w:t>Convie L</w:t>
      </w:r>
      <w:r w:rsidRPr="0049564D">
        <w:rPr>
          <w:rFonts w:ascii="Book Antiqua" w:eastAsia="Book Antiqua" w:hAnsi="Book Antiqua" w:cs="Book Antiqua"/>
        </w:rPr>
        <w:t xml:space="preserve">, Thompson RJ, Kennedy R, Clements WD, Carey PD, Kennedy JA. The current role of staging laparoscopy in oesophagogastric cancer. </w:t>
      </w:r>
      <w:r w:rsidRPr="0049564D">
        <w:rPr>
          <w:rFonts w:ascii="Book Antiqua" w:eastAsia="Book Antiqua" w:hAnsi="Book Antiqua" w:cs="Book Antiqua"/>
          <w:i/>
          <w:iCs/>
        </w:rPr>
        <w:t>Ann R Coll Surg Engl</w:t>
      </w:r>
      <w:r w:rsidRPr="0049564D">
        <w:rPr>
          <w:rFonts w:ascii="Book Antiqua" w:eastAsia="Book Antiqua" w:hAnsi="Book Antiqua" w:cs="Book Antiqua"/>
        </w:rPr>
        <w:t xml:space="preserve"> 2015; </w:t>
      </w:r>
      <w:r w:rsidRPr="0049564D">
        <w:rPr>
          <w:rFonts w:ascii="Book Antiqua" w:eastAsia="Book Antiqua" w:hAnsi="Book Antiqua" w:cs="Book Antiqua"/>
          <w:b/>
          <w:bCs/>
        </w:rPr>
        <w:t>97</w:t>
      </w:r>
      <w:r w:rsidRPr="0049564D">
        <w:rPr>
          <w:rFonts w:ascii="Book Antiqua" w:eastAsia="Book Antiqua" w:hAnsi="Book Antiqua" w:cs="Book Antiqua"/>
        </w:rPr>
        <w:t>: 146-150 [PMID: 25723693 DOI: 10.1308/003588414X14055925061270]</w:t>
      </w:r>
    </w:p>
    <w:p w14:paraId="5882613D" w14:textId="0C3E6AD3"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7 </w:t>
      </w:r>
      <w:r w:rsidRPr="0049564D">
        <w:rPr>
          <w:rFonts w:ascii="Book Antiqua" w:eastAsia="Book Antiqua" w:hAnsi="Book Antiqua" w:cs="Book Antiqua"/>
          <w:b/>
          <w:bCs/>
        </w:rPr>
        <w:t>Hashimoto D</w:t>
      </w:r>
      <w:r w:rsidRPr="0049564D">
        <w:rPr>
          <w:rFonts w:ascii="Book Antiqua" w:eastAsia="Book Antiqua" w:hAnsi="Book Antiqua" w:cs="Book Antiqua"/>
        </w:rPr>
        <w:t xml:space="preserve">, Chikamoto A, Sakata K, Nakagawa S, Hayashi H, Ohmuraya M, Hirota M, Yoshida N, Beppu T, Baba H. Staging laparoscopy leads to rapid induction of chemotherapy for unresectable pancreatobiliary cancers. </w:t>
      </w:r>
      <w:r w:rsidRPr="0049564D">
        <w:rPr>
          <w:rFonts w:ascii="Book Antiqua" w:eastAsia="Book Antiqua" w:hAnsi="Book Antiqua" w:cs="Book Antiqua"/>
          <w:i/>
          <w:iCs/>
        </w:rPr>
        <w:t>Asian J Endosc Surg</w:t>
      </w:r>
      <w:r w:rsidRPr="0049564D">
        <w:rPr>
          <w:rFonts w:ascii="Book Antiqua" w:eastAsia="Book Antiqua" w:hAnsi="Book Antiqua" w:cs="Book Antiqua"/>
        </w:rPr>
        <w:t xml:space="preserve"> 2015; </w:t>
      </w:r>
      <w:r w:rsidRPr="0049564D">
        <w:rPr>
          <w:rFonts w:ascii="Book Antiqua" w:eastAsia="Book Antiqua" w:hAnsi="Book Antiqua" w:cs="Book Antiqua"/>
          <w:b/>
          <w:bCs/>
        </w:rPr>
        <w:t>8</w:t>
      </w:r>
      <w:r w:rsidRPr="0049564D">
        <w:rPr>
          <w:rFonts w:ascii="Book Antiqua" w:eastAsia="Book Antiqua" w:hAnsi="Book Antiqua" w:cs="Book Antiqua"/>
        </w:rPr>
        <w:t xml:space="preserve">: 59-62 [PMID: 25598056 DOI: </w:t>
      </w:r>
      <w:r w:rsidR="0062767C" w:rsidRPr="0049564D">
        <w:rPr>
          <w:rFonts w:ascii="Book Antiqua" w:eastAsia="Book Antiqua" w:hAnsi="Book Antiqua" w:cs="Book Antiqua"/>
        </w:rPr>
        <w:t>10.1111/ases.12138</w:t>
      </w:r>
      <w:r w:rsidRPr="0049564D">
        <w:rPr>
          <w:rFonts w:ascii="Book Antiqua" w:eastAsia="Book Antiqua" w:hAnsi="Book Antiqua" w:cs="Book Antiqua"/>
        </w:rPr>
        <w:t>]</w:t>
      </w:r>
    </w:p>
    <w:p w14:paraId="1CD95514"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8 </w:t>
      </w:r>
      <w:r w:rsidRPr="0049564D">
        <w:rPr>
          <w:rFonts w:ascii="Book Antiqua" w:eastAsia="Book Antiqua" w:hAnsi="Book Antiqua" w:cs="Book Antiqua"/>
          <w:b/>
          <w:bCs/>
        </w:rPr>
        <w:t>Ikoma N</w:t>
      </w:r>
      <w:r w:rsidRPr="0049564D">
        <w:rPr>
          <w:rFonts w:ascii="Book Antiqua" w:eastAsia="Book Antiqua" w:hAnsi="Book Antiqua" w:cs="Book Antiqua"/>
        </w:rPr>
        <w:t xml:space="preserve">, Blum M, Chiang YJ, Estrella JS, Roy-Chowdhuri S, Fournier K, Mansfield P, Ajani JA, Badgwell BD. Yield of Staging Laparoscopy and Lavage Cytology for Radiologically Occult Peritoneal Carcinomatosis of Gastric Cancer. </w:t>
      </w:r>
      <w:r w:rsidRPr="0049564D">
        <w:rPr>
          <w:rFonts w:ascii="Book Antiqua" w:eastAsia="Book Antiqua" w:hAnsi="Book Antiqua" w:cs="Book Antiqua"/>
          <w:i/>
          <w:iCs/>
        </w:rPr>
        <w:t>Ann Surg Oncol</w:t>
      </w:r>
      <w:r w:rsidRPr="0049564D">
        <w:rPr>
          <w:rFonts w:ascii="Book Antiqua" w:eastAsia="Book Antiqua" w:hAnsi="Book Antiqua" w:cs="Book Antiqua"/>
        </w:rPr>
        <w:t xml:space="preserve"> 2016; </w:t>
      </w:r>
      <w:r w:rsidRPr="0049564D">
        <w:rPr>
          <w:rFonts w:ascii="Book Antiqua" w:eastAsia="Book Antiqua" w:hAnsi="Book Antiqua" w:cs="Book Antiqua"/>
          <w:b/>
          <w:bCs/>
        </w:rPr>
        <w:t>23</w:t>
      </w:r>
      <w:r w:rsidRPr="0049564D">
        <w:rPr>
          <w:rFonts w:ascii="Book Antiqua" w:eastAsia="Book Antiqua" w:hAnsi="Book Antiqua" w:cs="Book Antiqua"/>
        </w:rPr>
        <w:t>: 4332-4337 [PMID: 27384751 DOI: 10.1245/s10434-016-5409-7]</w:t>
      </w:r>
    </w:p>
    <w:p w14:paraId="58A193AA" w14:textId="00C95D08"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9 </w:t>
      </w:r>
      <w:r w:rsidRPr="0049564D">
        <w:rPr>
          <w:rFonts w:ascii="Book Antiqua" w:eastAsia="Book Antiqua" w:hAnsi="Book Antiqua" w:cs="Book Antiqua"/>
          <w:b/>
          <w:bCs/>
        </w:rPr>
        <w:t>Schlieman MG</w:t>
      </w:r>
      <w:r w:rsidRPr="0049564D">
        <w:rPr>
          <w:rFonts w:ascii="Book Antiqua" w:eastAsia="Book Antiqua" w:hAnsi="Book Antiqua" w:cs="Book Antiqua"/>
        </w:rPr>
        <w:t xml:space="preserve">, Ho HS, Bold RJ. Utility of tumor markers in determining resectability of pancreatic cancer. </w:t>
      </w:r>
      <w:r w:rsidRPr="0049564D">
        <w:rPr>
          <w:rFonts w:ascii="Book Antiqua" w:eastAsia="Book Antiqua" w:hAnsi="Book Antiqua" w:cs="Book Antiqua"/>
          <w:i/>
          <w:iCs/>
        </w:rPr>
        <w:t>Arch Surg</w:t>
      </w:r>
      <w:r w:rsidRPr="0049564D">
        <w:rPr>
          <w:rFonts w:ascii="Book Antiqua" w:eastAsia="Book Antiqua" w:hAnsi="Book Antiqua" w:cs="Book Antiqua"/>
        </w:rPr>
        <w:t xml:space="preserve"> 2003; </w:t>
      </w:r>
      <w:r w:rsidRPr="0049564D">
        <w:rPr>
          <w:rFonts w:ascii="Book Antiqua" w:eastAsia="Book Antiqua" w:hAnsi="Book Antiqua" w:cs="Book Antiqua"/>
          <w:b/>
          <w:bCs/>
        </w:rPr>
        <w:t>138</w:t>
      </w:r>
      <w:r w:rsidRPr="0049564D">
        <w:rPr>
          <w:rFonts w:ascii="Book Antiqua" w:eastAsia="Book Antiqua" w:hAnsi="Book Antiqua" w:cs="Book Antiqua"/>
        </w:rPr>
        <w:t>: 951-955 [PMID: 12963650 DOI: 10.1001/archsurg.138.9.951]</w:t>
      </w:r>
    </w:p>
    <w:p w14:paraId="49AAD1D3"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10 </w:t>
      </w:r>
      <w:r w:rsidRPr="0049564D">
        <w:rPr>
          <w:rFonts w:ascii="Book Antiqua" w:eastAsia="Book Antiqua" w:hAnsi="Book Antiqua" w:cs="Book Antiqua"/>
          <w:b/>
          <w:bCs/>
        </w:rPr>
        <w:t>Alexakis N</w:t>
      </w:r>
      <w:r w:rsidRPr="0049564D">
        <w:rPr>
          <w:rFonts w:ascii="Book Antiqua" w:eastAsia="Book Antiqua" w:hAnsi="Book Antiqua" w:cs="Book Antiqua"/>
        </w:rPr>
        <w:t xml:space="preserve">, Gomatos IP, Sbarounis S, Toutouzas K, Katsaragakis S, Zografos G, Konstandoulakis MM. High serum CA 19-9 but not tumor size should select patients for </w:t>
      </w:r>
      <w:r w:rsidRPr="0049564D">
        <w:rPr>
          <w:rFonts w:ascii="Book Antiqua" w:eastAsia="Book Antiqua" w:hAnsi="Book Antiqua" w:cs="Book Antiqua"/>
        </w:rPr>
        <w:lastRenderedPageBreak/>
        <w:t xml:space="preserve">staging laparoscopy in radiological resectable pancreas head and peri-ampullary cancer. </w:t>
      </w:r>
      <w:r w:rsidRPr="0049564D">
        <w:rPr>
          <w:rFonts w:ascii="Book Antiqua" w:eastAsia="Book Antiqua" w:hAnsi="Book Antiqua" w:cs="Book Antiqua"/>
          <w:i/>
          <w:iCs/>
        </w:rPr>
        <w:t>Eur J Surg Oncol</w:t>
      </w:r>
      <w:r w:rsidRPr="0049564D">
        <w:rPr>
          <w:rFonts w:ascii="Book Antiqua" w:eastAsia="Book Antiqua" w:hAnsi="Book Antiqua" w:cs="Book Antiqua"/>
        </w:rPr>
        <w:t xml:space="preserve"> 2015; </w:t>
      </w:r>
      <w:r w:rsidRPr="0049564D">
        <w:rPr>
          <w:rFonts w:ascii="Book Antiqua" w:eastAsia="Book Antiqua" w:hAnsi="Book Antiqua" w:cs="Book Antiqua"/>
          <w:b/>
          <w:bCs/>
        </w:rPr>
        <w:t>41</w:t>
      </w:r>
      <w:r w:rsidRPr="0049564D">
        <w:rPr>
          <w:rFonts w:ascii="Book Antiqua" w:eastAsia="Book Antiqua" w:hAnsi="Book Antiqua" w:cs="Book Antiqua"/>
        </w:rPr>
        <w:t>: 265-269 [PMID: 25266999 DOI: 10.1016/j.ejso.2014.09.006]</w:t>
      </w:r>
    </w:p>
    <w:p w14:paraId="3940692A"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11 </w:t>
      </w:r>
      <w:r w:rsidRPr="0049564D">
        <w:rPr>
          <w:rFonts w:ascii="Book Antiqua" w:eastAsia="Book Antiqua" w:hAnsi="Book Antiqua" w:cs="Book Antiqua"/>
          <w:b/>
          <w:bCs/>
        </w:rPr>
        <w:t>Oshiro Y</w:t>
      </w:r>
      <w:r w:rsidRPr="0049564D">
        <w:rPr>
          <w:rFonts w:ascii="Book Antiqua" w:eastAsia="Book Antiqua" w:hAnsi="Book Antiqua" w:cs="Book Antiqua"/>
        </w:rPr>
        <w:t xml:space="preserve">, Sasaki R, Fukunaga K, Kondo T, Oda T, Takahashi H, Ohkohchi N. Inflammation-based prognostic score is a useful predictor of postoperative outcome in patients with extrahepatic cholangiocarcinoma. </w:t>
      </w:r>
      <w:r w:rsidRPr="0049564D">
        <w:rPr>
          <w:rFonts w:ascii="Book Antiqua" w:eastAsia="Book Antiqua" w:hAnsi="Book Antiqua" w:cs="Book Antiqua"/>
          <w:i/>
          <w:iCs/>
        </w:rPr>
        <w:t>J Hepatobiliary Pancreat Sci</w:t>
      </w:r>
      <w:r w:rsidRPr="0049564D">
        <w:rPr>
          <w:rFonts w:ascii="Book Antiqua" w:eastAsia="Book Antiqua" w:hAnsi="Book Antiqua" w:cs="Book Antiqua"/>
        </w:rPr>
        <w:t xml:space="preserve"> 2013; </w:t>
      </w:r>
      <w:r w:rsidRPr="0049564D">
        <w:rPr>
          <w:rFonts w:ascii="Book Antiqua" w:eastAsia="Book Antiqua" w:hAnsi="Book Antiqua" w:cs="Book Antiqua"/>
          <w:b/>
          <w:bCs/>
        </w:rPr>
        <w:t>20</w:t>
      </w:r>
      <w:r w:rsidRPr="0049564D">
        <w:rPr>
          <w:rFonts w:ascii="Book Antiqua" w:eastAsia="Book Antiqua" w:hAnsi="Book Antiqua" w:cs="Book Antiqua"/>
        </w:rPr>
        <w:t>: 389-395 [PMID: 23138964 DOI: 10.1007/s00534-012-0550-6]</w:t>
      </w:r>
    </w:p>
    <w:p w14:paraId="770F3E1B"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12 </w:t>
      </w:r>
      <w:r w:rsidRPr="0049564D">
        <w:rPr>
          <w:rFonts w:ascii="Book Antiqua" w:eastAsia="Book Antiqua" w:hAnsi="Book Antiqua" w:cs="Book Antiqua"/>
          <w:b/>
          <w:bCs/>
        </w:rPr>
        <w:t>Okuno M</w:t>
      </w:r>
      <w:r w:rsidRPr="0049564D">
        <w:rPr>
          <w:rFonts w:ascii="Book Antiqua" w:eastAsia="Book Antiqua" w:hAnsi="Book Antiqua" w:cs="Book Antiqua"/>
        </w:rPr>
        <w:t xml:space="preserve">, Ebata T, Yokoyama Y, Igami T, Sugawara G, Mizuno T, Yamaguchi J, Nagino M. Evaluation of inflammation-based prognostic scores in patients undergoing hepatobiliary resection for perihilar cholangiocarcinoma. </w:t>
      </w:r>
      <w:r w:rsidRPr="0049564D">
        <w:rPr>
          <w:rFonts w:ascii="Book Antiqua" w:eastAsia="Book Antiqua" w:hAnsi="Book Antiqua" w:cs="Book Antiqua"/>
          <w:i/>
          <w:iCs/>
        </w:rPr>
        <w:t>J Gastroenterol</w:t>
      </w:r>
      <w:r w:rsidRPr="0049564D">
        <w:rPr>
          <w:rFonts w:ascii="Book Antiqua" w:eastAsia="Book Antiqua" w:hAnsi="Book Antiqua" w:cs="Book Antiqua"/>
        </w:rPr>
        <w:t xml:space="preserve"> 2016; </w:t>
      </w:r>
      <w:r w:rsidRPr="0049564D">
        <w:rPr>
          <w:rFonts w:ascii="Book Antiqua" w:eastAsia="Book Antiqua" w:hAnsi="Book Antiqua" w:cs="Book Antiqua"/>
          <w:b/>
          <w:bCs/>
        </w:rPr>
        <w:t>51</w:t>
      </w:r>
      <w:r w:rsidRPr="0049564D">
        <w:rPr>
          <w:rFonts w:ascii="Book Antiqua" w:eastAsia="Book Antiqua" w:hAnsi="Book Antiqua" w:cs="Book Antiqua"/>
        </w:rPr>
        <w:t>: 153-161 [PMID: 26187429 DOI: 10.1007/s00535-015-1103-y]</w:t>
      </w:r>
    </w:p>
    <w:p w14:paraId="1ECE8773"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13 </w:t>
      </w:r>
      <w:r w:rsidRPr="0049564D">
        <w:rPr>
          <w:rFonts w:ascii="Book Antiqua" w:eastAsia="Book Antiqua" w:hAnsi="Book Antiqua" w:cs="Book Antiqua"/>
          <w:b/>
          <w:bCs/>
        </w:rPr>
        <w:t>Juntermanns B</w:t>
      </w:r>
      <w:r w:rsidRPr="0049564D">
        <w:rPr>
          <w:rFonts w:ascii="Book Antiqua" w:eastAsia="Book Antiqua" w:hAnsi="Book Antiqua" w:cs="Book Antiqua"/>
        </w:rPr>
        <w:t xml:space="preserve">, Radunz S, Heuer M, Hertel S, Reis H, Neuhaus JP, Vernadakis S, Trarbach T, Paul A, Kaiser GM. Tumor markers as a diagnostic key for hilar cholangiocarcinoma. </w:t>
      </w:r>
      <w:r w:rsidRPr="0049564D">
        <w:rPr>
          <w:rFonts w:ascii="Book Antiqua" w:eastAsia="Book Antiqua" w:hAnsi="Book Antiqua" w:cs="Book Antiqua"/>
          <w:i/>
          <w:iCs/>
        </w:rPr>
        <w:t>Eur J Med Res</w:t>
      </w:r>
      <w:r w:rsidRPr="0049564D">
        <w:rPr>
          <w:rFonts w:ascii="Book Antiqua" w:eastAsia="Book Antiqua" w:hAnsi="Book Antiqua" w:cs="Book Antiqua"/>
        </w:rPr>
        <w:t xml:space="preserve"> 2010; </w:t>
      </w:r>
      <w:r w:rsidRPr="0049564D">
        <w:rPr>
          <w:rFonts w:ascii="Book Antiqua" w:eastAsia="Book Antiqua" w:hAnsi="Book Antiqua" w:cs="Book Antiqua"/>
          <w:b/>
          <w:bCs/>
        </w:rPr>
        <w:t>15</w:t>
      </w:r>
      <w:r w:rsidRPr="0049564D">
        <w:rPr>
          <w:rFonts w:ascii="Book Antiqua" w:eastAsia="Book Antiqua" w:hAnsi="Book Antiqua" w:cs="Book Antiqua"/>
        </w:rPr>
        <w:t>: 357-361 [PMID: 20947473 DOI: 10.1186/2047-783x-15-8-357]</w:t>
      </w:r>
    </w:p>
    <w:p w14:paraId="742F0125"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14 </w:t>
      </w:r>
      <w:r w:rsidRPr="0049564D">
        <w:rPr>
          <w:rFonts w:ascii="Book Antiqua" w:eastAsia="Book Antiqua" w:hAnsi="Book Antiqua" w:cs="Book Antiqua"/>
          <w:b/>
          <w:bCs/>
        </w:rPr>
        <w:t>Kondo S</w:t>
      </w:r>
      <w:r w:rsidRPr="0049564D">
        <w:rPr>
          <w:rFonts w:ascii="Book Antiqua" w:eastAsia="Book Antiqua" w:hAnsi="Book Antiqua" w:cs="Book Antiqua"/>
        </w:rPr>
        <w:t xml:space="preserve">, Nimura Y, Hayakawa N, Kamiya J, Nagino M, Uesaka K. Regional and para-aortic lymphadenectomy in radical surgery for advanced gallbladder carcinoma. </w:t>
      </w:r>
      <w:r w:rsidRPr="0049564D">
        <w:rPr>
          <w:rFonts w:ascii="Book Antiqua" w:eastAsia="Book Antiqua" w:hAnsi="Book Antiqua" w:cs="Book Antiqua"/>
          <w:i/>
          <w:iCs/>
        </w:rPr>
        <w:t>Br J Surg</w:t>
      </w:r>
      <w:r w:rsidRPr="0049564D">
        <w:rPr>
          <w:rFonts w:ascii="Book Antiqua" w:eastAsia="Book Antiqua" w:hAnsi="Book Antiqua" w:cs="Book Antiqua"/>
        </w:rPr>
        <w:t xml:space="preserve"> 2000; </w:t>
      </w:r>
      <w:r w:rsidRPr="0049564D">
        <w:rPr>
          <w:rFonts w:ascii="Book Antiqua" w:eastAsia="Book Antiqua" w:hAnsi="Book Antiqua" w:cs="Book Antiqua"/>
          <w:b/>
          <w:bCs/>
        </w:rPr>
        <w:t>87</w:t>
      </w:r>
      <w:r w:rsidRPr="0049564D">
        <w:rPr>
          <w:rFonts w:ascii="Book Antiqua" w:eastAsia="Book Antiqua" w:hAnsi="Book Antiqua" w:cs="Book Antiqua"/>
        </w:rPr>
        <w:t>: 418-422 [PMID: 10759735 DOI: 10.1046/j.1365-2168.2000.01384.x]</w:t>
      </w:r>
    </w:p>
    <w:p w14:paraId="4A4BD563"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15 </w:t>
      </w:r>
      <w:r w:rsidRPr="0049564D">
        <w:rPr>
          <w:rFonts w:ascii="Book Antiqua" w:eastAsia="Book Antiqua" w:hAnsi="Book Antiqua" w:cs="Book Antiqua"/>
          <w:b/>
          <w:bCs/>
        </w:rPr>
        <w:t>Fujiwara Y</w:t>
      </w:r>
      <w:r w:rsidRPr="0049564D">
        <w:rPr>
          <w:rFonts w:ascii="Book Antiqua" w:eastAsia="Book Antiqua" w:hAnsi="Book Antiqua" w:cs="Book Antiqua"/>
        </w:rPr>
        <w:t xml:space="preserve">, Haruki K, Shiba H, Hamura R, Shirai Y, Furukawa K, Gocho T, Yanaga K. The Comparison of Inflammation-Based Prognostic Scores in Patients With Extrahepatic Bile Duct Cancer After Pancreaticoduodenectomy. </w:t>
      </w:r>
      <w:r w:rsidRPr="0049564D">
        <w:rPr>
          <w:rFonts w:ascii="Book Antiqua" w:eastAsia="Book Antiqua" w:hAnsi="Book Antiqua" w:cs="Book Antiqua"/>
          <w:i/>
          <w:iCs/>
        </w:rPr>
        <w:t>J Surg Res</w:t>
      </w:r>
      <w:r w:rsidRPr="0049564D">
        <w:rPr>
          <w:rFonts w:ascii="Book Antiqua" w:eastAsia="Book Antiqua" w:hAnsi="Book Antiqua" w:cs="Book Antiqua"/>
        </w:rPr>
        <w:t xml:space="preserve"> 2019; </w:t>
      </w:r>
      <w:r w:rsidRPr="0049564D">
        <w:rPr>
          <w:rFonts w:ascii="Book Antiqua" w:eastAsia="Book Antiqua" w:hAnsi="Book Antiqua" w:cs="Book Antiqua"/>
          <w:b/>
          <w:bCs/>
        </w:rPr>
        <w:t>238</w:t>
      </w:r>
      <w:r w:rsidRPr="0049564D">
        <w:rPr>
          <w:rFonts w:ascii="Book Antiqua" w:eastAsia="Book Antiqua" w:hAnsi="Book Antiqua" w:cs="Book Antiqua"/>
        </w:rPr>
        <w:t>: 102-112 [PMID: 30769246 DOI: 10.1016/j.jss.2019.01.033]</w:t>
      </w:r>
    </w:p>
    <w:p w14:paraId="5A461500" w14:textId="0513F86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16 </w:t>
      </w:r>
      <w:r w:rsidRPr="0049564D">
        <w:rPr>
          <w:rFonts w:ascii="Book Antiqua" w:eastAsia="Book Antiqua" w:hAnsi="Book Antiqua" w:cs="Book Antiqua"/>
          <w:b/>
          <w:bCs/>
        </w:rPr>
        <w:t>Jansson H</w:t>
      </w:r>
      <w:r w:rsidRPr="0049564D">
        <w:rPr>
          <w:rFonts w:ascii="Book Antiqua" w:eastAsia="Book Antiqua" w:hAnsi="Book Antiqua" w:cs="Book Antiqua"/>
        </w:rPr>
        <w:t xml:space="preserve">, Cornillet M, Björkström NK, Sturesson C, Sparrelid E. Prognostic value of preoperative inflammatory markers in resectable biliary tract cancer - Validation and comparison of the Glasgow Prognostic Score and Modified Glasgow Prognostic Score in a Western cohort. </w:t>
      </w:r>
      <w:r w:rsidRPr="0049564D">
        <w:rPr>
          <w:rFonts w:ascii="Book Antiqua" w:eastAsia="Book Antiqua" w:hAnsi="Book Antiqua" w:cs="Book Antiqua"/>
          <w:i/>
          <w:iCs/>
        </w:rPr>
        <w:t>Eur J Surg Oncol</w:t>
      </w:r>
      <w:r w:rsidRPr="0049564D">
        <w:rPr>
          <w:rFonts w:ascii="Book Antiqua" w:eastAsia="Book Antiqua" w:hAnsi="Book Antiqua" w:cs="Book Antiqua"/>
        </w:rPr>
        <w:t xml:space="preserve"> 2020; </w:t>
      </w:r>
      <w:r w:rsidRPr="0049564D">
        <w:rPr>
          <w:rFonts w:ascii="Book Antiqua" w:eastAsia="Book Antiqua" w:hAnsi="Book Antiqua" w:cs="Book Antiqua"/>
          <w:b/>
          <w:bCs/>
        </w:rPr>
        <w:t>46</w:t>
      </w:r>
      <w:r w:rsidRPr="0049564D">
        <w:rPr>
          <w:rFonts w:ascii="Book Antiqua" w:eastAsia="Book Antiqua" w:hAnsi="Book Antiqua" w:cs="Book Antiqua"/>
        </w:rPr>
        <w:t xml:space="preserve">: 804-810 [PMID: 31848078 DOI: </w:t>
      </w:r>
      <w:r w:rsidR="0062767C" w:rsidRPr="0049564D">
        <w:rPr>
          <w:rFonts w:ascii="Book Antiqua" w:eastAsia="Book Antiqua" w:hAnsi="Book Antiqua" w:cs="Book Antiqua"/>
        </w:rPr>
        <w:t>10.1016/j.ejso.2019.12.008</w:t>
      </w:r>
      <w:r w:rsidRPr="0049564D">
        <w:rPr>
          <w:rFonts w:ascii="Book Antiqua" w:eastAsia="Book Antiqua" w:hAnsi="Book Antiqua" w:cs="Book Antiqua"/>
        </w:rPr>
        <w:t>]</w:t>
      </w:r>
    </w:p>
    <w:p w14:paraId="4DA07944" w14:textId="71DE8D0C"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17 </w:t>
      </w:r>
      <w:r w:rsidRPr="0049564D">
        <w:rPr>
          <w:rFonts w:ascii="Book Antiqua" w:eastAsia="Book Antiqua" w:hAnsi="Book Antiqua" w:cs="Book Antiqua"/>
          <w:b/>
          <w:bCs/>
        </w:rPr>
        <w:t>Ni Q</w:t>
      </w:r>
      <w:r w:rsidRPr="0049564D">
        <w:rPr>
          <w:rFonts w:ascii="Book Antiqua" w:eastAsia="Book Antiqua" w:hAnsi="Book Antiqua" w:cs="Book Antiqua"/>
        </w:rPr>
        <w:t xml:space="preserve">, Wang H, Zhang Y, Qian L, Chi J, Liang X, Chen T, Wang J. MDCT assessment of resectability in hilar cholangiocarcinoma. </w:t>
      </w:r>
      <w:r w:rsidRPr="0049564D">
        <w:rPr>
          <w:rFonts w:ascii="Book Antiqua" w:eastAsia="Book Antiqua" w:hAnsi="Book Antiqua" w:cs="Book Antiqua"/>
          <w:i/>
          <w:iCs/>
        </w:rPr>
        <w:t>Abdom Radiol (NY)</w:t>
      </w:r>
      <w:r w:rsidRPr="0049564D">
        <w:rPr>
          <w:rFonts w:ascii="Book Antiqua" w:eastAsia="Book Antiqua" w:hAnsi="Book Antiqua" w:cs="Book Antiqua"/>
        </w:rPr>
        <w:t xml:space="preserve"> 2017; </w:t>
      </w:r>
      <w:r w:rsidRPr="0049564D">
        <w:rPr>
          <w:rFonts w:ascii="Book Antiqua" w:eastAsia="Book Antiqua" w:hAnsi="Book Antiqua" w:cs="Book Antiqua"/>
          <w:b/>
          <w:bCs/>
        </w:rPr>
        <w:t>42</w:t>
      </w:r>
      <w:r w:rsidRPr="0049564D">
        <w:rPr>
          <w:rFonts w:ascii="Book Antiqua" w:eastAsia="Book Antiqua" w:hAnsi="Book Antiqua" w:cs="Book Antiqua"/>
        </w:rPr>
        <w:t xml:space="preserve">: 851-860 [PMID: 27770159 DOI: </w:t>
      </w:r>
      <w:r w:rsidR="0062767C" w:rsidRPr="0049564D">
        <w:rPr>
          <w:rFonts w:ascii="Book Antiqua" w:eastAsia="Book Antiqua" w:hAnsi="Book Antiqua" w:cs="Book Antiqua"/>
        </w:rPr>
        <w:t>10.1007/s00261-016-0943-0</w:t>
      </w:r>
      <w:r w:rsidRPr="0049564D">
        <w:rPr>
          <w:rFonts w:ascii="Book Antiqua" w:eastAsia="Book Antiqua" w:hAnsi="Book Antiqua" w:cs="Book Antiqua"/>
        </w:rPr>
        <w:t>]</w:t>
      </w:r>
    </w:p>
    <w:p w14:paraId="2058FE7F"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lastRenderedPageBreak/>
        <w:t xml:space="preserve">18 </w:t>
      </w:r>
      <w:r w:rsidRPr="0049564D">
        <w:rPr>
          <w:rFonts w:ascii="Book Antiqua" w:eastAsia="Book Antiqua" w:hAnsi="Book Antiqua" w:cs="Book Antiqua"/>
          <w:b/>
          <w:bCs/>
        </w:rPr>
        <w:t>Ajiki T</w:t>
      </w:r>
      <w:r w:rsidRPr="0049564D">
        <w:rPr>
          <w:rFonts w:ascii="Book Antiqua" w:eastAsia="Book Antiqua" w:hAnsi="Book Antiqua" w:cs="Book Antiqua"/>
        </w:rPr>
        <w:t xml:space="preserve">, Fukumoto T, Ueno K, Okazaki T, Matsumoto I, Ku Y. Three-dimensional computed tomographic cholangiography as a novel diagnostic tool for evaluation of bile duct invasion of perihilar cholangiocarcinoma. </w:t>
      </w:r>
      <w:r w:rsidRPr="0049564D">
        <w:rPr>
          <w:rFonts w:ascii="Book Antiqua" w:eastAsia="Book Antiqua" w:hAnsi="Book Antiqua" w:cs="Book Antiqua"/>
          <w:i/>
          <w:iCs/>
        </w:rPr>
        <w:t>Hepatogastroenterology</w:t>
      </w:r>
      <w:r w:rsidRPr="0049564D">
        <w:rPr>
          <w:rFonts w:ascii="Book Antiqua" w:eastAsia="Book Antiqua" w:hAnsi="Book Antiqua" w:cs="Book Antiqua"/>
        </w:rPr>
        <w:t xml:space="preserve"> 2013; </w:t>
      </w:r>
      <w:r w:rsidRPr="0049564D">
        <w:rPr>
          <w:rFonts w:ascii="Book Antiqua" w:eastAsia="Book Antiqua" w:hAnsi="Book Antiqua" w:cs="Book Antiqua"/>
          <w:b/>
          <w:bCs/>
        </w:rPr>
        <w:t>60</w:t>
      </w:r>
      <w:r w:rsidRPr="0049564D">
        <w:rPr>
          <w:rFonts w:ascii="Book Antiqua" w:eastAsia="Book Antiqua" w:hAnsi="Book Antiqua" w:cs="Book Antiqua"/>
        </w:rPr>
        <w:t>: 1833-1838 [PMID: 24719915]</w:t>
      </w:r>
    </w:p>
    <w:p w14:paraId="11280AFB"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19 </w:t>
      </w:r>
      <w:r w:rsidRPr="0049564D">
        <w:rPr>
          <w:rFonts w:ascii="Book Antiqua" w:eastAsia="Book Antiqua" w:hAnsi="Book Antiqua" w:cs="Book Antiqua"/>
          <w:b/>
          <w:bCs/>
        </w:rPr>
        <w:t>Kawanaka Y</w:t>
      </w:r>
      <w:r w:rsidRPr="0049564D">
        <w:rPr>
          <w:rFonts w:ascii="Book Antiqua" w:eastAsia="Book Antiqua" w:hAnsi="Book Antiqua" w:cs="Book Antiqua"/>
        </w:rPr>
        <w:t xml:space="preserve">, Kitajima K, Fukushima K, Mouri M, Doi H, Oshima T, Niwa H, Kaibe N, Sasako M, Tomita T, Miwa H, Hirota S. Added value of pretreatment (18)F-FDG PET/CT for staging of advanced gastric cancer: Comparison with contrast-enhanced MDCT. </w:t>
      </w:r>
      <w:r w:rsidRPr="0049564D">
        <w:rPr>
          <w:rFonts w:ascii="Book Antiqua" w:eastAsia="Book Antiqua" w:hAnsi="Book Antiqua" w:cs="Book Antiqua"/>
          <w:i/>
          <w:iCs/>
        </w:rPr>
        <w:t>Eur J Radiol</w:t>
      </w:r>
      <w:r w:rsidRPr="0049564D">
        <w:rPr>
          <w:rFonts w:ascii="Book Antiqua" w:eastAsia="Book Antiqua" w:hAnsi="Book Antiqua" w:cs="Book Antiqua"/>
        </w:rPr>
        <w:t xml:space="preserve"> 2016; </w:t>
      </w:r>
      <w:r w:rsidRPr="0049564D">
        <w:rPr>
          <w:rFonts w:ascii="Book Antiqua" w:eastAsia="Book Antiqua" w:hAnsi="Book Antiqua" w:cs="Book Antiqua"/>
          <w:b/>
          <w:bCs/>
        </w:rPr>
        <w:t>85</w:t>
      </w:r>
      <w:r w:rsidRPr="0049564D">
        <w:rPr>
          <w:rFonts w:ascii="Book Antiqua" w:eastAsia="Book Antiqua" w:hAnsi="Book Antiqua" w:cs="Book Antiqua"/>
        </w:rPr>
        <w:t>: 989-995 [PMID: 27130061 DOI: 10.1016/j.ejrad.2016.03.003]</w:t>
      </w:r>
    </w:p>
    <w:p w14:paraId="483A058B"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20 </w:t>
      </w:r>
      <w:r w:rsidRPr="0049564D">
        <w:rPr>
          <w:rFonts w:ascii="Book Antiqua" w:eastAsia="Book Antiqua" w:hAnsi="Book Antiqua" w:cs="Book Antiqua"/>
          <w:b/>
          <w:bCs/>
        </w:rPr>
        <w:t>Yamada I</w:t>
      </w:r>
      <w:r w:rsidRPr="0049564D">
        <w:rPr>
          <w:rFonts w:ascii="Book Antiqua" w:eastAsia="Book Antiqua" w:hAnsi="Book Antiqua" w:cs="Book Antiqua"/>
        </w:rPr>
        <w:t xml:space="preserve">, Ajiki T, Ueno K, Sawa H, Otsubo I, Yoshida Y, Shinzeki M, Toyama H, Matsumoto I, Fukumoto T, Nakao A, Kotani J, Ku Y. Feasibility of (18)F-fluorodeoxyglucose positron-emission tomography for preoperative evaluation of biliary tract cancer. </w:t>
      </w:r>
      <w:r w:rsidRPr="0049564D">
        <w:rPr>
          <w:rFonts w:ascii="Book Antiqua" w:eastAsia="Book Antiqua" w:hAnsi="Book Antiqua" w:cs="Book Antiqua"/>
          <w:i/>
          <w:iCs/>
        </w:rPr>
        <w:t>Anticancer Res</w:t>
      </w:r>
      <w:r w:rsidRPr="0049564D">
        <w:rPr>
          <w:rFonts w:ascii="Book Antiqua" w:eastAsia="Book Antiqua" w:hAnsi="Book Antiqua" w:cs="Book Antiqua"/>
        </w:rPr>
        <w:t xml:space="preserve"> 2012; </w:t>
      </w:r>
      <w:r w:rsidRPr="0049564D">
        <w:rPr>
          <w:rFonts w:ascii="Book Antiqua" w:eastAsia="Book Antiqua" w:hAnsi="Book Antiqua" w:cs="Book Antiqua"/>
          <w:b/>
          <w:bCs/>
        </w:rPr>
        <w:t>32</w:t>
      </w:r>
      <w:r w:rsidRPr="0049564D">
        <w:rPr>
          <w:rFonts w:ascii="Book Antiqua" w:eastAsia="Book Antiqua" w:hAnsi="Book Antiqua" w:cs="Book Antiqua"/>
        </w:rPr>
        <w:t>: 5105-5110 [PMID: 23155288]</w:t>
      </w:r>
    </w:p>
    <w:p w14:paraId="74F36E79"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21 </w:t>
      </w:r>
      <w:r w:rsidRPr="0049564D">
        <w:rPr>
          <w:rFonts w:ascii="Book Antiqua" w:eastAsia="Book Antiqua" w:hAnsi="Book Antiqua" w:cs="Book Antiqua"/>
          <w:b/>
          <w:bCs/>
        </w:rPr>
        <w:t>Wallstén E</w:t>
      </w:r>
      <w:r w:rsidRPr="0049564D">
        <w:rPr>
          <w:rFonts w:ascii="Book Antiqua" w:eastAsia="Book Antiqua" w:hAnsi="Book Antiqua" w:cs="Book Antiqua"/>
        </w:rPr>
        <w:t xml:space="preserve">, Axelsson J, Sundström T, Riklund K, Larsson A. Subcentimeter tumor lesion delineation for high-resolution 18F-FDG PET images: optimizing correction for partial-volume effects. </w:t>
      </w:r>
      <w:r w:rsidRPr="0049564D">
        <w:rPr>
          <w:rFonts w:ascii="Book Antiqua" w:eastAsia="Book Antiqua" w:hAnsi="Book Antiqua" w:cs="Book Antiqua"/>
          <w:i/>
          <w:iCs/>
        </w:rPr>
        <w:t>J Nucl Med Technol</w:t>
      </w:r>
      <w:r w:rsidRPr="0049564D">
        <w:rPr>
          <w:rFonts w:ascii="Book Antiqua" w:eastAsia="Book Antiqua" w:hAnsi="Book Antiqua" w:cs="Book Antiqua"/>
        </w:rPr>
        <w:t xml:space="preserve"> 2013; </w:t>
      </w:r>
      <w:r w:rsidRPr="0049564D">
        <w:rPr>
          <w:rFonts w:ascii="Book Antiqua" w:eastAsia="Book Antiqua" w:hAnsi="Book Antiqua" w:cs="Book Antiqua"/>
          <w:b/>
          <w:bCs/>
        </w:rPr>
        <w:t>41</w:t>
      </w:r>
      <w:r w:rsidRPr="0049564D">
        <w:rPr>
          <w:rFonts w:ascii="Book Antiqua" w:eastAsia="Book Antiqua" w:hAnsi="Book Antiqua" w:cs="Book Antiqua"/>
        </w:rPr>
        <w:t>: 85-91 [PMID: 23658206 DOI: 10.2967/jnmt.112.117234]</w:t>
      </w:r>
    </w:p>
    <w:p w14:paraId="39E21503" w14:textId="4EDE990F"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22 </w:t>
      </w:r>
      <w:r w:rsidRPr="0049564D">
        <w:rPr>
          <w:rFonts w:ascii="Book Antiqua" w:eastAsia="Book Antiqua" w:hAnsi="Book Antiqua" w:cs="Book Antiqua"/>
          <w:b/>
          <w:bCs/>
        </w:rPr>
        <w:t>Bird N</w:t>
      </w:r>
      <w:r w:rsidRPr="0049564D">
        <w:rPr>
          <w:rFonts w:ascii="Book Antiqua" w:eastAsia="Book Antiqua" w:hAnsi="Book Antiqua" w:cs="Book Antiqua"/>
        </w:rPr>
        <w:t xml:space="preserve">, Elmasry M, Jones R, Elniel M, Kelly M, Palmer D, Fenwick S, Poston G, Malik H. Role of staging laparoscopy in the stratification of patients with perihilar cholangiocarcinoma. </w:t>
      </w:r>
      <w:r w:rsidRPr="0049564D">
        <w:rPr>
          <w:rFonts w:ascii="Book Antiqua" w:eastAsia="Book Antiqua" w:hAnsi="Book Antiqua" w:cs="Book Antiqua"/>
          <w:i/>
          <w:iCs/>
        </w:rPr>
        <w:t>Br J Surg</w:t>
      </w:r>
      <w:r w:rsidRPr="0049564D">
        <w:rPr>
          <w:rFonts w:ascii="Book Antiqua" w:eastAsia="Book Antiqua" w:hAnsi="Book Antiqua" w:cs="Book Antiqua"/>
        </w:rPr>
        <w:t xml:space="preserve"> 2017; </w:t>
      </w:r>
      <w:r w:rsidRPr="0049564D">
        <w:rPr>
          <w:rFonts w:ascii="Book Antiqua" w:eastAsia="Book Antiqua" w:hAnsi="Book Antiqua" w:cs="Book Antiqua"/>
          <w:b/>
          <w:bCs/>
        </w:rPr>
        <w:t>104</w:t>
      </w:r>
      <w:r w:rsidRPr="0049564D">
        <w:rPr>
          <w:rFonts w:ascii="Book Antiqua" w:eastAsia="Book Antiqua" w:hAnsi="Book Antiqua" w:cs="Book Antiqua"/>
        </w:rPr>
        <w:t xml:space="preserve">: 418-425 [PMID: 27861766 DOI: </w:t>
      </w:r>
      <w:r w:rsidR="0062767C" w:rsidRPr="0049564D">
        <w:rPr>
          <w:rFonts w:ascii="Book Antiqua" w:eastAsia="Book Antiqua" w:hAnsi="Book Antiqua" w:cs="Book Antiqua"/>
        </w:rPr>
        <w:t>10.1002/bjs.10399</w:t>
      </w:r>
      <w:r w:rsidRPr="0049564D">
        <w:rPr>
          <w:rFonts w:ascii="Book Antiqua" w:eastAsia="Book Antiqua" w:hAnsi="Book Antiqua" w:cs="Book Antiqua"/>
        </w:rPr>
        <w:t>]</w:t>
      </w:r>
    </w:p>
    <w:p w14:paraId="314CF413"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23 </w:t>
      </w:r>
      <w:r w:rsidRPr="0049564D">
        <w:rPr>
          <w:rFonts w:ascii="Book Antiqua" w:eastAsia="Book Antiqua" w:hAnsi="Book Antiqua" w:cs="Book Antiqua"/>
          <w:b/>
          <w:bCs/>
        </w:rPr>
        <w:t>Davidson JT 4th</w:t>
      </w:r>
      <w:r w:rsidRPr="0049564D">
        <w:rPr>
          <w:rFonts w:ascii="Book Antiqua" w:eastAsia="Book Antiqua" w:hAnsi="Book Antiqua" w:cs="Book Antiqua"/>
        </w:rPr>
        <w:t xml:space="preserve">, Jin LX, Krasnick B, Ethun CG, Pawlik TM, Poultsides GA, Idrees K, Weber SM, Martin RCG, Shen P, Hatzaras I, Maithel SK, Fields RC; and the U.S. Extrahepatic Biliary Malignancy Consortium. Staging laparoscopy among three subtypes of extra-hepatic biliary malignancy: a 15-year experience from 10 institutions. </w:t>
      </w:r>
      <w:r w:rsidRPr="0049564D">
        <w:rPr>
          <w:rFonts w:ascii="Book Antiqua" w:eastAsia="Book Antiqua" w:hAnsi="Book Antiqua" w:cs="Book Antiqua"/>
          <w:i/>
          <w:iCs/>
        </w:rPr>
        <w:t>J Surg Oncol</w:t>
      </w:r>
      <w:r w:rsidRPr="0049564D">
        <w:rPr>
          <w:rFonts w:ascii="Book Antiqua" w:eastAsia="Book Antiqua" w:hAnsi="Book Antiqua" w:cs="Book Antiqua"/>
        </w:rPr>
        <w:t xml:space="preserve"> 2019; </w:t>
      </w:r>
      <w:r w:rsidRPr="0049564D">
        <w:rPr>
          <w:rFonts w:ascii="Book Antiqua" w:eastAsia="Book Antiqua" w:hAnsi="Book Antiqua" w:cs="Book Antiqua"/>
          <w:b/>
          <w:bCs/>
        </w:rPr>
        <w:t>119</w:t>
      </w:r>
      <w:r w:rsidRPr="0049564D">
        <w:rPr>
          <w:rFonts w:ascii="Book Antiqua" w:eastAsia="Book Antiqua" w:hAnsi="Book Antiqua" w:cs="Book Antiqua"/>
        </w:rPr>
        <w:t>: 288-294 [PMID: 30586170 DOI: 10.1002/jso.25323]</w:t>
      </w:r>
    </w:p>
    <w:p w14:paraId="703C4A87"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24 </w:t>
      </w:r>
      <w:r w:rsidRPr="0049564D">
        <w:rPr>
          <w:rFonts w:ascii="Book Antiqua" w:eastAsia="Book Antiqua" w:hAnsi="Book Antiqua" w:cs="Book Antiqua"/>
          <w:b/>
          <w:bCs/>
        </w:rPr>
        <w:t>Kobayashi S</w:t>
      </w:r>
      <w:r w:rsidRPr="0049564D">
        <w:rPr>
          <w:rFonts w:ascii="Book Antiqua" w:eastAsia="Book Antiqua" w:hAnsi="Book Antiqua" w:cs="Book Antiqua"/>
        </w:rPr>
        <w:t xml:space="preserve">, Tomokuni A, Takahashi H, Akita H, Marubashi S, Gotoh K, Yanagimoto Y, Takahashi Y, Sugimura K, Miyoshi N, Moon JH, Yasui M, Omori T, Miyata H, Ohue M, Fujiwara Y, Yano M, Sakon M. Laparoscopic Hilar Lymph Node Sampling in Patients With Biliary Tract Cancers That are Rarely Associated With Nodal Metastasis. </w:t>
      </w:r>
      <w:r w:rsidRPr="0049564D">
        <w:rPr>
          <w:rFonts w:ascii="Book Antiqua" w:eastAsia="Book Antiqua" w:hAnsi="Book Antiqua" w:cs="Book Antiqua"/>
          <w:i/>
          <w:iCs/>
        </w:rPr>
        <w:t xml:space="preserve">Surg </w:t>
      </w:r>
      <w:r w:rsidRPr="0049564D">
        <w:rPr>
          <w:rFonts w:ascii="Book Antiqua" w:eastAsia="Book Antiqua" w:hAnsi="Book Antiqua" w:cs="Book Antiqua"/>
          <w:i/>
          <w:iCs/>
        </w:rPr>
        <w:lastRenderedPageBreak/>
        <w:t>Laparosc Endosc Percutan Tech</w:t>
      </w:r>
      <w:r w:rsidRPr="0049564D">
        <w:rPr>
          <w:rFonts w:ascii="Book Antiqua" w:eastAsia="Book Antiqua" w:hAnsi="Book Antiqua" w:cs="Book Antiqua"/>
        </w:rPr>
        <w:t xml:space="preserve"> 2018; </w:t>
      </w:r>
      <w:r w:rsidRPr="0049564D">
        <w:rPr>
          <w:rFonts w:ascii="Book Antiqua" w:eastAsia="Book Antiqua" w:hAnsi="Book Antiqua" w:cs="Book Antiqua"/>
          <w:b/>
          <w:bCs/>
        </w:rPr>
        <w:t>28</w:t>
      </w:r>
      <w:r w:rsidRPr="0049564D">
        <w:rPr>
          <w:rFonts w:ascii="Book Antiqua" w:eastAsia="Book Antiqua" w:hAnsi="Book Antiqua" w:cs="Book Antiqua"/>
        </w:rPr>
        <w:t>: 90-95 [PMID: 29369964 DOI: 10.1097/SLE.0000000000000510]</w:t>
      </w:r>
    </w:p>
    <w:p w14:paraId="5403FDC6" w14:textId="16854E6B"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25 </w:t>
      </w:r>
      <w:r w:rsidRPr="0049564D">
        <w:rPr>
          <w:rFonts w:ascii="Book Antiqua" w:eastAsia="Book Antiqua" w:hAnsi="Book Antiqua" w:cs="Book Antiqua"/>
          <w:b/>
          <w:bCs/>
        </w:rPr>
        <w:t>Tilleman EH</w:t>
      </w:r>
      <w:r w:rsidRPr="0049564D">
        <w:rPr>
          <w:rFonts w:ascii="Book Antiqua" w:eastAsia="Book Antiqua" w:hAnsi="Book Antiqua" w:cs="Book Antiqua"/>
        </w:rPr>
        <w:t xml:space="preserve">, de Castro SM, Busch OR, Bemelman WA, van Gulik TM, Obertop H, Gouma DJ. Diagnostic laparoscopy and laparoscopic ultrasound for staging of patients with malignant proximal bile duct obstruction. </w:t>
      </w:r>
      <w:r w:rsidRPr="0049564D">
        <w:rPr>
          <w:rFonts w:ascii="Book Antiqua" w:eastAsia="Book Antiqua" w:hAnsi="Book Antiqua" w:cs="Book Antiqua"/>
          <w:i/>
          <w:iCs/>
        </w:rPr>
        <w:t>J Gastrointest Surg</w:t>
      </w:r>
      <w:r w:rsidRPr="0049564D">
        <w:rPr>
          <w:rFonts w:ascii="Book Antiqua" w:eastAsia="Book Antiqua" w:hAnsi="Book Antiqua" w:cs="Book Antiqua"/>
        </w:rPr>
        <w:t xml:space="preserve"> 2002; </w:t>
      </w:r>
      <w:r w:rsidRPr="0049564D">
        <w:rPr>
          <w:rFonts w:ascii="Book Antiqua" w:eastAsia="Book Antiqua" w:hAnsi="Book Antiqua" w:cs="Book Antiqua"/>
          <w:b/>
          <w:bCs/>
        </w:rPr>
        <w:t>6</w:t>
      </w:r>
      <w:r w:rsidRPr="0049564D">
        <w:rPr>
          <w:rFonts w:ascii="Book Antiqua" w:eastAsia="Book Antiqua" w:hAnsi="Book Antiqua" w:cs="Book Antiqua"/>
        </w:rPr>
        <w:t>: 426-</w:t>
      </w:r>
      <w:r w:rsidR="0062767C" w:rsidRPr="0049564D">
        <w:rPr>
          <w:rFonts w:ascii="Book Antiqua" w:eastAsia="Book Antiqua" w:hAnsi="Book Antiqua" w:cs="Book Antiqua"/>
        </w:rPr>
        <w:t>4</w:t>
      </w:r>
      <w:r w:rsidRPr="0049564D">
        <w:rPr>
          <w:rFonts w:ascii="Book Antiqua" w:eastAsia="Book Antiqua" w:hAnsi="Book Antiqua" w:cs="Book Antiqua"/>
        </w:rPr>
        <w:t>30</w:t>
      </w:r>
      <w:r w:rsidR="0062767C" w:rsidRPr="0049564D">
        <w:rPr>
          <w:rFonts w:ascii="Book Antiqua" w:eastAsia="Book Antiqua" w:hAnsi="Book Antiqua" w:cs="Book Antiqua"/>
        </w:rPr>
        <w:t xml:space="preserve"> </w:t>
      </w:r>
      <w:r w:rsidRPr="0049564D">
        <w:rPr>
          <w:rFonts w:ascii="Book Antiqua" w:eastAsia="Book Antiqua" w:hAnsi="Book Antiqua" w:cs="Book Antiqua"/>
        </w:rPr>
        <w:t>[PMID: 12022996 DOI: 10.1016/s1091-255x(02)00005-7]</w:t>
      </w:r>
    </w:p>
    <w:p w14:paraId="382B81F3"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26 </w:t>
      </w:r>
      <w:r w:rsidRPr="0049564D">
        <w:rPr>
          <w:rFonts w:ascii="Book Antiqua" w:eastAsia="Book Antiqua" w:hAnsi="Book Antiqua" w:cs="Book Antiqua"/>
          <w:b/>
          <w:bCs/>
        </w:rPr>
        <w:t>Bhardwaj N</w:t>
      </w:r>
      <w:r w:rsidRPr="0049564D">
        <w:rPr>
          <w:rFonts w:ascii="Book Antiqua" w:eastAsia="Book Antiqua" w:hAnsi="Book Antiqua" w:cs="Book Antiqua"/>
        </w:rPr>
        <w:t xml:space="preserve">, Garcea G, Dennison AR, Maddern GJ. The Surgical Management of Klatskin Tumours: Has Anything Changed in the Last Decade? </w:t>
      </w:r>
      <w:r w:rsidRPr="0049564D">
        <w:rPr>
          <w:rFonts w:ascii="Book Antiqua" w:eastAsia="Book Antiqua" w:hAnsi="Book Antiqua" w:cs="Book Antiqua"/>
          <w:i/>
          <w:iCs/>
        </w:rPr>
        <w:t>World J Surg</w:t>
      </w:r>
      <w:r w:rsidRPr="0049564D">
        <w:rPr>
          <w:rFonts w:ascii="Book Antiqua" w:eastAsia="Book Antiqua" w:hAnsi="Book Antiqua" w:cs="Book Antiqua"/>
        </w:rPr>
        <w:t xml:space="preserve"> 2015; </w:t>
      </w:r>
      <w:r w:rsidRPr="0049564D">
        <w:rPr>
          <w:rFonts w:ascii="Book Antiqua" w:eastAsia="Book Antiqua" w:hAnsi="Book Antiqua" w:cs="Book Antiqua"/>
          <w:b/>
          <w:bCs/>
        </w:rPr>
        <w:t>39</w:t>
      </w:r>
      <w:r w:rsidRPr="0049564D">
        <w:rPr>
          <w:rFonts w:ascii="Book Antiqua" w:eastAsia="Book Antiqua" w:hAnsi="Book Antiqua" w:cs="Book Antiqua"/>
        </w:rPr>
        <w:t>: 2748-2756 [PMID: 26133907 DOI: 10.1007/s00268-015-3125-2]</w:t>
      </w:r>
    </w:p>
    <w:p w14:paraId="78252C21" w14:textId="0F0B22D6" w:rsidR="00A77B3E" w:rsidRPr="0049564D" w:rsidRDefault="006939FE" w:rsidP="00B24044">
      <w:pPr>
        <w:adjustRightInd w:val="0"/>
        <w:snapToGrid w:val="0"/>
        <w:spacing w:line="360" w:lineRule="auto"/>
        <w:jc w:val="both"/>
        <w:rPr>
          <w:rFonts w:ascii="Book Antiqua" w:eastAsia="Book Antiqua" w:hAnsi="Book Antiqua" w:cs="Book Antiqua"/>
        </w:rPr>
      </w:pPr>
      <w:r w:rsidRPr="0049564D">
        <w:rPr>
          <w:rFonts w:ascii="Book Antiqua" w:eastAsia="Book Antiqua" w:hAnsi="Book Antiqua" w:cs="Book Antiqua"/>
        </w:rPr>
        <w:t xml:space="preserve">27 </w:t>
      </w:r>
      <w:r w:rsidRPr="0049564D">
        <w:rPr>
          <w:rFonts w:ascii="Book Antiqua" w:eastAsia="Book Antiqua" w:hAnsi="Book Antiqua" w:cs="Book Antiqua"/>
          <w:b/>
          <w:bCs/>
        </w:rPr>
        <w:t>Smith RA</w:t>
      </w:r>
      <w:r w:rsidRPr="0049564D">
        <w:rPr>
          <w:rFonts w:ascii="Book Antiqua" w:eastAsia="Book Antiqua" w:hAnsi="Book Antiqua" w:cs="Book Antiqua"/>
        </w:rPr>
        <w:t xml:space="preserve">, Bosonnet L, Ghaneh P, Sutton R, Evans J, Healey P, Garvey C, Hughes M, Raraty M, Campbell F, Neoptolemos JP. The platelet-lymphocyte ratio improves the predictive value of serum CA19-9 </w:t>
      </w:r>
      <w:r w:rsidR="00733BD4" w:rsidRPr="0049564D">
        <w:rPr>
          <w:rFonts w:ascii="Book Antiqua" w:eastAsia="Book Antiqua" w:hAnsi="Book Antiqua" w:cs="Book Antiqua"/>
        </w:rPr>
        <w:t>l</w:t>
      </w:r>
      <w:r w:rsidRPr="0049564D">
        <w:rPr>
          <w:rFonts w:ascii="Book Antiqua" w:eastAsia="Book Antiqua" w:hAnsi="Book Antiqua" w:cs="Book Antiqua"/>
        </w:rPr>
        <w:t xml:space="preserve">evels in determining patient selection for staging laparoscopy in suspected periampullary cancer. </w:t>
      </w:r>
      <w:r w:rsidRPr="0049564D">
        <w:rPr>
          <w:rFonts w:ascii="Book Antiqua" w:eastAsia="Book Antiqua" w:hAnsi="Book Antiqua" w:cs="Book Antiqua"/>
          <w:i/>
          <w:iCs/>
        </w:rPr>
        <w:t>Surgery</w:t>
      </w:r>
      <w:r w:rsidRPr="0049564D">
        <w:rPr>
          <w:rFonts w:ascii="Book Antiqua" w:eastAsia="Book Antiqua" w:hAnsi="Book Antiqua" w:cs="Book Antiqua"/>
        </w:rPr>
        <w:t xml:space="preserve"> 2008; </w:t>
      </w:r>
      <w:r w:rsidRPr="0049564D">
        <w:rPr>
          <w:rFonts w:ascii="Book Antiqua" w:eastAsia="Book Antiqua" w:hAnsi="Book Antiqua" w:cs="Book Antiqua"/>
          <w:b/>
          <w:bCs/>
        </w:rPr>
        <w:t>143</w:t>
      </w:r>
      <w:r w:rsidRPr="0049564D">
        <w:rPr>
          <w:rFonts w:ascii="Book Antiqua" w:eastAsia="Book Antiqua" w:hAnsi="Book Antiqua" w:cs="Book Antiqua"/>
        </w:rPr>
        <w:t>: 658-666 [PMID: 18436014 DOI: 10.1016/j.surg.2007.12.014]</w:t>
      </w:r>
    </w:p>
    <w:p w14:paraId="748C4369" w14:textId="28779CAA" w:rsidR="00704B63" w:rsidRPr="0049564D" w:rsidRDefault="00704B63" w:rsidP="00B24044">
      <w:pPr>
        <w:widowControl w:val="0"/>
        <w:spacing w:line="360" w:lineRule="auto"/>
        <w:jc w:val="both"/>
        <w:rPr>
          <w:rFonts w:ascii="Book Antiqua" w:hAnsi="Book Antiqua"/>
        </w:rPr>
      </w:pPr>
      <w:r w:rsidRPr="0049564D">
        <w:rPr>
          <w:rFonts w:ascii="Book Antiqua" w:hAnsi="Book Antiqua"/>
        </w:rPr>
        <w:t xml:space="preserve">28 </w:t>
      </w:r>
      <w:r w:rsidRPr="0049564D">
        <w:rPr>
          <w:rFonts w:ascii="Book Antiqua" w:hAnsi="Book Antiqua"/>
          <w:b/>
        </w:rPr>
        <w:t>Suker M</w:t>
      </w:r>
      <w:r w:rsidRPr="0049564D">
        <w:rPr>
          <w:rFonts w:ascii="Book Antiqua" w:hAnsi="Book Antiqua"/>
        </w:rPr>
        <w:t xml:space="preserve">, Koerkamp BG, Coene PP, van der Harst E, Bonsing BA, Vahrmeijer AL, Mieog JSD, Swijnenburg RJ, Dwarkasing RS, Roos D, van Eijck CHJ. </w:t>
      </w:r>
      <w:hyperlink r:id="rId6" w:history="1">
        <w:r w:rsidRPr="0049564D">
          <w:rPr>
            <w:rStyle w:val="af1"/>
            <w:rFonts w:ascii="Book Antiqua" w:hAnsi="Book Antiqua"/>
            <w:color w:val="auto"/>
            <w:u w:val="none"/>
          </w:rPr>
          <w:t>Yield of </w:t>
        </w:r>
        <w:r w:rsidRPr="0049564D">
          <w:rPr>
            <w:rStyle w:val="af1"/>
            <w:rFonts w:ascii="Book Antiqua" w:hAnsi="Book Antiqua"/>
            <w:bCs/>
            <w:color w:val="auto"/>
            <w:u w:val="none"/>
          </w:rPr>
          <w:t>staging</w:t>
        </w:r>
        <w:r w:rsidRPr="0049564D">
          <w:rPr>
            <w:rStyle w:val="af1"/>
            <w:rFonts w:ascii="Book Antiqua" w:hAnsi="Book Antiqua"/>
            <w:color w:val="auto"/>
            <w:u w:val="none"/>
          </w:rPr>
          <w:t> </w:t>
        </w:r>
        <w:r w:rsidRPr="0049564D">
          <w:rPr>
            <w:rStyle w:val="af1"/>
            <w:rFonts w:ascii="Book Antiqua" w:hAnsi="Book Antiqua"/>
            <w:bCs/>
            <w:color w:val="auto"/>
            <w:u w:val="none"/>
          </w:rPr>
          <w:t>laparoscopy</w:t>
        </w:r>
        <w:r w:rsidRPr="0049564D">
          <w:rPr>
            <w:rStyle w:val="af1"/>
            <w:rFonts w:ascii="Book Antiqua" w:hAnsi="Book Antiqua"/>
            <w:color w:val="auto"/>
            <w:u w:val="none"/>
          </w:rPr>
          <w:t> before treatment of locally advanced </w:t>
        </w:r>
        <w:r w:rsidRPr="0049564D">
          <w:rPr>
            <w:rStyle w:val="af1"/>
            <w:rFonts w:ascii="Book Antiqua" w:hAnsi="Book Antiqua"/>
            <w:bCs/>
            <w:color w:val="auto"/>
            <w:u w:val="none"/>
          </w:rPr>
          <w:t>pancreatic</w:t>
        </w:r>
        <w:r w:rsidRPr="0049564D">
          <w:rPr>
            <w:rStyle w:val="af1"/>
            <w:rFonts w:ascii="Book Antiqua" w:hAnsi="Book Antiqua"/>
            <w:color w:val="auto"/>
            <w:u w:val="none"/>
          </w:rPr>
          <w:t> </w:t>
        </w:r>
        <w:r w:rsidRPr="0049564D">
          <w:rPr>
            <w:rStyle w:val="af1"/>
            <w:rFonts w:ascii="Book Antiqua" w:hAnsi="Book Antiqua"/>
            <w:bCs/>
            <w:color w:val="auto"/>
            <w:u w:val="none"/>
          </w:rPr>
          <w:t>cancer</w:t>
        </w:r>
        <w:r w:rsidRPr="0049564D">
          <w:rPr>
            <w:rStyle w:val="af1"/>
            <w:rFonts w:ascii="Book Antiqua" w:hAnsi="Book Antiqua"/>
            <w:color w:val="auto"/>
            <w:u w:val="none"/>
          </w:rPr>
          <w:t> to detect occult metastases.</w:t>
        </w:r>
      </w:hyperlink>
      <w:r w:rsidRPr="0049564D">
        <w:rPr>
          <w:rFonts w:ascii="Book Antiqua" w:hAnsi="Book Antiqua"/>
        </w:rPr>
        <w:t xml:space="preserve"> </w:t>
      </w:r>
      <w:r w:rsidRPr="0049564D">
        <w:rPr>
          <w:rFonts w:ascii="Book Antiqua" w:hAnsi="Book Antiqua"/>
          <w:i/>
        </w:rPr>
        <w:t>Eur J Surg Oncol</w:t>
      </w:r>
      <w:r w:rsidRPr="0049564D">
        <w:rPr>
          <w:rFonts w:ascii="Book Antiqua" w:hAnsi="Book Antiqua"/>
        </w:rPr>
        <w:t xml:space="preserve"> 2019; </w:t>
      </w:r>
      <w:r w:rsidRPr="0049564D">
        <w:rPr>
          <w:rFonts w:ascii="Book Antiqua" w:hAnsi="Book Antiqua"/>
          <w:b/>
        </w:rPr>
        <w:t>45:</w:t>
      </w:r>
      <w:r w:rsidRPr="0049564D">
        <w:rPr>
          <w:rFonts w:ascii="Book Antiqua" w:hAnsi="Book Antiqua"/>
        </w:rPr>
        <w:t xml:space="preserve"> 1906-1911 [PMID: 31186205 DOI: 10.1016/j.ejso.2019.06.004]</w:t>
      </w:r>
    </w:p>
    <w:p w14:paraId="323F816F"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29 </w:t>
      </w:r>
      <w:r w:rsidRPr="0049564D">
        <w:rPr>
          <w:rFonts w:ascii="Book Antiqua" w:eastAsia="Book Antiqua" w:hAnsi="Book Antiqua" w:cs="Book Antiqua"/>
          <w:b/>
          <w:bCs/>
        </w:rPr>
        <w:t>Goh BK</w:t>
      </w:r>
      <w:r w:rsidRPr="0049564D">
        <w:rPr>
          <w:rFonts w:ascii="Book Antiqua" w:eastAsia="Book Antiqua" w:hAnsi="Book Antiqua" w:cs="Book Antiqua"/>
        </w:rPr>
        <w:t xml:space="preserve">, Chok AY, Allen JC Jr, Quek R, Teo MC, Chow PK, Chung AY, Ong HS, Wong WK. Blood neutrophil-to-lymphocyte and platelet-to-lymphocyte ratios are independent prognostic factors for surgically resected gastrointestinal stromal tumors. </w:t>
      </w:r>
      <w:r w:rsidRPr="0049564D">
        <w:rPr>
          <w:rFonts w:ascii="Book Antiqua" w:eastAsia="Book Antiqua" w:hAnsi="Book Antiqua" w:cs="Book Antiqua"/>
          <w:i/>
          <w:iCs/>
        </w:rPr>
        <w:t>Surgery</w:t>
      </w:r>
      <w:r w:rsidRPr="0049564D">
        <w:rPr>
          <w:rFonts w:ascii="Book Antiqua" w:eastAsia="Book Antiqua" w:hAnsi="Book Antiqua" w:cs="Book Antiqua"/>
        </w:rPr>
        <w:t xml:space="preserve"> 2016; </w:t>
      </w:r>
      <w:r w:rsidRPr="0049564D">
        <w:rPr>
          <w:rFonts w:ascii="Book Antiqua" w:eastAsia="Book Antiqua" w:hAnsi="Book Antiqua" w:cs="Book Antiqua"/>
          <w:b/>
          <w:bCs/>
        </w:rPr>
        <w:t>159</w:t>
      </w:r>
      <w:r w:rsidRPr="0049564D">
        <w:rPr>
          <w:rFonts w:ascii="Book Antiqua" w:eastAsia="Book Antiqua" w:hAnsi="Book Antiqua" w:cs="Book Antiqua"/>
        </w:rPr>
        <w:t>: 1146-1156 [PMID: 26688506 DOI: 10.1016/j.surg.2015.10.021]</w:t>
      </w:r>
    </w:p>
    <w:p w14:paraId="49553EDD"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30 </w:t>
      </w:r>
      <w:r w:rsidRPr="0049564D">
        <w:rPr>
          <w:rFonts w:ascii="Book Antiqua" w:eastAsia="Book Antiqua" w:hAnsi="Book Antiqua" w:cs="Book Antiqua"/>
          <w:b/>
          <w:bCs/>
        </w:rPr>
        <w:t>Spolverato G</w:t>
      </w:r>
      <w:r w:rsidRPr="0049564D">
        <w:rPr>
          <w:rFonts w:ascii="Book Antiqua" w:eastAsia="Book Antiqua" w:hAnsi="Book Antiqua" w:cs="Book Antiqua"/>
        </w:rPr>
        <w:t xml:space="preserve">, Maqsood H, Kim Y, Margonis G, Luo T, Ejaz A, Pawlik TM. Neutrophil-lymphocyte and platelet-lymphocyte ratio in patients after resection for hepato-pancreatico-biliary malignancies. </w:t>
      </w:r>
      <w:r w:rsidRPr="0049564D">
        <w:rPr>
          <w:rFonts w:ascii="Book Antiqua" w:eastAsia="Book Antiqua" w:hAnsi="Book Antiqua" w:cs="Book Antiqua"/>
          <w:i/>
          <w:iCs/>
        </w:rPr>
        <w:t>J Surg Oncol</w:t>
      </w:r>
      <w:r w:rsidRPr="0049564D">
        <w:rPr>
          <w:rFonts w:ascii="Book Antiqua" w:eastAsia="Book Antiqua" w:hAnsi="Book Antiqua" w:cs="Book Antiqua"/>
        </w:rPr>
        <w:t xml:space="preserve"> 2015; </w:t>
      </w:r>
      <w:r w:rsidRPr="0049564D">
        <w:rPr>
          <w:rFonts w:ascii="Book Antiqua" w:eastAsia="Book Antiqua" w:hAnsi="Book Antiqua" w:cs="Book Antiqua"/>
          <w:b/>
          <w:bCs/>
        </w:rPr>
        <w:t>111</w:t>
      </w:r>
      <w:r w:rsidRPr="0049564D">
        <w:rPr>
          <w:rFonts w:ascii="Book Antiqua" w:eastAsia="Book Antiqua" w:hAnsi="Book Antiqua" w:cs="Book Antiqua"/>
        </w:rPr>
        <w:t>: 868-874 [PMID: 25865111 DOI: 10.1002/jso.23900]</w:t>
      </w:r>
    </w:p>
    <w:p w14:paraId="66597F52"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31 </w:t>
      </w:r>
      <w:r w:rsidRPr="0049564D">
        <w:rPr>
          <w:rFonts w:ascii="Book Antiqua" w:eastAsia="Book Antiqua" w:hAnsi="Book Antiqua" w:cs="Book Antiqua"/>
          <w:b/>
          <w:bCs/>
        </w:rPr>
        <w:t>Kinoshita A</w:t>
      </w:r>
      <w:r w:rsidRPr="0049564D">
        <w:rPr>
          <w:rFonts w:ascii="Book Antiqua" w:eastAsia="Book Antiqua" w:hAnsi="Book Antiqua" w:cs="Book Antiqua"/>
        </w:rPr>
        <w:t>, Onoda H, Imai N, Iwaku A, Oishi M, Tanaka K, Fushiya N, Koike K, Nishino H, Matsushima M. The C-reactive protein/albumin ratio, a novel inflammation-</w:t>
      </w:r>
      <w:r w:rsidRPr="0049564D">
        <w:rPr>
          <w:rFonts w:ascii="Book Antiqua" w:eastAsia="Book Antiqua" w:hAnsi="Book Antiqua" w:cs="Book Antiqua"/>
        </w:rPr>
        <w:lastRenderedPageBreak/>
        <w:t xml:space="preserve">based prognostic score, predicts outcomes in patients with hepatocellular carcinoma. </w:t>
      </w:r>
      <w:r w:rsidRPr="0049564D">
        <w:rPr>
          <w:rFonts w:ascii="Book Antiqua" w:eastAsia="Book Antiqua" w:hAnsi="Book Antiqua" w:cs="Book Antiqua"/>
          <w:i/>
          <w:iCs/>
        </w:rPr>
        <w:t>Ann Surg Oncol</w:t>
      </w:r>
      <w:r w:rsidRPr="0049564D">
        <w:rPr>
          <w:rFonts w:ascii="Book Antiqua" w:eastAsia="Book Antiqua" w:hAnsi="Book Antiqua" w:cs="Book Antiqua"/>
        </w:rPr>
        <w:t xml:space="preserve"> 2015; </w:t>
      </w:r>
      <w:r w:rsidRPr="0049564D">
        <w:rPr>
          <w:rFonts w:ascii="Book Antiqua" w:eastAsia="Book Antiqua" w:hAnsi="Book Antiqua" w:cs="Book Antiqua"/>
          <w:b/>
          <w:bCs/>
        </w:rPr>
        <w:t>22</w:t>
      </w:r>
      <w:r w:rsidRPr="0049564D">
        <w:rPr>
          <w:rFonts w:ascii="Book Antiqua" w:eastAsia="Book Antiqua" w:hAnsi="Book Antiqua" w:cs="Book Antiqua"/>
        </w:rPr>
        <w:t>: 803-810 [PMID: 25190127 DOI: 10.1245/s10434-014-4048-0]</w:t>
      </w:r>
    </w:p>
    <w:p w14:paraId="1276613B"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32 </w:t>
      </w:r>
      <w:r w:rsidRPr="0049564D">
        <w:rPr>
          <w:rFonts w:ascii="Book Antiqua" w:eastAsia="Book Antiqua" w:hAnsi="Book Antiqua" w:cs="Book Antiqua"/>
          <w:b/>
          <w:bCs/>
        </w:rPr>
        <w:t>Pinato DJ</w:t>
      </w:r>
      <w:r w:rsidRPr="0049564D">
        <w:rPr>
          <w:rFonts w:ascii="Book Antiqua" w:eastAsia="Book Antiqua" w:hAnsi="Book Antiqua" w:cs="Book Antiqua"/>
        </w:rPr>
        <w:t xml:space="preserve">, Shiner RJ, Seckl MJ, Stebbing J, Sharma R, Mauri FA. Prognostic performance of inflammation-based prognostic indices in primary operable non-small cell lung cancer. </w:t>
      </w:r>
      <w:r w:rsidRPr="0049564D">
        <w:rPr>
          <w:rFonts w:ascii="Book Antiqua" w:eastAsia="Book Antiqua" w:hAnsi="Book Antiqua" w:cs="Book Antiqua"/>
          <w:i/>
          <w:iCs/>
        </w:rPr>
        <w:t>Br J Cancer</w:t>
      </w:r>
      <w:r w:rsidRPr="0049564D">
        <w:rPr>
          <w:rFonts w:ascii="Book Antiqua" w:eastAsia="Book Antiqua" w:hAnsi="Book Antiqua" w:cs="Book Antiqua"/>
        </w:rPr>
        <w:t xml:space="preserve"> 2014; </w:t>
      </w:r>
      <w:r w:rsidRPr="0049564D">
        <w:rPr>
          <w:rFonts w:ascii="Book Antiqua" w:eastAsia="Book Antiqua" w:hAnsi="Book Antiqua" w:cs="Book Antiqua"/>
          <w:b/>
          <w:bCs/>
        </w:rPr>
        <w:t>110</w:t>
      </w:r>
      <w:r w:rsidRPr="0049564D">
        <w:rPr>
          <w:rFonts w:ascii="Book Antiqua" w:eastAsia="Book Antiqua" w:hAnsi="Book Antiqua" w:cs="Book Antiqua"/>
        </w:rPr>
        <w:t>: 1930-1935 [PMID: 24667648 DOI: 10.1038/bjc.2014.145]</w:t>
      </w:r>
    </w:p>
    <w:p w14:paraId="627CD23F"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33 </w:t>
      </w:r>
      <w:r w:rsidRPr="0049564D">
        <w:rPr>
          <w:rFonts w:ascii="Book Antiqua" w:eastAsia="Book Antiqua" w:hAnsi="Book Antiqua" w:cs="Book Antiqua"/>
          <w:b/>
          <w:bCs/>
        </w:rPr>
        <w:t>Aurello P</w:t>
      </w:r>
      <w:r w:rsidRPr="0049564D">
        <w:rPr>
          <w:rFonts w:ascii="Book Antiqua" w:eastAsia="Book Antiqua" w:hAnsi="Book Antiqua" w:cs="Book Antiqua"/>
        </w:rPr>
        <w:t xml:space="preserve">, Tierno SM, Berardi G, Tomassini F, Magistri P, D'Angelo F, Ramacciato G. Value of preoperative inflammation-based prognostic scores in predicting overall survival and disease-free survival in patients with gastric cancer. </w:t>
      </w:r>
      <w:r w:rsidRPr="0049564D">
        <w:rPr>
          <w:rFonts w:ascii="Book Antiqua" w:eastAsia="Book Antiqua" w:hAnsi="Book Antiqua" w:cs="Book Antiqua"/>
          <w:i/>
          <w:iCs/>
        </w:rPr>
        <w:t>Ann Surg Oncol</w:t>
      </w:r>
      <w:r w:rsidRPr="0049564D">
        <w:rPr>
          <w:rFonts w:ascii="Book Antiqua" w:eastAsia="Book Antiqua" w:hAnsi="Book Antiqua" w:cs="Book Antiqua"/>
        </w:rPr>
        <w:t xml:space="preserve"> 2014; </w:t>
      </w:r>
      <w:r w:rsidRPr="0049564D">
        <w:rPr>
          <w:rFonts w:ascii="Book Antiqua" w:eastAsia="Book Antiqua" w:hAnsi="Book Antiqua" w:cs="Book Antiqua"/>
          <w:b/>
          <w:bCs/>
        </w:rPr>
        <w:t>21</w:t>
      </w:r>
      <w:r w:rsidRPr="0049564D">
        <w:rPr>
          <w:rFonts w:ascii="Book Antiqua" w:eastAsia="Book Antiqua" w:hAnsi="Book Antiqua" w:cs="Book Antiqua"/>
        </w:rPr>
        <w:t>: 1998-2004 [PMID: 24515568 DOI: 10.1245/s10434-014-3533-9]</w:t>
      </w:r>
    </w:p>
    <w:p w14:paraId="699AB578"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34 </w:t>
      </w:r>
      <w:r w:rsidRPr="0049564D">
        <w:rPr>
          <w:rFonts w:ascii="Book Antiqua" w:eastAsia="Book Antiqua" w:hAnsi="Book Antiqua" w:cs="Book Antiqua"/>
          <w:b/>
          <w:bCs/>
        </w:rPr>
        <w:t>Moug SJ</w:t>
      </w:r>
      <w:r w:rsidRPr="0049564D">
        <w:rPr>
          <w:rFonts w:ascii="Book Antiqua" w:eastAsia="Book Antiqua" w:hAnsi="Book Antiqua" w:cs="Book Antiqua"/>
        </w:rPr>
        <w:t xml:space="preserve">, McColl G, Lloyd SM, Wilson G, Saldanha JD, Diament RH. Comparison of positive lymph node ratio with an inflammation-based prognostic score in colorectal cancer. </w:t>
      </w:r>
      <w:r w:rsidRPr="0049564D">
        <w:rPr>
          <w:rFonts w:ascii="Book Antiqua" w:eastAsia="Book Antiqua" w:hAnsi="Book Antiqua" w:cs="Book Antiqua"/>
          <w:i/>
          <w:iCs/>
        </w:rPr>
        <w:t>Br J Surg</w:t>
      </w:r>
      <w:r w:rsidRPr="0049564D">
        <w:rPr>
          <w:rFonts w:ascii="Book Antiqua" w:eastAsia="Book Antiqua" w:hAnsi="Book Antiqua" w:cs="Book Antiqua"/>
        </w:rPr>
        <w:t xml:space="preserve"> 2011; </w:t>
      </w:r>
      <w:r w:rsidRPr="0049564D">
        <w:rPr>
          <w:rFonts w:ascii="Book Antiqua" w:eastAsia="Book Antiqua" w:hAnsi="Book Antiqua" w:cs="Book Antiqua"/>
          <w:b/>
          <w:bCs/>
        </w:rPr>
        <w:t>98</w:t>
      </w:r>
      <w:r w:rsidRPr="0049564D">
        <w:rPr>
          <w:rFonts w:ascii="Book Antiqua" w:eastAsia="Book Antiqua" w:hAnsi="Book Antiqua" w:cs="Book Antiqua"/>
        </w:rPr>
        <w:t>: 282-286 [PMID: 20976703 DOI: 10.1002/bjs.7294]</w:t>
      </w:r>
    </w:p>
    <w:p w14:paraId="6F309CB9"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35 </w:t>
      </w:r>
      <w:r w:rsidRPr="0049564D">
        <w:rPr>
          <w:rFonts w:ascii="Book Antiqua" w:eastAsia="Book Antiqua" w:hAnsi="Book Antiqua" w:cs="Book Antiqua"/>
          <w:b/>
          <w:bCs/>
        </w:rPr>
        <w:t>Hirahara N</w:t>
      </w:r>
      <w:r w:rsidRPr="0049564D">
        <w:rPr>
          <w:rFonts w:ascii="Book Antiqua" w:eastAsia="Book Antiqua" w:hAnsi="Book Antiqua" w:cs="Book Antiqua"/>
        </w:rPr>
        <w:t xml:space="preserve">, Matsubara T, Hayashi H, Takai K, Fujii Y, Tajima Y. Impact of inflammation-based prognostic score on survival after curative thoracoscopic esophagectomy for esophageal cancer. </w:t>
      </w:r>
      <w:r w:rsidRPr="0049564D">
        <w:rPr>
          <w:rFonts w:ascii="Book Antiqua" w:eastAsia="Book Antiqua" w:hAnsi="Book Antiqua" w:cs="Book Antiqua"/>
          <w:i/>
          <w:iCs/>
        </w:rPr>
        <w:t>Eur J Surg Oncol</w:t>
      </w:r>
      <w:r w:rsidRPr="0049564D">
        <w:rPr>
          <w:rFonts w:ascii="Book Antiqua" w:eastAsia="Book Antiqua" w:hAnsi="Book Antiqua" w:cs="Book Antiqua"/>
        </w:rPr>
        <w:t xml:space="preserve"> 2015; </w:t>
      </w:r>
      <w:r w:rsidRPr="0049564D">
        <w:rPr>
          <w:rFonts w:ascii="Book Antiqua" w:eastAsia="Book Antiqua" w:hAnsi="Book Antiqua" w:cs="Book Antiqua"/>
          <w:b/>
          <w:bCs/>
        </w:rPr>
        <w:t>41</w:t>
      </w:r>
      <w:r w:rsidRPr="0049564D">
        <w:rPr>
          <w:rFonts w:ascii="Book Antiqua" w:eastAsia="Book Antiqua" w:hAnsi="Book Antiqua" w:cs="Book Antiqua"/>
        </w:rPr>
        <w:t>: 1308-1315 [PMID: 26235238 DOI: 10.1016/j.ejso.2015.07.008]</w:t>
      </w:r>
    </w:p>
    <w:p w14:paraId="36F96722"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36 </w:t>
      </w:r>
      <w:r w:rsidRPr="0049564D">
        <w:rPr>
          <w:rFonts w:ascii="Book Antiqua" w:eastAsia="Book Antiqua" w:hAnsi="Book Antiqua" w:cs="Book Antiqua"/>
          <w:b/>
          <w:bCs/>
        </w:rPr>
        <w:t>Chang Y</w:t>
      </w:r>
      <w:r w:rsidRPr="0049564D">
        <w:rPr>
          <w:rFonts w:ascii="Book Antiqua" w:eastAsia="Book Antiqua" w:hAnsi="Book Antiqua" w:cs="Book Antiqua"/>
        </w:rPr>
        <w:t xml:space="preserve">, An H, Xu L, Zhu Y, Yang Y, Lin Z, Xu J. Systemic inflammation score predicts postoperative prognosis of patients with clear-cell renal cell carcinoma. </w:t>
      </w:r>
      <w:r w:rsidRPr="0049564D">
        <w:rPr>
          <w:rFonts w:ascii="Book Antiqua" w:eastAsia="Book Antiqua" w:hAnsi="Book Antiqua" w:cs="Book Antiqua"/>
          <w:i/>
          <w:iCs/>
        </w:rPr>
        <w:t>Br J Cancer</w:t>
      </w:r>
      <w:r w:rsidRPr="0049564D">
        <w:rPr>
          <w:rFonts w:ascii="Book Antiqua" w:eastAsia="Book Antiqua" w:hAnsi="Book Antiqua" w:cs="Book Antiqua"/>
        </w:rPr>
        <w:t xml:space="preserve"> 2015; </w:t>
      </w:r>
      <w:r w:rsidRPr="0049564D">
        <w:rPr>
          <w:rFonts w:ascii="Book Antiqua" w:eastAsia="Book Antiqua" w:hAnsi="Book Antiqua" w:cs="Book Antiqua"/>
          <w:b/>
          <w:bCs/>
        </w:rPr>
        <w:t>113</w:t>
      </w:r>
      <w:r w:rsidRPr="0049564D">
        <w:rPr>
          <w:rFonts w:ascii="Book Antiqua" w:eastAsia="Book Antiqua" w:hAnsi="Book Antiqua" w:cs="Book Antiqua"/>
        </w:rPr>
        <w:t>: 626-633 [PMID: 26135896 DOI: 10.1038/bjc.2015.241]</w:t>
      </w:r>
    </w:p>
    <w:p w14:paraId="18F65BFF"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 xml:space="preserve">37 </w:t>
      </w:r>
      <w:r w:rsidRPr="0049564D">
        <w:rPr>
          <w:rFonts w:ascii="Book Antiqua" w:eastAsia="Book Antiqua" w:hAnsi="Book Antiqua" w:cs="Book Antiqua"/>
          <w:b/>
          <w:bCs/>
        </w:rPr>
        <w:t>Asari S</w:t>
      </w:r>
      <w:r w:rsidRPr="0049564D">
        <w:rPr>
          <w:rFonts w:ascii="Book Antiqua" w:eastAsia="Book Antiqua" w:hAnsi="Book Antiqua" w:cs="Book Antiqua"/>
        </w:rPr>
        <w:t xml:space="preserve">, Matsumoto I, Toyama H, Shinzeki M, Goto T, Ishida J, Ajiki T, Fukumoto T, Ku Y. Preoperative independent prognostic factors in patients with borderline resectable pancreatic ductal adenocarcinoma following curative resection: the neutrophil-lymphocyte and platelet-lymphocyte ratios. </w:t>
      </w:r>
      <w:r w:rsidRPr="0049564D">
        <w:rPr>
          <w:rFonts w:ascii="Book Antiqua" w:eastAsia="Book Antiqua" w:hAnsi="Book Antiqua" w:cs="Book Antiqua"/>
          <w:i/>
          <w:iCs/>
        </w:rPr>
        <w:t>Surg Today</w:t>
      </w:r>
      <w:r w:rsidRPr="0049564D">
        <w:rPr>
          <w:rFonts w:ascii="Book Antiqua" w:eastAsia="Book Antiqua" w:hAnsi="Book Antiqua" w:cs="Book Antiqua"/>
        </w:rPr>
        <w:t xml:space="preserve"> 2016; </w:t>
      </w:r>
      <w:r w:rsidRPr="0049564D">
        <w:rPr>
          <w:rFonts w:ascii="Book Antiqua" w:eastAsia="Book Antiqua" w:hAnsi="Book Antiqua" w:cs="Book Antiqua"/>
          <w:b/>
          <w:bCs/>
        </w:rPr>
        <w:t>46</w:t>
      </w:r>
      <w:r w:rsidRPr="0049564D">
        <w:rPr>
          <w:rFonts w:ascii="Book Antiqua" w:eastAsia="Book Antiqua" w:hAnsi="Book Antiqua" w:cs="Book Antiqua"/>
        </w:rPr>
        <w:t>: 583-592 [PMID: 26108488 DOI: 10.1007/s00595-015-1206-3]</w:t>
      </w:r>
    </w:p>
    <w:p w14:paraId="6A394718" w14:textId="0604786B"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3</w:t>
      </w:r>
      <w:r w:rsidR="00704B63" w:rsidRPr="0049564D">
        <w:rPr>
          <w:rFonts w:ascii="Book Antiqua" w:eastAsia="Book Antiqua" w:hAnsi="Book Antiqua" w:cs="Book Antiqua"/>
        </w:rPr>
        <w:t>8</w:t>
      </w:r>
      <w:r w:rsidRPr="0049564D">
        <w:rPr>
          <w:rFonts w:ascii="Book Antiqua" w:eastAsia="Book Antiqua" w:hAnsi="Book Antiqua" w:cs="Book Antiqua"/>
        </w:rPr>
        <w:t xml:space="preserve"> </w:t>
      </w:r>
      <w:r w:rsidRPr="0049564D">
        <w:rPr>
          <w:rFonts w:ascii="Book Antiqua" w:eastAsia="Book Antiqua" w:hAnsi="Book Antiqua" w:cs="Book Antiqua"/>
          <w:b/>
          <w:bCs/>
        </w:rPr>
        <w:t>Kobayashi S</w:t>
      </w:r>
      <w:r w:rsidRPr="0049564D">
        <w:rPr>
          <w:rFonts w:ascii="Book Antiqua" w:eastAsia="Book Antiqua" w:hAnsi="Book Antiqua" w:cs="Book Antiqua"/>
        </w:rPr>
        <w:t xml:space="preserve">, Tomokuni A, Gotoh K, Takahashi H, Akita H, Marubashi S, Yamada T, Teshima T, Nishiyama K, Yano M, Ohigashi H, Ishikawa O, Sakon M. Evaluation of the safety and pathological effects of neoadjuvant full-dose gemcitabine combination </w:t>
      </w:r>
      <w:r w:rsidRPr="0049564D">
        <w:rPr>
          <w:rFonts w:ascii="Book Antiqua" w:eastAsia="Book Antiqua" w:hAnsi="Book Antiqua" w:cs="Book Antiqua"/>
        </w:rPr>
        <w:lastRenderedPageBreak/>
        <w:t xml:space="preserve">radiation therapy in patients with biliary tract cancer. </w:t>
      </w:r>
      <w:r w:rsidRPr="0049564D">
        <w:rPr>
          <w:rFonts w:ascii="Book Antiqua" w:eastAsia="Book Antiqua" w:hAnsi="Book Antiqua" w:cs="Book Antiqua"/>
          <w:i/>
          <w:iCs/>
        </w:rPr>
        <w:t>Cancer Chemother Pharmacol</w:t>
      </w:r>
      <w:r w:rsidRPr="0049564D">
        <w:rPr>
          <w:rFonts w:ascii="Book Antiqua" w:eastAsia="Book Antiqua" w:hAnsi="Book Antiqua" w:cs="Book Antiqua"/>
        </w:rPr>
        <w:t xml:space="preserve"> 2015; </w:t>
      </w:r>
      <w:r w:rsidRPr="0049564D">
        <w:rPr>
          <w:rFonts w:ascii="Book Antiqua" w:eastAsia="Book Antiqua" w:hAnsi="Book Antiqua" w:cs="Book Antiqua"/>
          <w:b/>
          <w:bCs/>
        </w:rPr>
        <w:t>76</w:t>
      </w:r>
      <w:r w:rsidRPr="0049564D">
        <w:rPr>
          <w:rFonts w:ascii="Book Antiqua" w:eastAsia="Book Antiqua" w:hAnsi="Book Antiqua" w:cs="Book Antiqua"/>
        </w:rPr>
        <w:t>: 1191-1198 [PMID: 26547917 DOI: 10.1007/s00280-015-2908-3]</w:t>
      </w:r>
    </w:p>
    <w:p w14:paraId="32695250" w14:textId="77777777" w:rsidR="00A77B3E" w:rsidRPr="0049564D" w:rsidRDefault="00A77B3E" w:rsidP="00B24044">
      <w:pPr>
        <w:adjustRightInd w:val="0"/>
        <w:snapToGrid w:val="0"/>
        <w:spacing w:line="360" w:lineRule="auto"/>
        <w:jc w:val="both"/>
        <w:rPr>
          <w:rFonts w:ascii="Book Antiqua" w:hAnsi="Book Antiqua"/>
        </w:rPr>
        <w:sectPr w:rsidR="00A77B3E" w:rsidRPr="0049564D">
          <w:pgSz w:w="12240" w:h="15840"/>
          <w:pgMar w:top="1440" w:right="1440" w:bottom="1440" w:left="1440" w:header="720" w:footer="720" w:gutter="0"/>
          <w:cols w:space="720"/>
          <w:docGrid w:linePitch="360"/>
        </w:sectPr>
      </w:pPr>
    </w:p>
    <w:p w14:paraId="0D87A4CD"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rPr>
        <w:lastRenderedPageBreak/>
        <w:t>Footnotes</w:t>
      </w:r>
    </w:p>
    <w:p w14:paraId="27CA08DE"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bCs/>
        </w:rPr>
        <w:t xml:space="preserve">Institutional review board statement: </w:t>
      </w:r>
      <w:r w:rsidRPr="0049564D">
        <w:rPr>
          <w:rFonts w:ascii="Book Antiqua" w:eastAsia="Book Antiqua" w:hAnsi="Book Antiqua" w:cs="Book Antiqua"/>
        </w:rPr>
        <w:t>This study was reviewed and approved by the Ethics Committee of the Kobe University Graduate School of Medicine (#160163).</w:t>
      </w:r>
    </w:p>
    <w:p w14:paraId="0CC2EF90" w14:textId="77777777" w:rsidR="00A77B3E" w:rsidRPr="0049564D" w:rsidRDefault="00A77B3E" w:rsidP="00B24044">
      <w:pPr>
        <w:adjustRightInd w:val="0"/>
        <w:snapToGrid w:val="0"/>
        <w:spacing w:line="360" w:lineRule="auto"/>
        <w:jc w:val="both"/>
        <w:rPr>
          <w:rFonts w:ascii="Book Antiqua" w:hAnsi="Book Antiqua"/>
        </w:rPr>
      </w:pPr>
    </w:p>
    <w:p w14:paraId="2D6D22A8"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bCs/>
        </w:rPr>
        <w:t xml:space="preserve">Informed consent statement: </w:t>
      </w:r>
      <w:r w:rsidRPr="0049564D">
        <w:rPr>
          <w:rFonts w:ascii="Book Antiqua" w:eastAsia="Book Antiqua" w:hAnsi="Book Antiqua" w:cs="Book Antiqua"/>
        </w:rPr>
        <w:t>Informed consent was obtained using the opt-out principle. For full disclosure, the details of the study are published on the home page of Division of Hepato-Biliary-Pancreatic Surgery</w:t>
      </w:r>
      <w:r w:rsidRPr="0049564D">
        <w:rPr>
          <w:rFonts w:ascii="Book Antiqua" w:eastAsia="Book Antiqua" w:hAnsi="Book Antiqua" w:cs="Book Antiqua"/>
          <w:b/>
          <w:bCs/>
        </w:rPr>
        <w:t xml:space="preserve">, </w:t>
      </w:r>
      <w:r w:rsidRPr="0049564D">
        <w:rPr>
          <w:rFonts w:ascii="Book Antiqua" w:eastAsia="Book Antiqua" w:hAnsi="Book Antiqua" w:cs="Book Antiqua"/>
        </w:rPr>
        <w:t>Kobe University Graduate School of Medicine.</w:t>
      </w:r>
    </w:p>
    <w:p w14:paraId="4ED75B7A" w14:textId="77777777" w:rsidR="00A77B3E" w:rsidRPr="0049564D" w:rsidRDefault="00A77B3E" w:rsidP="00B24044">
      <w:pPr>
        <w:adjustRightInd w:val="0"/>
        <w:snapToGrid w:val="0"/>
        <w:spacing w:line="360" w:lineRule="auto"/>
        <w:jc w:val="both"/>
        <w:rPr>
          <w:rFonts w:ascii="Book Antiqua" w:hAnsi="Book Antiqua"/>
        </w:rPr>
      </w:pPr>
    </w:p>
    <w:p w14:paraId="63B2AA25" w14:textId="5748DD07" w:rsidR="00B75740" w:rsidRPr="0049564D" w:rsidRDefault="006939FE" w:rsidP="00B24044">
      <w:pPr>
        <w:pStyle w:val="1"/>
        <w:snapToGrid w:val="0"/>
        <w:spacing w:line="360" w:lineRule="auto"/>
        <w:rPr>
          <w:rFonts w:ascii="Book Antiqua" w:hAnsi="Book Antiqua"/>
          <w:sz w:val="24"/>
          <w:szCs w:val="24"/>
        </w:rPr>
      </w:pPr>
      <w:r w:rsidRPr="0049564D">
        <w:rPr>
          <w:rFonts w:ascii="Book Antiqua" w:eastAsia="Book Antiqua" w:hAnsi="Book Antiqua" w:cs="Book Antiqua"/>
          <w:b/>
          <w:bCs/>
          <w:sz w:val="24"/>
          <w:szCs w:val="24"/>
        </w:rPr>
        <w:t xml:space="preserve">Conflict-of-interest statement: </w:t>
      </w:r>
      <w:r w:rsidR="00B75740" w:rsidRPr="0049564D">
        <w:rPr>
          <w:rFonts w:ascii="Book Antiqua" w:hAnsi="Book Antiqua"/>
          <w:sz w:val="24"/>
          <w:szCs w:val="24"/>
        </w:rPr>
        <w:t>The authors declare that they have no financial relationships to disclose.</w:t>
      </w:r>
    </w:p>
    <w:p w14:paraId="5D0776D6" w14:textId="58363AFC" w:rsidR="00A77B3E" w:rsidRPr="0049564D" w:rsidRDefault="00A77B3E" w:rsidP="00B24044">
      <w:pPr>
        <w:adjustRightInd w:val="0"/>
        <w:snapToGrid w:val="0"/>
        <w:spacing w:line="360" w:lineRule="auto"/>
        <w:jc w:val="both"/>
        <w:rPr>
          <w:rFonts w:ascii="Book Antiqua" w:hAnsi="Book Antiqua"/>
        </w:rPr>
      </w:pPr>
    </w:p>
    <w:p w14:paraId="0266C95C"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bCs/>
        </w:rPr>
        <w:t xml:space="preserve">Data sharing statement: </w:t>
      </w:r>
      <w:r w:rsidRPr="0049564D">
        <w:rPr>
          <w:rFonts w:ascii="Book Antiqua" w:eastAsia="Book Antiqua" w:hAnsi="Book Antiqua" w:cs="Book Antiqua"/>
        </w:rPr>
        <w:t>No additional data are available.</w:t>
      </w:r>
    </w:p>
    <w:p w14:paraId="3C478B30" w14:textId="77777777" w:rsidR="00A77B3E" w:rsidRPr="0049564D" w:rsidRDefault="00A77B3E" w:rsidP="00B24044">
      <w:pPr>
        <w:adjustRightInd w:val="0"/>
        <w:snapToGrid w:val="0"/>
        <w:spacing w:line="360" w:lineRule="auto"/>
        <w:jc w:val="both"/>
        <w:rPr>
          <w:rFonts w:ascii="Book Antiqua" w:hAnsi="Book Antiqua"/>
        </w:rPr>
      </w:pPr>
    </w:p>
    <w:p w14:paraId="1FB39632"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bCs/>
        </w:rPr>
        <w:t xml:space="preserve">Open-Access: </w:t>
      </w:r>
      <w:r w:rsidRPr="0049564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95B9E8" w14:textId="77777777" w:rsidR="00A77B3E" w:rsidRPr="0049564D" w:rsidRDefault="00A77B3E" w:rsidP="00B24044">
      <w:pPr>
        <w:adjustRightInd w:val="0"/>
        <w:snapToGrid w:val="0"/>
        <w:spacing w:line="360" w:lineRule="auto"/>
        <w:jc w:val="both"/>
        <w:rPr>
          <w:rFonts w:ascii="Book Antiqua" w:hAnsi="Book Antiqua"/>
        </w:rPr>
      </w:pPr>
    </w:p>
    <w:p w14:paraId="5609C688" w14:textId="0B263472"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rPr>
        <w:t xml:space="preserve">Manuscript source: </w:t>
      </w:r>
      <w:r w:rsidRPr="0049564D">
        <w:rPr>
          <w:rFonts w:ascii="Book Antiqua" w:eastAsia="Book Antiqua" w:hAnsi="Book Antiqua" w:cs="Book Antiqua"/>
        </w:rPr>
        <w:t xml:space="preserve">Unsolicited </w:t>
      </w:r>
      <w:r w:rsidR="00B24044" w:rsidRPr="0049564D">
        <w:rPr>
          <w:rFonts w:ascii="Book Antiqua" w:hAnsi="Book Antiqua" w:cs="Book Antiqua"/>
          <w:lang w:eastAsia="zh-CN"/>
        </w:rPr>
        <w:t>m</w:t>
      </w:r>
      <w:r w:rsidRPr="0049564D">
        <w:rPr>
          <w:rFonts w:ascii="Book Antiqua" w:eastAsia="Book Antiqua" w:hAnsi="Book Antiqua" w:cs="Book Antiqua"/>
        </w:rPr>
        <w:t>anuscript</w:t>
      </w:r>
    </w:p>
    <w:p w14:paraId="501233A9" w14:textId="77777777" w:rsidR="00A77B3E" w:rsidRPr="0049564D" w:rsidRDefault="00A77B3E" w:rsidP="00B24044">
      <w:pPr>
        <w:adjustRightInd w:val="0"/>
        <w:snapToGrid w:val="0"/>
        <w:spacing w:line="360" w:lineRule="auto"/>
        <w:jc w:val="both"/>
        <w:rPr>
          <w:rFonts w:ascii="Book Antiqua" w:hAnsi="Book Antiqua"/>
        </w:rPr>
      </w:pPr>
    </w:p>
    <w:p w14:paraId="6554B595"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rPr>
        <w:t xml:space="preserve">Peer-review started: </w:t>
      </w:r>
      <w:r w:rsidRPr="0049564D">
        <w:rPr>
          <w:rFonts w:ascii="Book Antiqua" w:eastAsia="Book Antiqua" w:hAnsi="Book Antiqua" w:cs="Book Antiqua"/>
        </w:rPr>
        <w:t>May 25, 2021</w:t>
      </w:r>
    </w:p>
    <w:p w14:paraId="7DC6F123"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rPr>
        <w:t xml:space="preserve">First decision: </w:t>
      </w:r>
      <w:r w:rsidRPr="0049564D">
        <w:rPr>
          <w:rFonts w:ascii="Book Antiqua" w:eastAsia="Book Antiqua" w:hAnsi="Book Antiqua" w:cs="Book Antiqua"/>
        </w:rPr>
        <w:t>July 3, 2021</w:t>
      </w:r>
    </w:p>
    <w:p w14:paraId="541DCE04" w14:textId="1C19AF4A"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rPr>
        <w:t>Article in press:</w:t>
      </w:r>
      <w:r w:rsidR="002C5AE4" w:rsidRPr="0049564D">
        <w:rPr>
          <w:rFonts w:ascii="Book Antiqua" w:hAnsi="Book Antiqua"/>
          <w:color w:val="000000" w:themeColor="text1"/>
        </w:rPr>
        <w:t xml:space="preserve"> September 22, 2021</w:t>
      </w:r>
      <w:r w:rsidRPr="0049564D">
        <w:rPr>
          <w:rFonts w:ascii="Book Antiqua" w:eastAsia="Book Antiqua" w:hAnsi="Book Antiqua" w:cs="Book Antiqua"/>
          <w:b/>
        </w:rPr>
        <w:t xml:space="preserve"> </w:t>
      </w:r>
    </w:p>
    <w:p w14:paraId="16754480" w14:textId="77777777" w:rsidR="00A77B3E" w:rsidRPr="0049564D" w:rsidRDefault="00A77B3E" w:rsidP="00B24044">
      <w:pPr>
        <w:adjustRightInd w:val="0"/>
        <w:snapToGrid w:val="0"/>
        <w:spacing w:line="360" w:lineRule="auto"/>
        <w:jc w:val="both"/>
        <w:rPr>
          <w:rFonts w:ascii="Book Antiqua" w:hAnsi="Book Antiqua"/>
        </w:rPr>
      </w:pPr>
    </w:p>
    <w:p w14:paraId="2BD19C32"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rPr>
        <w:t xml:space="preserve">Specialty type: </w:t>
      </w:r>
      <w:r w:rsidRPr="0049564D">
        <w:rPr>
          <w:rFonts w:ascii="Book Antiqua" w:eastAsia="Book Antiqua" w:hAnsi="Book Antiqua" w:cs="Book Antiqua"/>
        </w:rPr>
        <w:t>Surgery</w:t>
      </w:r>
    </w:p>
    <w:p w14:paraId="2361FEC3"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rPr>
        <w:t xml:space="preserve">Country/Territory of origin: </w:t>
      </w:r>
      <w:r w:rsidRPr="0049564D">
        <w:rPr>
          <w:rFonts w:ascii="Book Antiqua" w:eastAsia="Book Antiqua" w:hAnsi="Book Antiqua" w:cs="Book Antiqua"/>
        </w:rPr>
        <w:t>Japan</w:t>
      </w:r>
    </w:p>
    <w:p w14:paraId="01773518"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b/>
        </w:rPr>
        <w:t>Peer-review report’s scientific quality classification</w:t>
      </w:r>
    </w:p>
    <w:p w14:paraId="553C7A50"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lastRenderedPageBreak/>
        <w:t>Grade A (Excellent): 0</w:t>
      </w:r>
    </w:p>
    <w:p w14:paraId="0C2D296E"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Grade B (Very good): B</w:t>
      </w:r>
    </w:p>
    <w:p w14:paraId="3B9B2226"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Grade C (Good): 0</w:t>
      </w:r>
    </w:p>
    <w:p w14:paraId="4979E6B1"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Grade D (Fair): 0</w:t>
      </w:r>
    </w:p>
    <w:p w14:paraId="6493FACD" w14:textId="77777777" w:rsidR="00A77B3E" w:rsidRPr="0049564D" w:rsidRDefault="006939FE" w:rsidP="00B24044">
      <w:pPr>
        <w:adjustRightInd w:val="0"/>
        <w:snapToGrid w:val="0"/>
        <w:spacing w:line="360" w:lineRule="auto"/>
        <w:jc w:val="both"/>
        <w:rPr>
          <w:rFonts w:ascii="Book Antiqua" w:hAnsi="Book Antiqua"/>
        </w:rPr>
      </w:pPr>
      <w:r w:rsidRPr="0049564D">
        <w:rPr>
          <w:rFonts w:ascii="Book Antiqua" w:eastAsia="Book Antiqua" w:hAnsi="Book Antiqua" w:cs="Book Antiqua"/>
        </w:rPr>
        <w:t>Grade E (Poor): 0</w:t>
      </w:r>
    </w:p>
    <w:p w14:paraId="1C0976E5" w14:textId="77777777" w:rsidR="00A77B3E" w:rsidRPr="0049564D" w:rsidRDefault="00A77B3E" w:rsidP="00B24044">
      <w:pPr>
        <w:adjustRightInd w:val="0"/>
        <w:snapToGrid w:val="0"/>
        <w:spacing w:line="360" w:lineRule="auto"/>
        <w:jc w:val="both"/>
        <w:rPr>
          <w:rFonts w:ascii="Book Antiqua" w:hAnsi="Book Antiqua"/>
        </w:rPr>
      </w:pPr>
    </w:p>
    <w:p w14:paraId="30E234CC" w14:textId="4F91E1DD" w:rsidR="00A77B3E" w:rsidRPr="0049564D" w:rsidRDefault="006939FE" w:rsidP="00B24044">
      <w:pPr>
        <w:adjustRightInd w:val="0"/>
        <w:snapToGrid w:val="0"/>
        <w:spacing w:line="360" w:lineRule="auto"/>
        <w:jc w:val="both"/>
        <w:rPr>
          <w:rFonts w:ascii="Book Antiqua" w:eastAsia="Book Antiqua" w:hAnsi="Book Antiqua" w:cs="Book Antiqua"/>
          <w:bCs/>
        </w:rPr>
      </w:pPr>
      <w:r w:rsidRPr="0049564D">
        <w:rPr>
          <w:rFonts w:ascii="Book Antiqua" w:eastAsia="Book Antiqua" w:hAnsi="Book Antiqua" w:cs="Book Antiqua"/>
          <w:b/>
        </w:rPr>
        <w:t xml:space="preserve">P-Reviewer: </w:t>
      </w:r>
      <w:r w:rsidRPr="0049564D">
        <w:rPr>
          <w:rFonts w:ascii="Book Antiqua" w:eastAsia="Book Antiqua" w:hAnsi="Book Antiqua" w:cs="Book Antiqua"/>
        </w:rPr>
        <w:t>Saengboonmee C</w:t>
      </w:r>
      <w:r w:rsidRPr="0049564D">
        <w:rPr>
          <w:rFonts w:ascii="Book Antiqua" w:eastAsia="Book Antiqua" w:hAnsi="Book Antiqua" w:cs="Book Antiqua"/>
          <w:b/>
        </w:rPr>
        <w:t xml:space="preserve"> S-Editor: </w:t>
      </w:r>
      <w:r w:rsidR="0062767C" w:rsidRPr="0049564D">
        <w:rPr>
          <w:rFonts w:ascii="Book Antiqua" w:eastAsia="Book Antiqua" w:hAnsi="Book Antiqua" w:cs="Book Antiqua"/>
        </w:rPr>
        <w:t>Liu M</w:t>
      </w:r>
      <w:r w:rsidRPr="0049564D">
        <w:rPr>
          <w:rFonts w:ascii="Book Antiqua" w:eastAsia="Book Antiqua" w:hAnsi="Book Antiqua" w:cs="Book Antiqua"/>
          <w:b/>
        </w:rPr>
        <w:t xml:space="preserve"> L-Editor:</w:t>
      </w:r>
      <w:r w:rsidR="00DE15F2" w:rsidRPr="0049564D">
        <w:rPr>
          <w:rFonts w:ascii="Book Antiqua" w:eastAsia="Book Antiqua" w:hAnsi="Book Antiqua" w:cs="Book Antiqua"/>
          <w:bCs/>
        </w:rPr>
        <w:t xml:space="preserve"> A</w:t>
      </w:r>
      <w:r w:rsidR="00047B4A" w:rsidRPr="0049564D">
        <w:rPr>
          <w:rFonts w:ascii="Book Antiqua" w:eastAsia="Book Antiqua" w:hAnsi="Book Antiqua" w:cs="Book Antiqua"/>
          <w:b/>
        </w:rPr>
        <w:t xml:space="preserve"> </w:t>
      </w:r>
      <w:r w:rsidRPr="0049564D">
        <w:rPr>
          <w:rFonts w:ascii="Book Antiqua" w:eastAsia="Book Antiqua" w:hAnsi="Book Antiqua" w:cs="Book Antiqua"/>
          <w:b/>
        </w:rPr>
        <w:t>P-Editor:</w:t>
      </w:r>
      <w:r w:rsidRPr="0049564D">
        <w:rPr>
          <w:rFonts w:ascii="Book Antiqua" w:eastAsia="Book Antiqua" w:hAnsi="Book Antiqua" w:cs="Book Antiqua"/>
          <w:bCs/>
        </w:rPr>
        <w:t xml:space="preserve"> </w:t>
      </w:r>
      <w:r w:rsidR="00DE15F2" w:rsidRPr="0049564D">
        <w:rPr>
          <w:rFonts w:ascii="Book Antiqua" w:eastAsia="Book Antiqua" w:hAnsi="Book Antiqua" w:cs="Book Antiqua"/>
          <w:bCs/>
        </w:rPr>
        <w:t>Li JH</w:t>
      </w:r>
    </w:p>
    <w:p w14:paraId="322302AA" w14:textId="20B3E844" w:rsidR="00DE15F2" w:rsidRPr="0049564D" w:rsidRDefault="00DE15F2" w:rsidP="00B24044">
      <w:pPr>
        <w:adjustRightInd w:val="0"/>
        <w:snapToGrid w:val="0"/>
        <w:spacing w:line="360" w:lineRule="auto"/>
        <w:jc w:val="both"/>
        <w:rPr>
          <w:rFonts w:ascii="Book Antiqua" w:hAnsi="Book Antiqua"/>
        </w:rPr>
        <w:sectPr w:rsidR="00DE15F2" w:rsidRPr="0049564D">
          <w:pgSz w:w="12240" w:h="15840"/>
          <w:pgMar w:top="1440" w:right="1440" w:bottom="1440" w:left="1440" w:header="720" w:footer="720" w:gutter="0"/>
          <w:cols w:space="720"/>
          <w:docGrid w:linePitch="360"/>
        </w:sectPr>
      </w:pPr>
    </w:p>
    <w:p w14:paraId="0429F493" w14:textId="3DF1CC86" w:rsidR="00A77B3E" w:rsidRPr="0049564D" w:rsidRDefault="006939FE" w:rsidP="00B24044">
      <w:pPr>
        <w:adjustRightInd w:val="0"/>
        <w:snapToGrid w:val="0"/>
        <w:spacing w:line="360" w:lineRule="auto"/>
        <w:jc w:val="both"/>
        <w:rPr>
          <w:rFonts w:ascii="Book Antiqua" w:eastAsia="Book Antiqua" w:hAnsi="Book Antiqua" w:cs="Book Antiqua"/>
          <w:b/>
        </w:rPr>
      </w:pPr>
      <w:r w:rsidRPr="0049564D">
        <w:rPr>
          <w:rFonts w:ascii="Book Antiqua" w:eastAsia="Book Antiqua" w:hAnsi="Book Antiqua" w:cs="Book Antiqua"/>
          <w:b/>
        </w:rPr>
        <w:lastRenderedPageBreak/>
        <w:t>Figure Legends</w:t>
      </w:r>
    </w:p>
    <w:p w14:paraId="00400F78" w14:textId="0E8A52CA" w:rsidR="00B75740" w:rsidRPr="0049564D" w:rsidRDefault="00B75740" w:rsidP="00B24044">
      <w:pPr>
        <w:adjustRightInd w:val="0"/>
        <w:snapToGrid w:val="0"/>
        <w:spacing w:line="360" w:lineRule="auto"/>
        <w:jc w:val="both"/>
        <w:rPr>
          <w:rFonts w:ascii="Book Antiqua" w:eastAsia="Book Antiqua" w:hAnsi="Book Antiqua" w:cs="Book Antiqua"/>
          <w:b/>
        </w:rPr>
      </w:pPr>
      <w:r w:rsidRPr="0049564D">
        <w:rPr>
          <w:rFonts w:ascii="Book Antiqua" w:eastAsia="Book Antiqua" w:hAnsi="Book Antiqua" w:cs="Book Antiqua"/>
          <w:b/>
          <w:noProof/>
          <w:lang w:eastAsia="ja-JP"/>
        </w:rPr>
        <w:drawing>
          <wp:inline distT="0" distB="0" distL="0" distR="0" wp14:anchorId="624ED05B" wp14:editId="6760AB25">
            <wp:extent cx="5279666" cy="18023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2773" cy="1806864"/>
                    </a:xfrm>
                    <a:prstGeom prst="rect">
                      <a:avLst/>
                    </a:prstGeom>
                    <a:noFill/>
                  </pic:spPr>
                </pic:pic>
              </a:graphicData>
            </a:graphic>
          </wp:inline>
        </w:drawing>
      </w:r>
    </w:p>
    <w:p w14:paraId="196862C7" w14:textId="59590CD1" w:rsidR="00B75740" w:rsidRPr="0049564D" w:rsidRDefault="006939FE" w:rsidP="00B24044">
      <w:pPr>
        <w:pStyle w:val="1"/>
        <w:widowControl/>
        <w:snapToGrid w:val="0"/>
        <w:spacing w:line="360" w:lineRule="auto"/>
        <w:rPr>
          <w:rFonts w:ascii="Book Antiqua" w:hAnsi="Book Antiqua"/>
          <w:sz w:val="24"/>
          <w:szCs w:val="24"/>
        </w:rPr>
      </w:pPr>
      <w:r w:rsidRPr="0049564D">
        <w:rPr>
          <w:rFonts w:ascii="Book Antiqua" w:eastAsia="Book Antiqua" w:hAnsi="Book Antiqua" w:cs="Book Antiqua"/>
          <w:b/>
          <w:bCs/>
          <w:sz w:val="24"/>
          <w:szCs w:val="24"/>
        </w:rPr>
        <w:t>Fig</w:t>
      </w:r>
      <w:r w:rsidR="00047B4A" w:rsidRPr="0049564D">
        <w:rPr>
          <w:rFonts w:ascii="Book Antiqua" w:eastAsia="Book Antiqua" w:hAnsi="Book Antiqua" w:cs="Book Antiqua"/>
          <w:b/>
          <w:bCs/>
          <w:sz w:val="24"/>
          <w:szCs w:val="24"/>
        </w:rPr>
        <w:t>ure</w:t>
      </w:r>
      <w:r w:rsidRPr="0049564D">
        <w:rPr>
          <w:rFonts w:ascii="Book Antiqua" w:eastAsia="Book Antiqua" w:hAnsi="Book Antiqua" w:cs="Book Antiqua"/>
          <w:b/>
          <w:bCs/>
          <w:sz w:val="24"/>
          <w:szCs w:val="24"/>
        </w:rPr>
        <w:t xml:space="preserve"> 1 Receiver operating characteristic curves. </w:t>
      </w:r>
      <w:r w:rsidR="00B75740" w:rsidRPr="0049564D">
        <w:rPr>
          <w:rFonts w:ascii="Book Antiqua" w:hAnsi="Book Antiqua"/>
          <w:sz w:val="24"/>
          <w:szCs w:val="24"/>
        </w:rPr>
        <w:t>The cutoff values for carbohydrate antigen 19-9, carcinoembryonic antige</w:t>
      </w:r>
      <w:r w:rsidR="009605AA" w:rsidRPr="0049564D">
        <w:rPr>
          <w:rFonts w:ascii="Book Antiqua" w:hAnsi="Book Antiqua"/>
          <w:sz w:val="24"/>
          <w:szCs w:val="24"/>
        </w:rPr>
        <w:t>n</w:t>
      </w:r>
      <w:r w:rsidR="00B75740" w:rsidRPr="0049564D">
        <w:rPr>
          <w:rFonts w:ascii="Book Antiqua" w:hAnsi="Book Antiqua"/>
          <w:sz w:val="24"/>
          <w:szCs w:val="24"/>
        </w:rPr>
        <w:t xml:space="preserve"> and the neutrophil-lymphocyte ratio were 255 U/mL, 7 ng/mL and 3, respectively. CA19-9: Carbohydrate antigen 19-9; CEA: Carcinoembryonic antigen; AUC: Area under the curve.</w:t>
      </w:r>
    </w:p>
    <w:p w14:paraId="692C0785" w14:textId="3C6189DC" w:rsidR="00A77B3E" w:rsidRPr="0049564D" w:rsidRDefault="00047B4A" w:rsidP="00B24044">
      <w:pPr>
        <w:adjustRightInd w:val="0"/>
        <w:snapToGrid w:val="0"/>
        <w:spacing w:line="360" w:lineRule="auto"/>
        <w:jc w:val="both"/>
        <w:rPr>
          <w:rFonts w:ascii="Book Antiqua" w:hAnsi="Book Antiqua"/>
        </w:rPr>
      </w:pPr>
      <w:r w:rsidRPr="0049564D">
        <w:rPr>
          <w:rFonts w:ascii="Book Antiqua" w:hAnsi="Book Antiqua"/>
        </w:rPr>
        <w:br w:type="page"/>
      </w:r>
      <w:r w:rsidR="0010633C" w:rsidRPr="0049564D">
        <w:rPr>
          <w:rFonts w:ascii="Book Antiqua" w:hAnsi="Book Antiqua"/>
          <w:noProof/>
          <w:lang w:eastAsia="ja-JP"/>
        </w:rPr>
        <w:lastRenderedPageBreak/>
        <w:drawing>
          <wp:inline distT="0" distB="0" distL="0" distR="0" wp14:anchorId="076805AE" wp14:editId="38447030">
            <wp:extent cx="4141720" cy="4383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201" cy="4388139"/>
                    </a:xfrm>
                    <a:prstGeom prst="rect">
                      <a:avLst/>
                    </a:prstGeom>
                    <a:noFill/>
                  </pic:spPr>
                </pic:pic>
              </a:graphicData>
            </a:graphic>
          </wp:inline>
        </w:drawing>
      </w:r>
    </w:p>
    <w:p w14:paraId="592963DD" w14:textId="49997293" w:rsidR="00047B4A" w:rsidRPr="0049564D" w:rsidRDefault="006939FE" w:rsidP="00B24044">
      <w:pPr>
        <w:pStyle w:val="1"/>
        <w:widowControl/>
        <w:snapToGrid w:val="0"/>
        <w:spacing w:line="360" w:lineRule="auto"/>
        <w:rPr>
          <w:rFonts w:ascii="Book Antiqua" w:hAnsi="Book Antiqua"/>
          <w:sz w:val="24"/>
          <w:szCs w:val="24"/>
        </w:rPr>
      </w:pPr>
      <w:r w:rsidRPr="0049564D">
        <w:rPr>
          <w:rFonts w:ascii="Book Antiqua" w:eastAsia="Book Antiqua" w:hAnsi="Book Antiqua" w:cs="Book Antiqua"/>
          <w:b/>
          <w:bCs/>
          <w:sz w:val="24"/>
          <w:szCs w:val="24"/>
        </w:rPr>
        <w:t>Fig</w:t>
      </w:r>
      <w:r w:rsidR="00047B4A" w:rsidRPr="0049564D">
        <w:rPr>
          <w:rFonts w:ascii="Book Antiqua" w:eastAsia="Book Antiqua" w:hAnsi="Book Antiqua" w:cs="Book Antiqua"/>
          <w:b/>
          <w:bCs/>
          <w:sz w:val="24"/>
          <w:szCs w:val="24"/>
        </w:rPr>
        <w:t>ure</w:t>
      </w:r>
      <w:r w:rsidRPr="0049564D">
        <w:rPr>
          <w:rFonts w:ascii="Book Antiqua" w:eastAsia="Book Antiqua" w:hAnsi="Book Antiqua" w:cs="Book Antiqua"/>
          <w:b/>
          <w:bCs/>
          <w:sz w:val="24"/>
          <w:szCs w:val="24"/>
        </w:rPr>
        <w:t xml:space="preserve"> 2 Overall survival in 236 patients with biliary tract cancer who underwent laparotomy</w:t>
      </w:r>
      <w:r w:rsidR="00047B4A" w:rsidRPr="0049564D">
        <w:rPr>
          <w:rFonts w:ascii="Book Antiqua" w:eastAsia="Book Antiqua" w:hAnsi="Book Antiqua" w:cs="Book Antiqua"/>
          <w:sz w:val="24"/>
          <w:szCs w:val="24"/>
        </w:rPr>
        <w:t>. A:</w:t>
      </w:r>
      <w:r w:rsidRPr="0049564D">
        <w:rPr>
          <w:rFonts w:ascii="Book Antiqua" w:eastAsia="Book Antiqua" w:hAnsi="Book Antiqua" w:cs="Book Antiqua"/>
          <w:sz w:val="24"/>
          <w:szCs w:val="24"/>
        </w:rPr>
        <w:t xml:space="preserve"> </w:t>
      </w:r>
      <w:r w:rsidR="00047B4A" w:rsidRPr="0049564D">
        <w:rPr>
          <w:rFonts w:ascii="Book Antiqua" w:eastAsia="Book Antiqua" w:hAnsi="Book Antiqua" w:cs="Book Antiqua"/>
          <w:sz w:val="24"/>
          <w:szCs w:val="24"/>
        </w:rPr>
        <w:t>S</w:t>
      </w:r>
      <w:r w:rsidRPr="0049564D">
        <w:rPr>
          <w:rFonts w:ascii="Book Antiqua" w:eastAsia="Book Antiqua" w:hAnsi="Book Antiqua" w:cs="Book Antiqua"/>
          <w:sz w:val="24"/>
          <w:szCs w:val="24"/>
        </w:rPr>
        <w:t>tratified by carcinoembryonic antigen (</w:t>
      </w:r>
      <w:r w:rsidRPr="0049564D">
        <w:rPr>
          <w:rFonts w:ascii="Book Antiqua" w:eastAsia="Book Antiqua" w:hAnsi="Book Antiqua" w:cs="Book Antiqua"/>
          <w:i/>
          <w:iCs/>
          <w:sz w:val="24"/>
          <w:szCs w:val="24"/>
        </w:rPr>
        <w:t>P</w:t>
      </w:r>
      <w:r w:rsidRPr="0049564D">
        <w:rPr>
          <w:rFonts w:ascii="Book Antiqua" w:eastAsia="Book Antiqua" w:hAnsi="Book Antiqua" w:cs="Book Antiqua"/>
          <w:sz w:val="24"/>
          <w:szCs w:val="24"/>
        </w:rPr>
        <w:t xml:space="preserve"> &lt; 0.0001)</w:t>
      </w:r>
      <w:r w:rsidR="00047B4A" w:rsidRPr="0049564D">
        <w:rPr>
          <w:rFonts w:ascii="Book Antiqua" w:eastAsia="Book Antiqua" w:hAnsi="Book Antiqua" w:cs="Book Antiqua"/>
          <w:sz w:val="24"/>
          <w:szCs w:val="24"/>
        </w:rPr>
        <w:t>;</w:t>
      </w:r>
      <w:r w:rsidRPr="0049564D">
        <w:rPr>
          <w:rFonts w:ascii="Book Antiqua" w:eastAsia="Book Antiqua" w:hAnsi="Book Antiqua" w:cs="Book Antiqua"/>
          <w:sz w:val="24"/>
          <w:szCs w:val="24"/>
        </w:rPr>
        <w:t xml:space="preserve"> B</w:t>
      </w:r>
      <w:r w:rsidR="00047B4A" w:rsidRPr="0049564D">
        <w:rPr>
          <w:rFonts w:ascii="Book Antiqua" w:eastAsia="Book Antiqua" w:hAnsi="Book Antiqua" w:cs="Book Antiqua"/>
          <w:sz w:val="24"/>
          <w:szCs w:val="24"/>
        </w:rPr>
        <w:t>:</w:t>
      </w:r>
      <w:r w:rsidRPr="0049564D">
        <w:rPr>
          <w:rFonts w:ascii="Book Antiqua" w:eastAsia="Book Antiqua" w:hAnsi="Book Antiqua" w:cs="Book Antiqua"/>
          <w:sz w:val="24"/>
          <w:szCs w:val="24"/>
        </w:rPr>
        <w:t xml:space="preserve"> </w:t>
      </w:r>
      <w:r w:rsidR="00047B4A" w:rsidRPr="0049564D">
        <w:rPr>
          <w:rFonts w:ascii="Book Antiqua" w:eastAsia="Book Antiqua" w:hAnsi="Book Antiqua" w:cs="Book Antiqua"/>
          <w:sz w:val="24"/>
          <w:szCs w:val="24"/>
        </w:rPr>
        <w:t>C</w:t>
      </w:r>
      <w:r w:rsidRPr="0049564D">
        <w:rPr>
          <w:rFonts w:ascii="Book Antiqua" w:eastAsia="Book Antiqua" w:hAnsi="Book Antiqua" w:cs="Book Antiqua"/>
          <w:sz w:val="24"/>
          <w:szCs w:val="24"/>
        </w:rPr>
        <w:t>arbohydrate antigen 19-9 (P &lt; 0.0001)</w:t>
      </w:r>
      <w:r w:rsidR="00047B4A" w:rsidRPr="0049564D">
        <w:rPr>
          <w:rFonts w:ascii="Book Antiqua" w:eastAsia="Book Antiqua" w:hAnsi="Book Antiqua" w:cs="Book Antiqua"/>
          <w:sz w:val="24"/>
          <w:szCs w:val="24"/>
        </w:rPr>
        <w:t xml:space="preserve">; </w:t>
      </w:r>
      <w:r w:rsidRPr="0049564D">
        <w:rPr>
          <w:rFonts w:ascii="Book Antiqua" w:eastAsia="Book Antiqua" w:hAnsi="Book Antiqua" w:cs="Book Antiqua"/>
          <w:sz w:val="24"/>
          <w:szCs w:val="24"/>
        </w:rPr>
        <w:t>C</w:t>
      </w:r>
      <w:r w:rsidR="00047B4A" w:rsidRPr="0049564D">
        <w:rPr>
          <w:rFonts w:ascii="Book Antiqua" w:eastAsia="Book Antiqua" w:hAnsi="Book Antiqua" w:cs="Book Antiqua"/>
          <w:sz w:val="24"/>
          <w:szCs w:val="24"/>
        </w:rPr>
        <w:t>:</w:t>
      </w:r>
      <w:r w:rsidRPr="0049564D">
        <w:rPr>
          <w:rFonts w:ascii="Book Antiqua" w:eastAsia="Book Antiqua" w:hAnsi="Book Antiqua" w:cs="Book Antiqua"/>
          <w:sz w:val="24"/>
          <w:szCs w:val="24"/>
        </w:rPr>
        <w:t xml:space="preserve"> </w:t>
      </w:r>
      <w:r w:rsidR="00047B4A" w:rsidRPr="0049564D">
        <w:rPr>
          <w:rFonts w:ascii="Book Antiqua" w:eastAsia="Book Antiqua" w:hAnsi="Book Antiqua" w:cs="Book Antiqua"/>
          <w:sz w:val="24"/>
          <w:szCs w:val="24"/>
        </w:rPr>
        <w:t>N</w:t>
      </w:r>
      <w:r w:rsidRPr="0049564D">
        <w:rPr>
          <w:rFonts w:ascii="Book Antiqua" w:eastAsia="Book Antiqua" w:hAnsi="Book Antiqua" w:cs="Book Antiqua"/>
          <w:sz w:val="24"/>
          <w:szCs w:val="24"/>
        </w:rPr>
        <w:t xml:space="preserve">eutrophil-lymphocyte ratio (NLR; </w:t>
      </w:r>
      <w:r w:rsidRPr="0049564D">
        <w:rPr>
          <w:rFonts w:ascii="Book Antiqua" w:eastAsia="Book Antiqua" w:hAnsi="Book Antiqua" w:cs="Book Antiqua"/>
          <w:i/>
          <w:iCs/>
          <w:sz w:val="24"/>
          <w:szCs w:val="24"/>
        </w:rPr>
        <w:t>P</w:t>
      </w:r>
      <w:r w:rsidR="00047B4A" w:rsidRPr="0049564D">
        <w:rPr>
          <w:rFonts w:ascii="Book Antiqua" w:eastAsia="Book Antiqua" w:hAnsi="Book Antiqua" w:cs="Book Antiqua"/>
          <w:sz w:val="24"/>
          <w:szCs w:val="24"/>
        </w:rPr>
        <w:t xml:space="preserve"> = </w:t>
      </w:r>
      <w:r w:rsidRPr="0049564D">
        <w:rPr>
          <w:rFonts w:ascii="Book Antiqua" w:eastAsia="Book Antiqua" w:hAnsi="Book Antiqua" w:cs="Book Antiqua"/>
          <w:sz w:val="24"/>
          <w:szCs w:val="24"/>
        </w:rPr>
        <w:t>0.034)</w:t>
      </w:r>
      <w:r w:rsidR="00047B4A" w:rsidRPr="0049564D">
        <w:rPr>
          <w:rFonts w:ascii="Book Antiqua" w:eastAsia="Book Antiqua" w:hAnsi="Book Antiqua" w:cs="Book Antiqua"/>
          <w:sz w:val="24"/>
          <w:szCs w:val="24"/>
        </w:rPr>
        <w:t>;</w:t>
      </w:r>
      <w:r w:rsidRPr="0049564D">
        <w:rPr>
          <w:rFonts w:ascii="Book Antiqua" w:eastAsia="Book Antiqua" w:hAnsi="Book Antiqua" w:cs="Book Antiqua"/>
          <w:sz w:val="24"/>
          <w:szCs w:val="24"/>
        </w:rPr>
        <w:t xml:space="preserve"> D</w:t>
      </w:r>
      <w:r w:rsidR="00047B4A" w:rsidRPr="0049564D">
        <w:rPr>
          <w:rFonts w:ascii="Book Antiqua" w:eastAsia="Book Antiqua" w:hAnsi="Book Antiqua" w:cs="Book Antiqua"/>
          <w:sz w:val="24"/>
          <w:szCs w:val="24"/>
        </w:rPr>
        <w:t>:</w:t>
      </w:r>
      <w:r w:rsidRPr="0049564D">
        <w:rPr>
          <w:rFonts w:ascii="Book Antiqua" w:eastAsia="Book Antiqua" w:hAnsi="Book Antiqua" w:cs="Book Antiqua"/>
          <w:sz w:val="24"/>
          <w:szCs w:val="24"/>
        </w:rPr>
        <w:t xml:space="preserve"> </w:t>
      </w:r>
      <w:r w:rsidR="00047B4A" w:rsidRPr="0049564D">
        <w:rPr>
          <w:rFonts w:ascii="Book Antiqua" w:eastAsia="Book Antiqua" w:hAnsi="Book Antiqua" w:cs="Book Antiqua"/>
          <w:sz w:val="24"/>
          <w:szCs w:val="24"/>
        </w:rPr>
        <w:t>M</w:t>
      </w:r>
      <w:r w:rsidRPr="0049564D">
        <w:rPr>
          <w:rFonts w:ascii="Book Antiqua" w:eastAsia="Book Antiqua" w:hAnsi="Book Antiqua" w:cs="Book Antiqua"/>
          <w:sz w:val="24"/>
          <w:szCs w:val="24"/>
        </w:rPr>
        <w:t>odified Glasgow prognostic score (</w:t>
      </w:r>
      <w:r w:rsidRPr="0049564D">
        <w:rPr>
          <w:rFonts w:ascii="Book Antiqua" w:eastAsia="Book Antiqua" w:hAnsi="Book Antiqua" w:cs="Book Antiqua"/>
          <w:i/>
          <w:iCs/>
          <w:sz w:val="24"/>
          <w:szCs w:val="24"/>
        </w:rPr>
        <w:t>P</w:t>
      </w:r>
      <w:r w:rsidRPr="0049564D">
        <w:rPr>
          <w:rFonts w:ascii="Book Antiqua" w:eastAsia="Book Antiqua" w:hAnsi="Book Antiqua" w:cs="Book Antiqua"/>
          <w:sz w:val="24"/>
          <w:szCs w:val="24"/>
        </w:rPr>
        <w:t xml:space="preserve"> &lt; 0.0001)</w:t>
      </w:r>
      <w:r w:rsidR="00047B4A" w:rsidRPr="0049564D">
        <w:rPr>
          <w:rFonts w:ascii="Book Antiqua" w:eastAsia="Book Antiqua" w:hAnsi="Book Antiqua" w:cs="Book Antiqua"/>
          <w:sz w:val="24"/>
          <w:szCs w:val="24"/>
        </w:rPr>
        <w:t>;</w:t>
      </w:r>
      <w:r w:rsidRPr="0049564D">
        <w:rPr>
          <w:rFonts w:ascii="Book Antiqua" w:eastAsia="Book Antiqua" w:hAnsi="Book Antiqua" w:cs="Book Antiqua"/>
          <w:sz w:val="24"/>
          <w:szCs w:val="24"/>
        </w:rPr>
        <w:t xml:space="preserve"> E</w:t>
      </w:r>
      <w:r w:rsidR="00047B4A" w:rsidRPr="0049564D">
        <w:rPr>
          <w:rFonts w:ascii="Book Antiqua" w:eastAsia="Book Antiqua" w:hAnsi="Book Antiqua" w:cs="Book Antiqua"/>
          <w:sz w:val="24"/>
          <w:szCs w:val="24"/>
        </w:rPr>
        <w:t>:</w:t>
      </w:r>
      <w:r w:rsidRPr="0049564D">
        <w:rPr>
          <w:rFonts w:ascii="Book Antiqua" w:eastAsia="Book Antiqua" w:hAnsi="Book Antiqua" w:cs="Book Antiqua"/>
          <w:sz w:val="24"/>
          <w:szCs w:val="24"/>
        </w:rPr>
        <w:t xml:space="preserve"> </w:t>
      </w:r>
      <w:r w:rsidR="00047B4A" w:rsidRPr="0049564D">
        <w:rPr>
          <w:rFonts w:ascii="Book Antiqua" w:eastAsia="Book Antiqua" w:hAnsi="Book Antiqua" w:cs="Book Antiqua"/>
          <w:sz w:val="24"/>
          <w:szCs w:val="24"/>
        </w:rPr>
        <w:t>T</w:t>
      </w:r>
      <w:r w:rsidRPr="0049564D">
        <w:rPr>
          <w:rFonts w:ascii="Book Antiqua" w:eastAsia="Book Antiqua" w:hAnsi="Book Antiqua" w:cs="Book Antiqua"/>
          <w:sz w:val="24"/>
          <w:szCs w:val="24"/>
        </w:rPr>
        <w:t>ype of operation (</w:t>
      </w:r>
      <w:r w:rsidRPr="0049564D">
        <w:rPr>
          <w:rFonts w:ascii="Book Antiqua" w:eastAsia="Book Antiqua" w:hAnsi="Book Antiqua" w:cs="Book Antiqua"/>
          <w:i/>
          <w:iCs/>
          <w:sz w:val="24"/>
          <w:szCs w:val="24"/>
        </w:rPr>
        <w:t>P</w:t>
      </w:r>
      <w:r w:rsidRPr="0049564D">
        <w:rPr>
          <w:rFonts w:ascii="Book Antiqua" w:eastAsia="Book Antiqua" w:hAnsi="Book Antiqua" w:cs="Book Antiqua"/>
          <w:sz w:val="24"/>
          <w:szCs w:val="24"/>
        </w:rPr>
        <w:t xml:space="preserve"> &lt; 0.0001).</w:t>
      </w:r>
      <w:r w:rsidR="0010633C" w:rsidRPr="0049564D">
        <w:rPr>
          <w:rFonts w:ascii="Book Antiqua" w:hAnsi="Book Antiqua"/>
          <w:sz w:val="24"/>
          <w:szCs w:val="24"/>
        </w:rPr>
        <w:t xml:space="preserve"> CA19-9: Carbohydrate antigen 19-9; CEA: Carcinoembryonic antigen; NLR: Neutrophil-lymphocyte ratio; mGPS:</w:t>
      </w:r>
      <w:r w:rsidR="0010633C" w:rsidRPr="0049564D">
        <w:rPr>
          <w:rFonts w:ascii="Book Antiqua" w:eastAsia="Book Antiqua" w:hAnsi="Book Antiqua" w:cs="Book Antiqua"/>
          <w:sz w:val="24"/>
          <w:szCs w:val="24"/>
        </w:rPr>
        <w:t xml:space="preserve"> Modified Glasgow prognostic score.</w:t>
      </w:r>
    </w:p>
    <w:p w14:paraId="4BA2FFB0" w14:textId="769686CB" w:rsidR="00047B4A" w:rsidRPr="0049564D" w:rsidRDefault="00047B4A" w:rsidP="00B24044">
      <w:pPr>
        <w:adjustRightInd w:val="0"/>
        <w:snapToGrid w:val="0"/>
        <w:spacing w:line="360" w:lineRule="auto"/>
        <w:jc w:val="both"/>
        <w:rPr>
          <w:rFonts w:ascii="Book Antiqua" w:hAnsi="Book Antiqua"/>
        </w:rPr>
      </w:pPr>
      <w:r w:rsidRPr="0049564D">
        <w:rPr>
          <w:rFonts w:ascii="Book Antiqua" w:hAnsi="Book Antiqua"/>
        </w:rPr>
        <w:br w:type="page"/>
      </w:r>
      <w:r w:rsidRPr="0049564D">
        <w:rPr>
          <w:rFonts w:ascii="Book Antiqua" w:eastAsia="Yu Gothic" w:hAnsi="Book Antiqua"/>
          <w:b/>
        </w:rPr>
        <w:lastRenderedPageBreak/>
        <w:t>Table 1</w:t>
      </w:r>
      <w:r w:rsidRPr="0049564D">
        <w:rPr>
          <w:rFonts w:ascii="Book Antiqua" w:eastAsia="Yu Gothic" w:hAnsi="Book Antiqua"/>
        </w:rPr>
        <w:t xml:space="preserve"> </w:t>
      </w:r>
      <w:r w:rsidRPr="0049564D">
        <w:rPr>
          <w:rFonts w:ascii="Book Antiqua" w:eastAsia="Yu Gothic" w:hAnsi="Book Antiqua"/>
          <w:b/>
        </w:rPr>
        <w:t>Patients' demographics</w:t>
      </w:r>
    </w:p>
    <w:tbl>
      <w:tblPr>
        <w:tblW w:w="9356" w:type="dxa"/>
        <w:tblInd w:w="9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721"/>
        <w:gridCol w:w="1701"/>
        <w:gridCol w:w="1782"/>
        <w:gridCol w:w="1152"/>
      </w:tblGrid>
      <w:tr w:rsidR="0062767C" w:rsidRPr="0049564D" w14:paraId="596A21C0" w14:textId="77777777" w:rsidTr="00441343">
        <w:trPr>
          <w:trHeight w:val="318"/>
        </w:trPr>
        <w:tc>
          <w:tcPr>
            <w:tcW w:w="4721" w:type="dxa"/>
            <w:tcBorders>
              <w:bottom w:val="nil"/>
            </w:tcBorders>
            <w:shd w:val="clear" w:color="auto" w:fill="auto"/>
            <w:noWrap/>
            <w:vAlign w:val="center"/>
            <w:hideMark/>
          </w:tcPr>
          <w:p w14:paraId="1F083D44" w14:textId="77777777" w:rsidR="00047B4A" w:rsidRPr="0049564D" w:rsidRDefault="00047B4A"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rPr>
              <w:t xml:space="preserve">　</w:t>
            </w:r>
          </w:p>
        </w:tc>
        <w:tc>
          <w:tcPr>
            <w:tcW w:w="3483" w:type="dxa"/>
            <w:gridSpan w:val="2"/>
            <w:tcBorders>
              <w:bottom w:val="single" w:sz="4" w:space="0" w:color="auto"/>
            </w:tcBorders>
            <w:shd w:val="clear" w:color="auto" w:fill="auto"/>
            <w:noWrap/>
            <w:vAlign w:val="center"/>
            <w:hideMark/>
          </w:tcPr>
          <w:p w14:paraId="1A231F2A" w14:textId="77777777" w:rsidR="00047B4A" w:rsidRPr="0049564D" w:rsidRDefault="00047B4A"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rPr>
              <w:t>Type of operations</w:t>
            </w:r>
          </w:p>
        </w:tc>
        <w:tc>
          <w:tcPr>
            <w:tcW w:w="1152" w:type="dxa"/>
            <w:tcBorders>
              <w:bottom w:val="nil"/>
            </w:tcBorders>
            <w:shd w:val="clear" w:color="auto" w:fill="auto"/>
            <w:noWrap/>
            <w:vAlign w:val="center"/>
            <w:hideMark/>
          </w:tcPr>
          <w:p w14:paraId="506F5058" w14:textId="77777777" w:rsidR="00047B4A" w:rsidRPr="0049564D" w:rsidRDefault="00047B4A"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rPr>
              <w:t xml:space="preserve">　</w:t>
            </w:r>
          </w:p>
        </w:tc>
      </w:tr>
      <w:tr w:rsidR="0062767C" w:rsidRPr="0049564D" w14:paraId="239391BA" w14:textId="77777777" w:rsidTr="00441343">
        <w:trPr>
          <w:trHeight w:val="338"/>
        </w:trPr>
        <w:tc>
          <w:tcPr>
            <w:tcW w:w="4721" w:type="dxa"/>
            <w:tcBorders>
              <w:top w:val="nil"/>
              <w:bottom w:val="single" w:sz="4" w:space="0" w:color="auto"/>
            </w:tcBorders>
            <w:shd w:val="clear" w:color="auto" w:fill="auto"/>
            <w:noWrap/>
            <w:vAlign w:val="center"/>
            <w:hideMark/>
          </w:tcPr>
          <w:p w14:paraId="579D9E29" w14:textId="77777777" w:rsidR="00047B4A" w:rsidRPr="0049564D" w:rsidRDefault="00047B4A"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rPr>
              <w:t>Characteristics</w:t>
            </w:r>
          </w:p>
        </w:tc>
        <w:tc>
          <w:tcPr>
            <w:tcW w:w="1701" w:type="dxa"/>
            <w:tcBorders>
              <w:top w:val="single" w:sz="4" w:space="0" w:color="auto"/>
              <w:bottom w:val="single" w:sz="4" w:space="0" w:color="auto"/>
            </w:tcBorders>
            <w:shd w:val="clear" w:color="auto" w:fill="auto"/>
            <w:noWrap/>
            <w:vAlign w:val="center"/>
            <w:hideMark/>
          </w:tcPr>
          <w:p w14:paraId="54C97BCF" w14:textId="1BCB5E39" w:rsidR="00047B4A" w:rsidRPr="0049564D" w:rsidRDefault="00047B4A"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rPr>
              <w:t>EL (</w:t>
            </w:r>
            <w:r w:rsidRPr="0049564D">
              <w:rPr>
                <w:rFonts w:ascii="Book Antiqua" w:eastAsia="Yu Gothic" w:hAnsi="Book Antiqua"/>
                <w:b/>
                <w:bCs/>
                <w:i/>
                <w:iCs/>
              </w:rPr>
              <w:t xml:space="preserve">n </w:t>
            </w:r>
            <w:r w:rsidRPr="0049564D">
              <w:rPr>
                <w:rFonts w:ascii="Book Antiqua" w:eastAsia="Yu Gothic" w:hAnsi="Book Antiqua"/>
                <w:b/>
                <w:bCs/>
                <w:iCs/>
              </w:rPr>
              <w:t>=</w:t>
            </w:r>
            <w:r w:rsidRPr="0049564D">
              <w:rPr>
                <w:rFonts w:ascii="Book Antiqua" w:eastAsia="Yu Gothic" w:hAnsi="Book Antiqua"/>
                <w:b/>
                <w:bCs/>
              </w:rPr>
              <w:t xml:space="preserve"> 26)</w:t>
            </w:r>
          </w:p>
        </w:tc>
        <w:tc>
          <w:tcPr>
            <w:tcW w:w="1782" w:type="dxa"/>
            <w:tcBorders>
              <w:top w:val="single" w:sz="4" w:space="0" w:color="auto"/>
              <w:bottom w:val="single" w:sz="4" w:space="0" w:color="auto"/>
            </w:tcBorders>
            <w:shd w:val="clear" w:color="auto" w:fill="auto"/>
            <w:noWrap/>
            <w:vAlign w:val="center"/>
            <w:hideMark/>
          </w:tcPr>
          <w:p w14:paraId="509FAA23" w14:textId="357EE94D" w:rsidR="00047B4A" w:rsidRPr="0049564D" w:rsidRDefault="00047B4A"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rPr>
              <w:t>R (</w:t>
            </w:r>
            <w:r w:rsidRPr="0049564D">
              <w:rPr>
                <w:rFonts w:ascii="Book Antiqua" w:eastAsia="Yu Gothic" w:hAnsi="Book Antiqua"/>
                <w:b/>
                <w:bCs/>
                <w:i/>
                <w:iCs/>
              </w:rPr>
              <w:t xml:space="preserve">n </w:t>
            </w:r>
            <w:r w:rsidRPr="0049564D">
              <w:rPr>
                <w:rFonts w:ascii="Book Antiqua" w:eastAsia="Yu Gothic" w:hAnsi="Book Antiqua"/>
                <w:b/>
                <w:bCs/>
                <w:iCs/>
              </w:rPr>
              <w:t>=</w:t>
            </w:r>
            <w:r w:rsidRPr="0049564D">
              <w:rPr>
                <w:rFonts w:ascii="Book Antiqua" w:eastAsia="Yu Gothic" w:hAnsi="Book Antiqua"/>
                <w:b/>
                <w:bCs/>
              </w:rPr>
              <w:t xml:space="preserve"> 210)</w:t>
            </w:r>
          </w:p>
        </w:tc>
        <w:tc>
          <w:tcPr>
            <w:tcW w:w="1152" w:type="dxa"/>
            <w:tcBorders>
              <w:top w:val="nil"/>
              <w:bottom w:val="single" w:sz="4" w:space="0" w:color="auto"/>
            </w:tcBorders>
            <w:shd w:val="clear" w:color="auto" w:fill="auto"/>
            <w:noWrap/>
            <w:vAlign w:val="center"/>
            <w:hideMark/>
          </w:tcPr>
          <w:p w14:paraId="184ED6CF" w14:textId="18F6780E" w:rsidR="00047B4A" w:rsidRPr="0049564D" w:rsidRDefault="00047B4A"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i/>
                <w:iCs/>
              </w:rPr>
              <w:t>P</w:t>
            </w:r>
            <w:r w:rsidRPr="0049564D">
              <w:rPr>
                <w:rFonts w:ascii="Book Antiqua" w:eastAsia="Yu Gothic" w:hAnsi="Book Antiqua"/>
                <w:b/>
                <w:bCs/>
              </w:rPr>
              <w:t xml:space="preserve"> value</w:t>
            </w:r>
          </w:p>
        </w:tc>
      </w:tr>
      <w:tr w:rsidR="0062767C" w:rsidRPr="0049564D" w14:paraId="235F0C2C" w14:textId="77777777" w:rsidTr="00406D43">
        <w:trPr>
          <w:trHeight w:val="318"/>
        </w:trPr>
        <w:tc>
          <w:tcPr>
            <w:tcW w:w="4721" w:type="dxa"/>
            <w:tcBorders>
              <w:top w:val="single" w:sz="4" w:space="0" w:color="auto"/>
            </w:tcBorders>
            <w:shd w:val="clear" w:color="auto" w:fill="auto"/>
            <w:noWrap/>
            <w:vAlign w:val="center"/>
            <w:hideMark/>
          </w:tcPr>
          <w:p w14:paraId="6F4A4DD5" w14:textId="1E2C72D5"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Age, y</w:t>
            </w:r>
            <w:r w:rsidRPr="0049564D">
              <w:rPr>
                <w:rFonts w:ascii="Book Antiqua" w:eastAsia="Yu Gothic" w:hAnsi="Book Antiqua"/>
                <w:vertAlign w:val="superscript"/>
              </w:rPr>
              <w:t>1</w:t>
            </w:r>
          </w:p>
        </w:tc>
        <w:tc>
          <w:tcPr>
            <w:tcW w:w="1701" w:type="dxa"/>
            <w:tcBorders>
              <w:top w:val="single" w:sz="4" w:space="0" w:color="auto"/>
            </w:tcBorders>
            <w:shd w:val="clear" w:color="auto" w:fill="auto"/>
            <w:noWrap/>
            <w:vAlign w:val="center"/>
            <w:hideMark/>
          </w:tcPr>
          <w:p w14:paraId="1098C63D"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69 (55-83)</w:t>
            </w:r>
          </w:p>
        </w:tc>
        <w:tc>
          <w:tcPr>
            <w:tcW w:w="1782" w:type="dxa"/>
            <w:tcBorders>
              <w:top w:val="single" w:sz="4" w:space="0" w:color="auto"/>
            </w:tcBorders>
            <w:shd w:val="clear" w:color="auto" w:fill="auto"/>
            <w:noWrap/>
            <w:vAlign w:val="center"/>
            <w:hideMark/>
          </w:tcPr>
          <w:p w14:paraId="4FF9CE54"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70 (25-89)</w:t>
            </w:r>
          </w:p>
        </w:tc>
        <w:tc>
          <w:tcPr>
            <w:tcW w:w="1152" w:type="dxa"/>
            <w:tcBorders>
              <w:top w:val="single" w:sz="4" w:space="0" w:color="auto"/>
            </w:tcBorders>
            <w:shd w:val="clear" w:color="auto" w:fill="auto"/>
            <w:noWrap/>
            <w:vAlign w:val="center"/>
            <w:hideMark/>
          </w:tcPr>
          <w:p w14:paraId="3D6D40E3"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0.57</w:t>
            </w:r>
          </w:p>
        </w:tc>
      </w:tr>
      <w:tr w:rsidR="0062767C" w:rsidRPr="0049564D" w14:paraId="6D050BDB" w14:textId="77777777" w:rsidTr="00406D43">
        <w:trPr>
          <w:trHeight w:val="318"/>
        </w:trPr>
        <w:tc>
          <w:tcPr>
            <w:tcW w:w="4721" w:type="dxa"/>
            <w:shd w:val="clear" w:color="auto" w:fill="auto"/>
            <w:noWrap/>
            <w:vAlign w:val="center"/>
            <w:hideMark/>
          </w:tcPr>
          <w:p w14:paraId="1062C74F"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Sex (male / female)</w:t>
            </w:r>
          </w:p>
        </w:tc>
        <w:tc>
          <w:tcPr>
            <w:tcW w:w="1701" w:type="dxa"/>
            <w:shd w:val="clear" w:color="auto" w:fill="auto"/>
            <w:noWrap/>
            <w:vAlign w:val="center"/>
            <w:hideMark/>
          </w:tcPr>
          <w:p w14:paraId="3884D494" w14:textId="36B04898"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12/14</w:t>
            </w:r>
          </w:p>
        </w:tc>
        <w:tc>
          <w:tcPr>
            <w:tcW w:w="1782" w:type="dxa"/>
            <w:shd w:val="clear" w:color="auto" w:fill="auto"/>
            <w:noWrap/>
            <w:vAlign w:val="center"/>
            <w:hideMark/>
          </w:tcPr>
          <w:p w14:paraId="5ADBF20E" w14:textId="721A6A61"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122/88</w:t>
            </w:r>
          </w:p>
        </w:tc>
        <w:tc>
          <w:tcPr>
            <w:tcW w:w="1152" w:type="dxa"/>
            <w:shd w:val="clear" w:color="auto" w:fill="auto"/>
            <w:noWrap/>
            <w:vAlign w:val="center"/>
            <w:hideMark/>
          </w:tcPr>
          <w:p w14:paraId="42E1D715"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0.29</w:t>
            </w:r>
          </w:p>
        </w:tc>
      </w:tr>
      <w:tr w:rsidR="0062767C" w:rsidRPr="0049564D" w14:paraId="4BC3596F" w14:textId="77777777" w:rsidTr="00406D43">
        <w:trPr>
          <w:trHeight w:val="318"/>
        </w:trPr>
        <w:tc>
          <w:tcPr>
            <w:tcW w:w="4721" w:type="dxa"/>
            <w:shd w:val="clear" w:color="auto" w:fill="auto"/>
            <w:noWrap/>
            <w:vAlign w:val="center"/>
            <w:hideMark/>
          </w:tcPr>
          <w:p w14:paraId="75A4B87B" w14:textId="477D2BD5"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BMI (kg/m</w:t>
            </w:r>
            <w:r w:rsidRPr="0049564D">
              <w:rPr>
                <w:rFonts w:ascii="Book Antiqua" w:eastAsia="Yu Gothic" w:hAnsi="Book Antiqua"/>
                <w:vertAlign w:val="superscript"/>
              </w:rPr>
              <w:t>2</w:t>
            </w:r>
            <w:r w:rsidRPr="0049564D">
              <w:rPr>
                <w:rFonts w:ascii="Book Antiqua" w:eastAsia="Yu Gothic" w:hAnsi="Book Antiqua"/>
              </w:rPr>
              <w:t>)</w:t>
            </w:r>
            <w:r w:rsidR="00406D43" w:rsidRPr="0049564D">
              <w:rPr>
                <w:rFonts w:ascii="Book Antiqua" w:eastAsia="Yu Gothic" w:hAnsi="Book Antiqua"/>
                <w:vertAlign w:val="superscript"/>
              </w:rPr>
              <w:t>1</w:t>
            </w:r>
          </w:p>
        </w:tc>
        <w:tc>
          <w:tcPr>
            <w:tcW w:w="1701" w:type="dxa"/>
            <w:shd w:val="clear" w:color="auto" w:fill="auto"/>
            <w:noWrap/>
            <w:vAlign w:val="center"/>
            <w:hideMark/>
          </w:tcPr>
          <w:p w14:paraId="4B46447D"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21.8 (18-31.6)</w:t>
            </w:r>
          </w:p>
        </w:tc>
        <w:tc>
          <w:tcPr>
            <w:tcW w:w="1782" w:type="dxa"/>
            <w:shd w:val="clear" w:color="auto" w:fill="auto"/>
            <w:noWrap/>
            <w:vAlign w:val="center"/>
            <w:hideMark/>
          </w:tcPr>
          <w:p w14:paraId="61BE4859"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21.8 (15.6-40.1)</w:t>
            </w:r>
          </w:p>
        </w:tc>
        <w:tc>
          <w:tcPr>
            <w:tcW w:w="1152" w:type="dxa"/>
            <w:shd w:val="clear" w:color="auto" w:fill="auto"/>
            <w:noWrap/>
            <w:vAlign w:val="center"/>
            <w:hideMark/>
          </w:tcPr>
          <w:p w14:paraId="5BEA6F79"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0.98</w:t>
            </w:r>
          </w:p>
        </w:tc>
      </w:tr>
      <w:tr w:rsidR="0062767C" w:rsidRPr="0049564D" w14:paraId="72709451" w14:textId="77777777" w:rsidTr="00406D43">
        <w:trPr>
          <w:trHeight w:val="318"/>
        </w:trPr>
        <w:tc>
          <w:tcPr>
            <w:tcW w:w="4721" w:type="dxa"/>
            <w:shd w:val="clear" w:color="auto" w:fill="auto"/>
            <w:noWrap/>
            <w:vAlign w:val="center"/>
            <w:hideMark/>
          </w:tcPr>
          <w:p w14:paraId="204AE76B"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Location of the tumor, n</w:t>
            </w:r>
          </w:p>
        </w:tc>
        <w:tc>
          <w:tcPr>
            <w:tcW w:w="1701" w:type="dxa"/>
            <w:shd w:val="clear" w:color="auto" w:fill="auto"/>
            <w:noWrap/>
            <w:vAlign w:val="center"/>
            <w:hideMark/>
          </w:tcPr>
          <w:p w14:paraId="749CC384" w14:textId="77777777" w:rsidR="00047B4A" w:rsidRPr="0049564D" w:rsidRDefault="00047B4A" w:rsidP="00B24044">
            <w:pPr>
              <w:adjustRightInd w:val="0"/>
              <w:snapToGrid w:val="0"/>
              <w:spacing w:line="360" w:lineRule="auto"/>
              <w:jc w:val="both"/>
              <w:rPr>
                <w:rFonts w:ascii="Book Antiqua" w:eastAsia="Yu Gothic" w:hAnsi="Book Antiqua"/>
              </w:rPr>
            </w:pPr>
          </w:p>
        </w:tc>
        <w:tc>
          <w:tcPr>
            <w:tcW w:w="1782" w:type="dxa"/>
            <w:shd w:val="clear" w:color="auto" w:fill="auto"/>
            <w:noWrap/>
            <w:vAlign w:val="center"/>
            <w:hideMark/>
          </w:tcPr>
          <w:p w14:paraId="3D05A261" w14:textId="77777777" w:rsidR="00047B4A" w:rsidRPr="0049564D" w:rsidRDefault="00047B4A" w:rsidP="00B24044">
            <w:pPr>
              <w:adjustRightInd w:val="0"/>
              <w:snapToGrid w:val="0"/>
              <w:spacing w:line="360" w:lineRule="auto"/>
              <w:jc w:val="both"/>
              <w:rPr>
                <w:rFonts w:ascii="Book Antiqua" w:eastAsia="Times New Roman" w:hAnsi="Book Antiqua"/>
              </w:rPr>
            </w:pPr>
          </w:p>
        </w:tc>
        <w:tc>
          <w:tcPr>
            <w:tcW w:w="1152" w:type="dxa"/>
            <w:shd w:val="clear" w:color="auto" w:fill="auto"/>
            <w:noWrap/>
            <w:vAlign w:val="center"/>
            <w:hideMark/>
          </w:tcPr>
          <w:p w14:paraId="1C332DCB" w14:textId="77777777" w:rsidR="00047B4A" w:rsidRPr="0049564D" w:rsidRDefault="00047B4A" w:rsidP="00B24044">
            <w:pPr>
              <w:adjustRightInd w:val="0"/>
              <w:snapToGrid w:val="0"/>
              <w:spacing w:line="360" w:lineRule="auto"/>
              <w:jc w:val="both"/>
              <w:rPr>
                <w:rFonts w:ascii="Book Antiqua" w:eastAsia="Times New Roman" w:hAnsi="Book Antiqua"/>
              </w:rPr>
            </w:pPr>
          </w:p>
        </w:tc>
      </w:tr>
      <w:tr w:rsidR="0062767C" w:rsidRPr="0049564D" w14:paraId="289B6FE5" w14:textId="77777777" w:rsidTr="00406D43">
        <w:trPr>
          <w:trHeight w:val="318"/>
        </w:trPr>
        <w:tc>
          <w:tcPr>
            <w:tcW w:w="4721" w:type="dxa"/>
            <w:shd w:val="clear" w:color="auto" w:fill="auto"/>
            <w:vAlign w:val="center"/>
            <w:hideMark/>
          </w:tcPr>
          <w:p w14:paraId="63F6E3E1" w14:textId="6AD68729"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 xml:space="preserve"> Intrahepatic bile duct (</w:t>
            </w:r>
            <w:r w:rsidRPr="0049564D">
              <w:rPr>
                <w:rFonts w:ascii="Book Antiqua" w:eastAsia="Yu Gothic" w:hAnsi="Book Antiqua"/>
                <w:i/>
              </w:rPr>
              <w:t xml:space="preserve">n </w:t>
            </w:r>
            <w:r w:rsidRPr="0049564D">
              <w:rPr>
                <w:rFonts w:ascii="Book Antiqua" w:eastAsia="Yu Gothic" w:hAnsi="Book Antiqua"/>
              </w:rPr>
              <w:t>= 39)</w:t>
            </w:r>
          </w:p>
        </w:tc>
        <w:tc>
          <w:tcPr>
            <w:tcW w:w="1701" w:type="dxa"/>
            <w:shd w:val="clear" w:color="auto" w:fill="auto"/>
            <w:vAlign w:val="center"/>
            <w:hideMark/>
          </w:tcPr>
          <w:p w14:paraId="119123B4"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6</w:t>
            </w:r>
          </w:p>
        </w:tc>
        <w:tc>
          <w:tcPr>
            <w:tcW w:w="1782" w:type="dxa"/>
            <w:shd w:val="clear" w:color="auto" w:fill="auto"/>
            <w:vAlign w:val="center"/>
            <w:hideMark/>
          </w:tcPr>
          <w:p w14:paraId="081378A0"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33</w:t>
            </w:r>
          </w:p>
        </w:tc>
        <w:tc>
          <w:tcPr>
            <w:tcW w:w="1152" w:type="dxa"/>
            <w:shd w:val="clear" w:color="auto" w:fill="auto"/>
            <w:vAlign w:val="center"/>
            <w:hideMark/>
          </w:tcPr>
          <w:p w14:paraId="6E07497F" w14:textId="77777777" w:rsidR="00047B4A" w:rsidRPr="0049564D" w:rsidRDefault="00047B4A" w:rsidP="00B24044">
            <w:pPr>
              <w:adjustRightInd w:val="0"/>
              <w:snapToGrid w:val="0"/>
              <w:spacing w:line="360" w:lineRule="auto"/>
              <w:jc w:val="both"/>
              <w:rPr>
                <w:rFonts w:ascii="Book Antiqua" w:eastAsia="Yu Gothic" w:hAnsi="Book Antiqua"/>
              </w:rPr>
            </w:pPr>
          </w:p>
        </w:tc>
      </w:tr>
      <w:tr w:rsidR="0062767C" w:rsidRPr="0049564D" w14:paraId="1E205EB5" w14:textId="77777777" w:rsidTr="00406D43">
        <w:trPr>
          <w:trHeight w:val="318"/>
        </w:trPr>
        <w:tc>
          <w:tcPr>
            <w:tcW w:w="4721" w:type="dxa"/>
            <w:shd w:val="clear" w:color="auto" w:fill="auto"/>
            <w:noWrap/>
            <w:vAlign w:val="center"/>
            <w:hideMark/>
          </w:tcPr>
          <w:p w14:paraId="6E206740" w14:textId="4295E3BF"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 xml:space="preserve"> Perihilar bile duct (</w:t>
            </w:r>
            <w:r w:rsidRPr="0049564D">
              <w:rPr>
                <w:rFonts w:ascii="Book Antiqua" w:eastAsia="Yu Gothic" w:hAnsi="Book Antiqua"/>
                <w:i/>
              </w:rPr>
              <w:t xml:space="preserve">n </w:t>
            </w:r>
            <w:r w:rsidRPr="0049564D">
              <w:rPr>
                <w:rFonts w:ascii="Book Antiqua" w:eastAsia="Yu Gothic" w:hAnsi="Book Antiqua"/>
              </w:rPr>
              <w:t>= 55)</w:t>
            </w:r>
          </w:p>
        </w:tc>
        <w:tc>
          <w:tcPr>
            <w:tcW w:w="1701" w:type="dxa"/>
            <w:shd w:val="clear" w:color="auto" w:fill="auto"/>
            <w:noWrap/>
            <w:vAlign w:val="center"/>
            <w:hideMark/>
          </w:tcPr>
          <w:p w14:paraId="6C25F1E4"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3</w:t>
            </w:r>
          </w:p>
        </w:tc>
        <w:tc>
          <w:tcPr>
            <w:tcW w:w="1782" w:type="dxa"/>
            <w:shd w:val="clear" w:color="auto" w:fill="auto"/>
            <w:noWrap/>
            <w:vAlign w:val="center"/>
            <w:hideMark/>
          </w:tcPr>
          <w:p w14:paraId="06BDAA8C"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52</w:t>
            </w:r>
          </w:p>
        </w:tc>
        <w:tc>
          <w:tcPr>
            <w:tcW w:w="1152" w:type="dxa"/>
            <w:shd w:val="clear" w:color="auto" w:fill="auto"/>
            <w:noWrap/>
            <w:vAlign w:val="center"/>
            <w:hideMark/>
          </w:tcPr>
          <w:p w14:paraId="354473EF" w14:textId="77777777" w:rsidR="00047B4A" w:rsidRPr="0049564D" w:rsidRDefault="00047B4A" w:rsidP="00B24044">
            <w:pPr>
              <w:adjustRightInd w:val="0"/>
              <w:snapToGrid w:val="0"/>
              <w:spacing w:line="360" w:lineRule="auto"/>
              <w:jc w:val="both"/>
              <w:rPr>
                <w:rFonts w:ascii="Book Antiqua" w:eastAsia="Yu Gothic" w:hAnsi="Book Antiqua"/>
              </w:rPr>
            </w:pPr>
          </w:p>
        </w:tc>
      </w:tr>
      <w:tr w:rsidR="0062767C" w:rsidRPr="0049564D" w14:paraId="7359E80E" w14:textId="77777777" w:rsidTr="00406D43">
        <w:trPr>
          <w:trHeight w:val="318"/>
        </w:trPr>
        <w:tc>
          <w:tcPr>
            <w:tcW w:w="4721" w:type="dxa"/>
            <w:shd w:val="clear" w:color="auto" w:fill="auto"/>
            <w:noWrap/>
            <w:vAlign w:val="center"/>
            <w:hideMark/>
          </w:tcPr>
          <w:p w14:paraId="5ADE1926" w14:textId="6F62873B"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 xml:space="preserve"> Distal bile duct (</w:t>
            </w:r>
            <w:r w:rsidRPr="0049564D">
              <w:rPr>
                <w:rFonts w:ascii="Book Antiqua" w:eastAsia="Yu Gothic" w:hAnsi="Book Antiqua"/>
                <w:i/>
              </w:rPr>
              <w:t xml:space="preserve">n </w:t>
            </w:r>
            <w:r w:rsidRPr="0049564D">
              <w:rPr>
                <w:rFonts w:ascii="Book Antiqua" w:eastAsia="Yu Gothic" w:hAnsi="Book Antiqua"/>
              </w:rPr>
              <w:t>= 55)</w:t>
            </w:r>
          </w:p>
        </w:tc>
        <w:tc>
          <w:tcPr>
            <w:tcW w:w="1701" w:type="dxa"/>
            <w:shd w:val="clear" w:color="auto" w:fill="auto"/>
            <w:noWrap/>
            <w:vAlign w:val="center"/>
            <w:hideMark/>
          </w:tcPr>
          <w:p w14:paraId="1577A704"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8</w:t>
            </w:r>
          </w:p>
        </w:tc>
        <w:tc>
          <w:tcPr>
            <w:tcW w:w="1782" w:type="dxa"/>
            <w:shd w:val="clear" w:color="auto" w:fill="auto"/>
            <w:noWrap/>
            <w:vAlign w:val="center"/>
            <w:hideMark/>
          </w:tcPr>
          <w:p w14:paraId="2A4F009F"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47</w:t>
            </w:r>
          </w:p>
        </w:tc>
        <w:tc>
          <w:tcPr>
            <w:tcW w:w="1152" w:type="dxa"/>
            <w:shd w:val="clear" w:color="auto" w:fill="auto"/>
            <w:noWrap/>
            <w:vAlign w:val="center"/>
            <w:hideMark/>
          </w:tcPr>
          <w:p w14:paraId="33D7A822" w14:textId="77777777" w:rsidR="00047B4A" w:rsidRPr="0049564D" w:rsidRDefault="00047B4A" w:rsidP="00B24044">
            <w:pPr>
              <w:adjustRightInd w:val="0"/>
              <w:snapToGrid w:val="0"/>
              <w:spacing w:line="360" w:lineRule="auto"/>
              <w:jc w:val="both"/>
              <w:rPr>
                <w:rFonts w:ascii="Book Antiqua" w:eastAsia="Yu Gothic" w:hAnsi="Book Antiqua"/>
              </w:rPr>
            </w:pPr>
          </w:p>
        </w:tc>
      </w:tr>
      <w:tr w:rsidR="0062767C" w:rsidRPr="0049564D" w14:paraId="49075102" w14:textId="77777777" w:rsidTr="00406D43">
        <w:trPr>
          <w:trHeight w:val="318"/>
        </w:trPr>
        <w:tc>
          <w:tcPr>
            <w:tcW w:w="4721" w:type="dxa"/>
            <w:shd w:val="clear" w:color="auto" w:fill="auto"/>
            <w:noWrap/>
            <w:vAlign w:val="center"/>
            <w:hideMark/>
          </w:tcPr>
          <w:p w14:paraId="5B285AC5" w14:textId="17BB1EEF"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 xml:space="preserve"> Gallbladder (</w:t>
            </w:r>
            <w:r w:rsidRPr="0049564D">
              <w:rPr>
                <w:rFonts w:ascii="Book Antiqua" w:eastAsia="Yu Gothic" w:hAnsi="Book Antiqua"/>
                <w:i/>
              </w:rPr>
              <w:t xml:space="preserve">n </w:t>
            </w:r>
            <w:r w:rsidRPr="0049564D">
              <w:rPr>
                <w:rFonts w:ascii="Book Antiqua" w:eastAsia="Yu Gothic" w:hAnsi="Book Antiqua"/>
              </w:rPr>
              <w:t>= 50)</w:t>
            </w:r>
          </w:p>
        </w:tc>
        <w:tc>
          <w:tcPr>
            <w:tcW w:w="1701" w:type="dxa"/>
            <w:shd w:val="clear" w:color="auto" w:fill="auto"/>
            <w:noWrap/>
            <w:vAlign w:val="center"/>
            <w:hideMark/>
          </w:tcPr>
          <w:p w14:paraId="362F10CF"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9</w:t>
            </w:r>
          </w:p>
        </w:tc>
        <w:tc>
          <w:tcPr>
            <w:tcW w:w="1782" w:type="dxa"/>
            <w:shd w:val="clear" w:color="auto" w:fill="auto"/>
            <w:noWrap/>
            <w:vAlign w:val="center"/>
            <w:hideMark/>
          </w:tcPr>
          <w:p w14:paraId="46A4957D"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41</w:t>
            </w:r>
          </w:p>
        </w:tc>
        <w:tc>
          <w:tcPr>
            <w:tcW w:w="1152" w:type="dxa"/>
            <w:shd w:val="clear" w:color="auto" w:fill="auto"/>
            <w:noWrap/>
            <w:vAlign w:val="center"/>
            <w:hideMark/>
          </w:tcPr>
          <w:p w14:paraId="3307B068" w14:textId="77777777" w:rsidR="00047B4A" w:rsidRPr="0049564D" w:rsidRDefault="00047B4A" w:rsidP="00B24044">
            <w:pPr>
              <w:adjustRightInd w:val="0"/>
              <w:snapToGrid w:val="0"/>
              <w:spacing w:line="360" w:lineRule="auto"/>
              <w:jc w:val="both"/>
              <w:rPr>
                <w:rFonts w:ascii="Book Antiqua" w:eastAsia="Yu Gothic" w:hAnsi="Book Antiqua"/>
              </w:rPr>
            </w:pPr>
          </w:p>
        </w:tc>
      </w:tr>
      <w:tr w:rsidR="0062767C" w:rsidRPr="0049564D" w14:paraId="1A954873" w14:textId="77777777" w:rsidTr="00406D43">
        <w:trPr>
          <w:trHeight w:val="318"/>
        </w:trPr>
        <w:tc>
          <w:tcPr>
            <w:tcW w:w="4721" w:type="dxa"/>
            <w:shd w:val="clear" w:color="auto" w:fill="auto"/>
            <w:noWrap/>
            <w:vAlign w:val="center"/>
            <w:hideMark/>
          </w:tcPr>
          <w:p w14:paraId="38BBA1A7" w14:textId="5761092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 xml:space="preserve"> Papilla of Vater (</w:t>
            </w:r>
            <w:r w:rsidRPr="0049564D">
              <w:rPr>
                <w:rFonts w:ascii="Book Antiqua" w:eastAsia="Yu Gothic" w:hAnsi="Book Antiqua"/>
                <w:i/>
              </w:rPr>
              <w:t xml:space="preserve">n </w:t>
            </w:r>
            <w:r w:rsidRPr="0049564D">
              <w:rPr>
                <w:rFonts w:ascii="Book Antiqua" w:eastAsia="Yu Gothic" w:hAnsi="Book Antiqua"/>
              </w:rPr>
              <w:t>= 37)</w:t>
            </w:r>
          </w:p>
        </w:tc>
        <w:tc>
          <w:tcPr>
            <w:tcW w:w="1701" w:type="dxa"/>
            <w:shd w:val="clear" w:color="auto" w:fill="auto"/>
            <w:noWrap/>
            <w:vAlign w:val="center"/>
            <w:hideMark/>
          </w:tcPr>
          <w:p w14:paraId="11355B0A"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w:t>
            </w:r>
          </w:p>
        </w:tc>
        <w:tc>
          <w:tcPr>
            <w:tcW w:w="1782" w:type="dxa"/>
            <w:shd w:val="clear" w:color="auto" w:fill="auto"/>
            <w:noWrap/>
            <w:vAlign w:val="center"/>
            <w:hideMark/>
          </w:tcPr>
          <w:p w14:paraId="46F23A2B"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37</w:t>
            </w:r>
          </w:p>
        </w:tc>
        <w:tc>
          <w:tcPr>
            <w:tcW w:w="1152" w:type="dxa"/>
            <w:shd w:val="clear" w:color="auto" w:fill="auto"/>
            <w:noWrap/>
            <w:vAlign w:val="center"/>
            <w:hideMark/>
          </w:tcPr>
          <w:p w14:paraId="55AE4B8D"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 xml:space="preserve">　</w:t>
            </w:r>
          </w:p>
        </w:tc>
      </w:tr>
    </w:tbl>
    <w:p w14:paraId="143F7615" w14:textId="402F941E"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vertAlign w:val="superscript"/>
        </w:rPr>
        <w:t>1</w:t>
      </w:r>
      <w:r w:rsidRPr="0049564D">
        <w:rPr>
          <w:rFonts w:ascii="Book Antiqua" w:eastAsia="Yu Gothic" w:hAnsi="Book Antiqua"/>
        </w:rPr>
        <w:t>Data are presented as median (range). EL: Exploratory laparotomy; R: Resected.</w:t>
      </w:r>
    </w:p>
    <w:p w14:paraId="14644A61" w14:textId="2A1411EF" w:rsidR="00047B4A" w:rsidRPr="0049564D" w:rsidRDefault="00047B4A" w:rsidP="00B24044">
      <w:pPr>
        <w:adjustRightInd w:val="0"/>
        <w:snapToGrid w:val="0"/>
        <w:spacing w:line="360" w:lineRule="auto"/>
        <w:jc w:val="both"/>
        <w:rPr>
          <w:rFonts w:ascii="Book Antiqua" w:hAnsi="Book Antiqua"/>
        </w:rPr>
      </w:pPr>
      <w:r w:rsidRPr="0049564D">
        <w:rPr>
          <w:rFonts w:ascii="Book Antiqua" w:hAnsi="Book Antiqua"/>
        </w:rPr>
        <w:br w:type="page"/>
      </w:r>
      <w:r w:rsidR="00406D43" w:rsidRPr="0049564D">
        <w:rPr>
          <w:rFonts w:ascii="Book Antiqua" w:eastAsia="Yu Gothic" w:hAnsi="Book Antiqua"/>
          <w:b/>
        </w:rPr>
        <w:lastRenderedPageBreak/>
        <w:t>Table 2</w:t>
      </w:r>
      <w:r w:rsidR="00406D43" w:rsidRPr="0049564D">
        <w:rPr>
          <w:rFonts w:ascii="Book Antiqua" w:eastAsia="Yu Gothic" w:hAnsi="Book Antiqua"/>
        </w:rPr>
        <w:t xml:space="preserve"> </w:t>
      </w:r>
      <w:r w:rsidR="00406D43" w:rsidRPr="0049564D">
        <w:rPr>
          <w:rFonts w:ascii="Book Antiqua" w:eastAsia="Yu Gothic" w:hAnsi="Book Antiqua"/>
          <w:b/>
        </w:rPr>
        <w:t>Comparison of laboratory findings and inflammation-based prognostic scores</w:t>
      </w:r>
    </w:p>
    <w:tbl>
      <w:tblPr>
        <w:tblW w:w="9498" w:type="dxa"/>
        <w:tblInd w:w="9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431"/>
        <w:gridCol w:w="1492"/>
        <w:gridCol w:w="1732"/>
        <w:gridCol w:w="1843"/>
      </w:tblGrid>
      <w:tr w:rsidR="0062767C" w:rsidRPr="0049564D" w14:paraId="75C4307C" w14:textId="77777777" w:rsidTr="00441343">
        <w:trPr>
          <w:trHeight w:val="315"/>
        </w:trPr>
        <w:tc>
          <w:tcPr>
            <w:tcW w:w="4431" w:type="dxa"/>
            <w:tcBorders>
              <w:bottom w:val="nil"/>
            </w:tcBorders>
            <w:shd w:val="clear" w:color="auto" w:fill="auto"/>
            <w:noWrap/>
            <w:vAlign w:val="center"/>
            <w:hideMark/>
          </w:tcPr>
          <w:p w14:paraId="6CA1E994" w14:textId="77777777" w:rsidR="00047B4A" w:rsidRPr="0049564D" w:rsidRDefault="00047B4A"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rPr>
              <w:t xml:space="preserve">　</w:t>
            </w:r>
          </w:p>
        </w:tc>
        <w:tc>
          <w:tcPr>
            <w:tcW w:w="3224" w:type="dxa"/>
            <w:gridSpan w:val="2"/>
            <w:tcBorders>
              <w:bottom w:val="single" w:sz="4" w:space="0" w:color="auto"/>
            </w:tcBorders>
            <w:shd w:val="clear" w:color="auto" w:fill="auto"/>
            <w:noWrap/>
            <w:vAlign w:val="center"/>
            <w:hideMark/>
          </w:tcPr>
          <w:p w14:paraId="1A8AC5EF" w14:textId="77777777" w:rsidR="00047B4A" w:rsidRPr="0049564D" w:rsidRDefault="00047B4A"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rPr>
              <w:t>Type of operations</w:t>
            </w:r>
          </w:p>
        </w:tc>
        <w:tc>
          <w:tcPr>
            <w:tcW w:w="1843" w:type="dxa"/>
            <w:tcBorders>
              <w:bottom w:val="nil"/>
            </w:tcBorders>
            <w:shd w:val="clear" w:color="auto" w:fill="auto"/>
            <w:noWrap/>
            <w:vAlign w:val="center"/>
            <w:hideMark/>
          </w:tcPr>
          <w:p w14:paraId="58D81C58" w14:textId="77777777" w:rsidR="00047B4A" w:rsidRPr="0049564D" w:rsidRDefault="00047B4A"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rPr>
              <w:t xml:space="preserve">　</w:t>
            </w:r>
          </w:p>
        </w:tc>
      </w:tr>
      <w:tr w:rsidR="0062767C" w:rsidRPr="0049564D" w14:paraId="0F9A03C9" w14:textId="77777777" w:rsidTr="00441343">
        <w:trPr>
          <w:trHeight w:val="336"/>
        </w:trPr>
        <w:tc>
          <w:tcPr>
            <w:tcW w:w="4431" w:type="dxa"/>
            <w:tcBorders>
              <w:top w:val="nil"/>
              <w:bottom w:val="single" w:sz="4" w:space="0" w:color="auto"/>
            </w:tcBorders>
            <w:shd w:val="clear" w:color="auto" w:fill="auto"/>
            <w:noWrap/>
            <w:vAlign w:val="center"/>
            <w:hideMark/>
          </w:tcPr>
          <w:p w14:paraId="0285010F" w14:textId="77777777" w:rsidR="00047B4A" w:rsidRPr="0049564D" w:rsidRDefault="00047B4A"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rPr>
              <w:t>Variables</w:t>
            </w:r>
          </w:p>
        </w:tc>
        <w:tc>
          <w:tcPr>
            <w:tcW w:w="1492" w:type="dxa"/>
            <w:tcBorders>
              <w:top w:val="single" w:sz="4" w:space="0" w:color="auto"/>
              <w:bottom w:val="single" w:sz="4" w:space="0" w:color="auto"/>
            </w:tcBorders>
            <w:shd w:val="clear" w:color="auto" w:fill="auto"/>
            <w:noWrap/>
            <w:vAlign w:val="center"/>
            <w:hideMark/>
          </w:tcPr>
          <w:p w14:paraId="4386413D" w14:textId="3040A086" w:rsidR="00047B4A" w:rsidRPr="0049564D" w:rsidRDefault="00047B4A"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rPr>
              <w:t>EL (</w:t>
            </w:r>
            <w:r w:rsidRPr="0049564D">
              <w:rPr>
                <w:rFonts w:ascii="Book Antiqua" w:eastAsia="Yu Gothic" w:hAnsi="Book Antiqua"/>
                <w:b/>
                <w:bCs/>
                <w:i/>
              </w:rPr>
              <w:t xml:space="preserve">n </w:t>
            </w:r>
            <w:r w:rsidRPr="0049564D">
              <w:rPr>
                <w:rFonts w:ascii="Book Antiqua" w:eastAsia="Yu Gothic" w:hAnsi="Book Antiqua"/>
                <w:b/>
                <w:bCs/>
              </w:rPr>
              <w:t>= 26)</w:t>
            </w:r>
          </w:p>
        </w:tc>
        <w:tc>
          <w:tcPr>
            <w:tcW w:w="1732" w:type="dxa"/>
            <w:tcBorders>
              <w:top w:val="single" w:sz="4" w:space="0" w:color="auto"/>
              <w:bottom w:val="single" w:sz="4" w:space="0" w:color="auto"/>
            </w:tcBorders>
            <w:shd w:val="clear" w:color="auto" w:fill="auto"/>
            <w:noWrap/>
            <w:vAlign w:val="center"/>
            <w:hideMark/>
          </w:tcPr>
          <w:p w14:paraId="1081A21F" w14:textId="4FF2F0E3" w:rsidR="00047B4A" w:rsidRPr="0049564D" w:rsidRDefault="00047B4A"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rPr>
              <w:t>R (</w:t>
            </w:r>
            <w:r w:rsidRPr="0049564D">
              <w:rPr>
                <w:rFonts w:ascii="Book Antiqua" w:eastAsia="Yu Gothic" w:hAnsi="Book Antiqua"/>
                <w:b/>
                <w:bCs/>
                <w:i/>
              </w:rPr>
              <w:t xml:space="preserve">n </w:t>
            </w:r>
            <w:r w:rsidRPr="0049564D">
              <w:rPr>
                <w:rFonts w:ascii="Book Antiqua" w:eastAsia="Yu Gothic" w:hAnsi="Book Antiqua"/>
                <w:b/>
                <w:bCs/>
              </w:rPr>
              <w:t>= 210)</w:t>
            </w:r>
          </w:p>
        </w:tc>
        <w:tc>
          <w:tcPr>
            <w:tcW w:w="1843" w:type="dxa"/>
            <w:tcBorders>
              <w:top w:val="nil"/>
              <w:bottom w:val="single" w:sz="4" w:space="0" w:color="auto"/>
            </w:tcBorders>
            <w:shd w:val="clear" w:color="auto" w:fill="auto"/>
            <w:noWrap/>
            <w:vAlign w:val="center"/>
            <w:hideMark/>
          </w:tcPr>
          <w:p w14:paraId="58354B63" w14:textId="39101FEA" w:rsidR="00047B4A" w:rsidRPr="0049564D" w:rsidRDefault="00406D43"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i/>
                <w:iCs/>
              </w:rPr>
              <w:t>P</w:t>
            </w:r>
            <w:r w:rsidR="00047B4A" w:rsidRPr="0049564D">
              <w:rPr>
                <w:rFonts w:ascii="Book Antiqua" w:eastAsia="Yu Gothic" w:hAnsi="Book Antiqua"/>
                <w:b/>
                <w:bCs/>
              </w:rPr>
              <w:t xml:space="preserve"> value</w:t>
            </w:r>
          </w:p>
        </w:tc>
      </w:tr>
      <w:tr w:rsidR="0062767C" w:rsidRPr="0049564D" w14:paraId="281A7F98" w14:textId="77777777" w:rsidTr="00406D43">
        <w:trPr>
          <w:trHeight w:val="315"/>
        </w:trPr>
        <w:tc>
          <w:tcPr>
            <w:tcW w:w="4431" w:type="dxa"/>
            <w:tcBorders>
              <w:top w:val="single" w:sz="4" w:space="0" w:color="auto"/>
            </w:tcBorders>
            <w:shd w:val="clear" w:color="auto" w:fill="auto"/>
            <w:noWrap/>
            <w:vAlign w:val="center"/>
            <w:hideMark/>
          </w:tcPr>
          <w:p w14:paraId="2290024C" w14:textId="29664FB2"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Hb (g/dL)</w:t>
            </w:r>
            <w:r w:rsidR="00406D43" w:rsidRPr="0049564D">
              <w:rPr>
                <w:rFonts w:ascii="Book Antiqua" w:eastAsia="Yu Gothic" w:hAnsi="Book Antiqua"/>
                <w:vertAlign w:val="superscript"/>
              </w:rPr>
              <w:t>1</w:t>
            </w:r>
          </w:p>
        </w:tc>
        <w:tc>
          <w:tcPr>
            <w:tcW w:w="1492" w:type="dxa"/>
            <w:tcBorders>
              <w:top w:val="single" w:sz="4" w:space="0" w:color="auto"/>
            </w:tcBorders>
            <w:shd w:val="clear" w:color="auto" w:fill="auto"/>
            <w:noWrap/>
            <w:vAlign w:val="center"/>
            <w:hideMark/>
          </w:tcPr>
          <w:p w14:paraId="09B4F401"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12.0 ± 0.33</w:t>
            </w:r>
          </w:p>
        </w:tc>
        <w:tc>
          <w:tcPr>
            <w:tcW w:w="1732" w:type="dxa"/>
            <w:tcBorders>
              <w:top w:val="single" w:sz="4" w:space="0" w:color="auto"/>
            </w:tcBorders>
            <w:shd w:val="clear" w:color="auto" w:fill="auto"/>
            <w:noWrap/>
            <w:vAlign w:val="center"/>
            <w:hideMark/>
          </w:tcPr>
          <w:p w14:paraId="7E018E65"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12.3 ± 0.11</w:t>
            </w:r>
          </w:p>
        </w:tc>
        <w:tc>
          <w:tcPr>
            <w:tcW w:w="1843" w:type="dxa"/>
            <w:tcBorders>
              <w:top w:val="single" w:sz="4" w:space="0" w:color="auto"/>
            </w:tcBorders>
            <w:shd w:val="clear" w:color="auto" w:fill="auto"/>
            <w:noWrap/>
            <w:vAlign w:val="center"/>
            <w:hideMark/>
          </w:tcPr>
          <w:p w14:paraId="1CC0B633"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0.78</w:t>
            </w:r>
          </w:p>
        </w:tc>
      </w:tr>
      <w:tr w:rsidR="0062767C" w:rsidRPr="0049564D" w14:paraId="155363F5" w14:textId="77777777" w:rsidTr="00406D43">
        <w:trPr>
          <w:trHeight w:val="315"/>
        </w:trPr>
        <w:tc>
          <w:tcPr>
            <w:tcW w:w="4431" w:type="dxa"/>
            <w:shd w:val="clear" w:color="auto" w:fill="auto"/>
            <w:noWrap/>
            <w:vAlign w:val="center"/>
            <w:hideMark/>
          </w:tcPr>
          <w:p w14:paraId="1B9DC57C" w14:textId="4EAE1690"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Plt (10000/μL)</w:t>
            </w:r>
            <w:r w:rsidR="00406D43" w:rsidRPr="0049564D">
              <w:rPr>
                <w:rFonts w:ascii="Book Antiqua" w:eastAsia="Yu Gothic" w:hAnsi="Book Antiqua"/>
                <w:vertAlign w:val="superscript"/>
              </w:rPr>
              <w:t>1</w:t>
            </w:r>
          </w:p>
        </w:tc>
        <w:tc>
          <w:tcPr>
            <w:tcW w:w="1492" w:type="dxa"/>
            <w:shd w:val="clear" w:color="auto" w:fill="auto"/>
            <w:noWrap/>
            <w:vAlign w:val="center"/>
            <w:hideMark/>
          </w:tcPr>
          <w:p w14:paraId="0EADE2AB"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24.4 ± 1.53</w:t>
            </w:r>
          </w:p>
        </w:tc>
        <w:tc>
          <w:tcPr>
            <w:tcW w:w="1732" w:type="dxa"/>
            <w:shd w:val="clear" w:color="auto" w:fill="auto"/>
            <w:noWrap/>
            <w:vAlign w:val="center"/>
            <w:hideMark/>
          </w:tcPr>
          <w:p w14:paraId="3FDD6B93"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22.1 ± 0.54</w:t>
            </w:r>
          </w:p>
        </w:tc>
        <w:tc>
          <w:tcPr>
            <w:tcW w:w="1843" w:type="dxa"/>
            <w:shd w:val="clear" w:color="auto" w:fill="auto"/>
            <w:noWrap/>
            <w:vAlign w:val="center"/>
            <w:hideMark/>
          </w:tcPr>
          <w:p w14:paraId="2C74BBBF"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0.079</w:t>
            </w:r>
          </w:p>
        </w:tc>
      </w:tr>
      <w:tr w:rsidR="0062767C" w:rsidRPr="0049564D" w14:paraId="4EC804E7" w14:textId="77777777" w:rsidTr="00406D43">
        <w:trPr>
          <w:trHeight w:val="315"/>
        </w:trPr>
        <w:tc>
          <w:tcPr>
            <w:tcW w:w="4431" w:type="dxa"/>
            <w:shd w:val="clear" w:color="auto" w:fill="auto"/>
            <w:noWrap/>
            <w:vAlign w:val="center"/>
            <w:hideMark/>
          </w:tcPr>
          <w:p w14:paraId="3B2E721D" w14:textId="4C5CA8BE"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PT-INR</w:t>
            </w:r>
            <w:r w:rsidR="00406D43" w:rsidRPr="0049564D">
              <w:rPr>
                <w:rFonts w:ascii="Book Antiqua" w:eastAsia="Yu Gothic" w:hAnsi="Book Antiqua"/>
                <w:vertAlign w:val="superscript"/>
              </w:rPr>
              <w:t>1</w:t>
            </w:r>
          </w:p>
        </w:tc>
        <w:tc>
          <w:tcPr>
            <w:tcW w:w="1492" w:type="dxa"/>
            <w:shd w:val="clear" w:color="auto" w:fill="auto"/>
            <w:noWrap/>
            <w:vAlign w:val="center"/>
            <w:hideMark/>
          </w:tcPr>
          <w:p w14:paraId="7FDCA0A4"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0.97 ± 0.03</w:t>
            </w:r>
          </w:p>
        </w:tc>
        <w:tc>
          <w:tcPr>
            <w:tcW w:w="1732" w:type="dxa"/>
            <w:shd w:val="clear" w:color="auto" w:fill="auto"/>
            <w:noWrap/>
            <w:vAlign w:val="center"/>
            <w:hideMark/>
          </w:tcPr>
          <w:p w14:paraId="4E0BB92D"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0.99 ± 0.01</w:t>
            </w:r>
          </w:p>
        </w:tc>
        <w:tc>
          <w:tcPr>
            <w:tcW w:w="1843" w:type="dxa"/>
            <w:shd w:val="clear" w:color="auto" w:fill="auto"/>
            <w:noWrap/>
            <w:vAlign w:val="center"/>
            <w:hideMark/>
          </w:tcPr>
          <w:p w14:paraId="32CBC818"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0.72</w:t>
            </w:r>
          </w:p>
        </w:tc>
      </w:tr>
      <w:tr w:rsidR="0062767C" w:rsidRPr="0049564D" w14:paraId="60DE076E" w14:textId="77777777" w:rsidTr="00406D43">
        <w:trPr>
          <w:trHeight w:val="315"/>
        </w:trPr>
        <w:tc>
          <w:tcPr>
            <w:tcW w:w="4431" w:type="dxa"/>
            <w:shd w:val="clear" w:color="auto" w:fill="auto"/>
            <w:noWrap/>
            <w:vAlign w:val="center"/>
            <w:hideMark/>
          </w:tcPr>
          <w:p w14:paraId="6A70F6FE" w14:textId="4F194DFC"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Albumin (mg/dL)</w:t>
            </w:r>
            <w:r w:rsidR="00406D43" w:rsidRPr="0049564D">
              <w:rPr>
                <w:rFonts w:ascii="Book Antiqua" w:eastAsia="Yu Gothic" w:hAnsi="Book Antiqua"/>
                <w:vertAlign w:val="superscript"/>
              </w:rPr>
              <w:t>1</w:t>
            </w:r>
          </w:p>
        </w:tc>
        <w:tc>
          <w:tcPr>
            <w:tcW w:w="1492" w:type="dxa"/>
            <w:shd w:val="clear" w:color="auto" w:fill="auto"/>
            <w:noWrap/>
            <w:vAlign w:val="center"/>
            <w:hideMark/>
          </w:tcPr>
          <w:p w14:paraId="0AC06FC1"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3.73 ± 0.11</w:t>
            </w:r>
          </w:p>
        </w:tc>
        <w:tc>
          <w:tcPr>
            <w:tcW w:w="1732" w:type="dxa"/>
            <w:shd w:val="clear" w:color="auto" w:fill="auto"/>
            <w:noWrap/>
            <w:vAlign w:val="center"/>
            <w:hideMark/>
          </w:tcPr>
          <w:p w14:paraId="138BEDCC"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3.79 ± 0.04</w:t>
            </w:r>
          </w:p>
        </w:tc>
        <w:tc>
          <w:tcPr>
            <w:tcW w:w="1843" w:type="dxa"/>
            <w:shd w:val="clear" w:color="auto" w:fill="auto"/>
            <w:noWrap/>
            <w:vAlign w:val="center"/>
            <w:hideMark/>
          </w:tcPr>
          <w:p w14:paraId="7A2E64CD"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0.66</w:t>
            </w:r>
          </w:p>
        </w:tc>
      </w:tr>
      <w:tr w:rsidR="0062767C" w:rsidRPr="0049564D" w14:paraId="617D6016" w14:textId="77777777" w:rsidTr="00406D43">
        <w:trPr>
          <w:trHeight w:val="315"/>
        </w:trPr>
        <w:tc>
          <w:tcPr>
            <w:tcW w:w="4431" w:type="dxa"/>
            <w:shd w:val="clear" w:color="auto" w:fill="auto"/>
            <w:noWrap/>
            <w:vAlign w:val="center"/>
            <w:hideMark/>
          </w:tcPr>
          <w:p w14:paraId="40CFE3A6" w14:textId="3B63870F"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ALP (IU/L)</w:t>
            </w:r>
            <w:r w:rsidR="00406D43" w:rsidRPr="0049564D">
              <w:rPr>
                <w:rFonts w:ascii="Book Antiqua" w:eastAsia="Yu Gothic" w:hAnsi="Book Antiqua"/>
                <w:vertAlign w:val="superscript"/>
              </w:rPr>
              <w:t>1</w:t>
            </w:r>
          </w:p>
        </w:tc>
        <w:tc>
          <w:tcPr>
            <w:tcW w:w="1492" w:type="dxa"/>
            <w:shd w:val="clear" w:color="auto" w:fill="auto"/>
            <w:noWrap/>
            <w:vAlign w:val="center"/>
            <w:hideMark/>
          </w:tcPr>
          <w:p w14:paraId="025D253C"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641 ± 98</w:t>
            </w:r>
          </w:p>
        </w:tc>
        <w:tc>
          <w:tcPr>
            <w:tcW w:w="1732" w:type="dxa"/>
            <w:shd w:val="clear" w:color="auto" w:fill="auto"/>
            <w:noWrap/>
            <w:vAlign w:val="center"/>
            <w:hideMark/>
          </w:tcPr>
          <w:p w14:paraId="4A6A1EAD"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564 ± 34</w:t>
            </w:r>
          </w:p>
        </w:tc>
        <w:tc>
          <w:tcPr>
            <w:tcW w:w="1843" w:type="dxa"/>
            <w:shd w:val="clear" w:color="auto" w:fill="auto"/>
            <w:noWrap/>
            <w:vAlign w:val="center"/>
            <w:hideMark/>
          </w:tcPr>
          <w:p w14:paraId="6427AF4F"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0.22</w:t>
            </w:r>
          </w:p>
        </w:tc>
      </w:tr>
      <w:tr w:rsidR="0062767C" w:rsidRPr="0049564D" w14:paraId="4DEA671E" w14:textId="77777777" w:rsidTr="00406D43">
        <w:trPr>
          <w:trHeight w:val="315"/>
        </w:trPr>
        <w:tc>
          <w:tcPr>
            <w:tcW w:w="4431" w:type="dxa"/>
            <w:shd w:val="clear" w:color="auto" w:fill="auto"/>
            <w:noWrap/>
            <w:vAlign w:val="center"/>
            <w:hideMark/>
          </w:tcPr>
          <w:p w14:paraId="21DC0589" w14:textId="0314114F"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γ-GTP (IU/L)</w:t>
            </w:r>
            <w:r w:rsidR="00406D43" w:rsidRPr="0049564D">
              <w:rPr>
                <w:rFonts w:ascii="Book Antiqua" w:eastAsia="Yu Gothic" w:hAnsi="Book Antiqua"/>
                <w:vertAlign w:val="superscript"/>
              </w:rPr>
              <w:t>1</w:t>
            </w:r>
          </w:p>
        </w:tc>
        <w:tc>
          <w:tcPr>
            <w:tcW w:w="1492" w:type="dxa"/>
            <w:shd w:val="clear" w:color="auto" w:fill="auto"/>
            <w:noWrap/>
            <w:vAlign w:val="center"/>
            <w:hideMark/>
          </w:tcPr>
          <w:p w14:paraId="10CD0E92"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223 ± 51</w:t>
            </w:r>
          </w:p>
        </w:tc>
        <w:tc>
          <w:tcPr>
            <w:tcW w:w="1732" w:type="dxa"/>
            <w:shd w:val="clear" w:color="auto" w:fill="auto"/>
            <w:noWrap/>
            <w:vAlign w:val="center"/>
            <w:hideMark/>
          </w:tcPr>
          <w:p w14:paraId="25B4BA8D"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192 ± 17</w:t>
            </w:r>
          </w:p>
        </w:tc>
        <w:tc>
          <w:tcPr>
            <w:tcW w:w="1843" w:type="dxa"/>
            <w:shd w:val="clear" w:color="auto" w:fill="auto"/>
            <w:noWrap/>
            <w:vAlign w:val="center"/>
            <w:hideMark/>
          </w:tcPr>
          <w:p w14:paraId="21657FF4"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0.28</w:t>
            </w:r>
          </w:p>
        </w:tc>
      </w:tr>
      <w:tr w:rsidR="0062767C" w:rsidRPr="0049564D" w14:paraId="577B73C7" w14:textId="77777777" w:rsidTr="00406D43">
        <w:trPr>
          <w:trHeight w:val="315"/>
        </w:trPr>
        <w:tc>
          <w:tcPr>
            <w:tcW w:w="4431" w:type="dxa"/>
            <w:shd w:val="clear" w:color="auto" w:fill="auto"/>
            <w:noWrap/>
            <w:vAlign w:val="center"/>
            <w:hideMark/>
          </w:tcPr>
          <w:p w14:paraId="3482BB92" w14:textId="7FBCE28E"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T-bil (mg/dL)</w:t>
            </w:r>
            <w:r w:rsidR="00406D43" w:rsidRPr="0049564D">
              <w:rPr>
                <w:rFonts w:ascii="Book Antiqua" w:eastAsia="Yu Gothic" w:hAnsi="Book Antiqua"/>
                <w:vertAlign w:val="superscript"/>
              </w:rPr>
              <w:t>1</w:t>
            </w:r>
          </w:p>
        </w:tc>
        <w:tc>
          <w:tcPr>
            <w:tcW w:w="1492" w:type="dxa"/>
            <w:shd w:val="clear" w:color="auto" w:fill="auto"/>
            <w:noWrap/>
            <w:vAlign w:val="center"/>
            <w:hideMark/>
          </w:tcPr>
          <w:p w14:paraId="1662A96E"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1.74 ± 0.34</w:t>
            </w:r>
          </w:p>
        </w:tc>
        <w:tc>
          <w:tcPr>
            <w:tcW w:w="1732" w:type="dxa"/>
            <w:shd w:val="clear" w:color="auto" w:fill="auto"/>
            <w:noWrap/>
            <w:vAlign w:val="center"/>
            <w:hideMark/>
          </w:tcPr>
          <w:p w14:paraId="620AAF2F"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1.24 ± 0.11</w:t>
            </w:r>
          </w:p>
        </w:tc>
        <w:tc>
          <w:tcPr>
            <w:tcW w:w="1843" w:type="dxa"/>
            <w:shd w:val="clear" w:color="auto" w:fill="auto"/>
            <w:noWrap/>
            <w:vAlign w:val="center"/>
            <w:hideMark/>
          </w:tcPr>
          <w:p w14:paraId="4EEF9030"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0.083</w:t>
            </w:r>
          </w:p>
        </w:tc>
      </w:tr>
      <w:tr w:rsidR="0062767C" w:rsidRPr="0049564D" w14:paraId="7D7BF002" w14:textId="77777777" w:rsidTr="00406D43">
        <w:trPr>
          <w:trHeight w:val="315"/>
        </w:trPr>
        <w:tc>
          <w:tcPr>
            <w:tcW w:w="4431" w:type="dxa"/>
            <w:shd w:val="clear" w:color="auto" w:fill="auto"/>
            <w:noWrap/>
            <w:vAlign w:val="center"/>
            <w:hideMark/>
          </w:tcPr>
          <w:p w14:paraId="36157A2D" w14:textId="6A1C6B05"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LDH (IU/L)</w:t>
            </w:r>
            <w:r w:rsidR="00406D43" w:rsidRPr="0049564D">
              <w:rPr>
                <w:rFonts w:ascii="Book Antiqua" w:eastAsia="Yu Gothic" w:hAnsi="Book Antiqua"/>
                <w:vertAlign w:val="superscript"/>
              </w:rPr>
              <w:t>1</w:t>
            </w:r>
          </w:p>
        </w:tc>
        <w:tc>
          <w:tcPr>
            <w:tcW w:w="1492" w:type="dxa"/>
            <w:shd w:val="clear" w:color="auto" w:fill="auto"/>
            <w:noWrap/>
            <w:vAlign w:val="center"/>
            <w:hideMark/>
          </w:tcPr>
          <w:p w14:paraId="70FCE4DD"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212 ± 16</w:t>
            </w:r>
          </w:p>
        </w:tc>
        <w:tc>
          <w:tcPr>
            <w:tcW w:w="1732" w:type="dxa"/>
            <w:shd w:val="clear" w:color="auto" w:fill="auto"/>
            <w:noWrap/>
            <w:vAlign w:val="center"/>
            <w:hideMark/>
          </w:tcPr>
          <w:p w14:paraId="30E4EE4B"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187 ± 5.6</w:t>
            </w:r>
          </w:p>
        </w:tc>
        <w:tc>
          <w:tcPr>
            <w:tcW w:w="1843" w:type="dxa"/>
            <w:shd w:val="clear" w:color="auto" w:fill="auto"/>
            <w:noWrap/>
            <w:vAlign w:val="center"/>
            <w:hideMark/>
          </w:tcPr>
          <w:p w14:paraId="59967E66"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0.079</w:t>
            </w:r>
          </w:p>
        </w:tc>
      </w:tr>
      <w:tr w:rsidR="0062767C" w:rsidRPr="0049564D" w14:paraId="59FFE153" w14:textId="77777777" w:rsidTr="00406D43">
        <w:trPr>
          <w:trHeight w:val="315"/>
        </w:trPr>
        <w:tc>
          <w:tcPr>
            <w:tcW w:w="4431" w:type="dxa"/>
            <w:shd w:val="clear" w:color="auto" w:fill="auto"/>
            <w:noWrap/>
            <w:vAlign w:val="center"/>
            <w:hideMark/>
          </w:tcPr>
          <w:p w14:paraId="16B37E95" w14:textId="184606BA"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CRP (mg/dL)</w:t>
            </w:r>
            <w:r w:rsidR="00406D43" w:rsidRPr="0049564D">
              <w:rPr>
                <w:rFonts w:ascii="Book Antiqua" w:eastAsia="Yu Gothic" w:hAnsi="Book Antiqua"/>
                <w:vertAlign w:val="superscript"/>
              </w:rPr>
              <w:t>1</w:t>
            </w:r>
          </w:p>
        </w:tc>
        <w:tc>
          <w:tcPr>
            <w:tcW w:w="1492" w:type="dxa"/>
            <w:shd w:val="clear" w:color="auto" w:fill="auto"/>
            <w:noWrap/>
            <w:vAlign w:val="center"/>
            <w:hideMark/>
          </w:tcPr>
          <w:p w14:paraId="7F0BC55C"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0.88 ± 0.93</w:t>
            </w:r>
          </w:p>
        </w:tc>
        <w:tc>
          <w:tcPr>
            <w:tcW w:w="1732" w:type="dxa"/>
            <w:shd w:val="clear" w:color="auto" w:fill="auto"/>
            <w:noWrap/>
            <w:vAlign w:val="center"/>
            <w:hideMark/>
          </w:tcPr>
          <w:p w14:paraId="019F5336"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1.23 ± 0.33</w:t>
            </w:r>
          </w:p>
        </w:tc>
        <w:tc>
          <w:tcPr>
            <w:tcW w:w="1843" w:type="dxa"/>
            <w:shd w:val="clear" w:color="auto" w:fill="auto"/>
            <w:noWrap/>
            <w:vAlign w:val="center"/>
            <w:hideMark/>
          </w:tcPr>
          <w:p w14:paraId="5847EA99"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0.63</w:t>
            </w:r>
          </w:p>
        </w:tc>
      </w:tr>
      <w:tr w:rsidR="0062767C" w:rsidRPr="0049564D" w14:paraId="080AD49B" w14:textId="77777777" w:rsidTr="00406D43">
        <w:trPr>
          <w:trHeight w:val="315"/>
        </w:trPr>
        <w:tc>
          <w:tcPr>
            <w:tcW w:w="4431" w:type="dxa"/>
            <w:shd w:val="clear" w:color="auto" w:fill="auto"/>
            <w:noWrap/>
            <w:vAlign w:val="center"/>
            <w:hideMark/>
          </w:tcPr>
          <w:p w14:paraId="4874081D" w14:textId="3ACD121C"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Creatinine clearance (mL/min)</w:t>
            </w:r>
            <w:r w:rsidR="00406D43" w:rsidRPr="0049564D">
              <w:rPr>
                <w:rFonts w:ascii="Book Antiqua" w:eastAsia="Yu Gothic" w:hAnsi="Book Antiqua"/>
                <w:vertAlign w:val="superscript"/>
              </w:rPr>
              <w:t>1</w:t>
            </w:r>
          </w:p>
        </w:tc>
        <w:tc>
          <w:tcPr>
            <w:tcW w:w="1492" w:type="dxa"/>
            <w:shd w:val="clear" w:color="auto" w:fill="auto"/>
            <w:noWrap/>
            <w:vAlign w:val="center"/>
            <w:hideMark/>
          </w:tcPr>
          <w:p w14:paraId="26682E02"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212 ± 16</w:t>
            </w:r>
          </w:p>
        </w:tc>
        <w:tc>
          <w:tcPr>
            <w:tcW w:w="1732" w:type="dxa"/>
            <w:shd w:val="clear" w:color="auto" w:fill="auto"/>
            <w:noWrap/>
            <w:vAlign w:val="center"/>
            <w:hideMark/>
          </w:tcPr>
          <w:p w14:paraId="05B9C4AB"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187 ± 5.6</w:t>
            </w:r>
          </w:p>
        </w:tc>
        <w:tc>
          <w:tcPr>
            <w:tcW w:w="1843" w:type="dxa"/>
            <w:shd w:val="clear" w:color="auto" w:fill="auto"/>
            <w:noWrap/>
            <w:vAlign w:val="center"/>
            <w:hideMark/>
          </w:tcPr>
          <w:p w14:paraId="42BA819A"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0.079</w:t>
            </w:r>
          </w:p>
        </w:tc>
      </w:tr>
      <w:tr w:rsidR="0062767C" w:rsidRPr="0049564D" w14:paraId="263789D5" w14:textId="77777777" w:rsidTr="00406D43">
        <w:trPr>
          <w:trHeight w:val="315"/>
        </w:trPr>
        <w:tc>
          <w:tcPr>
            <w:tcW w:w="4431" w:type="dxa"/>
            <w:shd w:val="clear" w:color="auto" w:fill="auto"/>
            <w:noWrap/>
            <w:vAlign w:val="center"/>
            <w:hideMark/>
          </w:tcPr>
          <w:p w14:paraId="228AE1C0"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Tumor markers</w:t>
            </w:r>
          </w:p>
        </w:tc>
        <w:tc>
          <w:tcPr>
            <w:tcW w:w="1492" w:type="dxa"/>
            <w:shd w:val="clear" w:color="auto" w:fill="auto"/>
            <w:noWrap/>
            <w:vAlign w:val="center"/>
            <w:hideMark/>
          </w:tcPr>
          <w:p w14:paraId="4503595E" w14:textId="77777777" w:rsidR="00047B4A" w:rsidRPr="0049564D" w:rsidRDefault="00047B4A" w:rsidP="00B24044">
            <w:pPr>
              <w:adjustRightInd w:val="0"/>
              <w:snapToGrid w:val="0"/>
              <w:spacing w:line="360" w:lineRule="auto"/>
              <w:jc w:val="both"/>
              <w:rPr>
                <w:rFonts w:ascii="Book Antiqua" w:eastAsia="Yu Gothic" w:hAnsi="Book Antiqua"/>
              </w:rPr>
            </w:pPr>
          </w:p>
        </w:tc>
        <w:tc>
          <w:tcPr>
            <w:tcW w:w="1732" w:type="dxa"/>
            <w:shd w:val="clear" w:color="auto" w:fill="auto"/>
            <w:noWrap/>
            <w:vAlign w:val="center"/>
            <w:hideMark/>
          </w:tcPr>
          <w:p w14:paraId="2C884417" w14:textId="77777777" w:rsidR="00047B4A" w:rsidRPr="0049564D" w:rsidRDefault="00047B4A" w:rsidP="00B24044">
            <w:pPr>
              <w:adjustRightInd w:val="0"/>
              <w:snapToGrid w:val="0"/>
              <w:spacing w:line="360" w:lineRule="auto"/>
              <w:jc w:val="both"/>
              <w:rPr>
                <w:rFonts w:ascii="Book Antiqua" w:eastAsia="Times New Roman" w:hAnsi="Book Antiqua"/>
              </w:rPr>
            </w:pPr>
          </w:p>
        </w:tc>
        <w:tc>
          <w:tcPr>
            <w:tcW w:w="1843" w:type="dxa"/>
            <w:shd w:val="clear" w:color="auto" w:fill="auto"/>
            <w:noWrap/>
            <w:vAlign w:val="center"/>
            <w:hideMark/>
          </w:tcPr>
          <w:p w14:paraId="02A8F123" w14:textId="77777777" w:rsidR="00047B4A" w:rsidRPr="0049564D" w:rsidRDefault="00047B4A" w:rsidP="00B24044">
            <w:pPr>
              <w:adjustRightInd w:val="0"/>
              <w:snapToGrid w:val="0"/>
              <w:spacing w:line="360" w:lineRule="auto"/>
              <w:jc w:val="both"/>
              <w:rPr>
                <w:rFonts w:ascii="Book Antiqua" w:eastAsia="Times New Roman" w:hAnsi="Book Antiqua"/>
              </w:rPr>
            </w:pPr>
          </w:p>
        </w:tc>
      </w:tr>
      <w:tr w:rsidR="0062767C" w:rsidRPr="0049564D" w14:paraId="01AFFC56" w14:textId="77777777" w:rsidTr="00406D43">
        <w:trPr>
          <w:trHeight w:val="315"/>
        </w:trPr>
        <w:tc>
          <w:tcPr>
            <w:tcW w:w="4431" w:type="dxa"/>
            <w:shd w:val="clear" w:color="auto" w:fill="auto"/>
            <w:noWrap/>
            <w:vAlign w:val="center"/>
            <w:hideMark/>
          </w:tcPr>
          <w:p w14:paraId="3BAF7A1C" w14:textId="7BAA3B8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 xml:space="preserve"> CA19-9 (IU/</w:t>
            </w:r>
            <w:r w:rsidR="00700313" w:rsidRPr="0049564D">
              <w:rPr>
                <w:rFonts w:ascii="Book Antiqua" w:eastAsia="Yu Gothic" w:hAnsi="Book Antiqua"/>
              </w:rPr>
              <w:t>mL</w:t>
            </w:r>
            <w:r w:rsidRPr="0049564D">
              <w:rPr>
                <w:rFonts w:ascii="Book Antiqua" w:eastAsia="Yu Gothic" w:hAnsi="Book Antiqua"/>
              </w:rPr>
              <w:t>)</w:t>
            </w:r>
            <w:r w:rsidR="00406D43" w:rsidRPr="0049564D">
              <w:rPr>
                <w:rFonts w:ascii="Book Antiqua" w:eastAsia="Yu Gothic" w:hAnsi="Book Antiqua"/>
                <w:vertAlign w:val="superscript"/>
              </w:rPr>
              <w:t>1</w:t>
            </w:r>
          </w:p>
        </w:tc>
        <w:tc>
          <w:tcPr>
            <w:tcW w:w="1492" w:type="dxa"/>
            <w:shd w:val="clear" w:color="auto" w:fill="auto"/>
            <w:noWrap/>
            <w:vAlign w:val="center"/>
            <w:hideMark/>
          </w:tcPr>
          <w:p w14:paraId="55EC6AD3"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5198 ± 2767</w:t>
            </w:r>
          </w:p>
        </w:tc>
        <w:tc>
          <w:tcPr>
            <w:tcW w:w="1732" w:type="dxa"/>
            <w:shd w:val="clear" w:color="auto" w:fill="auto"/>
            <w:noWrap/>
            <w:vAlign w:val="center"/>
            <w:hideMark/>
          </w:tcPr>
          <w:p w14:paraId="69CAF4A5"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777 ± 357</w:t>
            </w:r>
          </w:p>
        </w:tc>
        <w:tc>
          <w:tcPr>
            <w:tcW w:w="1843" w:type="dxa"/>
            <w:shd w:val="clear" w:color="auto" w:fill="auto"/>
            <w:noWrap/>
            <w:vAlign w:val="center"/>
            <w:hideMark/>
          </w:tcPr>
          <w:p w14:paraId="2A184F89"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0.014</w:t>
            </w:r>
          </w:p>
        </w:tc>
      </w:tr>
      <w:tr w:rsidR="0062767C" w:rsidRPr="0049564D" w14:paraId="778DE82C" w14:textId="77777777" w:rsidTr="00406D43">
        <w:trPr>
          <w:trHeight w:val="315"/>
        </w:trPr>
        <w:tc>
          <w:tcPr>
            <w:tcW w:w="4431" w:type="dxa"/>
            <w:shd w:val="clear" w:color="auto" w:fill="auto"/>
            <w:noWrap/>
            <w:vAlign w:val="center"/>
            <w:hideMark/>
          </w:tcPr>
          <w:p w14:paraId="5770203F" w14:textId="31A0535C"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 xml:space="preserve"> CEA (ng/</w:t>
            </w:r>
            <w:r w:rsidR="00700313" w:rsidRPr="0049564D">
              <w:rPr>
                <w:rFonts w:ascii="Book Antiqua" w:eastAsia="Yu Gothic" w:hAnsi="Book Antiqua"/>
              </w:rPr>
              <w:t>mL</w:t>
            </w:r>
            <w:r w:rsidRPr="0049564D">
              <w:rPr>
                <w:rFonts w:ascii="Book Antiqua" w:eastAsia="Yu Gothic" w:hAnsi="Book Antiqua"/>
              </w:rPr>
              <w:t>)</w:t>
            </w:r>
            <w:r w:rsidR="00406D43" w:rsidRPr="0049564D">
              <w:rPr>
                <w:rFonts w:ascii="Book Antiqua" w:eastAsia="Yu Gothic" w:hAnsi="Book Antiqua"/>
                <w:vertAlign w:val="superscript"/>
              </w:rPr>
              <w:t>1</w:t>
            </w:r>
          </w:p>
        </w:tc>
        <w:tc>
          <w:tcPr>
            <w:tcW w:w="1492" w:type="dxa"/>
            <w:shd w:val="clear" w:color="auto" w:fill="auto"/>
            <w:noWrap/>
            <w:vAlign w:val="center"/>
            <w:hideMark/>
          </w:tcPr>
          <w:p w14:paraId="0391E2CA"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12.3 ± 3.1</w:t>
            </w:r>
          </w:p>
        </w:tc>
        <w:tc>
          <w:tcPr>
            <w:tcW w:w="1732" w:type="dxa"/>
            <w:shd w:val="clear" w:color="auto" w:fill="auto"/>
            <w:noWrap/>
            <w:vAlign w:val="center"/>
            <w:hideMark/>
          </w:tcPr>
          <w:p w14:paraId="0EB617F5"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5.1 ± 1.0</w:t>
            </w:r>
          </w:p>
        </w:tc>
        <w:tc>
          <w:tcPr>
            <w:tcW w:w="1843" w:type="dxa"/>
            <w:shd w:val="clear" w:color="auto" w:fill="auto"/>
            <w:noWrap/>
            <w:vAlign w:val="center"/>
            <w:hideMark/>
          </w:tcPr>
          <w:p w14:paraId="7AC1CACC"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0.0054</w:t>
            </w:r>
          </w:p>
        </w:tc>
      </w:tr>
      <w:tr w:rsidR="0062767C" w:rsidRPr="0049564D" w14:paraId="62C8B3CB" w14:textId="77777777" w:rsidTr="00406D43">
        <w:trPr>
          <w:trHeight w:val="315"/>
        </w:trPr>
        <w:tc>
          <w:tcPr>
            <w:tcW w:w="4431" w:type="dxa"/>
            <w:shd w:val="clear" w:color="auto" w:fill="auto"/>
            <w:noWrap/>
            <w:vAlign w:val="center"/>
            <w:hideMark/>
          </w:tcPr>
          <w:p w14:paraId="1A10C7C3"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Inflammation-based prognostic scores</w:t>
            </w:r>
          </w:p>
        </w:tc>
        <w:tc>
          <w:tcPr>
            <w:tcW w:w="1492" w:type="dxa"/>
            <w:shd w:val="clear" w:color="auto" w:fill="auto"/>
            <w:noWrap/>
            <w:vAlign w:val="center"/>
            <w:hideMark/>
          </w:tcPr>
          <w:p w14:paraId="10CC4D59" w14:textId="77777777" w:rsidR="00047B4A" w:rsidRPr="0049564D" w:rsidRDefault="00047B4A" w:rsidP="00B24044">
            <w:pPr>
              <w:adjustRightInd w:val="0"/>
              <w:snapToGrid w:val="0"/>
              <w:spacing w:line="360" w:lineRule="auto"/>
              <w:jc w:val="both"/>
              <w:rPr>
                <w:rFonts w:ascii="Book Antiqua" w:eastAsia="Yu Gothic" w:hAnsi="Book Antiqua"/>
              </w:rPr>
            </w:pPr>
          </w:p>
        </w:tc>
        <w:tc>
          <w:tcPr>
            <w:tcW w:w="1732" w:type="dxa"/>
            <w:shd w:val="clear" w:color="auto" w:fill="auto"/>
            <w:noWrap/>
            <w:vAlign w:val="center"/>
            <w:hideMark/>
          </w:tcPr>
          <w:p w14:paraId="08C00A14" w14:textId="77777777" w:rsidR="00047B4A" w:rsidRPr="0049564D" w:rsidRDefault="00047B4A" w:rsidP="00B24044">
            <w:pPr>
              <w:adjustRightInd w:val="0"/>
              <w:snapToGrid w:val="0"/>
              <w:spacing w:line="360" w:lineRule="auto"/>
              <w:jc w:val="both"/>
              <w:rPr>
                <w:rFonts w:ascii="Book Antiqua" w:eastAsia="Times New Roman" w:hAnsi="Book Antiqua"/>
              </w:rPr>
            </w:pPr>
          </w:p>
        </w:tc>
        <w:tc>
          <w:tcPr>
            <w:tcW w:w="1843" w:type="dxa"/>
            <w:shd w:val="clear" w:color="auto" w:fill="auto"/>
            <w:noWrap/>
            <w:vAlign w:val="center"/>
            <w:hideMark/>
          </w:tcPr>
          <w:p w14:paraId="4A4F6453" w14:textId="77777777" w:rsidR="00047B4A" w:rsidRPr="0049564D" w:rsidRDefault="00047B4A" w:rsidP="00B24044">
            <w:pPr>
              <w:adjustRightInd w:val="0"/>
              <w:snapToGrid w:val="0"/>
              <w:spacing w:line="360" w:lineRule="auto"/>
              <w:jc w:val="both"/>
              <w:rPr>
                <w:rFonts w:ascii="Book Antiqua" w:eastAsia="Times New Roman" w:hAnsi="Book Antiqua"/>
              </w:rPr>
            </w:pPr>
          </w:p>
        </w:tc>
      </w:tr>
      <w:tr w:rsidR="0062767C" w:rsidRPr="0049564D" w14:paraId="51FECEED" w14:textId="77777777" w:rsidTr="00406D43">
        <w:trPr>
          <w:trHeight w:val="315"/>
        </w:trPr>
        <w:tc>
          <w:tcPr>
            <w:tcW w:w="4431" w:type="dxa"/>
            <w:shd w:val="clear" w:color="auto" w:fill="auto"/>
            <w:noWrap/>
            <w:vAlign w:val="center"/>
            <w:hideMark/>
          </w:tcPr>
          <w:p w14:paraId="48A66550" w14:textId="35F85316"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 xml:space="preserve"> NLR</w:t>
            </w:r>
            <w:r w:rsidR="00406D43" w:rsidRPr="0049564D">
              <w:rPr>
                <w:rFonts w:ascii="Book Antiqua" w:eastAsia="Yu Gothic" w:hAnsi="Book Antiqua"/>
                <w:vertAlign w:val="superscript"/>
              </w:rPr>
              <w:t>1</w:t>
            </w:r>
          </w:p>
        </w:tc>
        <w:tc>
          <w:tcPr>
            <w:tcW w:w="1492" w:type="dxa"/>
            <w:shd w:val="clear" w:color="auto" w:fill="auto"/>
            <w:noWrap/>
            <w:vAlign w:val="center"/>
            <w:hideMark/>
          </w:tcPr>
          <w:p w14:paraId="32897D7D"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3.92 ± 0.40</w:t>
            </w:r>
          </w:p>
        </w:tc>
        <w:tc>
          <w:tcPr>
            <w:tcW w:w="1732" w:type="dxa"/>
            <w:shd w:val="clear" w:color="auto" w:fill="auto"/>
            <w:noWrap/>
            <w:vAlign w:val="center"/>
            <w:hideMark/>
          </w:tcPr>
          <w:p w14:paraId="5F9FEC91"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2.81 ± 0.14</w:t>
            </w:r>
          </w:p>
        </w:tc>
        <w:tc>
          <w:tcPr>
            <w:tcW w:w="1843" w:type="dxa"/>
            <w:shd w:val="clear" w:color="auto" w:fill="auto"/>
            <w:noWrap/>
            <w:vAlign w:val="center"/>
            <w:hideMark/>
          </w:tcPr>
          <w:p w14:paraId="15434D72"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0.0018</w:t>
            </w:r>
          </w:p>
        </w:tc>
      </w:tr>
      <w:tr w:rsidR="0062767C" w:rsidRPr="0049564D" w14:paraId="3F125ECE" w14:textId="77777777" w:rsidTr="00406D43">
        <w:trPr>
          <w:trHeight w:val="315"/>
        </w:trPr>
        <w:tc>
          <w:tcPr>
            <w:tcW w:w="4431" w:type="dxa"/>
            <w:shd w:val="clear" w:color="auto" w:fill="auto"/>
            <w:noWrap/>
            <w:vAlign w:val="center"/>
            <w:hideMark/>
          </w:tcPr>
          <w:p w14:paraId="37554300" w14:textId="7569D456"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 xml:space="preserve"> PLR</w:t>
            </w:r>
            <w:r w:rsidR="00406D43" w:rsidRPr="0049564D">
              <w:rPr>
                <w:rFonts w:ascii="Book Antiqua" w:eastAsia="Yu Gothic" w:hAnsi="Book Antiqua"/>
                <w:vertAlign w:val="superscript"/>
              </w:rPr>
              <w:t>1</w:t>
            </w:r>
          </w:p>
        </w:tc>
        <w:tc>
          <w:tcPr>
            <w:tcW w:w="1492" w:type="dxa"/>
            <w:shd w:val="clear" w:color="auto" w:fill="auto"/>
            <w:noWrap/>
            <w:vAlign w:val="center"/>
            <w:hideMark/>
          </w:tcPr>
          <w:p w14:paraId="5CF815DD"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190 ± 18</w:t>
            </w:r>
          </w:p>
        </w:tc>
        <w:tc>
          <w:tcPr>
            <w:tcW w:w="1732" w:type="dxa"/>
            <w:shd w:val="clear" w:color="auto" w:fill="auto"/>
            <w:noWrap/>
            <w:vAlign w:val="center"/>
            <w:hideMark/>
          </w:tcPr>
          <w:p w14:paraId="346BA856"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166 ± 6.4</w:t>
            </w:r>
          </w:p>
        </w:tc>
        <w:tc>
          <w:tcPr>
            <w:tcW w:w="1843" w:type="dxa"/>
            <w:shd w:val="clear" w:color="auto" w:fill="auto"/>
            <w:noWrap/>
            <w:vAlign w:val="center"/>
            <w:hideMark/>
          </w:tcPr>
          <w:p w14:paraId="2125B80C"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0.15</w:t>
            </w:r>
          </w:p>
        </w:tc>
      </w:tr>
      <w:tr w:rsidR="0062767C" w:rsidRPr="0049564D" w14:paraId="1072BC6D" w14:textId="77777777" w:rsidTr="00406D43">
        <w:trPr>
          <w:trHeight w:val="315"/>
        </w:trPr>
        <w:tc>
          <w:tcPr>
            <w:tcW w:w="4431" w:type="dxa"/>
            <w:shd w:val="clear" w:color="auto" w:fill="auto"/>
            <w:noWrap/>
            <w:vAlign w:val="center"/>
            <w:hideMark/>
          </w:tcPr>
          <w:p w14:paraId="3ECBD263" w14:textId="46D60920"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 xml:space="preserve"> PNI</w:t>
            </w:r>
            <w:r w:rsidR="00406D43" w:rsidRPr="0049564D">
              <w:rPr>
                <w:rFonts w:ascii="Book Antiqua" w:eastAsia="Yu Gothic" w:hAnsi="Book Antiqua"/>
                <w:vertAlign w:val="superscript"/>
              </w:rPr>
              <w:t>1</w:t>
            </w:r>
          </w:p>
        </w:tc>
        <w:tc>
          <w:tcPr>
            <w:tcW w:w="1492" w:type="dxa"/>
            <w:shd w:val="clear" w:color="auto" w:fill="auto"/>
            <w:noWrap/>
            <w:vAlign w:val="center"/>
            <w:hideMark/>
          </w:tcPr>
          <w:p w14:paraId="2C52F9BB"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43.4 ± 3.4</w:t>
            </w:r>
          </w:p>
        </w:tc>
        <w:tc>
          <w:tcPr>
            <w:tcW w:w="1732" w:type="dxa"/>
            <w:shd w:val="clear" w:color="auto" w:fill="auto"/>
            <w:noWrap/>
            <w:vAlign w:val="center"/>
            <w:hideMark/>
          </w:tcPr>
          <w:p w14:paraId="064345A4"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46.7 ± 1.2</w:t>
            </w:r>
          </w:p>
        </w:tc>
        <w:tc>
          <w:tcPr>
            <w:tcW w:w="1843" w:type="dxa"/>
            <w:shd w:val="clear" w:color="auto" w:fill="auto"/>
            <w:noWrap/>
            <w:vAlign w:val="center"/>
            <w:hideMark/>
          </w:tcPr>
          <w:p w14:paraId="5DD35BB9"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0.82</w:t>
            </w:r>
          </w:p>
        </w:tc>
      </w:tr>
      <w:tr w:rsidR="0062767C" w:rsidRPr="0049564D" w14:paraId="0340C92F" w14:textId="77777777" w:rsidTr="00406D43">
        <w:trPr>
          <w:trHeight w:val="315"/>
        </w:trPr>
        <w:tc>
          <w:tcPr>
            <w:tcW w:w="4431" w:type="dxa"/>
            <w:shd w:val="clear" w:color="auto" w:fill="auto"/>
            <w:noWrap/>
            <w:vAlign w:val="center"/>
            <w:hideMark/>
          </w:tcPr>
          <w:p w14:paraId="1CB34A83" w14:textId="74ABA718"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 xml:space="preserve"> mGPS (A / B, C, D)</w:t>
            </w:r>
          </w:p>
        </w:tc>
        <w:tc>
          <w:tcPr>
            <w:tcW w:w="1492" w:type="dxa"/>
            <w:shd w:val="clear" w:color="auto" w:fill="auto"/>
            <w:noWrap/>
            <w:vAlign w:val="center"/>
            <w:hideMark/>
          </w:tcPr>
          <w:p w14:paraId="253E3DD0"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9 / 17</w:t>
            </w:r>
          </w:p>
        </w:tc>
        <w:tc>
          <w:tcPr>
            <w:tcW w:w="1732" w:type="dxa"/>
            <w:shd w:val="clear" w:color="auto" w:fill="auto"/>
            <w:noWrap/>
            <w:vAlign w:val="center"/>
            <w:hideMark/>
          </w:tcPr>
          <w:p w14:paraId="5FD60D35"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126 / 84</w:t>
            </w:r>
          </w:p>
        </w:tc>
        <w:tc>
          <w:tcPr>
            <w:tcW w:w="1843" w:type="dxa"/>
            <w:shd w:val="clear" w:color="auto" w:fill="auto"/>
            <w:noWrap/>
            <w:vAlign w:val="center"/>
            <w:hideMark/>
          </w:tcPr>
          <w:p w14:paraId="31C59062"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0.012</w:t>
            </w:r>
          </w:p>
        </w:tc>
      </w:tr>
    </w:tbl>
    <w:p w14:paraId="117ECEFD" w14:textId="47FCB677" w:rsidR="00406D43" w:rsidRPr="0049564D" w:rsidRDefault="00406D43" w:rsidP="00B24044">
      <w:pPr>
        <w:adjustRightInd w:val="0"/>
        <w:snapToGrid w:val="0"/>
        <w:spacing w:line="360" w:lineRule="auto"/>
        <w:jc w:val="both"/>
        <w:rPr>
          <w:rFonts w:ascii="Book Antiqua" w:hAnsi="Book Antiqua"/>
        </w:rPr>
      </w:pPr>
      <w:r w:rsidRPr="0049564D">
        <w:rPr>
          <w:rFonts w:ascii="Book Antiqua" w:hAnsi="Book Antiqua"/>
          <w:vertAlign w:val="superscript"/>
        </w:rPr>
        <w:t>1</w:t>
      </w:r>
      <w:r w:rsidRPr="0049564D">
        <w:rPr>
          <w:rFonts w:ascii="Book Antiqua" w:hAnsi="Book Antiqua"/>
        </w:rPr>
        <w:t>Data are presented as the mean ± SD.</w:t>
      </w:r>
      <w:r w:rsidR="0010633C" w:rsidRPr="0049564D">
        <w:rPr>
          <w:rFonts w:ascii="Book Antiqua" w:hAnsi="Book Antiqua"/>
          <w:lang w:eastAsia="zh-CN"/>
        </w:rPr>
        <w:t xml:space="preserve"> </w:t>
      </w:r>
      <w:r w:rsidRPr="0049564D">
        <w:rPr>
          <w:rFonts w:ascii="Book Antiqua" w:hAnsi="Book Antiqua"/>
        </w:rPr>
        <w:t>CA19-9: Carbohydrate antigen 19-9; CEA: Carcinoembryonic antigen; NLR: Neutrophil-lymphocyte ratio; PLR: Platelet-lymphocyte ratio; PNI: Prognostic nutrition index; mGPS: Modified Glasgow prognostic score; EL: Exploratory laparotomy; R: Resected.</w:t>
      </w:r>
    </w:p>
    <w:p w14:paraId="6C00AA3E" w14:textId="116CC532" w:rsidR="00047B4A" w:rsidRPr="0049564D" w:rsidRDefault="00047B4A" w:rsidP="00B24044">
      <w:pPr>
        <w:adjustRightInd w:val="0"/>
        <w:snapToGrid w:val="0"/>
        <w:spacing w:line="360" w:lineRule="auto"/>
        <w:jc w:val="both"/>
        <w:rPr>
          <w:rFonts w:ascii="Book Antiqua" w:hAnsi="Book Antiqua"/>
        </w:rPr>
      </w:pPr>
      <w:r w:rsidRPr="0049564D">
        <w:rPr>
          <w:rFonts w:ascii="Book Antiqua" w:hAnsi="Book Antiqua"/>
        </w:rPr>
        <w:br w:type="page"/>
      </w:r>
      <w:r w:rsidR="00406D43" w:rsidRPr="0049564D">
        <w:rPr>
          <w:rFonts w:ascii="Book Antiqua" w:eastAsia="Yu Gothic" w:hAnsi="Book Antiqua"/>
          <w:b/>
        </w:rPr>
        <w:lastRenderedPageBreak/>
        <w:t>Table 3</w:t>
      </w:r>
      <w:r w:rsidR="00406D43" w:rsidRPr="0049564D">
        <w:rPr>
          <w:rFonts w:ascii="Book Antiqua" w:eastAsia="Yu Gothic" w:hAnsi="Book Antiqua"/>
        </w:rPr>
        <w:t xml:space="preserve"> </w:t>
      </w:r>
      <w:r w:rsidR="00406D43" w:rsidRPr="0049564D">
        <w:rPr>
          <w:rFonts w:ascii="Book Antiqua" w:eastAsia="Yu Gothic" w:hAnsi="Book Antiqua"/>
          <w:b/>
        </w:rPr>
        <w:t>Cut-off values of each variables determined using receiver operator characteristic curves for all BTC patients</w:t>
      </w:r>
    </w:p>
    <w:tbl>
      <w:tblPr>
        <w:tblW w:w="7081" w:type="dxa"/>
        <w:tblInd w:w="99" w:type="dxa"/>
        <w:tblCellMar>
          <w:left w:w="99" w:type="dxa"/>
          <w:right w:w="99" w:type="dxa"/>
        </w:tblCellMar>
        <w:tblLook w:val="04A0" w:firstRow="1" w:lastRow="0" w:firstColumn="1" w:lastColumn="0" w:noHBand="0" w:noVBand="1"/>
      </w:tblPr>
      <w:tblGrid>
        <w:gridCol w:w="1252"/>
        <w:gridCol w:w="1590"/>
        <w:gridCol w:w="1385"/>
        <w:gridCol w:w="1371"/>
        <w:gridCol w:w="738"/>
        <w:gridCol w:w="745"/>
      </w:tblGrid>
      <w:tr w:rsidR="0062767C" w:rsidRPr="0049564D" w14:paraId="336EB4B4" w14:textId="77777777" w:rsidTr="00406D43">
        <w:trPr>
          <w:trHeight w:val="340"/>
        </w:trPr>
        <w:tc>
          <w:tcPr>
            <w:tcW w:w="1252" w:type="dxa"/>
            <w:tcBorders>
              <w:top w:val="single" w:sz="4" w:space="0" w:color="auto"/>
              <w:left w:val="nil"/>
              <w:bottom w:val="single" w:sz="8" w:space="0" w:color="auto"/>
              <w:right w:val="nil"/>
            </w:tcBorders>
            <w:shd w:val="clear" w:color="auto" w:fill="auto"/>
            <w:noWrap/>
            <w:vAlign w:val="center"/>
            <w:hideMark/>
          </w:tcPr>
          <w:p w14:paraId="3588F664" w14:textId="77777777" w:rsidR="00047B4A" w:rsidRPr="0049564D" w:rsidRDefault="00047B4A"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rPr>
              <w:t>Variables</w:t>
            </w:r>
          </w:p>
        </w:tc>
        <w:tc>
          <w:tcPr>
            <w:tcW w:w="1590" w:type="dxa"/>
            <w:tcBorders>
              <w:top w:val="single" w:sz="4" w:space="0" w:color="auto"/>
              <w:left w:val="nil"/>
              <w:bottom w:val="single" w:sz="8" w:space="0" w:color="auto"/>
              <w:right w:val="nil"/>
            </w:tcBorders>
            <w:shd w:val="clear" w:color="auto" w:fill="auto"/>
            <w:noWrap/>
            <w:vAlign w:val="center"/>
            <w:hideMark/>
          </w:tcPr>
          <w:p w14:paraId="62613B95" w14:textId="77777777" w:rsidR="00047B4A" w:rsidRPr="0049564D" w:rsidRDefault="00047B4A"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rPr>
              <w:t>Cut-off value</w:t>
            </w:r>
          </w:p>
        </w:tc>
        <w:tc>
          <w:tcPr>
            <w:tcW w:w="1385" w:type="dxa"/>
            <w:tcBorders>
              <w:top w:val="single" w:sz="4" w:space="0" w:color="auto"/>
              <w:left w:val="nil"/>
              <w:bottom w:val="single" w:sz="8" w:space="0" w:color="auto"/>
              <w:right w:val="nil"/>
            </w:tcBorders>
            <w:shd w:val="clear" w:color="auto" w:fill="auto"/>
            <w:noWrap/>
            <w:vAlign w:val="center"/>
            <w:hideMark/>
          </w:tcPr>
          <w:p w14:paraId="4737BA7D" w14:textId="77777777" w:rsidR="00047B4A" w:rsidRPr="0049564D" w:rsidRDefault="00047B4A"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rPr>
              <w:t>Sensitivity</w:t>
            </w:r>
          </w:p>
        </w:tc>
        <w:tc>
          <w:tcPr>
            <w:tcW w:w="1371" w:type="dxa"/>
            <w:tcBorders>
              <w:top w:val="single" w:sz="4" w:space="0" w:color="auto"/>
              <w:left w:val="nil"/>
              <w:bottom w:val="single" w:sz="8" w:space="0" w:color="auto"/>
              <w:right w:val="nil"/>
            </w:tcBorders>
            <w:shd w:val="clear" w:color="auto" w:fill="auto"/>
            <w:noWrap/>
            <w:vAlign w:val="center"/>
            <w:hideMark/>
          </w:tcPr>
          <w:p w14:paraId="3FFA34D0" w14:textId="77777777" w:rsidR="00047B4A" w:rsidRPr="0049564D" w:rsidRDefault="00047B4A"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rPr>
              <w:t>Specificity</w:t>
            </w:r>
          </w:p>
        </w:tc>
        <w:tc>
          <w:tcPr>
            <w:tcW w:w="738" w:type="dxa"/>
            <w:tcBorders>
              <w:top w:val="single" w:sz="4" w:space="0" w:color="auto"/>
              <w:left w:val="nil"/>
              <w:bottom w:val="single" w:sz="8" w:space="0" w:color="auto"/>
              <w:right w:val="nil"/>
            </w:tcBorders>
            <w:shd w:val="clear" w:color="auto" w:fill="auto"/>
            <w:noWrap/>
            <w:vAlign w:val="center"/>
            <w:hideMark/>
          </w:tcPr>
          <w:p w14:paraId="7CC8DC83" w14:textId="77777777" w:rsidR="00047B4A" w:rsidRPr="0049564D" w:rsidRDefault="00047B4A"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rPr>
              <w:t>PPV</w:t>
            </w:r>
          </w:p>
        </w:tc>
        <w:tc>
          <w:tcPr>
            <w:tcW w:w="745" w:type="dxa"/>
            <w:tcBorders>
              <w:top w:val="single" w:sz="4" w:space="0" w:color="auto"/>
              <w:left w:val="nil"/>
              <w:bottom w:val="single" w:sz="8" w:space="0" w:color="auto"/>
              <w:right w:val="nil"/>
            </w:tcBorders>
            <w:shd w:val="clear" w:color="auto" w:fill="auto"/>
            <w:noWrap/>
            <w:vAlign w:val="center"/>
            <w:hideMark/>
          </w:tcPr>
          <w:p w14:paraId="40C07C56" w14:textId="77777777" w:rsidR="00047B4A" w:rsidRPr="0049564D" w:rsidRDefault="00047B4A"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rPr>
              <w:t>AUC</w:t>
            </w:r>
          </w:p>
        </w:tc>
      </w:tr>
      <w:tr w:rsidR="0062767C" w:rsidRPr="0049564D" w14:paraId="68EC6C1E" w14:textId="77777777" w:rsidTr="00406D43">
        <w:trPr>
          <w:trHeight w:val="320"/>
        </w:trPr>
        <w:tc>
          <w:tcPr>
            <w:tcW w:w="1252" w:type="dxa"/>
            <w:tcBorders>
              <w:top w:val="nil"/>
              <w:left w:val="nil"/>
              <w:bottom w:val="nil"/>
              <w:right w:val="nil"/>
            </w:tcBorders>
            <w:shd w:val="clear" w:color="auto" w:fill="auto"/>
            <w:noWrap/>
            <w:vAlign w:val="center"/>
            <w:hideMark/>
          </w:tcPr>
          <w:p w14:paraId="39171F7A"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CA19-9</w:t>
            </w:r>
          </w:p>
        </w:tc>
        <w:tc>
          <w:tcPr>
            <w:tcW w:w="1590" w:type="dxa"/>
            <w:tcBorders>
              <w:top w:val="nil"/>
              <w:left w:val="nil"/>
              <w:bottom w:val="nil"/>
              <w:right w:val="nil"/>
            </w:tcBorders>
            <w:shd w:val="clear" w:color="auto" w:fill="auto"/>
            <w:noWrap/>
            <w:vAlign w:val="center"/>
            <w:hideMark/>
          </w:tcPr>
          <w:p w14:paraId="471F6D1A" w14:textId="276671CD"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255 IU/</w:t>
            </w:r>
            <w:r w:rsidR="00700313" w:rsidRPr="0049564D">
              <w:rPr>
                <w:rFonts w:ascii="Book Antiqua" w:eastAsia="Yu Gothic" w:hAnsi="Book Antiqua"/>
              </w:rPr>
              <w:t>mL</w:t>
            </w:r>
          </w:p>
        </w:tc>
        <w:tc>
          <w:tcPr>
            <w:tcW w:w="1385" w:type="dxa"/>
            <w:tcBorders>
              <w:top w:val="nil"/>
              <w:left w:val="nil"/>
              <w:bottom w:val="nil"/>
              <w:right w:val="nil"/>
            </w:tcBorders>
            <w:shd w:val="clear" w:color="auto" w:fill="auto"/>
            <w:noWrap/>
            <w:vAlign w:val="center"/>
            <w:hideMark/>
          </w:tcPr>
          <w:p w14:paraId="1BA959DC"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0.423</w:t>
            </w:r>
          </w:p>
        </w:tc>
        <w:tc>
          <w:tcPr>
            <w:tcW w:w="1371" w:type="dxa"/>
            <w:tcBorders>
              <w:top w:val="nil"/>
              <w:left w:val="nil"/>
              <w:bottom w:val="nil"/>
              <w:right w:val="nil"/>
            </w:tcBorders>
            <w:shd w:val="clear" w:color="auto" w:fill="auto"/>
            <w:noWrap/>
            <w:vAlign w:val="center"/>
            <w:hideMark/>
          </w:tcPr>
          <w:p w14:paraId="4AE9177A"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0.823</w:t>
            </w:r>
          </w:p>
        </w:tc>
        <w:tc>
          <w:tcPr>
            <w:tcW w:w="738" w:type="dxa"/>
            <w:tcBorders>
              <w:top w:val="nil"/>
              <w:left w:val="nil"/>
              <w:bottom w:val="nil"/>
              <w:right w:val="nil"/>
            </w:tcBorders>
            <w:shd w:val="clear" w:color="auto" w:fill="auto"/>
            <w:noWrap/>
            <w:vAlign w:val="center"/>
            <w:hideMark/>
          </w:tcPr>
          <w:p w14:paraId="6B3672E4"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0.229</w:t>
            </w:r>
          </w:p>
        </w:tc>
        <w:tc>
          <w:tcPr>
            <w:tcW w:w="745" w:type="dxa"/>
            <w:tcBorders>
              <w:top w:val="nil"/>
              <w:left w:val="nil"/>
              <w:bottom w:val="nil"/>
              <w:right w:val="nil"/>
            </w:tcBorders>
            <w:shd w:val="clear" w:color="auto" w:fill="auto"/>
            <w:noWrap/>
            <w:vAlign w:val="center"/>
            <w:hideMark/>
          </w:tcPr>
          <w:p w14:paraId="22E29149"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0.688</w:t>
            </w:r>
          </w:p>
        </w:tc>
      </w:tr>
      <w:tr w:rsidR="0062767C" w:rsidRPr="0049564D" w14:paraId="5CFC097C" w14:textId="77777777" w:rsidTr="00406D43">
        <w:trPr>
          <w:trHeight w:val="320"/>
        </w:trPr>
        <w:tc>
          <w:tcPr>
            <w:tcW w:w="1252" w:type="dxa"/>
            <w:tcBorders>
              <w:top w:val="nil"/>
              <w:left w:val="nil"/>
              <w:bottom w:val="nil"/>
              <w:right w:val="nil"/>
            </w:tcBorders>
            <w:shd w:val="clear" w:color="auto" w:fill="auto"/>
            <w:noWrap/>
            <w:vAlign w:val="center"/>
            <w:hideMark/>
          </w:tcPr>
          <w:p w14:paraId="50FCA97E"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CEA</w:t>
            </w:r>
          </w:p>
        </w:tc>
        <w:tc>
          <w:tcPr>
            <w:tcW w:w="1590" w:type="dxa"/>
            <w:tcBorders>
              <w:top w:val="nil"/>
              <w:left w:val="nil"/>
              <w:bottom w:val="nil"/>
              <w:right w:val="nil"/>
            </w:tcBorders>
            <w:shd w:val="clear" w:color="auto" w:fill="auto"/>
            <w:noWrap/>
            <w:vAlign w:val="center"/>
            <w:hideMark/>
          </w:tcPr>
          <w:p w14:paraId="07FF2483" w14:textId="4E2777C1"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7 ng/</w:t>
            </w:r>
            <w:r w:rsidR="00700313" w:rsidRPr="0049564D">
              <w:rPr>
                <w:rFonts w:ascii="Book Antiqua" w:eastAsia="Yu Gothic" w:hAnsi="Book Antiqua"/>
              </w:rPr>
              <w:t>mL</w:t>
            </w:r>
          </w:p>
        </w:tc>
        <w:tc>
          <w:tcPr>
            <w:tcW w:w="1385" w:type="dxa"/>
            <w:tcBorders>
              <w:top w:val="nil"/>
              <w:left w:val="nil"/>
              <w:bottom w:val="nil"/>
              <w:right w:val="nil"/>
            </w:tcBorders>
            <w:shd w:val="clear" w:color="auto" w:fill="auto"/>
            <w:noWrap/>
            <w:vAlign w:val="center"/>
            <w:hideMark/>
          </w:tcPr>
          <w:p w14:paraId="622871FB"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0.346</w:t>
            </w:r>
          </w:p>
        </w:tc>
        <w:tc>
          <w:tcPr>
            <w:tcW w:w="1371" w:type="dxa"/>
            <w:tcBorders>
              <w:top w:val="nil"/>
              <w:left w:val="nil"/>
              <w:bottom w:val="nil"/>
              <w:right w:val="nil"/>
            </w:tcBorders>
            <w:shd w:val="clear" w:color="auto" w:fill="auto"/>
            <w:noWrap/>
            <w:vAlign w:val="center"/>
            <w:hideMark/>
          </w:tcPr>
          <w:p w14:paraId="44A99375"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0.919</w:t>
            </w:r>
          </w:p>
        </w:tc>
        <w:tc>
          <w:tcPr>
            <w:tcW w:w="738" w:type="dxa"/>
            <w:tcBorders>
              <w:top w:val="nil"/>
              <w:left w:val="nil"/>
              <w:bottom w:val="nil"/>
              <w:right w:val="nil"/>
            </w:tcBorders>
            <w:shd w:val="clear" w:color="auto" w:fill="auto"/>
            <w:noWrap/>
            <w:vAlign w:val="center"/>
            <w:hideMark/>
          </w:tcPr>
          <w:p w14:paraId="388AD136"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0.346</w:t>
            </w:r>
          </w:p>
        </w:tc>
        <w:tc>
          <w:tcPr>
            <w:tcW w:w="745" w:type="dxa"/>
            <w:tcBorders>
              <w:top w:val="nil"/>
              <w:left w:val="nil"/>
              <w:bottom w:val="nil"/>
              <w:right w:val="nil"/>
            </w:tcBorders>
            <w:shd w:val="clear" w:color="auto" w:fill="auto"/>
            <w:noWrap/>
            <w:vAlign w:val="center"/>
            <w:hideMark/>
          </w:tcPr>
          <w:p w14:paraId="4088D910"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0.645</w:t>
            </w:r>
          </w:p>
        </w:tc>
      </w:tr>
      <w:tr w:rsidR="0062767C" w:rsidRPr="0049564D" w14:paraId="2AAA12C4" w14:textId="77777777" w:rsidTr="00406D43">
        <w:trPr>
          <w:trHeight w:val="320"/>
        </w:trPr>
        <w:tc>
          <w:tcPr>
            <w:tcW w:w="1252" w:type="dxa"/>
            <w:tcBorders>
              <w:top w:val="nil"/>
              <w:left w:val="nil"/>
              <w:bottom w:val="single" w:sz="4" w:space="0" w:color="auto"/>
              <w:right w:val="nil"/>
            </w:tcBorders>
            <w:shd w:val="clear" w:color="auto" w:fill="auto"/>
            <w:noWrap/>
            <w:vAlign w:val="center"/>
            <w:hideMark/>
          </w:tcPr>
          <w:p w14:paraId="4C04CF9C"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NLR</w:t>
            </w:r>
          </w:p>
        </w:tc>
        <w:tc>
          <w:tcPr>
            <w:tcW w:w="1590" w:type="dxa"/>
            <w:tcBorders>
              <w:top w:val="nil"/>
              <w:left w:val="nil"/>
              <w:bottom w:val="single" w:sz="4" w:space="0" w:color="auto"/>
              <w:right w:val="nil"/>
            </w:tcBorders>
            <w:shd w:val="clear" w:color="auto" w:fill="auto"/>
            <w:noWrap/>
            <w:vAlign w:val="center"/>
            <w:hideMark/>
          </w:tcPr>
          <w:p w14:paraId="6F9D6D49"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3</w:t>
            </w:r>
          </w:p>
        </w:tc>
        <w:tc>
          <w:tcPr>
            <w:tcW w:w="1385" w:type="dxa"/>
            <w:tcBorders>
              <w:top w:val="nil"/>
              <w:left w:val="nil"/>
              <w:bottom w:val="single" w:sz="4" w:space="0" w:color="auto"/>
              <w:right w:val="nil"/>
            </w:tcBorders>
            <w:shd w:val="clear" w:color="auto" w:fill="auto"/>
            <w:noWrap/>
            <w:vAlign w:val="center"/>
            <w:hideMark/>
          </w:tcPr>
          <w:p w14:paraId="05766CA7"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0.615</w:t>
            </w:r>
          </w:p>
        </w:tc>
        <w:tc>
          <w:tcPr>
            <w:tcW w:w="1371" w:type="dxa"/>
            <w:tcBorders>
              <w:top w:val="nil"/>
              <w:left w:val="nil"/>
              <w:bottom w:val="single" w:sz="4" w:space="0" w:color="auto"/>
              <w:right w:val="nil"/>
            </w:tcBorders>
            <w:shd w:val="clear" w:color="auto" w:fill="auto"/>
            <w:noWrap/>
            <w:vAlign w:val="center"/>
            <w:hideMark/>
          </w:tcPr>
          <w:p w14:paraId="2B330222"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0.71</w:t>
            </w:r>
          </w:p>
        </w:tc>
        <w:tc>
          <w:tcPr>
            <w:tcW w:w="738" w:type="dxa"/>
            <w:tcBorders>
              <w:top w:val="nil"/>
              <w:left w:val="nil"/>
              <w:bottom w:val="single" w:sz="4" w:space="0" w:color="auto"/>
              <w:right w:val="nil"/>
            </w:tcBorders>
            <w:shd w:val="clear" w:color="auto" w:fill="auto"/>
            <w:noWrap/>
            <w:vAlign w:val="center"/>
            <w:hideMark/>
          </w:tcPr>
          <w:p w14:paraId="5EE5A66B"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0.208</w:t>
            </w:r>
          </w:p>
        </w:tc>
        <w:tc>
          <w:tcPr>
            <w:tcW w:w="745" w:type="dxa"/>
            <w:tcBorders>
              <w:top w:val="nil"/>
              <w:left w:val="nil"/>
              <w:bottom w:val="single" w:sz="4" w:space="0" w:color="auto"/>
              <w:right w:val="nil"/>
            </w:tcBorders>
            <w:shd w:val="clear" w:color="auto" w:fill="auto"/>
            <w:noWrap/>
            <w:vAlign w:val="center"/>
            <w:hideMark/>
          </w:tcPr>
          <w:p w14:paraId="2B2E4F6F" w14:textId="77777777"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0.667</w:t>
            </w:r>
          </w:p>
        </w:tc>
      </w:tr>
    </w:tbl>
    <w:p w14:paraId="68F3ECBA" w14:textId="77777777" w:rsidR="008A6182" w:rsidRPr="0049564D" w:rsidRDefault="00406D43" w:rsidP="00B24044">
      <w:pPr>
        <w:adjustRightInd w:val="0"/>
        <w:snapToGrid w:val="0"/>
        <w:spacing w:line="360" w:lineRule="auto"/>
        <w:jc w:val="both"/>
        <w:rPr>
          <w:rFonts w:ascii="Book Antiqua" w:hAnsi="Book Antiqua"/>
        </w:rPr>
      </w:pPr>
      <w:r w:rsidRPr="0049564D">
        <w:rPr>
          <w:rFonts w:ascii="Book Antiqua" w:hAnsi="Book Antiqua"/>
        </w:rPr>
        <w:t xml:space="preserve">PPV: Positive predictive value; AUC: Area under the curve; BTC: Biliary tract cancer. </w:t>
      </w:r>
    </w:p>
    <w:p w14:paraId="194B5EB6" w14:textId="77777777" w:rsidR="008A6182" w:rsidRPr="0049564D" w:rsidRDefault="008A6182" w:rsidP="00B24044">
      <w:pPr>
        <w:adjustRightInd w:val="0"/>
        <w:snapToGrid w:val="0"/>
        <w:spacing w:line="360" w:lineRule="auto"/>
        <w:jc w:val="both"/>
        <w:rPr>
          <w:rFonts w:ascii="Book Antiqua" w:hAnsi="Book Antiqua"/>
        </w:rPr>
      </w:pPr>
    </w:p>
    <w:p w14:paraId="0A5FD9D3" w14:textId="77777777" w:rsidR="008A6182" w:rsidRPr="0049564D" w:rsidRDefault="008A6182" w:rsidP="00B24044">
      <w:pPr>
        <w:adjustRightInd w:val="0"/>
        <w:snapToGrid w:val="0"/>
        <w:spacing w:line="360" w:lineRule="auto"/>
        <w:jc w:val="both"/>
        <w:rPr>
          <w:rFonts w:ascii="Book Antiqua" w:hAnsi="Book Antiqua"/>
        </w:rPr>
      </w:pPr>
    </w:p>
    <w:p w14:paraId="60B36958" w14:textId="7B7D20CA" w:rsidR="00047B4A" w:rsidRPr="0049564D" w:rsidRDefault="00047B4A" w:rsidP="00B24044">
      <w:pPr>
        <w:adjustRightInd w:val="0"/>
        <w:snapToGrid w:val="0"/>
        <w:spacing w:line="360" w:lineRule="auto"/>
        <w:jc w:val="both"/>
        <w:rPr>
          <w:rFonts w:ascii="Book Antiqua" w:hAnsi="Book Antiqua"/>
          <w:b/>
        </w:rPr>
      </w:pPr>
      <w:r w:rsidRPr="0049564D">
        <w:rPr>
          <w:rFonts w:ascii="Book Antiqua" w:hAnsi="Book Antiqua"/>
        </w:rPr>
        <w:br w:type="page"/>
      </w:r>
      <w:r w:rsidR="00406D43" w:rsidRPr="0049564D">
        <w:rPr>
          <w:rFonts w:ascii="Book Antiqua" w:hAnsi="Book Antiqua"/>
          <w:b/>
        </w:rPr>
        <w:lastRenderedPageBreak/>
        <w:t>Table 4 Tumor markers, inflammation-based prognostic scores and survival time according to type of biliary tract cancers</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1741"/>
        <w:gridCol w:w="1741"/>
        <w:gridCol w:w="1741"/>
        <w:gridCol w:w="1733"/>
        <w:gridCol w:w="8"/>
      </w:tblGrid>
      <w:tr w:rsidR="0062767C" w:rsidRPr="0049564D" w14:paraId="6A0BBBCF" w14:textId="77777777" w:rsidTr="002F2A67">
        <w:tc>
          <w:tcPr>
            <w:tcW w:w="1750" w:type="dxa"/>
            <w:tcBorders>
              <w:top w:val="single" w:sz="4" w:space="0" w:color="auto"/>
              <w:bottom w:val="single" w:sz="4" w:space="0" w:color="auto"/>
            </w:tcBorders>
          </w:tcPr>
          <w:p w14:paraId="178B43F8" w14:textId="12A1B39E"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b/>
                <w:bCs/>
              </w:rPr>
              <w:t>Variables</w:t>
            </w:r>
          </w:p>
        </w:tc>
        <w:tc>
          <w:tcPr>
            <w:tcW w:w="6964" w:type="dxa"/>
            <w:gridSpan w:val="5"/>
            <w:tcBorders>
              <w:top w:val="single" w:sz="4" w:space="0" w:color="auto"/>
              <w:bottom w:val="single" w:sz="4" w:space="0" w:color="auto"/>
            </w:tcBorders>
          </w:tcPr>
          <w:p w14:paraId="476ADF77" w14:textId="212AAA24"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b/>
                <w:bCs/>
              </w:rPr>
              <w:t>Type of cancer</w:t>
            </w:r>
          </w:p>
        </w:tc>
      </w:tr>
      <w:tr w:rsidR="0062767C" w:rsidRPr="0049564D" w14:paraId="401673DD" w14:textId="28975114" w:rsidTr="002F2A67">
        <w:trPr>
          <w:gridAfter w:val="1"/>
          <w:wAfter w:w="8" w:type="dxa"/>
        </w:trPr>
        <w:tc>
          <w:tcPr>
            <w:tcW w:w="1750" w:type="dxa"/>
          </w:tcPr>
          <w:p w14:paraId="5F30DD66" w14:textId="77777777" w:rsidR="002F2A67" w:rsidRPr="0049564D" w:rsidRDefault="002F2A67" w:rsidP="00B24044">
            <w:pPr>
              <w:adjustRightInd w:val="0"/>
              <w:snapToGrid w:val="0"/>
              <w:spacing w:line="360" w:lineRule="auto"/>
              <w:jc w:val="both"/>
              <w:rPr>
                <w:rFonts w:ascii="Book Antiqua" w:hAnsi="Book Antiqua"/>
              </w:rPr>
            </w:pPr>
          </w:p>
        </w:tc>
        <w:tc>
          <w:tcPr>
            <w:tcW w:w="1741" w:type="dxa"/>
          </w:tcPr>
          <w:p w14:paraId="70AA6CCA" w14:textId="7A7729B3"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IBDC</w:t>
            </w:r>
          </w:p>
        </w:tc>
        <w:tc>
          <w:tcPr>
            <w:tcW w:w="1741" w:type="dxa"/>
          </w:tcPr>
          <w:p w14:paraId="551C804F" w14:textId="02D2B1E6"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EBDC</w:t>
            </w:r>
          </w:p>
        </w:tc>
        <w:tc>
          <w:tcPr>
            <w:tcW w:w="1741" w:type="dxa"/>
          </w:tcPr>
          <w:p w14:paraId="41734B83" w14:textId="528C54F5"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GBC</w:t>
            </w:r>
          </w:p>
        </w:tc>
        <w:tc>
          <w:tcPr>
            <w:tcW w:w="1733" w:type="dxa"/>
            <w:shd w:val="clear" w:color="auto" w:fill="auto"/>
          </w:tcPr>
          <w:p w14:paraId="500E23C9" w14:textId="35AFF113" w:rsidR="002F2A67" w:rsidRPr="0049564D" w:rsidRDefault="002F2A67" w:rsidP="00B24044">
            <w:pPr>
              <w:jc w:val="both"/>
              <w:rPr>
                <w:rFonts w:ascii="Book Antiqua" w:hAnsi="Book Antiqua"/>
              </w:rPr>
            </w:pPr>
            <w:r w:rsidRPr="0049564D">
              <w:rPr>
                <w:rFonts w:ascii="Book Antiqua" w:hAnsi="Book Antiqua"/>
              </w:rPr>
              <w:t>Vater C</w:t>
            </w:r>
          </w:p>
        </w:tc>
      </w:tr>
      <w:tr w:rsidR="0062767C" w:rsidRPr="0049564D" w14:paraId="6B9C0C95" w14:textId="55D8D1E7" w:rsidTr="002F2A67">
        <w:trPr>
          <w:gridAfter w:val="1"/>
          <w:wAfter w:w="8" w:type="dxa"/>
        </w:trPr>
        <w:tc>
          <w:tcPr>
            <w:tcW w:w="1750" w:type="dxa"/>
          </w:tcPr>
          <w:p w14:paraId="3867C75E" w14:textId="77777777" w:rsidR="002F2A67" w:rsidRPr="0049564D" w:rsidRDefault="002F2A67" w:rsidP="00B24044">
            <w:pPr>
              <w:adjustRightInd w:val="0"/>
              <w:snapToGrid w:val="0"/>
              <w:spacing w:line="360" w:lineRule="auto"/>
              <w:jc w:val="both"/>
              <w:rPr>
                <w:rFonts w:ascii="Book Antiqua" w:hAnsi="Book Antiqua"/>
              </w:rPr>
            </w:pPr>
          </w:p>
        </w:tc>
        <w:tc>
          <w:tcPr>
            <w:tcW w:w="1741" w:type="dxa"/>
          </w:tcPr>
          <w:p w14:paraId="00583213" w14:textId="6C0B85C6"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w:t>
            </w:r>
            <w:r w:rsidRPr="0049564D">
              <w:rPr>
                <w:rFonts w:ascii="Book Antiqua" w:hAnsi="Book Antiqua"/>
                <w:i/>
              </w:rPr>
              <w:t xml:space="preserve">n </w:t>
            </w:r>
            <w:r w:rsidRPr="0049564D">
              <w:rPr>
                <w:rFonts w:ascii="Book Antiqua" w:hAnsi="Book Antiqua"/>
              </w:rPr>
              <w:t>= 39)</w:t>
            </w:r>
          </w:p>
        </w:tc>
        <w:tc>
          <w:tcPr>
            <w:tcW w:w="1741" w:type="dxa"/>
          </w:tcPr>
          <w:p w14:paraId="5285BCF9" w14:textId="74651D6B"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w:t>
            </w:r>
            <w:r w:rsidRPr="0049564D">
              <w:rPr>
                <w:rFonts w:ascii="Book Antiqua" w:hAnsi="Book Antiqua"/>
                <w:i/>
              </w:rPr>
              <w:t xml:space="preserve">n </w:t>
            </w:r>
            <w:r w:rsidRPr="0049564D">
              <w:rPr>
                <w:rFonts w:ascii="Book Antiqua" w:hAnsi="Book Antiqua"/>
              </w:rPr>
              <w:t>= 110)</w:t>
            </w:r>
          </w:p>
        </w:tc>
        <w:tc>
          <w:tcPr>
            <w:tcW w:w="1741" w:type="dxa"/>
          </w:tcPr>
          <w:p w14:paraId="6FAF6D87" w14:textId="7C606825"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w:t>
            </w:r>
            <w:r w:rsidRPr="0049564D">
              <w:rPr>
                <w:rFonts w:ascii="Book Antiqua" w:hAnsi="Book Antiqua"/>
                <w:i/>
              </w:rPr>
              <w:t xml:space="preserve">n </w:t>
            </w:r>
            <w:r w:rsidRPr="0049564D">
              <w:rPr>
                <w:rFonts w:ascii="Book Antiqua" w:hAnsi="Book Antiqua"/>
              </w:rPr>
              <w:t>= 50)</w:t>
            </w:r>
          </w:p>
        </w:tc>
        <w:tc>
          <w:tcPr>
            <w:tcW w:w="1733" w:type="dxa"/>
            <w:shd w:val="clear" w:color="auto" w:fill="auto"/>
          </w:tcPr>
          <w:p w14:paraId="79F9710B" w14:textId="222DF3E6" w:rsidR="002F2A67" w:rsidRPr="0049564D" w:rsidRDefault="002F2A67" w:rsidP="00B24044">
            <w:pPr>
              <w:jc w:val="both"/>
              <w:rPr>
                <w:rFonts w:ascii="Book Antiqua" w:hAnsi="Book Antiqua"/>
              </w:rPr>
            </w:pPr>
            <w:r w:rsidRPr="0049564D">
              <w:rPr>
                <w:rFonts w:ascii="Book Antiqua" w:hAnsi="Book Antiqua"/>
              </w:rPr>
              <w:t>(</w:t>
            </w:r>
            <w:r w:rsidRPr="0049564D">
              <w:rPr>
                <w:rFonts w:ascii="Book Antiqua" w:hAnsi="Book Antiqua"/>
                <w:i/>
                <w:iCs/>
              </w:rPr>
              <w:t>n</w:t>
            </w:r>
            <w:r w:rsidRPr="0049564D">
              <w:rPr>
                <w:rFonts w:ascii="Book Antiqua" w:hAnsi="Book Antiqua"/>
              </w:rPr>
              <w:t xml:space="preserve"> = 37)</w:t>
            </w:r>
          </w:p>
        </w:tc>
      </w:tr>
      <w:tr w:rsidR="0062767C" w:rsidRPr="0049564D" w14:paraId="3001B544" w14:textId="77777777" w:rsidTr="002F2A67">
        <w:tc>
          <w:tcPr>
            <w:tcW w:w="8714" w:type="dxa"/>
            <w:gridSpan w:val="6"/>
          </w:tcPr>
          <w:p w14:paraId="44A2AE33" w14:textId="580EFB40"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Tumor markers</w:t>
            </w:r>
          </w:p>
        </w:tc>
      </w:tr>
      <w:tr w:rsidR="0062767C" w:rsidRPr="0049564D" w14:paraId="20590748" w14:textId="77777777" w:rsidTr="002F2A67">
        <w:tc>
          <w:tcPr>
            <w:tcW w:w="1750" w:type="dxa"/>
          </w:tcPr>
          <w:p w14:paraId="4C93CA45" w14:textId="78BABC8C"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CA19-9 (IU/</w:t>
            </w:r>
            <w:r w:rsidR="00700313" w:rsidRPr="0049564D">
              <w:rPr>
                <w:rFonts w:ascii="Book Antiqua" w:hAnsi="Book Antiqua"/>
              </w:rPr>
              <w:t>mL</w:t>
            </w:r>
            <w:r w:rsidRPr="0049564D">
              <w:rPr>
                <w:rFonts w:ascii="Book Antiqua" w:hAnsi="Book Antiqua"/>
              </w:rPr>
              <w:t>)</w:t>
            </w:r>
            <w:r w:rsidRPr="0049564D">
              <w:rPr>
                <w:rFonts w:ascii="Book Antiqua" w:hAnsi="Book Antiqua"/>
                <w:vertAlign w:val="superscript"/>
              </w:rPr>
              <w:t>1</w:t>
            </w:r>
          </w:p>
        </w:tc>
        <w:tc>
          <w:tcPr>
            <w:tcW w:w="1741" w:type="dxa"/>
          </w:tcPr>
          <w:p w14:paraId="5CC3875D" w14:textId="423296CC"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7904 ± 3316</w:t>
            </w:r>
          </w:p>
        </w:tc>
        <w:tc>
          <w:tcPr>
            <w:tcW w:w="1741" w:type="dxa"/>
          </w:tcPr>
          <w:p w14:paraId="542CF3DE" w14:textId="2D89E9F6"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1356 ± 506</w:t>
            </w:r>
          </w:p>
        </w:tc>
        <w:tc>
          <w:tcPr>
            <w:tcW w:w="1741" w:type="dxa"/>
          </w:tcPr>
          <w:p w14:paraId="5B9479DE" w14:textId="2F08EBF4"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832 ± 371</w:t>
            </w:r>
          </w:p>
        </w:tc>
        <w:tc>
          <w:tcPr>
            <w:tcW w:w="1741" w:type="dxa"/>
            <w:gridSpan w:val="2"/>
          </w:tcPr>
          <w:p w14:paraId="6A141AE7" w14:textId="573172BC"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22 ± 36</w:t>
            </w:r>
          </w:p>
        </w:tc>
      </w:tr>
      <w:tr w:rsidR="0062767C" w:rsidRPr="0049564D" w14:paraId="647503B6" w14:textId="77777777" w:rsidTr="002F2A67">
        <w:tc>
          <w:tcPr>
            <w:tcW w:w="1750" w:type="dxa"/>
          </w:tcPr>
          <w:p w14:paraId="05A0A3F7" w14:textId="6AE55BA5"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CEA (ng/</w:t>
            </w:r>
            <w:r w:rsidR="00700313" w:rsidRPr="0049564D">
              <w:rPr>
                <w:rFonts w:ascii="Book Antiqua" w:hAnsi="Book Antiqua"/>
              </w:rPr>
              <w:t>mL</w:t>
            </w:r>
            <w:r w:rsidRPr="0049564D">
              <w:rPr>
                <w:rFonts w:ascii="Book Antiqua" w:hAnsi="Book Antiqua"/>
              </w:rPr>
              <w:t xml:space="preserve">) </w:t>
            </w:r>
            <w:r w:rsidRPr="0049564D">
              <w:rPr>
                <w:rFonts w:ascii="Book Antiqua" w:hAnsi="Book Antiqua"/>
                <w:vertAlign w:val="superscript"/>
              </w:rPr>
              <w:t>1</w:t>
            </w:r>
          </w:p>
        </w:tc>
        <w:tc>
          <w:tcPr>
            <w:tcW w:w="1741" w:type="dxa"/>
          </w:tcPr>
          <w:p w14:paraId="7EBEF34C" w14:textId="4D207D23"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12.2 ± 26.8</w:t>
            </w:r>
          </w:p>
        </w:tc>
        <w:tc>
          <w:tcPr>
            <w:tcW w:w="1741" w:type="dxa"/>
          </w:tcPr>
          <w:p w14:paraId="7E88B021" w14:textId="743BB055"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4.0 ± 7.5</w:t>
            </w:r>
          </w:p>
        </w:tc>
        <w:tc>
          <w:tcPr>
            <w:tcW w:w="1741" w:type="dxa"/>
          </w:tcPr>
          <w:p w14:paraId="5CD9D633" w14:textId="4154A10E"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8.4 ± 22.0</w:t>
            </w:r>
          </w:p>
        </w:tc>
        <w:tc>
          <w:tcPr>
            <w:tcW w:w="1741" w:type="dxa"/>
            <w:gridSpan w:val="2"/>
          </w:tcPr>
          <w:p w14:paraId="2BFB583E" w14:textId="1F32C8E1"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3.2 ± 3.5</w:t>
            </w:r>
          </w:p>
        </w:tc>
      </w:tr>
      <w:tr w:rsidR="0062767C" w:rsidRPr="0049564D" w14:paraId="63F951CF" w14:textId="77777777" w:rsidTr="002F2A67">
        <w:tc>
          <w:tcPr>
            <w:tcW w:w="8714" w:type="dxa"/>
            <w:gridSpan w:val="6"/>
          </w:tcPr>
          <w:p w14:paraId="3C88B7A0" w14:textId="44DAE93C"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Inflammation-based prognostic scores</w:t>
            </w:r>
            <w:r w:rsidRPr="0049564D">
              <w:rPr>
                <w:rFonts w:ascii="Book Antiqua" w:hAnsi="Book Antiqua"/>
              </w:rPr>
              <w:tab/>
            </w:r>
          </w:p>
        </w:tc>
      </w:tr>
      <w:tr w:rsidR="0062767C" w:rsidRPr="0049564D" w14:paraId="5C840691" w14:textId="77777777" w:rsidTr="002F2A67">
        <w:tc>
          <w:tcPr>
            <w:tcW w:w="1750" w:type="dxa"/>
          </w:tcPr>
          <w:p w14:paraId="104EAE55" w14:textId="2B1AD71C"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NLR</w:t>
            </w:r>
            <w:r w:rsidRPr="0049564D">
              <w:rPr>
                <w:rFonts w:ascii="Book Antiqua" w:hAnsi="Book Antiqua"/>
                <w:vertAlign w:val="superscript"/>
              </w:rPr>
              <w:t>1</w:t>
            </w:r>
          </w:p>
        </w:tc>
        <w:tc>
          <w:tcPr>
            <w:tcW w:w="1741" w:type="dxa"/>
          </w:tcPr>
          <w:p w14:paraId="3582B351" w14:textId="6FD0294A"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3.04 ± 1.60</w:t>
            </w:r>
          </w:p>
        </w:tc>
        <w:tc>
          <w:tcPr>
            <w:tcW w:w="1741" w:type="dxa"/>
          </w:tcPr>
          <w:p w14:paraId="72260C5B" w14:textId="5DFECFF1"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2.83 ± 2.20</w:t>
            </w:r>
          </w:p>
        </w:tc>
        <w:tc>
          <w:tcPr>
            <w:tcW w:w="1741" w:type="dxa"/>
          </w:tcPr>
          <w:p w14:paraId="38B4E869" w14:textId="36320410"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3.22 ± 2.27</w:t>
            </w:r>
          </w:p>
        </w:tc>
        <w:tc>
          <w:tcPr>
            <w:tcW w:w="1741" w:type="dxa"/>
            <w:gridSpan w:val="2"/>
          </w:tcPr>
          <w:p w14:paraId="0F44C69C" w14:textId="7241132E"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2.74 ± 2.04</w:t>
            </w:r>
          </w:p>
        </w:tc>
      </w:tr>
      <w:tr w:rsidR="0062767C" w:rsidRPr="0049564D" w14:paraId="7414F26E" w14:textId="77777777" w:rsidTr="002F2A67">
        <w:tc>
          <w:tcPr>
            <w:tcW w:w="1750" w:type="dxa"/>
          </w:tcPr>
          <w:p w14:paraId="39FC6712" w14:textId="325FF46C"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PLR</w:t>
            </w:r>
            <w:r w:rsidRPr="0049564D">
              <w:rPr>
                <w:rFonts w:ascii="Book Antiqua" w:hAnsi="Book Antiqua"/>
                <w:vertAlign w:val="superscript"/>
              </w:rPr>
              <w:t>1</w:t>
            </w:r>
          </w:p>
        </w:tc>
        <w:tc>
          <w:tcPr>
            <w:tcW w:w="1741" w:type="dxa"/>
          </w:tcPr>
          <w:p w14:paraId="230AEEFD" w14:textId="09019D87"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151.1 ± 56.9</w:t>
            </w:r>
          </w:p>
        </w:tc>
        <w:tc>
          <w:tcPr>
            <w:tcW w:w="1741" w:type="dxa"/>
          </w:tcPr>
          <w:p w14:paraId="757F2464" w14:textId="4D41DE2D"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174.0 ± 95.4</w:t>
            </w:r>
          </w:p>
        </w:tc>
        <w:tc>
          <w:tcPr>
            <w:tcW w:w="1741" w:type="dxa"/>
          </w:tcPr>
          <w:p w14:paraId="29A41148" w14:textId="19443B11"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176.6 ± 99.2</w:t>
            </w:r>
          </w:p>
        </w:tc>
        <w:tc>
          <w:tcPr>
            <w:tcW w:w="1741" w:type="dxa"/>
            <w:gridSpan w:val="2"/>
          </w:tcPr>
          <w:p w14:paraId="1637C1DD" w14:textId="3EFE3882"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163.2 ± 109.9</w:t>
            </w:r>
          </w:p>
        </w:tc>
      </w:tr>
      <w:tr w:rsidR="0062767C" w:rsidRPr="0049564D" w14:paraId="3B479567" w14:textId="77777777" w:rsidTr="002F2A67">
        <w:tc>
          <w:tcPr>
            <w:tcW w:w="1750" w:type="dxa"/>
          </w:tcPr>
          <w:p w14:paraId="65523C01" w14:textId="12A77EC4"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PNI</w:t>
            </w:r>
            <w:r w:rsidRPr="0049564D">
              <w:rPr>
                <w:rFonts w:ascii="Book Antiqua" w:hAnsi="Book Antiqua"/>
                <w:vertAlign w:val="superscript"/>
              </w:rPr>
              <w:t>1</w:t>
            </w:r>
          </w:p>
        </w:tc>
        <w:tc>
          <w:tcPr>
            <w:tcW w:w="1741" w:type="dxa"/>
          </w:tcPr>
          <w:p w14:paraId="1ED4ECF3" w14:textId="6DB6E7F6"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48.0 ± 5.5</w:t>
            </w:r>
          </w:p>
        </w:tc>
        <w:tc>
          <w:tcPr>
            <w:tcW w:w="1741" w:type="dxa"/>
          </w:tcPr>
          <w:p w14:paraId="6992E00B" w14:textId="5BA441B0"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45.3 ± 24.5</w:t>
            </w:r>
          </w:p>
        </w:tc>
        <w:tc>
          <w:tcPr>
            <w:tcW w:w="1741" w:type="dxa"/>
          </w:tcPr>
          <w:p w14:paraId="42AA07EC" w14:textId="324AD6A6"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46.7 ± 7.0</w:t>
            </w:r>
          </w:p>
        </w:tc>
        <w:tc>
          <w:tcPr>
            <w:tcW w:w="1741" w:type="dxa"/>
            <w:gridSpan w:val="2"/>
          </w:tcPr>
          <w:p w14:paraId="0FFEC13A" w14:textId="3AC7C8CB"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47.1 ± 7.1</w:t>
            </w:r>
          </w:p>
        </w:tc>
      </w:tr>
      <w:tr w:rsidR="0062767C" w:rsidRPr="0049564D" w14:paraId="64089DA9" w14:textId="77777777" w:rsidTr="002F2A67">
        <w:tc>
          <w:tcPr>
            <w:tcW w:w="1750" w:type="dxa"/>
          </w:tcPr>
          <w:p w14:paraId="554757D9" w14:textId="563D7F46"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 xml:space="preserve">mGPS (A / B, C, D) </w:t>
            </w:r>
          </w:p>
        </w:tc>
        <w:tc>
          <w:tcPr>
            <w:tcW w:w="1741" w:type="dxa"/>
          </w:tcPr>
          <w:p w14:paraId="2D020284" w14:textId="10488882"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10/29</w:t>
            </w:r>
          </w:p>
        </w:tc>
        <w:tc>
          <w:tcPr>
            <w:tcW w:w="1741" w:type="dxa"/>
          </w:tcPr>
          <w:p w14:paraId="41273DE5" w14:textId="060B7B1C"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47/63</w:t>
            </w:r>
          </w:p>
        </w:tc>
        <w:tc>
          <w:tcPr>
            <w:tcW w:w="1741" w:type="dxa"/>
          </w:tcPr>
          <w:p w14:paraId="197E6006" w14:textId="44B96F68"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32/18</w:t>
            </w:r>
          </w:p>
        </w:tc>
        <w:tc>
          <w:tcPr>
            <w:tcW w:w="1741" w:type="dxa"/>
            <w:gridSpan w:val="2"/>
          </w:tcPr>
          <w:p w14:paraId="203673E3" w14:textId="667145A8"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10/27</w:t>
            </w:r>
          </w:p>
        </w:tc>
      </w:tr>
      <w:tr w:rsidR="0062767C" w:rsidRPr="0049564D" w14:paraId="3E643D9E" w14:textId="77777777" w:rsidTr="002F2A67">
        <w:tc>
          <w:tcPr>
            <w:tcW w:w="8714" w:type="dxa"/>
            <w:gridSpan w:val="6"/>
          </w:tcPr>
          <w:p w14:paraId="2D7A0D7D" w14:textId="4DC52B86"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Cumulative survival time (%)</w:t>
            </w:r>
            <w:r w:rsidRPr="0049564D">
              <w:rPr>
                <w:rFonts w:ascii="Book Antiqua" w:hAnsi="Book Antiqua"/>
                <w:vertAlign w:val="superscript"/>
              </w:rPr>
              <w:t>2</w:t>
            </w:r>
          </w:p>
        </w:tc>
      </w:tr>
      <w:tr w:rsidR="0062767C" w:rsidRPr="0049564D" w14:paraId="17E1B58A" w14:textId="77777777" w:rsidTr="002F2A67">
        <w:tc>
          <w:tcPr>
            <w:tcW w:w="1750" w:type="dxa"/>
          </w:tcPr>
          <w:p w14:paraId="2E740A35" w14:textId="0EA5A3A3"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1-year</w:t>
            </w:r>
          </w:p>
        </w:tc>
        <w:tc>
          <w:tcPr>
            <w:tcW w:w="1741" w:type="dxa"/>
          </w:tcPr>
          <w:p w14:paraId="34B863CE" w14:textId="1875B798"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65.0</w:t>
            </w:r>
          </w:p>
        </w:tc>
        <w:tc>
          <w:tcPr>
            <w:tcW w:w="1741" w:type="dxa"/>
          </w:tcPr>
          <w:p w14:paraId="20D9936E" w14:textId="55C9F364"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80.1</w:t>
            </w:r>
          </w:p>
        </w:tc>
        <w:tc>
          <w:tcPr>
            <w:tcW w:w="1741" w:type="dxa"/>
          </w:tcPr>
          <w:p w14:paraId="55F9A246" w14:textId="335D97CA"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82.6</w:t>
            </w:r>
          </w:p>
        </w:tc>
        <w:tc>
          <w:tcPr>
            <w:tcW w:w="1741" w:type="dxa"/>
            <w:gridSpan w:val="2"/>
          </w:tcPr>
          <w:p w14:paraId="64D343ED" w14:textId="67699D48"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94.6</w:t>
            </w:r>
          </w:p>
        </w:tc>
      </w:tr>
      <w:tr w:rsidR="0062767C" w:rsidRPr="0049564D" w14:paraId="6E055493" w14:textId="77777777" w:rsidTr="002F2A67">
        <w:tc>
          <w:tcPr>
            <w:tcW w:w="1750" w:type="dxa"/>
          </w:tcPr>
          <w:p w14:paraId="7D36B4EA" w14:textId="1B272679"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3-year</w:t>
            </w:r>
          </w:p>
        </w:tc>
        <w:tc>
          <w:tcPr>
            <w:tcW w:w="1741" w:type="dxa"/>
          </w:tcPr>
          <w:p w14:paraId="36C77C7B" w14:textId="25753AA1"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48.3</w:t>
            </w:r>
          </w:p>
        </w:tc>
        <w:tc>
          <w:tcPr>
            <w:tcW w:w="1741" w:type="dxa"/>
          </w:tcPr>
          <w:p w14:paraId="1DFF3DBF" w14:textId="6C0F9432"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35.7</w:t>
            </w:r>
          </w:p>
        </w:tc>
        <w:tc>
          <w:tcPr>
            <w:tcW w:w="1741" w:type="dxa"/>
          </w:tcPr>
          <w:p w14:paraId="63F091AA" w14:textId="18343120"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63.2</w:t>
            </w:r>
          </w:p>
        </w:tc>
        <w:tc>
          <w:tcPr>
            <w:tcW w:w="1741" w:type="dxa"/>
            <w:gridSpan w:val="2"/>
          </w:tcPr>
          <w:p w14:paraId="1F111953" w14:textId="1EA8503B"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75.3</w:t>
            </w:r>
          </w:p>
        </w:tc>
      </w:tr>
      <w:tr w:rsidR="0062767C" w:rsidRPr="0049564D" w14:paraId="752944CE" w14:textId="77777777" w:rsidTr="002F2A67">
        <w:tc>
          <w:tcPr>
            <w:tcW w:w="1750" w:type="dxa"/>
          </w:tcPr>
          <w:p w14:paraId="3BDA30F3" w14:textId="5411DA1D"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5-year</w:t>
            </w:r>
          </w:p>
        </w:tc>
        <w:tc>
          <w:tcPr>
            <w:tcW w:w="1741" w:type="dxa"/>
          </w:tcPr>
          <w:p w14:paraId="3C94B8EA" w14:textId="663D1F9D"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31.3</w:t>
            </w:r>
          </w:p>
        </w:tc>
        <w:tc>
          <w:tcPr>
            <w:tcW w:w="1741" w:type="dxa"/>
          </w:tcPr>
          <w:p w14:paraId="3086AC4B" w14:textId="04A051E9"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26.4</w:t>
            </w:r>
          </w:p>
        </w:tc>
        <w:tc>
          <w:tcPr>
            <w:tcW w:w="1741" w:type="dxa"/>
          </w:tcPr>
          <w:p w14:paraId="398C976F" w14:textId="338F4FD0"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45.8</w:t>
            </w:r>
          </w:p>
        </w:tc>
        <w:tc>
          <w:tcPr>
            <w:tcW w:w="1741" w:type="dxa"/>
            <w:gridSpan w:val="2"/>
          </w:tcPr>
          <w:p w14:paraId="619A3D29" w14:textId="3A1A9717" w:rsidR="002F2A67" w:rsidRPr="0049564D" w:rsidRDefault="002F2A67" w:rsidP="00B24044">
            <w:pPr>
              <w:adjustRightInd w:val="0"/>
              <w:snapToGrid w:val="0"/>
              <w:spacing w:line="360" w:lineRule="auto"/>
              <w:jc w:val="both"/>
              <w:rPr>
                <w:rFonts w:ascii="Book Antiqua" w:hAnsi="Book Antiqua"/>
              </w:rPr>
            </w:pPr>
            <w:r w:rsidRPr="0049564D">
              <w:rPr>
                <w:rFonts w:ascii="Book Antiqua" w:hAnsi="Book Antiqua"/>
              </w:rPr>
              <w:t>75.3</w:t>
            </w:r>
          </w:p>
        </w:tc>
      </w:tr>
    </w:tbl>
    <w:p w14:paraId="3E7C61E6" w14:textId="77777777" w:rsidR="00441343" w:rsidRPr="0049564D" w:rsidRDefault="00406D43" w:rsidP="00B24044">
      <w:pPr>
        <w:adjustRightInd w:val="0"/>
        <w:snapToGrid w:val="0"/>
        <w:spacing w:line="360" w:lineRule="auto"/>
        <w:jc w:val="both"/>
        <w:rPr>
          <w:rFonts w:ascii="Book Antiqua" w:hAnsi="Book Antiqua"/>
          <w:lang w:eastAsia="zh-CN"/>
        </w:rPr>
      </w:pPr>
      <w:r w:rsidRPr="0049564D">
        <w:rPr>
          <w:rFonts w:ascii="Book Antiqua" w:hAnsi="Book Antiqua"/>
          <w:vertAlign w:val="superscript"/>
        </w:rPr>
        <w:t>1</w:t>
      </w:r>
      <w:r w:rsidR="00047B4A" w:rsidRPr="0049564D">
        <w:rPr>
          <w:rFonts w:ascii="Book Antiqua" w:hAnsi="Book Antiqua"/>
        </w:rPr>
        <w:t>Data are presented as the mean</w:t>
      </w:r>
      <w:r w:rsidR="00047B4A" w:rsidRPr="0049564D">
        <w:rPr>
          <w:rFonts w:ascii="Book Antiqua" w:eastAsia="Yu Gothic" w:hAnsi="Book Antiqua"/>
        </w:rPr>
        <w:t xml:space="preserve"> ± </w:t>
      </w:r>
      <w:r w:rsidR="00047B4A" w:rsidRPr="0049564D">
        <w:rPr>
          <w:rFonts w:ascii="Book Antiqua" w:hAnsi="Book Antiqua"/>
        </w:rPr>
        <w:t>SD.</w:t>
      </w:r>
      <w:r w:rsidR="002F2A67" w:rsidRPr="0049564D">
        <w:rPr>
          <w:rFonts w:ascii="Book Antiqua" w:hAnsi="Book Antiqua"/>
          <w:lang w:eastAsia="zh-CN"/>
        </w:rPr>
        <w:t xml:space="preserve"> </w:t>
      </w:r>
    </w:p>
    <w:p w14:paraId="23AF2F33" w14:textId="31204824" w:rsidR="00047B4A" w:rsidRPr="0049564D" w:rsidRDefault="00406D43" w:rsidP="00B24044">
      <w:pPr>
        <w:adjustRightInd w:val="0"/>
        <w:snapToGrid w:val="0"/>
        <w:spacing w:line="360" w:lineRule="auto"/>
        <w:jc w:val="both"/>
        <w:rPr>
          <w:rFonts w:ascii="Book Antiqua" w:hAnsi="Book Antiqua"/>
          <w:lang w:eastAsia="zh-CN"/>
        </w:rPr>
      </w:pPr>
      <w:r w:rsidRPr="0049564D">
        <w:rPr>
          <w:rFonts w:ascii="Book Antiqua" w:hAnsi="Book Antiqua"/>
          <w:vertAlign w:val="superscript"/>
        </w:rPr>
        <w:t>2</w:t>
      </w:r>
      <w:r w:rsidR="00047B4A" w:rsidRPr="0049564D">
        <w:rPr>
          <w:rFonts w:ascii="Book Antiqua" w:hAnsi="Book Antiqua"/>
        </w:rPr>
        <w:t>Kaplan-Meier analysis</w:t>
      </w:r>
      <w:r w:rsidR="002F2A67" w:rsidRPr="0049564D">
        <w:rPr>
          <w:rFonts w:ascii="Book Antiqua" w:hAnsi="Book Antiqua"/>
        </w:rPr>
        <w:t xml:space="preserve">. </w:t>
      </w:r>
      <w:r w:rsidR="00047B4A" w:rsidRPr="0049564D">
        <w:rPr>
          <w:rFonts w:ascii="Book Antiqua" w:eastAsia="Yu Gothic" w:hAnsi="Book Antiqua"/>
        </w:rPr>
        <w:t>IBDC</w:t>
      </w:r>
      <w:r w:rsidR="002F2A67" w:rsidRPr="0049564D">
        <w:rPr>
          <w:rFonts w:ascii="Book Antiqua" w:eastAsia="Yu Gothic" w:hAnsi="Book Antiqua"/>
        </w:rPr>
        <w:t>:</w:t>
      </w:r>
      <w:r w:rsidR="00047B4A" w:rsidRPr="0049564D">
        <w:rPr>
          <w:rFonts w:ascii="Book Antiqua" w:eastAsia="Yu Gothic" w:hAnsi="Book Antiqua"/>
        </w:rPr>
        <w:t xml:space="preserve"> </w:t>
      </w:r>
      <w:r w:rsidR="002F2A67" w:rsidRPr="0049564D">
        <w:rPr>
          <w:rFonts w:ascii="Book Antiqua" w:eastAsia="Yu Gothic" w:hAnsi="Book Antiqua"/>
        </w:rPr>
        <w:t>I</w:t>
      </w:r>
      <w:r w:rsidR="00047B4A" w:rsidRPr="0049564D">
        <w:rPr>
          <w:rFonts w:ascii="Book Antiqua" w:eastAsia="Yu Gothic" w:hAnsi="Book Antiqua"/>
        </w:rPr>
        <w:t>ntrahepatic bile duct cancer; EBDC</w:t>
      </w:r>
      <w:r w:rsidR="002F2A67" w:rsidRPr="0049564D">
        <w:rPr>
          <w:rFonts w:ascii="Book Antiqua" w:eastAsia="Yu Gothic" w:hAnsi="Book Antiqua"/>
        </w:rPr>
        <w:t>:</w:t>
      </w:r>
      <w:r w:rsidR="00047B4A" w:rsidRPr="0049564D">
        <w:rPr>
          <w:rFonts w:ascii="Book Antiqua" w:eastAsia="Yu Gothic" w:hAnsi="Book Antiqua"/>
        </w:rPr>
        <w:t xml:space="preserve"> </w:t>
      </w:r>
      <w:r w:rsidR="002F2A67" w:rsidRPr="0049564D">
        <w:rPr>
          <w:rFonts w:ascii="Book Antiqua" w:eastAsia="Yu Gothic" w:hAnsi="Book Antiqua"/>
        </w:rPr>
        <w:t>E</w:t>
      </w:r>
      <w:r w:rsidR="00047B4A" w:rsidRPr="0049564D">
        <w:rPr>
          <w:rFonts w:ascii="Book Antiqua" w:eastAsia="Yu Gothic" w:hAnsi="Book Antiqua"/>
        </w:rPr>
        <w:t>xtrahepatic bile duct cancer; GBC</w:t>
      </w:r>
      <w:r w:rsidR="002F2A67" w:rsidRPr="0049564D">
        <w:rPr>
          <w:rFonts w:ascii="Book Antiqua" w:eastAsia="Yu Gothic" w:hAnsi="Book Antiqua"/>
        </w:rPr>
        <w:t>:</w:t>
      </w:r>
      <w:r w:rsidR="00047B4A" w:rsidRPr="0049564D">
        <w:rPr>
          <w:rFonts w:ascii="Book Antiqua" w:eastAsia="Yu Gothic" w:hAnsi="Book Antiqua"/>
        </w:rPr>
        <w:t xml:space="preserve"> </w:t>
      </w:r>
      <w:r w:rsidR="002F2A67" w:rsidRPr="0049564D">
        <w:rPr>
          <w:rFonts w:ascii="Book Antiqua" w:eastAsia="Yu Gothic" w:hAnsi="Book Antiqua"/>
        </w:rPr>
        <w:t>G</w:t>
      </w:r>
      <w:r w:rsidR="00047B4A" w:rsidRPr="0049564D">
        <w:rPr>
          <w:rFonts w:ascii="Book Antiqua" w:eastAsia="Yu Gothic" w:hAnsi="Book Antiqua"/>
        </w:rPr>
        <w:t>allbladder cancer; Vater C</w:t>
      </w:r>
      <w:r w:rsidR="002F2A67" w:rsidRPr="0049564D">
        <w:rPr>
          <w:rFonts w:ascii="Book Antiqua" w:eastAsia="Yu Gothic" w:hAnsi="Book Antiqua"/>
        </w:rPr>
        <w:t>:</w:t>
      </w:r>
      <w:r w:rsidR="00047B4A" w:rsidRPr="0049564D">
        <w:rPr>
          <w:rFonts w:ascii="Book Antiqua" w:eastAsia="Yu Gothic" w:hAnsi="Book Antiqua"/>
        </w:rPr>
        <w:t xml:space="preserve"> </w:t>
      </w:r>
      <w:r w:rsidR="002F2A67" w:rsidRPr="0049564D">
        <w:rPr>
          <w:rFonts w:ascii="Book Antiqua" w:eastAsia="Yu Gothic" w:hAnsi="Book Antiqua"/>
        </w:rPr>
        <w:t>C</w:t>
      </w:r>
      <w:r w:rsidR="00047B4A" w:rsidRPr="0049564D">
        <w:rPr>
          <w:rFonts w:ascii="Book Antiqua" w:eastAsia="Yu Gothic" w:hAnsi="Book Antiqua"/>
        </w:rPr>
        <w:t>ancer of the papilla of Vater; CA19-9</w:t>
      </w:r>
      <w:r w:rsidR="002F2A67" w:rsidRPr="0049564D">
        <w:rPr>
          <w:rFonts w:ascii="Book Antiqua" w:eastAsia="Yu Gothic" w:hAnsi="Book Antiqua"/>
        </w:rPr>
        <w:t>: C</w:t>
      </w:r>
      <w:r w:rsidR="00047B4A" w:rsidRPr="0049564D">
        <w:rPr>
          <w:rFonts w:ascii="Book Antiqua" w:eastAsia="Yu Gothic" w:hAnsi="Book Antiqua"/>
        </w:rPr>
        <w:t>arbohydrate antigen 19-9; CEA</w:t>
      </w:r>
      <w:r w:rsidR="002F2A67" w:rsidRPr="0049564D">
        <w:rPr>
          <w:rFonts w:ascii="Book Antiqua" w:eastAsia="Yu Gothic" w:hAnsi="Book Antiqua"/>
        </w:rPr>
        <w:t>:</w:t>
      </w:r>
      <w:r w:rsidR="00047B4A" w:rsidRPr="0049564D">
        <w:rPr>
          <w:rFonts w:ascii="Book Antiqua" w:eastAsia="Yu Gothic" w:hAnsi="Book Antiqua"/>
        </w:rPr>
        <w:t xml:space="preserve"> </w:t>
      </w:r>
      <w:r w:rsidR="002F2A67" w:rsidRPr="0049564D">
        <w:rPr>
          <w:rFonts w:ascii="Book Antiqua" w:eastAsia="Yu Gothic" w:hAnsi="Book Antiqua"/>
        </w:rPr>
        <w:t>C</w:t>
      </w:r>
      <w:r w:rsidR="00047B4A" w:rsidRPr="0049564D">
        <w:rPr>
          <w:rFonts w:ascii="Book Antiqua" w:eastAsia="Yu Gothic" w:hAnsi="Book Antiqua"/>
        </w:rPr>
        <w:t>arcinoembryonic antigen; NLR</w:t>
      </w:r>
      <w:r w:rsidR="002F2A67" w:rsidRPr="0049564D">
        <w:rPr>
          <w:rFonts w:ascii="Book Antiqua" w:eastAsia="Yu Gothic" w:hAnsi="Book Antiqua"/>
        </w:rPr>
        <w:t>:</w:t>
      </w:r>
      <w:r w:rsidR="00047B4A" w:rsidRPr="0049564D">
        <w:rPr>
          <w:rFonts w:ascii="Book Antiqua" w:eastAsia="Yu Gothic" w:hAnsi="Book Antiqua"/>
        </w:rPr>
        <w:t xml:space="preserve"> </w:t>
      </w:r>
      <w:r w:rsidR="002F2A67" w:rsidRPr="0049564D">
        <w:rPr>
          <w:rFonts w:ascii="Book Antiqua" w:eastAsia="Yu Gothic" w:hAnsi="Book Antiqua"/>
        </w:rPr>
        <w:t>N</w:t>
      </w:r>
      <w:r w:rsidR="00047B4A" w:rsidRPr="0049564D">
        <w:rPr>
          <w:rFonts w:ascii="Book Antiqua" w:eastAsia="Yu Gothic" w:hAnsi="Book Antiqua"/>
        </w:rPr>
        <w:t>eutrophil-lymphocyte ratio; PLR</w:t>
      </w:r>
      <w:r w:rsidR="002F2A67" w:rsidRPr="0049564D">
        <w:rPr>
          <w:rFonts w:ascii="Book Antiqua" w:eastAsia="Yu Gothic" w:hAnsi="Book Antiqua"/>
        </w:rPr>
        <w:t>:</w:t>
      </w:r>
      <w:r w:rsidR="00047B4A" w:rsidRPr="0049564D">
        <w:rPr>
          <w:rFonts w:ascii="Book Antiqua" w:eastAsia="Yu Gothic" w:hAnsi="Book Antiqua"/>
        </w:rPr>
        <w:t xml:space="preserve"> </w:t>
      </w:r>
      <w:r w:rsidR="002F2A67" w:rsidRPr="0049564D">
        <w:rPr>
          <w:rFonts w:ascii="Book Antiqua" w:eastAsia="Yu Gothic" w:hAnsi="Book Antiqua"/>
        </w:rPr>
        <w:t>P</w:t>
      </w:r>
      <w:r w:rsidR="00047B4A" w:rsidRPr="0049564D">
        <w:rPr>
          <w:rFonts w:ascii="Book Antiqua" w:eastAsia="Yu Gothic" w:hAnsi="Book Antiqua"/>
        </w:rPr>
        <w:t>latelet-lymphocyte ratio; PNI</w:t>
      </w:r>
      <w:r w:rsidR="002F2A67" w:rsidRPr="0049564D">
        <w:rPr>
          <w:rFonts w:ascii="Book Antiqua" w:eastAsia="Yu Gothic" w:hAnsi="Book Antiqua"/>
        </w:rPr>
        <w:t>:</w:t>
      </w:r>
      <w:r w:rsidR="00047B4A" w:rsidRPr="0049564D">
        <w:rPr>
          <w:rFonts w:ascii="Book Antiqua" w:eastAsia="Yu Gothic" w:hAnsi="Book Antiqua"/>
        </w:rPr>
        <w:t xml:space="preserve"> </w:t>
      </w:r>
      <w:r w:rsidR="002F2A67" w:rsidRPr="0049564D">
        <w:rPr>
          <w:rFonts w:ascii="Book Antiqua" w:eastAsia="Yu Gothic" w:hAnsi="Book Antiqua"/>
        </w:rPr>
        <w:t>P</w:t>
      </w:r>
      <w:r w:rsidR="00047B4A" w:rsidRPr="0049564D">
        <w:rPr>
          <w:rFonts w:ascii="Book Antiqua" w:eastAsia="Yu Gothic" w:hAnsi="Book Antiqua"/>
        </w:rPr>
        <w:t>rognostic nutrition index; mGPS</w:t>
      </w:r>
      <w:r w:rsidR="002F2A67" w:rsidRPr="0049564D">
        <w:rPr>
          <w:rFonts w:ascii="Book Antiqua" w:eastAsia="Yu Gothic" w:hAnsi="Book Antiqua"/>
        </w:rPr>
        <w:t>:</w:t>
      </w:r>
      <w:r w:rsidR="00047B4A" w:rsidRPr="0049564D">
        <w:rPr>
          <w:rFonts w:ascii="Book Antiqua" w:eastAsia="Yu Gothic" w:hAnsi="Book Antiqua"/>
        </w:rPr>
        <w:t xml:space="preserve"> </w:t>
      </w:r>
      <w:r w:rsidR="002F2A67" w:rsidRPr="0049564D">
        <w:rPr>
          <w:rFonts w:ascii="Book Antiqua" w:eastAsia="Yu Gothic" w:hAnsi="Book Antiqua"/>
        </w:rPr>
        <w:t>M</w:t>
      </w:r>
      <w:r w:rsidR="00047B4A" w:rsidRPr="0049564D">
        <w:rPr>
          <w:rFonts w:ascii="Book Antiqua" w:eastAsia="Yu Gothic" w:hAnsi="Book Antiqua"/>
        </w:rPr>
        <w:t>odified Glasgow prognostic score</w:t>
      </w:r>
      <w:r w:rsidR="002F2A67" w:rsidRPr="0049564D">
        <w:rPr>
          <w:rFonts w:ascii="Book Antiqua" w:hAnsi="Book Antiqua"/>
          <w:lang w:eastAsia="zh-CN"/>
        </w:rPr>
        <w:t>.</w:t>
      </w:r>
    </w:p>
    <w:p w14:paraId="5A9A948A" w14:textId="77777777" w:rsidR="00EB6E50" w:rsidRPr="0049564D" w:rsidRDefault="00EB6E50" w:rsidP="00B24044">
      <w:pPr>
        <w:adjustRightInd w:val="0"/>
        <w:snapToGrid w:val="0"/>
        <w:spacing w:line="360" w:lineRule="auto"/>
        <w:jc w:val="both"/>
        <w:rPr>
          <w:rFonts w:ascii="Book Antiqua" w:hAnsi="Book Antiqua"/>
        </w:rPr>
      </w:pPr>
    </w:p>
    <w:p w14:paraId="236A8ED3" w14:textId="77777777" w:rsidR="00EB6E50" w:rsidRPr="0049564D" w:rsidRDefault="00EB6E50" w:rsidP="00B24044">
      <w:pPr>
        <w:adjustRightInd w:val="0"/>
        <w:snapToGrid w:val="0"/>
        <w:spacing w:line="360" w:lineRule="auto"/>
        <w:jc w:val="both"/>
        <w:rPr>
          <w:rFonts w:ascii="Book Antiqua" w:hAnsi="Book Antiqua"/>
        </w:rPr>
      </w:pPr>
    </w:p>
    <w:p w14:paraId="7B01FE35" w14:textId="77777777" w:rsidR="00EB6E50" w:rsidRPr="0049564D" w:rsidRDefault="00EB6E50" w:rsidP="00B24044">
      <w:pPr>
        <w:adjustRightInd w:val="0"/>
        <w:snapToGrid w:val="0"/>
        <w:spacing w:line="360" w:lineRule="auto"/>
        <w:jc w:val="both"/>
        <w:rPr>
          <w:rFonts w:ascii="Book Antiqua" w:hAnsi="Book Antiqua"/>
        </w:rPr>
      </w:pPr>
    </w:p>
    <w:p w14:paraId="1E3F08E2" w14:textId="49F5EFEC" w:rsidR="002F2A67" w:rsidRPr="0049564D" w:rsidRDefault="00047B4A" w:rsidP="00B24044">
      <w:pPr>
        <w:adjustRightInd w:val="0"/>
        <w:snapToGrid w:val="0"/>
        <w:spacing w:line="360" w:lineRule="auto"/>
        <w:jc w:val="both"/>
        <w:rPr>
          <w:rFonts w:ascii="Book Antiqua" w:hAnsi="Book Antiqua"/>
          <w:b/>
        </w:rPr>
      </w:pPr>
      <w:r w:rsidRPr="0049564D">
        <w:rPr>
          <w:rFonts w:ascii="Book Antiqua" w:hAnsi="Book Antiqua"/>
        </w:rPr>
        <w:br w:type="page"/>
      </w:r>
      <w:r w:rsidRPr="0049564D">
        <w:rPr>
          <w:rFonts w:ascii="Book Antiqua" w:hAnsi="Book Antiqua"/>
          <w:b/>
        </w:rPr>
        <w:lastRenderedPageBreak/>
        <w:t>Table 5 Sensitivity, Specificity and PPV for each biliary cancer</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985"/>
        <w:gridCol w:w="1389"/>
        <w:gridCol w:w="2653"/>
      </w:tblGrid>
      <w:tr w:rsidR="0062767C" w:rsidRPr="0049564D" w14:paraId="097D6745" w14:textId="77777777" w:rsidTr="00700313">
        <w:tc>
          <w:tcPr>
            <w:tcW w:w="2518" w:type="dxa"/>
            <w:tcBorders>
              <w:top w:val="single" w:sz="4" w:space="0" w:color="auto"/>
              <w:bottom w:val="single" w:sz="4" w:space="0" w:color="auto"/>
            </w:tcBorders>
          </w:tcPr>
          <w:p w14:paraId="73447D95" w14:textId="075606C9" w:rsidR="002F2A67" w:rsidRPr="0049564D" w:rsidRDefault="002F2A67" w:rsidP="00B24044">
            <w:pPr>
              <w:adjustRightInd w:val="0"/>
              <w:snapToGrid w:val="0"/>
              <w:spacing w:line="360" w:lineRule="auto"/>
              <w:jc w:val="both"/>
              <w:rPr>
                <w:rFonts w:ascii="Book Antiqua" w:hAnsi="Book Antiqua"/>
                <w:b/>
                <w:bCs/>
              </w:rPr>
            </w:pPr>
            <w:r w:rsidRPr="0049564D">
              <w:rPr>
                <w:rFonts w:ascii="Book Antiqua" w:hAnsi="Book Antiqua"/>
                <w:b/>
                <w:bCs/>
              </w:rPr>
              <w:t>Variables (cut-off value)</w:t>
            </w:r>
          </w:p>
        </w:tc>
        <w:tc>
          <w:tcPr>
            <w:tcW w:w="1985" w:type="dxa"/>
            <w:tcBorders>
              <w:top w:val="single" w:sz="4" w:space="0" w:color="auto"/>
              <w:bottom w:val="single" w:sz="4" w:space="0" w:color="auto"/>
            </w:tcBorders>
          </w:tcPr>
          <w:p w14:paraId="7B7309AA" w14:textId="4ACD90F3" w:rsidR="002F2A67" w:rsidRPr="0049564D" w:rsidRDefault="002F2A67" w:rsidP="00B24044">
            <w:pPr>
              <w:adjustRightInd w:val="0"/>
              <w:snapToGrid w:val="0"/>
              <w:spacing w:line="360" w:lineRule="auto"/>
              <w:jc w:val="both"/>
              <w:rPr>
                <w:rFonts w:ascii="Book Antiqua" w:hAnsi="Book Antiqua"/>
                <w:b/>
                <w:bCs/>
              </w:rPr>
            </w:pPr>
            <w:r w:rsidRPr="0049564D">
              <w:rPr>
                <w:rFonts w:ascii="Book Antiqua" w:hAnsi="Book Antiqua"/>
                <w:b/>
                <w:bCs/>
              </w:rPr>
              <w:t>Sensitivity</w:t>
            </w:r>
          </w:p>
        </w:tc>
        <w:tc>
          <w:tcPr>
            <w:tcW w:w="1316" w:type="dxa"/>
            <w:tcBorders>
              <w:top w:val="single" w:sz="4" w:space="0" w:color="auto"/>
              <w:bottom w:val="single" w:sz="4" w:space="0" w:color="auto"/>
            </w:tcBorders>
          </w:tcPr>
          <w:p w14:paraId="0746BFC0" w14:textId="33CC1A5E" w:rsidR="002F2A67" w:rsidRPr="0049564D" w:rsidRDefault="002F2A67" w:rsidP="00B24044">
            <w:pPr>
              <w:adjustRightInd w:val="0"/>
              <w:snapToGrid w:val="0"/>
              <w:spacing w:line="360" w:lineRule="auto"/>
              <w:jc w:val="both"/>
              <w:rPr>
                <w:rFonts w:ascii="Book Antiqua" w:hAnsi="Book Antiqua"/>
                <w:b/>
                <w:bCs/>
              </w:rPr>
            </w:pPr>
            <w:r w:rsidRPr="0049564D">
              <w:rPr>
                <w:rFonts w:ascii="Book Antiqua" w:hAnsi="Book Antiqua"/>
                <w:b/>
                <w:bCs/>
              </w:rPr>
              <w:t>Specificity</w:t>
            </w:r>
          </w:p>
        </w:tc>
        <w:tc>
          <w:tcPr>
            <w:tcW w:w="2653" w:type="dxa"/>
            <w:tcBorders>
              <w:top w:val="single" w:sz="4" w:space="0" w:color="auto"/>
              <w:bottom w:val="single" w:sz="4" w:space="0" w:color="auto"/>
            </w:tcBorders>
          </w:tcPr>
          <w:p w14:paraId="4036E3B8" w14:textId="1713B426" w:rsidR="002F2A67" w:rsidRPr="0049564D" w:rsidRDefault="002F2A67" w:rsidP="00B24044">
            <w:pPr>
              <w:adjustRightInd w:val="0"/>
              <w:snapToGrid w:val="0"/>
              <w:spacing w:line="360" w:lineRule="auto"/>
              <w:jc w:val="both"/>
              <w:rPr>
                <w:rFonts w:ascii="Book Antiqua" w:hAnsi="Book Antiqua"/>
                <w:b/>
                <w:bCs/>
              </w:rPr>
            </w:pPr>
            <w:r w:rsidRPr="0049564D">
              <w:rPr>
                <w:rFonts w:ascii="Book Antiqua" w:hAnsi="Book Antiqua"/>
                <w:b/>
                <w:bCs/>
              </w:rPr>
              <w:t>PPV</w:t>
            </w:r>
          </w:p>
        </w:tc>
      </w:tr>
      <w:tr w:rsidR="0062767C" w:rsidRPr="0049564D" w14:paraId="381B60A3" w14:textId="77777777" w:rsidTr="00700313">
        <w:tc>
          <w:tcPr>
            <w:tcW w:w="8472" w:type="dxa"/>
            <w:gridSpan w:val="4"/>
            <w:tcBorders>
              <w:top w:val="single" w:sz="4" w:space="0" w:color="auto"/>
            </w:tcBorders>
          </w:tcPr>
          <w:p w14:paraId="6655BBA5" w14:textId="3DC8CCC1" w:rsidR="00700313"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Intrahepatic bile duct cancer</w:t>
            </w:r>
          </w:p>
        </w:tc>
      </w:tr>
      <w:tr w:rsidR="0062767C" w:rsidRPr="0049564D" w14:paraId="2D1E34D1" w14:textId="77777777" w:rsidTr="00700313">
        <w:tc>
          <w:tcPr>
            <w:tcW w:w="2518" w:type="dxa"/>
          </w:tcPr>
          <w:p w14:paraId="0D570DBC" w14:textId="1410E545"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CA19-9 (255 IU/mL)</w:t>
            </w:r>
          </w:p>
        </w:tc>
        <w:tc>
          <w:tcPr>
            <w:tcW w:w="1985" w:type="dxa"/>
          </w:tcPr>
          <w:p w14:paraId="5FB69879" w14:textId="27A3494C"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0.833</w:t>
            </w:r>
          </w:p>
        </w:tc>
        <w:tc>
          <w:tcPr>
            <w:tcW w:w="1316" w:type="dxa"/>
          </w:tcPr>
          <w:p w14:paraId="7B04361E" w14:textId="158B73FA"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0.667</w:t>
            </w:r>
          </w:p>
        </w:tc>
        <w:tc>
          <w:tcPr>
            <w:tcW w:w="2653" w:type="dxa"/>
          </w:tcPr>
          <w:p w14:paraId="6B9D06C5" w14:textId="23353393"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0.313</w:t>
            </w:r>
          </w:p>
        </w:tc>
      </w:tr>
      <w:tr w:rsidR="0062767C" w:rsidRPr="0049564D" w14:paraId="338C5E11" w14:textId="77777777" w:rsidTr="00700313">
        <w:tc>
          <w:tcPr>
            <w:tcW w:w="2518" w:type="dxa"/>
          </w:tcPr>
          <w:p w14:paraId="0730BBFA" w14:textId="73CCAF9B"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CEA (7 ng/mL)</w:t>
            </w:r>
          </w:p>
        </w:tc>
        <w:tc>
          <w:tcPr>
            <w:tcW w:w="1985" w:type="dxa"/>
          </w:tcPr>
          <w:p w14:paraId="73A82834" w14:textId="1675F8B6"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0.500</w:t>
            </w:r>
          </w:p>
        </w:tc>
        <w:tc>
          <w:tcPr>
            <w:tcW w:w="1316" w:type="dxa"/>
          </w:tcPr>
          <w:p w14:paraId="151B508C" w14:textId="54C94D14"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0.849</w:t>
            </w:r>
          </w:p>
        </w:tc>
        <w:tc>
          <w:tcPr>
            <w:tcW w:w="2653" w:type="dxa"/>
          </w:tcPr>
          <w:p w14:paraId="53EDD5DD" w14:textId="761B3B25"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0.333</w:t>
            </w:r>
          </w:p>
        </w:tc>
      </w:tr>
      <w:tr w:rsidR="0062767C" w:rsidRPr="0049564D" w14:paraId="46FFE52E" w14:textId="77777777" w:rsidTr="00700313">
        <w:tc>
          <w:tcPr>
            <w:tcW w:w="2518" w:type="dxa"/>
          </w:tcPr>
          <w:p w14:paraId="2B0182F3" w14:textId="17183F83"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NLR (3)</w:t>
            </w:r>
          </w:p>
        </w:tc>
        <w:tc>
          <w:tcPr>
            <w:tcW w:w="1985" w:type="dxa"/>
          </w:tcPr>
          <w:p w14:paraId="740976C5" w14:textId="46D30F32"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0.500</w:t>
            </w:r>
          </w:p>
        </w:tc>
        <w:tc>
          <w:tcPr>
            <w:tcW w:w="1316" w:type="dxa"/>
          </w:tcPr>
          <w:p w14:paraId="2A1E633F" w14:textId="2593E6A6"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0.636</w:t>
            </w:r>
          </w:p>
        </w:tc>
        <w:tc>
          <w:tcPr>
            <w:tcW w:w="2653" w:type="dxa"/>
          </w:tcPr>
          <w:p w14:paraId="6AD22F24" w14:textId="53F7E671"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0.200</w:t>
            </w:r>
          </w:p>
        </w:tc>
      </w:tr>
      <w:tr w:rsidR="0062767C" w:rsidRPr="0049564D" w14:paraId="77FBBE09" w14:textId="77777777" w:rsidTr="00700313">
        <w:tc>
          <w:tcPr>
            <w:tcW w:w="8472" w:type="dxa"/>
            <w:gridSpan w:val="4"/>
          </w:tcPr>
          <w:p w14:paraId="3F92CCB8" w14:textId="737670C8" w:rsidR="00700313"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Extrahepatic bile duct cancer</w:t>
            </w:r>
          </w:p>
        </w:tc>
      </w:tr>
      <w:tr w:rsidR="0062767C" w:rsidRPr="0049564D" w14:paraId="3B471A3C" w14:textId="77777777" w:rsidTr="00700313">
        <w:tc>
          <w:tcPr>
            <w:tcW w:w="2518" w:type="dxa"/>
          </w:tcPr>
          <w:p w14:paraId="0FB6537D" w14:textId="6E2D7608"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CA19-9 (255 IU/mL)</w:t>
            </w:r>
          </w:p>
        </w:tc>
        <w:tc>
          <w:tcPr>
            <w:tcW w:w="1985" w:type="dxa"/>
          </w:tcPr>
          <w:p w14:paraId="60AD8B65" w14:textId="4BEF9DC0"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0.273</w:t>
            </w:r>
          </w:p>
        </w:tc>
        <w:tc>
          <w:tcPr>
            <w:tcW w:w="1316" w:type="dxa"/>
          </w:tcPr>
          <w:p w14:paraId="7CC9893D" w14:textId="005A679B"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0.787</w:t>
            </w:r>
          </w:p>
        </w:tc>
        <w:tc>
          <w:tcPr>
            <w:tcW w:w="2653" w:type="dxa"/>
          </w:tcPr>
          <w:p w14:paraId="1C2276BD" w14:textId="77777777" w:rsidR="00700313" w:rsidRPr="0049564D" w:rsidRDefault="00700313" w:rsidP="00B24044">
            <w:pPr>
              <w:tabs>
                <w:tab w:val="left" w:pos="2552"/>
                <w:tab w:val="left" w:pos="3402"/>
                <w:tab w:val="left" w:pos="5245"/>
                <w:tab w:val="left" w:pos="6946"/>
              </w:tabs>
              <w:adjustRightInd w:val="0"/>
              <w:snapToGrid w:val="0"/>
              <w:spacing w:line="360" w:lineRule="auto"/>
              <w:jc w:val="both"/>
              <w:rPr>
                <w:rFonts w:ascii="Book Antiqua" w:hAnsi="Book Antiqua"/>
              </w:rPr>
            </w:pPr>
            <w:r w:rsidRPr="0049564D">
              <w:rPr>
                <w:rFonts w:ascii="Book Antiqua" w:hAnsi="Book Antiqua"/>
              </w:rPr>
              <w:t>0.125</w:t>
            </w:r>
          </w:p>
          <w:p w14:paraId="5AA2EA69" w14:textId="74EF8C8A" w:rsidR="002F2A67" w:rsidRPr="0049564D" w:rsidRDefault="002F2A67" w:rsidP="00B24044">
            <w:pPr>
              <w:adjustRightInd w:val="0"/>
              <w:snapToGrid w:val="0"/>
              <w:spacing w:line="360" w:lineRule="auto"/>
              <w:jc w:val="both"/>
              <w:rPr>
                <w:rFonts w:ascii="Book Antiqua" w:hAnsi="Book Antiqua"/>
              </w:rPr>
            </w:pPr>
          </w:p>
        </w:tc>
      </w:tr>
      <w:tr w:rsidR="0062767C" w:rsidRPr="0049564D" w14:paraId="67DF3E01" w14:textId="77777777" w:rsidTr="00700313">
        <w:tc>
          <w:tcPr>
            <w:tcW w:w="2518" w:type="dxa"/>
          </w:tcPr>
          <w:p w14:paraId="31C63F26" w14:textId="24CC65D1"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CEA (7 ng/mL)</w:t>
            </w:r>
          </w:p>
        </w:tc>
        <w:tc>
          <w:tcPr>
            <w:tcW w:w="1985" w:type="dxa"/>
          </w:tcPr>
          <w:p w14:paraId="1D7155FF" w14:textId="1FA601B4"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0.273</w:t>
            </w:r>
          </w:p>
        </w:tc>
        <w:tc>
          <w:tcPr>
            <w:tcW w:w="1316" w:type="dxa"/>
          </w:tcPr>
          <w:p w14:paraId="1FFCCC2A" w14:textId="21438D50"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0.939</w:t>
            </w:r>
          </w:p>
        </w:tc>
        <w:tc>
          <w:tcPr>
            <w:tcW w:w="2653" w:type="dxa"/>
          </w:tcPr>
          <w:p w14:paraId="40312766" w14:textId="0BF9AB78"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0.333</w:t>
            </w:r>
          </w:p>
        </w:tc>
      </w:tr>
      <w:tr w:rsidR="0062767C" w:rsidRPr="0049564D" w14:paraId="4E715262" w14:textId="77777777" w:rsidTr="00700313">
        <w:tc>
          <w:tcPr>
            <w:tcW w:w="2518" w:type="dxa"/>
          </w:tcPr>
          <w:p w14:paraId="7A5A9389" w14:textId="6A5A1D0B"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NLR (3)</w:t>
            </w:r>
          </w:p>
        </w:tc>
        <w:tc>
          <w:tcPr>
            <w:tcW w:w="1985" w:type="dxa"/>
          </w:tcPr>
          <w:p w14:paraId="7FDAF38A" w14:textId="668211E2"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0.455</w:t>
            </w:r>
          </w:p>
        </w:tc>
        <w:tc>
          <w:tcPr>
            <w:tcW w:w="1316" w:type="dxa"/>
          </w:tcPr>
          <w:p w14:paraId="0DBDF03E" w14:textId="1002B1B5" w:rsidR="002F2A67"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0.727</w:t>
            </w:r>
          </w:p>
        </w:tc>
        <w:tc>
          <w:tcPr>
            <w:tcW w:w="2653" w:type="dxa"/>
          </w:tcPr>
          <w:p w14:paraId="4AB63EC8" w14:textId="5EAEE89A" w:rsidR="002F2A67" w:rsidRPr="0049564D" w:rsidRDefault="00700313" w:rsidP="00B24044">
            <w:pPr>
              <w:tabs>
                <w:tab w:val="left" w:pos="2552"/>
                <w:tab w:val="left" w:pos="3402"/>
                <w:tab w:val="left" w:pos="5245"/>
                <w:tab w:val="left" w:pos="6946"/>
              </w:tabs>
              <w:adjustRightInd w:val="0"/>
              <w:snapToGrid w:val="0"/>
              <w:spacing w:line="360" w:lineRule="auto"/>
              <w:jc w:val="both"/>
              <w:rPr>
                <w:rFonts w:ascii="Book Antiqua" w:hAnsi="Book Antiqua"/>
              </w:rPr>
            </w:pPr>
            <w:r w:rsidRPr="0049564D">
              <w:rPr>
                <w:rFonts w:ascii="Book Antiqua" w:hAnsi="Book Antiqua"/>
              </w:rPr>
              <w:t>0.152</w:t>
            </w:r>
          </w:p>
        </w:tc>
      </w:tr>
      <w:tr w:rsidR="0062767C" w:rsidRPr="0049564D" w14:paraId="5E4774B0" w14:textId="77777777" w:rsidTr="00700313">
        <w:tc>
          <w:tcPr>
            <w:tcW w:w="8472" w:type="dxa"/>
            <w:gridSpan w:val="4"/>
          </w:tcPr>
          <w:p w14:paraId="624C5F1A" w14:textId="07A504BF" w:rsidR="00700313"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Gallbladder cancer</w:t>
            </w:r>
          </w:p>
        </w:tc>
      </w:tr>
      <w:tr w:rsidR="0062767C" w:rsidRPr="0049564D" w14:paraId="642CF256" w14:textId="77777777" w:rsidTr="00700313">
        <w:tc>
          <w:tcPr>
            <w:tcW w:w="2518" w:type="dxa"/>
          </w:tcPr>
          <w:p w14:paraId="76547AD9" w14:textId="2C9BD449" w:rsidR="00700313"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CA19-9 (255 IU/mL)</w:t>
            </w:r>
          </w:p>
        </w:tc>
        <w:tc>
          <w:tcPr>
            <w:tcW w:w="1985" w:type="dxa"/>
          </w:tcPr>
          <w:p w14:paraId="21F9BACA" w14:textId="42001F0E" w:rsidR="00700313"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0.444</w:t>
            </w:r>
          </w:p>
        </w:tc>
        <w:tc>
          <w:tcPr>
            <w:tcW w:w="1316" w:type="dxa"/>
          </w:tcPr>
          <w:p w14:paraId="047F96DA" w14:textId="10882649" w:rsidR="00700313"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0.878</w:t>
            </w:r>
          </w:p>
        </w:tc>
        <w:tc>
          <w:tcPr>
            <w:tcW w:w="2653" w:type="dxa"/>
          </w:tcPr>
          <w:p w14:paraId="621E6AAE" w14:textId="77777777" w:rsidR="00700313" w:rsidRPr="0049564D" w:rsidRDefault="00700313" w:rsidP="00B24044">
            <w:pPr>
              <w:tabs>
                <w:tab w:val="left" w:pos="3402"/>
                <w:tab w:val="left" w:pos="5245"/>
                <w:tab w:val="left" w:pos="6946"/>
              </w:tabs>
              <w:adjustRightInd w:val="0"/>
              <w:snapToGrid w:val="0"/>
              <w:spacing w:line="360" w:lineRule="auto"/>
              <w:jc w:val="both"/>
              <w:rPr>
                <w:rFonts w:ascii="Book Antiqua" w:hAnsi="Book Antiqua"/>
              </w:rPr>
            </w:pPr>
            <w:r w:rsidRPr="0049564D">
              <w:rPr>
                <w:rFonts w:ascii="Book Antiqua" w:hAnsi="Book Antiqua"/>
              </w:rPr>
              <w:t>0.444</w:t>
            </w:r>
          </w:p>
          <w:p w14:paraId="2DCAD6E7" w14:textId="2F229750" w:rsidR="00700313" w:rsidRPr="0049564D" w:rsidRDefault="00700313" w:rsidP="00B24044">
            <w:pPr>
              <w:adjustRightInd w:val="0"/>
              <w:snapToGrid w:val="0"/>
              <w:spacing w:line="360" w:lineRule="auto"/>
              <w:jc w:val="both"/>
              <w:rPr>
                <w:rFonts w:ascii="Book Antiqua" w:hAnsi="Book Antiqua"/>
              </w:rPr>
            </w:pPr>
          </w:p>
        </w:tc>
      </w:tr>
      <w:tr w:rsidR="0062767C" w:rsidRPr="0049564D" w14:paraId="1CAB8E2A" w14:textId="77777777" w:rsidTr="00700313">
        <w:tc>
          <w:tcPr>
            <w:tcW w:w="2518" w:type="dxa"/>
          </w:tcPr>
          <w:p w14:paraId="2B59CB59" w14:textId="3553F6BB" w:rsidR="00700313"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CEA (7 ng/mL)</w:t>
            </w:r>
          </w:p>
        </w:tc>
        <w:tc>
          <w:tcPr>
            <w:tcW w:w="1985" w:type="dxa"/>
          </w:tcPr>
          <w:p w14:paraId="2EDAE3B5" w14:textId="58C27B00" w:rsidR="00700313"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0.444</w:t>
            </w:r>
          </w:p>
        </w:tc>
        <w:tc>
          <w:tcPr>
            <w:tcW w:w="1316" w:type="dxa"/>
          </w:tcPr>
          <w:p w14:paraId="1E5E7072" w14:textId="1F5B4A67" w:rsidR="00700313" w:rsidRPr="0049564D" w:rsidRDefault="007C3CB7" w:rsidP="00B24044">
            <w:pPr>
              <w:adjustRightInd w:val="0"/>
              <w:snapToGrid w:val="0"/>
              <w:spacing w:line="360" w:lineRule="auto"/>
              <w:jc w:val="both"/>
              <w:rPr>
                <w:rFonts w:ascii="Book Antiqua" w:eastAsia="MS Mincho" w:hAnsi="Book Antiqua"/>
                <w:lang w:eastAsia="ja-JP"/>
              </w:rPr>
            </w:pPr>
            <w:r w:rsidRPr="0049564D">
              <w:rPr>
                <w:rFonts w:ascii="Book Antiqua" w:eastAsia="MS Mincho" w:hAnsi="Book Antiqua"/>
                <w:lang w:eastAsia="ja-JP"/>
              </w:rPr>
              <w:t>0.878</w:t>
            </w:r>
          </w:p>
        </w:tc>
        <w:tc>
          <w:tcPr>
            <w:tcW w:w="2653" w:type="dxa"/>
          </w:tcPr>
          <w:p w14:paraId="280C8927" w14:textId="37F58205" w:rsidR="00700313"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0.444</w:t>
            </w:r>
          </w:p>
        </w:tc>
      </w:tr>
      <w:tr w:rsidR="0062767C" w:rsidRPr="0049564D" w14:paraId="480D3CDF" w14:textId="77777777" w:rsidTr="00700313">
        <w:tc>
          <w:tcPr>
            <w:tcW w:w="2518" w:type="dxa"/>
          </w:tcPr>
          <w:p w14:paraId="3F68F686" w14:textId="483F2063" w:rsidR="00700313"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NLR (3)</w:t>
            </w:r>
          </w:p>
        </w:tc>
        <w:tc>
          <w:tcPr>
            <w:tcW w:w="1985" w:type="dxa"/>
          </w:tcPr>
          <w:p w14:paraId="38C638D0" w14:textId="6FE96E98" w:rsidR="00700313"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0.889</w:t>
            </w:r>
          </w:p>
        </w:tc>
        <w:tc>
          <w:tcPr>
            <w:tcW w:w="1316" w:type="dxa"/>
          </w:tcPr>
          <w:p w14:paraId="277E5E01" w14:textId="4D4EC743" w:rsidR="00700313"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0.659</w:t>
            </w:r>
          </w:p>
        </w:tc>
        <w:tc>
          <w:tcPr>
            <w:tcW w:w="2653" w:type="dxa"/>
          </w:tcPr>
          <w:p w14:paraId="35E9090E" w14:textId="71F55D58" w:rsidR="00700313" w:rsidRPr="0049564D" w:rsidRDefault="00700313" w:rsidP="00B24044">
            <w:pPr>
              <w:adjustRightInd w:val="0"/>
              <w:snapToGrid w:val="0"/>
              <w:spacing w:line="360" w:lineRule="auto"/>
              <w:jc w:val="both"/>
              <w:rPr>
                <w:rFonts w:ascii="Book Antiqua" w:hAnsi="Book Antiqua"/>
              </w:rPr>
            </w:pPr>
            <w:r w:rsidRPr="0049564D">
              <w:rPr>
                <w:rFonts w:ascii="Book Antiqua" w:hAnsi="Book Antiqua"/>
              </w:rPr>
              <w:t>0.364</w:t>
            </w:r>
          </w:p>
        </w:tc>
      </w:tr>
    </w:tbl>
    <w:p w14:paraId="0FC500DE" w14:textId="681EE86D"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hAnsi="Book Antiqua"/>
        </w:rPr>
        <w:t>PPV</w:t>
      </w:r>
      <w:r w:rsidR="00700313" w:rsidRPr="0049564D">
        <w:rPr>
          <w:rFonts w:ascii="Book Antiqua" w:hAnsi="Book Antiqua"/>
        </w:rPr>
        <w:t>:</w:t>
      </w:r>
      <w:r w:rsidRPr="0049564D">
        <w:rPr>
          <w:rFonts w:ascii="Book Antiqua" w:hAnsi="Book Antiqua"/>
        </w:rPr>
        <w:t xml:space="preserve"> </w:t>
      </w:r>
      <w:r w:rsidR="00700313" w:rsidRPr="0049564D">
        <w:rPr>
          <w:rFonts w:ascii="Book Antiqua" w:eastAsia="Yu Gothic" w:hAnsi="Book Antiqua"/>
        </w:rPr>
        <w:t>P</w:t>
      </w:r>
      <w:r w:rsidRPr="0049564D">
        <w:rPr>
          <w:rFonts w:ascii="Book Antiqua" w:eastAsia="Yu Gothic" w:hAnsi="Book Antiqua"/>
        </w:rPr>
        <w:t>ositive predictive value; CA19-9</w:t>
      </w:r>
      <w:r w:rsidR="00700313" w:rsidRPr="0049564D">
        <w:rPr>
          <w:rFonts w:ascii="Book Antiqua" w:eastAsia="Yu Gothic" w:hAnsi="Book Antiqua"/>
        </w:rPr>
        <w:t>:</w:t>
      </w:r>
      <w:r w:rsidRPr="0049564D">
        <w:rPr>
          <w:rFonts w:ascii="Book Antiqua" w:eastAsia="Yu Gothic" w:hAnsi="Book Antiqua"/>
        </w:rPr>
        <w:t xml:space="preserve"> </w:t>
      </w:r>
      <w:r w:rsidR="00700313" w:rsidRPr="0049564D">
        <w:rPr>
          <w:rFonts w:ascii="Book Antiqua" w:eastAsia="Yu Gothic" w:hAnsi="Book Antiqua"/>
        </w:rPr>
        <w:t>C</w:t>
      </w:r>
      <w:r w:rsidRPr="0049564D">
        <w:rPr>
          <w:rFonts w:ascii="Book Antiqua" w:eastAsia="Yu Gothic" w:hAnsi="Book Antiqua"/>
        </w:rPr>
        <w:t>arbohydrate antigen 19-9; CEA</w:t>
      </w:r>
      <w:r w:rsidR="00700313" w:rsidRPr="0049564D">
        <w:rPr>
          <w:rFonts w:ascii="Book Antiqua" w:eastAsia="Yu Gothic" w:hAnsi="Book Antiqua"/>
        </w:rPr>
        <w:t>:</w:t>
      </w:r>
      <w:r w:rsidRPr="0049564D">
        <w:rPr>
          <w:rFonts w:ascii="Book Antiqua" w:eastAsia="Yu Gothic" w:hAnsi="Book Antiqua"/>
        </w:rPr>
        <w:t xml:space="preserve"> </w:t>
      </w:r>
      <w:r w:rsidR="00700313" w:rsidRPr="0049564D">
        <w:rPr>
          <w:rFonts w:ascii="Book Antiqua" w:eastAsia="Yu Gothic" w:hAnsi="Book Antiqua"/>
        </w:rPr>
        <w:t>C</w:t>
      </w:r>
      <w:r w:rsidRPr="0049564D">
        <w:rPr>
          <w:rFonts w:ascii="Book Antiqua" w:eastAsia="Yu Gothic" w:hAnsi="Book Antiqua"/>
        </w:rPr>
        <w:t>arcinoembryonic antigen; NLR</w:t>
      </w:r>
      <w:r w:rsidR="00700313" w:rsidRPr="0049564D">
        <w:rPr>
          <w:rFonts w:ascii="Book Antiqua" w:eastAsia="Yu Gothic" w:hAnsi="Book Antiqua"/>
        </w:rPr>
        <w:t>:</w:t>
      </w:r>
      <w:r w:rsidRPr="0049564D">
        <w:rPr>
          <w:rFonts w:ascii="Book Antiqua" w:eastAsia="Yu Gothic" w:hAnsi="Book Antiqua"/>
        </w:rPr>
        <w:t xml:space="preserve"> </w:t>
      </w:r>
      <w:r w:rsidR="00700313" w:rsidRPr="0049564D">
        <w:rPr>
          <w:rFonts w:ascii="Book Antiqua" w:eastAsia="Yu Gothic" w:hAnsi="Book Antiqua"/>
        </w:rPr>
        <w:t>N</w:t>
      </w:r>
      <w:r w:rsidRPr="0049564D">
        <w:rPr>
          <w:rFonts w:ascii="Book Antiqua" w:eastAsia="Yu Gothic" w:hAnsi="Book Antiqua"/>
        </w:rPr>
        <w:t>eutrophil-lymphocyte ratio</w:t>
      </w:r>
      <w:r w:rsidR="00700313" w:rsidRPr="0049564D">
        <w:rPr>
          <w:rFonts w:ascii="Book Antiqua" w:eastAsia="Yu Gothic" w:hAnsi="Book Antiqua"/>
        </w:rPr>
        <w:t>.</w:t>
      </w:r>
    </w:p>
    <w:p w14:paraId="13BF0949" w14:textId="55C0CFBF" w:rsidR="00047B4A" w:rsidRPr="0049564D" w:rsidRDefault="00047B4A"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br w:type="page"/>
      </w:r>
      <w:r w:rsidR="00700313" w:rsidRPr="0049564D">
        <w:rPr>
          <w:rFonts w:ascii="Book Antiqua" w:eastAsia="Yu Gothic" w:hAnsi="Book Antiqua"/>
          <w:b/>
        </w:rPr>
        <w:lastRenderedPageBreak/>
        <w:t xml:space="preserve">Table 6 Occult liver and peritoneal metastasis according to each criteria, </w:t>
      </w:r>
      <w:r w:rsidR="00700313" w:rsidRPr="0049564D">
        <w:rPr>
          <w:rFonts w:ascii="Book Antiqua" w:eastAsia="Yu Gothic" w:hAnsi="Book Antiqua"/>
          <w:b/>
          <w:i/>
          <w:iCs/>
        </w:rPr>
        <w:t>n</w:t>
      </w:r>
      <w:r w:rsidR="00700313" w:rsidRPr="0049564D">
        <w:rPr>
          <w:rFonts w:ascii="Book Antiqua" w:eastAsia="Yu Gothic" w:hAnsi="Book Antiqua"/>
          <w:b/>
        </w:rPr>
        <w:t xml:space="preserve"> (%)</w:t>
      </w:r>
    </w:p>
    <w:tbl>
      <w:tblPr>
        <w:tblW w:w="8548" w:type="dxa"/>
        <w:tblInd w:w="99" w:type="dxa"/>
        <w:tblCellMar>
          <w:left w:w="99" w:type="dxa"/>
          <w:right w:w="99" w:type="dxa"/>
        </w:tblCellMar>
        <w:tblLook w:val="04A0" w:firstRow="1" w:lastRow="0" w:firstColumn="1" w:lastColumn="0" w:noHBand="0" w:noVBand="1"/>
      </w:tblPr>
      <w:tblGrid>
        <w:gridCol w:w="2311"/>
        <w:gridCol w:w="1701"/>
        <w:gridCol w:w="2552"/>
        <w:gridCol w:w="1984"/>
      </w:tblGrid>
      <w:tr w:rsidR="0062767C" w:rsidRPr="0049564D" w14:paraId="3C321792" w14:textId="36A3C183" w:rsidTr="006939FE">
        <w:trPr>
          <w:trHeight w:val="1300"/>
        </w:trPr>
        <w:tc>
          <w:tcPr>
            <w:tcW w:w="2311" w:type="dxa"/>
            <w:tcBorders>
              <w:top w:val="single" w:sz="4" w:space="0" w:color="auto"/>
              <w:left w:val="nil"/>
              <w:bottom w:val="single" w:sz="8" w:space="0" w:color="auto"/>
              <w:right w:val="nil"/>
            </w:tcBorders>
            <w:shd w:val="clear" w:color="auto" w:fill="auto"/>
            <w:noWrap/>
            <w:vAlign w:val="center"/>
            <w:hideMark/>
          </w:tcPr>
          <w:p w14:paraId="6064D2A8" w14:textId="77777777" w:rsidR="006939FE" w:rsidRPr="0049564D" w:rsidRDefault="006939FE"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rPr>
              <w:t>Factor</w:t>
            </w:r>
          </w:p>
        </w:tc>
        <w:tc>
          <w:tcPr>
            <w:tcW w:w="1701" w:type="dxa"/>
            <w:tcBorders>
              <w:top w:val="single" w:sz="4" w:space="0" w:color="auto"/>
              <w:left w:val="nil"/>
              <w:bottom w:val="single" w:sz="8" w:space="0" w:color="auto"/>
              <w:right w:val="nil"/>
            </w:tcBorders>
            <w:shd w:val="clear" w:color="auto" w:fill="auto"/>
            <w:vAlign w:val="center"/>
            <w:hideMark/>
          </w:tcPr>
          <w:p w14:paraId="16F26853" w14:textId="6A7525C6" w:rsidR="006939FE" w:rsidRPr="0049564D" w:rsidRDefault="006939FE"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i/>
                <w:iCs/>
              </w:rPr>
              <w:t>n</w:t>
            </w:r>
            <w:r w:rsidRPr="0049564D">
              <w:rPr>
                <w:rFonts w:ascii="Book Antiqua" w:eastAsia="Yu Gothic" w:hAnsi="Book Antiqua"/>
                <w:b/>
                <w:bCs/>
              </w:rPr>
              <w:t xml:space="preserve"> of patients</w:t>
            </w:r>
          </w:p>
        </w:tc>
        <w:tc>
          <w:tcPr>
            <w:tcW w:w="2552" w:type="dxa"/>
            <w:tcBorders>
              <w:top w:val="single" w:sz="4" w:space="0" w:color="auto"/>
              <w:left w:val="nil"/>
              <w:bottom w:val="single" w:sz="8" w:space="0" w:color="auto"/>
              <w:right w:val="nil"/>
            </w:tcBorders>
            <w:shd w:val="clear" w:color="auto" w:fill="auto"/>
            <w:vAlign w:val="center"/>
            <w:hideMark/>
          </w:tcPr>
          <w:p w14:paraId="6C990434" w14:textId="77777777" w:rsidR="006939FE" w:rsidRPr="0049564D" w:rsidRDefault="006939FE"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rPr>
              <w:t xml:space="preserve">No. of patients with occult liver or peritoneal metastasis </w:t>
            </w:r>
          </w:p>
        </w:tc>
        <w:tc>
          <w:tcPr>
            <w:tcW w:w="1984" w:type="dxa"/>
            <w:tcBorders>
              <w:top w:val="single" w:sz="4" w:space="0" w:color="auto"/>
              <w:left w:val="nil"/>
              <w:bottom w:val="single" w:sz="8" w:space="0" w:color="auto"/>
              <w:right w:val="nil"/>
            </w:tcBorders>
            <w:shd w:val="clear" w:color="auto" w:fill="auto"/>
            <w:vAlign w:val="center"/>
            <w:hideMark/>
          </w:tcPr>
          <w:p w14:paraId="454326BE" w14:textId="77777777" w:rsidR="006939FE" w:rsidRPr="0049564D" w:rsidRDefault="006939FE" w:rsidP="00B24044">
            <w:pPr>
              <w:adjustRightInd w:val="0"/>
              <w:snapToGrid w:val="0"/>
              <w:spacing w:line="360" w:lineRule="auto"/>
              <w:jc w:val="both"/>
              <w:rPr>
                <w:rFonts w:ascii="Book Antiqua" w:eastAsia="Yu Gothic" w:hAnsi="Book Antiqua"/>
                <w:b/>
                <w:bCs/>
              </w:rPr>
            </w:pPr>
            <w:r w:rsidRPr="0049564D">
              <w:rPr>
                <w:rFonts w:ascii="Book Antiqua" w:eastAsia="Yu Gothic" w:hAnsi="Book Antiqua"/>
                <w:b/>
                <w:bCs/>
              </w:rPr>
              <w:t>Estimated reduction rate of exploratory laparotomy</w:t>
            </w:r>
          </w:p>
        </w:tc>
      </w:tr>
      <w:tr w:rsidR="0062767C" w:rsidRPr="0049564D" w14:paraId="49944534" w14:textId="1152DB9F" w:rsidTr="006939FE">
        <w:trPr>
          <w:trHeight w:val="320"/>
        </w:trPr>
        <w:tc>
          <w:tcPr>
            <w:tcW w:w="2311" w:type="dxa"/>
            <w:tcBorders>
              <w:top w:val="nil"/>
              <w:left w:val="nil"/>
              <w:bottom w:val="nil"/>
              <w:right w:val="nil"/>
            </w:tcBorders>
            <w:shd w:val="clear" w:color="auto" w:fill="auto"/>
            <w:noWrap/>
            <w:vAlign w:val="bottom"/>
            <w:hideMark/>
          </w:tcPr>
          <w:p w14:paraId="68BF1FFE" w14:textId="6B57D843"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CA19-9 &gt; 255 U/mL</w:t>
            </w:r>
          </w:p>
        </w:tc>
        <w:tc>
          <w:tcPr>
            <w:tcW w:w="1701" w:type="dxa"/>
            <w:tcBorders>
              <w:top w:val="nil"/>
              <w:left w:val="nil"/>
              <w:bottom w:val="nil"/>
              <w:right w:val="nil"/>
            </w:tcBorders>
            <w:shd w:val="clear" w:color="auto" w:fill="auto"/>
            <w:noWrap/>
            <w:vAlign w:val="bottom"/>
            <w:hideMark/>
          </w:tcPr>
          <w:p w14:paraId="073B38F4" w14:textId="7A8F1F5A"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48 (20)</w:t>
            </w:r>
          </w:p>
        </w:tc>
        <w:tc>
          <w:tcPr>
            <w:tcW w:w="2552" w:type="dxa"/>
            <w:tcBorders>
              <w:top w:val="nil"/>
              <w:left w:val="nil"/>
              <w:bottom w:val="nil"/>
              <w:right w:val="nil"/>
            </w:tcBorders>
            <w:shd w:val="clear" w:color="auto" w:fill="auto"/>
            <w:noWrap/>
            <w:vAlign w:val="bottom"/>
            <w:hideMark/>
          </w:tcPr>
          <w:p w14:paraId="0604AEC7" w14:textId="77777777"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7</w:t>
            </w:r>
          </w:p>
        </w:tc>
        <w:tc>
          <w:tcPr>
            <w:tcW w:w="1984" w:type="dxa"/>
            <w:tcBorders>
              <w:top w:val="nil"/>
              <w:left w:val="nil"/>
              <w:bottom w:val="nil"/>
              <w:right w:val="nil"/>
            </w:tcBorders>
            <w:shd w:val="clear" w:color="auto" w:fill="auto"/>
            <w:noWrap/>
            <w:vAlign w:val="center"/>
            <w:hideMark/>
          </w:tcPr>
          <w:p w14:paraId="7CB1BC5D" w14:textId="4156F33A"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7/48 (14.6)</w:t>
            </w:r>
          </w:p>
        </w:tc>
      </w:tr>
      <w:tr w:rsidR="0062767C" w:rsidRPr="0049564D" w14:paraId="30FF1E75" w14:textId="0F91E348" w:rsidTr="006939FE">
        <w:trPr>
          <w:trHeight w:val="320"/>
        </w:trPr>
        <w:tc>
          <w:tcPr>
            <w:tcW w:w="2311" w:type="dxa"/>
            <w:tcBorders>
              <w:top w:val="nil"/>
              <w:left w:val="nil"/>
              <w:bottom w:val="nil"/>
              <w:right w:val="nil"/>
            </w:tcBorders>
            <w:shd w:val="clear" w:color="auto" w:fill="auto"/>
            <w:noWrap/>
            <w:vAlign w:val="bottom"/>
            <w:hideMark/>
          </w:tcPr>
          <w:p w14:paraId="582FBAD3" w14:textId="2411926C"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CEA &gt; 7 ng/mL</w:t>
            </w:r>
          </w:p>
        </w:tc>
        <w:tc>
          <w:tcPr>
            <w:tcW w:w="1701" w:type="dxa"/>
            <w:tcBorders>
              <w:top w:val="nil"/>
              <w:left w:val="nil"/>
              <w:bottom w:val="nil"/>
              <w:right w:val="nil"/>
            </w:tcBorders>
            <w:shd w:val="clear" w:color="auto" w:fill="auto"/>
            <w:noWrap/>
            <w:vAlign w:val="bottom"/>
            <w:hideMark/>
          </w:tcPr>
          <w:p w14:paraId="3A1F0FD0" w14:textId="5FB2C85D"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26 (11)</w:t>
            </w:r>
          </w:p>
        </w:tc>
        <w:tc>
          <w:tcPr>
            <w:tcW w:w="2552" w:type="dxa"/>
            <w:tcBorders>
              <w:top w:val="nil"/>
              <w:left w:val="nil"/>
              <w:bottom w:val="nil"/>
              <w:right w:val="nil"/>
            </w:tcBorders>
            <w:shd w:val="clear" w:color="auto" w:fill="auto"/>
            <w:noWrap/>
            <w:vAlign w:val="bottom"/>
            <w:hideMark/>
          </w:tcPr>
          <w:p w14:paraId="54AE6C43" w14:textId="77777777"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6</w:t>
            </w:r>
          </w:p>
        </w:tc>
        <w:tc>
          <w:tcPr>
            <w:tcW w:w="1984" w:type="dxa"/>
            <w:tcBorders>
              <w:top w:val="nil"/>
              <w:left w:val="nil"/>
              <w:bottom w:val="nil"/>
              <w:right w:val="nil"/>
            </w:tcBorders>
            <w:shd w:val="clear" w:color="auto" w:fill="auto"/>
            <w:noWrap/>
            <w:vAlign w:val="center"/>
            <w:hideMark/>
          </w:tcPr>
          <w:p w14:paraId="427C2E0A" w14:textId="3FBDD9B4"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6/26 (23.1)</w:t>
            </w:r>
          </w:p>
        </w:tc>
      </w:tr>
      <w:tr w:rsidR="0062767C" w:rsidRPr="0049564D" w14:paraId="55FC6950" w14:textId="3BBC6CBF" w:rsidTr="006939FE">
        <w:trPr>
          <w:trHeight w:val="320"/>
        </w:trPr>
        <w:tc>
          <w:tcPr>
            <w:tcW w:w="2311" w:type="dxa"/>
            <w:tcBorders>
              <w:top w:val="nil"/>
              <w:left w:val="nil"/>
              <w:bottom w:val="nil"/>
              <w:right w:val="nil"/>
            </w:tcBorders>
            <w:shd w:val="clear" w:color="auto" w:fill="auto"/>
            <w:noWrap/>
            <w:vAlign w:val="bottom"/>
            <w:hideMark/>
          </w:tcPr>
          <w:p w14:paraId="46404CC3" w14:textId="77777777"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NLR &gt; 3</w:t>
            </w:r>
          </w:p>
        </w:tc>
        <w:tc>
          <w:tcPr>
            <w:tcW w:w="1701" w:type="dxa"/>
            <w:tcBorders>
              <w:top w:val="nil"/>
              <w:left w:val="nil"/>
              <w:bottom w:val="nil"/>
              <w:right w:val="nil"/>
            </w:tcBorders>
            <w:shd w:val="clear" w:color="auto" w:fill="auto"/>
            <w:noWrap/>
            <w:vAlign w:val="bottom"/>
            <w:hideMark/>
          </w:tcPr>
          <w:p w14:paraId="2BCDC203" w14:textId="41D81201"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77 (33)</w:t>
            </w:r>
          </w:p>
        </w:tc>
        <w:tc>
          <w:tcPr>
            <w:tcW w:w="2552" w:type="dxa"/>
            <w:tcBorders>
              <w:top w:val="nil"/>
              <w:left w:val="nil"/>
              <w:bottom w:val="nil"/>
              <w:right w:val="nil"/>
            </w:tcBorders>
            <w:shd w:val="clear" w:color="auto" w:fill="auto"/>
            <w:noWrap/>
            <w:vAlign w:val="bottom"/>
            <w:hideMark/>
          </w:tcPr>
          <w:p w14:paraId="0F98B985" w14:textId="77777777"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11</w:t>
            </w:r>
          </w:p>
        </w:tc>
        <w:tc>
          <w:tcPr>
            <w:tcW w:w="1984" w:type="dxa"/>
            <w:tcBorders>
              <w:top w:val="nil"/>
              <w:left w:val="nil"/>
              <w:bottom w:val="nil"/>
              <w:right w:val="nil"/>
            </w:tcBorders>
            <w:shd w:val="clear" w:color="auto" w:fill="auto"/>
            <w:noWrap/>
            <w:vAlign w:val="center"/>
            <w:hideMark/>
          </w:tcPr>
          <w:p w14:paraId="7111E148" w14:textId="71559BDD"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11/77 (14.3)</w:t>
            </w:r>
          </w:p>
        </w:tc>
      </w:tr>
      <w:tr w:rsidR="0062767C" w:rsidRPr="0049564D" w14:paraId="6D27B66E" w14:textId="371CCB81" w:rsidTr="006939FE">
        <w:trPr>
          <w:trHeight w:val="320"/>
        </w:trPr>
        <w:tc>
          <w:tcPr>
            <w:tcW w:w="2311" w:type="dxa"/>
            <w:tcBorders>
              <w:top w:val="nil"/>
              <w:left w:val="nil"/>
              <w:bottom w:val="nil"/>
              <w:right w:val="nil"/>
            </w:tcBorders>
            <w:shd w:val="clear" w:color="auto" w:fill="auto"/>
            <w:noWrap/>
            <w:vAlign w:val="bottom"/>
            <w:hideMark/>
          </w:tcPr>
          <w:p w14:paraId="4F60FA1A" w14:textId="4D08B598"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mGPS = B, C, D</w:t>
            </w:r>
          </w:p>
        </w:tc>
        <w:tc>
          <w:tcPr>
            <w:tcW w:w="1701" w:type="dxa"/>
            <w:tcBorders>
              <w:top w:val="nil"/>
              <w:left w:val="nil"/>
              <w:bottom w:val="nil"/>
              <w:right w:val="nil"/>
            </w:tcBorders>
            <w:shd w:val="clear" w:color="auto" w:fill="auto"/>
            <w:noWrap/>
            <w:vAlign w:val="bottom"/>
            <w:hideMark/>
          </w:tcPr>
          <w:p w14:paraId="5667A1B1" w14:textId="1937942C"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101 (43)</w:t>
            </w:r>
          </w:p>
        </w:tc>
        <w:tc>
          <w:tcPr>
            <w:tcW w:w="2552" w:type="dxa"/>
            <w:tcBorders>
              <w:top w:val="nil"/>
              <w:left w:val="nil"/>
              <w:bottom w:val="nil"/>
              <w:right w:val="nil"/>
            </w:tcBorders>
            <w:shd w:val="clear" w:color="auto" w:fill="auto"/>
            <w:noWrap/>
            <w:vAlign w:val="bottom"/>
            <w:hideMark/>
          </w:tcPr>
          <w:p w14:paraId="60B2F2DE" w14:textId="77777777"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5</w:t>
            </w:r>
          </w:p>
        </w:tc>
        <w:tc>
          <w:tcPr>
            <w:tcW w:w="1984" w:type="dxa"/>
            <w:tcBorders>
              <w:top w:val="nil"/>
              <w:left w:val="nil"/>
              <w:bottom w:val="nil"/>
              <w:right w:val="nil"/>
            </w:tcBorders>
            <w:shd w:val="clear" w:color="auto" w:fill="auto"/>
            <w:noWrap/>
            <w:vAlign w:val="center"/>
            <w:hideMark/>
          </w:tcPr>
          <w:p w14:paraId="4C1C1A3F" w14:textId="7C496671"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5/101 (5.0)</w:t>
            </w:r>
          </w:p>
        </w:tc>
      </w:tr>
      <w:tr w:rsidR="0062767C" w:rsidRPr="0049564D" w14:paraId="5F34F176" w14:textId="35E54991" w:rsidTr="006939FE">
        <w:trPr>
          <w:trHeight w:val="320"/>
        </w:trPr>
        <w:tc>
          <w:tcPr>
            <w:tcW w:w="2311" w:type="dxa"/>
            <w:tcBorders>
              <w:top w:val="nil"/>
              <w:left w:val="nil"/>
              <w:bottom w:val="nil"/>
              <w:right w:val="nil"/>
            </w:tcBorders>
            <w:shd w:val="clear" w:color="auto" w:fill="auto"/>
            <w:noWrap/>
            <w:vAlign w:val="bottom"/>
          </w:tcPr>
          <w:p w14:paraId="278E881B" w14:textId="77777777" w:rsidR="006939FE" w:rsidRPr="0049564D" w:rsidRDefault="006939FE" w:rsidP="00B24044">
            <w:pPr>
              <w:adjustRightInd w:val="0"/>
              <w:snapToGrid w:val="0"/>
              <w:spacing w:line="360" w:lineRule="auto"/>
              <w:jc w:val="both"/>
              <w:rPr>
                <w:rFonts w:ascii="Book Antiqua" w:eastAsia="Yu Gothic" w:hAnsi="Book Antiqua"/>
              </w:rPr>
            </w:pPr>
          </w:p>
        </w:tc>
        <w:tc>
          <w:tcPr>
            <w:tcW w:w="1701" w:type="dxa"/>
            <w:tcBorders>
              <w:top w:val="nil"/>
              <w:left w:val="nil"/>
              <w:bottom w:val="nil"/>
              <w:right w:val="nil"/>
            </w:tcBorders>
            <w:shd w:val="clear" w:color="auto" w:fill="auto"/>
            <w:noWrap/>
            <w:vAlign w:val="bottom"/>
          </w:tcPr>
          <w:p w14:paraId="22084E40" w14:textId="77777777" w:rsidR="006939FE" w:rsidRPr="0049564D" w:rsidRDefault="006939FE" w:rsidP="00B24044">
            <w:pPr>
              <w:adjustRightInd w:val="0"/>
              <w:snapToGrid w:val="0"/>
              <w:spacing w:line="360" w:lineRule="auto"/>
              <w:jc w:val="both"/>
              <w:rPr>
                <w:rFonts w:ascii="Book Antiqua" w:eastAsia="Yu Gothic" w:hAnsi="Book Antiqua"/>
              </w:rPr>
            </w:pPr>
          </w:p>
        </w:tc>
        <w:tc>
          <w:tcPr>
            <w:tcW w:w="2552" w:type="dxa"/>
            <w:tcBorders>
              <w:top w:val="nil"/>
              <w:left w:val="nil"/>
              <w:bottom w:val="nil"/>
              <w:right w:val="nil"/>
            </w:tcBorders>
            <w:shd w:val="clear" w:color="auto" w:fill="auto"/>
            <w:noWrap/>
            <w:vAlign w:val="bottom"/>
          </w:tcPr>
          <w:p w14:paraId="33AEA9F1" w14:textId="77777777" w:rsidR="006939FE" w:rsidRPr="0049564D" w:rsidRDefault="006939FE" w:rsidP="00B24044">
            <w:pPr>
              <w:adjustRightInd w:val="0"/>
              <w:snapToGrid w:val="0"/>
              <w:spacing w:line="360" w:lineRule="auto"/>
              <w:jc w:val="both"/>
              <w:rPr>
                <w:rFonts w:ascii="Book Antiqua" w:eastAsia="Yu Gothic" w:hAnsi="Book Antiqua"/>
              </w:rPr>
            </w:pPr>
          </w:p>
        </w:tc>
        <w:tc>
          <w:tcPr>
            <w:tcW w:w="1984" w:type="dxa"/>
            <w:tcBorders>
              <w:top w:val="nil"/>
              <w:left w:val="nil"/>
              <w:bottom w:val="nil"/>
              <w:right w:val="nil"/>
            </w:tcBorders>
            <w:shd w:val="clear" w:color="auto" w:fill="auto"/>
            <w:noWrap/>
            <w:vAlign w:val="center"/>
          </w:tcPr>
          <w:p w14:paraId="4EBA6156" w14:textId="77777777" w:rsidR="006939FE" w:rsidRPr="0049564D" w:rsidRDefault="006939FE" w:rsidP="00B24044">
            <w:pPr>
              <w:adjustRightInd w:val="0"/>
              <w:snapToGrid w:val="0"/>
              <w:spacing w:line="360" w:lineRule="auto"/>
              <w:jc w:val="both"/>
              <w:rPr>
                <w:rFonts w:ascii="Book Antiqua" w:eastAsia="Yu Gothic" w:hAnsi="Book Antiqua"/>
              </w:rPr>
            </w:pPr>
          </w:p>
        </w:tc>
      </w:tr>
      <w:tr w:rsidR="0062767C" w:rsidRPr="0049564D" w14:paraId="3264D835" w14:textId="2862A551" w:rsidTr="006939FE">
        <w:trPr>
          <w:trHeight w:val="320"/>
        </w:trPr>
        <w:tc>
          <w:tcPr>
            <w:tcW w:w="2311" w:type="dxa"/>
            <w:tcBorders>
              <w:top w:val="nil"/>
              <w:left w:val="nil"/>
              <w:bottom w:val="nil"/>
              <w:right w:val="nil"/>
            </w:tcBorders>
            <w:shd w:val="clear" w:color="auto" w:fill="auto"/>
            <w:noWrap/>
            <w:vAlign w:val="bottom"/>
          </w:tcPr>
          <w:p w14:paraId="0D20382D" w14:textId="2B371A23"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 xml:space="preserve">Positive factors </w:t>
            </w:r>
            <w:r w:rsidRPr="0049564D">
              <w:rPr>
                <w:rFonts w:ascii="Book Antiqua" w:eastAsia="Yu Gothic" w:hAnsi="Book Antiqua" w:cs="Calibri"/>
              </w:rPr>
              <w:t xml:space="preserve">≥ </w:t>
            </w:r>
            <w:r w:rsidRPr="0049564D">
              <w:rPr>
                <w:rFonts w:ascii="Book Antiqua" w:eastAsia="Yu Gothic" w:hAnsi="Book Antiqua"/>
              </w:rPr>
              <w:t>2</w:t>
            </w:r>
          </w:p>
        </w:tc>
        <w:tc>
          <w:tcPr>
            <w:tcW w:w="1701" w:type="dxa"/>
            <w:tcBorders>
              <w:top w:val="nil"/>
              <w:left w:val="nil"/>
              <w:bottom w:val="nil"/>
              <w:right w:val="nil"/>
            </w:tcBorders>
            <w:shd w:val="clear" w:color="auto" w:fill="auto"/>
            <w:noWrap/>
            <w:vAlign w:val="bottom"/>
          </w:tcPr>
          <w:p w14:paraId="2817D6F0" w14:textId="043C0D5E"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73 (31)</w:t>
            </w:r>
          </w:p>
        </w:tc>
        <w:tc>
          <w:tcPr>
            <w:tcW w:w="2552" w:type="dxa"/>
            <w:tcBorders>
              <w:top w:val="nil"/>
              <w:left w:val="nil"/>
              <w:bottom w:val="nil"/>
              <w:right w:val="nil"/>
            </w:tcBorders>
            <w:shd w:val="clear" w:color="auto" w:fill="auto"/>
            <w:noWrap/>
            <w:vAlign w:val="bottom"/>
          </w:tcPr>
          <w:p w14:paraId="359D7EB1" w14:textId="77777777"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11</w:t>
            </w:r>
          </w:p>
        </w:tc>
        <w:tc>
          <w:tcPr>
            <w:tcW w:w="1984" w:type="dxa"/>
            <w:tcBorders>
              <w:top w:val="nil"/>
              <w:left w:val="nil"/>
              <w:bottom w:val="nil"/>
              <w:right w:val="nil"/>
            </w:tcBorders>
            <w:shd w:val="clear" w:color="auto" w:fill="auto"/>
            <w:noWrap/>
            <w:vAlign w:val="center"/>
          </w:tcPr>
          <w:p w14:paraId="76122D68" w14:textId="26EBF251"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11/73 (15.1)</w:t>
            </w:r>
          </w:p>
        </w:tc>
      </w:tr>
      <w:tr w:rsidR="0062767C" w:rsidRPr="0049564D" w14:paraId="1CC7A81D" w14:textId="48B369C7" w:rsidTr="006939FE">
        <w:trPr>
          <w:trHeight w:val="320"/>
        </w:trPr>
        <w:tc>
          <w:tcPr>
            <w:tcW w:w="2311" w:type="dxa"/>
            <w:tcBorders>
              <w:top w:val="nil"/>
              <w:left w:val="nil"/>
              <w:right w:val="nil"/>
            </w:tcBorders>
            <w:shd w:val="clear" w:color="auto" w:fill="auto"/>
            <w:noWrap/>
            <w:vAlign w:val="bottom"/>
          </w:tcPr>
          <w:p w14:paraId="61C7329B" w14:textId="7BF27831"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 xml:space="preserve">Positive factors </w:t>
            </w:r>
            <w:r w:rsidRPr="0049564D">
              <w:rPr>
                <w:rFonts w:ascii="Book Antiqua" w:eastAsia="Yu Gothic" w:hAnsi="Book Antiqua" w:cs="Calibri"/>
              </w:rPr>
              <w:t xml:space="preserve">≥ </w:t>
            </w:r>
            <w:r w:rsidRPr="0049564D">
              <w:rPr>
                <w:rFonts w:ascii="Book Antiqua" w:eastAsia="Yu Gothic" w:hAnsi="Book Antiqua"/>
              </w:rPr>
              <w:t>3</w:t>
            </w:r>
          </w:p>
        </w:tc>
        <w:tc>
          <w:tcPr>
            <w:tcW w:w="1701" w:type="dxa"/>
            <w:tcBorders>
              <w:top w:val="nil"/>
              <w:left w:val="nil"/>
              <w:right w:val="nil"/>
            </w:tcBorders>
            <w:shd w:val="clear" w:color="auto" w:fill="auto"/>
            <w:noWrap/>
            <w:vAlign w:val="bottom"/>
          </w:tcPr>
          <w:p w14:paraId="31ED5DD8" w14:textId="0ED9772A"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26 (11)</w:t>
            </w:r>
          </w:p>
        </w:tc>
        <w:tc>
          <w:tcPr>
            <w:tcW w:w="2552" w:type="dxa"/>
            <w:tcBorders>
              <w:top w:val="nil"/>
              <w:left w:val="nil"/>
              <w:right w:val="nil"/>
            </w:tcBorders>
            <w:shd w:val="clear" w:color="auto" w:fill="auto"/>
            <w:noWrap/>
            <w:vAlign w:val="bottom"/>
          </w:tcPr>
          <w:p w14:paraId="7A35F2C5" w14:textId="77777777"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7</w:t>
            </w:r>
          </w:p>
        </w:tc>
        <w:tc>
          <w:tcPr>
            <w:tcW w:w="1984" w:type="dxa"/>
            <w:tcBorders>
              <w:top w:val="nil"/>
              <w:left w:val="nil"/>
              <w:right w:val="nil"/>
            </w:tcBorders>
            <w:shd w:val="clear" w:color="auto" w:fill="auto"/>
            <w:noWrap/>
            <w:vAlign w:val="center"/>
          </w:tcPr>
          <w:p w14:paraId="02AF5E77" w14:textId="44BBCB3E"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7/26 (26.9)</w:t>
            </w:r>
          </w:p>
        </w:tc>
      </w:tr>
      <w:tr w:rsidR="0062767C" w:rsidRPr="0049564D" w14:paraId="6BE8CD0D" w14:textId="2F9F5579" w:rsidTr="006939FE">
        <w:trPr>
          <w:trHeight w:val="320"/>
        </w:trPr>
        <w:tc>
          <w:tcPr>
            <w:tcW w:w="2311" w:type="dxa"/>
            <w:tcBorders>
              <w:top w:val="nil"/>
              <w:left w:val="nil"/>
              <w:bottom w:val="single" w:sz="4" w:space="0" w:color="auto"/>
              <w:right w:val="nil"/>
            </w:tcBorders>
            <w:shd w:val="clear" w:color="auto" w:fill="auto"/>
            <w:noWrap/>
            <w:vAlign w:val="bottom"/>
          </w:tcPr>
          <w:p w14:paraId="328932CF" w14:textId="1FF9FAF2"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 xml:space="preserve">Positive factors </w:t>
            </w:r>
            <w:r w:rsidRPr="0049564D">
              <w:rPr>
                <w:rFonts w:ascii="Book Antiqua" w:eastAsia="Yu Gothic" w:hAnsi="Book Antiqua" w:cs="Calibri"/>
              </w:rPr>
              <w:t xml:space="preserve">≥ </w:t>
            </w:r>
            <w:r w:rsidRPr="0049564D">
              <w:rPr>
                <w:rFonts w:ascii="Book Antiqua" w:eastAsia="Yu Gothic" w:hAnsi="Book Antiqua"/>
              </w:rPr>
              <w:t>4</w:t>
            </w:r>
          </w:p>
        </w:tc>
        <w:tc>
          <w:tcPr>
            <w:tcW w:w="1701" w:type="dxa"/>
            <w:tcBorders>
              <w:top w:val="nil"/>
              <w:left w:val="nil"/>
              <w:bottom w:val="single" w:sz="4" w:space="0" w:color="auto"/>
              <w:right w:val="nil"/>
            </w:tcBorders>
            <w:shd w:val="clear" w:color="auto" w:fill="auto"/>
            <w:noWrap/>
            <w:vAlign w:val="bottom"/>
          </w:tcPr>
          <w:p w14:paraId="546F0A9C" w14:textId="47BD3995"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6 (3)</w:t>
            </w:r>
          </w:p>
        </w:tc>
        <w:tc>
          <w:tcPr>
            <w:tcW w:w="2552" w:type="dxa"/>
            <w:tcBorders>
              <w:top w:val="nil"/>
              <w:left w:val="nil"/>
              <w:bottom w:val="single" w:sz="4" w:space="0" w:color="auto"/>
              <w:right w:val="nil"/>
            </w:tcBorders>
            <w:shd w:val="clear" w:color="auto" w:fill="auto"/>
            <w:noWrap/>
            <w:vAlign w:val="bottom"/>
          </w:tcPr>
          <w:p w14:paraId="42F6F397" w14:textId="77777777"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2</w:t>
            </w:r>
          </w:p>
        </w:tc>
        <w:tc>
          <w:tcPr>
            <w:tcW w:w="1984" w:type="dxa"/>
            <w:tcBorders>
              <w:top w:val="nil"/>
              <w:left w:val="nil"/>
              <w:bottom w:val="single" w:sz="4" w:space="0" w:color="auto"/>
              <w:right w:val="nil"/>
            </w:tcBorders>
            <w:shd w:val="clear" w:color="auto" w:fill="auto"/>
            <w:noWrap/>
            <w:vAlign w:val="center"/>
          </w:tcPr>
          <w:p w14:paraId="16EBB76F" w14:textId="7370DDBD" w:rsidR="006939FE" w:rsidRPr="0049564D" w:rsidRDefault="006939FE" w:rsidP="00B24044">
            <w:pPr>
              <w:adjustRightInd w:val="0"/>
              <w:snapToGrid w:val="0"/>
              <w:spacing w:line="360" w:lineRule="auto"/>
              <w:jc w:val="both"/>
              <w:rPr>
                <w:rFonts w:ascii="Book Antiqua" w:eastAsia="Yu Gothic" w:hAnsi="Book Antiqua"/>
              </w:rPr>
            </w:pPr>
            <w:r w:rsidRPr="0049564D">
              <w:rPr>
                <w:rFonts w:ascii="Book Antiqua" w:eastAsia="Yu Gothic" w:hAnsi="Book Antiqua"/>
              </w:rPr>
              <w:t>2/6 (33.3)</w:t>
            </w:r>
          </w:p>
        </w:tc>
      </w:tr>
    </w:tbl>
    <w:p w14:paraId="03129BC8" w14:textId="0DB4665B" w:rsidR="00115021" w:rsidRPr="0049564D" w:rsidRDefault="006939FE" w:rsidP="00B24044">
      <w:pPr>
        <w:jc w:val="both"/>
        <w:rPr>
          <w:rFonts w:ascii="Book Antiqua" w:eastAsia="Yu Gothic" w:hAnsi="Book Antiqua"/>
        </w:rPr>
      </w:pPr>
      <w:r w:rsidRPr="0049564D">
        <w:rPr>
          <w:rFonts w:ascii="Book Antiqua" w:eastAsia="Yu Gothic" w:hAnsi="Book Antiqua"/>
        </w:rPr>
        <w:t>CA19-9: Carbohydrate antigen 19-9; CEA: Carcinoembryonic antigen</w:t>
      </w:r>
      <w:r w:rsidRPr="0049564D">
        <w:rPr>
          <w:rFonts w:ascii="Book Antiqua" w:hAnsi="Book Antiqua"/>
          <w:lang w:eastAsia="zh-CN"/>
        </w:rPr>
        <w:t xml:space="preserve">; </w:t>
      </w:r>
      <w:r w:rsidRPr="0049564D">
        <w:rPr>
          <w:rFonts w:ascii="Book Antiqua" w:eastAsia="Yu Gothic" w:hAnsi="Book Antiqua"/>
        </w:rPr>
        <w:t>NLR: Neutrophil-lymphocyte ratio.</w:t>
      </w:r>
    </w:p>
    <w:p w14:paraId="5CC75FAA" w14:textId="77777777" w:rsidR="00115021" w:rsidRPr="0049564D" w:rsidRDefault="00115021">
      <w:pPr>
        <w:rPr>
          <w:rFonts w:ascii="Book Antiqua" w:eastAsia="Yu Gothic" w:hAnsi="Book Antiqua"/>
        </w:rPr>
      </w:pPr>
      <w:r w:rsidRPr="0049564D">
        <w:rPr>
          <w:rFonts w:ascii="Book Antiqua" w:eastAsia="Yu Gothic" w:hAnsi="Book Antiqua"/>
        </w:rPr>
        <w:br w:type="page"/>
      </w:r>
    </w:p>
    <w:p w14:paraId="78C89EB8" w14:textId="77777777" w:rsidR="00115021" w:rsidRPr="0049564D" w:rsidRDefault="00115021" w:rsidP="00115021">
      <w:pPr>
        <w:jc w:val="center"/>
        <w:rPr>
          <w:rFonts w:ascii="Book Antiqua" w:hAnsi="Book Antiqua"/>
          <w:lang w:eastAsia="zh-CN"/>
        </w:rPr>
      </w:pPr>
    </w:p>
    <w:p w14:paraId="437DEA0F" w14:textId="77777777" w:rsidR="00115021" w:rsidRPr="0049564D" w:rsidRDefault="00115021" w:rsidP="00115021">
      <w:pPr>
        <w:jc w:val="center"/>
        <w:rPr>
          <w:rFonts w:ascii="Book Antiqua" w:hAnsi="Book Antiqua"/>
          <w:lang w:eastAsia="zh-CN"/>
        </w:rPr>
      </w:pPr>
    </w:p>
    <w:p w14:paraId="50892CF8" w14:textId="77777777" w:rsidR="00115021" w:rsidRPr="0049564D" w:rsidRDefault="00115021" w:rsidP="00115021">
      <w:pPr>
        <w:jc w:val="center"/>
        <w:rPr>
          <w:rFonts w:ascii="Book Antiqua" w:hAnsi="Book Antiqua"/>
          <w:lang w:eastAsia="zh-CN"/>
        </w:rPr>
      </w:pPr>
    </w:p>
    <w:p w14:paraId="398F1909" w14:textId="77777777" w:rsidR="00115021" w:rsidRPr="0049564D" w:rsidRDefault="00115021" w:rsidP="00115021">
      <w:pPr>
        <w:jc w:val="center"/>
        <w:rPr>
          <w:rFonts w:ascii="Book Antiqua" w:hAnsi="Book Antiqua"/>
          <w:lang w:eastAsia="zh-CN"/>
        </w:rPr>
      </w:pPr>
    </w:p>
    <w:p w14:paraId="41C03A2C" w14:textId="77777777" w:rsidR="00115021" w:rsidRPr="0049564D" w:rsidRDefault="00115021" w:rsidP="00115021">
      <w:pPr>
        <w:jc w:val="center"/>
        <w:rPr>
          <w:rFonts w:ascii="Book Antiqua" w:hAnsi="Book Antiqua"/>
          <w:lang w:eastAsia="zh-CN"/>
        </w:rPr>
      </w:pPr>
    </w:p>
    <w:p w14:paraId="068483E7" w14:textId="67480B6B" w:rsidR="00115021" w:rsidRPr="0049564D" w:rsidRDefault="00115021" w:rsidP="00115021">
      <w:pPr>
        <w:jc w:val="center"/>
        <w:rPr>
          <w:rFonts w:ascii="Book Antiqua" w:hAnsi="Book Antiqua"/>
          <w:lang w:eastAsia="zh-CN"/>
        </w:rPr>
      </w:pPr>
      <w:r w:rsidRPr="0049564D">
        <w:rPr>
          <w:rFonts w:ascii="Book Antiqua" w:hAnsi="Book Antiqua"/>
          <w:noProof/>
          <w:lang w:eastAsia="zh-CN"/>
        </w:rPr>
        <w:drawing>
          <wp:inline distT="0" distB="0" distL="0" distR="0" wp14:anchorId="3B5A9DC8" wp14:editId="5830E82E">
            <wp:extent cx="2495550" cy="14414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24C4E732" w14:textId="77777777" w:rsidR="00115021" w:rsidRPr="0049564D" w:rsidRDefault="00115021" w:rsidP="00115021">
      <w:pPr>
        <w:jc w:val="center"/>
        <w:rPr>
          <w:rFonts w:ascii="Book Antiqua" w:hAnsi="Book Antiqua"/>
          <w:lang w:eastAsia="zh-CN"/>
        </w:rPr>
      </w:pPr>
    </w:p>
    <w:p w14:paraId="30E63E6F" w14:textId="77777777" w:rsidR="00115021" w:rsidRPr="0049564D" w:rsidRDefault="00115021" w:rsidP="00115021">
      <w:pPr>
        <w:autoSpaceDE w:val="0"/>
        <w:autoSpaceDN w:val="0"/>
        <w:adjustRightInd w:val="0"/>
        <w:jc w:val="center"/>
        <w:rPr>
          <w:rFonts w:ascii="Book Antiqua" w:eastAsia="Garamond-Bold" w:hAnsi="Book Antiqua" w:cs="Garamond-Bold"/>
          <w:b/>
          <w:bCs/>
          <w:color w:val="000000"/>
          <w:sz w:val="28"/>
          <w:szCs w:val="28"/>
        </w:rPr>
      </w:pPr>
      <w:r w:rsidRPr="0049564D">
        <w:rPr>
          <w:rFonts w:ascii="Book Antiqua" w:eastAsia="TimesNewRomanPSMT" w:hAnsi="Book Antiqua" w:cs="TimesNewRomanPSMT"/>
          <w:color w:val="000000"/>
          <w:sz w:val="28"/>
          <w:szCs w:val="28"/>
        </w:rPr>
        <w:t xml:space="preserve">Published by </w:t>
      </w:r>
      <w:r w:rsidRPr="0049564D">
        <w:rPr>
          <w:rFonts w:ascii="Book Antiqua" w:eastAsia="Garamond-Bold" w:hAnsi="Book Antiqua" w:cs="Garamond-Bold"/>
          <w:b/>
          <w:bCs/>
          <w:color w:val="000000"/>
          <w:sz w:val="28"/>
          <w:szCs w:val="28"/>
        </w:rPr>
        <w:t>Baishideng Publishing Group Inc</w:t>
      </w:r>
    </w:p>
    <w:p w14:paraId="0BF5F6ED" w14:textId="77777777" w:rsidR="00115021" w:rsidRPr="0049564D" w:rsidRDefault="00115021" w:rsidP="00115021">
      <w:pPr>
        <w:autoSpaceDE w:val="0"/>
        <w:autoSpaceDN w:val="0"/>
        <w:adjustRightInd w:val="0"/>
        <w:jc w:val="center"/>
        <w:rPr>
          <w:rFonts w:ascii="Book Antiqua" w:eastAsia="TimesNewRomanPSMT" w:hAnsi="Book Antiqua" w:cs="Garamond"/>
          <w:color w:val="000000"/>
          <w:sz w:val="28"/>
          <w:szCs w:val="28"/>
        </w:rPr>
      </w:pPr>
      <w:r w:rsidRPr="0049564D">
        <w:rPr>
          <w:rFonts w:ascii="Book Antiqua" w:eastAsia="TimesNewRomanPSMT" w:hAnsi="Book Antiqua" w:cs="Garamond"/>
          <w:color w:val="000000"/>
          <w:sz w:val="28"/>
          <w:szCs w:val="28"/>
        </w:rPr>
        <w:t>7041 Koll Center Parkway, Suite 160, Pleasanton, CA 94566, USA</w:t>
      </w:r>
    </w:p>
    <w:p w14:paraId="760EAA53" w14:textId="77777777" w:rsidR="00115021" w:rsidRPr="0049564D" w:rsidRDefault="00115021" w:rsidP="00115021">
      <w:pPr>
        <w:autoSpaceDE w:val="0"/>
        <w:autoSpaceDN w:val="0"/>
        <w:adjustRightInd w:val="0"/>
        <w:jc w:val="center"/>
        <w:rPr>
          <w:rFonts w:ascii="Book Antiqua" w:eastAsia="TimesNewRomanPSMT" w:hAnsi="Book Antiqua" w:cs="Garamond"/>
          <w:color w:val="000000"/>
          <w:sz w:val="28"/>
          <w:szCs w:val="28"/>
        </w:rPr>
      </w:pPr>
      <w:r w:rsidRPr="0049564D">
        <w:rPr>
          <w:rFonts w:ascii="Book Antiqua" w:eastAsia="Garamond-Bold" w:hAnsi="Book Antiqua" w:cs="Garamond-Bold"/>
          <w:b/>
          <w:bCs/>
          <w:color w:val="000000"/>
          <w:sz w:val="28"/>
          <w:szCs w:val="28"/>
        </w:rPr>
        <w:t xml:space="preserve">Telephone: </w:t>
      </w:r>
      <w:r w:rsidRPr="0049564D">
        <w:rPr>
          <w:rFonts w:ascii="Book Antiqua" w:eastAsia="TimesNewRomanPSMT" w:hAnsi="Book Antiqua" w:cs="Garamond"/>
          <w:color w:val="000000"/>
          <w:sz w:val="28"/>
          <w:szCs w:val="28"/>
        </w:rPr>
        <w:t>+1-925-3991568</w:t>
      </w:r>
    </w:p>
    <w:p w14:paraId="2BA93641" w14:textId="77777777" w:rsidR="00115021" w:rsidRPr="0049564D" w:rsidRDefault="00115021" w:rsidP="00115021">
      <w:pPr>
        <w:autoSpaceDE w:val="0"/>
        <w:autoSpaceDN w:val="0"/>
        <w:adjustRightInd w:val="0"/>
        <w:jc w:val="center"/>
        <w:rPr>
          <w:rFonts w:ascii="Book Antiqua" w:eastAsia="TimesNewRomanPSMT" w:hAnsi="Book Antiqua" w:cs="Garamond"/>
          <w:color w:val="D56400"/>
          <w:sz w:val="28"/>
          <w:szCs w:val="28"/>
        </w:rPr>
      </w:pPr>
      <w:r w:rsidRPr="0049564D">
        <w:rPr>
          <w:rFonts w:ascii="Book Antiqua" w:eastAsia="Garamond-Bold" w:hAnsi="Book Antiqua" w:cs="Garamond-Bold"/>
          <w:b/>
          <w:bCs/>
          <w:color w:val="000000"/>
          <w:sz w:val="28"/>
          <w:szCs w:val="28"/>
        </w:rPr>
        <w:t xml:space="preserve">E-mail: </w:t>
      </w:r>
      <w:r w:rsidRPr="0049564D">
        <w:rPr>
          <w:rFonts w:ascii="Book Antiqua" w:eastAsia="TimesNewRomanPSMT" w:hAnsi="Book Antiqua" w:cs="Garamond"/>
          <w:color w:val="D56400"/>
          <w:sz w:val="28"/>
          <w:szCs w:val="28"/>
        </w:rPr>
        <w:t>bpgoffice@wjgnet.com</w:t>
      </w:r>
    </w:p>
    <w:p w14:paraId="15931815" w14:textId="77777777" w:rsidR="00115021" w:rsidRPr="0049564D" w:rsidRDefault="00115021" w:rsidP="00115021">
      <w:pPr>
        <w:autoSpaceDE w:val="0"/>
        <w:autoSpaceDN w:val="0"/>
        <w:adjustRightInd w:val="0"/>
        <w:jc w:val="center"/>
        <w:rPr>
          <w:rFonts w:ascii="Book Antiqua" w:eastAsia="TimesNewRomanPSMT" w:hAnsi="Book Antiqua" w:cs="Garamond"/>
          <w:color w:val="D56400"/>
          <w:sz w:val="28"/>
          <w:szCs w:val="28"/>
        </w:rPr>
      </w:pPr>
      <w:r w:rsidRPr="0049564D">
        <w:rPr>
          <w:rFonts w:ascii="Book Antiqua" w:eastAsia="Garamond-Bold" w:hAnsi="Book Antiqua" w:cs="Garamond-Bold"/>
          <w:b/>
          <w:bCs/>
          <w:color w:val="000000"/>
          <w:sz w:val="28"/>
          <w:szCs w:val="28"/>
        </w:rPr>
        <w:t xml:space="preserve">Help Desk: </w:t>
      </w:r>
      <w:r w:rsidRPr="0049564D">
        <w:rPr>
          <w:rFonts w:ascii="Book Antiqua" w:eastAsia="TimesNewRomanPSMT" w:hAnsi="Book Antiqua" w:cs="Garamond"/>
          <w:color w:val="D56400"/>
          <w:sz w:val="28"/>
          <w:szCs w:val="28"/>
        </w:rPr>
        <w:t>https://www.f6publishing.com/helpdesk</w:t>
      </w:r>
    </w:p>
    <w:p w14:paraId="470FA782" w14:textId="77777777" w:rsidR="00115021" w:rsidRPr="0049564D" w:rsidRDefault="00115021" w:rsidP="00115021">
      <w:pPr>
        <w:jc w:val="center"/>
        <w:rPr>
          <w:rFonts w:ascii="Book Antiqua" w:hAnsi="Book Antiqua"/>
          <w:lang w:eastAsia="zh-CN"/>
        </w:rPr>
      </w:pPr>
      <w:r w:rsidRPr="0049564D">
        <w:rPr>
          <w:rFonts w:ascii="Book Antiqua" w:eastAsia="TimesNewRomanPSMT" w:hAnsi="Book Antiqua" w:cs="Garamond"/>
          <w:color w:val="D56400"/>
          <w:sz w:val="28"/>
          <w:szCs w:val="28"/>
        </w:rPr>
        <w:t>https://www.wjgnet.com</w:t>
      </w:r>
    </w:p>
    <w:p w14:paraId="3E9A03D0" w14:textId="77777777" w:rsidR="00115021" w:rsidRPr="0049564D" w:rsidRDefault="00115021" w:rsidP="00115021">
      <w:pPr>
        <w:jc w:val="center"/>
        <w:rPr>
          <w:rFonts w:ascii="Book Antiqua" w:hAnsi="Book Antiqua"/>
          <w:lang w:eastAsia="zh-CN"/>
        </w:rPr>
      </w:pPr>
    </w:p>
    <w:p w14:paraId="35911762" w14:textId="77777777" w:rsidR="00115021" w:rsidRPr="0049564D" w:rsidRDefault="00115021" w:rsidP="00115021">
      <w:pPr>
        <w:jc w:val="center"/>
        <w:rPr>
          <w:rFonts w:ascii="Book Antiqua" w:hAnsi="Book Antiqua"/>
          <w:lang w:eastAsia="zh-CN"/>
        </w:rPr>
      </w:pPr>
    </w:p>
    <w:p w14:paraId="1A3AD5C2" w14:textId="77777777" w:rsidR="00115021" w:rsidRPr="0049564D" w:rsidRDefault="00115021" w:rsidP="00115021">
      <w:pPr>
        <w:jc w:val="center"/>
        <w:rPr>
          <w:rFonts w:ascii="Book Antiqua" w:hAnsi="Book Antiqua"/>
          <w:lang w:eastAsia="zh-CN"/>
        </w:rPr>
      </w:pPr>
    </w:p>
    <w:p w14:paraId="5E272E12" w14:textId="74650851" w:rsidR="00115021" w:rsidRPr="0049564D" w:rsidRDefault="00115021" w:rsidP="00115021">
      <w:pPr>
        <w:jc w:val="center"/>
        <w:rPr>
          <w:rFonts w:ascii="Book Antiqua" w:hAnsi="Book Antiqua"/>
          <w:lang w:eastAsia="zh-CN"/>
        </w:rPr>
      </w:pPr>
      <w:r w:rsidRPr="0049564D">
        <w:rPr>
          <w:rFonts w:ascii="Book Antiqua" w:hAnsi="Book Antiqua"/>
          <w:noProof/>
          <w:lang w:eastAsia="zh-CN"/>
        </w:rPr>
        <w:drawing>
          <wp:inline distT="0" distB="0" distL="0" distR="0" wp14:anchorId="1E63E158" wp14:editId="2A009BC8">
            <wp:extent cx="144780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201F4407" w14:textId="77777777" w:rsidR="00115021" w:rsidRPr="0049564D" w:rsidRDefault="00115021" w:rsidP="00115021">
      <w:pPr>
        <w:jc w:val="center"/>
        <w:rPr>
          <w:rFonts w:ascii="Book Antiqua" w:hAnsi="Book Antiqua"/>
          <w:lang w:eastAsia="zh-CN"/>
        </w:rPr>
      </w:pPr>
    </w:p>
    <w:p w14:paraId="6A819210" w14:textId="77777777" w:rsidR="00115021" w:rsidRPr="0049564D" w:rsidRDefault="00115021" w:rsidP="00115021">
      <w:pPr>
        <w:jc w:val="center"/>
        <w:rPr>
          <w:rFonts w:ascii="Book Antiqua" w:hAnsi="Book Antiqua"/>
          <w:lang w:eastAsia="zh-CN"/>
        </w:rPr>
      </w:pPr>
    </w:p>
    <w:p w14:paraId="07CD61A2" w14:textId="77777777" w:rsidR="00115021" w:rsidRPr="0049564D" w:rsidRDefault="00115021" w:rsidP="00115021">
      <w:pPr>
        <w:jc w:val="center"/>
        <w:rPr>
          <w:rFonts w:ascii="Book Antiqua" w:hAnsi="Book Antiqua"/>
          <w:lang w:eastAsia="zh-CN"/>
        </w:rPr>
      </w:pPr>
    </w:p>
    <w:p w14:paraId="6D2733F4" w14:textId="77777777" w:rsidR="00115021" w:rsidRPr="0049564D" w:rsidRDefault="00115021" w:rsidP="00115021">
      <w:pPr>
        <w:jc w:val="center"/>
        <w:rPr>
          <w:rFonts w:ascii="Book Antiqua" w:hAnsi="Book Antiqua"/>
          <w:lang w:eastAsia="zh-CN"/>
        </w:rPr>
      </w:pPr>
    </w:p>
    <w:p w14:paraId="14010903" w14:textId="77777777" w:rsidR="00115021" w:rsidRPr="0049564D" w:rsidRDefault="00115021" w:rsidP="00115021">
      <w:pPr>
        <w:jc w:val="center"/>
        <w:rPr>
          <w:rFonts w:ascii="Book Antiqua" w:hAnsi="Book Antiqua"/>
          <w:lang w:eastAsia="zh-CN"/>
        </w:rPr>
      </w:pPr>
    </w:p>
    <w:p w14:paraId="06C364D3" w14:textId="77777777" w:rsidR="00115021" w:rsidRPr="0049564D" w:rsidRDefault="00115021" w:rsidP="00115021">
      <w:pPr>
        <w:jc w:val="center"/>
        <w:rPr>
          <w:rFonts w:ascii="Book Antiqua" w:hAnsi="Book Antiqua"/>
          <w:lang w:eastAsia="zh-CN"/>
        </w:rPr>
      </w:pPr>
    </w:p>
    <w:p w14:paraId="10FFB6FD" w14:textId="77777777" w:rsidR="00115021" w:rsidRPr="0049564D" w:rsidRDefault="00115021" w:rsidP="00115021">
      <w:pPr>
        <w:jc w:val="center"/>
        <w:rPr>
          <w:rFonts w:ascii="Book Antiqua" w:hAnsi="Book Antiqua"/>
          <w:lang w:eastAsia="zh-CN"/>
        </w:rPr>
      </w:pPr>
    </w:p>
    <w:p w14:paraId="3D1BD490" w14:textId="77777777" w:rsidR="00115021" w:rsidRPr="0049564D" w:rsidRDefault="00115021" w:rsidP="00115021">
      <w:pPr>
        <w:jc w:val="center"/>
        <w:rPr>
          <w:rFonts w:ascii="Book Antiqua" w:hAnsi="Book Antiqua"/>
          <w:lang w:eastAsia="zh-CN"/>
        </w:rPr>
      </w:pPr>
    </w:p>
    <w:p w14:paraId="6FB66B2E" w14:textId="77777777" w:rsidR="00115021" w:rsidRPr="0049564D" w:rsidRDefault="00115021" w:rsidP="00115021">
      <w:pPr>
        <w:jc w:val="center"/>
        <w:rPr>
          <w:rFonts w:ascii="Book Antiqua" w:hAnsi="Book Antiqua"/>
          <w:lang w:eastAsia="zh-CN"/>
        </w:rPr>
      </w:pPr>
    </w:p>
    <w:p w14:paraId="443ABFDE" w14:textId="77777777" w:rsidR="00115021" w:rsidRPr="0049564D" w:rsidRDefault="00115021" w:rsidP="00115021">
      <w:pPr>
        <w:jc w:val="right"/>
        <w:rPr>
          <w:rFonts w:ascii="Book Antiqua" w:hAnsi="Book Antiqua"/>
          <w:color w:val="000000" w:themeColor="text1"/>
          <w:lang w:eastAsia="zh-CN"/>
        </w:rPr>
      </w:pPr>
    </w:p>
    <w:p w14:paraId="1CDF80BE" w14:textId="77777777" w:rsidR="00115021" w:rsidRDefault="00115021" w:rsidP="00115021">
      <w:pPr>
        <w:jc w:val="center"/>
        <w:rPr>
          <w:rFonts w:ascii="Book Antiqua" w:hAnsi="Book Antiqua"/>
          <w:color w:val="000000" w:themeColor="text1"/>
          <w:lang w:eastAsia="zh-CN"/>
        </w:rPr>
      </w:pPr>
      <w:r w:rsidRPr="0049564D">
        <w:rPr>
          <w:rFonts w:ascii="Book Antiqua" w:eastAsia="BookAntiqua-Bold" w:hAnsi="Book Antiqua" w:cs="BookAntiqua-Bold"/>
          <w:b/>
          <w:bCs/>
          <w:color w:val="000000" w:themeColor="text1"/>
        </w:rPr>
        <w:t>© 2021 Baishideng Publishing Group Inc. All rights reserved.</w:t>
      </w:r>
      <w:r w:rsidRPr="0049564D">
        <w:rPr>
          <w:rFonts w:ascii="Book Antiqua" w:hAnsi="Book Antiqua"/>
          <w:color w:val="000000" w:themeColor="text1"/>
          <w:lang w:eastAsia="zh-CN"/>
        </w:rPr>
        <w:fldChar w:fldCharType="begin"/>
      </w:r>
      <w:r w:rsidRPr="0049564D">
        <w:rPr>
          <w:rFonts w:ascii="Book Antiqua" w:hAnsi="Book Antiqua"/>
          <w:color w:val="000000" w:themeColor="text1"/>
          <w:lang w:eastAsia="zh-CN"/>
        </w:rPr>
        <w:instrText xml:space="preserve"> ADDIN EN.REFLIST </w:instrText>
      </w:r>
      <w:r w:rsidRPr="0049564D">
        <w:rPr>
          <w:rFonts w:ascii="Book Antiqua" w:hAnsi="Book Antiqua"/>
          <w:color w:val="000000" w:themeColor="text1"/>
          <w:lang w:eastAsia="zh-CN"/>
        </w:rPr>
        <w:fldChar w:fldCharType="end"/>
      </w:r>
    </w:p>
    <w:p w14:paraId="61FEF972" w14:textId="77777777" w:rsidR="006939FE" w:rsidRPr="00115021" w:rsidRDefault="006939FE" w:rsidP="00B24044">
      <w:pPr>
        <w:jc w:val="both"/>
        <w:rPr>
          <w:rFonts w:ascii="Book Antiqua" w:hAnsi="Book Antiqua"/>
          <w:lang w:eastAsia="zh-CN"/>
        </w:rPr>
      </w:pPr>
    </w:p>
    <w:sectPr w:rsidR="006939FE" w:rsidRPr="00115021">
      <w:footerReference w:type="even"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8BA1" w14:textId="77777777" w:rsidR="002D7753" w:rsidRDefault="002D7753">
      <w:r>
        <w:separator/>
      </w:r>
    </w:p>
  </w:endnote>
  <w:endnote w:type="continuationSeparator" w:id="0">
    <w:p w14:paraId="661D73E4" w14:textId="77777777" w:rsidR="002D7753" w:rsidRDefault="002D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7BF9" w14:textId="77777777" w:rsidR="00FC6CE0" w:rsidRDefault="006939FE" w:rsidP="008E47CE">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DB3E835" w14:textId="77777777" w:rsidR="00FC6CE0" w:rsidRDefault="002D775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7BE0" w14:textId="77777777" w:rsidR="002D7753" w:rsidRDefault="002D7753">
      <w:r>
        <w:separator/>
      </w:r>
    </w:p>
  </w:footnote>
  <w:footnote w:type="continuationSeparator" w:id="0">
    <w:p w14:paraId="5BA43D71" w14:textId="77777777" w:rsidR="002D7753" w:rsidRDefault="002D7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7B4A"/>
    <w:rsid w:val="0005223D"/>
    <w:rsid w:val="0010633C"/>
    <w:rsid w:val="00115021"/>
    <w:rsid w:val="002007FC"/>
    <w:rsid w:val="002064D8"/>
    <w:rsid w:val="00252AB2"/>
    <w:rsid w:val="002C5AE4"/>
    <w:rsid w:val="002D7753"/>
    <w:rsid w:val="002F2A67"/>
    <w:rsid w:val="00403846"/>
    <w:rsid w:val="00406D43"/>
    <w:rsid w:val="00441343"/>
    <w:rsid w:val="0049564D"/>
    <w:rsid w:val="004A04E3"/>
    <w:rsid w:val="00502C3D"/>
    <w:rsid w:val="00530F0B"/>
    <w:rsid w:val="00544A0E"/>
    <w:rsid w:val="005600E5"/>
    <w:rsid w:val="00566ECA"/>
    <w:rsid w:val="0062086C"/>
    <w:rsid w:val="0062767C"/>
    <w:rsid w:val="00652271"/>
    <w:rsid w:val="006939FE"/>
    <w:rsid w:val="00700313"/>
    <w:rsid w:val="007009F8"/>
    <w:rsid w:val="00704B63"/>
    <w:rsid w:val="00733BD4"/>
    <w:rsid w:val="007C3CB7"/>
    <w:rsid w:val="007E6C88"/>
    <w:rsid w:val="007E7BF7"/>
    <w:rsid w:val="008A6182"/>
    <w:rsid w:val="00916F8A"/>
    <w:rsid w:val="009605AA"/>
    <w:rsid w:val="0096611F"/>
    <w:rsid w:val="00967543"/>
    <w:rsid w:val="009D1241"/>
    <w:rsid w:val="00A77B3E"/>
    <w:rsid w:val="00A97C5B"/>
    <w:rsid w:val="00B24044"/>
    <w:rsid w:val="00B75740"/>
    <w:rsid w:val="00B87D2C"/>
    <w:rsid w:val="00BC277B"/>
    <w:rsid w:val="00C121EB"/>
    <w:rsid w:val="00CA2A55"/>
    <w:rsid w:val="00D445BB"/>
    <w:rsid w:val="00DC1EBE"/>
    <w:rsid w:val="00DD751A"/>
    <w:rsid w:val="00DE15F2"/>
    <w:rsid w:val="00E7649A"/>
    <w:rsid w:val="00EB6E50"/>
    <w:rsid w:val="00F20AA3"/>
    <w:rsid w:val="00F275CF"/>
    <w:rsid w:val="00F30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D99CE6"/>
  <w15:docId w15:val="{B469BB8F-2474-45C2-ACC5-53D85F51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87D2C"/>
    <w:rPr>
      <w:sz w:val="21"/>
      <w:szCs w:val="21"/>
    </w:rPr>
  </w:style>
  <w:style w:type="paragraph" w:styleId="a4">
    <w:name w:val="annotation text"/>
    <w:basedOn w:val="a"/>
    <w:link w:val="a5"/>
    <w:semiHidden/>
    <w:unhideWhenUsed/>
    <w:rsid w:val="00B87D2C"/>
  </w:style>
  <w:style w:type="character" w:customStyle="1" w:styleId="a5">
    <w:name w:val="批注文字 字符"/>
    <w:basedOn w:val="a0"/>
    <w:link w:val="a4"/>
    <w:semiHidden/>
    <w:rsid w:val="00B87D2C"/>
    <w:rPr>
      <w:sz w:val="24"/>
      <w:szCs w:val="24"/>
    </w:rPr>
  </w:style>
  <w:style w:type="paragraph" w:styleId="a6">
    <w:name w:val="annotation subject"/>
    <w:basedOn w:val="a4"/>
    <w:next w:val="a4"/>
    <w:link w:val="a7"/>
    <w:semiHidden/>
    <w:unhideWhenUsed/>
    <w:rsid w:val="00B87D2C"/>
    <w:rPr>
      <w:b/>
      <w:bCs/>
    </w:rPr>
  </w:style>
  <w:style w:type="character" w:customStyle="1" w:styleId="a7">
    <w:name w:val="批注主题 字符"/>
    <w:basedOn w:val="a5"/>
    <w:link w:val="a6"/>
    <w:semiHidden/>
    <w:rsid w:val="00B87D2C"/>
    <w:rPr>
      <w:b/>
      <w:bCs/>
      <w:sz w:val="24"/>
      <w:szCs w:val="24"/>
    </w:rPr>
  </w:style>
  <w:style w:type="paragraph" w:styleId="a8">
    <w:name w:val="Normal (Web)"/>
    <w:basedOn w:val="a"/>
    <w:uiPriority w:val="99"/>
    <w:semiHidden/>
    <w:unhideWhenUsed/>
    <w:rsid w:val="00047B4A"/>
    <w:pPr>
      <w:spacing w:before="100" w:beforeAutospacing="1" w:after="100" w:afterAutospacing="1"/>
    </w:pPr>
    <w:rPr>
      <w:rFonts w:ascii="宋体" w:eastAsia="宋体" w:hAnsi="宋体" w:cs="宋体"/>
      <w:lang w:eastAsia="zh-CN"/>
    </w:rPr>
  </w:style>
  <w:style w:type="paragraph" w:styleId="a9">
    <w:name w:val="footer"/>
    <w:basedOn w:val="a"/>
    <w:link w:val="aa"/>
    <w:uiPriority w:val="99"/>
    <w:unhideWhenUsed/>
    <w:rsid w:val="00047B4A"/>
    <w:pPr>
      <w:widowControl w:val="0"/>
      <w:tabs>
        <w:tab w:val="center" w:pos="4252"/>
        <w:tab w:val="right" w:pos="8504"/>
      </w:tabs>
      <w:snapToGrid w:val="0"/>
      <w:jc w:val="both"/>
    </w:pPr>
    <w:rPr>
      <w:rFonts w:asciiTheme="minorHAnsi" w:hAnsiTheme="minorHAnsi" w:cstheme="minorBidi"/>
      <w:kern w:val="2"/>
      <w:lang w:eastAsia="ja-JP"/>
    </w:rPr>
  </w:style>
  <w:style w:type="character" w:customStyle="1" w:styleId="aa">
    <w:name w:val="页脚 字符"/>
    <w:basedOn w:val="a0"/>
    <w:link w:val="a9"/>
    <w:uiPriority w:val="99"/>
    <w:rsid w:val="00047B4A"/>
    <w:rPr>
      <w:rFonts w:asciiTheme="minorHAnsi" w:hAnsiTheme="minorHAnsi" w:cstheme="minorBidi"/>
      <w:kern w:val="2"/>
      <w:sz w:val="24"/>
      <w:szCs w:val="24"/>
      <w:lang w:eastAsia="ja-JP"/>
    </w:rPr>
  </w:style>
  <w:style w:type="character" w:styleId="ab">
    <w:name w:val="page number"/>
    <w:basedOn w:val="a0"/>
    <w:uiPriority w:val="99"/>
    <w:semiHidden/>
    <w:unhideWhenUsed/>
    <w:rsid w:val="00047B4A"/>
  </w:style>
  <w:style w:type="table" w:styleId="ac">
    <w:name w:val="Table Grid"/>
    <w:basedOn w:val="a1"/>
    <w:rsid w:val="002F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7E6C88"/>
    <w:rPr>
      <w:rFonts w:asciiTheme="majorHAnsi" w:eastAsiaTheme="majorEastAsia" w:hAnsiTheme="majorHAnsi" w:cstheme="majorBidi"/>
      <w:sz w:val="18"/>
      <w:szCs w:val="18"/>
    </w:rPr>
  </w:style>
  <w:style w:type="character" w:customStyle="1" w:styleId="ae">
    <w:name w:val="批注框文本 字符"/>
    <w:basedOn w:val="a0"/>
    <w:link w:val="ad"/>
    <w:rsid w:val="007E6C88"/>
    <w:rPr>
      <w:rFonts w:asciiTheme="majorHAnsi" w:eastAsiaTheme="majorEastAsia" w:hAnsiTheme="majorHAnsi" w:cstheme="majorBidi"/>
      <w:sz w:val="18"/>
      <w:szCs w:val="18"/>
    </w:rPr>
  </w:style>
  <w:style w:type="paragraph" w:styleId="af">
    <w:name w:val="header"/>
    <w:basedOn w:val="a"/>
    <w:link w:val="af0"/>
    <w:unhideWhenUsed/>
    <w:rsid w:val="00704B63"/>
    <w:pPr>
      <w:tabs>
        <w:tab w:val="center" w:pos="4252"/>
        <w:tab w:val="right" w:pos="8504"/>
      </w:tabs>
      <w:snapToGrid w:val="0"/>
    </w:pPr>
  </w:style>
  <w:style w:type="character" w:customStyle="1" w:styleId="af0">
    <w:name w:val="页眉 字符"/>
    <w:basedOn w:val="a0"/>
    <w:link w:val="af"/>
    <w:rsid w:val="00704B63"/>
    <w:rPr>
      <w:sz w:val="24"/>
      <w:szCs w:val="24"/>
    </w:rPr>
  </w:style>
  <w:style w:type="character" w:styleId="af1">
    <w:name w:val="Hyperlink"/>
    <w:basedOn w:val="a0"/>
    <w:uiPriority w:val="99"/>
    <w:unhideWhenUsed/>
    <w:rsid w:val="00704B63"/>
    <w:rPr>
      <w:color w:val="0000FF" w:themeColor="hyperlink"/>
      <w:u w:val="single"/>
    </w:rPr>
  </w:style>
  <w:style w:type="paragraph" w:customStyle="1" w:styleId="1">
    <w:name w:val="正文1"/>
    <w:rsid w:val="0062767C"/>
    <w:pPr>
      <w:widowControl w:val="0"/>
      <w:jc w:val="both"/>
    </w:pPr>
    <w:rPr>
      <w:rFonts w:ascii="等线" w:eastAsia="等线" w:hAnsi="等线"/>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9463">
      <w:bodyDiv w:val="1"/>
      <w:marLeft w:val="0"/>
      <w:marRight w:val="0"/>
      <w:marTop w:val="0"/>
      <w:marBottom w:val="0"/>
      <w:divBdr>
        <w:top w:val="none" w:sz="0" w:space="0" w:color="auto"/>
        <w:left w:val="none" w:sz="0" w:space="0" w:color="auto"/>
        <w:bottom w:val="none" w:sz="0" w:space="0" w:color="auto"/>
        <w:right w:val="none" w:sz="0" w:space="0" w:color="auto"/>
      </w:divBdr>
    </w:div>
    <w:div w:id="486364856">
      <w:bodyDiv w:val="1"/>
      <w:marLeft w:val="0"/>
      <w:marRight w:val="0"/>
      <w:marTop w:val="0"/>
      <w:marBottom w:val="0"/>
      <w:divBdr>
        <w:top w:val="none" w:sz="0" w:space="0" w:color="auto"/>
        <w:left w:val="none" w:sz="0" w:space="0" w:color="auto"/>
        <w:bottom w:val="none" w:sz="0" w:space="0" w:color="auto"/>
        <w:right w:val="none" w:sz="0" w:space="0" w:color="auto"/>
      </w:divBdr>
    </w:div>
    <w:div w:id="736632831">
      <w:bodyDiv w:val="1"/>
      <w:marLeft w:val="0"/>
      <w:marRight w:val="0"/>
      <w:marTop w:val="0"/>
      <w:marBottom w:val="0"/>
      <w:divBdr>
        <w:top w:val="none" w:sz="0" w:space="0" w:color="auto"/>
        <w:left w:val="none" w:sz="0" w:space="0" w:color="auto"/>
        <w:bottom w:val="none" w:sz="0" w:space="0" w:color="auto"/>
        <w:right w:val="none" w:sz="0" w:space="0" w:color="auto"/>
      </w:divBdr>
    </w:div>
    <w:div w:id="741021845">
      <w:bodyDiv w:val="1"/>
      <w:marLeft w:val="0"/>
      <w:marRight w:val="0"/>
      <w:marTop w:val="0"/>
      <w:marBottom w:val="0"/>
      <w:divBdr>
        <w:top w:val="none" w:sz="0" w:space="0" w:color="auto"/>
        <w:left w:val="none" w:sz="0" w:space="0" w:color="auto"/>
        <w:bottom w:val="none" w:sz="0" w:space="0" w:color="auto"/>
        <w:right w:val="none" w:sz="0" w:space="0" w:color="auto"/>
      </w:divBdr>
    </w:div>
    <w:div w:id="80924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3118620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29</Pages>
  <Words>5997</Words>
  <Characters>34185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26</cp:revision>
  <dcterms:created xsi:type="dcterms:W3CDTF">2021-09-23T05:44:00Z</dcterms:created>
  <dcterms:modified xsi:type="dcterms:W3CDTF">2021-11-04T07:32:00Z</dcterms:modified>
</cp:coreProperties>
</file>