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F7E5" w14:textId="77777777" w:rsidR="00A77B3E" w:rsidRDefault="0015373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B5EF996" w14:textId="77777777" w:rsidR="00A77B3E" w:rsidRDefault="0015373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68536</w:t>
      </w:r>
    </w:p>
    <w:p w14:paraId="4599D0D3" w14:textId="77777777" w:rsidR="00A77B3E" w:rsidRDefault="0015373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ED069E" w14:textId="77777777" w:rsidR="00A77B3E" w:rsidRDefault="00A77B3E">
      <w:pPr>
        <w:spacing w:line="360" w:lineRule="auto"/>
        <w:jc w:val="both"/>
      </w:pPr>
    </w:p>
    <w:p w14:paraId="7823BEAD" w14:textId="77777777" w:rsidR="00A77B3E" w:rsidRDefault="0015373B">
      <w:pPr>
        <w:spacing w:line="360" w:lineRule="auto"/>
        <w:jc w:val="both"/>
      </w:pPr>
      <w:bookmarkStart w:id="0" w:name="OLE_LINK122"/>
      <w:r>
        <w:rPr>
          <w:rFonts w:ascii="Book Antiqua" w:eastAsia="Book Antiqua" w:hAnsi="Book Antiqua" w:cs="Book Antiqua"/>
          <w:b/>
          <w:i/>
          <w:color w:val="000000"/>
        </w:rPr>
        <w:t>Retrospective Cohort Study</w:t>
      </w:r>
    </w:p>
    <w:p w14:paraId="0E56E68A" w14:textId="77777777" w:rsidR="00A77B3E" w:rsidRDefault="0015373B">
      <w:pPr>
        <w:spacing w:line="360" w:lineRule="auto"/>
        <w:jc w:val="both"/>
      </w:pPr>
      <w:bookmarkStart w:id="1" w:name="OLE_LINK61"/>
      <w:bookmarkStart w:id="2" w:name="OLE_LINK62"/>
      <w:bookmarkStart w:id="3" w:name="OLE_LINK108"/>
      <w:bookmarkStart w:id="4" w:name="OLE_LINK127"/>
      <w:bookmarkStart w:id="5" w:name="OLE_LINK128"/>
      <w:bookmarkEnd w:id="0"/>
      <w:r>
        <w:rPr>
          <w:rFonts w:ascii="Book Antiqua" w:eastAsia="Book Antiqua" w:hAnsi="Book Antiqua" w:cs="Book Antiqua"/>
          <w:b/>
          <w:bCs/>
          <w:color w:val="000000"/>
        </w:rPr>
        <w:t>Utility of</w:t>
      </w:r>
      <w:r w:rsidR="00067283">
        <w:rPr>
          <w:rFonts w:ascii="Book Antiqua" w:eastAsia="Book Antiqua" w:hAnsi="Book Antiqua" w:cs="Book Antiqua"/>
          <w:b/>
          <w:bCs/>
          <w:color w:val="000000"/>
        </w:rPr>
        <w:t xml:space="preserve"> oral glucose tolerance test in predicting type 2 diabetes following gestational dia</w:t>
      </w:r>
      <w:r>
        <w:rPr>
          <w:rFonts w:ascii="Book Antiqua" w:eastAsia="Book Antiqua" w:hAnsi="Book Antiqua" w:cs="Book Antiqua"/>
          <w:b/>
          <w:bCs/>
          <w:color w:val="000000"/>
        </w:rPr>
        <w:t xml:space="preserve">betes: Towards </w:t>
      </w:r>
      <w:r w:rsidR="00067283">
        <w:rPr>
          <w:rFonts w:ascii="Book Antiqua" w:eastAsia="Book Antiqua" w:hAnsi="Book Antiqua" w:cs="Book Antiqua"/>
          <w:b/>
          <w:bCs/>
          <w:color w:val="000000"/>
        </w:rPr>
        <w:t>personalized c</w:t>
      </w:r>
      <w:r>
        <w:rPr>
          <w:rFonts w:ascii="Book Antiqua" w:eastAsia="Book Antiqua" w:hAnsi="Book Antiqua" w:cs="Book Antiqua"/>
          <w:b/>
          <w:bCs/>
          <w:color w:val="000000"/>
        </w:rPr>
        <w:t>are</w:t>
      </w:r>
    </w:p>
    <w:bookmarkEnd w:id="1"/>
    <w:bookmarkEnd w:id="2"/>
    <w:bookmarkEnd w:id="3"/>
    <w:bookmarkEnd w:id="4"/>
    <w:bookmarkEnd w:id="5"/>
    <w:p w14:paraId="36D700FE" w14:textId="77777777" w:rsidR="00A77B3E" w:rsidRDefault="00A77B3E">
      <w:pPr>
        <w:spacing w:line="360" w:lineRule="auto"/>
        <w:jc w:val="both"/>
      </w:pPr>
    </w:p>
    <w:p w14:paraId="714DE756" w14:textId="77777777" w:rsidR="00A77B3E" w:rsidRDefault="00067283">
      <w:pPr>
        <w:spacing w:line="360" w:lineRule="auto"/>
        <w:jc w:val="both"/>
      </w:pPr>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RAL </w:t>
      </w:r>
      <w:r w:rsidRPr="0006728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09"/>
      <w:bookmarkStart w:id="7" w:name="OLE_LINK110"/>
      <w:bookmarkStart w:id="8" w:name="OLE_LINK129"/>
      <w:r w:rsidR="0015373B">
        <w:rPr>
          <w:rFonts w:ascii="Book Antiqua" w:eastAsia="Book Antiqua" w:hAnsi="Book Antiqua" w:cs="Book Antiqua"/>
          <w:color w:val="000000"/>
        </w:rPr>
        <w:t xml:space="preserve">Utility of OGTT in </w:t>
      </w:r>
      <w:r w:rsidR="00467F4B">
        <w:rPr>
          <w:rFonts w:ascii="Book Antiqua" w:eastAsia="Book Antiqua" w:hAnsi="Book Antiqua" w:cs="Book Antiqua"/>
          <w:color w:val="000000"/>
        </w:rPr>
        <w:t>predicting postp</w:t>
      </w:r>
      <w:r w:rsidR="0015373B">
        <w:rPr>
          <w:rFonts w:ascii="Book Antiqua" w:eastAsia="Book Antiqua" w:hAnsi="Book Antiqua" w:cs="Book Antiqua"/>
          <w:color w:val="000000"/>
        </w:rPr>
        <w:t>artum T2D</w:t>
      </w:r>
      <w:bookmarkEnd w:id="6"/>
      <w:bookmarkEnd w:id="7"/>
      <w:bookmarkEnd w:id="8"/>
    </w:p>
    <w:p w14:paraId="54B0D0FE" w14:textId="77777777" w:rsidR="00A77B3E" w:rsidRDefault="00A77B3E">
      <w:pPr>
        <w:spacing w:line="360" w:lineRule="auto"/>
        <w:jc w:val="both"/>
      </w:pPr>
    </w:p>
    <w:p w14:paraId="1E4E78C4" w14:textId="77777777" w:rsidR="00A77B3E" w:rsidRDefault="0015373B">
      <w:pPr>
        <w:spacing w:line="360" w:lineRule="auto"/>
        <w:jc w:val="both"/>
      </w:pPr>
      <w:r>
        <w:rPr>
          <w:rFonts w:ascii="Book Antiqua" w:eastAsia="Book Antiqua" w:hAnsi="Book Antiqua" w:cs="Book Antiqua"/>
          <w:color w:val="000000"/>
        </w:rPr>
        <w:t xml:space="preserve">Riad Abdel Latif </w:t>
      </w:r>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Amar Hassan Khamis, </w:t>
      </w:r>
      <w:proofErr w:type="spellStart"/>
      <w:r>
        <w:rPr>
          <w:rFonts w:ascii="Book Antiqua" w:eastAsia="Book Antiqua" w:hAnsi="Book Antiqua" w:cs="Book Antiqua"/>
          <w:color w:val="000000"/>
        </w:rPr>
        <w:t>Muna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Tahlak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Taghrid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Elgergawi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Deemah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Harb</w:t>
      </w:r>
      <w:proofErr w:type="spellEnd"/>
      <w:r>
        <w:rPr>
          <w:rFonts w:ascii="Book Antiqua" w:eastAsia="Book Antiqua" w:hAnsi="Book Antiqua" w:cs="Book Antiqua"/>
          <w:color w:val="000000"/>
        </w:rPr>
        <w:t xml:space="preserve">, Komal S </w:t>
      </w:r>
      <w:proofErr w:type="spellStart"/>
      <w:r>
        <w:rPr>
          <w:rFonts w:ascii="Book Antiqua" w:eastAsia="Book Antiqua" w:hAnsi="Book Antiqua" w:cs="Book Antiqua"/>
          <w:color w:val="000000"/>
        </w:rPr>
        <w:t>Hazari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Widad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Abdelkareem</w:t>
      </w:r>
      <w:proofErr w:type="spellEnd"/>
      <w:r>
        <w:rPr>
          <w:rFonts w:ascii="Book Antiqua" w:eastAsia="Book Antiqua" w:hAnsi="Book Antiqua" w:cs="Book Antiqua"/>
          <w:color w:val="000000"/>
        </w:rPr>
        <w:t xml:space="preserve">, Aya O Issa, </w:t>
      </w:r>
      <w:proofErr w:type="spellStart"/>
      <w:r>
        <w:rPr>
          <w:rFonts w:ascii="Book Antiqua" w:eastAsia="Book Antiqua" w:hAnsi="Book Antiqua" w:cs="Book Antiqua"/>
          <w:color w:val="000000"/>
        </w:rPr>
        <w:t>Rakeeb</w:t>
      </w:r>
      <w:proofErr w:type="spellEnd"/>
      <w:r>
        <w:rPr>
          <w:rFonts w:ascii="Book Antiqua" w:eastAsia="Book Antiqua" w:hAnsi="Book Antiqua" w:cs="Book Antiqua"/>
          <w:color w:val="000000"/>
        </w:rPr>
        <w:t xml:space="preserve"> Choudhury, Mohamed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Jeyaseelan</w:t>
      </w:r>
      <w:proofErr w:type="spellEnd"/>
      <w:r>
        <w:rPr>
          <w:rFonts w:ascii="Book Antiqua" w:eastAsia="Book Antiqua" w:hAnsi="Book Antiqua" w:cs="Book Antiqua"/>
          <w:color w:val="000000"/>
        </w:rPr>
        <w:t xml:space="preserve"> Lakshmanan, </w:t>
      </w:r>
      <w:proofErr w:type="spellStart"/>
      <w:r>
        <w:rPr>
          <w:rFonts w:ascii="Book Antiqua" w:eastAsia="Book Antiqua" w:hAnsi="Book Antiqua" w:cs="Book Antiqua"/>
          <w:color w:val="000000"/>
        </w:rPr>
        <w:t>Fatheya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Alawadi</w:t>
      </w:r>
      <w:proofErr w:type="spellEnd"/>
    </w:p>
    <w:p w14:paraId="437BBE89" w14:textId="77777777" w:rsidR="00A77B3E" w:rsidRDefault="00A77B3E">
      <w:pPr>
        <w:spacing w:line="360" w:lineRule="auto"/>
        <w:jc w:val="both"/>
      </w:pPr>
    </w:p>
    <w:p w14:paraId="7D49649C" w14:textId="79D309BC" w:rsidR="00A77B3E" w:rsidRDefault="0015373B">
      <w:pPr>
        <w:spacing w:line="360" w:lineRule="auto"/>
        <w:jc w:val="both"/>
      </w:pPr>
      <w:r>
        <w:rPr>
          <w:rFonts w:ascii="Book Antiqua" w:eastAsia="Book Antiqua" w:hAnsi="Book Antiqua" w:cs="Book Antiqua"/>
          <w:b/>
          <w:bCs/>
          <w:color w:val="000000"/>
        </w:rPr>
        <w:t xml:space="preserve">Riad Abdel Latif </w:t>
      </w:r>
      <w:proofErr w:type="spellStart"/>
      <w:r>
        <w:rPr>
          <w:rFonts w:ascii="Book Antiqua" w:eastAsia="Book Antiqua" w:hAnsi="Book Antiqua" w:cs="Book Antiqua"/>
          <w:b/>
          <w:bCs/>
          <w:color w:val="000000"/>
        </w:rPr>
        <w:t>Bayoumi</w:t>
      </w:r>
      <w:proofErr w:type="spellEnd"/>
      <w:r>
        <w:rPr>
          <w:rFonts w:ascii="Book Antiqua" w:eastAsia="Book Antiqua" w:hAnsi="Book Antiqua" w:cs="Book Antiqua"/>
          <w:b/>
          <w:bCs/>
          <w:color w:val="000000"/>
        </w:rPr>
        <w:t xml:space="preserve">, </w:t>
      </w:r>
      <w:bookmarkStart w:id="9" w:name="OLE_LINK3"/>
      <w:bookmarkStart w:id="10" w:name="OLE_LINK4"/>
      <w:r w:rsidR="002C7556">
        <w:rPr>
          <w:rFonts w:ascii="Book Antiqua" w:eastAsia="Book Antiqua" w:hAnsi="Book Antiqua" w:cs="Book Antiqua"/>
          <w:b/>
          <w:bCs/>
          <w:color w:val="000000"/>
        </w:rPr>
        <w:t xml:space="preserve">Aya O Issa, </w:t>
      </w:r>
      <w:proofErr w:type="spellStart"/>
      <w:r w:rsidR="002C7556">
        <w:rPr>
          <w:rFonts w:ascii="Book Antiqua" w:eastAsia="Book Antiqua" w:hAnsi="Book Antiqua" w:cs="Book Antiqua"/>
          <w:b/>
          <w:bCs/>
          <w:color w:val="000000"/>
        </w:rPr>
        <w:t>Rakeeb</w:t>
      </w:r>
      <w:proofErr w:type="spellEnd"/>
      <w:r w:rsidR="002C7556">
        <w:rPr>
          <w:rFonts w:ascii="Book Antiqua" w:eastAsia="Book Antiqua" w:hAnsi="Book Antiqua" w:cs="Book Antiqua"/>
          <w:b/>
          <w:bCs/>
          <w:color w:val="000000"/>
        </w:rPr>
        <w:t xml:space="preserve"> Choudhury, </w:t>
      </w:r>
      <w:bookmarkStart w:id="11" w:name="OLE_LINK112"/>
      <w:bookmarkStart w:id="12" w:name="OLE_LINK113"/>
      <w:r w:rsidR="00FD74E8" w:rsidRPr="00FD74E8">
        <w:rPr>
          <w:rFonts w:ascii="Book Antiqua" w:hAnsi="Book Antiqua" w:cs="Book Antiqua" w:hint="eastAsia"/>
          <w:bCs/>
          <w:color w:val="000000"/>
          <w:lang w:eastAsia="zh-CN"/>
        </w:rPr>
        <w:t>Department o</w:t>
      </w:r>
      <w:bookmarkEnd w:id="9"/>
      <w:bookmarkEnd w:id="10"/>
      <w:r w:rsidR="00FD74E8" w:rsidRPr="00FD74E8">
        <w:rPr>
          <w:rFonts w:ascii="Book Antiqua" w:hAnsi="Book Antiqua" w:cs="Book Antiqua" w:hint="eastAsia"/>
          <w:bCs/>
          <w:color w:val="000000"/>
          <w:lang w:eastAsia="zh-CN"/>
        </w:rPr>
        <w:t xml:space="preserve">f </w:t>
      </w:r>
      <w:r>
        <w:rPr>
          <w:rFonts w:ascii="Book Antiqua" w:eastAsia="Book Antiqua" w:hAnsi="Book Antiqua" w:cs="Book Antiqua"/>
          <w:color w:val="000000"/>
        </w:rPr>
        <w:t>Basic Medical Sciences</w:t>
      </w:r>
      <w:bookmarkEnd w:id="11"/>
      <w:bookmarkEnd w:id="12"/>
      <w:r>
        <w:rPr>
          <w:rFonts w:ascii="Book Antiqua" w:eastAsia="Book Antiqua" w:hAnsi="Book Antiqua" w:cs="Book Antiqua"/>
          <w:color w:val="000000"/>
        </w:rPr>
        <w:t xml:space="preserve">, </w:t>
      </w:r>
      <w:bookmarkStart w:id="13" w:name="OLE_LINK114"/>
      <w:bookmarkStart w:id="14" w:name="OLE_LINK115"/>
      <w:r>
        <w:rPr>
          <w:rFonts w:ascii="Book Antiqua" w:eastAsia="Book Antiqua" w:hAnsi="Book Antiqua" w:cs="Book Antiqua"/>
          <w:color w:val="000000"/>
        </w:rPr>
        <w:t>College of Medicine, Mohammed Bin Rashid University of Medicine and Health Sciences</w:t>
      </w:r>
      <w:bookmarkEnd w:id="13"/>
      <w:bookmarkEnd w:id="14"/>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03A5A285" w14:textId="77777777" w:rsidR="00A77B3E" w:rsidRDefault="00A77B3E">
      <w:pPr>
        <w:spacing w:line="360" w:lineRule="auto"/>
        <w:jc w:val="both"/>
      </w:pPr>
    </w:p>
    <w:p w14:paraId="045886E3" w14:textId="28CAA2E2" w:rsidR="00A77B3E" w:rsidRDefault="0015373B">
      <w:pPr>
        <w:spacing w:line="360" w:lineRule="auto"/>
        <w:jc w:val="both"/>
      </w:pPr>
      <w:r>
        <w:rPr>
          <w:rFonts w:ascii="Book Antiqua" w:eastAsia="Book Antiqua" w:hAnsi="Book Antiqua" w:cs="Book Antiqua"/>
          <w:b/>
          <w:bCs/>
          <w:color w:val="000000"/>
        </w:rPr>
        <w:t xml:space="preserve">Amar Hassan Khamis, </w:t>
      </w:r>
      <w:bookmarkStart w:id="15" w:name="OLE_LINK118"/>
      <w:bookmarkStart w:id="16" w:name="OLE_LINK119"/>
      <w:r w:rsidR="00FD74E8" w:rsidRPr="00FD74E8">
        <w:rPr>
          <w:rFonts w:ascii="Book Antiqua" w:hAnsi="Book Antiqua" w:cs="Book Antiqua" w:hint="eastAsia"/>
          <w:bCs/>
          <w:color w:val="000000"/>
          <w:lang w:eastAsia="zh-CN"/>
        </w:rPr>
        <w:t>Department o</w:t>
      </w:r>
      <w:r w:rsidR="00FD74E8">
        <w:rPr>
          <w:rFonts w:ascii="Book Antiqua" w:hAnsi="Book Antiqua" w:cs="Book Antiqua" w:hint="eastAsia"/>
          <w:bCs/>
          <w:color w:val="000000"/>
          <w:lang w:eastAsia="zh-CN"/>
        </w:rPr>
        <w:t xml:space="preserve">f </w:t>
      </w:r>
      <w:r>
        <w:rPr>
          <w:rFonts w:ascii="Book Antiqua" w:eastAsia="Book Antiqua" w:hAnsi="Book Antiqua" w:cs="Book Antiqua"/>
          <w:color w:val="000000"/>
        </w:rPr>
        <w:t>Biostatistics</w:t>
      </w:r>
      <w:bookmarkEnd w:id="15"/>
      <w:bookmarkEnd w:id="16"/>
      <w:r>
        <w:rPr>
          <w:rFonts w:ascii="Book Antiqua" w:eastAsia="Book Antiqua" w:hAnsi="Book Antiqua" w:cs="Book Antiqua"/>
          <w:color w:val="000000"/>
        </w:rPr>
        <w:t xml:space="preserve">, </w:t>
      </w:r>
      <w:bookmarkStart w:id="17" w:name="OLE_LINK5"/>
      <w:bookmarkStart w:id="18" w:name="OLE_LINK120"/>
      <w:bookmarkStart w:id="19" w:name="OLE_LINK121"/>
      <w:r>
        <w:rPr>
          <w:rFonts w:ascii="Book Antiqua" w:eastAsia="Book Antiqua" w:hAnsi="Book Antiqua" w:cs="Book Antiqua"/>
          <w:color w:val="000000"/>
        </w:rPr>
        <w:t>HBMDC</w:t>
      </w:r>
      <w:bookmarkEnd w:id="17"/>
      <w:r>
        <w:rPr>
          <w:rFonts w:ascii="Book Antiqua" w:eastAsia="Book Antiqua" w:hAnsi="Book Antiqua" w:cs="Book Antiqua"/>
          <w:color w:val="000000"/>
        </w:rPr>
        <w:t xml:space="preserve">, </w:t>
      </w:r>
      <w:bookmarkStart w:id="20" w:name="OLE_LINK6"/>
      <w:bookmarkStart w:id="21" w:name="OLE_LINK7"/>
      <w:r w:rsidR="000E37C6">
        <w:rPr>
          <w:rFonts w:ascii="Book Antiqua" w:eastAsia="Book Antiqua" w:hAnsi="Book Antiqua" w:cs="Book Antiqua"/>
          <w:color w:val="000000"/>
        </w:rPr>
        <w:t>Mohammed Bin Rashid University of Medicine and Health Sciences</w:t>
      </w:r>
      <w:bookmarkEnd w:id="18"/>
      <w:bookmarkEnd w:id="19"/>
      <w:r w:rsidR="000E37C6">
        <w:rPr>
          <w:rFonts w:ascii="Book Antiqua" w:eastAsia="Book Antiqua" w:hAnsi="Book Antiqua" w:cs="Book Antiqua"/>
          <w:color w:val="000000"/>
        </w:rPr>
        <w:t xml:space="preserve">, </w:t>
      </w:r>
      <w:r>
        <w:rPr>
          <w:rFonts w:ascii="Book Antiqua" w:eastAsia="Book Antiqua" w:hAnsi="Book Antiqua" w:cs="Book Antiqua"/>
          <w:color w:val="000000"/>
        </w:rPr>
        <w:t xml:space="preserve">Dubai </w:t>
      </w:r>
      <w:bookmarkEnd w:id="20"/>
      <w:bookmarkEnd w:id="21"/>
      <w:r>
        <w:rPr>
          <w:rFonts w:ascii="Book Antiqua" w:eastAsia="Book Antiqua" w:hAnsi="Book Antiqua" w:cs="Book Antiqua"/>
          <w:color w:val="000000"/>
        </w:rPr>
        <w:t xml:space="preserve">123, </w:t>
      </w:r>
      <w:r w:rsidR="001437FA" w:rsidRPr="001437FA">
        <w:rPr>
          <w:rFonts w:ascii="Book Antiqua" w:eastAsia="Book Antiqua" w:hAnsi="Book Antiqua" w:cs="Book Antiqua"/>
          <w:color w:val="000000"/>
        </w:rPr>
        <w:t>United Arab Emirates</w:t>
      </w:r>
    </w:p>
    <w:p w14:paraId="533B5947" w14:textId="77777777" w:rsidR="00A77B3E" w:rsidRDefault="00A77B3E">
      <w:pPr>
        <w:spacing w:line="360" w:lineRule="auto"/>
        <w:jc w:val="both"/>
      </w:pPr>
    </w:p>
    <w:p w14:paraId="26DCD615" w14:textId="51224919" w:rsidR="00A77B3E" w:rsidRDefault="0015373B">
      <w:pPr>
        <w:spacing w:line="360" w:lineRule="auto"/>
        <w:jc w:val="both"/>
      </w:pPr>
      <w:proofErr w:type="spellStart"/>
      <w:r>
        <w:rPr>
          <w:rFonts w:ascii="Book Antiqua" w:eastAsia="Book Antiqua" w:hAnsi="Book Antiqua" w:cs="Book Antiqua"/>
          <w:b/>
          <w:bCs/>
          <w:color w:val="000000"/>
        </w:rPr>
        <w:t>Muna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Tahlak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Taghrid</w:t>
      </w:r>
      <w:proofErr w:type="spellEnd"/>
      <w:r>
        <w:rPr>
          <w:rFonts w:ascii="Book Antiqua" w:eastAsia="Book Antiqua" w:hAnsi="Book Antiqua" w:cs="Book Antiqua"/>
          <w:b/>
          <w:bCs/>
          <w:color w:val="000000"/>
        </w:rPr>
        <w:t xml:space="preserve"> F </w:t>
      </w:r>
      <w:proofErr w:type="spellStart"/>
      <w:r>
        <w:rPr>
          <w:rFonts w:ascii="Book Antiqua" w:eastAsia="Book Antiqua" w:hAnsi="Book Antiqua" w:cs="Book Antiqua"/>
          <w:b/>
          <w:bCs/>
          <w:color w:val="000000"/>
        </w:rPr>
        <w:t>Elgergawi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Deemah</w:t>
      </w:r>
      <w:proofErr w:type="spellEnd"/>
      <w:r>
        <w:rPr>
          <w:rFonts w:ascii="Book Antiqua" w:eastAsia="Book Antiqua" w:hAnsi="Book Antiqua" w:cs="Book Antiqua"/>
          <w:b/>
          <w:bCs/>
          <w:color w:val="000000"/>
        </w:rPr>
        <w:t xml:space="preserve"> K </w:t>
      </w:r>
      <w:proofErr w:type="spellStart"/>
      <w:r>
        <w:rPr>
          <w:rFonts w:ascii="Book Antiqua" w:eastAsia="Book Antiqua" w:hAnsi="Book Antiqua" w:cs="Book Antiqua"/>
          <w:b/>
          <w:bCs/>
          <w:color w:val="000000"/>
        </w:rPr>
        <w:t>Harb</w:t>
      </w:r>
      <w:proofErr w:type="spellEnd"/>
      <w:r>
        <w:rPr>
          <w:rFonts w:ascii="Book Antiqua" w:eastAsia="Book Antiqua" w:hAnsi="Book Antiqua" w:cs="Book Antiqua"/>
          <w:b/>
          <w:bCs/>
          <w:color w:val="000000"/>
        </w:rPr>
        <w:t xml:space="preserve">, Komal S </w:t>
      </w:r>
      <w:proofErr w:type="spellStart"/>
      <w:r>
        <w:rPr>
          <w:rFonts w:ascii="Book Antiqua" w:eastAsia="Book Antiqua" w:hAnsi="Book Antiqua" w:cs="Book Antiqua"/>
          <w:b/>
          <w:bCs/>
          <w:color w:val="000000"/>
        </w:rPr>
        <w:t>Hazari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Widad</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Abdelkareem</w:t>
      </w:r>
      <w:proofErr w:type="spellEnd"/>
      <w:r>
        <w:rPr>
          <w:rFonts w:ascii="Book Antiqua" w:eastAsia="Book Antiqua" w:hAnsi="Book Antiqua" w:cs="Book Antiqua"/>
          <w:b/>
          <w:bCs/>
          <w:color w:val="000000"/>
        </w:rPr>
        <w:t xml:space="preserve">, </w:t>
      </w:r>
      <w:r w:rsidR="00FD74E8" w:rsidRPr="00FD74E8">
        <w:rPr>
          <w:rFonts w:ascii="Book Antiqua" w:hAnsi="Book Antiqua" w:cs="Book Antiqua" w:hint="eastAsia"/>
          <w:bCs/>
          <w:color w:val="000000"/>
          <w:lang w:eastAsia="zh-CN"/>
        </w:rPr>
        <w:t>Department o</w:t>
      </w:r>
      <w:r w:rsidR="00FD74E8">
        <w:rPr>
          <w:rFonts w:ascii="Book Antiqua" w:hAnsi="Book Antiqua" w:cs="Book Antiqua" w:hint="eastAsia"/>
          <w:bCs/>
          <w:color w:val="000000"/>
          <w:lang w:eastAsia="zh-CN"/>
        </w:rPr>
        <w:t xml:space="preserve">f </w:t>
      </w:r>
      <w:r>
        <w:rPr>
          <w:rFonts w:ascii="Book Antiqua" w:eastAsia="Book Antiqua" w:hAnsi="Book Antiqua" w:cs="Book Antiqua"/>
          <w:color w:val="000000"/>
        </w:rPr>
        <w:t xml:space="preserve">Obstetrics and Gynecology, </w:t>
      </w:r>
      <w:r w:rsidR="004817E6" w:rsidRPr="004817E6">
        <w:rPr>
          <w:rFonts w:ascii="Book Antiqua" w:eastAsia="Book Antiqua" w:hAnsi="Book Antiqua" w:cs="Book Antiqua"/>
          <w:color w:val="000000"/>
        </w:rPr>
        <w:t>Dubai Health Authority</w:t>
      </w:r>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010D9C94" w14:textId="77777777" w:rsidR="00A77B3E" w:rsidRDefault="00A77B3E">
      <w:pPr>
        <w:spacing w:line="360" w:lineRule="auto"/>
        <w:jc w:val="both"/>
      </w:pPr>
    </w:p>
    <w:p w14:paraId="023C8F0B" w14:textId="7B85441D" w:rsidR="00A77B3E" w:rsidRPr="004817E6" w:rsidRDefault="0015373B">
      <w:pPr>
        <w:spacing w:line="360" w:lineRule="auto"/>
        <w:jc w:val="both"/>
        <w:rPr>
          <w:lang w:eastAsia="zh-CN"/>
        </w:rPr>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Hassanein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Fatheya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Alawadi</w:t>
      </w:r>
      <w:proofErr w:type="spellEnd"/>
      <w:r>
        <w:rPr>
          <w:rFonts w:ascii="Book Antiqua" w:eastAsia="Book Antiqua" w:hAnsi="Book Antiqua" w:cs="Book Antiqua"/>
          <w:b/>
          <w:bCs/>
          <w:color w:val="000000"/>
        </w:rPr>
        <w:t xml:space="preserve">, </w:t>
      </w:r>
      <w:bookmarkStart w:id="22" w:name="OLE_LINK12"/>
      <w:bookmarkStart w:id="23" w:name="OLE_LINK13"/>
      <w:r w:rsidR="004817E6" w:rsidRPr="00FD74E8">
        <w:rPr>
          <w:rFonts w:ascii="Book Antiqua" w:hAnsi="Book Antiqua" w:cs="Book Antiqua" w:hint="eastAsia"/>
          <w:bCs/>
          <w:color w:val="000000"/>
          <w:lang w:eastAsia="zh-CN"/>
        </w:rPr>
        <w:t>Department o</w:t>
      </w:r>
      <w:r w:rsidR="004817E6">
        <w:rPr>
          <w:rFonts w:ascii="Book Antiqua" w:hAnsi="Book Antiqua" w:cs="Book Antiqua" w:hint="eastAsia"/>
          <w:bCs/>
          <w:color w:val="000000"/>
          <w:lang w:eastAsia="zh-CN"/>
        </w:rPr>
        <w:t xml:space="preserve">f </w:t>
      </w:r>
      <w:bookmarkEnd w:id="22"/>
      <w:bookmarkEnd w:id="23"/>
      <w:r>
        <w:rPr>
          <w:rFonts w:ascii="Book Antiqua" w:eastAsia="Book Antiqua" w:hAnsi="Book Antiqua" w:cs="Book Antiqua"/>
          <w:color w:val="000000"/>
        </w:rPr>
        <w:t>Endocrin</w:t>
      </w:r>
      <w:r w:rsidR="00D952F5">
        <w:rPr>
          <w:rFonts w:ascii="Book Antiqua" w:eastAsia="Book Antiqua" w:hAnsi="Book Antiqua" w:cs="Book Antiqua"/>
          <w:color w:val="000000"/>
        </w:rPr>
        <w:t>ology</w:t>
      </w:r>
      <w:r>
        <w:rPr>
          <w:rFonts w:ascii="Book Antiqua" w:eastAsia="Book Antiqua" w:hAnsi="Book Antiqua" w:cs="Book Antiqua"/>
          <w:color w:val="000000"/>
        </w:rPr>
        <w:t xml:space="preserve">, </w:t>
      </w:r>
      <w:r w:rsidR="004817E6" w:rsidRPr="004817E6">
        <w:rPr>
          <w:rFonts w:ascii="Book Antiqua" w:eastAsia="Book Antiqua" w:hAnsi="Book Antiqua" w:cs="Book Antiqua"/>
          <w:color w:val="000000"/>
        </w:rPr>
        <w:t>Dubai Health Authority</w:t>
      </w:r>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68485217" w14:textId="77777777" w:rsidR="00A77B3E" w:rsidRDefault="00A77B3E">
      <w:pPr>
        <w:spacing w:line="360" w:lineRule="auto"/>
        <w:jc w:val="both"/>
      </w:pPr>
    </w:p>
    <w:p w14:paraId="3982316E" w14:textId="1058F5DC" w:rsidR="00A77B3E" w:rsidRDefault="0015373B">
      <w:pPr>
        <w:spacing w:line="360" w:lineRule="auto"/>
        <w:jc w:val="both"/>
      </w:pPr>
      <w:proofErr w:type="spellStart"/>
      <w:r>
        <w:rPr>
          <w:rFonts w:ascii="Book Antiqua" w:eastAsia="Book Antiqua" w:hAnsi="Book Antiqua" w:cs="Book Antiqua"/>
          <w:b/>
          <w:bCs/>
          <w:color w:val="000000"/>
        </w:rPr>
        <w:t>Jeyaseelan</w:t>
      </w:r>
      <w:proofErr w:type="spellEnd"/>
      <w:r>
        <w:rPr>
          <w:rFonts w:ascii="Book Antiqua" w:eastAsia="Book Antiqua" w:hAnsi="Book Antiqua" w:cs="Book Antiqua"/>
          <w:b/>
          <w:bCs/>
          <w:color w:val="000000"/>
        </w:rPr>
        <w:t xml:space="preserve"> Lakshmanan, </w:t>
      </w:r>
      <w:r w:rsidR="004817E6" w:rsidRPr="00FD74E8">
        <w:rPr>
          <w:rFonts w:ascii="Book Antiqua" w:hAnsi="Book Antiqua" w:cs="Book Antiqua" w:hint="eastAsia"/>
          <w:bCs/>
          <w:color w:val="000000"/>
          <w:lang w:eastAsia="zh-CN"/>
        </w:rPr>
        <w:t>Department o</w:t>
      </w:r>
      <w:r w:rsidR="004817E6">
        <w:rPr>
          <w:rFonts w:ascii="Book Antiqua" w:hAnsi="Book Antiqua" w:cs="Book Antiqua" w:hint="eastAsia"/>
          <w:bCs/>
          <w:color w:val="000000"/>
          <w:lang w:eastAsia="zh-CN"/>
        </w:rPr>
        <w:t xml:space="preserve">f </w:t>
      </w:r>
      <w:r>
        <w:rPr>
          <w:rFonts w:ascii="Book Antiqua" w:eastAsia="Book Antiqua" w:hAnsi="Book Antiqua" w:cs="Book Antiqua"/>
          <w:color w:val="000000"/>
        </w:rPr>
        <w:t xml:space="preserve">Biostatistics, </w:t>
      </w:r>
      <w:r w:rsidR="00A3690E" w:rsidRPr="00A3690E">
        <w:rPr>
          <w:rFonts w:ascii="Book Antiqua" w:eastAsia="Book Antiqua" w:hAnsi="Book Antiqua" w:cs="Book Antiqua"/>
          <w:color w:val="000000"/>
        </w:rPr>
        <w:t>Mohammed Bin Rashid University of Medicine and Health Sciences</w:t>
      </w:r>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52AF17DC" w14:textId="77777777" w:rsidR="00A77B3E" w:rsidRDefault="00A77B3E">
      <w:pPr>
        <w:spacing w:line="360" w:lineRule="auto"/>
        <w:jc w:val="both"/>
      </w:pPr>
    </w:p>
    <w:p w14:paraId="22333707" w14:textId="77777777" w:rsidR="00A77B3E" w:rsidRDefault="0015373B">
      <w:pPr>
        <w:spacing w:line="360" w:lineRule="auto"/>
        <w:jc w:val="both"/>
      </w:pPr>
      <w:r>
        <w:rPr>
          <w:rFonts w:ascii="Book Antiqua" w:eastAsia="Book Antiqua" w:hAnsi="Book Antiqua" w:cs="Book Antiqua"/>
          <w:b/>
          <w:bCs/>
          <w:color w:val="000000"/>
        </w:rPr>
        <w:t xml:space="preserve">Author contributions: </w:t>
      </w:r>
      <w:bookmarkStart w:id="24" w:name="OLE_LINK130"/>
      <w:bookmarkStart w:id="25" w:name="OLE_LINK131"/>
      <w:proofErr w:type="spellStart"/>
      <w:r>
        <w:rPr>
          <w:rFonts w:ascii="Book Antiqua" w:eastAsia="Book Antiqua" w:hAnsi="Book Antiqua" w:cs="Book Antiqua"/>
          <w:color w:val="000000"/>
        </w:rPr>
        <w:t>Bayoumi</w:t>
      </w:r>
      <w:proofErr w:type="spellEnd"/>
      <w:r w:rsidR="00F25F43">
        <w:rPr>
          <w:rFonts w:ascii="Book Antiqua" w:hAnsi="Book Antiqua" w:cs="Book Antiqua" w:hint="eastAsia"/>
          <w:color w:val="000000"/>
          <w:lang w:eastAsia="zh-CN"/>
        </w:rPr>
        <w:t xml:space="preserve"> RAL</w:t>
      </w:r>
      <w:r>
        <w:rPr>
          <w:rFonts w:ascii="Book Antiqua" w:eastAsia="Book Antiqua" w:hAnsi="Book Antiqua" w:cs="Book Antiqua"/>
          <w:color w:val="000000"/>
        </w:rPr>
        <w:t xml:space="preserve"> contributed to the conception and design of the study and is responsible </w:t>
      </w:r>
      <w:r w:rsidR="00F25F43">
        <w:rPr>
          <w:rFonts w:ascii="Book Antiqua" w:eastAsia="Book Antiqua" w:hAnsi="Book Antiqua" w:cs="Book Antiqua"/>
          <w:color w:val="000000"/>
        </w:rPr>
        <w:t>for the contents of the article</w:t>
      </w:r>
      <w:r w:rsidR="00F25F43">
        <w:rPr>
          <w:rFonts w:ascii="Book Antiqua" w:hAnsi="Book Antiqua" w:cs="Book Antiqua" w:hint="eastAsia"/>
          <w:color w:val="000000"/>
          <w:lang w:eastAsia="zh-CN"/>
        </w:rPr>
        <w:t>,</w:t>
      </w:r>
      <w:r w:rsidR="00F25F43">
        <w:rPr>
          <w:rFonts w:ascii="Book Antiqua" w:eastAsia="Book Antiqua" w:hAnsi="Book Antiqua" w:cs="Book Antiqua"/>
          <w:color w:val="000000"/>
        </w:rPr>
        <w:t xml:space="preserve"> </w:t>
      </w:r>
      <w:r w:rsidR="00F25F43">
        <w:rPr>
          <w:rFonts w:ascii="Book Antiqua" w:hAnsi="Book Antiqua" w:cs="Book Antiqua" w:hint="eastAsia"/>
          <w:color w:val="000000"/>
          <w:lang w:eastAsia="zh-CN"/>
        </w:rPr>
        <w:t>h</w:t>
      </w:r>
      <w:r>
        <w:rPr>
          <w:rFonts w:ascii="Book Antiqua" w:eastAsia="Book Antiqua" w:hAnsi="Book Antiqua" w:cs="Book Antiqua"/>
          <w:color w:val="000000"/>
        </w:rPr>
        <w:t xml:space="preserve">e had full </w:t>
      </w:r>
      <w:r w:rsidR="00F25F43">
        <w:rPr>
          <w:rFonts w:ascii="Book Antiqua" w:eastAsia="Book Antiqua" w:hAnsi="Book Antiqua" w:cs="Book Antiqua"/>
          <w:color w:val="000000"/>
        </w:rPr>
        <w:t>access to the data in the study</w:t>
      </w:r>
      <w:r w:rsidR="00F25F43">
        <w:rPr>
          <w:rFonts w:ascii="Book Antiqua" w:hAnsi="Book Antiqua" w:cs="Book Antiqua" w:hint="eastAsia"/>
          <w:color w:val="000000"/>
          <w:lang w:eastAsia="zh-CN"/>
        </w:rPr>
        <w:t>,</w:t>
      </w:r>
      <w:r w:rsidR="00F25F43">
        <w:rPr>
          <w:rFonts w:ascii="Book Antiqua" w:eastAsia="Book Antiqua" w:hAnsi="Book Antiqua" w:cs="Book Antiqua"/>
          <w:color w:val="000000"/>
        </w:rPr>
        <w:t xml:space="preserve"> </w:t>
      </w:r>
      <w:r w:rsidR="00F25F43">
        <w:rPr>
          <w:rFonts w:ascii="Book Antiqua" w:hAnsi="Book Antiqua" w:cs="Book Antiqua" w:hint="eastAsia"/>
          <w:color w:val="000000"/>
          <w:lang w:eastAsia="zh-CN"/>
        </w:rPr>
        <w:t>h</w:t>
      </w:r>
      <w:r>
        <w:rPr>
          <w:rFonts w:ascii="Book Antiqua" w:eastAsia="Book Antiqua" w:hAnsi="Book Antiqua" w:cs="Book Antiqua"/>
          <w:color w:val="000000"/>
        </w:rPr>
        <w:t>e takes respon</w:t>
      </w:r>
      <w:r w:rsidR="00F25F43">
        <w:rPr>
          <w:rFonts w:ascii="Book Antiqua" w:eastAsia="Book Antiqua" w:hAnsi="Book Antiqua" w:cs="Book Antiqua"/>
          <w:color w:val="000000"/>
        </w:rPr>
        <w:t>sibility for the integrity and</w:t>
      </w:r>
      <w:r>
        <w:rPr>
          <w:rFonts w:ascii="Book Antiqua" w:eastAsia="Book Antiqua" w:hAnsi="Book Antiqua" w:cs="Book Antiqua"/>
          <w:color w:val="000000"/>
        </w:rPr>
        <w:t xml:space="preserve"> accuracy </w:t>
      </w:r>
      <w:r w:rsidR="00F25F43">
        <w:rPr>
          <w:rFonts w:ascii="Book Antiqua" w:eastAsia="Book Antiqua" w:hAnsi="Book Antiqua" w:cs="Book Antiqua"/>
          <w:color w:val="000000"/>
        </w:rPr>
        <w:t>of the analyses performed</w:t>
      </w:r>
      <w:r w:rsidR="00F25F43">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Tahlak</w:t>
      </w:r>
      <w:proofErr w:type="spellEnd"/>
      <w:r w:rsidR="00F25F43">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Elgergawi</w:t>
      </w:r>
      <w:proofErr w:type="spellEnd"/>
      <w:r w:rsidR="00F25F43">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w:t>
      </w:r>
      <w:proofErr w:type="spellEnd"/>
      <w:r w:rsidR="00F25F43">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Hazari</w:t>
      </w:r>
      <w:proofErr w:type="spellEnd"/>
      <w:r w:rsidR="00F25F43">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Abdelkareem</w:t>
      </w:r>
      <w:proofErr w:type="spellEnd"/>
      <w:r w:rsidR="00F25F43">
        <w:rPr>
          <w:rFonts w:ascii="Book Antiqua" w:hAnsi="Book Antiqua" w:cs="Book Antiqua" w:hint="eastAsia"/>
          <w:color w:val="000000"/>
          <w:lang w:eastAsia="zh-CN"/>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Hassanein</w:t>
      </w:r>
      <w:proofErr w:type="spellEnd"/>
      <w:r w:rsidR="00F25F43">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Awadi</w:t>
      </w:r>
      <w:proofErr w:type="spellEnd"/>
      <w:r w:rsidR="00F25F43">
        <w:rPr>
          <w:rFonts w:ascii="Book Antiqua" w:hAnsi="Book Antiqua" w:cs="Book Antiqua" w:hint="eastAsia"/>
          <w:color w:val="000000"/>
          <w:lang w:eastAsia="zh-CN"/>
        </w:rPr>
        <w:t xml:space="preserve"> FA</w:t>
      </w:r>
      <w:r>
        <w:rPr>
          <w:rFonts w:ascii="Book Antiqua" w:eastAsia="Book Antiqua" w:hAnsi="Book Antiqua" w:cs="Book Antiqua"/>
          <w:color w:val="000000"/>
        </w:rPr>
        <w:t xml:space="preserve"> collected clini</w:t>
      </w:r>
      <w:r w:rsidR="00F25F43">
        <w:rPr>
          <w:rFonts w:ascii="Book Antiqua" w:eastAsia="Book Antiqua" w:hAnsi="Book Antiqua" w:cs="Book Antiqua"/>
          <w:color w:val="000000"/>
        </w:rPr>
        <w:t>cal data from patients’ records</w:t>
      </w:r>
      <w:r w:rsidR="00F25F43">
        <w:rPr>
          <w:rFonts w:ascii="Book Antiqua" w:hAnsi="Book Antiqua" w:cs="Book Antiqua" w:hint="eastAsia"/>
          <w:color w:val="000000"/>
          <w:lang w:eastAsia="zh-CN"/>
        </w:rPr>
        <w:t>;</w:t>
      </w:r>
      <w:r>
        <w:rPr>
          <w:rFonts w:ascii="Book Antiqua" w:eastAsia="Book Antiqua" w:hAnsi="Book Antiqua" w:cs="Book Antiqua"/>
          <w:color w:val="000000"/>
        </w:rPr>
        <w:t xml:space="preserve"> Osama</w:t>
      </w:r>
      <w:r w:rsidR="00F25F43">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conducted interviews with patients and collected dat</w:t>
      </w:r>
      <w:r w:rsidR="00F25F43">
        <w:rPr>
          <w:rFonts w:ascii="Book Antiqua" w:eastAsia="Book Antiqua" w:hAnsi="Book Antiqua" w:cs="Book Antiqua"/>
          <w:color w:val="000000"/>
        </w:rPr>
        <w:t>a</w:t>
      </w:r>
      <w:r w:rsidR="00F25F43">
        <w:rPr>
          <w:rFonts w:ascii="Book Antiqua" w:hAnsi="Book Antiqua" w:cs="Book Antiqua" w:hint="eastAsia"/>
          <w:color w:val="000000"/>
          <w:lang w:eastAsia="zh-CN"/>
        </w:rPr>
        <w:t>;</w:t>
      </w:r>
      <w:r>
        <w:rPr>
          <w:rFonts w:ascii="Book Antiqua" w:eastAsia="Book Antiqua" w:hAnsi="Book Antiqua" w:cs="Book Antiqua"/>
          <w:color w:val="000000"/>
        </w:rPr>
        <w:t xml:space="preserve"> Statistical support was provided by Khamis </w:t>
      </w:r>
      <w:r w:rsidR="00F25F43">
        <w:rPr>
          <w:rFonts w:ascii="Book Antiqua" w:hAnsi="Book Antiqua" w:cs="Book Antiqua" w:hint="eastAsia"/>
          <w:color w:val="000000"/>
          <w:lang w:eastAsia="zh-CN"/>
        </w:rPr>
        <w:t xml:space="preserve">A </w:t>
      </w:r>
      <w:r>
        <w:rPr>
          <w:rFonts w:ascii="Book Antiqua" w:eastAsia="Book Antiqua" w:hAnsi="Book Antiqua" w:cs="Book Antiqua"/>
          <w:color w:val="000000"/>
        </w:rPr>
        <w:t>and Lakshmanan</w:t>
      </w:r>
      <w:r w:rsidR="00F25F43">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All authors have performed interpretation of the data, critical revision of the article and approved the final version of the manuscript for publication.</w:t>
      </w:r>
    </w:p>
    <w:bookmarkEnd w:id="24"/>
    <w:bookmarkEnd w:id="25"/>
    <w:p w14:paraId="21D2D4CC" w14:textId="77777777" w:rsidR="00A77B3E" w:rsidRDefault="00A77B3E">
      <w:pPr>
        <w:spacing w:line="360" w:lineRule="auto"/>
        <w:jc w:val="both"/>
      </w:pPr>
    </w:p>
    <w:p w14:paraId="303A5400" w14:textId="3E079537" w:rsidR="00A77B3E" w:rsidRPr="004F3F0C" w:rsidRDefault="0015373B">
      <w:pPr>
        <w:spacing w:line="360" w:lineRule="auto"/>
        <w:jc w:val="both"/>
        <w:rPr>
          <w:lang w:eastAsia="zh-CN"/>
        </w:rPr>
      </w:pPr>
      <w:r>
        <w:rPr>
          <w:rFonts w:ascii="Book Antiqua" w:eastAsia="Book Antiqua" w:hAnsi="Book Antiqua" w:cs="Book Antiqua"/>
          <w:b/>
          <w:bCs/>
          <w:color w:val="000000"/>
        </w:rPr>
        <w:t xml:space="preserve">Supported by </w:t>
      </w:r>
      <w:bookmarkStart w:id="26" w:name="OLE_LINK132"/>
      <w:bookmarkStart w:id="27" w:name="OLE_LINK133"/>
      <w:r w:rsidR="004F3F0C" w:rsidRPr="004F3F0C">
        <w:rPr>
          <w:rFonts w:ascii="Book Antiqua" w:hAnsi="Book Antiqua" w:cs="Book Antiqua" w:hint="eastAsia"/>
          <w:bCs/>
          <w:color w:val="000000"/>
          <w:lang w:eastAsia="zh-CN"/>
        </w:rPr>
        <w:t>the</w:t>
      </w:r>
      <w:r w:rsidR="004F3F0C">
        <w:rPr>
          <w:rFonts w:ascii="Book Antiqua" w:hAnsi="Book Antiqua" w:cs="Book Antiqua" w:hint="eastAsia"/>
          <w:b/>
          <w:bCs/>
          <w:color w:val="000000"/>
          <w:lang w:eastAsia="zh-CN"/>
        </w:rPr>
        <w:t xml:space="preserve"> </w:t>
      </w:r>
      <w:r w:rsidR="004F3F0C" w:rsidRPr="004F3F0C">
        <w:rPr>
          <w:rFonts w:ascii="Book Antiqua" w:eastAsia="Book Antiqua" w:hAnsi="Book Antiqua" w:cs="Book Antiqua"/>
          <w:color w:val="000000"/>
        </w:rPr>
        <w:t xml:space="preserve">Al </w:t>
      </w:r>
      <w:proofErr w:type="spellStart"/>
      <w:r w:rsidR="004F3F0C" w:rsidRPr="004F3F0C">
        <w:rPr>
          <w:rFonts w:ascii="Book Antiqua" w:eastAsia="Book Antiqua" w:hAnsi="Book Antiqua" w:cs="Book Antiqua"/>
          <w:color w:val="000000"/>
        </w:rPr>
        <w:t>Jalila</w:t>
      </w:r>
      <w:proofErr w:type="spellEnd"/>
      <w:r w:rsidR="004F3F0C" w:rsidRPr="004F3F0C">
        <w:rPr>
          <w:rFonts w:ascii="Book Antiqua" w:eastAsia="Book Antiqua" w:hAnsi="Book Antiqua" w:cs="Book Antiqua"/>
          <w:color w:val="000000"/>
        </w:rPr>
        <w:t xml:space="preserve"> Foundation</w:t>
      </w:r>
      <w:r w:rsidR="004F3F0C">
        <w:rPr>
          <w:rFonts w:ascii="Book Antiqua" w:hAnsi="Book Antiqua" w:cs="Book Antiqua" w:hint="eastAsia"/>
          <w:color w:val="000000"/>
          <w:lang w:eastAsia="zh-CN"/>
        </w:rPr>
        <w:t>,</w:t>
      </w:r>
      <w:r w:rsidR="004F3F0C" w:rsidRPr="004F3F0C">
        <w:rPr>
          <w:rFonts w:ascii="Book Antiqua" w:eastAsia="Book Antiqua" w:hAnsi="Book Antiqua" w:cs="Book Antiqua"/>
          <w:color w:val="000000"/>
        </w:rPr>
        <w:t xml:space="preserve"> No. AJF201545</w:t>
      </w:r>
      <w:r w:rsidR="004F3F0C">
        <w:rPr>
          <w:rFonts w:ascii="Book Antiqua" w:hAnsi="Book Antiqua" w:cs="Book Antiqua" w:hint="eastAsia"/>
          <w:color w:val="000000"/>
          <w:lang w:eastAsia="zh-CN"/>
        </w:rPr>
        <w:t>.</w:t>
      </w:r>
      <w:bookmarkEnd w:id="26"/>
      <w:bookmarkEnd w:id="27"/>
    </w:p>
    <w:p w14:paraId="48B55F30" w14:textId="77777777" w:rsidR="00A77B3E" w:rsidRDefault="00A77B3E">
      <w:pPr>
        <w:spacing w:line="360" w:lineRule="auto"/>
        <w:jc w:val="both"/>
      </w:pPr>
    </w:p>
    <w:p w14:paraId="71119072" w14:textId="77777777" w:rsidR="00A77B3E" w:rsidRDefault="0015373B">
      <w:pPr>
        <w:spacing w:line="360" w:lineRule="auto"/>
        <w:jc w:val="both"/>
      </w:pPr>
      <w:r>
        <w:rPr>
          <w:rFonts w:ascii="Book Antiqua" w:eastAsia="Book Antiqua" w:hAnsi="Book Antiqua" w:cs="Book Antiqua"/>
          <w:b/>
          <w:bCs/>
          <w:color w:val="000000"/>
        </w:rPr>
        <w:t xml:space="preserve">Corresponding author: Riad Abdel Latif </w:t>
      </w:r>
      <w:proofErr w:type="spellStart"/>
      <w:r>
        <w:rPr>
          <w:rFonts w:ascii="Book Antiqua" w:eastAsia="Book Antiqua" w:hAnsi="Book Antiqua" w:cs="Book Antiqua"/>
          <w:b/>
          <w:bCs/>
          <w:color w:val="000000"/>
        </w:rPr>
        <w:t>Bayoumi</w:t>
      </w:r>
      <w:proofErr w:type="spellEnd"/>
      <w:r>
        <w:rPr>
          <w:rFonts w:ascii="Book Antiqua" w:eastAsia="Book Antiqua" w:hAnsi="Book Antiqua" w:cs="Book Antiqua"/>
          <w:b/>
          <w:bCs/>
          <w:color w:val="000000"/>
        </w:rPr>
        <w:t xml:space="preserve">, MBBS, PhD, Professor, </w:t>
      </w:r>
      <w:r w:rsidR="002C7556" w:rsidRPr="00FD74E8">
        <w:rPr>
          <w:rFonts w:ascii="Book Antiqua" w:hAnsi="Book Antiqua" w:cs="Book Antiqua" w:hint="eastAsia"/>
          <w:bCs/>
          <w:color w:val="000000"/>
          <w:lang w:eastAsia="zh-CN"/>
        </w:rPr>
        <w:t>Department o</w:t>
      </w:r>
      <w:r w:rsidR="002C7556">
        <w:rPr>
          <w:rFonts w:ascii="Book Antiqua" w:hAnsi="Book Antiqua" w:cs="Book Antiqua" w:hint="eastAsia"/>
          <w:bCs/>
          <w:color w:val="000000"/>
          <w:lang w:eastAsia="zh-CN"/>
        </w:rPr>
        <w:t xml:space="preserve">f </w:t>
      </w:r>
      <w:r>
        <w:rPr>
          <w:rFonts w:ascii="Book Antiqua" w:eastAsia="Book Antiqua" w:hAnsi="Book Antiqua" w:cs="Book Antiqua"/>
          <w:color w:val="000000"/>
        </w:rPr>
        <w:t xml:space="preserve">Basic Medical Sciences, </w:t>
      </w:r>
      <w:bookmarkStart w:id="28" w:name="OLE_LINK19"/>
      <w:bookmarkStart w:id="29" w:name="OLE_LINK20"/>
      <w:r>
        <w:rPr>
          <w:rFonts w:ascii="Book Antiqua" w:eastAsia="Book Antiqua" w:hAnsi="Book Antiqua" w:cs="Book Antiqua"/>
          <w:color w:val="000000"/>
        </w:rPr>
        <w:t xml:space="preserve">College of Medicine, </w:t>
      </w:r>
      <w:bookmarkEnd w:id="28"/>
      <w:bookmarkEnd w:id="29"/>
      <w:r>
        <w:rPr>
          <w:rFonts w:ascii="Book Antiqua" w:eastAsia="Book Antiqua" w:hAnsi="Book Antiqua" w:cs="Book Antiqua"/>
          <w:color w:val="000000"/>
        </w:rPr>
        <w:t>Mohammed Bin Rashid University of Medicine a</w:t>
      </w:r>
      <w:r w:rsidR="002C7556">
        <w:rPr>
          <w:rFonts w:ascii="Book Antiqua" w:eastAsia="Book Antiqua" w:hAnsi="Book Antiqua" w:cs="Book Antiqua"/>
          <w:color w:val="000000"/>
        </w:rPr>
        <w:t xml:space="preserve">nd Health Sciences, </w:t>
      </w:r>
      <w:bookmarkStart w:id="30" w:name="OLE_LINK116"/>
      <w:bookmarkStart w:id="31" w:name="OLE_LINK117"/>
      <w:r w:rsidR="002C7556">
        <w:rPr>
          <w:rFonts w:ascii="Book Antiqua" w:eastAsia="Book Antiqua" w:hAnsi="Book Antiqua" w:cs="Book Antiqua"/>
          <w:color w:val="000000"/>
        </w:rPr>
        <w:t>Building 14</w:t>
      </w:r>
      <w:r w:rsidR="002C7556">
        <w:rPr>
          <w:rFonts w:ascii="Book Antiqua" w:hAnsi="Book Antiqua" w:cs="Book Antiqua" w:hint="eastAsia"/>
          <w:color w:val="000000"/>
          <w:lang w:eastAsia="zh-CN"/>
        </w:rPr>
        <w:t>,</w:t>
      </w:r>
      <w:r>
        <w:rPr>
          <w:rFonts w:ascii="Book Antiqua" w:eastAsia="Book Antiqua" w:hAnsi="Book Antiqua" w:cs="Book Antiqua"/>
          <w:color w:val="000000"/>
        </w:rPr>
        <w:t xml:space="preserve"> Dubai Healthcare City</w:t>
      </w:r>
      <w:bookmarkEnd w:id="30"/>
      <w:bookmarkEnd w:id="31"/>
      <w:r>
        <w:rPr>
          <w:rFonts w:ascii="Book Antiqua" w:eastAsia="Book Antiqua" w:hAnsi="Book Antiqua" w:cs="Book Antiqua"/>
          <w:color w:val="000000"/>
        </w:rPr>
        <w:t>, Dubai 123, Dubai. riad.bayoumi@mbru.ac.ae</w:t>
      </w:r>
    </w:p>
    <w:p w14:paraId="49DF67B7" w14:textId="77777777" w:rsidR="00A77B3E" w:rsidRDefault="00A77B3E">
      <w:pPr>
        <w:spacing w:line="360" w:lineRule="auto"/>
        <w:jc w:val="both"/>
      </w:pPr>
    </w:p>
    <w:p w14:paraId="1A9AAC87" w14:textId="77777777" w:rsidR="00A77B3E" w:rsidRDefault="0015373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3AD970BD" w14:textId="77777777" w:rsidR="00A77B3E" w:rsidRDefault="0015373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42C6D741" w14:textId="56D34B09" w:rsidR="00A77B3E" w:rsidRPr="009C486B" w:rsidRDefault="0015373B">
      <w:pPr>
        <w:spacing w:line="360" w:lineRule="auto"/>
        <w:jc w:val="both"/>
      </w:pPr>
      <w:r>
        <w:rPr>
          <w:rFonts w:ascii="Book Antiqua" w:eastAsia="Book Antiqua" w:hAnsi="Book Antiqua" w:cs="Book Antiqua"/>
          <w:b/>
          <w:bCs/>
          <w:color w:val="000000"/>
        </w:rPr>
        <w:t xml:space="preserve">Accepted: </w:t>
      </w:r>
      <w:r w:rsidR="009C486B" w:rsidRPr="009C486B">
        <w:rPr>
          <w:rFonts w:ascii="Book Antiqua" w:eastAsia="Book Antiqua" w:hAnsi="Book Antiqua" w:cs="Book Antiqua"/>
          <w:color w:val="000000"/>
        </w:rPr>
        <w:t>August 30, 2021</w:t>
      </w:r>
    </w:p>
    <w:p w14:paraId="3249766E" w14:textId="77777777" w:rsidR="004703C7" w:rsidRPr="00A44ACD" w:rsidRDefault="0015373B" w:rsidP="004703C7">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Published online: </w:t>
      </w:r>
      <w:r w:rsidR="004703C7" w:rsidRPr="00A44ACD">
        <w:rPr>
          <w:rFonts w:ascii="Book Antiqua" w:eastAsia="Book Antiqua" w:hAnsi="Book Antiqua" w:cs="Book Antiqua"/>
        </w:rPr>
        <w:t>October 15</w:t>
      </w:r>
      <w:r w:rsidR="004703C7" w:rsidRPr="00856362">
        <w:rPr>
          <w:rFonts w:ascii="Book Antiqua" w:eastAsia="Book Antiqua" w:hAnsi="Book Antiqua" w:cs="Book Antiqua"/>
        </w:rPr>
        <w:t>, 2021</w:t>
      </w:r>
    </w:p>
    <w:p w14:paraId="71013906" w14:textId="47512EA1"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F59BE8" w14:textId="77777777" w:rsidR="00A77B3E" w:rsidRDefault="0015373B">
      <w:pPr>
        <w:spacing w:line="360" w:lineRule="auto"/>
        <w:jc w:val="both"/>
      </w:pPr>
      <w:r>
        <w:rPr>
          <w:rFonts w:ascii="Book Antiqua" w:eastAsia="Book Antiqua" w:hAnsi="Book Antiqua" w:cs="Book Antiqua"/>
          <w:b/>
          <w:color w:val="000000"/>
        </w:rPr>
        <w:lastRenderedPageBreak/>
        <w:t>Abstract</w:t>
      </w:r>
    </w:p>
    <w:p w14:paraId="276AEF85" w14:textId="77777777" w:rsidR="00A77B3E" w:rsidRDefault="0015373B">
      <w:pPr>
        <w:spacing w:line="360" w:lineRule="auto"/>
        <w:jc w:val="both"/>
      </w:pPr>
      <w:r>
        <w:rPr>
          <w:rFonts w:ascii="Book Antiqua" w:eastAsia="Book Antiqua" w:hAnsi="Book Antiqua" w:cs="Book Antiqua"/>
          <w:color w:val="000000"/>
        </w:rPr>
        <w:t>BACKGROUND</w:t>
      </w:r>
    </w:p>
    <w:p w14:paraId="4C738BCB" w14:textId="77777777" w:rsidR="00A77B3E" w:rsidRDefault="0015373B">
      <w:pPr>
        <w:spacing w:line="360" w:lineRule="auto"/>
        <w:jc w:val="both"/>
      </w:pPr>
      <w:bookmarkStart w:id="32" w:name="OLE_LINK137"/>
      <w:bookmarkStart w:id="33" w:name="OLE_LINK138"/>
      <w:r>
        <w:rPr>
          <w:rFonts w:ascii="Book Antiqua" w:eastAsia="Book Antiqua" w:hAnsi="Book Antiqua" w:cs="Book Antiqua"/>
          <w:color w:val="000000"/>
        </w:rPr>
        <w:t xml:space="preserve">Women with </w:t>
      </w:r>
      <w:bookmarkStart w:id="34" w:name="OLE_LINK26"/>
      <w:bookmarkStart w:id="35" w:name="OLE_LINK27"/>
      <w:r>
        <w:rPr>
          <w:rFonts w:ascii="Book Antiqua" w:eastAsia="Book Antiqua" w:hAnsi="Book Antiqua" w:cs="Book Antiqua"/>
          <w:color w:val="000000"/>
        </w:rPr>
        <w:t>gestational diabetes mellitus</w:t>
      </w:r>
      <w:bookmarkEnd w:id="34"/>
      <w:bookmarkEnd w:id="35"/>
      <w:r>
        <w:rPr>
          <w:rFonts w:ascii="Book Antiqua" w:eastAsia="Book Antiqua" w:hAnsi="Book Antiqua" w:cs="Book Antiqua"/>
          <w:color w:val="000000"/>
        </w:rPr>
        <w:t xml:space="preserve"> (GDM) are at a seven-fold higher risk of developing </w:t>
      </w:r>
      <w:bookmarkStart w:id="36" w:name="OLE_LINK23"/>
      <w:bookmarkStart w:id="37" w:name="OLE_LINK33"/>
      <w:bookmarkStart w:id="38" w:name="OLE_LINK34"/>
      <w:r>
        <w:rPr>
          <w:rFonts w:ascii="Book Antiqua" w:eastAsia="Book Antiqua" w:hAnsi="Book Antiqua" w:cs="Book Antiqua"/>
          <w:color w:val="000000"/>
        </w:rPr>
        <w:t>type 2 diabetes</w:t>
      </w:r>
      <w:bookmarkEnd w:id="36"/>
      <w:r>
        <w:rPr>
          <w:rFonts w:ascii="Book Antiqua" w:eastAsia="Book Antiqua" w:hAnsi="Book Antiqua" w:cs="Book Antiqua"/>
          <w:color w:val="000000"/>
        </w:rPr>
        <w:t xml:space="preserve"> (T2D)</w:t>
      </w:r>
      <w:bookmarkEnd w:id="37"/>
      <w:bookmarkEnd w:id="38"/>
      <w:r>
        <w:rPr>
          <w:rFonts w:ascii="Book Antiqua" w:eastAsia="Book Antiqua" w:hAnsi="Book Antiqua" w:cs="Book Antiqua"/>
          <w:color w:val="000000"/>
        </w:rPr>
        <w:t xml:space="preserve"> within 7-10 years after childbirth, compared with those with normoglycemic pregnancy. Although raised </w:t>
      </w:r>
      <w:bookmarkStart w:id="39" w:name="OLE_LINK38"/>
      <w:bookmarkStart w:id="40" w:name="OLE_LINK39"/>
      <w:r w:rsidR="0090683E">
        <w:rPr>
          <w:rFonts w:ascii="Book Antiqua" w:eastAsia="Book Antiqua" w:hAnsi="Book Antiqua" w:cs="Book Antiqua"/>
          <w:color w:val="000000"/>
        </w:rPr>
        <w:t>fasting blood glucose (FBG)</w:t>
      </w:r>
      <w:bookmarkEnd w:id="39"/>
      <w:bookmarkEnd w:id="40"/>
      <w:r w:rsidR="0090683E">
        <w:rPr>
          <w:rFonts w:ascii="Book Antiqua" w:eastAsia="Book Antiqua" w:hAnsi="Book Antiqua" w:cs="Book Antiqua"/>
          <w:color w:val="000000"/>
        </w:rPr>
        <w:t xml:space="preserve"> </w:t>
      </w:r>
      <w:r>
        <w:rPr>
          <w:rFonts w:ascii="Book Antiqua" w:eastAsia="Book Antiqua" w:hAnsi="Book Antiqua" w:cs="Book Antiqua"/>
          <w:color w:val="000000"/>
        </w:rPr>
        <w:t>levels has been said to be the main significant predictor of postpartum progression to T2D, it is difficult to predict who among the women with GDM would develop T2D. Therefore, we conducted a cross-sectional retrospective study to examine the glycemic indices that can predict postnatal T2D in Emirati Arab women with a history of GDM.</w:t>
      </w:r>
    </w:p>
    <w:bookmarkEnd w:id="32"/>
    <w:bookmarkEnd w:id="33"/>
    <w:p w14:paraId="07C6D9B8" w14:textId="77777777" w:rsidR="00A77B3E" w:rsidRDefault="00A77B3E">
      <w:pPr>
        <w:spacing w:line="360" w:lineRule="auto"/>
        <w:jc w:val="both"/>
      </w:pPr>
    </w:p>
    <w:p w14:paraId="729B1BB1" w14:textId="77777777" w:rsidR="00A77B3E" w:rsidRDefault="0015373B">
      <w:pPr>
        <w:spacing w:line="360" w:lineRule="auto"/>
        <w:jc w:val="both"/>
      </w:pPr>
      <w:r>
        <w:rPr>
          <w:rFonts w:ascii="Book Antiqua" w:eastAsia="Book Antiqua" w:hAnsi="Book Antiqua" w:cs="Book Antiqua"/>
          <w:color w:val="000000"/>
        </w:rPr>
        <w:t>AIM</w:t>
      </w:r>
    </w:p>
    <w:p w14:paraId="438249D0" w14:textId="77777777" w:rsidR="00A77B3E" w:rsidRDefault="0015373B">
      <w:pPr>
        <w:spacing w:line="360" w:lineRule="auto"/>
        <w:jc w:val="both"/>
      </w:pPr>
      <w:bookmarkStart w:id="41" w:name="OLE_LINK139"/>
      <w:bookmarkStart w:id="42" w:name="OLE_LINK140"/>
      <w:r>
        <w:rPr>
          <w:rFonts w:ascii="Book Antiqua" w:eastAsia="Book Antiqua" w:hAnsi="Book Antiqua" w:cs="Book Antiqua"/>
          <w:color w:val="000000"/>
        </w:rPr>
        <w:t xml:space="preserve">To assess how </w:t>
      </w:r>
      <w:bookmarkStart w:id="43" w:name="OLE_LINK24"/>
      <w:bookmarkStart w:id="44" w:name="OLE_LINK25"/>
      <w:r>
        <w:rPr>
          <w:rFonts w:ascii="Book Antiqua" w:eastAsia="Book Antiqua" w:hAnsi="Book Antiqua" w:cs="Book Antiqua"/>
          <w:color w:val="000000"/>
        </w:rPr>
        <w:t>oral glucose tolerance test</w:t>
      </w:r>
      <w:bookmarkEnd w:id="43"/>
      <w:bookmarkEnd w:id="44"/>
      <w:r>
        <w:rPr>
          <w:rFonts w:ascii="Book Antiqua" w:eastAsia="Book Antiqua" w:hAnsi="Book Antiqua" w:cs="Book Antiqua"/>
          <w:color w:val="000000"/>
        </w:rPr>
        <w:t xml:space="preserve"> (OGTT) can identify the distinct GDM pathophysiology and predict possible distinct postnatal T2D subtypes. </w:t>
      </w:r>
    </w:p>
    <w:bookmarkEnd w:id="41"/>
    <w:bookmarkEnd w:id="42"/>
    <w:p w14:paraId="78569BC8" w14:textId="77777777" w:rsidR="00A77B3E" w:rsidRDefault="00A77B3E">
      <w:pPr>
        <w:spacing w:line="360" w:lineRule="auto"/>
        <w:jc w:val="both"/>
      </w:pPr>
    </w:p>
    <w:p w14:paraId="2DA34516" w14:textId="77777777" w:rsidR="00A77B3E" w:rsidRDefault="0015373B">
      <w:pPr>
        <w:spacing w:line="360" w:lineRule="auto"/>
        <w:jc w:val="both"/>
      </w:pPr>
      <w:r>
        <w:rPr>
          <w:rFonts w:ascii="Book Antiqua" w:eastAsia="Book Antiqua" w:hAnsi="Book Antiqua" w:cs="Book Antiqua"/>
          <w:color w:val="000000"/>
        </w:rPr>
        <w:t>METHODS</w:t>
      </w:r>
    </w:p>
    <w:p w14:paraId="6B9E3987" w14:textId="77777777" w:rsidR="00A77B3E" w:rsidRDefault="0015373B">
      <w:pPr>
        <w:spacing w:line="360" w:lineRule="auto"/>
        <w:jc w:val="both"/>
      </w:pPr>
      <w:bookmarkStart w:id="45" w:name="OLE_LINK141"/>
      <w:bookmarkStart w:id="46" w:name="OLE_LINK142"/>
      <w:r>
        <w:rPr>
          <w:rFonts w:ascii="Book Antiqua" w:eastAsia="Book Antiqua" w:hAnsi="Book Antiqua" w:cs="Book Antiqua"/>
          <w:color w:val="000000"/>
        </w:rPr>
        <w:t xml:space="preserve">The glycemic status of a cohort of 4603 pregnant Emirati Arab women, who delivered in 2007 at both Latifa Women and Children Hospital and at Dubai Hospital, </w:t>
      </w:r>
      <w:bookmarkStart w:id="47" w:name="OLE_LINK36"/>
      <w:bookmarkStart w:id="48" w:name="OLE_LINK37"/>
      <w:r w:rsidR="00A2739D" w:rsidRPr="00A2739D">
        <w:rPr>
          <w:rFonts w:ascii="Book Antiqua" w:eastAsia="Book Antiqua" w:hAnsi="Book Antiqua" w:cs="Book Antiqua"/>
          <w:color w:val="000000"/>
        </w:rPr>
        <w:t>United Arab Emirates</w:t>
      </w:r>
      <w:bookmarkEnd w:id="47"/>
      <w:bookmarkEnd w:id="48"/>
      <w:r>
        <w:rPr>
          <w:rFonts w:ascii="Book Antiqua" w:eastAsia="Book Antiqua" w:hAnsi="Book Antiqua" w:cs="Book Antiqua"/>
          <w:color w:val="000000"/>
        </w:rPr>
        <w:t xml:space="preserve">, was assessed retrospectively, using the International Association of Diabetes and Pregnancy Study Groups (IADPSG) criteria. Of the total, 1231 women were followed up and assessed in 2016. The </w:t>
      </w:r>
      <w:bookmarkStart w:id="49" w:name="OLE_LINK30"/>
      <w:bookmarkStart w:id="50" w:name="OLE_LINK35"/>
      <w:r>
        <w:rPr>
          <w:rFonts w:ascii="Book Antiqua" w:eastAsia="Book Antiqua" w:hAnsi="Book Antiqua" w:cs="Book Antiqua"/>
          <w:color w:val="000000"/>
        </w:rPr>
        <w:t>FBG</w:t>
      </w:r>
      <w:bookmarkEnd w:id="49"/>
      <w:bookmarkEnd w:id="50"/>
      <w:r w:rsidR="00F75E05">
        <w:rPr>
          <w:rFonts w:ascii="Book Antiqua" w:eastAsia="Book Antiqua" w:hAnsi="Book Antiqua" w:cs="Book Antiqua"/>
          <w:color w:val="000000"/>
        </w:rPr>
        <w:t xml:space="preserve"> and/or the </w:t>
      </w:r>
      <w:bookmarkStart w:id="51" w:name="OLE_LINK31"/>
      <w:bookmarkStart w:id="52" w:name="OLE_LINK32"/>
      <w:r w:rsidR="00F75E05">
        <w:rPr>
          <w:rFonts w:ascii="Book Antiqua" w:eastAsia="Book Antiqua" w:hAnsi="Book Antiqua" w:cs="Book Antiqua"/>
          <w:color w:val="000000"/>
        </w:rPr>
        <w:t>2-h</w:t>
      </w:r>
      <w:r>
        <w:rPr>
          <w:rFonts w:ascii="Book Antiqua" w:eastAsia="Book Antiqua" w:hAnsi="Book Antiqua" w:cs="Book Antiqua"/>
          <w:color w:val="000000"/>
        </w:rPr>
        <w:t xml:space="preserve"> blood glucose (2hrBG)</w:t>
      </w:r>
      <w:bookmarkEnd w:id="51"/>
      <w:bookmarkEnd w:id="52"/>
      <w:r>
        <w:rPr>
          <w:rFonts w:ascii="Book Antiqua" w:eastAsia="Book Antiqua" w:hAnsi="Book Antiqua" w:cs="Book Antiqua"/>
          <w:color w:val="000000"/>
        </w:rPr>
        <w:t xml:space="preserve"> levels after a 75-g glucose load were measured to assess the prevalence of GDM and T2D, according to the IADPSG and American Diabetes </w:t>
      </w:r>
      <w:r w:rsidRPr="00A0572C">
        <w:rPr>
          <w:rFonts w:ascii="Book Antiqua" w:eastAsia="Book Antiqua" w:hAnsi="Book Antiqua" w:cs="Book Antiqua"/>
          <w:color w:val="000000"/>
        </w:rPr>
        <w:t>Association (ADA) criteria, respectively. The receiver operating characteristic curve for</w:t>
      </w:r>
      <w:r>
        <w:rPr>
          <w:rFonts w:ascii="Book Antiqua" w:eastAsia="Book Antiqua" w:hAnsi="Book Antiqua" w:cs="Book Antiqua"/>
          <w:color w:val="000000"/>
        </w:rPr>
        <w:t xml:space="preserve"> the OGTT was plotted and sensitivity, specificity, and predictive values of FBG and 2hrBG for T2D were determined.</w:t>
      </w:r>
    </w:p>
    <w:bookmarkEnd w:id="45"/>
    <w:bookmarkEnd w:id="46"/>
    <w:p w14:paraId="3011D665" w14:textId="77777777" w:rsidR="00A77B3E" w:rsidRDefault="00A77B3E">
      <w:pPr>
        <w:spacing w:line="360" w:lineRule="auto"/>
        <w:jc w:val="both"/>
      </w:pPr>
    </w:p>
    <w:p w14:paraId="375ABF54" w14:textId="77777777" w:rsidR="00A77B3E" w:rsidRDefault="0015373B">
      <w:pPr>
        <w:spacing w:line="360" w:lineRule="auto"/>
        <w:jc w:val="both"/>
      </w:pPr>
      <w:r>
        <w:rPr>
          <w:rFonts w:ascii="Book Antiqua" w:eastAsia="Book Antiqua" w:hAnsi="Book Antiqua" w:cs="Book Antiqua"/>
          <w:color w:val="000000"/>
        </w:rPr>
        <w:t>RESULTS</w:t>
      </w:r>
    </w:p>
    <w:p w14:paraId="2F6ABCCD" w14:textId="108F793C" w:rsidR="00A77B3E" w:rsidRDefault="0015373B">
      <w:pPr>
        <w:spacing w:line="360" w:lineRule="auto"/>
        <w:jc w:val="both"/>
      </w:pPr>
      <w:bookmarkStart w:id="53" w:name="OLE_LINK143"/>
      <w:bookmarkStart w:id="54" w:name="OLE_LINK144"/>
      <w:r>
        <w:rPr>
          <w:rFonts w:ascii="Book Antiqua" w:eastAsia="Book Antiqua" w:hAnsi="Book Antiqua" w:cs="Book Antiqua"/>
          <w:color w:val="000000"/>
        </w:rPr>
        <w:t xml:space="preserve">Considering both FBG and 2hrBG levels, according to the IADPSG criteria, the prevalence of GDM in pregnant Emirati women in 2007 was 1057/4603 (23%), while the </w:t>
      </w:r>
      <w:r>
        <w:rPr>
          <w:rFonts w:ascii="Book Antiqua" w:eastAsia="Book Antiqua" w:hAnsi="Book Antiqua" w:cs="Book Antiqua"/>
          <w:color w:val="000000"/>
        </w:rPr>
        <w:lastRenderedPageBreak/>
        <w:t>prevalence of pre-pregnancy T2D among them, based on ADA criteria, was 230/4603 (5%). In the subset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followed up in 2016, the prevalence of GDM in 2007 was 362/1231 (29.6%), while the prevalence of pre-pregnancy T2D was 36/1231 (2.9%). Of the 362 pregnant women with GDM in 2007, 96/362 (26.5%) developed T2D; 142/362 (39.2%) developed impaired fasting glucose; 29/362 (8.0%) developed impaired glucose tolerance, and the remaining 95/362 (26.2%) had normal glycemia in 2016. The prevalence of T2D, based on ADA criteria, stemmed from the prevalence of 36/1231 (2.9%) in 2007 to 141/1231 (11.5%), in 2016.</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w:t>
      </w:r>
      <w:r w:rsidR="00A0572C">
        <w:rPr>
          <w:rFonts w:ascii="Book Antiqua" w:eastAsia="Book Antiqua" w:hAnsi="Book Antiqua" w:cs="Book Antiqua"/>
          <w:color w:val="000000"/>
        </w:rPr>
        <w:t>positive predictive val</w:t>
      </w:r>
      <w:r>
        <w:rPr>
          <w:rFonts w:ascii="Book Antiqua" w:eastAsia="Book Antiqua" w:hAnsi="Book Antiqua" w:cs="Book Antiqua"/>
          <w:color w:val="000000"/>
        </w:rPr>
        <w:t xml:space="preserve">ue (PPV) for FBG suggests that if a woman tested positive for GDM in 2007, the probability of developing T2D in 2016 was approximately 24%. The opposite was observed when 2hrBG was used for diagnosis. The PPV value </w:t>
      </w:r>
      <w:r w:rsidR="009D1477">
        <w:rPr>
          <w:rFonts w:ascii="Book Antiqua" w:eastAsia="Book Antiqua" w:hAnsi="Book Antiqua" w:cs="Book Antiqua"/>
          <w:color w:val="000000"/>
        </w:rPr>
        <w:t xml:space="preserve">for 2hrBG </w:t>
      </w:r>
      <w:r>
        <w:rPr>
          <w:rFonts w:ascii="Book Antiqua" w:eastAsia="Book Antiqua" w:hAnsi="Book Antiqua" w:cs="Book Antiqua"/>
          <w:color w:val="000000"/>
        </w:rPr>
        <w:t>suggests that if a woman was positive for GDM in 2007 then the probability of developing T2D in 2016 was only 3%.</w:t>
      </w:r>
    </w:p>
    <w:p w14:paraId="2CD9E2A9" w14:textId="77777777" w:rsidR="00A77B3E" w:rsidRDefault="00A77B3E">
      <w:pPr>
        <w:spacing w:line="360" w:lineRule="auto"/>
        <w:jc w:val="both"/>
      </w:pPr>
    </w:p>
    <w:bookmarkEnd w:id="53"/>
    <w:bookmarkEnd w:id="54"/>
    <w:p w14:paraId="3DD92D3C" w14:textId="77777777" w:rsidR="00A77B3E" w:rsidRDefault="0015373B">
      <w:pPr>
        <w:spacing w:line="360" w:lineRule="auto"/>
        <w:jc w:val="both"/>
      </w:pPr>
      <w:r>
        <w:rPr>
          <w:rFonts w:ascii="Book Antiqua" w:eastAsia="Book Antiqua" w:hAnsi="Book Antiqua" w:cs="Book Antiqua"/>
          <w:color w:val="000000"/>
        </w:rPr>
        <w:t>CONCLUSION</w:t>
      </w:r>
    </w:p>
    <w:p w14:paraId="4FA92758" w14:textId="77777777" w:rsidR="00A77B3E" w:rsidRDefault="0015373B">
      <w:pPr>
        <w:spacing w:line="360" w:lineRule="auto"/>
        <w:jc w:val="both"/>
      </w:pPr>
      <w:bookmarkStart w:id="55" w:name="OLE_LINK145"/>
      <w:bookmarkStart w:id="56" w:name="OLE_LINK146"/>
      <w:r>
        <w:rPr>
          <w:rFonts w:ascii="Book Antiqua" w:eastAsia="Book Antiqua" w:hAnsi="Book Antiqua" w:cs="Book Antiqua"/>
          <w:color w:val="000000"/>
        </w:rPr>
        <w:t>FBG and 2hrBG could predict postpartum T2D, following antenatal GDM. However, each test reflects different pathophysiology and possible T2D subtype and could be matched with a relevant T2D prevention program.</w:t>
      </w:r>
    </w:p>
    <w:bookmarkEnd w:id="55"/>
    <w:bookmarkEnd w:id="56"/>
    <w:p w14:paraId="27573EED" w14:textId="77777777" w:rsidR="00A77B3E" w:rsidRDefault="00A77B3E">
      <w:pPr>
        <w:spacing w:line="360" w:lineRule="auto"/>
        <w:jc w:val="both"/>
      </w:pPr>
    </w:p>
    <w:p w14:paraId="5915C969" w14:textId="77777777" w:rsidR="00A77B3E" w:rsidRDefault="0015373B">
      <w:pPr>
        <w:spacing w:line="360" w:lineRule="auto"/>
        <w:jc w:val="both"/>
      </w:pPr>
      <w:r>
        <w:rPr>
          <w:rFonts w:ascii="Book Antiqua" w:eastAsia="Book Antiqua" w:hAnsi="Book Antiqua" w:cs="Book Antiqua"/>
          <w:b/>
          <w:bCs/>
          <w:color w:val="000000"/>
        </w:rPr>
        <w:t xml:space="preserve">Key Words: </w:t>
      </w:r>
      <w:bookmarkStart w:id="57" w:name="OLE_LINK123"/>
      <w:bookmarkStart w:id="58" w:name="OLE_LINK124"/>
      <w:bookmarkStart w:id="59" w:name="OLE_LINK134"/>
      <w:r w:rsidR="00CE064F">
        <w:rPr>
          <w:rFonts w:ascii="Book Antiqua" w:hAnsi="Book Antiqua" w:cs="Book Antiqua" w:hint="eastAsia"/>
          <w:color w:val="000000"/>
          <w:lang w:eastAsia="zh-CN"/>
        </w:rPr>
        <w:t>T</w:t>
      </w:r>
      <w:r w:rsidR="00CE064F">
        <w:rPr>
          <w:rFonts w:ascii="Book Antiqua" w:eastAsia="Book Antiqua" w:hAnsi="Book Antiqua" w:cs="Book Antiqua"/>
          <w:color w:val="000000"/>
        </w:rPr>
        <w:t>ype 2 diabetes</w:t>
      </w:r>
      <w:r>
        <w:rPr>
          <w:rFonts w:ascii="Book Antiqua" w:eastAsia="Book Antiqua" w:hAnsi="Book Antiqua" w:cs="Book Antiqua"/>
          <w:color w:val="000000"/>
        </w:rPr>
        <w:t xml:space="preserve">; </w:t>
      </w:r>
      <w:r w:rsidR="00CE064F">
        <w:rPr>
          <w:rFonts w:ascii="Book Antiqua" w:hAnsi="Book Antiqua" w:cs="Book Antiqua" w:hint="eastAsia"/>
          <w:color w:val="000000"/>
          <w:lang w:eastAsia="zh-CN"/>
        </w:rPr>
        <w:t>T</w:t>
      </w:r>
      <w:r w:rsidR="00CE064F">
        <w:rPr>
          <w:rFonts w:ascii="Book Antiqua" w:eastAsia="Book Antiqua" w:hAnsi="Book Antiqua" w:cs="Book Antiqua"/>
          <w:color w:val="000000"/>
        </w:rPr>
        <w:t xml:space="preserve">ype 2 diabetes </w:t>
      </w:r>
      <w:r>
        <w:rPr>
          <w:rFonts w:ascii="Book Antiqua" w:eastAsia="Book Antiqua" w:hAnsi="Book Antiqua" w:cs="Book Antiqua"/>
          <w:color w:val="000000"/>
        </w:rPr>
        <w:t xml:space="preserve">subtypes; </w:t>
      </w:r>
      <w:r w:rsidR="00CE064F">
        <w:rPr>
          <w:rFonts w:ascii="Book Antiqua" w:hAnsi="Book Antiqua" w:cs="Book Antiqua" w:hint="eastAsia"/>
          <w:color w:val="000000"/>
          <w:lang w:eastAsia="zh-CN"/>
        </w:rPr>
        <w:t>O</w:t>
      </w:r>
      <w:r w:rsidR="00CE064F">
        <w:rPr>
          <w:rFonts w:ascii="Book Antiqua" w:eastAsia="Book Antiqua" w:hAnsi="Book Antiqua" w:cs="Book Antiqua"/>
          <w:color w:val="000000"/>
        </w:rPr>
        <w:t>ral glucose tolerance test</w:t>
      </w:r>
      <w:r>
        <w:rPr>
          <w:rFonts w:ascii="Book Antiqua" w:eastAsia="Book Antiqua" w:hAnsi="Book Antiqua" w:cs="Book Antiqua"/>
          <w:color w:val="000000"/>
        </w:rPr>
        <w:t xml:space="preserve">; Diabetes; </w:t>
      </w:r>
      <w:bookmarkStart w:id="60" w:name="OLE_LINK28"/>
      <w:bookmarkStart w:id="61" w:name="OLE_LINK29"/>
      <w:r w:rsidR="00CE064F">
        <w:rPr>
          <w:rFonts w:ascii="Book Antiqua" w:hAnsi="Book Antiqua" w:cs="Book Antiqua" w:hint="eastAsia"/>
          <w:color w:val="000000"/>
          <w:lang w:eastAsia="zh-CN"/>
        </w:rPr>
        <w:t>G</w:t>
      </w:r>
      <w:r w:rsidR="00CE064F">
        <w:rPr>
          <w:rFonts w:ascii="Book Antiqua" w:eastAsia="Book Antiqua" w:hAnsi="Book Antiqua" w:cs="Book Antiqua"/>
          <w:color w:val="000000"/>
        </w:rPr>
        <w:t>estational diabetes mellitus</w:t>
      </w:r>
      <w:bookmarkEnd w:id="60"/>
      <w:bookmarkEnd w:id="61"/>
      <w:r w:rsidR="00CE064F">
        <w:rPr>
          <w:rFonts w:ascii="Book Antiqua" w:eastAsia="Book Antiqua" w:hAnsi="Book Antiqua" w:cs="Book Antiqua"/>
          <w:color w:val="000000"/>
        </w:rPr>
        <w:t xml:space="preserve"> </w:t>
      </w:r>
      <w:r>
        <w:rPr>
          <w:rFonts w:ascii="Book Antiqua" w:eastAsia="Book Antiqua" w:hAnsi="Book Antiqua" w:cs="Book Antiqua"/>
          <w:color w:val="000000"/>
        </w:rPr>
        <w:t>subtypes</w:t>
      </w:r>
      <w:bookmarkEnd w:id="57"/>
      <w:bookmarkEnd w:id="58"/>
      <w:bookmarkEnd w:id="59"/>
    </w:p>
    <w:p w14:paraId="0DB5A790" w14:textId="77777777" w:rsidR="00DF3180" w:rsidRDefault="00DF3180" w:rsidP="00DF3180">
      <w:pPr>
        <w:rPr>
          <w:rFonts w:asciiTheme="minorEastAsia" w:hAnsiTheme="minorEastAsia"/>
          <w:b/>
        </w:rPr>
      </w:pPr>
    </w:p>
    <w:p w14:paraId="0CE9FD5B" w14:textId="77777777" w:rsidR="00DF3180" w:rsidRDefault="00DF3180" w:rsidP="00DF3180">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3DCADA4" w14:textId="77777777" w:rsidR="00A77B3E" w:rsidRDefault="00A77B3E">
      <w:pPr>
        <w:spacing w:line="360" w:lineRule="auto"/>
        <w:jc w:val="both"/>
      </w:pPr>
    </w:p>
    <w:p w14:paraId="63609348" w14:textId="0EF46C1D" w:rsidR="000D47FA" w:rsidRDefault="000D47FA" w:rsidP="00C2781E">
      <w:pPr>
        <w:spacing w:line="360" w:lineRule="auto"/>
        <w:rPr>
          <w:rFonts w:ascii="Book Antiqua" w:eastAsia="等线" w:hAnsi="Book Antiqua"/>
          <w:color w:val="000000"/>
        </w:rPr>
      </w:pPr>
      <w:bookmarkStart w:id="62" w:name="OLE_LINK1"/>
      <w:bookmarkStart w:id="63" w:name="OLE_LINK2"/>
      <w:bookmarkStart w:id="64" w:name="OLE_LINK125"/>
      <w:bookmarkStart w:id="65" w:name="OLE_LINK126"/>
      <w:r>
        <w:rPr>
          <w:rFonts w:ascii="Book Antiqua" w:eastAsia="Book Antiqua" w:hAnsi="Book Antiqua" w:cs="Book Antiqua"/>
          <w:b/>
          <w:bCs/>
        </w:rPr>
        <w:t xml:space="preserve">Citation: </w:t>
      </w:r>
      <w:proofErr w:type="spellStart"/>
      <w:r w:rsidR="0015373B">
        <w:rPr>
          <w:rFonts w:ascii="Book Antiqua" w:eastAsia="Book Antiqua" w:hAnsi="Book Antiqua" w:cs="Book Antiqua"/>
          <w:color w:val="000000"/>
        </w:rPr>
        <w:t>Bayoumi</w:t>
      </w:r>
      <w:proofErr w:type="spellEnd"/>
      <w:r w:rsidR="0015373B">
        <w:rPr>
          <w:rFonts w:ascii="Book Antiqua" w:eastAsia="Book Antiqua" w:hAnsi="Book Antiqua" w:cs="Book Antiqua"/>
          <w:color w:val="000000"/>
        </w:rPr>
        <w:t xml:space="preserve"> RAL</w:t>
      </w:r>
      <w:bookmarkEnd w:id="62"/>
      <w:bookmarkEnd w:id="63"/>
      <w:r w:rsidR="0015373B">
        <w:rPr>
          <w:rFonts w:ascii="Book Antiqua" w:eastAsia="Book Antiqua" w:hAnsi="Book Antiqua" w:cs="Book Antiqua"/>
          <w:color w:val="000000"/>
        </w:rPr>
        <w:t xml:space="preserve">, Khamis AH, </w:t>
      </w:r>
      <w:proofErr w:type="spellStart"/>
      <w:r w:rsidR="0015373B">
        <w:rPr>
          <w:rFonts w:ascii="Book Antiqua" w:eastAsia="Book Antiqua" w:hAnsi="Book Antiqua" w:cs="Book Antiqua"/>
          <w:color w:val="000000"/>
        </w:rPr>
        <w:t>Tahlak</w:t>
      </w:r>
      <w:proofErr w:type="spellEnd"/>
      <w:r w:rsidR="0015373B">
        <w:rPr>
          <w:rFonts w:ascii="Book Antiqua" w:eastAsia="Book Antiqua" w:hAnsi="Book Antiqua" w:cs="Book Antiqua"/>
          <w:color w:val="000000"/>
        </w:rPr>
        <w:t xml:space="preserve"> MA, </w:t>
      </w:r>
      <w:proofErr w:type="spellStart"/>
      <w:r w:rsidR="0015373B">
        <w:rPr>
          <w:rFonts w:ascii="Book Antiqua" w:eastAsia="Book Antiqua" w:hAnsi="Book Antiqua" w:cs="Book Antiqua"/>
          <w:color w:val="000000"/>
        </w:rPr>
        <w:t>Elgergawi</w:t>
      </w:r>
      <w:proofErr w:type="spellEnd"/>
      <w:r w:rsidR="0015373B">
        <w:rPr>
          <w:rFonts w:ascii="Book Antiqua" w:eastAsia="Book Antiqua" w:hAnsi="Book Antiqua" w:cs="Book Antiqua"/>
          <w:color w:val="000000"/>
        </w:rPr>
        <w:t xml:space="preserve"> TF, </w:t>
      </w:r>
      <w:proofErr w:type="spellStart"/>
      <w:r w:rsidR="0015373B">
        <w:rPr>
          <w:rFonts w:ascii="Book Antiqua" w:eastAsia="Book Antiqua" w:hAnsi="Book Antiqua" w:cs="Book Antiqua"/>
          <w:color w:val="000000"/>
        </w:rPr>
        <w:t>Harb</w:t>
      </w:r>
      <w:proofErr w:type="spellEnd"/>
      <w:r w:rsidR="0015373B">
        <w:rPr>
          <w:rFonts w:ascii="Book Antiqua" w:eastAsia="Book Antiqua" w:hAnsi="Book Antiqua" w:cs="Book Antiqua"/>
          <w:color w:val="000000"/>
        </w:rPr>
        <w:t xml:space="preserve"> DK, </w:t>
      </w:r>
      <w:proofErr w:type="spellStart"/>
      <w:r w:rsidR="0015373B">
        <w:rPr>
          <w:rFonts w:ascii="Book Antiqua" w:eastAsia="Book Antiqua" w:hAnsi="Book Antiqua" w:cs="Book Antiqua"/>
          <w:color w:val="000000"/>
        </w:rPr>
        <w:t>Hazari</w:t>
      </w:r>
      <w:proofErr w:type="spellEnd"/>
      <w:r w:rsidR="0015373B">
        <w:rPr>
          <w:rFonts w:ascii="Book Antiqua" w:eastAsia="Book Antiqua" w:hAnsi="Book Antiqua" w:cs="Book Antiqua"/>
          <w:color w:val="000000"/>
        </w:rPr>
        <w:t xml:space="preserve"> KS, </w:t>
      </w:r>
      <w:proofErr w:type="spellStart"/>
      <w:r w:rsidR="0015373B">
        <w:rPr>
          <w:rFonts w:ascii="Book Antiqua" w:eastAsia="Book Antiqua" w:hAnsi="Book Antiqua" w:cs="Book Antiqua"/>
          <w:color w:val="000000"/>
        </w:rPr>
        <w:t>Abdelkareem</w:t>
      </w:r>
      <w:proofErr w:type="spellEnd"/>
      <w:r w:rsidR="0015373B">
        <w:rPr>
          <w:rFonts w:ascii="Book Antiqua" w:eastAsia="Book Antiqua" w:hAnsi="Book Antiqua" w:cs="Book Antiqua"/>
          <w:color w:val="000000"/>
        </w:rPr>
        <w:t xml:space="preserve"> WA, Issa AO, Choudhury R, </w:t>
      </w:r>
      <w:proofErr w:type="spellStart"/>
      <w:r w:rsidR="0015373B">
        <w:rPr>
          <w:rFonts w:ascii="Book Antiqua" w:eastAsia="Book Antiqua" w:hAnsi="Book Antiqua" w:cs="Book Antiqua"/>
          <w:color w:val="000000"/>
        </w:rPr>
        <w:t>Hassanein</w:t>
      </w:r>
      <w:proofErr w:type="spellEnd"/>
      <w:r w:rsidR="0015373B">
        <w:rPr>
          <w:rFonts w:ascii="Book Antiqua" w:eastAsia="Book Antiqua" w:hAnsi="Book Antiqua" w:cs="Book Antiqua"/>
          <w:color w:val="000000"/>
        </w:rPr>
        <w:t xml:space="preserve"> M, Lakshmanan J, </w:t>
      </w:r>
      <w:proofErr w:type="spellStart"/>
      <w:r w:rsidR="0015373B">
        <w:rPr>
          <w:rFonts w:ascii="Book Antiqua" w:eastAsia="Book Antiqua" w:hAnsi="Book Antiqua" w:cs="Book Antiqua"/>
          <w:color w:val="000000"/>
        </w:rPr>
        <w:t>Alawadi</w:t>
      </w:r>
      <w:proofErr w:type="spellEnd"/>
      <w:r w:rsidR="0015373B">
        <w:rPr>
          <w:rFonts w:ascii="Book Antiqua" w:eastAsia="Book Antiqua" w:hAnsi="Book Antiqua" w:cs="Book Antiqua"/>
          <w:color w:val="000000"/>
        </w:rPr>
        <w:t xml:space="preserve"> F. Utility of</w:t>
      </w:r>
      <w:r w:rsidR="00B2652C">
        <w:rPr>
          <w:rFonts w:ascii="Book Antiqua" w:eastAsia="Book Antiqua" w:hAnsi="Book Antiqua" w:cs="Book Antiqua"/>
          <w:color w:val="000000"/>
        </w:rPr>
        <w:t xml:space="preserve"> oral glucose tolerance test in predicting type 2 diabetes following gestational dia</w:t>
      </w:r>
      <w:r w:rsidR="0015373B">
        <w:rPr>
          <w:rFonts w:ascii="Book Antiqua" w:eastAsia="Book Antiqua" w:hAnsi="Book Antiqua" w:cs="Book Antiqua"/>
          <w:color w:val="000000"/>
        </w:rPr>
        <w:t xml:space="preserve">betes: Towards </w:t>
      </w:r>
      <w:r w:rsidR="00B2652C">
        <w:rPr>
          <w:rFonts w:ascii="Book Antiqua" w:eastAsia="Book Antiqua" w:hAnsi="Book Antiqua" w:cs="Book Antiqua"/>
          <w:color w:val="000000"/>
        </w:rPr>
        <w:t>personalized car</w:t>
      </w:r>
      <w:r w:rsidR="0015373B">
        <w:rPr>
          <w:rFonts w:ascii="Book Antiqua" w:eastAsia="Book Antiqua" w:hAnsi="Book Antiqua" w:cs="Book Antiqua"/>
          <w:color w:val="000000"/>
        </w:rPr>
        <w:t xml:space="preserve">e. </w:t>
      </w:r>
      <w:r w:rsidR="0015373B">
        <w:rPr>
          <w:rFonts w:ascii="Book Antiqua" w:eastAsia="Book Antiqua" w:hAnsi="Book Antiqua" w:cs="Book Antiqua"/>
          <w:i/>
          <w:iCs/>
          <w:color w:val="000000"/>
        </w:rPr>
        <w:t>World J Diabetes</w:t>
      </w:r>
      <w:r w:rsidR="0015373B">
        <w:rPr>
          <w:rFonts w:ascii="Book Antiqua" w:eastAsia="Book Antiqua" w:hAnsi="Book Antiqua" w:cs="Book Antiqua"/>
          <w:color w:val="000000"/>
        </w:rPr>
        <w:t xml:space="preserve"> </w:t>
      </w:r>
      <w:bookmarkEnd w:id="64"/>
      <w:bookmarkEnd w:id="65"/>
      <w:r w:rsidR="00C2781E" w:rsidRPr="00E83C3D">
        <w:rPr>
          <w:rFonts w:ascii="Book Antiqua" w:eastAsia="宋体" w:hAnsi="Book Antiqua" w:cs="宋体"/>
          <w:color w:val="333333"/>
          <w:lang w:val="pt-BR"/>
        </w:rPr>
        <w:t>202</w:t>
      </w:r>
      <w:r w:rsidR="00C2781E">
        <w:rPr>
          <w:rFonts w:ascii="Book Antiqua" w:eastAsia="宋体" w:hAnsi="Book Antiqua" w:cs="宋体"/>
          <w:color w:val="333333"/>
          <w:lang w:val="pt-BR"/>
        </w:rPr>
        <w:t>1</w:t>
      </w:r>
      <w:r w:rsidR="00C2781E" w:rsidRPr="00E83C3D">
        <w:rPr>
          <w:rFonts w:ascii="Book Antiqua" w:eastAsia="宋体" w:hAnsi="Book Antiqua" w:cs="宋体"/>
          <w:color w:val="333333"/>
          <w:lang w:val="pt-BR"/>
        </w:rPr>
        <w:t xml:space="preserve">; </w:t>
      </w:r>
      <w:r w:rsidR="00C2781E">
        <w:rPr>
          <w:rFonts w:ascii="Book Antiqua" w:eastAsia="宋体" w:hAnsi="Book Antiqua" w:cs="宋体"/>
          <w:color w:val="333333"/>
          <w:lang w:val="pt-BR"/>
        </w:rPr>
        <w:t>12</w:t>
      </w:r>
      <w:r w:rsidR="00C2781E" w:rsidRPr="00E83C3D">
        <w:rPr>
          <w:rFonts w:ascii="Book Antiqua" w:eastAsia="宋体" w:hAnsi="Book Antiqua" w:cs="宋体"/>
          <w:color w:val="333333"/>
          <w:lang w:val="pt-BR"/>
        </w:rPr>
        <w:t>(</w:t>
      </w:r>
      <w:r w:rsidR="00C2781E">
        <w:rPr>
          <w:rFonts w:ascii="Book Antiqua" w:eastAsia="宋体" w:hAnsi="Book Antiqua" w:cs="宋体"/>
          <w:color w:val="333333"/>
          <w:lang w:val="pt-BR"/>
        </w:rPr>
        <w:t>10</w:t>
      </w:r>
      <w:r w:rsidR="00C2781E" w:rsidRPr="00E83C3D">
        <w:rPr>
          <w:rFonts w:ascii="Book Antiqua" w:eastAsia="宋体" w:hAnsi="Book Antiqua" w:cs="宋体"/>
          <w:color w:val="333333"/>
          <w:lang w:val="pt-BR"/>
        </w:rPr>
        <w:t xml:space="preserve">): </w:t>
      </w:r>
      <w:r w:rsidR="00064AB0">
        <w:rPr>
          <w:rFonts w:ascii="Book Antiqua" w:eastAsia="等线" w:hAnsi="Book Antiqua"/>
          <w:color w:val="000000"/>
        </w:rPr>
        <w:t>1778</w:t>
      </w:r>
      <w:r w:rsidR="00C2781E" w:rsidRPr="00E83C3D">
        <w:rPr>
          <w:rFonts w:ascii="Book Antiqua" w:eastAsia="宋体" w:hAnsi="Book Antiqua" w:cs="宋体"/>
          <w:color w:val="333333"/>
          <w:lang w:val="pt-BR"/>
        </w:rPr>
        <w:t>-</w:t>
      </w:r>
      <w:r w:rsidR="00046B49">
        <w:rPr>
          <w:rFonts w:ascii="Book Antiqua" w:eastAsia="等线" w:hAnsi="Book Antiqua"/>
          <w:color w:val="000000"/>
        </w:rPr>
        <w:t>1788</w:t>
      </w:r>
      <w:r w:rsidR="00046B49">
        <w:rPr>
          <w:rFonts w:ascii="Book Antiqua" w:eastAsia="等线" w:hAnsi="Book Antiqua"/>
          <w:color w:val="000000"/>
        </w:rPr>
        <w:t xml:space="preserve"> </w:t>
      </w:r>
    </w:p>
    <w:p w14:paraId="781BAA5D" w14:textId="7FDD4889" w:rsidR="000D47FA" w:rsidRDefault="00C2781E" w:rsidP="00C2781E">
      <w:pPr>
        <w:spacing w:line="360" w:lineRule="auto"/>
        <w:rPr>
          <w:rFonts w:ascii="Book Antiqua" w:eastAsia="宋体" w:hAnsi="Book Antiqua" w:cs="宋体"/>
          <w:color w:val="333333"/>
          <w:lang w:val="pt-BR"/>
        </w:rPr>
      </w:pPr>
      <w:r w:rsidRPr="000D47FA">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w:t>
      </w:r>
      <w:r w:rsidR="000D47FA" w:rsidRPr="000D47FA">
        <w:rPr>
          <w:rFonts w:ascii="Book Antiqua" w:eastAsia="宋体" w:hAnsi="Book Antiqua" w:cs="宋体"/>
          <w:color w:val="333333"/>
          <w:lang w:val="pt-BR"/>
        </w:rPr>
        <w:t>https://www.wjgnet.com/1948-9358/full/v12/i10/</w:t>
      </w:r>
      <w:r w:rsidR="000D47FA" w:rsidRPr="000D47FA">
        <w:rPr>
          <w:rFonts w:ascii="Book Antiqua" w:eastAsia="等线" w:hAnsi="Book Antiqua"/>
          <w:color w:val="333333"/>
        </w:rPr>
        <w:t>1778</w:t>
      </w:r>
      <w:r w:rsidR="000D47FA" w:rsidRPr="000D47FA">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p>
    <w:p w14:paraId="0D4AC918" w14:textId="0AFF1D82" w:rsidR="00C2781E" w:rsidRPr="00E83C3D" w:rsidRDefault="00C2781E" w:rsidP="00C2781E">
      <w:pPr>
        <w:spacing w:line="360" w:lineRule="auto"/>
        <w:rPr>
          <w:rFonts w:ascii="Book Antiqua" w:eastAsia="宋体" w:hAnsi="Book Antiqua" w:cs="宋体"/>
          <w:color w:val="333333"/>
          <w:lang w:val="pt-BR"/>
        </w:rPr>
      </w:pPr>
      <w:r w:rsidRPr="000D47FA">
        <w:rPr>
          <w:rFonts w:ascii="Book Antiqua" w:eastAsia="宋体" w:hAnsi="Book Antiqua" w:cs="宋体"/>
          <w:b/>
          <w:bCs/>
          <w:color w:val="333333"/>
          <w:lang w:val="pt-BR"/>
        </w:rPr>
        <w:lastRenderedPageBreak/>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sidR="00064AB0">
        <w:rPr>
          <w:rFonts w:ascii="Book Antiqua" w:eastAsia="等线" w:hAnsi="Book Antiqua"/>
          <w:color w:val="000000"/>
        </w:rPr>
        <w:t>1778</w:t>
      </w:r>
    </w:p>
    <w:p w14:paraId="3CF74782" w14:textId="09115F23" w:rsidR="00A77B3E" w:rsidRPr="00C2781E" w:rsidRDefault="00A77B3E">
      <w:pPr>
        <w:spacing w:line="360" w:lineRule="auto"/>
        <w:jc w:val="both"/>
        <w:rPr>
          <w:lang w:val="pt-BR"/>
        </w:rPr>
      </w:pPr>
    </w:p>
    <w:p w14:paraId="757F2502" w14:textId="77777777" w:rsidR="00A77B3E" w:rsidRDefault="0015373B">
      <w:pPr>
        <w:spacing w:line="360" w:lineRule="auto"/>
        <w:jc w:val="both"/>
      </w:pPr>
      <w:r>
        <w:rPr>
          <w:rFonts w:ascii="Book Antiqua" w:eastAsia="Book Antiqua" w:hAnsi="Book Antiqua" w:cs="Book Antiqua"/>
          <w:b/>
          <w:bCs/>
          <w:color w:val="000000"/>
        </w:rPr>
        <w:t xml:space="preserve">Core Tip: </w:t>
      </w:r>
      <w:bookmarkStart w:id="66" w:name="OLE_LINK135"/>
      <w:bookmarkStart w:id="67" w:name="OLE_LINK136"/>
      <w:r>
        <w:rPr>
          <w:rFonts w:ascii="Book Antiqua" w:eastAsia="Book Antiqua" w:hAnsi="Book Antiqua" w:cs="Book Antiqua"/>
          <w:color w:val="000000"/>
        </w:rPr>
        <w:t xml:space="preserve">The oral glucose tolerance test (OGTT) remains the gold standard for assessing the risk of postnatal diabetes in women with </w:t>
      </w:r>
      <w:r w:rsidR="00F75E05">
        <w:rPr>
          <w:rFonts w:ascii="Book Antiqua" w:hAnsi="Book Antiqua" w:cs="Book Antiqua" w:hint="eastAsia"/>
          <w:color w:val="000000"/>
          <w:lang w:eastAsia="zh-CN"/>
        </w:rPr>
        <w:t>g</w:t>
      </w:r>
      <w:r w:rsidR="00F75E05">
        <w:rPr>
          <w:rFonts w:ascii="Book Antiqua" w:eastAsia="Book Antiqua" w:hAnsi="Book Antiqua" w:cs="Book Antiqua"/>
          <w:color w:val="000000"/>
        </w:rPr>
        <w:t xml:space="preserve">estational diabetes mellitus </w:t>
      </w:r>
      <w:r w:rsidR="00F75E05">
        <w:rPr>
          <w:rFonts w:ascii="Book Antiqua" w:hAnsi="Book Antiqua" w:cs="Book Antiqua" w:hint="eastAsia"/>
          <w:color w:val="000000"/>
          <w:lang w:eastAsia="zh-CN"/>
        </w:rPr>
        <w:t>(</w:t>
      </w:r>
      <w:r>
        <w:rPr>
          <w:rFonts w:ascii="Book Antiqua" w:eastAsia="Book Antiqua" w:hAnsi="Book Antiqua" w:cs="Book Antiqua"/>
          <w:color w:val="000000"/>
        </w:rPr>
        <w:t>GDM</w:t>
      </w:r>
      <w:r w:rsidR="00F75E05">
        <w:rPr>
          <w:rFonts w:ascii="Book Antiqua" w:hAnsi="Book Antiqua" w:cs="Book Antiqua" w:hint="eastAsia"/>
          <w:color w:val="000000"/>
          <w:lang w:eastAsia="zh-CN"/>
        </w:rPr>
        <w:t>)</w:t>
      </w:r>
      <w:r>
        <w:rPr>
          <w:rFonts w:ascii="Book Antiqua" w:eastAsia="Book Antiqua" w:hAnsi="Book Antiqua" w:cs="Book Antiqua"/>
          <w:color w:val="000000"/>
        </w:rPr>
        <w:t xml:space="preserve">. Both the </w:t>
      </w:r>
      <w:r w:rsidR="00F75E05">
        <w:rPr>
          <w:rFonts w:ascii="Book Antiqua" w:eastAsia="Book Antiqua" w:hAnsi="Book Antiqua" w:cs="Book Antiqua"/>
          <w:color w:val="000000"/>
        </w:rPr>
        <w:t>fasting blood glucose</w:t>
      </w:r>
      <w:r w:rsidR="00F75E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F75E05">
        <w:rPr>
          <w:rFonts w:ascii="Book Antiqua" w:eastAsia="Book Antiqua" w:hAnsi="Book Antiqua" w:cs="Book Antiqua"/>
          <w:color w:val="000000"/>
        </w:rPr>
        <w:t xml:space="preserve">2-h blood glucose </w:t>
      </w:r>
      <w:r>
        <w:rPr>
          <w:rFonts w:ascii="Book Antiqua" w:eastAsia="Book Antiqua" w:hAnsi="Book Antiqua" w:cs="Book Antiqua"/>
          <w:color w:val="000000"/>
        </w:rPr>
        <w:t>tests could predict postpartum abnormal glycemic status following antenatal GDM. However, each test reflects a different pathophysiology and possible subtype of</w:t>
      </w:r>
      <w:r w:rsidR="00F75E05" w:rsidRPr="00F75E05">
        <w:rPr>
          <w:rFonts w:ascii="Book Antiqua" w:eastAsia="Book Antiqua" w:hAnsi="Book Antiqua" w:cs="Book Antiqua"/>
          <w:color w:val="000000"/>
        </w:rPr>
        <w:t xml:space="preserve"> </w:t>
      </w:r>
      <w:r w:rsidR="00F75E05">
        <w:rPr>
          <w:rFonts w:ascii="Book Antiqua" w:eastAsia="Book Antiqua" w:hAnsi="Book Antiqua" w:cs="Book Antiqua"/>
          <w:color w:val="000000"/>
        </w:rPr>
        <w:t>type 2 diabetes (T2D)</w:t>
      </w:r>
      <w:r>
        <w:rPr>
          <w:rFonts w:ascii="Book Antiqua" w:eastAsia="Book Antiqua" w:hAnsi="Book Antiqua" w:cs="Book Antiqua"/>
          <w:color w:val="000000"/>
        </w:rPr>
        <w:t>. If fasting serum insulin measurements are added to an OGTT, additional data generated could distinguish T2D pathophysiology and possible subtypes. Information obtained could be used to match the T2D subtype with relevant prevention programs such as frequent follow-ups, lifestyle modifications, and new treatment protocols.</w:t>
      </w:r>
    </w:p>
    <w:bookmarkEnd w:id="66"/>
    <w:bookmarkEnd w:id="67"/>
    <w:p w14:paraId="29BBB550" w14:textId="77777777" w:rsidR="00A77B3E" w:rsidRDefault="00A77B3E">
      <w:pPr>
        <w:spacing w:line="360" w:lineRule="auto"/>
        <w:jc w:val="both"/>
      </w:pPr>
    </w:p>
    <w:p w14:paraId="21279402" w14:textId="77777777" w:rsidR="00A77B3E" w:rsidRDefault="007B0337">
      <w:pPr>
        <w:spacing w:line="360" w:lineRule="auto"/>
        <w:jc w:val="both"/>
      </w:pPr>
      <w:r>
        <w:rPr>
          <w:rFonts w:ascii="Book Antiqua" w:eastAsia="Book Antiqua" w:hAnsi="Book Antiqua" w:cs="Book Antiqua"/>
          <w:b/>
          <w:caps/>
          <w:color w:val="000000"/>
          <w:u w:val="single"/>
        </w:rPr>
        <w:br w:type="page"/>
      </w:r>
      <w:r w:rsidR="0015373B">
        <w:rPr>
          <w:rFonts w:ascii="Book Antiqua" w:eastAsia="Book Antiqua" w:hAnsi="Book Antiqua" w:cs="Book Antiqua"/>
          <w:b/>
          <w:caps/>
          <w:color w:val="000000"/>
          <w:u w:val="single"/>
        </w:rPr>
        <w:lastRenderedPageBreak/>
        <w:t>INTRODUCTION</w:t>
      </w:r>
    </w:p>
    <w:p w14:paraId="0665D152" w14:textId="53B6990E" w:rsidR="00A77B3E" w:rsidRDefault="0015373B">
      <w:pPr>
        <w:spacing w:line="360" w:lineRule="auto"/>
        <w:jc w:val="both"/>
      </w:pPr>
      <w:bookmarkStart w:id="68" w:name="OLE_LINK147"/>
      <w:bookmarkStart w:id="69" w:name="OLE_LINK148"/>
      <w:r>
        <w:rPr>
          <w:rFonts w:ascii="Book Antiqua" w:eastAsia="Book Antiqua" w:hAnsi="Book Antiqua" w:cs="Book Antiqua"/>
          <w:color w:val="000000"/>
        </w:rPr>
        <w:t>Hyperglycemia in pregnancy is observed in women who are already diagnosed with diabetes and in those whose first experience of hyperglycemia was during pregnancy. The latter is defined as gestational diabetes mellitus (GDM), a transitory condition in which women develop</w:t>
      </w:r>
      <w:r w:rsidR="001437FA">
        <w:rPr>
          <w:rFonts w:ascii="Book Antiqua" w:eastAsia="Book Antiqua" w:hAnsi="Book Antiqua" w:cs="Book Antiqua"/>
          <w:color w:val="000000"/>
        </w:rPr>
        <w:t xml:space="preserve"> hyperglycemia during pregnancy</w:t>
      </w:r>
      <w:r>
        <w:rPr>
          <w:rFonts w:ascii="Book Antiqua" w:eastAsia="Book Antiqua" w:hAnsi="Book Antiqua" w:cs="Book Antiqua"/>
          <w:color w:val="000000"/>
        </w:rPr>
        <w:t xml:space="preserve"> </w:t>
      </w:r>
      <w:r w:rsidR="009D1477">
        <w:rPr>
          <w:rFonts w:ascii="Book Antiqua" w:eastAsia="Book Antiqua" w:hAnsi="Book Antiqua" w:cs="Book Antiqua"/>
          <w:color w:val="000000"/>
        </w:rPr>
        <w:t>that</w:t>
      </w:r>
      <w:r>
        <w:rPr>
          <w:rFonts w:ascii="Book Antiqua" w:eastAsia="Book Antiqua" w:hAnsi="Book Antiqua" w:cs="Book Antiqua"/>
          <w:color w:val="000000"/>
        </w:rPr>
        <w:t xml:space="preserve"> returns to normal after delivery. Women with GDM are at a seven-fold higher risk of developing type 2 diabetes (T2D) within 7-10 years after childbirth, compared with those with normoglycemic </w:t>
      </w:r>
      <w:proofErr w:type="gramStart"/>
      <w:r w:rsidR="00D952F5">
        <w:rPr>
          <w:rFonts w:ascii="Book Antiqua" w:eastAsia="Book Antiqua" w:hAnsi="Book Antiqua" w:cs="Book Antiqua"/>
          <w:color w:val="000000"/>
        </w:rPr>
        <w:t>pregnancy</w:t>
      </w:r>
      <w:r w:rsidR="00D952F5">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However, it is unclear which of the women with GDM develop T2D.</w:t>
      </w:r>
    </w:p>
    <w:p w14:paraId="0B1BD9EF" w14:textId="77777777" w:rsidR="00A77B3E" w:rsidRDefault="0015373B" w:rsidP="0090683E">
      <w:pPr>
        <w:spacing w:line="360" w:lineRule="auto"/>
        <w:ind w:firstLineChars="100" w:firstLine="240"/>
        <w:jc w:val="both"/>
      </w:pPr>
      <w:r>
        <w:rPr>
          <w:rFonts w:ascii="Book Antiqua" w:eastAsia="Book Antiqua" w:hAnsi="Book Antiqua" w:cs="Book Antiqua"/>
          <w:color w:val="000000"/>
        </w:rPr>
        <w:t xml:space="preserve">Over the past 40 years, many studies have investigated the risk factors involved in the development of T2D after an index pregnancy with </w:t>
      </w:r>
      <w:proofErr w:type="gramStart"/>
      <w:r>
        <w:rPr>
          <w:rFonts w:ascii="Book Antiqua" w:eastAsia="Book Antiqua" w:hAnsi="Book Antiqua" w:cs="Book Antiqua"/>
          <w:color w:val="000000"/>
        </w:rPr>
        <w:t>GDM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 main identified factors included family history of diabetes, high body mass index (BMI), elevated fasting blood g</w:t>
      </w:r>
      <w:r w:rsidR="0090683E">
        <w:rPr>
          <w:rFonts w:ascii="Book Antiqua" w:eastAsia="Book Antiqua" w:hAnsi="Book Antiqua" w:cs="Book Antiqua"/>
          <w:color w:val="000000"/>
        </w:rPr>
        <w:t>lucose (FBG) and elevated 2-h</w:t>
      </w:r>
      <w:r>
        <w:rPr>
          <w:rFonts w:ascii="Book Antiqua" w:eastAsia="Book Antiqua" w:hAnsi="Book Antiqua" w:cs="Book Antiqua"/>
          <w:color w:val="000000"/>
        </w:rPr>
        <w:t xml:space="preserve"> blood glucose (2hrBG) levels. Increased FBG levels has stood out as a significant predictor of postpartum progression to T2</w:t>
      </w:r>
      <w:proofErr w:type="gramStart"/>
      <w:r>
        <w:rPr>
          <w:rFonts w:ascii="Book Antiqua" w:eastAsia="Book Antiqua" w:hAnsi="Book Antiqua" w:cs="Book Antiqua"/>
          <w:color w:val="000000"/>
        </w:rPr>
        <w: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Systematic </w:t>
      </w:r>
      <w:proofErr w:type="gramStart"/>
      <w:r>
        <w:rPr>
          <w:rFonts w:ascii="Book Antiqua" w:eastAsia="Book Antiqua" w:hAnsi="Book Antiqua" w:cs="Book Antiqua"/>
          <w:color w:val="000000"/>
        </w:rPr>
        <w:t>reviews</w:t>
      </w:r>
      <w:r w:rsidR="0035488C">
        <w:rPr>
          <w:rFonts w:ascii="Book Antiqua" w:eastAsia="Book Antiqua" w:hAnsi="Book Antiqua" w:cs="Book Antiqua"/>
          <w:color w:val="000000"/>
          <w:szCs w:val="30"/>
          <w:vertAlign w:val="superscript"/>
        </w:rPr>
        <w:t>[</w:t>
      </w:r>
      <w:proofErr w:type="gramEnd"/>
      <w:r w:rsidR="0035488C">
        <w:rPr>
          <w:rFonts w:ascii="Book Antiqua" w:eastAsia="Book Antiqua" w:hAnsi="Book Antiqua" w:cs="Book Antiqua"/>
          <w:color w:val="000000"/>
          <w:szCs w:val="30"/>
          <w:vertAlign w:val="superscript"/>
        </w:rPr>
        <w:t>11</w:t>
      </w:r>
      <w:r w:rsidR="003548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summarized and quantified the contribution of risk factors to T2D development in women with a history of GDM. </w:t>
      </w:r>
    </w:p>
    <w:p w14:paraId="46846091" w14:textId="77777777" w:rsidR="00A77B3E" w:rsidRDefault="0015373B" w:rsidP="0090683E">
      <w:pPr>
        <w:spacing w:line="360" w:lineRule="auto"/>
        <w:ind w:firstLineChars="100" w:firstLine="240"/>
        <w:jc w:val="both"/>
      </w:pPr>
      <w:r>
        <w:rPr>
          <w:rFonts w:ascii="Book Antiqua" w:eastAsia="Book Antiqua" w:hAnsi="Book Antiqua" w:cs="Book Antiqua"/>
          <w:color w:val="000000"/>
        </w:rPr>
        <w:t xml:space="preserve">GDM and T2D share similar genetic backgrounds and pathophysiological mechanisms regarding their development. Both conditions result from two major dysfunctions: a drop in peripheral sensitivity to insulin and failure of the β-cells of the pancreas to secrete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GDM is considered a variant of diabetes secondary to the release of placental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Therefore, it could be assumed that pregnancy reveals an existing predisposition for T2D.</w:t>
      </w:r>
    </w:p>
    <w:p w14:paraId="5F798419" w14:textId="77777777" w:rsidR="00A77B3E" w:rsidRDefault="0015373B" w:rsidP="0090683E">
      <w:pPr>
        <w:spacing w:line="360" w:lineRule="auto"/>
        <w:ind w:firstLineChars="100" w:firstLine="240"/>
        <w:jc w:val="both"/>
      </w:pPr>
      <w:r>
        <w:rPr>
          <w:rFonts w:ascii="Book Antiqua" w:eastAsia="Book Antiqua" w:hAnsi="Book Antiqua" w:cs="Book Antiqua"/>
          <w:color w:val="000000"/>
        </w:rPr>
        <w:t xml:space="preserve">T2D is increasingly being recognized as a highly heterogeneous disease, with varying clinical presentations, progressions, responses to treatment, and types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 xml:space="preserve">. Both the FBG and 2hrBG tests have been used in the process of subtyping T2D and in explaining the heterogeneity of the disease. In a non-pregnant adult, the impaired uptake of glucose under fasting conditions, as detected by the FBG test, is reflective of hepatic insulin resistance with normal muscle insulin sensitivity accompanied by a decrease in early-phase insulin secretion. In contrast, the impaired </w:t>
      </w:r>
      <w:r>
        <w:rPr>
          <w:rFonts w:ascii="Book Antiqua" w:eastAsia="Book Antiqua" w:hAnsi="Book Antiqua" w:cs="Book Antiqua"/>
          <w:color w:val="000000"/>
        </w:rPr>
        <w:lastRenderedPageBreak/>
        <w:t xml:space="preserve">tolerance for glucose, as detected by the 2hrBG test, indicates peripheral muscle insulin resistance, with defects in both early and late insulin </w:t>
      </w:r>
      <w:proofErr w:type="gramStart"/>
      <w:r>
        <w:rPr>
          <w:rFonts w:ascii="Book Antiqua" w:eastAsia="Book Antiqua" w:hAnsi="Book Antiqua" w:cs="Book Antiqua"/>
          <w:color w:val="000000"/>
        </w:rPr>
        <w:t>secretions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22-28]</w:t>
      </w:r>
      <w:r>
        <w:rPr>
          <w:rFonts w:ascii="Book Antiqua" w:eastAsia="Book Antiqua" w:hAnsi="Book Antiqua" w:cs="Book Antiqua"/>
          <w:color w:val="000000"/>
        </w:rPr>
        <w:t xml:space="preserve">. Therefore, FBG and 2hrBG tests seem to predict pathophysiology trajectories for T2D in non-pregnant adults and has, therefore, been used in the subtyping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 xml:space="preserve">. </w:t>
      </w:r>
    </w:p>
    <w:p w14:paraId="53CDA2B9" w14:textId="77777777" w:rsidR="00A77B3E" w:rsidRDefault="0015373B" w:rsidP="00521A2C">
      <w:pPr>
        <w:spacing w:line="360" w:lineRule="auto"/>
        <w:ind w:firstLineChars="100" w:firstLine="240"/>
        <w:jc w:val="both"/>
      </w:pPr>
      <w:r>
        <w:rPr>
          <w:rFonts w:ascii="Book Antiqua" w:eastAsia="Book Antiqua" w:hAnsi="Book Antiqua" w:cs="Book Antiqua"/>
          <w:color w:val="000000"/>
        </w:rPr>
        <w:t>The FBG and 2hrBG tests have also been used to explain the heterogeneity of GDM. Several studies</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have suggested that GDM could be subtyped into three groups: (1) the GDM-sensitivity group with predominant peripheral resistance to the action of insulin, exhibiting high BMI and elevated</w:t>
      </w:r>
      <w:r w:rsidR="00521A2C">
        <w:rPr>
          <w:rFonts w:ascii="Book Antiqua" w:eastAsia="Book Antiqua" w:hAnsi="Book Antiqua" w:cs="Book Antiqua"/>
          <w:color w:val="000000"/>
        </w:rPr>
        <w:t xml:space="preserve"> levels of FBG and serum leptin</w:t>
      </w:r>
      <w:r w:rsidR="00521A2C">
        <w:rPr>
          <w:rFonts w:ascii="Book Antiqua" w:hAnsi="Book Antiqua" w:cs="Book Antiqua" w:hint="eastAsia"/>
          <w:color w:val="000000"/>
          <w:lang w:eastAsia="zh-CN"/>
        </w:rPr>
        <w:t>;</w:t>
      </w:r>
      <w:r>
        <w:rPr>
          <w:rFonts w:ascii="Book Antiqua" w:eastAsia="Book Antiqua" w:hAnsi="Book Antiqua" w:cs="Book Antiqua"/>
          <w:color w:val="000000"/>
        </w:rPr>
        <w:t xml:space="preserve"> (2) the GDM-secretion group with defective insulin secretion and low BMI values, similar to those in the norma</w:t>
      </w:r>
      <w:r w:rsidR="00521A2C">
        <w:rPr>
          <w:rFonts w:ascii="Book Antiqua" w:eastAsia="Book Antiqua" w:hAnsi="Book Antiqua" w:cs="Book Antiqua"/>
          <w:color w:val="000000"/>
        </w:rPr>
        <w:t>l glucose tolerance (NGT) group</w:t>
      </w:r>
      <w:r w:rsidR="00521A2C">
        <w:rPr>
          <w:rFonts w:ascii="Book Antiqua" w:hAnsi="Book Antiqua" w:cs="Book Antiqua" w:hint="eastAsia"/>
          <w:color w:val="000000"/>
          <w:lang w:eastAsia="zh-CN"/>
        </w:rPr>
        <w:t>;</w:t>
      </w:r>
      <w:r>
        <w:rPr>
          <w:rFonts w:ascii="Book Antiqua" w:eastAsia="Book Antiqua" w:hAnsi="Book Antiqua" w:cs="Book Antiqua"/>
          <w:color w:val="000000"/>
        </w:rPr>
        <w:t xml:space="preserve"> and (3) the GDM-mixed group, characterized by both insulin sensitivity and secretion defects. Women in both the GDM-sensitivity and GDM-mixed groups have elevated FBG levels, compared with those in the NGT group. The OGTT remains the gold standard (GS) for the diagnosis of adult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and for screening GDM</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two main parameters of the OGTT, the FBG and 2hrBG tests, indicative of different </w:t>
      </w:r>
      <w:proofErr w:type="spellStart"/>
      <w:r>
        <w:rPr>
          <w:rFonts w:ascii="Book Antiqua" w:eastAsia="Book Antiqua" w:hAnsi="Book Antiqua" w:cs="Book Antiqua"/>
          <w:color w:val="000000"/>
        </w:rPr>
        <w:t>pathophysiologies</w:t>
      </w:r>
      <w:proofErr w:type="spellEnd"/>
      <w:r>
        <w:rPr>
          <w:rFonts w:ascii="Book Antiqua" w:eastAsia="Book Antiqua" w:hAnsi="Book Antiqua" w:cs="Book Antiqua"/>
          <w:color w:val="000000"/>
        </w:rPr>
        <w:t xml:space="preserve"> of the disease, are being consistently used in the attempts to subtype both adult T2D and GDM. </w:t>
      </w:r>
    </w:p>
    <w:p w14:paraId="12E885C7" w14:textId="77777777" w:rsidR="00A77B3E" w:rsidRDefault="0015373B" w:rsidP="00521A2C">
      <w:pPr>
        <w:spacing w:line="360" w:lineRule="auto"/>
        <w:ind w:firstLineChars="100" w:firstLine="240"/>
        <w:jc w:val="both"/>
      </w:pPr>
      <w:r>
        <w:rPr>
          <w:rFonts w:ascii="Book Antiqua" w:eastAsia="Book Antiqua" w:hAnsi="Book Antiqua" w:cs="Book Antiqua"/>
          <w:color w:val="000000"/>
        </w:rPr>
        <w:t xml:space="preserve">The </w:t>
      </w:r>
      <w:bookmarkStart w:id="70" w:name="OLE_LINK8"/>
      <w:bookmarkStart w:id="71" w:name="OLE_LINK9"/>
      <w:r>
        <w:rPr>
          <w:rFonts w:ascii="Book Antiqua" w:eastAsia="Book Antiqua" w:hAnsi="Book Antiqua" w:cs="Book Antiqua"/>
          <w:color w:val="000000"/>
        </w:rPr>
        <w:t xml:space="preserve">Dubai Health Authority </w:t>
      </w:r>
      <w:bookmarkEnd w:id="70"/>
      <w:bookmarkEnd w:id="71"/>
      <w:r>
        <w:rPr>
          <w:rFonts w:ascii="Book Antiqua" w:eastAsia="Book Antiqua" w:hAnsi="Book Antiqua" w:cs="Book Antiqua"/>
          <w:color w:val="000000"/>
        </w:rPr>
        <w:t xml:space="preserve">(DHA) has adopted a protocol for antenatal care based on the universal screening for hyperglycemia, using an OGTT at 24-28 gestational weeks. Although raised FBG levels has been said to be the main significant predictor of postpartum progression to T2D, it is difficult to predict who among the women with GDM would develop T2D. Therefore, in this retrospective cohort study, we examined the glycemic indices that can predict postnatal T2D in Emirati Arab women with a history of GDM. Data were extracted from routine hospital investigations of antenatal and postnatal care of women who delivered in 2007 in Latifa Women and Children Hospital and in Dubai </w:t>
      </w:r>
      <w:proofErr w:type="gramStart"/>
      <w:r>
        <w:rPr>
          <w:rFonts w:ascii="Book Antiqua" w:eastAsia="Book Antiqua" w:hAnsi="Book Antiqua" w:cs="Book Antiqua"/>
          <w:color w:val="000000"/>
        </w:rPr>
        <w:t>Hospital, and</w:t>
      </w:r>
      <w:proofErr w:type="gramEnd"/>
      <w:r>
        <w:rPr>
          <w:rFonts w:ascii="Book Antiqua" w:eastAsia="Book Antiqua" w:hAnsi="Book Antiqua" w:cs="Book Antiqua"/>
          <w:color w:val="000000"/>
        </w:rPr>
        <w:t xml:space="preserve"> were successfully followed-up in 2016.</w:t>
      </w:r>
    </w:p>
    <w:p w14:paraId="7D60CC5A" w14:textId="77777777" w:rsidR="00A77B3E" w:rsidRDefault="00A77B3E">
      <w:pPr>
        <w:spacing w:line="360" w:lineRule="auto"/>
        <w:jc w:val="both"/>
      </w:pPr>
    </w:p>
    <w:bookmarkEnd w:id="68"/>
    <w:bookmarkEnd w:id="69"/>
    <w:p w14:paraId="058C8738" w14:textId="77777777" w:rsidR="00A77B3E" w:rsidRDefault="0015373B">
      <w:pPr>
        <w:spacing w:line="360" w:lineRule="auto"/>
        <w:jc w:val="both"/>
      </w:pPr>
      <w:r>
        <w:rPr>
          <w:rFonts w:ascii="Book Antiqua" w:eastAsia="Book Antiqua" w:hAnsi="Book Antiqua" w:cs="Book Antiqua"/>
          <w:b/>
          <w:caps/>
          <w:color w:val="000000"/>
          <w:u w:val="single"/>
        </w:rPr>
        <w:t>MATERIALS AND METHODS</w:t>
      </w:r>
    </w:p>
    <w:p w14:paraId="7B2C1FD2" w14:textId="77777777" w:rsidR="00A77B3E" w:rsidRDefault="0015373B">
      <w:pPr>
        <w:spacing w:line="360" w:lineRule="auto"/>
        <w:jc w:val="both"/>
      </w:pPr>
      <w:bookmarkStart w:id="72" w:name="OLE_LINK149"/>
      <w:bookmarkStart w:id="73" w:name="OLE_LINK150"/>
      <w:r>
        <w:rPr>
          <w:rFonts w:ascii="Book Antiqua" w:eastAsia="Book Antiqua" w:hAnsi="Book Antiqua" w:cs="Book Antiqua"/>
          <w:b/>
          <w:bCs/>
          <w:i/>
          <w:iCs/>
          <w:color w:val="000000"/>
        </w:rPr>
        <w:t>Patients</w:t>
      </w:r>
    </w:p>
    <w:p w14:paraId="66CDA922" w14:textId="09F24002" w:rsidR="00A77B3E" w:rsidRDefault="0015373B">
      <w:pPr>
        <w:spacing w:line="360" w:lineRule="auto"/>
        <w:jc w:val="both"/>
      </w:pPr>
      <w:r>
        <w:rPr>
          <w:rFonts w:ascii="Book Antiqua" w:eastAsia="Book Antiqua" w:hAnsi="Book Antiqua" w:cs="Book Antiqua"/>
          <w:color w:val="000000"/>
        </w:rPr>
        <w:lastRenderedPageBreak/>
        <w:t>The present study was conducted in 2 hospitals: The Latifa Women and Children Hospital and Dubai Hospital</w:t>
      </w:r>
      <w:r w:rsidR="009D1477">
        <w:rPr>
          <w:rFonts w:ascii="Book Antiqua" w:eastAsia="Book Antiqua" w:hAnsi="Book Antiqua" w:cs="Book Antiqua"/>
          <w:color w:val="000000"/>
        </w:rPr>
        <w:t>;</w:t>
      </w:r>
      <w:r>
        <w:rPr>
          <w:rFonts w:ascii="Book Antiqua" w:eastAsia="Book Antiqua" w:hAnsi="Book Antiqua" w:cs="Book Antiqua"/>
          <w:color w:val="000000"/>
        </w:rPr>
        <w:t xml:space="preserve"> the 2 main public hospitals of the DHA, </w:t>
      </w:r>
      <w:r w:rsidR="00A6489F">
        <w:rPr>
          <w:rFonts w:ascii="Book Antiqua" w:eastAsia="Book Antiqua" w:hAnsi="Book Antiqua" w:cs="Book Antiqua"/>
          <w:color w:val="000000"/>
        </w:rPr>
        <w:t>United Arab Emirates</w:t>
      </w:r>
      <w:r>
        <w:rPr>
          <w:rFonts w:ascii="Book Antiqua" w:eastAsia="Book Antiqua" w:hAnsi="Book Antiqua" w:cs="Book Antiqua"/>
          <w:color w:val="000000"/>
        </w:rPr>
        <w:t xml:space="preserve">. The Latifa Women and Children Hospital is a 400-bed tertiary and referral hospital for obstetrics and gynecology and children care. Dubai Hospital is a 625-bed center for referral of all medical and surgical specialties including obstetric services. Both hospitals share the same electronic health information system (HIS) called Salama. </w:t>
      </w:r>
    </w:p>
    <w:p w14:paraId="7ADE6247"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Routine clinical and laboratory data for 4603 Emirati women, who delivered at the Latifa Women and Children Hospital (</w:t>
      </w:r>
      <w:r>
        <w:rPr>
          <w:rFonts w:ascii="Book Antiqua" w:eastAsia="Book Antiqua" w:hAnsi="Book Antiqua" w:cs="Book Antiqua"/>
          <w:i/>
          <w:iCs/>
          <w:color w:val="000000"/>
        </w:rPr>
        <w:t>n</w:t>
      </w:r>
      <w:r>
        <w:rPr>
          <w:rFonts w:ascii="Book Antiqua" w:eastAsia="Book Antiqua" w:hAnsi="Book Antiqua" w:cs="Book Antiqua"/>
          <w:color w:val="000000"/>
        </w:rPr>
        <w:t xml:space="preserve"> = 3121) and Dubai Hospital (</w:t>
      </w:r>
      <w:r>
        <w:rPr>
          <w:rFonts w:ascii="Book Antiqua" w:eastAsia="Book Antiqua" w:hAnsi="Book Antiqua" w:cs="Book Antiqua"/>
          <w:i/>
          <w:iCs/>
          <w:color w:val="000000"/>
        </w:rPr>
        <w:t>n</w:t>
      </w:r>
      <w:r>
        <w:rPr>
          <w:rFonts w:ascii="Book Antiqua" w:eastAsia="Book Antiqua" w:hAnsi="Book Antiqua" w:cs="Book Antiqua"/>
          <w:color w:val="000000"/>
        </w:rPr>
        <w:t xml:space="preserve"> = 1482) between January 1 and December 31, 2007, were collected from the “Salama” HIS. Of those women, 1231 (27%) were successfully followed up in 2016, and their data were compared with that of 2007. All 1231 women were included in the analysis. Therefore, no sample size or power analysis was performed. </w:t>
      </w:r>
    </w:p>
    <w:p w14:paraId="406D3155" w14:textId="77777777" w:rsidR="00A77B3E" w:rsidRDefault="00A77B3E">
      <w:pPr>
        <w:spacing w:line="360" w:lineRule="auto"/>
        <w:jc w:val="both"/>
      </w:pPr>
    </w:p>
    <w:p w14:paraId="380A6751" w14:textId="77777777" w:rsidR="00A77B3E" w:rsidRDefault="0015373B">
      <w:pPr>
        <w:spacing w:line="360" w:lineRule="auto"/>
        <w:jc w:val="both"/>
      </w:pPr>
      <w:r>
        <w:rPr>
          <w:rFonts w:ascii="Book Antiqua" w:eastAsia="Book Antiqua" w:hAnsi="Book Antiqua" w:cs="Book Antiqua"/>
          <w:b/>
          <w:bCs/>
          <w:i/>
          <w:iCs/>
          <w:color w:val="000000"/>
        </w:rPr>
        <w:t>Methods</w:t>
      </w:r>
    </w:p>
    <w:p w14:paraId="022A5550" w14:textId="77777777" w:rsidR="00A77B3E" w:rsidRDefault="0015373B">
      <w:pPr>
        <w:spacing w:line="360" w:lineRule="auto"/>
        <w:jc w:val="both"/>
      </w:pPr>
      <w:r>
        <w:rPr>
          <w:rFonts w:ascii="Book Antiqua" w:eastAsia="Book Antiqua" w:hAnsi="Book Antiqua" w:cs="Book Antiqua"/>
          <w:color w:val="000000"/>
        </w:rPr>
        <w:t>Blood glucose was enzymatically assayed in the laboratories at the Latifa Women and Children Hospital and Dubai Hospital, using hexokinase as reference on the Cobas 6000 Analyzer (Roche Diagnostics, Basel, Switzerland). The measuring range of this method is 0.11-41.6 mmol/L (2-750 mg/dL). The coefficients of variation of the method are 0.7% and 1.2% for low and high blood glucose levels, respectively.</w:t>
      </w:r>
    </w:p>
    <w:p w14:paraId="2D178B19"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 xml:space="preserve">The routine protocol for antenatal care at the Latifa Women and Children Hospital and Dubai Hospital included universal screening for hyperglycemia using an OGTT at 24-28 gestational weeks. The FBG level and/or the 2hrBG level after a 75-g glucose load were measured to assess the prevalence of GDM and T2D, according to the </w:t>
      </w:r>
      <w:proofErr w:type="gramStart"/>
      <w:r>
        <w:rPr>
          <w:rFonts w:ascii="Book Antiqua" w:eastAsia="Book Antiqua" w:hAnsi="Book Antiqua" w:cs="Book Antiqua"/>
          <w:color w:val="000000"/>
        </w:rPr>
        <w:t>IADPSG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the ADA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respectively. GDM is defined as an FBG level of 5.1-6.9 mmol/L (92-125 mg/dL), and/or a 2hrBG level of 8.5-11.0 mmol/L (153-199</w:t>
      </w:r>
      <w:r w:rsidR="0004604F">
        <w:rPr>
          <w:rFonts w:ascii="Book Antiqua" w:eastAsia="Book Antiqua" w:hAnsi="Book Antiqua" w:cs="Book Antiqua"/>
          <w:color w:val="000000"/>
        </w:rPr>
        <w:t xml:space="preserve"> mg/dL) on a 2-h</w:t>
      </w:r>
      <w:r>
        <w:rPr>
          <w:rFonts w:ascii="Book Antiqua" w:eastAsia="Book Antiqua" w:hAnsi="Book Antiqua" w:cs="Book Antiqua"/>
          <w:color w:val="000000"/>
        </w:rPr>
        <w:t xml:space="preserve"> 75-g OGTT. DM is defined as an FBG level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7.0 mmol/L (126 mg/dL) and/or a 2hrBG of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11.1 mmol/L (200 mg/dL).</w:t>
      </w:r>
    </w:p>
    <w:p w14:paraId="7B3FF7ED"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 xml:space="preserve">The ADA criteria for the diagnosis of diabetes in non-pregnant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has been adopted by the DHA and employed in our analysis of oral glucose tolerance testing. </w:t>
      </w:r>
      <w:r>
        <w:rPr>
          <w:rFonts w:ascii="Book Antiqua" w:eastAsia="Book Antiqua" w:hAnsi="Book Antiqua" w:cs="Book Antiqua"/>
          <w:color w:val="000000"/>
        </w:rPr>
        <w:lastRenderedPageBreak/>
        <w:t>The FBG level and/or 2hrBG after a 75-g glucose load were measured to assess the prevalence of T2D. Diabetes was defined by a level of FBG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7.0 mmol/L (126 mg/dL) or a 2hrBG level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11.1 mmol/L (200 mg/dL). Impaired fasting blood glucose (IFG) was defined by a level of 5.6-6.9 mmol/L (100-125 mg/dL), while impaired glucose tolerance (IGT) was defined by a 2hrBG level of 7.8-11.0 mmol/L (140-199 mg/dL).</w:t>
      </w:r>
    </w:p>
    <w:p w14:paraId="601738A1"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The glycemic status of the cohort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who were previously tested in 2007 was assessed again in 2016. Of those, 872 underwent FBG test only, 118 postprandial 2hrBG test only, while the remaining 241 had a complete OGTT.</w:t>
      </w:r>
    </w:p>
    <w:p w14:paraId="75E46A4D" w14:textId="77777777" w:rsidR="00A77B3E" w:rsidRDefault="0015373B" w:rsidP="00960198">
      <w:pPr>
        <w:spacing w:line="360" w:lineRule="auto"/>
        <w:ind w:firstLineChars="100" w:firstLine="240"/>
        <w:jc w:val="both"/>
      </w:pPr>
      <w:r>
        <w:rPr>
          <w:rFonts w:ascii="Book Antiqua" w:eastAsia="Book Antiqua" w:hAnsi="Book Antiqua" w:cs="Book Antiqua"/>
          <w:color w:val="000000"/>
        </w:rPr>
        <w:t xml:space="preserve">The routine glycemic status of both the 4603 Emirati women in 2007 and the 1231 women who were followed up in 2016, were obtained from the Salama HIS. The women suspected of diabetes were confirmed and followed-up in either Hospital. The prevalence of T2D in the cohort of Emirati women tested in 2007 and the incidence of T2D during the 9-year period (2007-2016) were numerically calculated. </w:t>
      </w:r>
    </w:p>
    <w:p w14:paraId="56CF08CD" w14:textId="77777777" w:rsidR="00960198" w:rsidRDefault="00960198">
      <w:pPr>
        <w:spacing w:line="360" w:lineRule="auto"/>
        <w:jc w:val="both"/>
        <w:rPr>
          <w:rFonts w:ascii="Book Antiqua" w:hAnsi="Book Antiqua" w:cs="Book Antiqua"/>
          <w:b/>
          <w:bCs/>
          <w:i/>
          <w:iCs/>
          <w:color w:val="000000"/>
          <w:lang w:eastAsia="zh-CN"/>
        </w:rPr>
      </w:pPr>
    </w:p>
    <w:p w14:paraId="5F9191FD" w14:textId="77777777" w:rsidR="00A77B3E" w:rsidRDefault="00960198">
      <w:pPr>
        <w:spacing w:line="360" w:lineRule="auto"/>
        <w:jc w:val="both"/>
      </w:pPr>
      <w:r>
        <w:rPr>
          <w:rFonts w:ascii="Book Antiqua" w:eastAsia="Book Antiqua" w:hAnsi="Book Antiqua" w:cs="Book Antiqua"/>
          <w:b/>
          <w:bCs/>
          <w:i/>
          <w:iCs/>
          <w:color w:val="000000"/>
        </w:rPr>
        <w:t xml:space="preserve">Data </w:t>
      </w:r>
      <w:r>
        <w:rPr>
          <w:rFonts w:ascii="Book Antiqua" w:hAnsi="Book Antiqua" w:cs="Book Antiqua" w:hint="eastAsia"/>
          <w:b/>
          <w:bCs/>
          <w:i/>
          <w:iCs/>
          <w:color w:val="000000"/>
          <w:lang w:eastAsia="zh-CN"/>
        </w:rPr>
        <w:t>a</w:t>
      </w:r>
      <w:r w:rsidR="0015373B">
        <w:rPr>
          <w:rFonts w:ascii="Book Antiqua" w:eastAsia="Book Antiqua" w:hAnsi="Book Antiqua" w:cs="Book Antiqua"/>
          <w:b/>
          <w:bCs/>
          <w:i/>
          <w:iCs/>
          <w:color w:val="000000"/>
        </w:rPr>
        <w:t>nalysis</w:t>
      </w:r>
    </w:p>
    <w:p w14:paraId="6E9A77DD" w14:textId="77777777" w:rsidR="00A77B3E" w:rsidRDefault="0015373B">
      <w:pPr>
        <w:spacing w:line="360" w:lineRule="auto"/>
        <w:jc w:val="both"/>
      </w:pPr>
      <w:r>
        <w:rPr>
          <w:rFonts w:ascii="Book Antiqua" w:eastAsia="Book Antiqua" w:hAnsi="Book Antiqua" w:cs="Book Antiqua"/>
          <w:color w:val="000000"/>
        </w:rPr>
        <w:t>Data were analyzed using SPSS software v</w:t>
      </w:r>
      <w:r w:rsidR="00960198">
        <w:rPr>
          <w:rFonts w:ascii="Book Antiqua" w:eastAsia="Book Antiqua" w:hAnsi="Book Antiqua" w:cs="Book Antiqua"/>
          <w:color w:val="000000"/>
        </w:rPr>
        <w:t>ersion 23 (IBM, Chicago, IL, U</w:t>
      </w:r>
      <w:r w:rsidR="00960198">
        <w:rPr>
          <w:rFonts w:ascii="Book Antiqua" w:hAnsi="Book Antiqua" w:cs="Book Antiqua" w:hint="eastAsia"/>
          <w:color w:val="000000"/>
          <w:lang w:eastAsia="zh-CN"/>
        </w:rPr>
        <w:t>nited States</w:t>
      </w:r>
      <w:r>
        <w:rPr>
          <w:rFonts w:ascii="Book Antiqua" w:eastAsia="Book Antiqua" w:hAnsi="Book Antiqua" w:cs="Book Antiqua"/>
          <w:color w:val="000000"/>
        </w:rPr>
        <w:t>). All continuous data were described as mean ±</w:t>
      </w:r>
      <w:r w:rsidR="00960198">
        <w:rPr>
          <w:rFonts w:ascii="Book Antiqua" w:hAnsi="Book Antiqua" w:cs="Book Antiqua" w:hint="eastAsia"/>
          <w:color w:val="000000"/>
          <w:lang w:eastAsia="zh-CN"/>
        </w:rPr>
        <w:t xml:space="preserve"> </w:t>
      </w:r>
      <w:r w:rsidR="00960198">
        <w:rPr>
          <w:rFonts w:ascii="Book Antiqua" w:eastAsia="Book Antiqua" w:hAnsi="Book Antiqua" w:cs="Book Antiqua"/>
          <w:color w:val="000000"/>
        </w:rPr>
        <w:t>SD</w:t>
      </w:r>
      <w:r>
        <w:rPr>
          <w:rFonts w:ascii="Book Antiqua" w:eastAsia="Book Antiqua" w:hAnsi="Book Antiqua" w:cs="Book Antiqua"/>
          <w:color w:val="000000"/>
        </w:rPr>
        <w:t xml:space="preserve">, while the categorical data were described as number and percentage. </w:t>
      </w:r>
    </w:p>
    <w:p w14:paraId="36F55B23" w14:textId="77777777" w:rsidR="00A77B3E" w:rsidRDefault="0015373B" w:rsidP="00960198">
      <w:pPr>
        <w:spacing w:line="360" w:lineRule="auto"/>
        <w:ind w:firstLineChars="100" w:firstLine="240"/>
        <w:jc w:val="both"/>
      </w:pPr>
      <w:r>
        <w:rPr>
          <w:rFonts w:ascii="Book Antiqua" w:eastAsia="Book Antiqua" w:hAnsi="Book Antiqua" w:cs="Book Antiqua"/>
          <w:color w:val="000000"/>
        </w:rPr>
        <w:t xml:space="preserve">According to the IADPSG criteria, a woman will be considered to have GDM, at any time in her reproductive life, if her blood glucose is within the cut-off values for GDM and does not reach the cut-off values for diabetes. The prevalence of GDM in 2007 was calculated as percentage of women with OGTT blood glucose levels within the cut-off values, stipulated by the IADPSG criteria (m), divided by the total number of women in the specified cohort (N): (m/N) * 100. The incidence of diabetes in 2016 was calculated as the annual average of the difference over a 9-year period. Results were expressed as incidence rate and incidence density rate. </w:t>
      </w:r>
    </w:p>
    <w:p w14:paraId="7DB61F4F" w14:textId="77777777" w:rsidR="00A77B3E" w:rsidRDefault="00A77B3E">
      <w:pPr>
        <w:spacing w:line="360" w:lineRule="auto"/>
        <w:jc w:val="both"/>
      </w:pPr>
    </w:p>
    <w:p w14:paraId="4EDC127C" w14:textId="77777777" w:rsidR="00A77B3E" w:rsidRPr="00366051" w:rsidRDefault="00366051">
      <w:pPr>
        <w:spacing w:line="360" w:lineRule="auto"/>
        <w:jc w:val="both"/>
        <w:rPr>
          <w:lang w:eastAsia="zh-CN"/>
        </w:rPr>
      </w:pPr>
      <w:r>
        <w:rPr>
          <w:rFonts w:ascii="Book Antiqua" w:eastAsia="Book Antiqua" w:hAnsi="Book Antiqua" w:cs="Book Antiqua"/>
          <w:b/>
          <w:bCs/>
          <w:i/>
          <w:iCs/>
          <w:color w:val="000000"/>
        </w:rPr>
        <w:t xml:space="preserve">Specificity and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 xml:space="preserve">ensitivity of FBG and 2hrBG in </w:t>
      </w:r>
      <w:r>
        <w:rPr>
          <w:rFonts w:ascii="Book Antiqua" w:hAnsi="Book Antiqua" w:cs="Book Antiqua" w:hint="eastAsia"/>
          <w:b/>
          <w:bCs/>
          <w:i/>
          <w:iCs/>
          <w:color w:val="000000"/>
          <w:lang w:eastAsia="zh-CN"/>
        </w:rPr>
        <w:t>p</w:t>
      </w:r>
      <w:r w:rsidR="0015373B">
        <w:rPr>
          <w:rFonts w:ascii="Book Antiqua" w:eastAsia="Book Antiqua" w:hAnsi="Book Antiqua" w:cs="Book Antiqua"/>
          <w:b/>
          <w:bCs/>
          <w:i/>
          <w:iCs/>
          <w:color w:val="000000"/>
        </w:rPr>
        <w:t>redicting T2D</w:t>
      </w:r>
    </w:p>
    <w:p w14:paraId="6BBDF164" w14:textId="77777777" w:rsidR="00A77B3E" w:rsidRDefault="0015373B">
      <w:pPr>
        <w:spacing w:line="360" w:lineRule="auto"/>
        <w:jc w:val="both"/>
      </w:pPr>
      <w:r>
        <w:rPr>
          <w:rFonts w:ascii="Book Antiqua" w:eastAsia="Book Antiqua" w:hAnsi="Book Antiqua" w:cs="Book Antiqua"/>
          <w:color w:val="000000"/>
        </w:rPr>
        <w:lastRenderedPageBreak/>
        <w:t xml:space="preserve">The open-source R-4.02 statistical software was used to plot the receiver operating characteristic (ROC) curve for the OGTT. The women were categorized as having GDM or normal glycemia based on their FBG and 2hrBG levels in 2007. The diagnosis of T2D in 2016 was considered the GS, using HbA1c levels. The diagnosis of T2D was confirmed by correlation of FBG and 2hrBG values with HbA1c levels (Pearson correlation at 0.798; </w:t>
      </w:r>
      <w:r w:rsidR="000A74EB" w:rsidRPr="000A74EB">
        <w:rPr>
          <w:rFonts w:ascii="Book Antiqua" w:eastAsia="Book Antiqua" w:hAnsi="Book Antiqua" w:cs="Book Antiqua"/>
          <w:i/>
          <w:color w:val="000000"/>
        </w:rPr>
        <w:t>P</w:t>
      </w:r>
      <w:r w:rsidR="000A74EB">
        <w:rPr>
          <w:rFonts w:ascii="Book Antiqua" w:eastAsia="Book Antiqua" w:hAnsi="Book Antiqua" w:cs="Book Antiqua"/>
          <w:color w:val="000000"/>
        </w:rPr>
        <w:t xml:space="preserve"> ≤ 0.01).</w:t>
      </w:r>
      <w:r>
        <w:rPr>
          <w:rFonts w:ascii="Book Antiqua" w:eastAsia="Book Antiqua" w:hAnsi="Book Antiqua" w:cs="Book Antiqua"/>
          <w:color w:val="000000"/>
        </w:rPr>
        <w:t xml:space="preserve"> To find the best cut off values for the 2007 FBG level, the actual values were plotted against the GS resul</w:t>
      </w:r>
      <w:r w:rsidR="005A3E33">
        <w:rPr>
          <w:rFonts w:ascii="Book Antiqua" w:eastAsia="Book Antiqua" w:hAnsi="Book Antiqua" w:cs="Book Antiqua"/>
          <w:color w:val="000000"/>
        </w:rPr>
        <w:t xml:space="preserve">ts (T2D or </w:t>
      </w:r>
      <w:r w:rsidR="005A3E33">
        <w:rPr>
          <w:rFonts w:ascii="Book Antiqua" w:hAnsi="Book Antiqua" w:cs="Book Antiqua" w:hint="eastAsia"/>
          <w:color w:val="000000"/>
          <w:lang w:eastAsia="zh-CN"/>
        </w:rPr>
        <w:t>n</w:t>
      </w:r>
      <w:r>
        <w:rPr>
          <w:rFonts w:ascii="Book Antiqua" w:eastAsia="Book Antiqua" w:hAnsi="Book Antiqua" w:cs="Book Antiqua"/>
          <w:color w:val="000000"/>
        </w:rPr>
        <w:t xml:space="preserve">ormal). At each cut off value for the 2007 FBG level, the sensitivity and specificity were calculated by forming a 2 by 2 table with the GS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w:t>
      </w:r>
    </w:p>
    <w:p w14:paraId="70E27B11" w14:textId="77777777" w:rsidR="00A77B3E" w:rsidRDefault="0015373B" w:rsidP="000A74EB">
      <w:pPr>
        <w:spacing w:line="360" w:lineRule="auto"/>
        <w:ind w:firstLineChars="100" w:firstLine="240"/>
        <w:jc w:val="both"/>
      </w:pPr>
      <w:r>
        <w:rPr>
          <w:rFonts w:ascii="Book Antiqua" w:eastAsia="Book Antiqua" w:hAnsi="Book Antiqua" w:cs="Book Antiqua"/>
          <w:color w:val="000000"/>
        </w:rPr>
        <w:t>The best cut off values for FBG for predicting T2D from GDM were calculated using the Youden Index: [(sensitivity + specificity) -</w:t>
      </w:r>
      <w:r w:rsidR="000A74EB">
        <w:rPr>
          <w:rFonts w:ascii="Book Antiqua" w:hAnsi="Book Antiqua" w:cs="Book Antiqua" w:hint="eastAsia"/>
          <w:color w:val="000000"/>
          <w:lang w:eastAsia="zh-CN"/>
        </w:rPr>
        <w:t xml:space="preserve"> </w:t>
      </w:r>
      <w:r>
        <w:rPr>
          <w:rFonts w:ascii="Book Antiqua" w:eastAsia="Book Antiqua" w:hAnsi="Book Antiqua" w:cs="Book Antiqua"/>
          <w:color w:val="000000"/>
        </w:rPr>
        <w:t>1]. However, on testing the 2hrBG level in 2016, only five women were classified as having T2D. Therefore, performing an analysis to find the best cut off value for 2hrBG was not feasible.</w:t>
      </w:r>
    </w:p>
    <w:p w14:paraId="3B983130" w14:textId="77777777" w:rsidR="005A3E33" w:rsidRDefault="005A3E33">
      <w:pPr>
        <w:spacing w:line="360" w:lineRule="auto"/>
        <w:jc w:val="both"/>
        <w:rPr>
          <w:rFonts w:ascii="Book Antiqua" w:hAnsi="Book Antiqua" w:cs="Book Antiqua"/>
          <w:color w:val="000000"/>
          <w:lang w:eastAsia="zh-CN"/>
        </w:rPr>
      </w:pPr>
    </w:p>
    <w:p w14:paraId="58A3DB92" w14:textId="77777777" w:rsidR="00A77B3E" w:rsidRDefault="005A3E33">
      <w:pPr>
        <w:spacing w:line="360" w:lineRule="auto"/>
        <w:jc w:val="both"/>
      </w:pPr>
      <w:r>
        <w:rPr>
          <w:rFonts w:ascii="Book Antiqua" w:eastAsia="Book Antiqua" w:hAnsi="Book Antiqua" w:cs="Book Antiqua"/>
          <w:b/>
          <w:bCs/>
          <w:i/>
          <w:iCs/>
          <w:color w:val="000000"/>
        </w:rPr>
        <w:t xml:space="preserve">Ethical </w:t>
      </w:r>
      <w:r>
        <w:rPr>
          <w:rFonts w:ascii="Book Antiqua" w:hAnsi="Book Antiqua" w:cs="Book Antiqua" w:hint="eastAsia"/>
          <w:b/>
          <w:bCs/>
          <w:i/>
          <w:iCs/>
          <w:color w:val="000000"/>
          <w:lang w:eastAsia="zh-CN"/>
        </w:rPr>
        <w:t>c</w:t>
      </w:r>
      <w:r w:rsidR="0015373B">
        <w:rPr>
          <w:rFonts w:ascii="Book Antiqua" w:eastAsia="Book Antiqua" w:hAnsi="Book Antiqua" w:cs="Book Antiqua"/>
          <w:b/>
          <w:bCs/>
          <w:i/>
          <w:iCs/>
          <w:color w:val="000000"/>
        </w:rPr>
        <w:t>onsiderations</w:t>
      </w:r>
    </w:p>
    <w:p w14:paraId="212B67C7" w14:textId="77777777" w:rsidR="00A77B3E" w:rsidRDefault="0015373B">
      <w:pPr>
        <w:spacing w:line="360" w:lineRule="auto"/>
        <w:jc w:val="both"/>
      </w:pPr>
      <w:r>
        <w:rPr>
          <w:rFonts w:ascii="Book Antiqua" w:eastAsia="Book Antiqua" w:hAnsi="Book Antiqua" w:cs="Book Antiqua"/>
          <w:color w:val="000000"/>
        </w:rPr>
        <w:t xml:space="preserve">This study was part of a project exploring hyperglycemia in pregnancy, funded by Al </w:t>
      </w:r>
      <w:proofErr w:type="spellStart"/>
      <w:r>
        <w:rPr>
          <w:rFonts w:ascii="Book Antiqua" w:eastAsia="Book Antiqua" w:hAnsi="Book Antiqua" w:cs="Book Antiqua"/>
          <w:color w:val="000000"/>
        </w:rPr>
        <w:t>Jalila</w:t>
      </w:r>
      <w:proofErr w:type="spellEnd"/>
      <w:r>
        <w:rPr>
          <w:rFonts w:ascii="Book Antiqua" w:eastAsia="Book Antiqua" w:hAnsi="Book Antiqua" w:cs="Book Antiqua"/>
          <w:color w:val="000000"/>
        </w:rPr>
        <w:t xml:space="preserve"> Foundation, Dubai, </w:t>
      </w:r>
      <w:r w:rsidR="00A6489F">
        <w:rPr>
          <w:rFonts w:ascii="Book Antiqua" w:eastAsia="Book Antiqua" w:hAnsi="Book Antiqua" w:cs="Book Antiqua"/>
          <w:color w:val="000000"/>
        </w:rPr>
        <w:t>United Arab Emirates</w:t>
      </w:r>
      <w:r>
        <w:rPr>
          <w:rFonts w:ascii="Book Antiqua" w:eastAsia="Book Antiqua" w:hAnsi="Book Antiqua" w:cs="Book Antiqua"/>
          <w:color w:val="000000"/>
        </w:rPr>
        <w:t>, under Grant No. AJF2015, dated November 8, 2015. Ethical approval was granted by the Dubai Scientific Research Ethics Committee of the DHA, with Reference No. DSREC: 12/2015</w:t>
      </w:r>
      <w:r w:rsidR="005A3E33">
        <w:rPr>
          <w:rFonts w:ascii="Book Antiqua" w:eastAsia="Book Antiqua" w:hAnsi="Book Antiqua" w:cs="Book Antiqua"/>
          <w:color w:val="000000"/>
        </w:rPr>
        <w:t xml:space="preserve">_05; dated November 29, 2015. </w:t>
      </w:r>
      <w:r>
        <w:rPr>
          <w:rFonts w:ascii="Book Antiqua" w:eastAsia="Book Antiqua" w:hAnsi="Book Antiqua" w:cs="Book Antiqua"/>
          <w:color w:val="000000"/>
        </w:rPr>
        <w:t>Data were anonymously collected for each participant in the study.</w:t>
      </w:r>
    </w:p>
    <w:p w14:paraId="1938FAD0" w14:textId="77777777" w:rsidR="00A77B3E" w:rsidRDefault="00A77B3E">
      <w:pPr>
        <w:spacing w:line="360" w:lineRule="auto"/>
        <w:jc w:val="both"/>
      </w:pPr>
    </w:p>
    <w:bookmarkEnd w:id="72"/>
    <w:bookmarkEnd w:id="73"/>
    <w:p w14:paraId="39FAB5E9" w14:textId="77777777" w:rsidR="00A77B3E" w:rsidRDefault="0015373B">
      <w:pPr>
        <w:spacing w:line="360" w:lineRule="auto"/>
        <w:jc w:val="both"/>
      </w:pPr>
      <w:r>
        <w:rPr>
          <w:rFonts w:ascii="Book Antiqua" w:eastAsia="Book Antiqua" w:hAnsi="Book Antiqua" w:cs="Book Antiqua"/>
          <w:b/>
          <w:caps/>
          <w:color w:val="000000"/>
          <w:u w:val="single"/>
        </w:rPr>
        <w:t>RESULTS</w:t>
      </w:r>
    </w:p>
    <w:p w14:paraId="622175E6" w14:textId="77777777" w:rsidR="00A77B3E" w:rsidRPr="005A3E33" w:rsidRDefault="005A3E33">
      <w:pPr>
        <w:spacing w:line="360" w:lineRule="auto"/>
        <w:jc w:val="both"/>
        <w:rPr>
          <w:lang w:eastAsia="zh-CN"/>
        </w:rPr>
      </w:pPr>
      <w:bookmarkStart w:id="74" w:name="OLE_LINK151"/>
      <w:bookmarkStart w:id="75" w:name="OLE_LINK152"/>
      <w:r>
        <w:rPr>
          <w:rFonts w:ascii="Book Antiqua" w:eastAsia="Book Antiqua" w:hAnsi="Book Antiqua" w:cs="Book Antiqua"/>
          <w:b/>
          <w:bCs/>
          <w:i/>
          <w:iCs/>
          <w:color w:val="000000"/>
        </w:rPr>
        <w:t xml:space="preserve">Demographics of </w:t>
      </w:r>
      <w:r w:rsidR="009D3B61">
        <w:rPr>
          <w:rFonts w:ascii="Book Antiqua" w:hAnsi="Book Antiqua" w:cs="Book Antiqua" w:hint="eastAsia"/>
          <w:b/>
          <w:bCs/>
          <w:i/>
          <w:iCs/>
          <w:color w:val="000000"/>
          <w:lang w:eastAsia="zh-CN"/>
        </w:rPr>
        <w:t>E</w:t>
      </w:r>
      <w:r w:rsidR="0015373B">
        <w:rPr>
          <w:rFonts w:ascii="Book Antiqua" w:eastAsia="Book Antiqua" w:hAnsi="Book Antiqua" w:cs="Book Antiqua"/>
          <w:b/>
          <w:bCs/>
          <w:i/>
          <w:iCs/>
          <w:color w:val="000000"/>
        </w:rPr>
        <w:t>mirati women successfully followed up in 2016</w:t>
      </w:r>
    </w:p>
    <w:p w14:paraId="38B4D29F" w14:textId="77777777" w:rsidR="00A77B3E" w:rsidRDefault="0015373B">
      <w:pPr>
        <w:spacing w:line="360" w:lineRule="auto"/>
        <w:jc w:val="both"/>
      </w:pPr>
      <w:r>
        <w:rPr>
          <w:rFonts w:ascii="Book Antiqua" w:eastAsia="Book Antiqua" w:hAnsi="Book Antiqua" w:cs="Book Antiqua"/>
          <w:color w:val="000000"/>
        </w:rPr>
        <w:t xml:space="preserve">Table 1 summarizes the age, BMI, parity, and outcomes of pregnancy in 1231 Emirati women, who delivered at Latifa Women and Children Hospital and Dubai Hospital in 2007 and were successfully followed up in 2016. </w:t>
      </w:r>
    </w:p>
    <w:p w14:paraId="0C00DDFB" w14:textId="77777777" w:rsidR="00A77B3E" w:rsidRDefault="00A77B3E">
      <w:pPr>
        <w:spacing w:line="360" w:lineRule="auto"/>
        <w:jc w:val="both"/>
      </w:pPr>
    </w:p>
    <w:p w14:paraId="18508CD9" w14:textId="77777777" w:rsidR="00A77B3E" w:rsidRDefault="0015373B">
      <w:pPr>
        <w:spacing w:line="360" w:lineRule="auto"/>
        <w:jc w:val="both"/>
      </w:pPr>
      <w:r>
        <w:rPr>
          <w:rFonts w:ascii="Book Antiqua" w:eastAsia="Book Antiqua" w:hAnsi="Book Antiqua" w:cs="Book Antiqua"/>
          <w:b/>
          <w:bCs/>
          <w:i/>
          <w:iCs/>
          <w:color w:val="000000"/>
        </w:rPr>
        <w:t>Prevalence of GDM and T2D in 2007</w:t>
      </w:r>
    </w:p>
    <w:p w14:paraId="6538302E" w14:textId="77777777" w:rsidR="00A77B3E" w:rsidRDefault="0015373B">
      <w:pPr>
        <w:spacing w:line="360" w:lineRule="auto"/>
        <w:jc w:val="both"/>
      </w:pPr>
      <w:r>
        <w:rPr>
          <w:rFonts w:ascii="Book Antiqua" w:eastAsia="Book Antiqua" w:hAnsi="Book Antiqua" w:cs="Book Antiqua"/>
          <w:color w:val="000000"/>
        </w:rPr>
        <w:lastRenderedPageBreak/>
        <w:t>Combining the FBG and 2hrBG IADPSG criteria, the prevalence of GDM in pregnant Emirati women in 2007 was 1057/4603 (23%), while that of pre-pregnancy T2D, based on ADA criteria, was 230/4603 (5%). Among the subset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followed up in 2016 (Table 2), the prevalence of GDM in 2007 was 362/1231 (29.4%), while that of pre-pregnancy T2D was 36/1231 (2.9%). The proportion of women diagnosed with GDM based on a raised FBG level (267) was 1.8 times higher than that of those diagnosed based on a raised 2hrBG level (147). </w:t>
      </w:r>
    </w:p>
    <w:p w14:paraId="379D3C43" w14:textId="77777777" w:rsidR="00A77B3E" w:rsidRDefault="00A77B3E">
      <w:pPr>
        <w:spacing w:line="360" w:lineRule="auto"/>
        <w:jc w:val="both"/>
      </w:pPr>
    </w:p>
    <w:p w14:paraId="261DB13B" w14:textId="77777777" w:rsidR="00A77B3E" w:rsidRDefault="0015373B">
      <w:pPr>
        <w:spacing w:line="360" w:lineRule="auto"/>
        <w:jc w:val="both"/>
      </w:pPr>
      <w:r>
        <w:rPr>
          <w:rFonts w:ascii="Book Antiqua" w:eastAsia="Book Antiqua" w:hAnsi="Book Antiqua" w:cs="Book Antiqua"/>
          <w:b/>
          <w:bCs/>
          <w:i/>
          <w:iCs/>
          <w:color w:val="000000"/>
        </w:rPr>
        <w:t>Incidence of T2D in 2016</w:t>
      </w:r>
    </w:p>
    <w:p w14:paraId="5C24E492" w14:textId="77777777" w:rsidR="00A77B3E" w:rsidRDefault="0015373B">
      <w:pPr>
        <w:spacing w:line="360" w:lineRule="auto"/>
        <w:jc w:val="both"/>
      </w:pPr>
      <w:r>
        <w:rPr>
          <w:rFonts w:ascii="Book Antiqua" w:eastAsia="Book Antiqua" w:hAnsi="Book Antiqua" w:cs="Book Antiqua"/>
          <w:color w:val="000000"/>
        </w:rPr>
        <w:t>The glycemic status in 2016 of the same cohort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who were previously tested in 2007, is displayed in Table 3. Of those, 872 underwent FBG test only, 118 postprandial 2hrBG test only, while the remaining 241 underwent a complete OGTT. Based on the ADA criteria, the overall number of women who developed T2D increased from 36 (2.9%) in 2007 to 141 (11.5%) in 2016, </w:t>
      </w:r>
      <w:r w:rsidR="009D3B61">
        <w:rPr>
          <w:rFonts w:ascii="Book Antiqua" w:eastAsia="Book Antiqua" w:hAnsi="Book Antiqua" w:cs="Book Antiqua"/>
          <w:color w:val="000000"/>
        </w:rPr>
        <w:t xml:space="preserve">a four-fold increase (Tables 2 </w:t>
      </w:r>
      <w:r w:rsidR="009D3B61">
        <w:rPr>
          <w:rFonts w:ascii="Book Antiqua" w:hAnsi="Book Antiqua" w:cs="Book Antiqua" w:hint="eastAsia"/>
          <w:color w:val="000000"/>
          <w:lang w:eastAsia="zh-CN"/>
        </w:rPr>
        <w:t>and</w:t>
      </w:r>
      <w:r>
        <w:rPr>
          <w:rFonts w:ascii="Book Antiqua" w:eastAsia="Book Antiqua" w:hAnsi="Book Antiqua" w:cs="Book Antiqua"/>
          <w:color w:val="000000"/>
        </w:rPr>
        <w:t xml:space="preserve"> 3). The incidence of T2D over a 9-year period was estimated as follows: (141</w:t>
      </w:r>
      <w:r w:rsidR="009D3B61">
        <w:rPr>
          <w:rFonts w:ascii="Book Antiqua" w:hAnsi="Book Antiqua" w:cs="Book Antiqua" w:hint="eastAsia"/>
          <w:color w:val="000000"/>
          <w:lang w:eastAsia="zh-CN"/>
        </w:rPr>
        <w:t xml:space="preserve"> </w:t>
      </w:r>
      <w:r w:rsidR="009D3B61">
        <w:rPr>
          <w:rFonts w:ascii="Book Antiqua" w:eastAsia="Book Antiqua" w:hAnsi="Book Antiqua" w:cs="Book Antiqua"/>
          <w:color w:val="000000"/>
        </w:rPr>
        <w:t>–</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36</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105)/9 = 11.7 per 1000 Emirati women per year. All the women tested in the initial observation period in 2007 were also tested during the follow-up period in 2016. Therefore, the incidence density of T2D was the same as the incidence rate. </w:t>
      </w:r>
    </w:p>
    <w:p w14:paraId="0E61A177" w14:textId="77777777" w:rsidR="00A77B3E" w:rsidRDefault="00A77B3E">
      <w:pPr>
        <w:spacing w:line="360" w:lineRule="auto"/>
        <w:jc w:val="both"/>
      </w:pPr>
    </w:p>
    <w:p w14:paraId="527BFF56" w14:textId="77777777" w:rsidR="00A77B3E" w:rsidRDefault="0015373B">
      <w:pPr>
        <w:spacing w:line="360" w:lineRule="auto"/>
        <w:jc w:val="both"/>
      </w:pPr>
      <w:r>
        <w:rPr>
          <w:rFonts w:ascii="Book Antiqua" w:eastAsia="Book Antiqua" w:hAnsi="Book Antiqua" w:cs="Book Antiqua"/>
          <w:b/>
          <w:bCs/>
          <w:i/>
          <w:iCs/>
          <w:color w:val="000000"/>
        </w:rPr>
        <w:t>Conversion of GDM to T2D</w:t>
      </w:r>
    </w:p>
    <w:p w14:paraId="79FF6D6A" w14:textId="77777777" w:rsidR="00A77B3E" w:rsidRDefault="0015373B">
      <w:pPr>
        <w:spacing w:line="360" w:lineRule="auto"/>
        <w:jc w:val="both"/>
      </w:pPr>
      <w:r>
        <w:rPr>
          <w:rFonts w:ascii="Book Antiqua" w:eastAsia="Book Antiqua" w:hAnsi="Book Antiqua" w:cs="Book Antiqua"/>
          <w:color w:val="000000"/>
        </w:rPr>
        <w:t>To measure the conversion rate of GDM to T2D, the IADPSG glycemic indices of the cohort of Emirati women in 2007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were cross tabulated against the ADA glycemic indices of the same cohort in 2016 (Table 4). Based on the isolated FBG, out of the 267 pregnant women with GDM in 2007, 69 (26 %) developed T2D, 89 (33%) developed IFG, 9 (3%) developed IGT, and the remaining 100 (38%) had normal glycemia in 2016. </w:t>
      </w:r>
    </w:p>
    <w:p w14:paraId="57158048" w14:textId="77777777" w:rsidR="00A77B3E" w:rsidRDefault="0015373B" w:rsidP="009D3B61">
      <w:pPr>
        <w:spacing w:line="360" w:lineRule="auto"/>
        <w:ind w:firstLineChars="100" w:firstLine="240"/>
        <w:jc w:val="both"/>
      </w:pPr>
      <w:r>
        <w:rPr>
          <w:rFonts w:ascii="Book Antiqua" w:eastAsia="Book Antiqua" w:hAnsi="Book Antiqua" w:cs="Book Antiqua"/>
          <w:color w:val="000000"/>
        </w:rPr>
        <w:t xml:space="preserve">Regarding isolated 2hrBG, out of the 147 pregnant women with GDM in 2007, 27 (18%) developed T2D, 53 (36%) developed IFG, 20 (14%) developed IGT, and the remaining 47 (32%) had normal glycemia in 2016. Based on associated FBG and 2hrBG, </w:t>
      </w:r>
      <w:r>
        <w:rPr>
          <w:rFonts w:ascii="Book Antiqua" w:eastAsia="Book Antiqua" w:hAnsi="Book Antiqua" w:cs="Book Antiqua"/>
          <w:color w:val="000000"/>
        </w:rPr>
        <w:lastRenderedPageBreak/>
        <w:t xml:space="preserve">out of the 362 pregnant women with GDM in 2007, 96 (27%) developed T2D, 142 (39%) developed IFG, 29 (8.0%) developed IGT, and the remaining 95 (26%) had normal glycemia in 2016. </w:t>
      </w:r>
    </w:p>
    <w:p w14:paraId="6EE71EE6" w14:textId="77777777" w:rsidR="00A77B3E" w:rsidRDefault="0015373B" w:rsidP="009D3B61">
      <w:pPr>
        <w:spacing w:line="360" w:lineRule="auto"/>
        <w:ind w:firstLineChars="100" w:firstLine="240"/>
        <w:jc w:val="both"/>
      </w:pPr>
      <w:r>
        <w:rPr>
          <w:rFonts w:ascii="Book Antiqua" w:eastAsia="Book Antiqua" w:hAnsi="Book Antiqua" w:cs="Book Antiqua"/>
          <w:color w:val="000000"/>
        </w:rPr>
        <w:t>The conversion rate of GDM to IFG (33</w:t>
      </w:r>
      <w:r w:rsidR="009D3B61">
        <w:rPr>
          <w:rFonts w:ascii="Book Antiqua" w:hAnsi="Book Antiqua" w:cs="Book Antiqua" w:hint="eastAsia"/>
          <w:color w:val="000000"/>
          <w:lang w:eastAsia="zh-CN"/>
        </w:rPr>
        <w:t>%</w:t>
      </w:r>
      <w:r>
        <w:rPr>
          <w:rFonts w:ascii="Book Antiqua" w:eastAsia="Book Antiqua" w:hAnsi="Book Antiqua" w:cs="Book Antiqua"/>
          <w:color w:val="000000"/>
        </w:rPr>
        <w:t>-39%), was much higher than that of GDM to IGT (3</w:t>
      </w:r>
      <w:r w:rsidR="009D3B61">
        <w:rPr>
          <w:rFonts w:ascii="Book Antiqua" w:hAnsi="Book Antiqua" w:cs="Book Antiqua" w:hint="eastAsia"/>
          <w:color w:val="000000"/>
          <w:lang w:eastAsia="zh-CN"/>
        </w:rPr>
        <w:t>%</w:t>
      </w:r>
      <w:r>
        <w:rPr>
          <w:rFonts w:ascii="Book Antiqua" w:eastAsia="Book Antiqua" w:hAnsi="Book Antiqua" w:cs="Book Antiqua"/>
          <w:color w:val="000000"/>
        </w:rPr>
        <w:t xml:space="preserve">-14%). The prevalence of T2D, based on ADA criteria increased from 36/1231 (2.9%) in 2007 to 141/1231 (11.5%), in 2016. Women with raised FBG levels had a higher risk of developing T2D, compared with those with raised postprandial 2hrBG levels. </w:t>
      </w:r>
    </w:p>
    <w:p w14:paraId="3399481B" w14:textId="77777777" w:rsidR="00A77B3E" w:rsidRPr="009D3B61" w:rsidRDefault="0015373B" w:rsidP="009D3B61">
      <w:pPr>
        <w:spacing w:line="360" w:lineRule="auto"/>
        <w:ind w:firstLineChars="100" w:firstLine="240"/>
        <w:jc w:val="both"/>
        <w:rPr>
          <w:lang w:eastAsia="zh-CN"/>
        </w:rPr>
      </w:pPr>
      <w:r>
        <w:rPr>
          <w:rFonts w:ascii="Book Antiqua" w:eastAsia="Book Antiqua" w:hAnsi="Book Antiqua" w:cs="Book Antiqua"/>
          <w:color w:val="000000"/>
        </w:rPr>
        <w:t>The sensitivi</w:t>
      </w:r>
      <w:r w:rsidR="00FE4EDC">
        <w:rPr>
          <w:rFonts w:ascii="Book Antiqua" w:eastAsia="Book Antiqua" w:hAnsi="Book Antiqua" w:cs="Book Antiqua"/>
          <w:color w:val="000000"/>
        </w:rPr>
        <w:t>ty and specificity of FBG and 2</w:t>
      </w:r>
      <w:r w:rsidR="00FE4EDC">
        <w:rPr>
          <w:rFonts w:ascii="Book Antiqua" w:hAnsi="Book Antiqua" w:cs="Book Antiqua" w:hint="eastAsia"/>
          <w:color w:val="000000"/>
          <w:lang w:eastAsia="zh-CN"/>
        </w:rPr>
        <w:t>h</w:t>
      </w:r>
      <w:r>
        <w:rPr>
          <w:rFonts w:ascii="Book Antiqua" w:eastAsia="Book Antiqua" w:hAnsi="Book Antiqua" w:cs="Book Antiqua"/>
          <w:color w:val="000000"/>
        </w:rPr>
        <w:t>rBG tests in predicting T2D following GDM in Emirati women are shown in Table 5. The sensitivity of FBG was 82.3% (95%CI: 72.1, 90.0) while specificity was 55.1% (95%CI: 0.50,</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0.60). The PPV for FBG of 24.3% suggests that, if a woman was positive for GDM in 2007, the probability of developing T2D in 2016 was about 24%. The </w:t>
      </w:r>
      <w:r w:rsidR="009D3B61">
        <w:rPr>
          <w:rFonts w:ascii="Book Antiqua" w:eastAsia="Book Antiqua" w:hAnsi="Book Antiqua" w:cs="Book Antiqua"/>
          <w:color w:val="000000"/>
        </w:rPr>
        <w:t>negative predictive val</w:t>
      </w:r>
      <w:r>
        <w:rPr>
          <w:rFonts w:ascii="Book Antiqua" w:eastAsia="Book Antiqua" w:hAnsi="Book Antiqua" w:cs="Book Antiqua"/>
          <w:color w:val="000000"/>
        </w:rPr>
        <w:t>ue (NPV) for FBG implied that, if a woman was negative for GDM in 2007, the probability of maintaining normal FBG levels was about 95%.</w:t>
      </w:r>
    </w:p>
    <w:p w14:paraId="1A6FF2AD" w14:textId="77777777" w:rsidR="00A77B3E" w:rsidRPr="00E50E79" w:rsidRDefault="0015373B" w:rsidP="00E50E79">
      <w:pPr>
        <w:spacing w:line="360" w:lineRule="auto"/>
        <w:ind w:firstLineChars="100" w:firstLine="240"/>
        <w:jc w:val="both"/>
        <w:rPr>
          <w:lang w:eastAsia="zh-CN"/>
        </w:rPr>
      </w:pPr>
      <w:r>
        <w:rPr>
          <w:rFonts w:ascii="Book Antiqua" w:eastAsia="Book Antiqua" w:hAnsi="Book Antiqua" w:cs="Book Antiqua"/>
          <w:color w:val="000000"/>
        </w:rPr>
        <w:t>The opposite is being observed in the predictability of T2D in 2016 using the 2hrBG in the diagnosis of GDM in 2007. The sensitivity of t</w:t>
      </w:r>
      <w:r w:rsidR="009D3B61">
        <w:rPr>
          <w:rFonts w:ascii="Book Antiqua" w:eastAsia="Book Antiqua" w:hAnsi="Book Antiqua" w:cs="Book Antiqua"/>
          <w:color w:val="000000"/>
        </w:rPr>
        <w:t>he 2hrBG test was 20.0% (</w:t>
      </w:r>
      <w:r w:rsidR="009D3B61">
        <w:rPr>
          <w:rFonts w:ascii="Book Antiqua" w:hAnsi="Book Antiqua" w:cs="Book Antiqua" w:hint="eastAsia"/>
          <w:color w:val="000000"/>
          <w:lang w:eastAsia="zh-CN"/>
        </w:rPr>
        <w:t>95</w:t>
      </w:r>
      <w:r w:rsidR="00E50E79">
        <w:rPr>
          <w:rFonts w:ascii="Book Antiqua" w:hAnsi="Book Antiqua" w:cs="Book Antiqua" w:hint="eastAsia"/>
          <w:color w:val="000000"/>
          <w:lang w:eastAsia="zh-CN"/>
        </w:rPr>
        <w:t>%</w:t>
      </w:r>
      <w:r w:rsidR="00E50E79">
        <w:rPr>
          <w:rFonts w:ascii="Book Antiqua" w:eastAsia="Book Antiqua" w:hAnsi="Book Antiqua" w:cs="Book Antiqua"/>
          <w:color w:val="000000"/>
        </w:rPr>
        <w:t>CI</w:t>
      </w:r>
      <w:r w:rsidR="00D340CF">
        <w:rPr>
          <w:rFonts w:ascii="Book Antiqua" w:eastAsia="Book Antiqua" w:hAnsi="Book Antiqua" w:cs="Book Antiqua"/>
          <w:color w:val="000000"/>
        </w:rPr>
        <w:t>:</w:t>
      </w:r>
      <w:r w:rsidR="00D340CF">
        <w:rPr>
          <w:rFonts w:ascii="Book Antiqua" w:hAnsi="Book Antiqua" w:cs="Book Antiqua" w:hint="eastAsia"/>
          <w:color w:val="000000"/>
          <w:lang w:eastAsia="zh-CN"/>
        </w:rPr>
        <w:t xml:space="preserve"> </w:t>
      </w:r>
      <w:r w:rsidR="009D3B61">
        <w:rPr>
          <w:rFonts w:ascii="Book Antiqua" w:eastAsia="Book Antiqua" w:hAnsi="Book Antiqua" w:cs="Book Antiqua"/>
          <w:color w:val="000000"/>
        </w:rPr>
        <w:t>0</w:t>
      </w:r>
      <w:r w:rsidR="009D3B61">
        <w:rPr>
          <w:rFonts w:ascii="Book Antiqua" w:hAnsi="Book Antiqua" w:cs="Book Antiqua" w:hint="eastAsia"/>
          <w:color w:val="000000"/>
          <w:lang w:eastAsia="zh-CN"/>
        </w:rPr>
        <w:t>.</w:t>
      </w:r>
      <w:r w:rsidR="00E50E79">
        <w:rPr>
          <w:rFonts w:ascii="Book Antiqua" w:hAnsi="Book Antiqua" w:cs="Book Antiqua" w:hint="eastAsia"/>
          <w:color w:val="000000"/>
          <w:lang w:eastAsia="zh-CN"/>
        </w:rPr>
        <w:t>0</w:t>
      </w:r>
      <w:r>
        <w:rPr>
          <w:rFonts w:ascii="Book Antiqua" w:eastAsia="Book Antiqua" w:hAnsi="Book Antiqua" w:cs="Book Antiqua"/>
          <w:color w:val="000000"/>
        </w:rPr>
        <w:t>5,</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0.716), while the specificity w</w:t>
      </w:r>
      <w:r w:rsidR="00D340CF">
        <w:rPr>
          <w:rFonts w:ascii="Book Antiqua" w:eastAsia="Book Antiqua" w:hAnsi="Book Antiqua" w:cs="Book Antiqua"/>
          <w:color w:val="000000"/>
        </w:rPr>
        <w:t xml:space="preserve">as 88.3% (95%CI: </w:t>
      </w:r>
      <w:r w:rsidR="00D340CF">
        <w:rPr>
          <w:rFonts w:ascii="Book Antiqua" w:hAnsi="Book Antiqua" w:cs="Book Antiqua" w:hint="eastAsia"/>
          <w:color w:val="000000"/>
          <w:lang w:eastAsia="zh-CN"/>
        </w:rPr>
        <w:t>0.</w:t>
      </w:r>
      <w:r w:rsidR="00D340CF">
        <w:rPr>
          <w:rFonts w:ascii="Book Antiqua" w:eastAsia="Book Antiqua" w:hAnsi="Book Antiqua" w:cs="Book Antiqua"/>
          <w:color w:val="000000"/>
        </w:rPr>
        <w:t>84</w:t>
      </w:r>
      <w:r w:rsidR="009D3B61">
        <w:rPr>
          <w:rFonts w:ascii="Book Antiqua" w:eastAsia="Book Antiqua" w:hAnsi="Book Antiqua" w:cs="Book Antiqua"/>
          <w:color w:val="000000"/>
        </w:rPr>
        <w:t xml:space="preserve">5, 0.92). </w:t>
      </w:r>
      <w:r>
        <w:rPr>
          <w:rFonts w:ascii="Book Antiqua" w:eastAsia="Book Antiqua" w:hAnsi="Book Antiqua" w:cs="Book Antiqua"/>
          <w:color w:val="000000"/>
        </w:rPr>
        <w:t>The PPV value suggests that if a woman was positive for GDM in 2007, the probability of developing T2D in 2016 was about 3%. The NPV implied that if a woman was negative for GDM in 2007, the probability of maintaining normal 2hrBG levels was about 98%.</w:t>
      </w:r>
    </w:p>
    <w:p w14:paraId="53BD9988" w14:textId="77777777" w:rsidR="00A77B3E" w:rsidRDefault="0015373B" w:rsidP="00E50E79">
      <w:pPr>
        <w:spacing w:line="360" w:lineRule="auto"/>
        <w:ind w:firstLineChars="100" w:firstLine="240"/>
        <w:jc w:val="both"/>
      </w:pPr>
      <w:r>
        <w:rPr>
          <w:rFonts w:ascii="Book Antiqua" w:eastAsia="Book Antiqua" w:hAnsi="Book Antiqua" w:cs="Book Antiqua"/>
          <w:color w:val="000000"/>
        </w:rPr>
        <w:t>The sensitivities and specificities of various cut-off values for FBG in 2007 were estimated against the test results in 20</w:t>
      </w:r>
      <w:r w:rsidR="00D340CF">
        <w:rPr>
          <w:rFonts w:ascii="Book Antiqua" w:eastAsia="Book Antiqua" w:hAnsi="Book Antiqua" w:cs="Book Antiqua"/>
          <w:color w:val="000000"/>
        </w:rPr>
        <w:t xml:space="preserve">16 (GS: T2D and </w:t>
      </w:r>
      <w:r w:rsidR="00D340CF">
        <w:rPr>
          <w:rFonts w:ascii="Book Antiqua" w:hAnsi="Book Antiqua" w:cs="Book Antiqua" w:hint="eastAsia"/>
          <w:color w:val="000000"/>
          <w:lang w:eastAsia="zh-CN"/>
        </w:rPr>
        <w:t>n</w:t>
      </w:r>
      <w:r>
        <w:rPr>
          <w:rFonts w:ascii="Book Antiqua" w:eastAsia="Book Antiqua" w:hAnsi="Book Antiqua" w:cs="Book Antiqua"/>
          <w:color w:val="000000"/>
        </w:rPr>
        <w:t>ormal). Using the Youden Index, a cut off value of FBG ≥</w:t>
      </w:r>
      <w:r w:rsidR="00D340CF">
        <w:rPr>
          <w:rFonts w:ascii="Book Antiqua" w:hAnsi="Book Antiqua" w:cs="Book Antiqua" w:hint="eastAsia"/>
          <w:color w:val="000000"/>
          <w:lang w:eastAsia="zh-CN"/>
        </w:rPr>
        <w:t xml:space="preserve"> </w:t>
      </w:r>
      <w:r>
        <w:rPr>
          <w:rFonts w:ascii="Book Antiqua" w:eastAsia="Book Antiqua" w:hAnsi="Book Antiqua" w:cs="Book Antiqua"/>
          <w:color w:val="000000"/>
        </w:rPr>
        <w:t>103 mg/dL in 2007, above which T2D was diagnosed in 2016, was identified. This cut off value provided a sensitivity and specificity o</w:t>
      </w:r>
      <w:r w:rsidR="00D340CF">
        <w:rPr>
          <w:rFonts w:ascii="Book Antiqua" w:eastAsia="Book Antiqua" w:hAnsi="Book Antiqua" w:cs="Book Antiqua"/>
          <w:color w:val="000000"/>
        </w:rPr>
        <w:t>f 76.9% and 68.1% respectively.</w:t>
      </w:r>
      <w:r>
        <w:rPr>
          <w:rFonts w:ascii="Book Antiqua" w:eastAsia="Book Antiqua" w:hAnsi="Book Antiqua" w:cs="Book Antiqua"/>
          <w:color w:val="000000"/>
        </w:rPr>
        <w:t xml:space="preserve"> The </w:t>
      </w:r>
      <w:r w:rsidR="00D340CF">
        <w:rPr>
          <w:rFonts w:ascii="Book Antiqua" w:eastAsia="Book Antiqua" w:hAnsi="Book Antiqua" w:cs="Book Antiqua"/>
          <w:color w:val="000000"/>
        </w:rPr>
        <w:t>area und</w:t>
      </w:r>
      <w:r>
        <w:rPr>
          <w:rFonts w:ascii="Book Antiqua" w:eastAsia="Book Antiqua" w:hAnsi="Book Antiqua" w:cs="Book Antiqua"/>
          <w:color w:val="000000"/>
        </w:rPr>
        <w:t>er the ROC Curve was 77.2% (</w:t>
      </w:r>
      <w:r w:rsidR="00D340CF" w:rsidRPr="00D340CF">
        <w:rPr>
          <w:rFonts w:ascii="Book Antiqua" w:eastAsia="Book Antiqua" w:hAnsi="Book Antiqua" w:cs="Book Antiqua"/>
          <w:i/>
          <w:color w:val="000000"/>
        </w:rPr>
        <w:t>P</w:t>
      </w:r>
      <w:r w:rsidR="00D340C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340CF">
        <w:rPr>
          <w:rFonts w:ascii="Book Antiqua" w:hAnsi="Book Antiqua" w:cs="Book Antiqua" w:hint="eastAsia"/>
          <w:color w:val="000000"/>
          <w:lang w:eastAsia="zh-CN"/>
        </w:rPr>
        <w:t xml:space="preserve"> 0</w:t>
      </w:r>
      <w:r w:rsidR="00D340CF">
        <w:rPr>
          <w:rFonts w:ascii="Book Antiqua" w:eastAsia="Book Antiqua" w:hAnsi="Book Antiqua" w:cs="Book Antiqua"/>
          <w:color w:val="000000"/>
        </w:rPr>
        <w:t>.001).</w:t>
      </w:r>
      <w:r>
        <w:rPr>
          <w:rFonts w:ascii="Book Antiqua" w:eastAsia="Book Antiqua" w:hAnsi="Book Antiqua" w:cs="Book Antiqua"/>
          <w:color w:val="000000"/>
        </w:rPr>
        <w:t xml:space="preserve"> Thus, the FBG level ≥</w:t>
      </w:r>
      <w:r w:rsidR="00D340C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103 mg/dL </w:t>
      </w:r>
      <w:proofErr w:type="gramStart"/>
      <w:r>
        <w:rPr>
          <w:rFonts w:ascii="Book Antiqua" w:eastAsia="Book Antiqua" w:hAnsi="Book Antiqua" w:cs="Book Antiqua"/>
          <w:color w:val="000000"/>
        </w:rPr>
        <w:t>at</w:t>
      </w:r>
      <w:proofErr w:type="gramEnd"/>
      <w:r>
        <w:rPr>
          <w:rFonts w:ascii="Book Antiqua" w:eastAsia="Book Antiqua" w:hAnsi="Book Antiqua" w:cs="Book Antiqua"/>
          <w:color w:val="000000"/>
        </w:rPr>
        <w:t xml:space="preserve"> 2007 significantly predicted the T2D status in 2016. The 2hrBG levels could not be tested due to the small number who converted to T2D.</w:t>
      </w:r>
    </w:p>
    <w:p w14:paraId="2BB7E993" w14:textId="77777777" w:rsidR="00A77B3E" w:rsidRDefault="00A77B3E">
      <w:pPr>
        <w:spacing w:line="360" w:lineRule="auto"/>
        <w:jc w:val="both"/>
      </w:pPr>
    </w:p>
    <w:bookmarkEnd w:id="74"/>
    <w:bookmarkEnd w:id="75"/>
    <w:p w14:paraId="498866D9" w14:textId="77777777" w:rsidR="00A77B3E" w:rsidRDefault="0015373B">
      <w:pPr>
        <w:spacing w:line="360" w:lineRule="auto"/>
        <w:jc w:val="both"/>
      </w:pPr>
      <w:r>
        <w:rPr>
          <w:rFonts w:ascii="Book Antiqua" w:eastAsia="Book Antiqua" w:hAnsi="Book Antiqua" w:cs="Book Antiqua"/>
          <w:b/>
          <w:caps/>
          <w:color w:val="000000"/>
          <w:u w:val="single"/>
        </w:rPr>
        <w:t>DISCUSSION</w:t>
      </w:r>
    </w:p>
    <w:p w14:paraId="10DE6063" w14:textId="77777777" w:rsidR="00A77B3E" w:rsidRDefault="0015373B">
      <w:pPr>
        <w:spacing w:line="360" w:lineRule="auto"/>
        <w:jc w:val="both"/>
      </w:pPr>
      <w:bookmarkStart w:id="76" w:name="OLE_LINK153"/>
      <w:bookmarkStart w:id="77" w:name="OLE_LINK154"/>
      <w:r>
        <w:rPr>
          <w:rFonts w:ascii="Book Antiqua" w:eastAsia="Book Antiqua" w:hAnsi="Book Antiqua" w:cs="Book Antiqua"/>
          <w:color w:val="000000"/>
        </w:rPr>
        <w:lastRenderedPageBreak/>
        <w:t xml:space="preserve">Most studies that assessed the risk of developing T2D following a history of GDM were conducted in prospective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contrast, our cross-sectional retrospective study analyzed the clinical and laboratory data of a cohort of Emirati Arab women, obtained from the routine clinical practice in a tertiary obstetrics set-up. The data were intended for clinical service; however, it proved to be useful for determining the risk of T2D in women with a history of GDM nine years earlier. The results suggested that both raised FBG and 2hrBG levels are sensitive glycemic indicators of transition to prediabetes and T2D. Out of the 362 pregnant women with GDM in 2007, 27% developed T2D, 39% developed IFG, 8.0% developed IGT, and the remaining 26% had normal glycemia in 2016. The prevalence of T2D, based on the ADA criteria, increased from 2.9% in 2007 to 11.5%, in 2016. The conversion rate of GDM to T2D was higher in women with raised FBG levels (26%) than in women with raised 2hrBG levels (18%), indicating that the former group had a higher risk of developing T2D than the latter group. This was further supported by the OGTT ROC Curve indices. The PPV for FBG suggests that if a woman tested positive for GDM in 2007, the probability of developing T2D in 2016 was approximately 24%. The opposite is being observed in the predictability of T2D in 2016, using the 2hrBG. The PPV value suggests that, if a woman was positive for GDM in 2007, the probability of developing T2D in 2016 was only 3%. A similar trend of higher conversion rate of GDM to IFG was observed among women with raised FBG levels, compared with the rate of conversion of GDM to IGT among those with increased IGT. Our results agree with those of numerous previous studies referenced in several systematic reviews and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 6-7,11-12]</w:t>
      </w:r>
      <w:r>
        <w:rPr>
          <w:rFonts w:ascii="Book Antiqua" w:eastAsia="Book Antiqua" w:hAnsi="Book Antiqua" w:cs="Book Antiqua"/>
          <w:color w:val="000000"/>
        </w:rPr>
        <w:t xml:space="preserve">. </w:t>
      </w:r>
    </w:p>
    <w:p w14:paraId="3E24695E" w14:textId="77777777" w:rsidR="00A77B3E" w:rsidRDefault="0015373B" w:rsidP="00244661">
      <w:pPr>
        <w:spacing w:line="360" w:lineRule="auto"/>
        <w:ind w:firstLineChars="100" w:firstLine="240"/>
        <w:jc w:val="both"/>
      </w:pPr>
      <w:r>
        <w:rPr>
          <w:rFonts w:ascii="Book Antiqua" w:eastAsia="Book Antiqua" w:hAnsi="Book Antiqua" w:cs="Book Antiqua"/>
          <w:color w:val="000000"/>
        </w:rPr>
        <w:t xml:space="preserve">The impaired uptake of glucose under fasting conditions, as detected by the FBG test, is reflective of hepatic insulin resistance with normal muscle insulin sensitivity accompanied by a decrease in the early-phase insulin secretion. In contrast, the impaired tolerance for glucose, as detected by the 2hrBG test, indicates peripheral muscle insulin resistance with defects in both early and late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22-28]</w:t>
      </w:r>
      <w:r>
        <w:rPr>
          <w:rFonts w:ascii="Book Antiqua" w:eastAsia="Book Antiqua" w:hAnsi="Book Antiqua" w:cs="Book Antiqua"/>
          <w:color w:val="000000"/>
        </w:rPr>
        <w:t xml:space="preserve">. It is suggested that women with these two distinct metabolic states represent two distinct subtypes of </w:t>
      </w:r>
      <w:proofErr w:type="gramStart"/>
      <w:r>
        <w:rPr>
          <w:rFonts w:ascii="Book Antiqua" w:eastAsia="Book Antiqua" w:hAnsi="Book Antiqua" w:cs="Book Antiqua"/>
          <w:color w:val="000000"/>
        </w:rPr>
        <w:t>GDM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 xml:space="preserve">, depending on the defects in insulin sensitivity and/or secretion. </w:t>
      </w:r>
      <w:r>
        <w:rPr>
          <w:rFonts w:ascii="Book Antiqua" w:eastAsia="Book Antiqua" w:hAnsi="Book Antiqua" w:cs="Book Antiqua"/>
          <w:color w:val="000000"/>
        </w:rPr>
        <w:lastRenderedPageBreak/>
        <w:t xml:space="preserve">A GDM-sensitivity group with predominant peripheral resistance to the action of insulin exhibited high BMI and elevated levels of FBG and serum leptin. Patients with defective insulin secretion, the GDM-secretion group, had low BMI values, similar to those in the NGT group. The third group is the GDM-mixed group, characterized by both insulin sensitivity and secretion defects. Women in both the GDM-sensitivity group and GDM-mixed group had elevated FBG levels compared with those in the NGT group. Earlier studies on the risk of T2D following GDM did not consider these proposed subtypes of </w:t>
      </w:r>
      <w:proofErr w:type="gramStart"/>
      <w:r>
        <w:rPr>
          <w:rFonts w:ascii="Book Antiqua" w:eastAsia="Book Antiqua" w:hAnsi="Book Antiqua" w:cs="Book Antiqua"/>
          <w:color w:val="000000"/>
        </w:rPr>
        <w:t>GDM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It is possible, therefore, that the GDM subgroup in our cohort of Emirati women, with raised FBG levels and higher conversion rate to T2D, is congruent with the GDM-sensitivity group characterized by peripheral insulin resistance; whereas, the GDM subgroup with raised 2hrBG levels reflected insulin secretion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w:t>
      </w:r>
    </w:p>
    <w:p w14:paraId="15EB05DB" w14:textId="77777777" w:rsidR="00A77B3E" w:rsidRDefault="0015373B" w:rsidP="00374BFE">
      <w:pPr>
        <w:spacing w:line="360" w:lineRule="auto"/>
        <w:ind w:firstLineChars="100" w:firstLine="240"/>
        <w:jc w:val="both"/>
      </w:pPr>
      <w:r>
        <w:rPr>
          <w:rFonts w:ascii="Book Antiqua" w:eastAsia="Book Antiqua" w:hAnsi="Book Antiqua" w:cs="Book Antiqua"/>
          <w:color w:val="000000"/>
        </w:rPr>
        <w:t>Subtyping of both adult non-pregnant with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 xml:space="preserve"> and GDM</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patients represent serious attempts at resolving the heterogeneity of T2D, bringing the idea of personalized care closer, as pathophysiology is used to distinguish subtypes from each other. Different clinical management schemes are then tailored for each subtype. The use of the OGTT as a diagnostic tool has been discouraged over the past 20 years for various </w:t>
      </w:r>
      <w:proofErr w:type="gramStart"/>
      <w:r>
        <w:rPr>
          <w:rFonts w:ascii="Book Antiqua" w:eastAsia="Book Antiqua" w:hAnsi="Book Antiqua" w:cs="Book Antiqua"/>
          <w:color w:val="000000"/>
        </w:rPr>
        <w:t>reasons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However, insulin secretion and resistance could easily be deduced from assessing HOMA-B and HOMA-IR, if fasting serum insulin is measured during routine OGTT. The latter could then be instrumental in predicting T2D pathophysiology and possible subtypes.</w:t>
      </w:r>
    </w:p>
    <w:p w14:paraId="744C59B4" w14:textId="77777777" w:rsidR="00A77B3E" w:rsidRDefault="0015373B" w:rsidP="00374BFE">
      <w:pPr>
        <w:spacing w:line="360" w:lineRule="auto"/>
        <w:ind w:firstLineChars="100" w:firstLine="240"/>
        <w:jc w:val="both"/>
      </w:pPr>
      <w:r>
        <w:rPr>
          <w:rFonts w:ascii="Book Antiqua" w:eastAsia="Book Antiqua" w:hAnsi="Book Antiqua" w:cs="Book Antiqua"/>
          <w:color w:val="000000"/>
        </w:rPr>
        <w:t>A modified OGTT could become a powerful tool if extra parameters like fasting insulin and C-peptide, are measured simultaneously. It will help in identifying T2D subtypes and brings personalized patient care closer. Subtypes could then be matched with specific prevention programs like frequent follow-ups, lifestyle modifications, and new treatment protocols.</w:t>
      </w:r>
    </w:p>
    <w:p w14:paraId="301A429B" w14:textId="77777777" w:rsidR="00A77B3E" w:rsidRDefault="00A77B3E">
      <w:pPr>
        <w:spacing w:line="360" w:lineRule="auto"/>
        <w:jc w:val="both"/>
      </w:pPr>
    </w:p>
    <w:p w14:paraId="7A7A03A8" w14:textId="77777777" w:rsidR="00A77B3E" w:rsidRDefault="0015373B">
      <w:pPr>
        <w:spacing w:line="360" w:lineRule="auto"/>
        <w:jc w:val="both"/>
      </w:pPr>
      <w:r>
        <w:rPr>
          <w:rFonts w:ascii="Book Antiqua" w:eastAsia="Book Antiqua" w:hAnsi="Book Antiqua" w:cs="Book Antiqua"/>
          <w:b/>
          <w:bCs/>
          <w:i/>
          <w:iCs/>
          <w:color w:val="000000"/>
        </w:rPr>
        <w:t>Limits of the study</w:t>
      </w:r>
    </w:p>
    <w:p w14:paraId="35EB2B95" w14:textId="77777777" w:rsidR="00A77B3E" w:rsidRDefault="0015373B">
      <w:pPr>
        <w:spacing w:line="360" w:lineRule="auto"/>
        <w:jc w:val="both"/>
      </w:pPr>
      <w:r>
        <w:rPr>
          <w:rFonts w:ascii="Book Antiqua" w:eastAsia="Book Antiqua" w:hAnsi="Book Antiqua" w:cs="Book Antiqua"/>
          <w:color w:val="000000"/>
        </w:rPr>
        <w:lastRenderedPageBreak/>
        <w:t>This study, being retrospective in design, is limited. Fasting insulin and other hormones levels were not measured during routine hospital investigations. We could not obtain the indices for both secretion and resistance to the action of insulin, such as HOMA-B and HOMA-IR. A detailed prospective study will be essential for examining the trajectory of the conversion of GDM to T2D and the role that a modified OGTT could play in the dissection of the pathogenesis of the disease.</w:t>
      </w:r>
    </w:p>
    <w:bookmarkEnd w:id="76"/>
    <w:bookmarkEnd w:id="77"/>
    <w:p w14:paraId="19F3CE2B" w14:textId="77777777" w:rsidR="00A77B3E" w:rsidRDefault="00A77B3E">
      <w:pPr>
        <w:spacing w:line="360" w:lineRule="auto"/>
        <w:jc w:val="both"/>
      </w:pPr>
    </w:p>
    <w:p w14:paraId="393915B2" w14:textId="77777777" w:rsidR="00A77B3E" w:rsidRDefault="0015373B">
      <w:pPr>
        <w:spacing w:line="360" w:lineRule="auto"/>
        <w:jc w:val="both"/>
      </w:pPr>
      <w:r>
        <w:rPr>
          <w:rFonts w:ascii="Book Antiqua" w:eastAsia="Book Antiqua" w:hAnsi="Book Antiqua" w:cs="Book Antiqua"/>
          <w:b/>
          <w:caps/>
          <w:color w:val="000000"/>
          <w:u w:val="single"/>
        </w:rPr>
        <w:t>CONCLUSION</w:t>
      </w:r>
    </w:p>
    <w:p w14:paraId="5E0231D7" w14:textId="77777777" w:rsidR="00A77B3E" w:rsidRDefault="0015373B">
      <w:pPr>
        <w:spacing w:line="360" w:lineRule="auto"/>
        <w:jc w:val="both"/>
      </w:pPr>
      <w:bookmarkStart w:id="78" w:name="OLE_LINK155"/>
      <w:bookmarkStart w:id="79" w:name="OLE_LINK156"/>
      <w:r>
        <w:rPr>
          <w:rFonts w:ascii="Book Antiqua" w:eastAsia="Book Antiqua" w:hAnsi="Book Antiqua" w:cs="Book Antiqua"/>
          <w:color w:val="000000"/>
        </w:rPr>
        <w:t>This cross-sectional retrospective cohort study, conducted among Emirati Arab women with GDM, revealed that raised antenatal FBG and 2hrBG levels could predict postpartum T2D; however, it suggested that each parameter may indicate a distinct T2D pathophysiology. Women with predominant peripheral resistance to the action of insulin, who have raised FBG levels during pregnancy, were at a greater risk of developing T2D, compared with those with raised postprandial 2hrBG levels. It is suggested that, for the former group of women, postnatal management like frequent follow-ups, lifestyle modifications, and specific treatment protocols, should be applied to slow down the development of T2D and improve the quality of life for them and their newborns.</w:t>
      </w:r>
    </w:p>
    <w:bookmarkEnd w:id="78"/>
    <w:bookmarkEnd w:id="79"/>
    <w:p w14:paraId="153EFFB1" w14:textId="77777777" w:rsidR="00A77B3E" w:rsidRDefault="00A77B3E">
      <w:pPr>
        <w:spacing w:line="360" w:lineRule="auto"/>
        <w:jc w:val="both"/>
      </w:pPr>
    </w:p>
    <w:p w14:paraId="2CE3E312" w14:textId="77777777" w:rsidR="00A77B3E" w:rsidRDefault="0015373B">
      <w:pPr>
        <w:spacing w:line="360" w:lineRule="auto"/>
        <w:jc w:val="both"/>
      </w:pPr>
      <w:r>
        <w:rPr>
          <w:rFonts w:ascii="Book Antiqua" w:eastAsia="Book Antiqua" w:hAnsi="Book Antiqua" w:cs="Book Antiqua"/>
          <w:b/>
          <w:caps/>
          <w:color w:val="000000"/>
          <w:u w:val="single"/>
        </w:rPr>
        <w:t>ARTICLE HIGHLIGHTS</w:t>
      </w:r>
    </w:p>
    <w:p w14:paraId="3D8B051A" w14:textId="77777777" w:rsidR="00A77B3E" w:rsidRDefault="0015373B">
      <w:pPr>
        <w:spacing w:line="360" w:lineRule="auto"/>
        <w:jc w:val="both"/>
      </w:pPr>
      <w:r>
        <w:rPr>
          <w:rFonts w:ascii="Book Antiqua" w:eastAsia="Book Antiqua" w:hAnsi="Book Antiqua" w:cs="Book Antiqua"/>
          <w:b/>
          <w:i/>
          <w:color w:val="000000"/>
        </w:rPr>
        <w:t>Research background</w:t>
      </w:r>
    </w:p>
    <w:p w14:paraId="194F8EF0" w14:textId="77777777" w:rsidR="00A77B3E" w:rsidRDefault="0015373B">
      <w:pPr>
        <w:spacing w:line="360" w:lineRule="auto"/>
        <w:jc w:val="both"/>
      </w:pPr>
      <w:bookmarkStart w:id="80" w:name="OLE_LINK157"/>
      <w:bookmarkStart w:id="81" w:name="OLE_LINK158"/>
      <w:r>
        <w:rPr>
          <w:rFonts w:ascii="Book Antiqua" w:eastAsia="Book Antiqua" w:hAnsi="Book Antiqua" w:cs="Book Antiqua"/>
          <w:color w:val="000000"/>
        </w:rPr>
        <w:t>Gestational diabetes mellitus (GDM) is a common metabolic disorder of pregnancy. It has short- and long-term maternal, fetal, and neonatal complications. Women with GDM are at a seven-fold higher risk of developing type 2 diabetes (T2D) within 7-10 years after childbirth, compared with those with normoglycemic pregnancy.</w:t>
      </w:r>
    </w:p>
    <w:p w14:paraId="1C2B5486" w14:textId="77777777" w:rsidR="00A77B3E" w:rsidRDefault="00A77B3E">
      <w:pPr>
        <w:spacing w:line="360" w:lineRule="auto"/>
        <w:jc w:val="both"/>
      </w:pPr>
    </w:p>
    <w:bookmarkEnd w:id="80"/>
    <w:bookmarkEnd w:id="81"/>
    <w:p w14:paraId="45564929" w14:textId="77777777" w:rsidR="00A77B3E" w:rsidRDefault="0015373B">
      <w:pPr>
        <w:spacing w:line="360" w:lineRule="auto"/>
        <w:jc w:val="both"/>
      </w:pPr>
      <w:r>
        <w:rPr>
          <w:rFonts w:ascii="Book Antiqua" w:eastAsia="Book Antiqua" w:hAnsi="Book Antiqua" w:cs="Book Antiqua"/>
          <w:b/>
          <w:i/>
          <w:color w:val="000000"/>
        </w:rPr>
        <w:t>Research motivation</w:t>
      </w:r>
    </w:p>
    <w:p w14:paraId="1A417161" w14:textId="77777777" w:rsidR="00A77B3E" w:rsidRDefault="0015373B">
      <w:pPr>
        <w:spacing w:line="360" w:lineRule="auto"/>
        <w:jc w:val="both"/>
      </w:pPr>
      <w:bookmarkStart w:id="82" w:name="OLE_LINK159"/>
      <w:bookmarkStart w:id="83" w:name="OLE_LINK160"/>
      <w:r>
        <w:rPr>
          <w:rFonts w:ascii="Book Antiqua" w:eastAsia="Book Antiqua" w:hAnsi="Book Antiqua" w:cs="Book Antiqua"/>
          <w:color w:val="000000"/>
        </w:rPr>
        <w:lastRenderedPageBreak/>
        <w:t xml:space="preserve">There is emerging evidence that both GDM and T2D can be subtyped according to their pathophysiology. We attempted to examine the link between subtypes of GDM and the prediction of postnatal T2D. </w:t>
      </w:r>
    </w:p>
    <w:bookmarkEnd w:id="82"/>
    <w:bookmarkEnd w:id="83"/>
    <w:p w14:paraId="5BA754A7" w14:textId="77777777" w:rsidR="00A77B3E" w:rsidRDefault="00A77B3E">
      <w:pPr>
        <w:spacing w:line="360" w:lineRule="auto"/>
        <w:jc w:val="both"/>
      </w:pPr>
    </w:p>
    <w:p w14:paraId="3D677045" w14:textId="77777777" w:rsidR="00A77B3E" w:rsidRDefault="0015373B">
      <w:pPr>
        <w:spacing w:line="360" w:lineRule="auto"/>
        <w:jc w:val="both"/>
      </w:pPr>
      <w:r>
        <w:rPr>
          <w:rFonts w:ascii="Book Antiqua" w:eastAsia="Book Antiqua" w:hAnsi="Book Antiqua" w:cs="Book Antiqua"/>
          <w:b/>
          <w:i/>
          <w:color w:val="000000"/>
        </w:rPr>
        <w:t>Research objectives</w:t>
      </w:r>
    </w:p>
    <w:p w14:paraId="444AEC98" w14:textId="77777777" w:rsidR="00A77B3E" w:rsidRDefault="0015373B">
      <w:pPr>
        <w:spacing w:line="360" w:lineRule="auto"/>
        <w:jc w:val="both"/>
      </w:pPr>
      <w:bookmarkStart w:id="84" w:name="OLE_LINK161"/>
      <w:bookmarkStart w:id="85" w:name="OLE_LINK162"/>
      <w:r>
        <w:rPr>
          <w:rFonts w:ascii="Book Antiqua" w:eastAsia="Book Antiqua" w:hAnsi="Book Antiqua" w:cs="Book Antiqua"/>
          <w:color w:val="000000"/>
        </w:rPr>
        <w:t xml:space="preserve">To assess the utility of oral glucose tolerance test (OGTT) in the identification of distinct GDM pathophysiology and in the prediction of possible distinct postnatal T2D subtypes. </w:t>
      </w:r>
    </w:p>
    <w:p w14:paraId="096361C8" w14:textId="77777777" w:rsidR="00A77B3E" w:rsidRDefault="00A77B3E">
      <w:pPr>
        <w:spacing w:line="360" w:lineRule="auto"/>
        <w:jc w:val="both"/>
      </w:pPr>
    </w:p>
    <w:bookmarkEnd w:id="84"/>
    <w:bookmarkEnd w:id="85"/>
    <w:p w14:paraId="44AAF1F9" w14:textId="77777777" w:rsidR="00A77B3E" w:rsidRDefault="0015373B">
      <w:pPr>
        <w:spacing w:line="360" w:lineRule="auto"/>
        <w:jc w:val="both"/>
      </w:pPr>
      <w:r>
        <w:rPr>
          <w:rFonts w:ascii="Book Antiqua" w:eastAsia="Book Antiqua" w:hAnsi="Book Antiqua" w:cs="Book Antiqua"/>
          <w:b/>
          <w:i/>
          <w:color w:val="000000"/>
        </w:rPr>
        <w:t>Research methods</w:t>
      </w:r>
    </w:p>
    <w:p w14:paraId="6D11BFC3" w14:textId="77777777" w:rsidR="00A77B3E" w:rsidRDefault="0015373B">
      <w:pPr>
        <w:spacing w:line="360" w:lineRule="auto"/>
        <w:jc w:val="both"/>
      </w:pPr>
      <w:bookmarkStart w:id="86" w:name="OLE_LINK163"/>
      <w:bookmarkStart w:id="87" w:name="OLE_LINK164"/>
      <w:r>
        <w:rPr>
          <w:rFonts w:ascii="Book Antiqua" w:eastAsia="Book Antiqua" w:hAnsi="Book Antiqua" w:cs="Book Antiqua"/>
          <w:color w:val="000000"/>
        </w:rPr>
        <w:t xml:space="preserve">The glycemic status of a cohort of 4603 pregnant Emirati Arab women, who delivered in 2007 in Dubai </w:t>
      </w:r>
      <w:r w:rsidR="00A6489F">
        <w:rPr>
          <w:rFonts w:ascii="Book Antiqua" w:eastAsia="Book Antiqua" w:hAnsi="Book Antiqua" w:cs="Book Antiqua"/>
          <w:color w:val="000000"/>
        </w:rPr>
        <w:t>United Arab Emirates</w:t>
      </w:r>
      <w:r>
        <w:rPr>
          <w:rFonts w:ascii="Book Antiqua" w:eastAsia="Book Antiqua" w:hAnsi="Book Antiqua" w:cs="Book Antiqua"/>
          <w:color w:val="000000"/>
        </w:rPr>
        <w:t xml:space="preserve">, was assessed retrospectively, using OGTT according to the International Association of Diabetes and Pregnancy Study Groups criteria. Of the total, 1231 women were followed up and assessed in 2016. The receiver operating characteristic curve for the OGTT was plotted and sensitivity, specificity, and predictive values of </w:t>
      </w:r>
      <w:r w:rsidR="001C0F95">
        <w:rPr>
          <w:rFonts w:ascii="Book Antiqua" w:eastAsia="Book Antiqua" w:hAnsi="Book Antiqua" w:cs="Book Antiqua"/>
          <w:color w:val="000000"/>
        </w:rPr>
        <w:t xml:space="preserve">fasting blood glucose (FBG) </w:t>
      </w:r>
      <w:r>
        <w:rPr>
          <w:rFonts w:ascii="Book Antiqua" w:eastAsia="Book Antiqua" w:hAnsi="Book Antiqua" w:cs="Book Antiqua"/>
          <w:color w:val="000000"/>
        </w:rPr>
        <w:t>and 2hrBG for T2D were estimated.</w:t>
      </w:r>
    </w:p>
    <w:bookmarkEnd w:id="86"/>
    <w:bookmarkEnd w:id="87"/>
    <w:p w14:paraId="5CF681AA" w14:textId="77777777" w:rsidR="00A77B3E" w:rsidRDefault="00A77B3E">
      <w:pPr>
        <w:spacing w:line="360" w:lineRule="auto"/>
        <w:jc w:val="both"/>
      </w:pPr>
    </w:p>
    <w:p w14:paraId="77D95143" w14:textId="77777777" w:rsidR="00A77B3E" w:rsidRDefault="0015373B">
      <w:pPr>
        <w:spacing w:line="360" w:lineRule="auto"/>
        <w:jc w:val="both"/>
      </w:pPr>
      <w:r>
        <w:rPr>
          <w:rFonts w:ascii="Book Antiqua" w:eastAsia="Book Antiqua" w:hAnsi="Book Antiqua" w:cs="Book Antiqua"/>
          <w:b/>
          <w:i/>
          <w:color w:val="000000"/>
        </w:rPr>
        <w:t>Research results</w:t>
      </w:r>
    </w:p>
    <w:p w14:paraId="670F76DE" w14:textId="77777777" w:rsidR="00A77B3E" w:rsidRDefault="0015373B">
      <w:pPr>
        <w:spacing w:line="360" w:lineRule="auto"/>
        <w:jc w:val="both"/>
      </w:pPr>
      <w:bookmarkStart w:id="88" w:name="OLE_LINK165"/>
      <w:bookmarkStart w:id="89" w:name="OLE_LINK166"/>
      <w:r>
        <w:rPr>
          <w:rFonts w:ascii="Book Antiqua" w:eastAsia="Book Antiqua" w:hAnsi="Book Antiqua" w:cs="Book Antiqua"/>
          <w:color w:val="000000"/>
        </w:rPr>
        <w:t>The prevalence of GDM in pregnant Emirati women in 2007 was 1057/4603 (23%), while the prevalence of pre-pregnancy T2D based on ADA criteria, was 230/4603 (5%). In the subset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followed up in 2016, the prevalence of GDM in 2007 was 362/1231 (29.6%), while the prevalence of pre-pregnancy T2D, was 36/1231 (2.9%). Of the 362 pregnant women with GDM in 2007, 96/362 (26.5%) developed T2D, 142/362 (39.2%) developed impaired fasting glucose, 29/362 (8.0%) developed impaired glucose tolerance, and the remaining 95/362 (26.2%) had normal glycemia in 2016. The prevalence of T2D, based on ADA criteria, stemmed from the prevalence of 36/1231 (2.9%) in 2007 to 141/1231 (11.5%), in 2016. The </w:t>
      </w:r>
      <w:r w:rsidR="001C0F95">
        <w:rPr>
          <w:rFonts w:ascii="Book Antiqua" w:eastAsia="Book Antiqua" w:hAnsi="Book Antiqua" w:cs="Book Antiqua"/>
          <w:color w:val="000000"/>
        </w:rPr>
        <w:t>positive predictive v</w:t>
      </w:r>
      <w:r>
        <w:rPr>
          <w:rFonts w:ascii="Book Antiqua" w:eastAsia="Book Antiqua" w:hAnsi="Book Antiqua" w:cs="Book Antiqua"/>
          <w:color w:val="000000"/>
        </w:rPr>
        <w:t xml:space="preserve">alue (PPV) for FBG suggests that, if a woman is positive for GDM in 2007, then the probability of developing T2D in 2016 was about 24%. The opposite is being observed in the predictability of T2D in 2016 using the 2hrBG in diagnosis of GDM in 2007. The PPV </w:t>
      </w:r>
      <w:r>
        <w:rPr>
          <w:rFonts w:ascii="Book Antiqua" w:eastAsia="Book Antiqua" w:hAnsi="Book Antiqua" w:cs="Book Antiqua"/>
          <w:color w:val="000000"/>
        </w:rPr>
        <w:lastRenderedPageBreak/>
        <w:t>value suggests that if a woman was positive for GDM in 2007 then the probability of developing T2D in 2016 was only 3%.</w:t>
      </w:r>
    </w:p>
    <w:bookmarkEnd w:id="88"/>
    <w:bookmarkEnd w:id="89"/>
    <w:p w14:paraId="5750027B" w14:textId="77777777" w:rsidR="00A77B3E" w:rsidRDefault="00A77B3E">
      <w:pPr>
        <w:spacing w:line="360" w:lineRule="auto"/>
        <w:jc w:val="both"/>
      </w:pPr>
    </w:p>
    <w:p w14:paraId="337C0EBD" w14:textId="77777777" w:rsidR="00A77B3E" w:rsidRDefault="0015373B">
      <w:pPr>
        <w:spacing w:line="360" w:lineRule="auto"/>
        <w:jc w:val="both"/>
      </w:pPr>
      <w:r>
        <w:rPr>
          <w:rFonts w:ascii="Book Antiqua" w:eastAsia="Book Antiqua" w:hAnsi="Book Antiqua" w:cs="Book Antiqua"/>
          <w:b/>
          <w:i/>
          <w:color w:val="000000"/>
        </w:rPr>
        <w:t>Research conclusions</w:t>
      </w:r>
    </w:p>
    <w:p w14:paraId="394E2B46" w14:textId="77777777" w:rsidR="00A77B3E" w:rsidRDefault="0015373B">
      <w:pPr>
        <w:spacing w:line="360" w:lineRule="auto"/>
        <w:jc w:val="both"/>
      </w:pPr>
      <w:bookmarkStart w:id="90" w:name="OLE_LINK167"/>
      <w:bookmarkStart w:id="91" w:name="OLE_LINK168"/>
      <w:r>
        <w:rPr>
          <w:rFonts w:ascii="Book Antiqua" w:eastAsia="Book Antiqua" w:hAnsi="Book Antiqua" w:cs="Book Antiqua"/>
          <w:color w:val="000000"/>
        </w:rPr>
        <w:t xml:space="preserve">The results of this study revealed that both raised antenatal FBG and 2hrBG levels could predict postpartum T2D; however, it suggested that each parameter may indicate a distinct T2D pathophysiology. Women with predominant peripheral resistance to the action of insulin, who have raised FBG levels during pregnancy, were at a greater risk of developing T2D, compared with those with raised postprandial 2hrBG levels. </w:t>
      </w:r>
    </w:p>
    <w:bookmarkEnd w:id="90"/>
    <w:bookmarkEnd w:id="91"/>
    <w:p w14:paraId="06DEE244" w14:textId="77777777" w:rsidR="00A77B3E" w:rsidRDefault="00A77B3E">
      <w:pPr>
        <w:spacing w:line="360" w:lineRule="auto"/>
        <w:jc w:val="both"/>
      </w:pPr>
    </w:p>
    <w:p w14:paraId="2F9B0945" w14:textId="77777777" w:rsidR="00A77B3E" w:rsidRDefault="0015373B">
      <w:pPr>
        <w:spacing w:line="360" w:lineRule="auto"/>
        <w:jc w:val="both"/>
      </w:pPr>
      <w:r>
        <w:rPr>
          <w:rFonts w:ascii="Book Antiqua" w:eastAsia="Book Antiqua" w:hAnsi="Book Antiqua" w:cs="Book Antiqua"/>
          <w:b/>
          <w:i/>
          <w:color w:val="000000"/>
        </w:rPr>
        <w:t>Research perspectives</w:t>
      </w:r>
    </w:p>
    <w:p w14:paraId="69BF693E" w14:textId="77777777" w:rsidR="00A77B3E" w:rsidRDefault="0015373B">
      <w:pPr>
        <w:spacing w:line="360" w:lineRule="auto"/>
        <w:jc w:val="both"/>
      </w:pPr>
      <w:r>
        <w:rPr>
          <w:rFonts w:ascii="Book Antiqua" w:eastAsia="Book Antiqua" w:hAnsi="Book Antiqua" w:cs="Book Antiqua"/>
          <w:color w:val="000000"/>
        </w:rPr>
        <w:t xml:space="preserve">Our findings suggested that, for women who at a greater risk of developing T2D, postnatal management like frequent follow-ups, lifestyle modifications, and specific treatment protocols, should be applied to slow down the development of T2D and improve the quality of life for them and their newborns. </w:t>
      </w:r>
    </w:p>
    <w:p w14:paraId="6F354CCE" w14:textId="77777777" w:rsidR="00A77B3E" w:rsidRDefault="00A77B3E">
      <w:pPr>
        <w:spacing w:line="360" w:lineRule="auto"/>
        <w:jc w:val="both"/>
      </w:pPr>
    </w:p>
    <w:p w14:paraId="6AD08081" w14:textId="77777777" w:rsidR="00A77B3E" w:rsidRDefault="0015373B">
      <w:pPr>
        <w:spacing w:line="360" w:lineRule="auto"/>
        <w:jc w:val="both"/>
      </w:pPr>
      <w:r>
        <w:rPr>
          <w:rFonts w:ascii="Book Antiqua" w:eastAsia="Book Antiqua" w:hAnsi="Book Antiqua" w:cs="Book Antiqua"/>
          <w:b/>
          <w:caps/>
          <w:color w:val="000000"/>
          <w:u w:val="single"/>
        </w:rPr>
        <w:t>ACKNOWLEDGEMENTS</w:t>
      </w:r>
    </w:p>
    <w:p w14:paraId="5BDED6DD" w14:textId="77777777" w:rsidR="00A77B3E" w:rsidRDefault="0015373B">
      <w:pPr>
        <w:spacing w:line="360" w:lineRule="auto"/>
        <w:jc w:val="both"/>
      </w:pPr>
      <w:bookmarkStart w:id="92" w:name="OLE_LINK169"/>
      <w:bookmarkStart w:id="93" w:name="OLE_LINK170"/>
      <w:r>
        <w:rPr>
          <w:rFonts w:ascii="Book Antiqua" w:eastAsia="Book Antiqua" w:hAnsi="Book Antiqua" w:cs="Book Antiqua"/>
          <w:color w:val="000000"/>
        </w:rPr>
        <w:t xml:space="preserve">We are grateful to the medical and support staff of Latifa and Dubai Hospitals of the Dubai Health Authority. We specifically wish to thank the diabetic educators at Latifa Hospital,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Abdilkarim</w:t>
      </w:r>
      <w:proofErr w:type="spellEnd"/>
      <w:r>
        <w:rPr>
          <w:rFonts w:ascii="Book Antiqua" w:eastAsia="Book Antiqua" w:hAnsi="Book Antiqua" w:cs="Book Antiqua"/>
          <w:color w:val="000000"/>
        </w:rPr>
        <w:t xml:space="preserve"> Sheikh Yunis and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Mervat</w:t>
      </w:r>
      <w:proofErr w:type="spellEnd"/>
      <w:r>
        <w:rPr>
          <w:rFonts w:ascii="Book Antiqua" w:eastAsia="Book Antiqua" w:hAnsi="Book Antiqua" w:cs="Book Antiqua"/>
          <w:color w:val="000000"/>
        </w:rPr>
        <w:t xml:space="preserve"> Ahmed for their valuable support.</w:t>
      </w:r>
    </w:p>
    <w:bookmarkEnd w:id="92"/>
    <w:bookmarkEnd w:id="93"/>
    <w:p w14:paraId="0EE5BBD2" w14:textId="77777777" w:rsidR="00A77B3E" w:rsidRDefault="00A77B3E">
      <w:pPr>
        <w:spacing w:line="360" w:lineRule="auto"/>
        <w:jc w:val="both"/>
      </w:pPr>
    </w:p>
    <w:p w14:paraId="1E633178" w14:textId="77777777" w:rsidR="00A77B3E" w:rsidRDefault="0015373B">
      <w:pPr>
        <w:spacing w:line="360" w:lineRule="auto"/>
        <w:jc w:val="both"/>
      </w:pPr>
      <w:r>
        <w:rPr>
          <w:rFonts w:ascii="Book Antiqua" w:eastAsia="Book Antiqua" w:hAnsi="Book Antiqua" w:cs="Book Antiqua"/>
          <w:b/>
          <w:color w:val="000000"/>
        </w:rPr>
        <w:t>REFERENCES</w:t>
      </w:r>
    </w:p>
    <w:p w14:paraId="5E6D9BB0"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1 </w:t>
      </w:r>
      <w:r w:rsidRPr="001B0D5F">
        <w:rPr>
          <w:rFonts w:ascii="Book Antiqua" w:hAnsi="Book Antiqua"/>
          <w:b/>
          <w:bCs/>
        </w:rPr>
        <w:t>Kim C</w:t>
      </w:r>
      <w:r w:rsidRPr="001B0D5F">
        <w:rPr>
          <w:rFonts w:ascii="Book Antiqua" w:hAnsi="Book Antiqua"/>
        </w:rPr>
        <w:t xml:space="preserve">, Newton KM, </w:t>
      </w:r>
      <w:proofErr w:type="spellStart"/>
      <w:r w:rsidRPr="001B0D5F">
        <w:rPr>
          <w:rFonts w:ascii="Book Antiqua" w:hAnsi="Book Antiqua"/>
        </w:rPr>
        <w:t>Knopp</w:t>
      </w:r>
      <w:proofErr w:type="spellEnd"/>
      <w:r w:rsidRPr="001B0D5F">
        <w:rPr>
          <w:rFonts w:ascii="Book Antiqua" w:hAnsi="Book Antiqua"/>
        </w:rPr>
        <w:t xml:space="preserve"> RH. Gestational diabetes and the incidence of type 2 diabetes: a systematic review. </w:t>
      </w:r>
      <w:r w:rsidRPr="001B0D5F">
        <w:rPr>
          <w:rFonts w:ascii="Book Antiqua" w:hAnsi="Book Antiqua"/>
          <w:i/>
          <w:iCs/>
        </w:rPr>
        <w:t>Diabetes Care</w:t>
      </w:r>
      <w:r w:rsidRPr="001B0D5F">
        <w:rPr>
          <w:rFonts w:ascii="Book Antiqua" w:hAnsi="Book Antiqua"/>
        </w:rPr>
        <w:t> 2002; </w:t>
      </w:r>
      <w:r w:rsidRPr="001B0D5F">
        <w:rPr>
          <w:rFonts w:ascii="Book Antiqua" w:hAnsi="Book Antiqua"/>
          <w:b/>
          <w:bCs/>
        </w:rPr>
        <w:t>25</w:t>
      </w:r>
      <w:r w:rsidRPr="001B0D5F">
        <w:rPr>
          <w:rFonts w:ascii="Book Antiqua" w:hAnsi="Book Antiqua"/>
        </w:rPr>
        <w:t>: 1862-1868 [PMID: 12351492 DOI: 10.2337/diacare.25.10.1862]</w:t>
      </w:r>
    </w:p>
    <w:p w14:paraId="2DFA99A3"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2 </w:t>
      </w:r>
      <w:r w:rsidRPr="001B0D5F">
        <w:rPr>
          <w:rFonts w:ascii="Book Antiqua" w:hAnsi="Book Antiqua"/>
          <w:b/>
          <w:bCs/>
        </w:rPr>
        <w:t>Bellamy L</w:t>
      </w:r>
      <w:r w:rsidRPr="001B0D5F">
        <w:rPr>
          <w:rFonts w:ascii="Book Antiqua" w:hAnsi="Book Antiqua"/>
        </w:rPr>
        <w:t xml:space="preserve">, Casas JP, </w:t>
      </w:r>
      <w:proofErr w:type="spellStart"/>
      <w:r w:rsidRPr="001B0D5F">
        <w:rPr>
          <w:rFonts w:ascii="Book Antiqua" w:hAnsi="Book Antiqua"/>
        </w:rPr>
        <w:t>Hingorani</w:t>
      </w:r>
      <w:proofErr w:type="spellEnd"/>
      <w:r w:rsidRPr="001B0D5F">
        <w:rPr>
          <w:rFonts w:ascii="Book Antiqua" w:hAnsi="Book Antiqua"/>
        </w:rPr>
        <w:t xml:space="preserve"> AD, Williams D. Type 2 diabetes mellitus after gestational diabetes: a systematic review and meta-analysis. </w:t>
      </w:r>
      <w:r w:rsidRPr="001B0D5F">
        <w:rPr>
          <w:rFonts w:ascii="Book Antiqua" w:hAnsi="Book Antiqua"/>
          <w:i/>
          <w:iCs/>
        </w:rPr>
        <w:t>Lancet</w:t>
      </w:r>
      <w:r w:rsidRPr="001B0D5F">
        <w:rPr>
          <w:rFonts w:ascii="Book Antiqua" w:hAnsi="Book Antiqua"/>
        </w:rPr>
        <w:t> 2009; </w:t>
      </w:r>
      <w:r w:rsidRPr="001B0D5F">
        <w:rPr>
          <w:rFonts w:ascii="Book Antiqua" w:hAnsi="Book Antiqua"/>
          <w:b/>
          <w:bCs/>
        </w:rPr>
        <w:t>373</w:t>
      </w:r>
      <w:r w:rsidRPr="001B0D5F">
        <w:rPr>
          <w:rFonts w:ascii="Book Antiqua" w:hAnsi="Book Antiqua"/>
        </w:rPr>
        <w:t>: 1773-1779 [PMID: 19465232 DOI: 10.1016/S0140-6736(09)60731-5]</w:t>
      </w:r>
    </w:p>
    <w:p w14:paraId="01E4CEDF" w14:textId="0EEC9BD1"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lastRenderedPageBreak/>
        <w:t>3 </w:t>
      </w:r>
      <w:r w:rsidRPr="001B0D5F">
        <w:rPr>
          <w:rFonts w:ascii="Book Antiqua" w:hAnsi="Book Antiqua"/>
          <w:b/>
          <w:bCs/>
        </w:rPr>
        <w:t>International Association of Diabetes in Pregnancy Study Group (IADPSG) Working Group on Outcome Definitions</w:t>
      </w:r>
      <w:r w:rsidRPr="001B0D5F">
        <w:rPr>
          <w:rFonts w:ascii="Book Antiqua" w:hAnsi="Book Antiqua"/>
        </w:rPr>
        <w:t xml:space="preserve">, Feig DS, </w:t>
      </w:r>
      <w:proofErr w:type="spellStart"/>
      <w:r w:rsidRPr="001B0D5F">
        <w:rPr>
          <w:rFonts w:ascii="Book Antiqua" w:hAnsi="Book Antiqua"/>
        </w:rPr>
        <w:t>Corcoy</w:t>
      </w:r>
      <w:proofErr w:type="spellEnd"/>
      <w:r w:rsidRPr="001B0D5F">
        <w:rPr>
          <w:rFonts w:ascii="Book Antiqua" w:hAnsi="Book Antiqua"/>
        </w:rPr>
        <w:t xml:space="preserve"> R, Jensen DM, </w:t>
      </w:r>
      <w:proofErr w:type="spellStart"/>
      <w:r w:rsidRPr="001B0D5F">
        <w:rPr>
          <w:rFonts w:ascii="Book Antiqua" w:hAnsi="Book Antiqua"/>
        </w:rPr>
        <w:t>Kautzky</w:t>
      </w:r>
      <w:proofErr w:type="spellEnd"/>
      <w:r w:rsidRPr="001B0D5F">
        <w:rPr>
          <w:rFonts w:ascii="Book Antiqua" w:hAnsi="Book Antiqua"/>
        </w:rPr>
        <w:t xml:space="preserve">-Willer A, Nolan CJ, Oats JJ, Sacks DA, </w:t>
      </w:r>
      <w:proofErr w:type="spellStart"/>
      <w:r w:rsidRPr="001B0D5F">
        <w:rPr>
          <w:rFonts w:ascii="Book Antiqua" w:hAnsi="Book Antiqua"/>
        </w:rPr>
        <w:t>Caimari</w:t>
      </w:r>
      <w:proofErr w:type="spellEnd"/>
      <w:r w:rsidRPr="001B0D5F">
        <w:rPr>
          <w:rFonts w:ascii="Book Antiqua" w:hAnsi="Book Antiqua"/>
        </w:rPr>
        <w:t xml:space="preserve"> F, McIntyre HD. Diabetes in pregnancy outcomes: a systematic review and proposed codification of definitions. </w:t>
      </w:r>
      <w:r w:rsidRPr="001B0D5F">
        <w:rPr>
          <w:rFonts w:ascii="Book Antiqua" w:hAnsi="Book Antiqua"/>
          <w:i/>
          <w:iCs/>
        </w:rPr>
        <w:t xml:space="preserve">Diabetes </w:t>
      </w:r>
      <w:proofErr w:type="spellStart"/>
      <w:r w:rsidRPr="001B0D5F">
        <w:rPr>
          <w:rFonts w:ascii="Book Antiqua" w:hAnsi="Book Antiqua"/>
          <w:i/>
          <w:iCs/>
        </w:rPr>
        <w:t>Metab</w:t>
      </w:r>
      <w:proofErr w:type="spellEnd"/>
      <w:r w:rsidRPr="001B0D5F">
        <w:rPr>
          <w:rFonts w:ascii="Book Antiqua" w:hAnsi="Book Antiqua"/>
          <w:i/>
          <w:iCs/>
        </w:rPr>
        <w:t xml:space="preserve"> Res Rev</w:t>
      </w:r>
      <w:r w:rsidRPr="001B0D5F">
        <w:rPr>
          <w:rFonts w:ascii="Book Antiqua" w:hAnsi="Book Antiqua"/>
        </w:rPr>
        <w:t> 2015; </w:t>
      </w:r>
      <w:r w:rsidRPr="001B0D5F">
        <w:rPr>
          <w:rFonts w:ascii="Book Antiqua" w:hAnsi="Book Antiqua"/>
          <w:b/>
          <w:bCs/>
        </w:rPr>
        <w:t>31</w:t>
      </w:r>
      <w:r w:rsidRPr="001B0D5F">
        <w:rPr>
          <w:rFonts w:ascii="Book Antiqua" w:hAnsi="Book Antiqua"/>
        </w:rPr>
        <w:t>: 680-690 [PMID: 25663190 DOI: 10.1002/dmrr.2640]</w:t>
      </w:r>
    </w:p>
    <w:p w14:paraId="41E0ED85"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4 </w:t>
      </w:r>
      <w:r w:rsidRPr="001B0D5F">
        <w:rPr>
          <w:rFonts w:ascii="Book Antiqua" w:hAnsi="Book Antiqua"/>
          <w:b/>
          <w:bCs/>
        </w:rPr>
        <w:t>Golden SH</w:t>
      </w:r>
      <w:r w:rsidRPr="001B0D5F">
        <w:rPr>
          <w:rFonts w:ascii="Book Antiqua" w:hAnsi="Book Antiqua"/>
        </w:rPr>
        <w:t>, Bennett WL, Baptist-Roberts K, Wilson LM, Barone B, Gary TL, Bass E, Nicholson WK. Antepartum glucose tolerance test results as predictors of type 2 diabetes mellitus in women with a history of gestational diabetes mellitus: a systematic review. </w:t>
      </w:r>
      <w:proofErr w:type="spellStart"/>
      <w:r w:rsidRPr="001B0D5F">
        <w:rPr>
          <w:rFonts w:ascii="Book Antiqua" w:hAnsi="Book Antiqua"/>
          <w:i/>
          <w:iCs/>
        </w:rPr>
        <w:t>Gend</w:t>
      </w:r>
      <w:proofErr w:type="spellEnd"/>
      <w:r w:rsidRPr="001B0D5F">
        <w:rPr>
          <w:rFonts w:ascii="Book Antiqua" w:hAnsi="Book Antiqua"/>
          <w:i/>
          <w:iCs/>
        </w:rPr>
        <w:t xml:space="preserve"> Med</w:t>
      </w:r>
      <w:r w:rsidRPr="001B0D5F">
        <w:rPr>
          <w:rFonts w:ascii="Book Antiqua" w:hAnsi="Book Antiqua"/>
        </w:rPr>
        <w:t> 2009; </w:t>
      </w:r>
      <w:r w:rsidRPr="001B0D5F">
        <w:rPr>
          <w:rFonts w:ascii="Book Antiqua" w:hAnsi="Book Antiqua"/>
          <w:b/>
          <w:bCs/>
        </w:rPr>
        <w:t>6 Suppl 1</w:t>
      </w:r>
      <w:r w:rsidRPr="001B0D5F">
        <w:rPr>
          <w:rFonts w:ascii="Book Antiqua" w:hAnsi="Book Antiqua"/>
        </w:rPr>
        <w:t>: 109-122 [PMID: 19318222 DOI: 10.1016/j.genm.2008.12.002]</w:t>
      </w:r>
    </w:p>
    <w:p w14:paraId="6D04DD1C" w14:textId="57082496"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5 </w:t>
      </w:r>
      <w:r w:rsidRPr="001B0D5F">
        <w:rPr>
          <w:rFonts w:ascii="Book Antiqua" w:hAnsi="Book Antiqua"/>
          <w:b/>
          <w:bCs/>
        </w:rPr>
        <w:t>International Association of Diabetes and Pregnancy Study Groups Consensus Panel</w:t>
      </w:r>
      <w:r w:rsidRPr="001B0D5F">
        <w:rPr>
          <w:rFonts w:ascii="Book Antiqua" w:hAnsi="Book Antiqua"/>
        </w:rPr>
        <w:t xml:space="preserve">, Metzger BE, </w:t>
      </w:r>
      <w:proofErr w:type="spellStart"/>
      <w:r w:rsidRPr="001B0D5F">
        <w:rPr>
          <w:rFonts w:ascii="Book Antiqua" w:hAnsi="Book Antiqua"/>
        </w:rPr>
        <w:t>Gabbe</w:t>
      </w:r>
      <w:proofErr w:type="spellEnd"/>
      <w:r w:rsidRPr="001B0D5F">
        <w:rPr>
          <w:rFonts w:ascii="Book Antiqua" w:hAnsi="Book Antiqua"/>
        </w:rPr>
        <w:t xml:space="preserve"> SG, Persson B, Buchanan TA, Catalano PA, </w:t>
      </w:r>
      <w:proofErr w:type="spellStart"/>
      <w:r w:rsidRPr="001B0D5F">
        <w:rPr>
          <w:rFonts w:ascii="Book Antiqua" w:hAnsi="Book Antiqua"/>
        </w:rPr>
        <w:t>Damm</w:t>
      </w:r>
      <w:proofErr w:type="spellEnd"/>
      <w:r w:rsidRPr="001B0D5F">
        <w:rPr>
          <w:rFonts w:ascii="Book Antiqua" w:hAnsi="Book Antiqua"/>
        </w:rPr>
        <w:t xml:space="preserve"> P, Dyer AR, </w:t>
      </w:r>
      <w:proofErr w:type="spellStart"/>
      <w:r w:rsidRPr="001B0D5F">
        <w:rPr>
          <w:rFonts w:ascii="Book Antiqua" w:hAnsi="Book Antiqua"/>
        </w:rPr>
        <w:t>Leiva</w:t>
      </w:r>
      <w:proofErr w:type="spellEnd"/>
      <w:r w:rsidRPr="001B0D5F">
        <w:rPr>
          <w:rFonts w:ascii="Book Antiqua" w:hAnsi="Book Antiqua"/>
        </w:rPr>
        <w:t xml:space="preserve"> Ad, Hod M, </w:t>
      </w:r>
      <w:proofErr w:type="spellStart"/>
      <w:r w:rsidRPr="001B0D5F">
        <w:rPr>
          <w:rFonts w:ascii="Book Antiqua" w:hAnsi="Book Antiqua"/>
        </w:rPr>
        <w:t>Kitzmiler</w:t>
      </w:r>
      <w:proofErr w:type="spellEnd"/>
      <w:r w:rsidRPr="001B0D5F">
        <w:rPr>
          <w:rFonts w:ascii="Book Antiqua" w:hAnsi="Book Antiqua"/>
        </w:rPr>
        <w:t xml:space="preserve"> JL, Lowe LP, McIntyre HD, Oats JJ, Omori Y, Schmidt MI. International association of diabetes and pregnancy study groups recommendations on the diagnosis and classification of hyperglycemia in pregnancy. </w:t>
      </w:r>
      <w:r w:rsidRPr="001B0D5F">
        <w:rPr>
          <w:rFonts w:ascii="Book Antiqua" w:hAnsi="Book Antiqua"/>
          <w:i/>
          <w:iCs/>
        </w:rPr>
        <w:t>Diabetes Care</w:t>
      </w:r>
      <w:r w:rsidRPr="001B0D5F">
        <w:rPr>
          <w:rFonts w:ascii="Book Antiqua" w:hAnsi="Book Antiqua"/>
        </w:rPr>
        <w:t> 2010; </w:t>
      </w:r>
      <w:r w:rsidRPr="001B0D5F">
        <w:rPr>
          <w:rFonts w:ascii="Book Antiqua" w:hAnsi="Book Antiqua"/>
          <w:b/>
          <w:bCs/>
        </w:rPr>
        <w:t>33</w:t>
      </w:r>
      <w:r w:rsidRPr="001B0D5F">
        <w:rPr>
          <w:rFonts w:ascii="Book Antiqua" w:hAnsi="Book Antiqua"/>
        </w:rPr>
        <w:t>: 676-682 [PMID: 20190296 DOI: 10.2337/dc09-1848]</w:t>
      </w:r>
    </w:p>
    <w:p w14:paraId="6EA36B30"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6 </w:t>
      </w:r>
      <w:proofErr w:type="spellStart"/>
      <w:r w:rsidRPr="001B0D5F">
        <w:rPr>
          <w:rFonts w:ascii="Book Antiqua" w:hAnsi="Book Antiqua"/>
          <w:b/>
          <w:bCs/>
        </w:rPr>
        <w:t>Rayanagoudar</w:t>
      </w:r>
      <w:proofErr w:type="spellEnd"/>
      <w:r w:rsidRPr="001B0D5F">
        <w:rPr>
          <w:rFonts w:ascii="Book Antiqua" w:hAnsi="Book Antiqua"/>
          <w:b/>
          <w:bCs/>
        </w:rPr>
        <w:t xml:space="preserve"> G</w:t>
      </w:r>
      <w:r w:rsidRPr="001B0D5F">
        <w:rPr>
          <w:rFonts w:ascii="Book Antiqua" w:hAnsi="Book Antiqua"/>
        </w:rPr>
        <w:t xml:space="preserve">, </w:t>
      </w:r>
      <w:proofErr w:type="spellStart"/>
      <w:r w:rsidRPr="001B0D5F">
        <w:rPr>
          <w:rFonts w:ascii="Book Antiqua" w:hAnsi="Book Antiqua"/>
        </w:rPr>
        <w:t>Hashi</w:t>
      </w:r>
      <w:proofErr w:type="spellEnd"/>
      <w:r w:rsidRPr="001B0D5F">
        <w:rPr>
          <w:rFonts w:ascii="Book Antiqua" w:hAnsi="Book Antiqua"/>
        </w:rPr>
        <w:t xml:space="preserve"> AA, Zamora J, Khan KS, Hitman GA, </w:t>
      </w:r>
      <w:proofErr w:type="spellStart"/>
      <w:r w:rsidRPr="001B0D5F">
        <w:rPr>
          <w:rFonts w:ascii="Book Antiqua" w:hAnsi="Book Antiqua"/>
        </w:rPr>
        <w:t>Thangaratinam</w:t>
      </w:r>
      <w:proofErr w:type="spellEnd"/>
      <w:r w:rsidRPr="001B0D5F">
        <w:rPr>
          <w:rFonts w:ascii="Book Antiqua" w:hAnsi="Book Antiqua"/>
        </w:rPr>
        <w:t xml:space="preserve"> S. Quantification of the type 2 diabetes risk in women with gestational diabetes: a systematic review and meta-analysis of 95,750 women. </w:t>
      </w:r>
      <w:proofErr w:type="spellStart"/>
      <w:r w:rsidRPr="001B0D5F">
        <w:rPr>
          <w:rFonts w:ascii="Book Antiqua" w:hAnsi="Book Antiqua"/>
          <w:i/>
          <w:iCs/>
        </w:rPr>
        <w:t>Diabetologia</w:t>
      </w:r>
      <w:proofErr w:type="spellEnd"/>
      <w:r w:rsidRPr="001B0D5F">
        <w:rPr>
          <w:rFonts w:ascii="Book Antiqua" w:hAnsi="Book Antiqua"/>
        </w:rPr>
        <w:t> 2016; </w:t>
      </w:r>
      <w:r w:rsidRPr="001B0D5F">
        <w:rPr>
          <w:rFonts w:ascii="Book Antiqua" w:hAnsi="Book Antiqua"/>
          <w:b/>
          <w:bCs/>
        </w:rPr>
        <w:t>59</w:t>
      </w:r>
      <w:r w:rsidRPr="001B0D5F">
        <w:rPr>
          <w:rFonts w:ascii="Book Antiqua" w:hAnsi="Book Antiqua"/>
        </w:rPr>
        <w:t>: 1403-1411 [PMID: 27073002 DOI: 10.1007/s00125-016-3927-2]</w:t>
      </w:r>
    </w:p>
    <w:p w14:paraId="0E53FF8F"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7 </w:t>
      </w:r>
      <w:r w:rsidRPr="001B0D5F">
        <w:rPr>
          <w:rFonts w:ascii="Book Antiqua" w:hAnsi="Book Antiqua"/>
          <w:b/>
          <w:bCs/>
        </w:rPr>
        <w:t>Tobias DK</w:t>
      </w:r>
      <w:r w:rsidRPr="001B0D5F">
        <w:rPr>
          <w:rFonts w:ascii="Book Antiqua" w:hAnsi="Book Antiqua"/>
        </w:rPr>
        <w:t>. Prediction and Prevention of Type 2 Diabetes in Women with a History of GDM. </w:t>
      </w:r>
      <w:proofErr w:type="spellStart"/>
      <w:r w:rsidRPr="001B0D5F">
        <w:rPr>
          <w:rFonts w:ascii="Book Antiqua" w:hAnsi="Book Antiqua"/>
          <w:i/>
          <w:iCs/>
        </w:rPr>
        <w:t>Curr</w:t>
      </w:r>
      <w:proofErr w:type="spellEnd"/>
      <w:r w:rsidRPr="001B0D5F">
        <w:rPr>
          <w:rFonts w:ascii="Book Antiqua" w:hAnsi="Book Antiqua"/>
          <w:i/>
          <w:iCs/>
        </w:rPr>
        <w:t xml:space="preserve"> Diab Rep</w:t>
      </w:r>
      <w:r w:rsidRPr="001B0D5F">
        <w:rPr>
          <w:rFonts w:ascii="Book Antiqua" w:hAnsi="Book Antiqua"/>
        </w:rPr>
        <w:t> 2018; </w:t>
      </w:r>
      <w:r w:rsidRPr="001B0D5F">
        <w:rPr>
          <w:rFonts w:ascii="Book Antiqua" w:hAnsi="Book Antiqua"/>
          <w:b/>
          <w:bCs/>
        </w:rPr>
        <w:t>18</w:t>
      </w:r>
      <w:r w:rsidRPr="001B0D5F">
        <w:rPr>
          <w:rFonts w:ascii="Book Antiqua" w:hAnsi="Book Antiqua"/>
        </w:rPr>
        <w:t>: 78 [PMID: 30117058 DOI: 10.1007/s11892-018-1063-8]</w:t>
      </w:r>
    </w:p>
    <w:p w14:paraId="477FD2D0" w14:textId="2548C644"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8 </w:t>
      </w:r>
      <w:r w:rsidRPr="001B0D5F">
        <w:rPr>
          <w:rFonts w:ascii="Book Antiqua" w:hAnsi="Book Antiqua"/>
          <w:b/>
          <w:bCs/>
        </w:rPr>
        <w:t>American Diabetes Association</w:t>
      </w:r>
      <w:r w:rsidRPr="001B0D5F">
        <w:rPr>
          <w:rFonts w:ascii="Book Antiqua" w:hAnsi="Book Antiqua"/>
        </w:rPr>
        <w:t>. 2. Classification and Diagnosis of Diabetes: </w:t>
      </w:r>
      <w:r w:rsidRPr="001B0D5F">
        <w:rPr>
          <w:rFonts w:ascii="Book Antiqua" w:hAnsi="Book Antiqua"/>
          <w:i/>
          <w:iCs/>
        </w:rPr>
        <w:t>Standards of Medical Care in Diabetes-2020</w:t>
      </w:r>
      <w:r w:rsidRPr="001B0D5F">
        <w:rPr>
          <w:rFonts w:ascii="Book Antiqua" w:hAnsi="Book Antiqua"/>
        </w:rPr>
        <w:t>. </w:t>
      </w:r>
      <w:r w:rsidRPr="001B0D5F">
        <w:rPr>
          <w:rFonts w:ascii="Book Antiqua" w:hAnsi="Book Antiqua"/>
          <w:i/>
          <w:iCs/>
        </w:rPr>
        <w:t>Diabetes Care</w:t>
      </w:r>
      <w:r w:rsidRPr="001B0D5F">
        <w:rPr>
          <w:rFonts w:ascii="Book Antiqua" w:hAnsi="Book Antiqua"/>
        </w:rPr>
        <w:t> 2020; </w:t>
      </w:r>
      <w:r w:rsidRPr="001B0D5F">
        <w:rPr>
          <w:rFonts w:ascii="Book Antiqua" w:hAnsi="Book Antiqua"/>
          <w:b/>
          <w:bCs/>
        </w:rPr>
        <w:t>43</w:t>
      </w:r>
      <w:r w:rsidRPr="001B0D5F">
        <w:rPr>
          <w:rFonts w:ascii="Book Antiqua" w:hAnsi="Book Antiqua"/>
        </w:rPr>
        <w:t>: S14-S31 [PMID: 31862745 DOI: 10.2337/dc20-S002]</w:t>
      </w:r>
    </w:p>
    <w:p w14:paraId="0DC74271"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9 </w:t>
      </w:r>
      <w:r w:rsidRPr="001B0D5F">
        <w:rPr>
          <w:rFonts w:ascii="Book Antiqua" w:hAnsi="Book Antiqua"/>
          <w:b/>
          <w:bCs/>
        </w:rPr>
        <w:t>Cheung NW</w:t>
      </w:r>
      <w:r w:rsidRPr="001B0D5F">
        <w:rPr>
          <w:rFonts w:ascii="Book Antiqua" w:hAnsi="Book Antiqua"/>
        </w:rPr>
        <w:t xml:space="preserve">, </w:t>
      </w:r>
      <w:proofErr w:type="spellStart"/>
      <w:r w:rsidRPr="001B0D5F">
        <w:rPr>
          <w:rFonts w:ascii="Book Antiqua" w:hAnsi="Book Antiqua"/>
        </w:rPr>
        <w:t>Helmink</w:t>
      </w:r>
      <w:proofErr w:type="spellEnd"/>
      <w:r w:rsidRPr="001B0D5F">
        <w:rPr>
          <w:rFonts w:ascii="Book Antiqua" w:hAnsi="Book Antiqua"/>
        </w:rPr>
        <w:t xml:space="preserve"> D. Gestational diabetes: the significance of persistent fasting hyperglycemia for the subsequent development of diabetes mellitus. </w:t>
      </w:r>
      <w:r w:rsidRPr="001B0D5F">
        <w:rPr>
          <w:rFonts w:ascii="Book Antiqua" w:hAnsi="Book Antiqua"/>
          <w:i/>
          <w:iCs/>
        </w:rPr>
        <w:t>J Diabetes Complications</w:t>
      </w:r>
      <w:r w:rsidRPr="001B0D5F">
        <w:rPr>
          <w:rFonts w:ascii="Book Antiqua" w:hAnsi="Book Antiqua"/>
        </w:rPr>
        <w:t> 2006; </w:t>
      </w:r>
      <w:r w:rsidRPr="001B0D5F">
        <w:rPr>
          <w:rFonts w:ascii="Book Antiqua" w:hAnsi="Book Antiqua"/>
          <w:b/>
          <w:bCs/>
        </w:rPr>
        <w:t>20</w:t>
      </w:r>
      <w:r w:rsidRPr="001B0D5F">
        <w:rPr>
          <w:rFonts w:ascii="Book Antiqua" w:hAnsi="Book Antiqua"/>
        </w:rPr>
        <w:t>: 21-25 [PMID: 16389163 DOI: 10.1016/j.jdiacomp.2005.05.001]</w:t>
      </w:r>
    </w:p>
    <w:p w14:paraId="304CAA77"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lastRenderedPageBreak/>
        <w:t>10 </w:t>
      </w:r>
      <w:proofErr w:type="spellStart"/>
      <w:r w:rsidRPr="001B0D5F">
        <w:rPr>
          <w:rFonts w:ascii="Book Antiqua" w:hAnsi="Book Antiqua"/>
          <w:b/>
          <w:bCs/>
        </w:rPr>
        <w:t>Cosson</w:t>
      </w:r>
      <w:proofErr w:type="spellEnd"/>
      <w:r w:rsidRPr="001B0D5F">
        <w:rPr>
          <w:rFonts w:ascii="Book Antiqua" w:hAnsi="Book Antiqua"/>
          <w:b/>
          <w:bCs/>
        </w:rPr>
        <w:t xml:space="preserve"> E</w:t>
      </w:r>
      <w:r w:rsidRPr="001B0D5F">
        <w:rPr>
          <w:rFonts w:ascii="Book Antiqua" w:hAnsi="Book Antiqua"/>
        </w:rPr>
        <w:t xml:space="preserve">, </w:t>
      </w:r>
      <w:proofErr w:type="spellStart"/>
      <w:r w:rsidRPr="001B0D5F">
        <w:rPr>
          <w:rFonts w:ascii="Book Antiqua" w:hAnsi="Book Antiqua"/>
        </w:rPr>
        <w:t>Carbillon</w:t>
      </w:r>
      <w:proofErr w:type="spellEnd"/>
      <w:r w:rsidRPr="001B0D5F">
        <w:rPr>
          <w:rFonts w:ascii="Book Antiqua" w:hAnsi="Book Antiqua"/>
        </w:rPr>
        <w:t xml:space="preserve"> L, </w:t>
      </w:r>
      <w:proofErr w:type="spellStart"/>
      <w:r w:rsidRPr="001B0D5F">
        <w:rPr>
          <w:rFonts w:ascii="Book Antiqua" w:hAnsi="Book Antiqua"/>
        </w:rPr>
        <w:t>Valensi</w:t>
      </w:r>
      <w:proofErr w:type="spellEnd"/>
      <w:r w:rsidRPr="001B0D5F">
        <w:rPr>
          <w:rFonts w:ascii="Book Antiqua" w:hAnsi="Book Antiqua"/>
        </w:rPr>
        <w:t xml:space="preserve"> P. High Fasting Plasma Glucose during Early Pregnancy: A Review about Early Gestational Diabetes Mellitus. </w:t>
      </w:r>
      <w:r w:rsidRPr="001B0D5F">
        <w:rPr>
          <w:rFonts w:ascii="Book Antiqua" w:hAnsi="Book Antiqua"/>
          <w:i/>
          <w:iCs/>
        </w:rPr>
        <w:t>J Diabetes Res</w:t>
      </w:r>
      <w:r w:rsidRPr="001B0D5F">
        <w:rPr>
          <w:rFonts w:ascii="Book Antiqua" w:hAnsi="Book Antiqua"/>
        </w:rPr>
        <w:t> 2017; </w:t>
      </w:r>
      <w:r w:rsidRPr="001B0D5F">
        <w:rPr>
          <w:rFonts w:ascii="Book Antiqua" w:hAnsi="Book Antiqua"/>
          <w:b/>
          <w:bCs/>
        </w:rPr>
        <w:t>2017</w:t>
      </w:r>
      <w:r w:rsidRPr="001B0D5F">
        <w:rPr>
          <w:rFonts w:ascii="Book Antiqua" w:hAnsi="Book Antiqua"/>
        </w:rPr>
        <w:t>: 8921712 [PMID: 29181414 DOI: 10.1155/2017/8921712]</w:t>
      </w:r>
    </w:p>
    <w:p w14:paraId="083460AA"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11 </w:t>
      </w:r>
      <w:r w:rsidRPr="001B0D5F">
        <w:rPr>
          <w:rFonts w:ascii="Book Antiqua" w:hAnsi="Book Antiqua"/>
          <w:b/>
          <w:bCs/>
        </w:rPr>
        <w:t>Buchanan TA</w:t>
      </w:r>
      <w:r w:rsidRPr="001B0D5F">
        <w:rPr>
          <w:rFonts w:ascii="Book Antiqua" w:hAnsi="Book Antiqua"/>
        </w:rPr>
        <w:t>, Xiang AH. Gestational diabetes mellitus. </w:t>
      </w:r>
      <w:r w:rsidRPr="001B0D5F">
        <w:rPr>
          <w:rFonts w:ascii="Book Antiqua" w:hAnsi="Book Antiqua"/>
          <w:i/>
          <w:iCs/>
        </w:rPr>
        <w:t>J Clin Invest</w:t>
      </w:r>
      <w:r w:rsidRPr="001B0D5F">
        <w:rPr>
          <w:rFonts w:ascii="Book Antiqua" w:hAnsi="Book Antiqua"/>
        </w:rPr>
        <w:t> 2005; </w:t>
      </w:r>
      <w:r w:rsidRPr="001B0D5F">
        <w:rPr>
          <w:rFonts w:ascii="Book Antiqua" w:hAnsi="Book Antiqua"/>
          <w:b/>
          <w:bCs/>
        </w:rPr>
        <w:t>115</w:t>
      </w:r>
      <w:r w:rsidRPr="001B0D5F">
        <w:rPr>
          <w:rFonts w:ascii="Book Antiqua" w:hAnsi="Book Antiqua"/>
        </w:rPr>
        <w:t>: 485-491 [PMID: 15765129 DOI: 10.1172/JCI24531]</w:t>
      </w:r>
    </w:p>
    <w:p w14:paraId="5C6D0D88"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12 </w:t>
      </w:r>
      <w:r w:rsidRPr="001B0D5F">
        <w:rPr>
          <w:rFonts w:ascii="Book Antiqua" w:hAnsi="Book Antiqua"/>
          <w:b/>
          <w:bCs/>
        </w:rPr>
        <w:t>Barbour LA</w:t>
      </w:r>
      <w:r w:rsidRPr="001B0D5F">
        <w:rPr>
          <w:rFonts w:ascii="Book Antiqua" w:hAnsi="Book Antiqua"/>
        </w:rPr>
        <w:t>, McCurdy CE, Hernandez TL, Kirwan JP, Catalano PM, Friedman JE. Cellular mechanisms for insulin resistance in normal pregnancy and gestational diabetes. </w:t>
      </w:r>
      <w:r w:rsidRPr="001B0D5F">
        <w:rPr>
          <w:rFonts w:ascii="Book Antiqua" w:hAnsi="Book Antiqua"/>
          <w:i/>
          <w:iCs/>
        </w:rPr>
        <w:t>Diabetes Care</w:t>
      </w:r>
      <w:r w:rsidRPr="001B0D5F">
        <w:rPr>
          <w:rFonts w:ascii="Book Antiqua" w:hAnsi="Book Antiqua"/>
        </w:rPr>
        <w:t> 2007; </w:t>
      </w:r>
      <w:r w:rsidRPr="001B0D5F">
        <w:rPr>
          <w:rFonts w:ascii="Book Antiqua" w:hAnsi="Book Antiqua"/>
          <w:b/>
          <w:bCs/>
        </w:rPr>
        <w:t>30 Suppl 2</w:t>
      </w:r>
      <w:r w:rsidRPr="001B0D5F">
        <w:rPr>
          <w:rFonts w:ascii="Book Antiqua" w:hAnsi="Book Antiqua"/>
        </w:rPr>
        <w:t>: S112-S119 [PMID: 17596458 DOI: 10.2337/dc07-s202]</w:t>
      </w:r>
    </w:p>
    <w:p w14:paraId="5EAD07F3"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13 </w:t>
      </w:r>
      <w:r w:rsidRPr="001B0D5F">
        <w:rPr>
          <w:rFonts w:ascii="Book Antiqua" w:hAnsi="Book Antiqua"/>
          <w:b/>
          <w:bCs/>
        </w:rPr>
        <w:t>Kramer CK</w:t>
      </w:r>
      <w:r w:rsidRPr="001B0D5F">
        <w:rPr>
          <w:rFonts w:ascii="Book Antiqua" w:hAnsi="Book Antiqua"/>
        </w:rPr>
        <w:t xml:space="preserve">, Swaminathan B, Hanley AJ, Connelly PW, </w:t>
      </w:r>
      <w:proofErr w:type="spellStart"/>
      <w:r w:rsidRPr="001B0D5F">
        <w:rPr>
          <w:rFonts w:ascii="Book Antiqua" w:hAnsi="Book Antiqua"/>
        </w:rPr>
        <w:t>Sermer</w:t>
      </w:r>
      <w:proofErr w:type="spellEnd"/>
      <w:r w:rsidRPr="001B0D5F">
        <w:rPr>
          <w:rFonts w:ascii="Book Antiqua" w:hAnsi="Book Antiqua"/>
        </w:rPr>
        <w:t xml:space="preserve"> M, </w:t>
      </w:r>
      <w:proofErr w:type="spellStart"/>
      <w:r w:rsidRPr="001B0D5F">
        <w:rPr>
          <w:rFonts w:ascii="Book Antiqua" w:hAnsi="Book Antiqua"/>
        </w:rPr>
        <w:t>Zinman</w:t>
      </w:r>
      <w:proofErr w:type="spellEnd"/>
      <w:r w:rsidRPr="001B0D5F">
        <w:rPr>
          <w:rFonts w:ascii="Book Antiqua" w:hAnsi="Book Antiqua"/>
        </w:rPr>
        <w:t xml:space="preserve"> B, </w:t>
      </w:r>
      <w:proofErr w:type="spellStart"/>
      <w:r w:rsidRPr="001B0D5F">
        <w:rPr>
          <w:rFonts w:ascii="Book Antiqua" w:hAnsi="Book Antiqua"/>
        </w:rPr>
        <w:t>Retnakaran</w:t>
      </w:r>
      <w:proofErr w:type="spellEnd"/>
      <w:r w:rsidRPr="001B0D5F">
        <w:rPr>
          <w:rFonts w:ascii="Book Antiqua" w:hAnsi="Book Antiqua"/>
        </w:rPr>
        <w:t xml:space="preserve"> R. Each degree of glucose intolerance in pregnancy predicts distinct trajectories of β-cell function, insulin sensitivity, and glycemia in the first 3 years postpartum. </w:t>
      </w:r>
      <w:r w:rsidRPr="001B0D5F">
        <w:rPr>
          <w:rFonts w:ascii="Book Antiqua" w:hAnsi="Book Antiqua"/>
          <w:i/>
          <w:iCs/>
        </w:rPr>
        <w:t>Diabetes Care</w:t>
      </w:r>
      <w:r w:rsidRPr="001B0D5F">
        <w:rPr>
          <w:rFonts w:ascii="Book Antiqua" w:hAnsi="Book Antiqua"/>
        </w:rPr>
        <w:t> 2014; </w:t>
      </w:r>
      <w:r w:rsidRPr="001B0D5F">
        <w:rPr>
          <w:rFonts w:ascii="Book Antiqua" w:hAnsi="Book Antiqua"/>
          <w:b/>
          <w:bCs/>
        </w:rPr>
        <w:t>37</w:t>
      </w:r>
      <w:r w:rsidRPr="001B0D5F">
        <w:rPr>
          <w:rFonts w:ascii="Book Antiqua" w:hAnsi="Book Antiqua"/>
        </w:rPr>
        <w:t>: 3262-3269 [PMID: 25231898 DOI: 10.2337/dc14-1529]</w:t>
      </w:r>
    </w:p>
    <w:p w14:paraId="2F16E48C"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14 </w:t>
      </w:r>
      <w:r w:rsidRPr="001B0D5F">
        <w:rPr>
          <w:rFonts w:ascii="Book Antiqua" w:hAnsi="Book Antiqua"/>
          <w:b/>
          <w:bCs/>
        </w:rPr>
        <w:t>Tura A</w:t>
      </w:r>
      <w:r w:rsidRPr="001B0D5F">
        <w:rPr>
          <w:rFonts w:ascii="Book Antiqua" w:hAnsi="Book Antiqua"/>
        </w:rPr>
        <w:t xml:space="preserve">, Grassi A, </w:t>
      </w:r>
      <w:proofErr w:type="spellStart"/>
      <w:r w:rsidRPr="001B0D5F">
        <w:rPr>
          <w:rFonts w:ascii="Book Antiqua" w:hAnsi="Book Antiqua"/>
        </w:rPr>
        <w:t>Winhofer</w:t>
      </w:r>
      <w:proofErr w:type="spellEnd"/>
      <w:r w:rsidRPr="001B0D5F">
        <w:rPr>
          <w:rFonts w:ascii="Book Antiqua" w:hAnsi="Book Antiqua"/>
        </w:rPr>
        <w:t xml:space="preserve"> Y, </w:t>
      </w:r>
      <w:proofErr w:type="spellStart"/>
      <w:r w:rsidRPr="001B0D5F">
        <w:rPr>
          <w:rFonts w:ascii="Book Antiqua" w:hAnsi="Book Antiqua"/>
        </w:rPr>
        <w:t>Guolo</w:t>
      </w:r>
      <w:proofErr w:type="spellEnd"/>
      <w:r w:rsidRPr="001B0D5F">
        <w:rPr>
          <w:rFonts w:ascii="Book Antiqua" w:hAnsi="Book Antiqua"/>
        </w:rPr>
        <w:t xml:space="preserve"> A, </w:t>
      </w:r>
      <w:proofErr w:type="spellStart"/>
      <w:r w:rsidRPr="001B0D5F">
        <w:rPr>
          <w:rFonts w:ascii="Book Antiqua" w:hAnsi="Book Antiqua"/>
        </w:rPr>
        <w:t>Pacini</w:t>
      </w:r>
      <w:proofErr w:type="spellEnd"/>
      <w:r w:rsidRPr="001B0D5F">
        <w:rPr>
          <w:rFonts w:ascii="Book Antiqua" w:hAnsi="Book Antiqua"/>
        </w:rPr>
        <w:t xml:space="preserve"> G, Mari A, </w:t>
      </w:r>
      <w:proofErr w:type="spellStart"/>
      <w:r w:rsidRPr="001B0D5F">
        <w:rPr>
          <w:rFonts w:ascii="Book Antiqua" w:hAnsi="Book Antiqua"/>
        </w:rPr>
        <w:t>Kautzky</w:t>
      </w:r>
      <w:proofErr w:type="spellEnd"/>
      <w:r w:rsidRPr="001B0D5F">
        <w:rPr>
          <w:rFonts w:ascii="Book Antiqua" w:hAnsi="Book Antiqua"/>
        </w:rPr>
        <w:t>-Willer A. Progression to type 2 diabetes in women with former gestational diabetes: time trajectories of metabolic parameters. </w:t>
      </w:r>
      <w:proofErr w:type="spellStart"/>
      <w:r w:rsidRPr="001B0D5F">
        <w:rPr>
          <w:rFonts w:ascii="Book Antiqua" w:hAnsi="Book Antiqua"/>
          <w:i/>
          <w:iCs/>
        </w:rPr>
        <w:t>PLoS</w:t>
      </w:r>
      <w:proofErr w:type="spellEnd"/>
      <w:r w:rsidRPr="001B0D5F">
        <w:rPr>
          <w:rFonts w:ascii="Book Antiqua" w:hAnsi="Book Antiqua"/>
          <w:i/>
          <w:iCs/>
        </w:rPr>
        <w:t xml:space="preserve"> One</w:t>
      </w:r>
      <w:r w:rsidRPr="001B0D5F">
        <w:rPr>
          <w:rFonts w:ascii="Book Antiqua" w:hAnsi="Book Antiqua"/>
        </w:rPr>
        <w:t> 2012; </w:t>
      </w:r>
      <w:r w:rsidRPr="001B0D5F">
        <w:rPr>
          <w:rFonts w:ascii="Book Antiqua" w:hAnsi="Book Antiqua"/>
          <w:b/>
          <w:bCs/>
        </w:rPr>
        <w:t>7</w:t>
      </w:r>
      <w:r w:rsidRPr="001B0D5F">
        <w:rPr>
          <w:rFonts w:ascii="Book Antiqua" w:hAnsi="Book Antiqua"/>
        </w:rPr>
        <w:t>: e50419 [PMID: 23185618 DOI: 10.1371/journal.pone.0050419]</w:t>
      </w:r>
    </w:p>
    <w:p w14:paraId="1C4A9E96"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15 </w:t>
      </w:r>
      <w:r w:rsidRPr="001B0D5F">
        <w:rPr>
          <w:rFonts w:ascii="Book Antiqua" w:hAnsi="Book Antiqua"/>
          <w:b/>
          <w:bCs/>
        </w:rPr>
        <w:t>Newbern D</w:t>
      </w:r>
      <w:r w:rsidRPr="001B0D5F">
        <w:rPr>
          <w:rFonts w:ascii="Book Antiqua" w:hAnsi="Book Antiqua"/>
        </w:rPr>
        <w:t xml:space="preserve">, </w:t>
      </w:r>
      <w:proofErr w:type="spellStart"/>
      <w:r w:rsidRPr="001B0D5F">
        <w:rPr>
          <w:rFonts w:ascii="Book Antiqua" w:hAnsi="Book Antiqua"/>
        </w:rPr>
        <w:t>Freemark</w:t>
      </w:r>
      <w:proofErr w:type="spellEnd"/>
      <w:r w:rsidRPr="001B0D5F">
        <w:rPr>
          <w:rFonts w:ascii="Book Antiqua" w:hAnsi="Book Antiqua"/>
        </w:rPr>
        <w:t xml:space="preserve"> M. Placental hormones and the control of maternal metabolism and fetal growth. </w:t>
      </w:r>
      <w:proofErr w:type="spellStart"/>
      <w:r w:rsidRPr="001B0D5F">
        <w:rPr>
          <w:rFonts w:ascii="Book Antiqua" w:hAnsi="Book Antiqua"/>
          <w:i/>
          <w:iCs/>
        </w:rPr>
        <w:t>Curr</w:t>
      </w:r>
      <w:proofErr w:type="spellEnd"/>
      <w:r w:rsidRPr="001B0D5F">
        <w:rPr>
          <w:rFonts w:ascii="Book Antiqua" w:hAnsi="Book Antiqua"/>
          <w:i/>
          <w:iCs/>
        </w:rPr>
        <w:t xml:space="preserve"> </w:t>
      </w:r>
      <w:proofErr w:type="spellStart"/>
      <w:r w:rsidRPr="001B0D5F">
        <w:rPr>
          <w:rFonts w:ascii="Book Antiqua" w:hAnsi="Book Antiqua"/>
          <w:i/>
          <w:iCs/>
        </w:rPr>
        <w:t>Opin</w:t>
      </w:r>
      <w:proofErr w:type="spellEnd"/>
      <w:r w:rsidRPr="001B0D5F">
        <w:rPr>
          <w:rFonts w:ascii="Book Antiqua" w:hAnsi="Book Antiqua"/>
          <w:i/>
          <w:iCs/>
        </w:rPr>
        <w:t xml:space="preserve"> Endocrinol Diabetes </w:t>
      </w:r>
      <w:proofErr w:type="spellStart"/>
      <w:r w:rsidRPr="001B0D5F">
        <w:rPr>
          <w:rFonts w:ascii="Book Antiqua" w:hAnsi="Book Antiqua"/>
          <w:i/>
          <w:iCs/>
        </w:rPr>
        <w:t>Obes</w:t>
      </w:r>
      <w:proofErr w:type="spellEnd"/>
      <w:r w:rsidRPr="001B0D5F">
        <w:rPr>
          <w:rFonts w:ascii="Book Antiqua" w:hAnsi="Book Antiqua"/>
        </w:rPr>
        <w:t> 2011; </w:t>
      </w:r>
      <w:r w:rsidRPr="001B0D5F">
        <w:rPr>
          <w:rFonts w:ascii="Book Antiqua" w:hAnsi="Book Antiqua"/>
          <w:b/>
          <w:bCs/>
        </w:rPr>
        <w:t>18</w:t>
      </w:r>
      <w:r w:rsidRPr="001B0D5F">
        <w:rPr>
          <w:rFonts w:ascii="Book Antiqua" w:hAnsi="Book Antiqua"/>
        </w:rPr>
        <w:t>: 409-416 [PMID: 21986512 DOI: 10.1097/MED.0b013e32834c800d]</w:t>
      </w:r>
    </w:p>
    <w:p w14:paraId="75B29E28"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16 </w:t>
      </w:r>
      <w:proofErr w:type="spellStart"/>
      <w:r w:rsidRPr="001B0D5F">
        <w:rPr>
          <w:rFonts w:ascii="Book Antiqua" w:hAnsi="Book Antiqua"/>
          <w:b/>
          <w:bCs/>
        </w:rPr>
        <w:t>Ahlqvist</w:t>
      </w:r>
      <w:proofErr w:type="spellEnd"/>
      <w:r w:rsidRPr="001B0D5F">
        <w:rPr>
          <w:rFonts w:ascii="Book Antiqua" w:hAnsi="Book Antiqua"/>
          <w:b/>
          <w:bCs/>
        </w:rPr>
        <w:t xml:space="preserve"> E</w:t>
      </w:r>
      <w:r w:rsidRPr="001B0D5F">
        <w:rPr>
          <w:rFonts w:ascii="Book Antiqua" w:hAnsi="Book Antiqua"/>
        </w:rPr>
        <w:t xml:space="preserve">, Storm P, </w:t>
      </w:r>
      <w:proofErr w:type="spellStart"/>
      <w:r w:rsidRPr="001B0D5F">
        <w:rPr>
          <w:rFonts w:ascii="Book Antiqua" w:hAnsi="Book Antiqua"/>
        </w:rPr>
        <w:t>Käräjämäki</w:t>
      </w:r>
      <w:proofErr w:type="spellEnd"/>
      <w:r w:rsidRPr="001B0D5F">
        <w:rPr>
          <w:rFonts w:ascii="Book Antiqua" w:hAnsi="Book Antiqua"/>
        </w:rPr>
        <w:t xml:space="preserve"> A, </w:t>
      </w:r>
      <w:proofErr w:type="spellStart"/>
      <w:r w:rsidRPr="001B0D5F">
        <w:rPr>
          <w:rFonts w:ascii="Book Antiqua" w:hAnsi="Book Antiqua"/>
        </w:rPr>
        <w:t>Martinell</w:t>
      </w:r>
      <w:proofErr w:type="spellEnd"/>
      <w:r w:rsidRPr="001B0D5F">
        <w:rPr>
          <w:rFonts w:ascii="Book Antiqua" w:hAnsi="Book Antiqua"/>
        </w:rPr>
        <w:t xml:space="preserve"> M, </w:t>
      </w:r>
      <w:proofErr w:type="spellStart"/>
      <w:r w:rsidRPr="001B0D5F">
        <w:rPr>
          <w:rFonts w:ascii="Book Antiqua" w:hAnsi="Book Antiqua"/>
        </w:rPr>
        <w:t>Dorkhan</w:t>
      </w:r>
      <w:proofErr w:type="spellEnd"/>
      <w:r w:rsidRPr="001B0D5F">
        <w:rPr>
          <w:rFonts w:ascii="Book Antiqua" w:hAnsi="Book Antiqua"/>
        </w:rPr>
        <w:t xml:space="preserve"> M, Carlsson A, </w:t>
      </w:r>
      <w:proofErr w:type="spellStart"/>
      <w:r w:rsidRPr="001B0D5F">
        <w:rPr>
          <w:rFonts w:ascii="Book Antiqua" w:hAnsi="Book Antiqua"/>
        </w:rPr>
        <w:t>Vikman</w:t>
      </w:r>
      <w:proofErr w:type="spellEnd"/>
      <w:r w:rsidRPr="001B0D5F">
        <w:rPr>
          <w:rFonts w:ascii="Book Antiqua" w:hAnsi="Book Antiqua"/>
        </w:rPr>
        <w:t xml:space="preserve"> P, Prasad RB, Aly DM, Almgren P, </w:t>
      </w:r>
      <w:proofErr w:type="spellStart"/>
      <w:r w:rsidRPr="001B0D5F">
        <w:rPr>
          <w:rFonts w:ascii="Book Antiqua" w:hAnsi="Book Antiqua"/>
        </w:rPr>
        <w:t>Wessman</w:t>
      </w:r>
      <w:proofErr w:type="spellEnd"/>
      <w:r w:rsidRPr="001B0D5F">
        <w:rPr>
          <w:rFonts w:ascii="Book Antiqua" w:hAnsi="Book Antiqua"/>
        </w:rPr>
        <w:t xml:space="preserve"> Y, </w:t>
      </w:r>
      <w:proofErr w:type="spellStart"/>
      <w:r w:rsidRPr="001B0D5F">
        <w:rPr>
          <w:rFonts w:ascii="Book Antiqua" w:hAnsi="Book Antiqua"/>
        </w:rPr>
        <w:t>Shaat</w:t>
      </w:r>
      <w:proofErr w:type="spellEnd"/>
      <w:r w:rsidRPr="001B0D5F">
        <w:rPr>
          <w:rFonts w:ascii="Book Antiqua" w:hAnsi="Book Antiqua"/>
        </w:rPr>
        <w:t xml:space="preserve"> N, </w:t>
      </w:r>
      <w:proofErr w:type="spellStart"/>
      <w:r w:rsidRPr="001B0D5F">
        <w:rPr>
          <w:rFonts w:ascii="Book Antiqua" w:hAnsi="Book Antiqua"/>
        </w:rPr>
        <w:t>Spégel</w:t>
      </w:r>
      <w:proofErr w:type="spellEnd"/>
      <w:r w:rsidRPr="001B0D5F">
        <w:rPr>
          <w:rFonts w:ascii="Book Antiqua" w:hAnsi="Book Antiqua"/>
        </w:rPr>
        <w:t xml:space="preserve"> P, Mulder H, Lindholm E, Melander O, Hansson O, </w:t>
      </w:r>
      <w:proofErr w:type="spellStart"/>
      <w:r w:rsidRPr="001B0D5F">
        <w:rPr>
          <w:rFonts w:ascii="Book Antiqua" w:hAnsi="Book Antiqua"/>
        </w:rPr>
        <w:t>Malmqvist</w:t>
      </w:r>
      <w:proofErr w:type="spellEnd"/>
      <w:r w:rsidRPr="001B0D5F">
        <w:rPr>
          <w:rFonts w:ascii="Book Antiqua" w:hAnsi="Book Antiqua"/>
        </w:rPr>
        <w:t xml:space="preserve"> U, </w:t>
      </w:r>
      <w:proofErr w:type="spellStart"/>
      <w:r w:rsidRPr="001B0D5F">
        <w:rPr>
          <w:rFonts w:ascii="Book Antiqua" w:hAnsi="Book Antiqua"/>
        </w:rPr>
        <w:t>Lernmark</w:t>
      </w:r>
      <w:proofErr w:type="spellEnd"/>
      <w:r w:rsidRPr="001B0D5F">
        <w:rPr>
          <w:rFonts w:ascii="Book Antiqua" w:hAnsi="Book Antiqua"/>
        </w:rPr>
        <w:t xml:space="preserve"> Å, Lahti K, </w:t>
      </w:r>
      <w:proofErr w:type="spellStart"/>
      <w:r w:rsidRPr="001B0D5F">
        <w:rPr>
          <w:rFonts w:ascii="Book Antiqua" w:hAnsi="Book Antiqua"/>
        </w:rPr>
        <w:t>Forsén</w:t>
      </w:r>
      <w:proofErr w:type="spellEnd"/>
      <w:r w:rsidRPr="001B0D5F">
        <w:rPr>
          <w:rFonts w:ascii="Book Antiqua" w:hAnsi="Book Antiqua"/>
        </w:rPr>
        <w:t xml:space="preserve"> T, </w:t>
      </w:r>
      <w:proofErr w:type="spellStart"/>
      <w:r w:rsidRPr="001B0D5F">
        <w:rPr>
          <w:rFonts w:ascii="Book Antiqua" w:hAnsi="Book Antiqua"/>
        </w:rPr>
        <w:t>Tuomi</w:t>
      </w:r>
      <w:proofErr w:type="spellEnd"/>
      <w:r w:rsidRPr="001B0D5F">
        <w:rPr>
          <w:rFonts w:ascii="Book Antiqua" w:hAnsi="Book Antiqua"/>
        </w:rPr>
        <w:t xml:space="preserve"> T, Rosengren AH, </w:t>
      </w:r>
      <w:proofErr w:type="spellStart"/>
      <w:r w:rsidRPr="001B0D5F">
        <w:rPr>
          <w:rFonts w:ascii="Book Antiqua" w:hAnsi="Book Antiqua"/>
        </w:rPr>
        <w:t>Groop</w:t>
      </w:r>
      <w:proofErr w:type="spellEnd"/>
      <w:r w:rsidRPr="001B0D5F">
        <w:rPr>
          <w:rFonts w:ascii="Book Antiqua" w:hAnsi="Book Antiqua"/>
        </w:rPr>
        <w:t xml:space="preserve"> L. Novel subgroups of adult-onset diabetes and their association with outcomes: a data-driven cluster analysis of six variables. </w:t>
      </w:r>
      <w:r w:rsidRPr="001B0D5F">
        <w:rPr>
          <w:rFonts w:ascii="Book Antiqua" w:hAnsi="Book Antiqua"/>
          <w:i/>
          <w:iCs/>
        </w:rPr>
        <w:t>Lancet Diabetes Endocrinol</w:t>
      </w:r>
      <w:r w:rsidRPr="001B0D5F">
        <w:rPr>
          <w:rFonts w:ascii="Book Antiqua" w:hAnsi="Book Antiqua"/>
        </w:rPr>
        <w:t> 2018; </w:t>
      </w:r>
      <w:r w:rsidRPr="001B0D5F">
        <w:rPr>
          <w:rFonts w:ascii="Book Antiqua" w:hAnsi="Book Antiqua"/>
          <w:b/>
          <w:bCs/>
        </w:rPr>
        <w:t>6</w:t>
      </w:r>
      <w:r w:rsidRPr="001B0D5F">
        <w:rPr>
          <w:rFonts w:ascii="Book Antiqua" w:hAnsi="Book Antiqua"/>
        </w:rPr>
        <w:t>: 361-369 [PMID: 29503172 DOI: 10.1016/S2213-8587(18)30051-2]</w:t>
      </w:r>
    </w:p>
    <w:p w14:paraId="606A512D"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17 </w:t>
      </w:r>
      <w:proofErr w:type="spellStart"/>
      <w:r w:rsidRPr="001B0D5F">
        <w:rPr>
          <w:rFonts w:ascii="Book Antiqua" w:hAnsi="Book Antiqua"/>
          <w:b/>
          <w:bCs/>
        </w:rPr>
        <w:t>Udler</w:t>
      </w:r>
      <w:proofErr w:type="spellEnd"/>
      <w:r w:rsidRPr="001B0D5F">
        <w:rPr>
          <w:rFonts w:ascii="Book Antiqua" w:hAnsi="Book Antiqua"/>
          <w:b/>
          <w:bCs/>
        </w:rPr>
        <w:t xml:space="preserve"> MS</w:t>
      </w:r>
      <w:r w:rsidRPr="001B0D5F">
        <w:rPr>
          <w:rFonts w:ascii="Book Antiqua" w:hAnsi="Book Antiqua"/>
        </w:rPr>
        <w:t xml:space="preserve">, Kim J, von </w:t>
      </w:r>
      <w:proofErr w:type="spellStart"/>
      <w:r w:rsidRPr="001B0D5F">
        <w:rPr>
          <w:rFonts w:ascii="Book Antiqua" w:hAnsi="Book Antiqua"/>
        </w:rPr>
        <w:t>Grotthuss</w:t>
      </w:r>
      <w:proofErr w:type="spellEnd"/>
      <w:r w:rsidRPr="001B0D5F">
        <w:rPr>
          <w:rFonts w:ascii="Book Antiqua" w:hAnsi="Book Antiqua"/>
        </w:rPr>
        <w:t xml:space="preserve"> M, </w:t>
      </w:r>
      <w:proofErr w:type="spellStart"/>
      <w:r w:rsidRPr="001B0D5F">
        <w:rPr>
          <w:rFonts w:ascii="Book Antiqua" w:hAnsi="Book Antiqua"/>
        </w:rPr>
        <w:t>Bonàs-Guarch</w:t>
      </w:r>
      <w:proofErr w:type="spellEnd"/>
      <w:r w:rsidRPr="001B0D5F">
        <w:rPr>
          <w:rFonts w:ascii="Book Antiqua" w:hAnsi="Book Antiqua"/>
        </w:rPr>
        <w:t xml:space="preserve"> S, Cole JB, </w:t>
      </w:r>
      <w:proofErr w:type="spellStart"/>
      <w:r w:rsidRPr="001B0D5F">
        <w:rPr>
          <w:rFonts w:ascii="Book Antiqua" w:hAnsi="Book Antiqua"/>
        </w:rPr>
        <w:t>Chiou</w:t>
      </w:r>
      <w:proofErr w:type="spellEnd"/>
      <w:r w:rsidRPr="001B0D5F">
        <w:rPr>
          <w:rFonts w:ascii="Book Antiqua" w:hAnsi="Book Antiqua"/>
        </w:rPr>
        <w:t xml:space="preserve"> J; Christopher D. Anderson on behalf of METASTROKE and the ISGC, </w:t>
      </w:r>
      <w:proofErr w:type="spellStart"/>
      <w:r w:rsidRPr="001B0D5F">
        <w:rPr>
          <w:rFonts w:ascii="Book Antiqua" w:hAnsi="Book Antiqua"/>
        </w:rPr>
        <w:t>Boehnke</w:t>
      </w:r>
      <w:proofErr w:type="spellEnd"/>
      <w:r w:rsidRPr="001B0D5F">
        <w:rPr>
          <w:rFonts w:ascii="Book Antiqua" w:hAnsi="Book Antiqua"/>
        </w:rPr>
        <w:t xml:space="preserve"> M, </w:t>
      </w:r>
      <w:proofErr w:type="spellStart"/>
      <w:r w:rsidRPr="001B0D5F">
        <w:rPr>
          <w:rFonts w:ascii="Book Antiqua" w:hAnsi="Book Antiqua"/>
        </w:rPr>
        <w:t>Laakso</w:t>
      </w:r>
      <w:proofErr w:type="spellEnd"/>
      <w:r w:rsidRPr="001B0D5F">
        <w:rPr>
          <w:rFonts w:ascii="Book Antiqua" w:hAnsi="Book Antiqua"/>
        </w:rPr>
        <w:t xml:space="preserve"> M, Atzmon G, Glaser B, Mercader JM, </w:t>
      </w:r>
      <w:proofErr w:type="spellStart"/>
      <w:r w:rsidRPr="001B0D5F">
        <w:rPr>
          <w:rFonts w:ascii="Book Antiqua" w:hAnsi="Book Antiqua"/>
        </w:rPr>
        <w:t>Gaulton</w:t>
      </w:r>
      <w:proofErr w:type="spellEnd"/>
      <w:r w:rsidRPr="001B0D5F">
        <w:rPr>
          <w:rFonts w:ascii="Book Antiqua" w:hAnsi="Book Antiqua"/>
        </w:rPr>
        <w:t xml:space="preserve"> K, </w:t>
      </w:r>
      <w:proofErr w:type="spellStart"/>
      <w:r w:rsidRPr="001B0D5F">
        <w:rPr>
          <w:rFonts w:ascii="Book Antiqua" w:hAnsi="Book Antiqua"/>
        </w:rPr>
        <w:t>Flannick</w:t>
      </w:r>
      <w:proofErr w:type="spellEnd"/>
      <w:r w:rsidRPr="001B0D5F">
        <w:rPr>
          <w:rFonts w:ascii="Book Antiqua" w:hAnsi="Book Antiqua"/>
        </w:rPr>
        <w:t xml:space="preserve"> J, Getz G, </w:t>
      </w:r>
      <w:proofErr w:type="spellStart"/>
      <w:r w:rsidRPr="001B0D5F">
        <w:rPr>
          <w:rFonts w:ascii="Book Antiqua" w:hAnsi="Book Antiqua"/>
        </w:rPr>
        <w:t>Florez</w:t>
      </w:r>
      <w:proofErr w:type="spellEnd"/>
      <w:r w:rsidRPr="001B0D5F">
        <w:rPr>
          <w:rFonts w:ascii="Book Antiqua" w:hAnsi="Book Antiqua"/>
        </w:rPr>
        <w:t xml:space="preserve"> JC. Type 2 diabetes genetic </w:t>
      </w:r>
      <w:r w:rsidRPr="001B0D5F">
        <w:rPr>
          <w:rFonts w:ascii="Book Antiqua" w:hAnsi="Book Antiqua"/>
        </w:rPr>
        <w:lastRenderedPageBreak/>
        <w:t>loci informed by multi-trait associations point to disease mechanisms and subtypes: A soft clustering analysis. </w:t>
      </w:r>
      <w:proofErr w:type="spellStart"/>
      <w:r w:rsidRPr="001B0D5F">
        <w:rPr>
          <w:rFonts w:ascii="Book Antiqua" w:hAnsi="Book Antiqua"/>
          <w:i/>
          <w:iCs/>
        </w:rPr>
        <w:t>PLoS</w:t>
      </w:r>
      <w:proofErr w:type="spellEnd"/>
      <w:r w:rsidRPr="001B0D5F">
        <w:rPr>
          <w:rFonts w:ascii="Book Antiqua" w:hAnsi="Book Antiqua"/>
          <w:i/>
          <w:iCs/>
        </w:rPr>
        <w:t xml:space="preserve"> Med</w:t>
      </w:r>
      <w:r w:rsidRPr="001B0D5F">
        <w:rPr>
          <w:rFonts w:ascii="Book Antiqua" w:hAnsi="Book Antiqua"/>
        </w:rPr>
        <w:t> 2018; </w:t>
      </w:r>
      <w:r w:rsidRPr="001B0D5F">
        <w:rPr>
          <w:rFonts w:ascii="Book Antiqua" w:hAnsi="Book Antiqua"/>
          <w:b/>
          <w:bCs/>
        </w:rPr>
        <w:t>15</w:t>
      </w:r>
      <w:r w:rsidRPr="001B0D5F">
        <w:rPr>
          <w:rFonts w:ascii="Book Antiqua" w:hAnsi="Book Antiqua"/>
        </w:rPr>
        <w:t>: e1002654 [PMID: 30240442 DOI: 10.1371/journal.pmed.1002654]</w:t>
      </w:r>
    </w:p>
    <w:p w14:paraId="69B913DF"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18 </w:t>
      </w:r>
      <w:r w:rsidRPr="001B0D5F">
        <w:rPr>
          <w:rFonts w:ascii="Book Antiqua" w:hAnsi="Book Antiqua"/>
          <w:b/>
          <w:bCs/>
        </w:rPr>
        <w:t>Dennis JM</w:t>
      </w:r>
      <w:r w:rsidRPr="001B0D5F">
        <w:rPr>
          <w:rFonts w:ascii="Book Antiqua" w:hAnsi="Book Antiqua"/>
        </w:rPr>
        <w:t>, Shields BM, Henley WE, Jones AG, Hattersley AT. Disease progression and treatment response in data-driven subgroups of type 2 diabetes compared with models based on simple clinical features: an analysis using clinical trial data. </w:t>
      </w:r>
      <w:r w:rsidRPr="001B0D5F">
        <w:rPr>
          <w:rFonts w:ascii="Book Antiqua" w:hAnsi="Book Antiqua"/>
          <w:i/>
          <w:iCs/>
        </w:rPr>
        <w:t>Lancet Diabetes Endocrinol</w:t>
      </w:r>
      <w:r w:rsidRPr="001B0D5F">
        <w:rPr>
          <w:rFonts w:ascii="Book Antiqua" w:hAnsi="Book Antiqua"/>
        </w:rPr>
        <w:t> 2019; </w:t>
      </w:r>
      <w:r w:rsidRPr="001B0D5F">
        <w:rPr>
          <w:rFonts w:ascii="Book Antiqua" w:hAnsi="Book Antiqua"/>
          <w:b/>
          <w:bCs/>
        </w:rPr>
        <w:t>7</w:t>
      </w:r>
      <w:r w:rsidRPr="001B0D5F">
        <w:rPr>
          <w:rFonts w:ascii="Book Antiqua" w:hAnsi="Book Antiqua"/>
        </w:rPr>
        <w:t>: 442-451 [PMID: 31047901 DOI: 10.1016/S2213-8587(19)30087-7]</w:t>
      </w:r>
    </w:p>
    <w:p w14:paraId="7C3C3AC2"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19 </w:t>
      </w:r>
      <w:proofErr w:type="spellStart"/>
      <w:r w:rsidRPr="001B0D5F">
        <w:rPr>
          <w:rFonts w:ascii="Book Antiqua" w:hAnsi="Book Antiqua"/>
          <w:b/>
          <w:bCs/>
        </w:rPr>
        <w:t>Kahkoska</w:t>
      </w:r>
      <w:proofErr w:type="spellEnd"/>
      <w:r w:rsidRPr="001B0D5F">
        <w:rPr>
          <w:rFonts w:ascii="Book Antiqua" w:hAnsi="Book Antiqua"/>
          <w:b/>
          <w:bCs/>
        </w:rPr>
        <w:t xml:space="preserve"> AR</w:t>
      </w:r>
      <w:r w:rsidRPr="001B0D5F">
        <w:rPr>
          <w:rFonts w:ascii="Book Antiqua" w:hAnsi="Book Antiqua"/>
        </w:rPr>
        <w:t xml:space="preserve">, </w:t>
      </w:r>
      <w:proofErr w:type="spellStart"/>
      <w:r w:rsidRPr="001B0D5F">
        <w:rPr>
          <w:rFonts w:ascii="Book Antiqua" w:hAnsi="Book Antiqua"/>
        </w:rPr>
        <w:t>Geybels</w:t>
      </w:r>
      <w:proofErr w:type="spellEnd"/>
      <w:r w:rsidRPr="001B0D5F">
        <w:rPr>
          <w:rFonts w:ascii="Book Antiqua" w:hAnsi="Book Antiqua"/>
        </w:rPr>
        <w:t xml:space="preserve"> MS, Klein KR, </w:t>
      </w:r>
      <w:proofErr w:type="spellStart"/>
      <w:r w:rsidRPr="001B0D5F">
        <w:rPr>
          <w:rFonts w:ascii="Book Antiqua" w:hAnsi="Book Antiqua"/>
        </w:rPr>
        <w:t>Kreiner</w:t>
      </w:r>
      <w:proofErr w:type="spellEnd"/>
      <w:r w:rsidRPr="001B0D5F">
        <w:rPr>
          <w:rFonts w:ascii="Book Antiqua" w:hAnsi="Book Antiqua"/>
        </w:rPr>
        <w:t xml:space="preserve"> FF, Marx N, </w:t>
      </w:r>
      <w:proofErr w:type="spellStart"/>
      <w:r w:rsidRPr="001B0D5F">
        <w:rPr>
          <w:rFonts w:ascii="Book Antiqua" w:hAnsi="Book Antiqua"/>
        </w:rPr>
        <w:t>Nauck</w:t>
      </w:r>
      <w:proofErr w:type="spellEnd"/>
      <w:r w:rsidRPr="001B0D5F">
        <w:rPr>
          <w:rFonts w:ascii="Book Antiqua" w:hAnsi="Book Antiqua"/>
        </w:rPr>
        <w:t xml:space="preserve"> MA, Pratley RE, </w:t>
      </w:r>
      <w:proofErr w:type="spellStart"/>
      <w:r w:rsidRPr="001B0D5F">
        <w:rPr>
          <w:rFonts w:ascii="Book Antiqua" w:hAnsi="Book Antiqua"/>
        </w:rPr>
        <w:t>Wolthers</w:t>
      </w:r>
      <w:proofErr w:type="spellEnd"/>
      <w:r w:rsidRPr="001B0D5F">
        <w:rPr>
          <w:rFonts w:ascii="Book Antiqua" w:hAnsi="Book Antiqua"/>
        </w:rPr>
        <w:t xml:space="preserve"> BO, Buse JB. Validation of distinct type 2 diabetes clusters and their association with diabetes complications in the DEVOTE, LEADER and SUSTAIN-6 cardiovascular outcomes trials. </w:t>
      </w:r>
      <w:r w:rsidRPr="001B0D5F">
        <w:rPr>
          <w:rFonts w:ascii="Book Antiqua" w:hAnsi="Book Antiqua"/>
          <w:i/>
          <w:iCs/>
        </w:rPr>
        <w:t xml:space="preserve">Diabetes </w:t>
      </w:r>
      <w:proofErr w:type="spellStart"/>
      <w:r w:rsidRPr="001B0D5F">
        <w:rPr>
          <w:rFonts w:ascii="Book Antiqua" w:hAnsi="Book Antiqua"/>
          <w:i/>
          <w:iCs/>
        </w:rPr>
        <w:t>Obes</w:t>
      </w:r>
      <w:proofErr w:type="spellEnd"/>
      <w:r w:rsidRPr="001B0D5F">
        <w:rPr>
          <w:rFonts w:ascii="Book Antiqua" w:hAnsi="Book Antiqua"/>
          <w:i/>
          <w:iCs/>
        </w:rPr>
        <w:t xml:space="preserve"> </w:t>
      </w:r>
      <w:proofErr w:type="spellStart"/>
      <w:r w:rsidRPr="001B0D5F">
        <w:rPr>
          <w:rFonts w:ascii="Book Antiqua" w:hAnsi="Book Antiqua"/>
          <w:i/>
          <w:iCs/>
        </w:rPr>
        <w:t>Metab</w:t>
      </w:r>
      <w:proofErr w:type="spellEnd"/>
      <w:r w:rsidRPr="001B0D5F">
        <w:rPr>
          <w:rFonts w:ascii="Book Antiqua" w:hAnsi="Book Antiqua"/>
        </w:rPr>
        <w:t> 2020; </w:t>
      </w:r>
      <w:r w:rsidRPr="001B0D5F">
        <w:rPr>
          <w:rFonts w:ascii="Book Antiqua" w:hAnsi="Book Antiqua"/>
          <w:b/>
          <w:bCs/>
        </w:rPr>
        <w:t>22</w:t>
      </w:r>
      <w:r w:rsidRPr="001B0D5F">
        <w:rPr>
          <w:rFonts w:ascii="Book Antiqua" w:hAnsi="Book Antiqua"/>
        </w:rPr>
        <w:t>: 1537-1547 [PMID: 32314525 DOI: 10.1111/dom.14063]</w:t>
      </w:r>
    </w:p>
    <w:p w14:paraId="2DA72222"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20 </w:t>
      </w:r>
      <w:proofErr w:type="spellStart"/>
      <w:r w:rsidRPr="001B0D5F">
        <w:rPr>
          <w:rFonts w:ascii="Book Antiqua" w:hAnsi="Book Antiqua"/>
          <w:b/>
          <w:bCs/>
        </w:rPr>
        <w:t>Ahlqvist</w:t>
      </w:r>
      <w:proofErr w:type="spellEnd"/>
      <w:r w:rsidRPr="001B0D5F">
        <w:rPr>
          <w:rFonts w:ascii="Book Antiqua" w:hAnsi="Book Antiqua"/>
          <w:b/>
          <w:bCs/>
        </w:rPr>
        <w:t xml:space="preserve"> E</w:t>
      </w:r>
      <w:r w:rsidRPr="001B0D5F">
        <w:rPr>
          <w:rFonts w:ascii="Book Antiqua" w:hAnsi="Book Antiqua"/>
        </w:rPr>
        <w:t xml:space="preserve">, Prasad RB, </w:t>
      </w:r>
      <w:proofErr w:type="spellStart"/>
      <w:r w:rsidRPr="001B0D5F">
        <w:rPr>
          <w:rFonts w:ascii="Book Antiqua" w:hAnsi="Book Antiqua"/>
        </w:rPr>
        <w:t>Groop</w:t>
      </w:r>
      <w:proofErr w:type="spellEnd"/>
      <w:r w:rsidRPr="001B0D5F">
        <w:rPr>
          <w:rFonts w:ascii="Book Antiqua" w:hAnsi="Book Antiqua"/>
        </w:rPr>
        <w:t xml:space="preserve"> L. Subtypes of Type 2 Diabetes Determined </w:t>
      </w:r>
      <w:proofErr w:type="gramStart"/>
      <w:r w:rsidRPr="001B0D5F">
        <w:rPr>
          <w:rFonts w:ascii="Book Antiqua" w:hAnsi="Book Antiqua"/>
        </w:rPr>
        <w:t>From</w:t>
      </w:r>
      <w:proofErr w:type="gramEnd"/>
      <w:r w:rsidRPr="001B0D5F">
        <w:rPr>
          <w:rFonts w:ascii="Book Antiqua" w:hAnsi="Book Antiqua"/>
        </w:rPr>
        <w:t xml:space="preserve"> Clinical Parameters. </w:t>
      </w:r>
      <w:r w:rsidRPr="001B0D5F">
        <w:rPr>
          <w:rFonts w:ascii="Book Antiqua" w:hAnsi="Book Antiqua"/>
          <w:i/>
          <w:iCs/>
        </w:rPr>
        <w:t>Diabetes</w:t>
      </w:r>
      <w:r w:rsidRPr="001B0D5F">
        <w:rPr>
          <w:rFonts w:ascii="Book Antiqua" w:hAnsi="Book Antiqua"/>
        </w:rPr>
        <w:t> 2020; </w:t>
      </w:r>
      <w:r w:rsidRPr="001B0D5F">
        <w:rPr>
          <w:rFonts w:ascii="Book Antiqua" w:hAnsi="Book Antiqua"/>
          <w:b/>
          <w:bCs/>
        </w:rPr>
        <w:t>69</w:t>
      </w:r>
      <w:r w:rsidRPr="001B0D5F">
        <w:rPr>
          <w:rFonts w:ascii="Book Antiqua" w:hAnsi="Book Antiqua"/>
        </w:rPr>
        <w:t>: 2086-2093 [PMID: 32843567 DOI: 10.2337/dbi20-0001]</w:t>
      </w:r>
    </w:p>
    <w:p w14:paraId="7FD53D5A"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21 </w:t>
      </w:r>
      <w:r w:rsidRPr="001B0D5F">
        <w:rPr>
          <w:rFonts w:ascii="Book Antiqua" w:hAnsi="Book Antiqua"/>
          <w:b/>
          <w:bCs/>
        </w:rPr>
        <w:t>Anjana RM</w:t>
      </w:r>
      <w:r w:rsidRPr="001B0D5F">
        <w:rPr>
          <w:rFonts w:ascii="Book Antiqua" w:hAnsi="Book Antiqua"/>
        </w:rPr>
        <w:t xml:space="preserve">, </w:t>
      </w:r>
      <w:proofErr w:type="spellStart"/>
      <w:r w:rsidRPr="001B0D5F">
        <w:rPr>
          <w:rFonts w:ascii="Book Antiqua" w:hAnsi="Book Antiqua"/>
        </w:rPr>
        <w:t>Pradeepa</w:t>
      </w:r>
      <w:proofErr w:type="spellEnd"/>
      <w:r w:rsidRPr="001B0D5F">
        <w:rPr>
          <w:rFonts w:ascii="Book Antiqua" w:hAnsi="Book Antiqua"/>
        </w:rPr>
        <w:t xml:space="preserve"> R, Unnikrishnan R, </w:t>
      </w:r>
      <w:proofErr w:type="spellStart"/>
      <w:r w:rsidRPr="001B0D5F">
        <w:rPr>
          <w:rFonts w:ascii="Book Antiqua" w:hAnsi="Book Antiqua"/>
        </w:rPr>
        <w:t>Tiwaskar</w:t>
      </w:r>
      <w:proofErr w:type="spellEnd"/>
      <w:r w:rsidRPr="001B0D5F">
        <w:rPr>
          <w:rFonts w:ascii="Book Antiqua" w:hAnsi="Book Antiqua"/>
        </w:rPr>
        <w:t xml:space="preserve"> M, Aravind SR, </w:t>
      </w:r>
      <w:proofErr w:type="spellStart"/>
      <w:r w:rsidRPr="001B0D5F">
        <w:rPr>
          <w:rFonts w:ascii="Book Antiqua" w:hAnsi="Book Antiqua"/>
        </w:rPr>
        <w:t>Saboo</w:t>
      </w:r>
      <w:proofErr w:type="spellEnd"/>
      <w:r w:rsidRPr="001B0D5F">
        <w:rPr>
          <w:rFonts w:ascii="Book Antiqua" w:hAnsi="Book Antiqua"/>
        </w:rPr>
        <w:t xml:space="preserve"> B, Joshi SR, Mohan V. New and Unique Clusters of Type 2 Diabetes Identified in Indians. </w:t>
      </w:r>
      <w:r w:rsidRPr="001B0D5F">
        <w:rPr>
          <w:rFonts w:ascii="Book Antiqua" w:hAnsi="Book Antiqua"/>
          <w:i/>
          <w:iCs/>
        </w:rPr>
        <w:t>J Assoc Physicians India</w:t>
      </w:r>
      <w:r w:rsidRPr="001B0D5F">
        <w:rPr>
          <w:rFonts w:ascii="Book Antiqua" w:hAnsi="Book Antiqua"/>
        </w:rPr>
        <w:t> 2021; </w:t>
      </w:r>
      <w:r w:rsidRPr="001B0D5F">
        <w:rPr>
          <w:rFonts w:ascii="Book Antiqua" w:hAnsi="Book Antiqua"/>
          <w:b/>
          <w:bCs/>
        </w:rPr>
        <w:t>69</w:t>
      </w:r>
      <w:r w:rsidRPr="001B0D5F">
        <w:rPr>
          <w:rFonts w:ascii="Book Antiqua" w:hAnsi="Book Antiqua"/>
        </w:rPr>
        <w:t>: 58-61 [</w:t>
      </w:r>
      <w:bookmarkStart w:id="94" w:name="OLE_LINK42"/>
      <w:bookmarkStart w:id="95" w:name="OLE_LINK43"/>
      <w:bookmarkStart w:id="96" w:name="OLE_LINK44"/>
      <w:r w:rsidRPr="001B0D5F">
        <w:rPr>
          <w:rFonts w:ascii="Book Antiqua" w:hAnsi="Book Antiqua"/>
        </w:rPr>
        <w:t>PMID: 33527813</w:t>
      </w:r>
      <w:bookmarkEnd w:id="94"/>
      <w:bookmarkEnd w:id="95"/>
      <w:bookmarkEnd w:id="96"/>
      <w:r w:rsidRPr="001B0D5F">
        <w:rPr>
          <w:rFonts w:ascii="Book Antiqua" w:hAnsi="Book Antiqua"/>
        </w:rPr>
        <w:t>]</w:t>
      </w:r>
    </w:p>
    <w:p w14:paraId="329F9F15"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22 </w:t>
      </w:r>
      <w:r w:rsidRPr="001B0D5F">
        <w:rPr>
          <w:rFonts w:ascii="Book Antiqua" w:hAnsi="Book Antiqua"/>
          <w:b/>
          <w:bCs/>
        </w:rPr>
        <w:t>Gerstein HC</w:t>
      </w:r>
      <w:r w:rsidRPr="001B0D5F">
        <w:rPr>
          <w:rFonts w:ascii="Book Antiqua" w:hAnsi="Book Antiqua"/>
        </w:rPr>
        <w:t xml:space="preserve">. Fasting versus </w:t>
      </w:r>
      <w:proofErr w:type="spellStart"/>
      <w:r w:rsidRPr="001B0D5F">
        <w:rPr>
          <w:rFonts w:ascii="Book Antiqua" w:hAnsi="Book Antiqua"/>
        </w:rPr>
        <w:t>postload</w:t>
      </w:r>
      <w:proofErr w:type="spellEnd"/>
      <w:r w:rsidRPr="001B0D5F">
        <w:rPr>
          <w:rFonts w:ascii="Book Antiqua" w:hAnsi="Book Antiqua"/>
        </w:rPr>
        <w:t xml:space="preserve"> glucose levels: why the controversy? </w:t>
      </w:r>
      <w:r w:rsidRPr="001B0D5F">
        <w:rPr>
          <w:rFonts w:ascii="Book Antiqua" w:hAnsi="Book Antiqua"/>
          <w:i/>
          <w:iCs/>
        </w:rPr>
        <w:t>Diabetes Care</w:t>
      </w:r>
      <w:r w:rsidRPr="001B0D5F">
        <w:rPr>
          <w:rFonts w:ascii="Book Antiqua" w:hAnsi="Book Antiqua"/>
        </w:rPr>
        <w:t> 2001; </w:t>
      </w:r>
      <w:r w:rsidRPr="001B0D5F">
        <w:rPr>
          <w:rFonts w:ascii="Book Antiqua" w:hAnsi="Book Antiqua"/>
          <w:b/>
          <w:bCs/>
        </w:rPr>
        <w:t>24</w:t>
      </w:r>
      <w:r w:rsidRPr="001B0D5F">
        <w:rPr>
          <w:rFonts w:ascii="Book Antiqua" w:hAnsi="Book Antiqua"/>
        </w:rPr>
        <w:t>: 1855-1857 [PMID: 11679446 DOI: 10.2337/diacare.24.11.1855]</w:t>
      </w:r>
    </w:p>
    <w:p w14:paraId="30A6A5FF"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23 </w:t>
      </w:r>
      <w:r w:rsidRPr="001B0D5F">
        <w:rPr>
          <w:rFonts w:ascii="Book Antiqua" w:hAnsi="Book Antiqua"/>
          <w:b/>
          <w:bCs/>
        </w:rPr>
        <w:t xml:space="preserve">Carnevale </w:t>
      </w:r>
      <w:proofErr w:type="spellStart"/>
      <w:r w:rsidRPr="001B0D5F">
        <w:rPr>
          <w:rFonts w:ascii="Book Antiqua" w:hAnsi="Book Antiqua"/>
          <w:b/>
          <w:bCs/>
        </w:rPr>
        <w:t>Schianca</w:t>
      </w:r>
      <w:proofErr w:type="spellEnd"/>
      <w:r w:rsidRPr="001B0D5F">
        <w:rPr>
          <w:rFonts w:ascii="Book Antiqua" w:hAnsi="Book Antiqua"/>
          <w:b/>
          <w:bCs/>
        </w:rPr>
        <w:t xml:space="preserve"> GP</w:t>
      </w:r>
      <w:r w:rsidRPr="001B0D5F">
        <w:rPr>
          <w:rFonts w:ascii="Book Antiqua" w:hAnsi="Book Antiqua"/>
        </w:rPr>
        <w:t xml:space="preserve">, Rossi A, </w:t>
      </w:r>
      <w:proofErr w:type="spellStart"/>
      <w:r w:rsidRPr="001B0D5F">
        <w:rPr>
          <w:rFonts w:ascii="Book Antiqua" w:hAnsi="Book Antiqua"/>
        </w:rPr>
        <w:t>Sainaghi</w:t>
      </w:r>
      <w:proofErr w:type="spellEnd"/>
      <w:r w:rsidRPr="001B0D5F">
        <w:rPr>
          <w:rFonts w:ascii="Book Antiqua" w:hAnsi="Book Antiqua"/>
        </w:rPr>
        <w:t xml:space="preserve"> PP, </w:t>
      </w:r>
      <w:proofErr w:type="spellStart"/>
      <w:r w:rsidRPr="001B0D5F">
        <w:rPr>
          <w:rFonts w:ascii="Book Antiqua" w:hAnsi="Book Antiqua"/>
        </w:rPr>
        <w:t>Maduli</w:t>
      </w:r>
      <w:proofErr w:type="spellEnd"/>
      <w:r w:rsidRPr="001B0D5F">
        <w:rPr>
          <w:rFonts w:ascii="Book Antiqua" w:hAnsi="Book Antiqua"/>
        </w:rPr>
        <w:t xml:space="preserve"> E, Bartoli E. The significance of impaired fasting glucose versus impaired glucose tolerance: importance of insulin secretion and resistance. </w:t>
      </w:r>
      <w:r w:rsidRPr="001B0D5F">
        <w:rPr>
          <w:rFonts w:ascii="Book Antiqua" w:hAnsi="Book Antiqua"/>
          <w:i/>
          <w:iCs/>
        </w:rPr>
        <w:t>Diabetes Care</w:t>
      </w:r>
      <w:r w:rsidRPr="001B0D5F">
        <w:rPr>
          <w:rFonts w:ascii="Book Antiqua" w:hAnsi="Book Antiqua"/>
        </w:rPr>
        <w:t> 2003; </w:t>
      </w:r>
      <w:r w:rsidRPr="001B0D5F">
        <w:rPr>
          <w:rFonts w:ascii="Book Antiqua" w:hAnsi="Book Antiqua"/>
          <w:b/>
          <w:bCs/>
        </w:rPr>
        <w:t>26</w:t>
      </w:r>
      <w:r w:rsidRPr="001B0D5F">
        <w:rPr>
          <w:rFonts w:ascii="Book Antiqua" w:hAnsi="Book Antiqua"/>
        </w:rPr>
        <w:t>: 1333-1337 [PMID: 12716784 DOI: 10.2337/diacare.26.5.1333]</w:t>
      </w:r>
    </w:p>
    <w:p w14:paraId="043AF86A"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24 </w:t>
      </w:r>
      <w:r w:rsidRPr="001B0D5F">
        <w:rPr>
          <w:rFonts w:ascii="Book Antiqua" w:hAnsi="Book Antiqua"/>
          <w:b/>
          <w:bCs/>
        </w:rPr>
        <w:t>Abdul-Ghani MA</w:t>
      </w:r>
      <w:r w:rsidRPr="001B0D5F">
        <w:rPr>
          <w:rFonts w:ascii="Book Antiqua" w:hAnsi="Book Antiqua"/>
        </w:rPr>
        <w:t xml:space="preserve">, Tripathy D, </w:t>
      </w:r>
      <w:proofErr w:type="spellStart"/>
      <w:r w:rsidRPr="001B0D5F">
        <w:rPr>
          <w:rFonts w:ascii="Book Antiqua" w:hAnsi="Book Antiqua"/>
        </w:rPr>
        <w:t>DeFronzo</w:t>
      </w:r>
      <w:proofErr w:type="spellEnd"/>
      <w:r w:rsidRPr="001B0D5F">
        <w:rPr>
          <w:rFonts w:ascii="Book Antiqua" w:hAnsi="Book Antiqua"/>
        </w:rPr>
        <w:t xml:space="preserve"> RA. Contributions of beta-cell dysfunction and insulin resistance to the pathogenesis of impaired glucose tolerance and impaired fasting glucose. </w:t>
      </w:r>
      <w:r w:rsidRPr="001B0D5F">
        <w:rPr>
          <w:rFonts w:ascii="Book Antiqua" w:hAnsi="Book Antiqua"/>
          <w:i/>
          <w:iCs/>
        </w:rPr>
        <w:t>Diabetes Care</w:t>
      </w:r>
      <w:r w:rsidRPr="001B0D5F">
        <w:rPr>
          <w:rFonts w:ascii="Book Antiqua" w:hAnsi="Book Antiqua"/>
        </w:rPr>
        <w:t> 2006; </w:t>
      </w:r>
      <w:r w:rsidRPr="001B0D5F">
        <w:rPr>
          <w:rFonts w:ascii="Book Antiqua" w:hAnsi="Book Antiqua"/>
          <w:b/>
          <w:bCs/>
        </w:rPr>
        <w:t>29</w:t>
      </w:r>
      <w:r w:rsidRPr="001B0D5F">
        <w:rPr>
          <w:rFonts w:ascii="Book Antiqua" w:hAnsi="Book Antiqua"/>
        </w:rPr>
        <w:t>: 1130-1139 [PMID: 16644654 DOI: 10.2337/diacare.2951130]</w:t>
      </w:r>
    </w:p>
    <w:p w14:paraId="6558A6A3"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lastRenderedPageBreak/>
        <w:t>25 </w:t>
      </w:r>
      <w:r w:rsidRPr="001B0D5F">
        <w:rPr>
          <w:rFonts w:ascii="Book Antiqua" w:hAnsi="Book Antiqua"/>
          <w:b/>
          <w:bCs/>
        </w:rPr>
        <w:t>Nathan DM</w:t>
      </w:r>
      <w:r w:rsidRPr="001B0D5F">
        <w:rPr>
          <w:rFonts w:ascii="Book Antiqua" w:hAnsi="Book Antiqua"/>
        </w:rPr>
        <w:t xml:space="preserve">, Davidson MB, </w:t>
      </w:r>
      <w:proofErr w:type="spellStart"/>
      <w:r w:rsidRPr="001B0D5F">
        <w:rPr>
          <w:rFonts w:ascii="Book Antiqua" w:hAnsi="Book Antiqua"/>
        </w:rPr>
        <w:t>DeFronzo</w:t>
      </w:r>
      <w:proofErr w:type="spellEnd"/>
      <w:r w:rsidRPr="001B0D5F">
        <w:rPr>
          <w:rFonts w:ascii="Book Antiqua" w:hAnsi="Book Antiqua"/>
        </w:rPr>
        <w:t xml:space="preserve"> RA, Heine RJ, Henry RR, Pratley R, </w:t>
      </w:r>
      <w:proofErr w:type="spellStart"/>
      <w:r w:rsidRPr="001B0D5F">
        <w:rPr>
          <w:rFonts w:ascii="Book Antiqua" w:hAnsi="Book Antiqua"/>
        </w:rPr>
        <w:t>Zinman</w:t>
      </w:r>
      <w:proofErr w:type="spellEnd"/>
      <w:r w:rsidRPr="001B0D5F">
        <w:rPr>
          <w:rFonts w:ascii="Book Antiqua" w:hAnsi="Book Antiqua"/>
        </w:rPr>
        <w:t xml:space="preserve"> B; American Diabetes Association. Impaired fasting glucose and impaired glucose tolerance: implications for care. </w:t>
      </w:r>
      <w:r w:rsidRPr="001B0D5F">
        <w:rPr>
          <w:rFonts w:ascii="Book Antiqua" w:hAnsi="Book Antiqua"/>
          <w:i/>
          <w:iCs/>
        </w:rPr>
        <w:t>Diabetes Care</w:t>
      </w:r>
      <w:r w:rsidRPr="001B0D5F">
        <w:rPr>
          <w:rFonts w:ascii="Book Antiqua" w:hAnsi="Book Antiqua"/>
        </w:rPr>
        <w:t> 2007; </w:t>
      </w:r>
      <w:r w:rsidRPr="001B0D5F">
        <w:rPr>
          <w:rFonts w:ascii="Book Antiqua" w:hAnsi="Book Antiqua"/>
          <w:b/>
          <w:bCs/>
        </w:rPr>
        <w:t>30</w:t>
      </w:r>
      <w:r w:rsidRPr="001B0D5F">
        <w:rPr>
          <w:rFonts w:ascii="Book Antiqua" w:hAnsi="Book Antiqua"/>
        </w:rPr>
        <w:t>: 753-759 [PMID: 17327355 DOI: 10.2337/dc07-9920]</w:t>
      </w:r>
    </w:p>
    <w:p w14:paraId="14FDBAE5"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26 </w:t>
      </w:r>
      <w:proofErr w:type="spellStart"/>
      <w:r w:rsidRPr="001B0D5F">
        <w:rPr>
          <w:rFonts w:ascii="Book Antiqua" w:hAnsi="Book Antiqua"/>
          <w:b/>
          <w:bCs/>
        </w:rPr>
        <w:t>Faerch</w:t>
      </w:r>
      <w:proofErr w:type="spellEnd"/>
      <w:r w:rsidRPr="001B0D5F">
        <w:rPr>
          <w:rFonts w:ascii="Book Antiqua" w:hAnsi="Book Antiqua"/>
          <w:b/>
          <w:bCs/>
        </w:rPr>
        <w:t xml:space="preserve"> K</w:t>
      </w:r>
      <w:r w:rsidRPr="001B0D5F">
        <w:rPr>
          <w:rFonts w:ascii="Book Antiqua" w:hAnsi="Book Antiqua"/>
        </w:rPr>
        <w:t xml:space="preserve">, </w:t>
      </w:r>
      <w:proofErr w:type="spellStart"/>
      <w:r w:rsidRPr="001B0D5F">
        <w:rPr>
          <w:rFonts w:ascii="Book Antiqua" w:hAnsi="Book Antiqua"/>
        </w:rPr>
        <w:t>Borch</w:t>
      </w:r>
      <w:proofErr w:type="spellEnd"/>
      <w:r w:rsidRPr="001B0D5F">
        <w:rPr>
          <w:rFonts w:ascii="Book Antiqua" w:hAnsi="Book Antiqua"/>
        </w:rPr>
        <w:t xml:space="preserve">-Johnsen K, Holst JJ, </w:t>
      </w:r>
      <w:proofErr w:type="spellStart"/>
      <w:r w:rsidRPr="001B0D5F">
        <w:rPr>
          <w:rFonts w:ascii="Book Antiqua" w:hAnsi="Book Antiqua"/>
        </w:rPr>
        <w:t>Vaag</w:t>
      </w:r>
      <w:proofErr w:type="spellEnd"/>
      <w:r w:rsidRPr="001B0D5F">
        <w:rPr>
          <w:rFonts w:ascii="Book Antiqua" w:hAnsi="Book Antiqua"/>
        </w:rPr>
        <w:t xml:space="preserve"> A. Pathophysiology and </w:t>
      </w:r>
      <w:proofErr w:type="spellStart"/>
      <w:r w:rsidRPr="001B0D5F">
        <w:rPr>
          <w:rFonts w:ascii="Book Antiqua" w:hAnsi="Book Antiqua"/>
        </w:rPr>
        <w:t>aetiology</w:t>
      </w:r>
      <w:proofErr w:type="spellEnd"/>
      <w:r w:rsidRPr="001B0D5F">
        <w:rPr>
          <w:rFonts w:ascii="Book Antiqua" w:hAnsi="Book Antiqua"/>
        </w:rPr>
        <w:t xml:space="preserve"> of impaired fasting glycaemia and impaired glucose tolerance: does it matter for prevention and treatment of type 2 diabetes? </w:t>
      </w:r>
      <w:proofErr w:type="spellStart"/>
      <w:r w:rsidRPr="001B0D5F">
        <w:rPr>
          <w:rFonts w:ascii="Book Antiqua" w:hAnsi="Book Antiqua"/>
          <w:i/>
          <w:iCs/>
        </w:rPr>
        <w:t>Diabetologia</w:t>
      </w:r>
      <w:proofErr w:type="spellEnd"/>
      <w:r w:rsidRPr="001B0D5F">
        <w:rPr>
          <w:rFonts w:ascii="Book Antiqua" w:hAnsi="Book Antiqua"/>
        </w:rPr>
        <w:t> 2009; </w:t>
      </w:r>
      <w:r w:rsidRPr="001B0D5F">
        <w:rPr>
          <w:rFonts w:ascii="Book Antiqua" w:hAnsi="Book Antiqua"/>
          <w:b/>
          <w:bCs/>
        </w:rPr>
        <w:t>52</w:t>
      </w:r>
      <w:r w:rsidRPr="001B0D5F">
        <w:rPr>
          <w:rFonts w:ascii="Book Antiqua" w:hAnsi="Book Antiqua"/>
        </w:rPr>
        <w:t>: 1714-1723 [PMID: 19590846 DOI: 10.1007/s00125-009-1443-3]</w:t>
      </w:r>
    </w:p>
    <w:p w14:paraId="64F7AA72"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27 </w:t>
      </w:r>
      <w:r w:rsidRPr="001B0D5F">
        <w:rPr>
          <w:rFonts w:ascii="Book Antiqua" w:hAnsi="Book Antiqua"/>
          <w:b/>
          <w:bCs/>
        </w:rPr>
        <w:t>Abdul-Ghani MA</w:t>
      </w:r>
      <w:r w:rsidRPr="001B0D5F">
        <w:rPr>
          <w:rFonts w:ascii="Book Antiqua" w:hAnsi="Book Antiqua"/>
        </w:rPr>
        <w:t xml:space="preserve">, </w:t>
      </w:r>
      <w:proofErr w:type="spellStart"/>
      <w:r w:rsidRPr="001B0D5F">
        <w:rPr>
          <w:rFonts w:ascii="Book Antiqua" w:hAnsi="Book Antiqua"/>
        </w:rPr>
        <w:t>DeFronzo</w:t>
      </w:r>
      <w:proofErr w:type="spellEnd"/>
      <w:r w:rsidRPr="001B0D5F">
        <w:rPr>
          <w:rFonts w:ascii="Book Antiqua" w:hAnsi="Book Antiqua"/>
        </w:rPr>
        <w:t xml:space="preserve"> RA. Pathophysiology of prediabetes. </w:t>
      </w:r>
      <w:proofErr w:type="spellStart"/>
      <w:r w:rsidRPr="001B0D5F">
        <w:rPr>
          <w:rFonts w:ascii="Book Antiqua" w:hAnsi="Book Antiqua"/>
          <w:i/>
          <w:iCs/>
        </w:rPr>
        <w:t>Curr</w:t>
      </w:r>
      <w:proofErr w:type="spellEnd"/>
      <w:r w:rsidRPr="001B0D5F">
        <w:rPr>
          <w:rFonts w:ascii="Book Antiqua" w:hAnsi="Book Antiqua"/>
          <w:i/>
          <w:iCs/>
        </w:rPr>
        <w:t xml:space="preserve"> Diab Rep</w:t>
      </w:r>
      <w:r w:rsidRPr="001B0D5F">
        <w:rPr>
          <w:rFonts w:ascii="Book Antiqua" w:hAnsi="Book Antiqua"/>
        </w:rPr>
        <w:t> 2009; </w:t>
      </w:r>
      <w:r w:rsidRPr="001B0D5F">
        <w:rPr>
          <w:rFonts w:ascii="Book Antiqua" w:hAnsi="Book Antiqua"/>
          <w:b/>
          <w:bCs/>
        </w:rPr>
        <w:t>9</w:t>
      </w:r>
      <w:r w:rsidRPr="001B0D5F">
        <w:rPr>
          <w:rFonts w:ascii="Book Antiqua" w:hAnsi="Book Antiqua"/>
        </w:rPr>
        <w:t>: 193-199 [PMID: 19490820 DOI: 10.1007/s11892-009-0032-7]</w:t>
      </w:r>
    </w:p>
    <w:p w14:paraId="0C52CDA8"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28 </w:t>
      </w:r>
      <w:proofErr w:type="spellStart"/>
      <w:r w:rsidRPr="001B0D5F">
        <w:rPr>
          <w:rFonts w:ascii="Book Antiqua" w:hAnsi="Book Antiqua"/>
          <w:b/>
          <w:bCs/>
        </w:rPr>
        <w:t>Hulman</w:t>
      </w:r>
      <w:proofErr w:type="spellEnd"/>
      <w:r w:rsidRPr="001B0D5F">
        <w:rPr>
          <w:rFonts w:ascii="Book Antiqua" w:hAnsi="Book Antiqua"/>
          <w:b/>
          <w:bCs/>
        </w:rPr>
        <w:t xml:space="preserve"> A</w:t>
      </w:r>
      <w:r w:rsidRPr="001B0D5F">
        <w:rPr>
          <w:rFonts w:ascii="Book Antiqua" w:hAnsi="Book Antiqua"/>
        </w:rPr>
        <w:t xml:space="preserve">, Witte DR, </w:t>
      </w:r>
      <w:proofErr w:type="spellStart"/>
      <w:r w:rsidRPr="001B0D5F">
        <w:rPr>
          <w:rFonts w:ascii="Book Antiqua" w:hAnsi="Book Antiqua"/>
        </w:rPr>
        <w:t>Vistisen</w:t>
      </w:r>
      <w:proofErr w:type="spellEnd"/>
      <w:r w:rsidRPr="001B0D5F">
        <w:rPr>
          <w:rFonts w:ascii="Book Antiqua" w:hAnsi="Book Antiqua"/>
        </w:rPr>
        <w:t xml:space="preserve"> D, </w:t>
      </w:r>
      <w:proofErr w:type="spellStart"/>
      <w:r w:rsidRPr="001B0D5F">
        <w:rPr>
          <w:rFonts w:ascii="Book Antiqua" w:hAnsi="Book Antiqua"/>
        </w:rPr>
        <w:t>Balkau</w:t>
      </w:r>
      <w:proofErr w:type="spellEnd"/>
      <w:r w:rsidRPr="001B0D5F">
        <w:rPr>
          <w:rFonts w:ascii="Book Antiqua" w:hAnsi="Book Antiqua"/>
        </w:rPr>
        <w:t xml:space="preserve"> B, Dekker JM, Herder C, </w:t>
      </w:r>
      <w:proofErr w:type="spellStart"/>
      <w:r w:rsidRPr="001B0D5F">
        <w:rPr>
          <w:rFonts w:ascii="Book Antiqua" w:hAnsi="Book Antiqua"/>
        </w:rPr>
        <w:t>Hatunic</w:t>
      </w:r>
      <w:proofErr w:type="spellEnd"/>
      <w:r w:rsidRPr="001B0D5F">
        <w:rPr>
          <w:rFonts w:ascii="Book Antiqua" w:hAnsi="Book Antiqua"/>
        </w:rPr>
        <w:t xml:space="preserve"> M, Konrad T, </w:t>
      </w:r>
      <w:proofErr w:type="spellStart"/>
      <w:r w:rsidRPr="001B0D5F">
        <w:rPr>
          <w:rFonts w:ascii="Book Antiqua" w:hAnsi="Book Antiqua"/>
        </w:rPr>
        <w:t>Færch</w:t>
      </w:r>
      <w:proofErr w:type="spellEnd"/>
      <w:r w:rsidRPr="001B0D5F">
        <w:rPr>
          <w:rFonts w:ascii="Book Antiqua" w:hAnsi="Book Antiqua"/>
        </w:rPr>
        <w:t xml:space="preserve"> K, Manco M. Pathophysiological Characteristics Underlying Different Glucose Response Curves: A Latent Class Trajectory Analysis </w:t>
      </w:r>
      <w:proofErr w:type="gramStart"/>
      <w:r w:rsidRPr="001B0D5F">
        <w:rPr>
          <w:rFonts w:ascii="Book Antiqua" w:hAnsi="Book Antiqua"/>
        </w:rPr>
        <w:t>From</w:t>
      </w:r>
      <w:proofErr w:type="gramEnd"/>
      <w:r w:rsidRPr="001B0D5F">
        <w:rPr>
          <w:rFonts w:ascii="Book Antiqua" w:hAnsi="Book Antiqua"/>
        </w:rPr>
        <w:t xml:space="preserve"> the Prospective EGIR-RISC Study. </w:t>
      </w:r>
      <w:r w:rsidRPr="001B0D5F">
        <w:rPr>
          <w:rFonts w:ascii="Book Antiqua" w:hAnsi="Book Antiqua"/>
          <w:i/>
          <w:iCs/>
        </w:rPr>
        <w:t>Diabetes Care</w:t>
      </w:r>
      <w:r w:rsidRPr="001B0D5F">
        <w:rPr>
          <w:rFonts w:ascii="Book Antiqua" w:hAnsi="Book Antiqua"/>
        </w:rPr>
        <w:t> 2018; </w:t>
      </w:r>
      <w:r w:rsidRPr="001B0D5F">
        <w:rPr>
          <w:rFonts w:ascii="Book Antiqua" w:hAnsi="Book Antiqua"/>
          <w:b/>
          <w:bCs/>
        </w:rPr>
        <w:t>41</w:t>
      </w:r>
      <w:r w:rsidRPr="001B0D5F">
        <w:rPr>
          <w:rFonts w:ascii="Book Antiqua" w:hAnsi="Book Antiqua"/>
        </w:rPr>
        <w:t>: 1740-1748 [PMID: 29853473 DOI: 10.2337/dc18-0279]</w:t>
      </w:r>
    </w:p>
    <w:p w14:paraId="5FA84B45"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29 </w:t>
      </w:r>
      <w:r w:rsidRPr="001B0D5F">
        <w:rPr>
          <w:rFonts w:ascii="Book Antiqua" w:hAnsi="Book Antiqua"/>
          <w:b/>
          <w:bCs/>
        </w:rPr>
        <w:t>Powe CE</w:t>
      </w:r>
      <w:r w:rsidRPr="001B0D5F">
        <w:rPr>
          <w:rFonts w:ascii="Book Antiqua" w:hAnsi="Book Antiqua"/>
        </w:rPr>
        <w:t xml:space="preserve">, Allard C, Battista MC, Doyon M, Bouchard L, Ecker JL, Perron P, </w:t>
      </w:r>
      <w:proofErr w:type="spellStart"/>
      <w:r w:rsidRPr="001B0D5F">
        <w:rPr>
          <w:rFonts w:ascii="Book Antiqua" w:hAnsi="Book Antiqua"/>
        </w:rPr>
        <w:t>Florez</w:t>
      </w:r>
      <w:proofErr w:type="spellEnd"/>
      <w:r w:rsidRPr="001B0D5F">
        <w:rPr>
          <w:rFonts w:ascii="Book Antiqua" w:hAnsi="Book Antiqua"/>
        </w:rPr>
        <w:t xml:space="preserve"> JC, </w:t>
      </w:r>
      <w:proofErr w:type="spellStart"/>
      <w:r w:rsidRPr="001B0D5F">
        <w:rPr>
          <w:rFonts w:ascii="Book Antiqua" w:hAnsi="Book Antiqua"/>
        </w:rPr>
        <w:t>Thadhani</w:t>
      </w:r>
      <w:proofErr w:type="spellEnd"/>
      <w:r w:rsidRPr="001B0D5F">
        <w:rPr>
          <w:rFonts w:ascii="Book Antiqua" w:hAnsi="Book Antiqua"/>
        </w:rPr>
        <w:t xml:space="preserve"> R, </w:t>
      </w:r>
      <w:proofErr w:type="spellStart"/>
      <w:r w:rsidRPr="001B0D5F">
        <w:rPr>
          <w:rFonts w:ascii="Book Antiqua" w:hAnsi="Book Antiqua"/>
        </w:rPr>
        <w:t>Hivert</w:t>
      </w:r>
      <w:proofErr w:type="spellEnd"/>
      <w:r w:rsidRPr="001B0D5F">
        <w:rPr>
          <w:rFonts w:ascii="Book Antiqua" w:hAnsi="Book Antiqua"/>
        </w:rPr>
        <w:t xml:space="preserve"> MF. Heterogeneous Contribution of Insulin Sensitivity and Secretion Defects to Gestational Diabetes Mellitus. </w:t>
      </w:r>
      <w:r w:rsidRPr="001B0D5F">
        <w:rPr>
          <w:rFonts w:ascii="Book Antiqua" w:hAnsi="Book Antiqua"/>
          <w:i/>
          <w:iCs/>
        </w:rPr>
        <w:t>Diabetes Care</w:t>
      </w:r>
      <w:r w:rsidRPr="001B0D5F">
        <w:rPr>
          <w:rFonts w:ascii="Book Antiqua" w:hAnsi="Book Antiqua"/>
        </w:rPr>
        <w:t> 2016; </w:t>
      </w:r>
      <w:r w:rsidRPr="001B0D5F">
        <w:rPr>
          <w:rFonts w:ascii="Book Antiqua" w:hAnsi="Book Antiqua"/>
          <w:b/>
          <w:bCs/>
        </w:rPr>
        <w:t>39</w:t>
      </w:r>
      <w:r w:rsidRPr="001B0D5F">
        <w:rPr>
          <w:rFonts w:ascii="Book Antiqua" w:hAnsi="Book Antiqua"/>
        </w:rPr>
        <w:t>: 1052-1055 [PMID: 27208340 DOI: 10.2337/dc15-2672]</w:t>
      </w:r>
    </w:p>
    <w:p w14:paraId="565C7A78"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30 </w:t>
      </w:r>
      <w:proofErr w:type="spellStart"/>
      <w:r w:rsidRPr="001B0D5F">
        <w:rPr>
          <w:rFonts w:ascii="Book Antiqua" w:hAnsi="Book Antiqua"/>
          <w:b/>
          <w:bCs/>
        </w:rPr>
        <w:t>Benhalima</w:t>
      </w:r>
      <w:proofErr w:type="spellEnd"/>
      <w:r w:rsidRPr="001B0D5F">
        <w:rPr>
          <w:rFonts w:ascii="Book Antiqua" w:hAnsi="Book Antiqua"/>
          <w:b/>
          <w:bCs/>
        </w:rPr>
        <w:t xml:space="preserve"> K</w:t>
      </w:r>
      <w:r w:rsidRPr="001B0D5F">
        <w:rPr>
          <w:rFonts w:ascii="Book Antiqua" w:hAnsi="Book Antiqua"/>
        </w:rPr>
        <w:t xml:space="preserve">, Van </w:t>
      </w:r>
      <w:proofErr w:type="spellStart"/>
      <w:r w:rsidRPr="001B0D5F">
        <w:rPr>
          <w:rFonts w:ascii="Book Antiqua" w:hAnsi="Book Antiqua"/>
        </w:rPr>
        <w:t>Crombrugge</w:t>
      </w:r>
      <w:proofErr w:type="spellEnd"/>
      <w:r w:rsidRPr="001B0D5F">
        <w:rPr>
          <w:rFonts w:ascii="Book Antiqua" w:hAnsi="Book Antiqua"/>
        </w:rPr>
        <w:t xml:space="preserve"> P, </w:t>
      </w:r>
      <w:proofErr w:type="spellStart"/>
      <w:r w:rsidRPr="001B0D5F">
        <w:rPr>
          <w:rFonts w:ascii="Book Antiqua" w:hAnsi="Book Antiqua"/>
        </w:rPr>
        <w:t>Moyson</w:t>
      </w:r>
      <w:proofErr w:type="spellEnd"/>
      <w:r w:rsidRPr="001B0D5F">
        <w:rPr>
          <w:rFonts w:ascii="Book Antiqua" w:hAnsi="Book Antiqua"/>
        </w:rPr>
        <w:t xml:space="preserve"> C, Verhaeghe J, </w:t>
      </w:r>
      <w:proofErr w:type="spellStart"/>
      <w:r w:rsidRPr="001B0D5F">
        <w:rPr>
          <w:rFonts w:ascii="Book Antiqua" w:hAnsi="Book Antiqua"/>
        </w:rPr>
        <w:t>Vandeginste</w:t>
      </w:r>
      <w:proofErr w:type="spellEnd"/>
      <w:r w:rsidRPr="001B0D5F">
        <w:rPr>
          <w:rFonts w:ascii="Book Antiqua" w:hAnsi="Book Antiqua"/>
        </w:rPr>
        <w:t xml:space="preserve"> S, </w:t>
      </w:r>
      <w:proofErr w:type="spellStart"/>
      <w:r w:rsidRPr="001B0D5F">
        <w:rPr>
          <w:rFonts w:ascii="Book Antiqua" w:hAnsi="Book Antiqua"/>
        </w:rPr>
        <w:t>Verlaenen</w:t>
      </w:r>
      <w:proofErr w:type="spellEnd"/>
      <w:r w:rsidRPr="001B0D5F">
        <w:rPr>
          <w:rFonts w:ascii="Book Antiqua" w:hAnsi="Book Antiqua"/>
        </w:rPr>
        <w:t xml:space="preserve"> H, Vercammen C, </w:t>
      </w:r>
      <w:proofErr w:type="spellStart"/>
      <w:r w:rsidRPr="001B0D5F">
        <w:rPr>
          <w:rFonts w:ascii="Book Antiqua" w:hAnsi="Book Antiqua"/>
        </w:rPr>
        <w:t>Maes</w:t>
      </w:r>
      <w:proofErr w:type="spellEnd"/>
      <w:r w:rsidRPr="001B0D5F">
        <w:rPr>
          <w:rFonts w:ascii="Book Antiqua" w:hAnsi="Book Antiqua"/>
        </w:rPr>
        <w:t xml:space="preserve"> T, </w:t>
      </w:r>
      <w:proofErr w:type="spellStart"/>
      <w:r w:rsidRPr="001B0D5F">
        <w:rPr>
          <w:rFonts w:ascii="Book Antiqua" w:hAnsi="Book Antiqua"/>
        </w:rPr>
        <w:t>Dufraimont</w:t>
      </w:r>
      <w:proofErr w:type="spellEnd"/>
      <w:r w:rsidRPr="001B0D5F">
        <w:rPr>
          <w:rFonts w:ascii="Book Antiqua" w:hAnsi="Book Antiqua"/>
        </w:rPr>
        <w:t xml:space="preserve"> E, De Block C, </w:t>
      </w:r>
      <w:proofErr w:type="spellStart"/>
      <w:r w:rsidRPr="001B0D5F">
        <w:rPr>
          <w:rFonts w:ascii="Book Antiqua" w:hAnsi="Book Antiqua"/>
        </w:rPr>
        <w:t>Jacquemyn</w:t>
      </w:r>
      <w:proofErr w:type="spellEnd"/>
      <w:r w:rsidRPr="001B0D5F">
        <w:rPr>
          <w:rFonts w:ascii="Book Antiqua" w:hAnsi="Book Antiqua"/>
        </w:rPr>
        <w:t xml:space="preserve"> Y, </w:t>
      </w:r>
      <w:proofErr w:type="spellStart"/>
      <w:r w:rsidRPr="001B0D5F">
        <w:rPr>
          <w:rFonts w:ascii="Book Antiqua" w:hAnsi="Book Antiqua"/>
        </w:rPr>
        <w:t>Mekahli</w:t>
      </w:r>
      <w:proofErr w:type="spellEnd"/>
      <w:r w:rsidRPr="001B0D5F">
        <w:rPr>
          <w:rFonts w:ascii="Book Antiqua" w:hAnsi="Book Antiqua"/>
        </w:rPr>
        <w:t xml:space="preserve"> F, De </w:t>
      </w:r>
      <w:proofErr w:type="spellStart"/>
      <w:r w:rsidRPr="001B0D5F">
        <w:rPr>
          <w:rFonts w:ascii="Book Antiqua" w:hAnsi="Book Antiqua"/>
        </w:rPr>
        <w:t>Clippel</w:t>
      </w:r>
      <w:proofErr w:type="spellEnd"/>
      <w:r w:rsidRPr="001B0D5F">
        <w:rPr>
          <w:rFonts w:ascii="Book Antiqua" w:hAnsi="Book Antiqua"/>
        </w:rPr>
        <w:t xml:space="preserve"> K, Van Den </w:t>
      </w:r>
      <w:proofErr w:type="spellStart"/>
      <w:r w:rsidRPr="001B0D5F">
        <w:rPr>
          <w:rFonts w:ascii="Book Antiqua" w:hAnsi="Book Antiqua"/>
        </w:rPr>
        <w:t>Bruel</w:t>
      </w:r>
      <w:proofErr w:type="spellEnd"/>
      <w:r w:rsidRPr="001B0D5F">
        <w:rPr>
          <w:rFonts w:ascii="Book Antiqua" w:hAnsi="Book Antiqua"/>
        </w:rPr>
        <w:t xml:space="preserve"> A, </w:t>
      </w:r>
      <w:proofErr w:type="spellStart"/>
      <w:r w:rsidRPr="001B0D5F">
        <w:rPr>
          <w:rFonts w:ascii="Book Antiqua" w:hAnsi="Book Antiqua"/>
        </w:rPr>
        <w:t>Loccufier</w:t>
      </w:r>
      <w:proofErr w:type="spellEnd"/>
      <w:r w:rsidRPr="001B0D5F">
        <w:rPr>
          <w:rFonts w:ascii="Book Antiqua" w:hAnsi="Book Antiqua"/>
        </w:rPr>
        <w:t xml:space="preserve"> A, </w:t>
      </w:r>
      <w:proofErr w:type="spellStart"/>
      <w:r w:rsidRPr="001B0D5F">
        <w:rPr>
          <w:rFonts w:ascii="Book Antiqua" w:hAnsi="Book Antiqua"/>
        </w:rPr>
        <w:t>Laenen</w:t>
      </w:r>
      <w:proofErr w:type="spellEnd"/>
      <w:r w:rsidRPr="001B0D5F">
        <w:rPr>
          <w:rFonts w:ascii="Book Antiqua" w:hAnsi="Book Antiqua"/>
        </w:rPr>
        <w:t xml:space="preserve"> A, </w:t>
      </w:r>
      <w:proofErr w:type="spellStart"/>
      <w:r w:rsidRPr="001B0D5F">
        <w:rPr>
          <w:rFonts w:ascii="Book Antiqua" w:hAnsi="Book Antiqua"/>
        </w:rPr>
        <w:t>Minschart</w:t>
      </w:r>
      <w:proofErr w:type="spellEnd"/>
      <w:r w:rsidRPr="001B0D5F">
        <w:rPr>
          <w:rFonts w:ascii="Book Antiqua" w:hAnsi="Book Antiqua"/>
        </w:rPr>
        <w:t xml:space="preserve"> C, </w:t>
      </w:r>
      <w:proofErr w:type="spellStart"/>
      <w:r w:rsidRPr="001B0D5F">
        <w:rPr>
          <w:rFonts w:ascii="Book Antiqua" w:hAnsi="Book Antiqua"/>
        </w:rPr>
        <w:t>Devlieger</w:t>
      </w:r>
      <w:proofErr w:type="spellEnd"/>
      <w:r w:rsidRPr="001B0D5F">
        <w:rPr>
          <w:rFonts w:ascii="Book Antiqua" w:hAnsi="Book Antiqua"/>
        </w:rPr>
        <w:t xml:space="preserve"> R, Mathieu C. Characteristics and pregnancy outcomes across gestational diabetes mellitus subtypes based on insulin resistance. </w:t>
      </w:r>
      <w:proofErr w:type="spellStart"/>
      <w:r w:rsidRPr="001B0D5F">
        <w:rPr>
          <w:rFonts w:ascii="Book Antiqua" w:hAnsi="Book Antiqua"/>
          <w:i/>
          <w:iCs/>
        </w:rPr>
        <w:t>Diabetologia</w:t>
      </w:r>
      <w:proofErr w:type="spellEnd"/>
      <w:r w:rsidRPr="001B0D5F">
        <w:rPr>
          <w:rFonts w:ascii="Book Antiqua" w:hAnsi="Book Antiqua"/>
        </w:rPr>
        <w:t> 2019; </w:t>
      </w:r>
      <w:r w:rsidRPr="001B0D5F">
        <w:rPr>
          <w:rFonts w:ascii="Book Antiqua" w:hAnsi="Book Antiqua"/>
          <w:b/>
          <w:bCs/>
        </w:rPr>
        <w:t>62</w:t>
      </w:r>
      <w:r w:rsidRPr="001B0D5F">
        <w:rPr>
          <w:rFonts w:ascii="Book Antiqua" w:hAnsi="Book Antiqua"/>
        </w:rPr>
        <w:t>: 2118-2128 [PMID: 31338546 DOI: 10.1007/s00125-019-4961-7]</w:t>
      </w:r>
    </w:p>
    <w:p w14:paraId="34D336B8"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31 </w:t>
      </w:r>
      <w:r w:rsidRPr="001B0D5F">
        <w:rPr>
          <w:rFonts w:ascii="Book Antiqua" w:hAnsi="Book Antiqua"/>
          <w:b/>
          <w:bCs/>
        </w:rPr>
        <w:t>Ryan EA</w:t>
      </w:r>
      <w:r w:rsidRPr="001B0D5F">
        <w:rPr>
          <w:rFonts w:ascii="Book Antiqua" w:hAnsi="Book Antiqua"/>
        </w:rPr>
        <w:t xml:space="preserve">, </w:t>
      </w:r>
      <w:proofErr w:type="spellStart"/>
      <w:r w:rsidRPr="001B0D5F">
        <w:rPr>
          <w:rFonts w:ascii="Book Antiqua" w:hAnsi="Book Antiqua"/>
        </w:rPr>
        <w:t>Savu</w:t>
      </w:r>
      <w:proofErr w:type="spellEnd"/>
      <w:r w:rsidRPr="001B0D5F">
        <w:rPr>
          <w:rFonts w:ascii="Book Antiqua" w:hAnsi="Book Antiqua"/>
        </w:rPr>
        <w:t xml:space="preserve"> A, Yeung RO, Moore LE, Bowker SL, Kaul P. Elevated fasting vs post-load glucose levels and pregnancy outcomes in gestational diabetes: a population-based study. </w:t>
      </w:r>
      <w:proofErr w:type="spellStart"/>
      <w:r w:rsidRPr="001B0D5F">
        <w:rPr>
          <w:rFonts w:ascii="Book Antiqua" w:hAnsi="Book Antiqua"/>
          <w:i/>
          <w:iCs/>
        </w:rPr>
        <w:t>Diabet</w:t>
      </w:r>
      <w:proofErr w:type="spellEnd"/>
      <w:r w:rsidRPr="001B0D5F">
        <w:rPr>
          <w:rFonts w:ascii="Book Antiqua" w:hAnsi="Book Antiqua"/>
          <w:i/>
          <w:iCs/>
        </w:rPr>
        <w:t xml:space="preserve"> Med</w:t>
      </w:r>
      <w:r w:rsidRPr="001B0D5F">
        <w:rPr>
          <w:rFonts w:ascii="Book Antiqua" w:hAnsi="Book Antiqua"/>
        </w:rPr>
        <w:t> 2020; </w:t>
      </w:r>
      <w:r w:rsidRPr="001B0D5F">
        <w:rPr>
          <w:rFonts w:ascii="Book Antiqua" w:hAnsi="Book Antiqua"/>
          <w:b/>
          <w:bCs/>
        </w:rPr>
        <w:t>37</w:t>
      </w:r>
      <w:r w:rsidRPr="001B0D5F">
        <w:rPr>
          <w:rFonts w:ascii="Book Antiqua" w:hAnsi="Book Antiqua"/>
        </w:rPr>
        <w:t>: 114-122 [PMID: 31705695 DOI: 10.1111/dme.14173]</w:t>
      </w:r>
    </w:p>
    <w:p w14:paraId="25E7049E"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lastRenderedPageBreak/>
        <w:t>32 </w:t>
      </w:r>
      <w:r w:rsidRPr="001B0D5F">
        <w:rPr>
          <w:rFonts w:ascii="Book Antiqua" w:hAnsi="Book Antiqua"/>
          <w:b/>
          <w:bCs/>
        </w:rPr>
        <w:t>Powe CE</w:t>
      </w:r>
      <w:r w:rsidRPr="001B0D5F">
        <w:rPr>
          <w:rFonts w:ascii="Book Antiqua" w:hAnsi="Book Antiqua"/>
        </w:rPr>
        <w:t xml:space="preserve">, </w:t>
      </w:r>
      <w:proofErr w:type="spellStart"/>
      <w:r w:rsidRPr="001B0D5F">
        <w:rPr>
          <w:rFonts w:ascii="Book Antiqua" w:hAnsi="Book Antiqua"/>
        </w:rPr>
        <w:t>Hivert</w:t>
      </w:r>
      <w:proofErr w:type="spellEnd"/>
      <w:r w:rsidRPr="001B0D5F">
        <w:rPr>
          <w:rFonts w:ascii="Book Antiqua" w:hAnsi="Book Antiqua"/>
        </w:rPr>
        <w:t xml:space="preserve"> MF, </w:t>
      </w:r>
      <w:proofErr w:type="spellStart"/>
      <w:r w:rsidRPr="001B0D5F">
        <w:rPr>
          <w:rFonts w:ascii="Book Antiqua" w:hAnsi="Book Antiqua"/>
        </w:rPr>
        <w:t>Udler</w:t>
      </w:r>
      <w:proofErr w:type="spellEnd"/>
      <w:r w:rsidRPr="001B0D5F">
        <w:rPr>
          <w:rFonts w:ascii="Book Antiqua" w:hAnsi="Book Antiqua"/>
        </w:rPr>
        <w:t xml:space="preserve"> MS. Defining Heterogeneity Among Women </w:t>
      </w:r>
      <w:proofErr w:type="gramStart"/>
      <w:r w:rsidRPr="001B0D5F">
        <w:rPr>
          <w:rFonts w:ascii="Book Antiqua" w:hAnsi="Book Antiqua"/>
        </w:rPr>
        <w:t>With</w:t>
      </w:r>
      <w:proofErr w:type="gramEnd"/>
      <w:r w:rsidRPr="001B0D5F">
        <w:rPr>
          <w:rFonts w:ascii="Book Antiqua" w:hAnsi="Book Antiqua"/>
        </w:rPr>
        <w:t xml:space="preserve"> Gestational Diabetes Mellitus. </w:t>
      </w:r>
      <w:r w:rsidRPr="001B0D5F">
        <w:rPr>
          <w:rFonts w:ascii="Book Antiqua" w:hAnsi="Book Antiqua"/>
          <w:i/>
          <w:iCs/>
        </w:rPr>
        <w:t>Diabetes</w:t>
      </w:r>
      <w:r w:rsidRPr="001B0D5F">
        <w:rPr>
          <w:rFonts w:ascii="Book Antiqua" w:hAnsi="Book Antiqua"/>
        </w:rPr>
        <w:t> 2020; </w:t>
      </w:r>
      <w:r w:rsidRPr="001B0D5F">
        <w:rPr>
          <w:rFonts w:ascii="Book Antiqua" w:hAnsi="Book Antiqua"/>
          <w:b/>
          <w:bCs/>
        </w:rPr>
        <w:t>69</w:t>
      </w:r>
      <w:r w:rsidRPr="001B0D5F">
        <w:rPr>
          <w:rFonts w:ascii="Book Antiqua" w:hAnsi="Book Antiqua"/>
        </w:rPr>
        <w:t>: 2064-2074 [PMID: 32843565 DOI: 10.2337/dbi20-0004]</w:t>
      </w:r>
    </w:p>
    <w:p w14:paraId="2AA8D7B9"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33 </w:t>
      </w:r>
      <w:r w:rsidRPr="001B0D5F">
        <w:rPr>
          <w:rFonts w:ascii="Book Antiqua" w:hAnsi="Book Antiqua"/>
          <w:b/>
          <w:bCs/>
        </w:rPr>
        <w:t>Jagannathan R</w:t>
      </w:r>
      <w:r w:rsidRPr="001B0D5F">
        <w:rPr>
          <w:rFonts w:ascii="Book Antiqua" w:hAnsi="Book Antiqua"/>
        </w:rPr>
        <w:t xml:space="preserve">, Neves JS, </w:t>
      </w:r>
      <w:proofErr w:type="spellStart"/>
      <w:r w:rsidRPr="001B0D5F">
        <w:rPr>
          <w:rFonts w:ascii="Book Antiqua" w:hAnsi="Book Antiqua"/>
        </w:rPr>
        <w:t>Dorcely</w:t>
      </w:r>
      <w:proofErr w:type="spellEnd"/>
      <w:r w:rsidRPr="001B0D5F">
        <w:rPr>
          <w:rFonts w:ascii="Book Antiqua" w:hAnsi="Book Antiqua"/>
        </w:rPr>
        <w:t xml:space="preserve"> B, Chung ST, Tamura K, Rhee M, Bergman M. The Oral Glucose Tolerance Test: 100 Years Later. </w:t>
      </w:r>
      <w:r w:rsidRPr="001B0D5F">
        <w:rPr>
          <w:rFonts w:ascii="Book Antiqua" w:hAnsi="Book Antiqua"/>
          <w:i/>
          <w:iCs/>
        </w:rPr>
        <w:t xml:space="preserve">Diabetes </w:t>
      </w:r>
      <w:proofErr w:type="spellStart"/>
      <w:r w:rsidRPr="001B0D5F">
        <w:rPr>
          <w:rFonts w:ascii="Book Antiqua" w:hAnsi="Book Antiqua"/>
          <w:i/>
          <w:iCs/>
        </w:rPr>
        <w:t>Metab</w:t>
      </w:r>
      <w:proofErr w:type="spellEnd"/>
      <w:r w:rsidRPr="001B0D5F">
        <w:rPr>
          <w:rFonts w:ascii="Book Antiqua" w:hAnsi="Book Antiqua"/>
          <w:i/>
          <w:iCs/>
        </w:rPr>
        <w:t xml:space="preserve"> </w:t>
      </w:r>
      <w:proofErr w:type="spellStart"/>
      <w:r w:rsidRPr="001B0D5F">
        <w:rPr>
          <w:rFonts w:ascii="Book Antiqua" w:hAnsi="Book Antiqua"/>
          <w:i/>
          <w:iCs/>
        </w:rPr>
        <w:t>Syndr</w:t>
      </w:r>
      <w:proofErr w:type="spellEnd"/>
      <w:r w:rsidRPr="001B0D5F">
        <w:rPr>
          <w:rFonts w:ascii="Book Antiqua" w:hAnsi="Book Antiqua"/>
          <w:i/>
          <w:iCs/>
        </w:rPr>
        <w:t xml:space="preserve"> </w:t>
      </w:r>
      <w:proofErr w:type="spellStart"/>
      <w:r w:rsidRPr="001B0D5F">
        <w:rPr>
          <w:rFonts w:ascii="Book Antiqua" w:hAnsi="Book Antiqua"/>
          <w:i/>
          <w:iCs/>
        </w:rPr>
        <w:t>Obes</w:t>
      </w:r>
      <w:proofErr w:type="spellEnd"/>
      <w:r w:rsidRPr="001B0D5F">
        <w:rPr>
          <w:rFonts w:ascii="Book Antiqua" w:hAnsi="Book Antiqua"/>
        </w:rPr>
        <w:t> 2020; </w:t>
      </w:r>
      <w:r w:rsidRPr="001B0D5F">
        <w:rPr>
          <w:rFonts w:ascii="Book Antiqua" w:hAnsi="Book Antiqua"/>
          <w:b/>
          <w:bCs/>
        </w:rPr>
        <w:t>13</w:t>
      </w:r>
      <w:r w:rsidRPr="001B0D5F">
        <w:rPr>
          <w:rFonts w:ascii="Book Antiqua" w:hAnsi="Book Antiqua"/>
        </w:rPr>
        <w:t>: 3787-3805 [PMID: 33116727 DOI: 10.2147/DMSO.S246062]</w:t>
      </w:r>
    </w:p>
    <w:p w14:paraId="2A68A222"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34 </w:t>
      </w:r>
      <w:proofErr w:type="spellStart"/>
      <w:r w:rsidRPr="001B0D5F">
        <w:rPr>
          <w:rFonts w:ascii="Book Antiqua" w:hAnsi="Book Antiqua"/>
          <w:b/>
          <w:bCs/>
        </w:rPr>
        <w:t>Florkowski</w:t>
      </w:r>
      <w:proofErr w:type="spellEnd"/>
      <w:r w:rsidRPr="001B0D5F">
        <w:rPr>
          <w:rFonts w:ascii="Book Antiqua" w:hAnsi="Book Antiqua"/>
          <w:b/>
          <w:bCs/>
        </w:rPr>
        <w:t xml:space="preserve"> CM</w:t>
      </w:r>
      <w:r w:rsidRPr="001B0D5F">
        <w:rPr>
          <w:rFonts w:ascii="Book Antiqua" w:hAnsi="Book Antiqua"/>
        </w:rPr>
        <w:t>. Sensitivity, specificity, receiver-operating characteristic (ROC) curves and likelihood ratios: communicating the performance of diagnostic tests. </w:t>
      </w:r>
      <w:r w:rsidRPr="001B0D5F">
        <w:rPr>
          <w:rFonts w:ascii="Book Antiqua" w:hAnsi="Book Antiqua"/>
          <w:i/>
          <w:iCs/>
        </w:rPr>
        <w:t xml:space="preserve">Clin </w:t>
      </w:r>
      <w:proofErr w:type="spellStart"/>
      <w:r w:rsidRPr="001B0D5F">
        <w:rPr>
          <w:rFonts w:ascii="Book Antiqua" w:hAnsi="Book Antiqua"/>
          <w:i/>
          <w:iCs/>
        </w:rPr>
        <w:t>Biochem</w:t>
      </w:r>
      <w:proofErr w:type="spellEnd"/>
      <w:r w:rsidRPr="001B0D5F">
        <w:rPr>
          <w:rFonts w:ascii="Book Antiqua" w:hAnsi="Book Antiqua"/>
          <w:i/>
          <w:iCs/>
        </w:rPr>
        <w:t xml:space="preserve"> Rev</w:t>
      </w:r>
      <w:r w:rsidRPr="001B0D5F">
        <w:rPr>
          <w:rFonts w:ascii="Book Antiqua" w:hAnsi="Book Antiqua"/>
        </w:rPr>
        <w:t> 2008; </w:t>
      </w:r>
      <w:r w:rsidRPr="001B0D5F">
        <w:rPr>
          <w:rFonts w:ascii="Book Antiqua" w:hAnsi="Book Antiqua"/>
          <w:b/>
          <w:bCs/>
        </w:rPr>
        <w:t>29 Suppl 1</w:t>
      </w:r>
      <w:r w:rsidRPr="001B0D5F">
        <w:rPr>
          <w:rFonts w:ascii="Book Antiqua" w:hAnsi="Book Antiqua"/>
        </w:rPr>
        <w:t>: S83-S87 [</w:t>
      </w:r>
      <w:bookmarkStart w:id="97" w:name="OLE_LINK45"/>
      <w:bookmarkStart w:id="98" w:name="OLE_LINK46"/>
      <w:r w:rsidRPr="001B0D5F">
        <w:rPr>
          <w:rFonts w:ascii="Book Antiqua" w:hAnsi="Book Antiqua"/>
        </w:rPr>
        <w:t>PMID: 18852864</w:t>
      </w:r>
      <w:bookmarkEnd w:id="97"/>
      <w:bookmarkEnd w:id="98"/>
      <w:r w:rsidRPr="001B0D5F">
        <w:rPr>
          <w:rFonts w:ascii="Book Antiqua" w:hAnsi="Book Antiqua"/>
        </w:rPr>
        <w:t>]</w:t>
      </w:r>
    </w:p>
    <w:p w14:paraId="0B20C899" w14:textId="77777777" w:rsidR="00585E1C" w:rsidRPr="001B0D5F"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35 </w:t>
      </w:r>
      <w:r w:rsidRPr="001B0D5F">
        <w:rPr>
          <w:rFonts w:ascii="Book Antiqua" w:hAnsi="Book Antiqua"/>
          <w:b/>
          <w:bCs/>
        </w:rPr>
        <w:t>Power M</w:t>
      </w:r>
      <w:r w:rsidRPr="001B0D5F">
        <w:rPr>
          <w:rFonts w:ascii="Book Antiqua" w:hAnsi="Book Antiqua"/>
        </w:rPr>
        <w:t>, Fell G, Wright M. Principles for high-quality, high-value testing. </w:t>
      </w:r>
      <w:r w:rsidRPr="001B0D5F">
        <w:rPr>
          <w:rFonts w:ascii="Book Antiqua" w:hAnsi="Book Antiqua"/>
          <w:i/>
          <w:iCs/>
        </w:rPr>
        <w:t>Evid Based Med</w:t>
      </w:r>
      <w:r w:rsidRPr="001B0D5F">
        <w:rPr>
          <w:rFonts w:ascii="Book Antiqua" w:hAnsi="Book Antiqua"/>
        </w:rPr>
        <w:t> 2013; </w:t>
      </w:r>
      <w:r w:rsidRPr="001B0D5F">
        <w:rPr>
          <w:rFonts w:ascii="Book Antiqua" w:hAnsi="Book Antiqua"/>
          <w:b/>
          <w:bCs/>
        </w:rPr>
        <w:t>18</w:t>
      </w:r>
      <w:r w:rsidRPr="001B0D5F">
        <w:rPr>
          <w:rFonts w:ascii="Book Antiqua" w:hAnsi="Book Antiqua"/>
        </w:rPr>
        <w:t>: 5-10 [PMID: 22740357 DOI: 10.1136/eb-2012-100645]</w:t>
      </w:r>
    </w:p>
    <w:p w14:paraId="03BC4BAF"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1B0D5F">
        <w:rPr>
          <w:rFonts w:ascii="Book Antiqua" w:hAnsi="Book Antiqua"/>
        </w:rPr>
        <w:t>36 </w:t>
      </w:r>
      <w:proofErr w:type="spellStart"/>
      <w:r w:rsidRPr="001B0D5F">
        <w:rPr>
          <w:rFonts w:ascii="Book Antiqua" w:hAnsi="Book Antiqua"/>
          <w:b/>
          <w:bCs/>
        </w:rPr>
        <w:t>Feizi</w:t>
      </w:r>
      <w:proofErr w:type="spellEnd"/>
      <w:r w:rsidRPr="001B0D5F">
        <w:rPr>
          <w:rFonts w:ascii="Book Antiqua" w:hAnsi="Book Antiqua"/>
          <w:b/>
          <w:bCs/>
        </w:rPr>
        <w:t xml:space="preserve"> A</w:t>
      </w:r>
      <w:r w:rsidRPr="001B0D5F">
        <w:rPr>
          <w:rFonts w:ascii="Book Antiqua" w:hAnsi="Book Antiqua"/>
        </w:rPr>
        <w:t xml:space="preserve">, </w:t>
      </w:r>
      <w:proofErr w:type="spellStart"/>
      <w:r w:rsidRPr="001B0D5F">
        <w:rPr>
          <w:rFonts w:ascii="Book Antiqua" w:hAnsi="Book Antiqua"/>
        </w:rPr>
        <w:t>Meamar</w:t>
      </w:r>
      <w:proofErr w:type="spellEnd"/>
      <w:r w:rsidRPr="001B0D5F">
        <w:rPr>
          <w:rFonts w:ascii="Book Antiqua" w:hAnsi="Book Antiqua"/>
        </w:rPr>
        <w:t xml:space="preserve"> R, </w:t>
      </w:r>
      <w:proofErr w:type="spellStart"/>
      <w:r w:rsidRPr="001B0D5F">
        <w:rPr>
          <w:rFonts w:ascii="Book Antiqua" w:hAnsi="Book Antiqua"/>
        </w:rPr>
        <w:t>Eslamian</w:t>
      </w:r>
      <w:proofErr w:type="spellEnd"/>
      <w:r w:rsidRPr="001B0D5F">
        <w:rPr>
          <w:rFonts w:ascii="Book Antiqua" w:hAnsi="Book Antiqua"/>
        </w:rPr>
        <w:t xml:space="preserve"> M, </w:t>
      </w:r>
      <w:proofErr w:type="spellStart"/>
      <w:r w:rsidRPr="001B0D5F">
        <w:rPr>
          <w:rFonts w:ascii="Book Antiqua" w:hAnsi="Book Antiqua"/>
        </w:rPr>
        <w:t>Amini</w:t>
      </w:r>
      <w:proofErr w:type="spellEnd"/>
      <w:r w:rsidRPr="001B0D5F">
        <w:rPr>
          <w:rFonts w:ascii="Book Antiqua" w:hAnsi="Book Antiqua"/>
        </w:rPr>
        <w:t xml:space="preserve"> M, </w:t>
      </w:r>
      <w:proofErr w:type="spellStart"/>
      <w:r w:rsidRPr="001B0D5F">
        <w:rPr>
          <w:rFonts w:ascii="Book Antiqua" w:hAnsi="Book Antiqua"/>
        </w:rPr>
        <w:t>Nasri</w:t>
      </w:r>
      <w:proofErr w:type="spellEnd"/>
      <w:r w:rsidRPr="001B0D5F">
        <w:rPr>
          <w:rFonts w:ascii="Book Antiqua" w:hAnsi="Book Antiqua"/>
        </w:rPr>
        <w:t xml:space="preserve"> M, </w:t>
      </w:r>
      <w:proofErr w:type="spellStart"/>
      <w:r w:rsidRPr="001B0D5F">
        <w:rPr>
          <w:rFonts w:ascii="Book Antiqua" w:hAnsi="Book Antiqua"/>
        </w:rPr>
        <w:t>Iraj</w:t>
      </w:r>
      <w:proofErr w:type="spellEnd"/>
      <w:r w:rsidRPr="001B0D5F">
        <w:rPr>
          <w:rFonts w:ascii="Book Antiqua" w:hAnsi="Book Antiqua"/>
        </w:rPr>
        <w:t xml:space="preserve"> B. Area under the curve during OGTT in first-degree relatives of diabetic patients as an efficient indicator of future risk of type 2 diabetes and prediabetes. </w:t>
      </w:r>
      <w:r w:rsidRPr="001B0D5F">
        <w:rPr>
          <w:rFonts w:ascii="Book Antiqua" w:hAnsi="Book Antiqua"/>
          <w:i/>
          <w:iCs/>
        </w:rPr>
        <w:t>Clin Endocrinol (</w:t>
      </w:r>
      <w:proofErr w:type="spellStart"/>
      <w:r w:rsidRPr="001B0D5F">
        <w:rPr>
          <w:rFonts w:ascii="Book Antiqua" w:hAnsi="Book Antiqua"/>
          <w:i/>
          <w:iCs/>
        </w:rPr>
        <w:t>Oxf</w:t>
      </w:r>
      <w:proofErr w:type="spellEnd"/>
      <w:r w:rsidRPr="001B0D5F">
        <w:rPr>
          <w:rFonts w:ascii="Book Antiqua" w:hAnsi="Book Antiqua"/>
          <w:i/>
          <w:iCs/>
        </w:rPr>
        <w:t>)</w:t>
      </w:r>
      <w:r w:rsidRPr="001B0D5F">
        <w:rPr>
          <w:rFonts w:ascii="Book Antiqua" w:hAnsi="Book Antiqua"/>
        </w:rPr>
        <w:t> 2017; </w:t>
      </w:r>
      <w:r w:rsidRPr="001B0D5F">
        <w:rPr>
          <w:rFonts w:ascii="Book Antiqua" w:hAnsi="Book Antiqua"/>
          <w:b/>
          <w:bCs/>
        </w:rPr>
        <w:t>87</w:t>
      </w:r>
      <w:r w:rsidRPr="001B0D5F">
        <w:rPr>
          <w:rFonts w:ascii="Book Antiqua" w:hAnsi="Book Antiqua"/>
        </w:rPr>
        <w:t>: 696-705 [PMID: 28793372 DOI: 10.1111/cen.13443]</w:t>
      </w:r>
    </w:p>
    <w:p w14:paraId="69B031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6B76D4" w14:textId="77777777" w:rsidR="00A77B3E" w:rsidRDefault="0015373B">
      <w:pPr>
        <w:spacing w:line="360" w:lineRule="auto"/>
        <w:jc w:val="both"/>
      </w:pPr>
      <w:r>
        <w:rPr>
          <w:rFonts w:ascii="Book Antiqua" w:eastAsia="Book Antiqua" w:hAnsi="Book Antiqua" w:cs="Book Antiqua"/>
          <w:b/>
          <w:color w:val="000000"/>
        </w:rPr>
        <w:lastRenderedPageBreak/>
        <w:t>Footnotes</w:t>
      </w:r>
    </w:p>
    <w:p w14:paraId="60BA57FD" w14:textId="77777777" w:rsidR="00A77B3E" w:rsidRDefault="0015373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for publication by Dubai Scientific Research Ethics Committee of Dubai Health Authority, with Reference No. DSREC: 12/2015_05; dated November 29, 2015.</w:t>
      </w:r>
    </w:p>
    <w:p w14:paraId="67CE6EDB" w14:textId="77777777" w:rsidR="00A77B3E" w:rsidRDefault="00A77B3E">
      <w:pPr>
        <w:spacing w:line="360" w:lineRule="auto"/>
        <w:jc w:val="both"/>
      </w:pPr>
    </w:p>
    <w:p w14:paraId="757FC19D" w14:textId="77777777" w:rsidR="00A77B3E" w:rsidRDefault="0015373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Data were anonymously collected for each participant in the study.</w:t>
      </w:r>
    </w:p>
    <w:p w14:paraId="4133A01E" w14:textId="77777777" w:rsidR="00A77B3E" w:rsidRDefault="00A77B3E">
      <w:pPr>
        <w:spacing w:line="360" w:lineRule="auto"/>
        <w:jc w:val="both"/>
      </w:pPr>
    </w:p>
    <w:p w14:paraId="749270F1" w14:textId="77777777" w:rsidR="00A77B3E" w:rsidRDefault="0015373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declare.</w:t>
      </w:r>
    </w:p>
    <w:p w14:paraId="3103C9C8" w14:textId="77777777" w:rsidR="00A77B3E" w:rsidRDefault="00A77B3E">
      <w:pPr>
        <w:spacing w:line="360" w:lineRule="auto"/>
        <w:jc w:val="both"/>
      </w:pPr>
    </w:p>
    <w:p w14:paraId="7960DDC9" w14:textId="77777777" w:rsidR="00A77B3E" w:rsidRDefault="0015373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patients’ personal data in the Hospital Information System cannot be released. A summary can be obtained from the Principal Investigator.</w:t>
      </w:r>
    </w:p>
    <w:p w14:paraId="142969F3" w14:textId="77777777" w:rsidR="00A77B3E" w:rsidRDefault="00A77B3E">
      <w:pPr>
        <w:spacing w:line="360" w:lineRule="auto"/>
        <w:jc w:val="both"/>
      </w:pPr>
    </w:p>
    <w:p w14:paraId="13D2418F" w14:textId="77777777" w:rsidR="00A77B3E" w:rsidRDefault="0015373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9B9DC" w14:textId="77777777" w:rsidR="00A77B3E" w:rsidRDefault="00A77B3E">
      <w:pPr>
        <w:spacing w:line="360" w:lineRule="auto"/>
        <w:jc w:val="both"/>
      </w:pPr>
    </w:p>
    <w:p w14:paraId="4FCBD528" w14:textId="77777777" w:rsidR="00A77B3E" w:rsidRDefault="0015373B">
      <w:pPr>
        <w:spacing w:line="360" w:lineRule="auto"/>
        <w:jc w:val="both"/>
      </w:pPr>
      <w:r>
        <w:rPr>
          <w:rFonts w:ascii="Book Antiqua" w:eastAsia="Book Antiqua" w:hAnsi="Book Antiqua" w:cs="Book Antiqua"/>
          <w:b/>
          <w:color w:val="000000"/>
        </w:rPr>
        <w:t xml:space="preserve">Manuscript source: </w:t>
      </w:r>
      <w:r w:rsidR="00416CA3">
        <w:rPr>
          <w:rFonts w:ascii="Book Antiqua" w:eastAsia="Book Antiqua" w:hAnsi="Book Antiqua" w:cs="Book Antiqua"/>
          <w:color w:val="000000"/>
        </w:rPr>
        <w:t xml:space="preserve">Unsolicited </w:t>
      </w:r>
      <w:r w:rsidR="00416CA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9BD4E20" w14:textId="77777777" w:rsidR="00A77B3E" w:rsidRDefault="0015373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Royal College of Pathologists, </w:t>
      </w:r>
      <w:r w:rsidR="00416CA3">
        <w:rPr>
          <w:rFonts w:ascii="Book Antiqua" w:hAnsi="Book Antiqua" w:cs="Book Antiqua" w:hint="eastAsia"/>
          <w:color w:val="000000"/>
          <w:lang w:eastAsia="zh-CN"/>
        </w:rPr>
        <w:t xml:space="preserve">No. </w:t>
      </w:r>
      <w:r>
        <w:rPr>
          <w:rFonts w:ascii="Book Antiqua" w:eastAsia="Book Antiqua" w:hAnsi="Book Antiqua" w:cs="Book Antiqua"/>
          <w:color w:val="000000"/>
        </w:rPr>
        <w:t>0616073.</w:t>
      </w:r>
    </w:p>
    <w:p w14:paraId="4E6AFF5C" w14:textId="77777777" w:rsidR="00A77B3E" w:rsidRDefault="00A77B3E">
      <w:pPr>
        <w:spacing w:line="360" w:lineRule="auto"/>
        <w:jc w:val="both"/>
      </w:pPr>
    </w:p>
    <w:p w14:paraId="79D34F2D" w14:textId="77777777" w:rsidR="00A77B3E" w:rsidRDefault="0015373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3A915A9F" w14:textId="77777777" w:rsidR="00A77B3E" w:rsidRDefault="0015373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07E1DBFC" w14:textId="77777777" w:rsidR="007F5674" w:rsidRPr="009C486B" w:rsidRDefault="0015373B" w:rsidP="007F5674">
      <w:pPr>
        <w:spacing w:line="360" w:lineRule="auto"/>
        <w:jc w:val="both"/>
      </w:pPr>
      <w:r>
        <w:rPr>
          <w:rFonts w:ascii="Book Antiqua" w:eastAsia="Book Antiqua" w:hAnsi="Book Antiqua" w:cs="Book Antiqua"/>
          <w:b/>
          <w:color w:val="000000"/>
        </w:rPr>
        <w:t xml:space="preserve">Article in press: </w:t>
      </w:r>
      <w:r w:rsidR="007F5674" w:rsidRPr="009C486B">
        <w:rPr>
          <w:rFonts w:ascii="Book Antiqua" w:eastAsia="Book Antiqua" w:hAnsi="Book Antiqua" w:cs="Book Antiqua"/>
          <w:color w:val="000000"/>
        </w:rPr>
        <w:t>August 30, 2021</w:t>
      </w:r>
    </w:p>
    <w:p w14:paraId="5BE71AE8" w14:textId="7EC10904" w:rsidR="00A77B3E" w:rsidRDefault="00A77B3E">
      <w:pPr>
        <w:spacing w:line="360" w:lineRule="auto"/>
        <w:jc w:val="both"/>
      </w:pPr>
    </w:p>
    <w:p w14:paraId="4C002733" w14:textId="77777777" w:rsidR="00A77B3E" w:rsidRDefault="0015373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863EE2">
        <w:rPr>
          <w:rFonts w:ascii="Book Antiqua" w:eastAsia="Book Antiqua" w:hAnsi="Book Antiqua" w:cs="Book Antiqua"/>
          <w:color w:val="000000"/>
        </w:rPr>
        <w:t>research and experim</w:t>
      </w:r>
      <w:r>
        <w:rPr>
          <w:rFonts w:ascii="Book Antiqua" w:eastAsia="Book Antiqua" w:hAnsi="Book Antiqua" w:cs="Book Antiqua"/>
          <w:color w:val="000000"/>
        </w:rPr>
        <w:t>ental</w:t>
      </w:r>
    </w:p>
    <w:p w14:paraId="3CEC9F1A" w14:textId="77777777" w:rsidR="00A77B3E" w:rsidRDefault="0015373B">
      <w:pPr>
        <w:spacing w:line="360" w:lineRule="auto"/>
        <w:jc w:val="both"/>
      </w:pPr>
      <w:r>
        <w:rPr>
          <w:rFonts w:ascii="Book Antiqua" w:eastAsia="Book Antiqua" w:hAnsi="Book Antiqua" w:cs="Book Antiqua"/>
          <w:b/>
          <w:color w:val="000000"/>
        </w:rPr>
        <w:t xml:space="preserve">Country/Territory of origin: </w:t>
      </w:r>
      <w:r w:rsidR="00863EE2">
        <w:rPr>
          <w:rFonts w:ascii="Book Antiqua" w:eastAsia="Book Antiqua" w:hAnsi="Book Antiqua" w:cs="Book Antiqua"/>
          <w:color w:val="000000"/>
        </w:rPr>
        <w:t>Dubai</w:t>
      </w:r>
    </w:p>
    <w:p w14:paraId="5CA07E89" w14:textId="77777777" w:rsidR="00A77B3E" w:rsidRDefault="0015373B">
      <w:pPr>
        <w:spacing w:line="360" w:lineRule="auto"/>
        <w:jc w:val="both"/>
      </w:pPr>
      <w:r>
        <w:rPr>
          <w:rFonts w:ascii="Book Antiqua" w:eastAsia="Book Antiqua" w:hAnsi="Book Antiqua" w:cs="Book Antiqua"/>
          <w:b/>
          <w:color w:val="000000"/>
        </w:rPr>
        <w:lastRenderedPageBreak/>
        <w:t>Peer-review report’s scientific quality classification</w:t>
      </w:r>
    </w:p>
    <w:p w14:paraId="142342A9" w14:textId="77777777" w:rsidR="00A77B3E" w:rsidRDefault="0015373B">
      <w:pPr>
        <w:spacing w:line="360" w:lineRule="auto"/>
        <w:jc w:val="both"/>
      </w:pPr>
      <w:r>
        <w:rPr>
          <w:rFonts w:ascii="Book Antiqua" w:eastAsia="Book Antiqua" w:hAnsi="Book Antiqua" w:cs="Book Antiqua"/>
          <w:color w:val="000000"/>
        </w:rPr>
        <w:t>Grade A (Excellent): 0</w:t>
      </w:r>
    </w:p>
    <w:p w14:paraId="27C10EA9" w14:textId="77777777" w:rsidR="00A77B3E" w:rsidRDefault="0015373B">
      <w:pPr>
        <w:spacing w:line="360" w:lineRule="auto"/>
        <w:jc w:val="both"/>
      </w:pPr>
      <w:r>
        <w:rPr>
          <w:rFonts w:ascii="Book Antiqua" w:eastAsia="Book Antiqua" w:hAnsi="Book Antiqua" w:cs="Book Antiqua"/>
          <w:color w:val="000000"/>
        </w:rPr>
        <w:t>Grade B (Very good): B</w:t>
      </w:r>
    </w:p>
    <w:p w14:paraId="345C24E3" w14:textId="77777777" w:rsidR="00A77B3E" w:rsidRDefault="0015373B">
      <w:pPr>
        <w:spacing w:line="360" w:lineRule="auto"/>
        <w:jc w:val="both"/>
      </w:pPr>
      <w:r>
        <w:rPr>
          <w:rFonts w:ascii="Book Antiqua" w:eastAsia="Book Antiqua" w:hAnsi="Book Antiqua" w:cs="Book Antiqua"/>
          <w:color w:val="000000"/>
        </w:rPr>
        <w:t>Grade C (Good): C</w:t>
      </w:r>
    </w:p>
    <w:p w14:paraId="4DFFFAD8" w14:textId="77777777" w:rsidR="00A77B3E" w:rsidRDefault="0015373B">
      <w:pPr>
        <w:spacing w:line="360" w:lineRule="auto"/>
        <w:jc w:val="both"/>
      </w:pPr>
      <w:r>
        <w:rPr>
          <w:rFonts w:ascii="Book Antiqua" w:eastAsia="Book Antiqua" w:hAnsi="Book Antiqua" w:cs="Book Antiqua"/>
          <w:color w:val="000000"/>
        </w:rPr>
        <w:t>Grade D (Fair): 0</w:t>
      </w:r>
    </w:p>
    <w:p w14:paraId="70471D43" w14:textId="77777777" w:rsidR="00A77B3E" w:rsidRDefault="0015373B">
      <w:pPr>
        <w:spacing w:line="360" w:lineRule="auto"/>
        <w:jc w:val="both"/>
      </w:pPr>
      <w:r>
        <w:rPr>
          <w:rFonts w:ascii="Book Antiqua" w:eastAsia="Book Antiqua" w:hAnsi="Book Antiqua" w:cs="Book Antiqua"/>
          <w:color w:val="000000"/>
        </w:rPr>
        <w:t>Grade E (Poor): 0</w:t>
      </w:r>
    </w:p>
    <w:p w14:paraId="733A89A6" w14:textId="77777777" w:rsidR="00A77B3E" w:rsidRDefault="00A77B3E">
      <w:pPr>
        <w:spacing w:line="360" w:lineRule="auto"/>
        <w:jc w:val="both"/>
      </w:pPr>
    </w:p>
    <w:p w14:paraId="27BF9E51" w14:textId="40E195F8" w:rsidR="00101066" w:rsidRPr="00BF4EFA" w:rsidRDefault="0015373B" w:rsidP="00BF4EFA">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Kawanami</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63EE2">
        <w:rPr>
          <w:rFonts w:ascii="Book Antiqua" w:eastAsia="Book Antiqua" w:hAnsi="Book Antiqua" w:cs="Book Antiqua"/>
          <w:b/>
          <w:color w:val="000000"/>
        </w:rPr>
        <w:t xml:space="preserve"> L-Editor: </w:t>
      </w:r>
      <w:r w:rsidR="00BF4EFA">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F44E48" w:rsidRPr="00D96DA7">
        <w:rPr>
          <w:rFonts w:ascii="Book Antiqua" w:eastAsia="Book Antiqua" w:hAnsi="Book Antiqua" w:cs="Book Antiqua"/>
          <w:bCs/>
        </w:rPr>
        <w:t>Wang LYT</w:t>
      </w:r>
    </w:p>
    <w:p w14:paraId="7D294A63" w14:textId="77777777" w:rsidR="00A503E5" w:rsidRPr="009C66AF" w:rsidRDefault="00101066" w:rsidP="00A503E5">
      <w:pPr>
        <w:adjustRightInd w:val="0"/>
        <w:snapToGrid w:val="0"/>
        <w:spacing w:line="360" w:lineRule="auto"/>
        <w:jc w:val="both"/>
        <w:rPr>
          <w:rFonts w:ascii="Book Antiqua" w:hAnsi="Book Antiqua"/>
          <w:b/>
          <w:bCs/>
          <w:lang w:eastAsia="zh-CN"/>
        </w:rPr>
      </w:pPr>
      <w:r>
        <w:rPr>
          <w:rFonts w:ascii="Book Antiqua" w:eastAsia="Book Antiqua" w:hAnsi="Book Antiqua" w:cs="Book Antiqua"/>
          <w:b/>
          <w:color w:val="000000"/>
        </w:rPr>
        <w:br w:type="page"/>
      </w:r>
      <w:r w:rsidR="00A503E5" w:rsidRPr="009C66AF">
        <w:rPr>
          <w:rFonts w:ascii="Book Antiqua" w:hAnsi="Book Antiqua"/>
          <w:b/>
          <w:bCs/>
        </w:rPr>
        <w:lastRenderedPageBreak/>
        <w:t>Table 1 Demographic characteristics of Emirati women who delivered in 2007 in Latifa Women and Children Hospital and Dubai Hospital, and were successfully followed up in 2016</w:t>
      </w:r>
      <w:r w:rsidR="00A503E5">
        <w:rPr>
          <w:rFonts w:ascii="Book Antiqua" w:hAnsi="Book Antiqua" w:hint="eastAsia"/>
          <w:b/>
          <w:bCs/>
          <w:vertAlign w:val="superscript"/>
          <w:lang w:eastAsia="zh-CN"/>
        </w:rPr>
        <w:t>1</w:t>
      </w:r>
    </w:p>
    <w:tbl>
      <w:tblPr>
        <w:tblW w:w="5000" w:type="pct"/>
        <w:jc w:val="center"/>
        <w:tblLook w:val="04A0" w:firstRow="1" w:lastRow="0" w:firstColumn="1" w:lastColumn="0" w:noHBand="0" w:noVBand="1"/>
      </w:tblPr>
      <w:tblGrid>
        <w:gridCol w:w="6662"/>
        <w:gridCol w:w="2580"/>
      </w:tblGrid>
      <w:tr w:rsidR="00A503E5" w:rsidRPr="00A503E5" w14:paraId="57A3085A" w14:textId="77777777" w:rsidTr="00A503E5">
        <w:trPr>
          <w:trHeight w:val="253"/>
          <w:jc w:val="center"/>
        </w:trPr>
        <w:tc>
          <w:tcPr>
            <w:tcW w:w="3604" w:type="pct"/>
            <w:tcBorders>
              <w:top w:val="single" w:sz="4" w:space="0" w:color="auto"/>
              <w:bottom w:val="single" w:sz="4" w:space="0" w:color="auto"/>
            </w:tcBorders>
            <w:shd w:val="clear" w:color="auto" w:fill="auto"/>
            <w:noWrap/>
            <w:vAlign w:val="bottom"/>
          </w:tcPr>
          <w:p w14:paraId="3417A450" w14:textId="77777777" w:rsidR="00A503E5" w:rsidRPr="00A503E5" w:rsidRDefault="00A503E5" w:rsidP="00AB067C">
            <w:pPr>
              <w:adjustRightInd w:val="0"/>
              <w:snapToGrid w:val="0"/>
              <w:spacing w:line="360" w:lineRule="auto"/>
              <w:jc w:val="both"/>
              <w:rPr>
                <w:rFonts w:ascii="Book Antiqua" w:hAnsi="Book Antiqua"/>
                <w:b/>
                <w:color w:val="000000"/>
              </w:rPr>
            </w:pPr>
          </w:p>
        </w:tc>
        <w:tc>
          <w:tcPr>
            <w:tcW w:w="1396" w:type="pct"/>
            <w:tcBorders>
              <w:top w:val="single" w:sz="4" w:space="0" w:color="auto"/>
              <w:bottom w:val="single" w:sz="4" w:space="0" w:color="auto"/>
            </w:tcBorders>
            <w:shd w:val="clear" w:color="auto" w:fill="auto"/>
            <w:noWrap/>
            <w:vAlign w:val="bottom"/>
          </w:tcPr>
          <w:p w14:paraId="0A075DB8" w14:textId="77777777" w:rsidR="00A503E5" w:rsidRPr="00A503E5" w:rsidRDefault="00A503E5" w:rsidP="00AB067C">
            <w:pPr>
              <w:adjustRightInd w:val="0"/>
              <w:snapToGrid w:val="0"/>
              <w:spacing w:line="360" w:lineRule="auto"/>
              <w:jc w:val="both"/>
              <w:rPr>
                <w:rFonts w:ascii="Book Antiqua" w:hAnsi="Book Antiqua"/>
                <w:b/>
                <w:color w:val="000000"/>
                <w:lang w:eastAsia="zh-CN"/>
              </w:rPr>
            </w:pPr>
            <w:r w:rsidRPr="00A503E5">
              <w:rPr>
                <w:rFonts w:ascii="Book Antiqua" w:hAnsi="Book Antiqua" w:hint="eastAsia"/>
                <w:b/>
                <w:color w:val="000000"/>
                <w:lang w:eastAsia="zh-CN"/>
              </w:rPr>
              <w:t>m</w:t>
            </w:r>
            <w:r w:rsidRPr="00A503E5">
              <w:rPr>
                <w:rFonts w:ascii="Book Antiqua" w:hAnsi="Book Antiqua"/>
                <w:b/>
                <w:color w:val="000000"/>
              </w:rPr>
              <w:t xml:space="preserve">ean </w:t>
            </w:r>
            <w:r w:rsidRPr="00A503E5">
              <w:rPr>
                <w:rFonts w:eastAsia="Times New Roman"/>
                <w:b/>
                <w:color w:val="000000"/>
                <w:lang w:eastAsia="en-GB"/>
              </w:rPr>
              <w:t>±</w:t>
            </w:r>
            <w:r w:rsidRPr="00A503E5">
              <w:rPr>
                <w:rFonts w:ascii="Book Antiqua" w:hAnsi="Book Antiqua" w:hint="eastAsia"/>
                <w:b/>
                <w:color w:val="000000"/>
                <w:lang w:eastAsia="zh-CN"/>
              </w:rPr>
              <w:t xml:space="preserve"> </w:t>
            </w:r>
            <w:r w:rsidRPr="00A503E5">
              <w:rPr>
                <w:rFonts w:ascii="Book Antiqua" w:hAnsi="Book Antiqua"/>
                <w:b/>
                <w:color w:val="000000"/>
              </w:rPr>
              <w:t>SD</w:t>
            </w:r>
          </w:p>
        </w:tc>
      </w:tr>
      <w:tr w:rsidR="00A503E5" w:rsidRPr="009C66AF" w14:paraId="36317558" w14:textId="77777777" w:rsidTr="00A503E5">
        <w:trPr>
          <w:trHeight w:val="363"/>
          <w:jc w:val="center"/>
        </w:trPr>
        <w:tc>
          <w:tcPr>
            <w:tcW w:w="3604" w:type="pct"/>
            <w:tcBorders>
              <w:top w:val="single" w:sz="4" w:space="0" w:color="auto"/>
            </w:tcBorders>
            <w:shd w:val="clear" w:color="auto" w:fill="auto"/>
            <w:noWrap/>
            <w:vAlign w:val="bottom"/>
          </w:tcPr>
          <w:p w14:paraId="24843A7D"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Number (</w:t>
            </w:r>
            <w:r w:rsidRPr="00A503E5">
              <w:rPr>
                <w:rFonts w:ascii="Book Antiqua" w:hAnsi="Book Antiqua"/>
                <w:i/>
                <w:color w:val="000000"/>
              </w:rPr>
              <w:t>n</w:t>
            </w:r>
            <w:r w:rsidRPr="009C66AF">
              <w:rPr>
                <w:rFonts w:ascii="Book Antiqua" w:hAnsi="Book Antiqua"/>
                <w:color w:val="000000"/>
              </w:rPr>
              <w:t>)</w:t>
            </w:r>
          </w:p>
        </w:tc>
        <w:tc>
          <w:tcPr>
            <w:tcW w:w="1396" w:type="pct"/>
            <w:tcBorders>
              <w:top w:val="single" w:sz="4" w:space="0" w:color="auto"/>
            </w:tcBorders>
            <w:shd w:val="clear" w:color="auto" w:fill="auto"/>
            <w:noWrap/>
            <w:vAlign w:val="bottom"/>
          </w:tcPr>
          <w:p w14:paraId="7FC4A66C" w14:textId="77777777" w:rsidR="00A503E5" w:rsidRPr="009C66AF" w:rsidRDefault="00A503E5" w:rsidP="00AB067C">
            <w:pPr>
              <w:adjustRightInd w:val="0"/>
              <w:snapToGrid w:val="0"/>
              <w:spacing w:line="360" w:lineRule="auto"/>
              <w:jc w:val="both"/>
              <w:rPr>
                <w:rFonts w:ascii="Book Antiqua" w:hAnsi="Book Antiqua"/>
                <w:highlight w:val="yellow"/>
              </w:rPr>
            </w:pPr>
            <w:r w:rsidRPr="009C66AF">
              <w:rPr>
                <w:rFonts w:ascii="Book Antiqua" w:hAnsi="Book Antiqua"/>
              </w:rPr>
              <w:t>1231</w:t>
            </w:r>
          </w:p>
        </w:tc>
      </w:tr>
      <w:tr w:rsidR="00A503E5" w:rsidRPr="009C66AF" w14:paraId="3C88C2C8" w14:textId="77777777" w:rsidTr="00A503E5">
        <w:trPr>
          <w:trHeight w:val="253"/>
          <w:jc w:val="center"/>
        </w:trPr>
        <w:tc>
          <w:tcPr>
            <w:tcW w:w="3604" w:type="pct"/>
            <w:shd w:val="clear" w:color="auto" w:fill="auto"/>
            <w:noWrap/>
            <w:vAlign w:val="bottom"/>
          </w:tcPr>
          <w:p w14:paraId="226F9167" w14:textId="77777777" w:rsidR="00A503E5" w:rsidRPr="009C66AF" w:rsidRDefault="00A503E5" w:rsidP="00AB067C">
            <w:pPr>
              <w:adjustRightInd w:val="0"/>
              <w:snapToGrid w:val="0"/>
              <w:spacing w:line="360" w:lineRule="auto"/>
              <w:jc w:val="both"/>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sidRPr="009C66AF">
              <w:rPr>
                <w:rFonts w:ascii="Book Antiqua" w:hAnsi="Book Antiqua"/>
                <w:color w:val="000000"/>
              </w:rPr>
              <w:t>)</w:t>
            </w:r>
          </w:p>
        </w:tc>
        <w:tc>
          <w:tcPr>
            <w:tcW w:w="1396" w:type="pct"/>
            <w:shd w:val="clear" w:color="auto" w:fill="auto"/>
            <w:noWrap/>
            <w:vAlign w:val="bottom"/>
          </w:tcPr>
          <w:p w14:paraId="2D29ED7E"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38.7 </w:t>
            </w:r>
            <w:bookmarkStart w:id="99" w:name="OLE_LINK50"/>
            <w:bookmarkStart w:id="100" w:name="OLE_LINK51"/>
            <w:r w:rsidRPr="00A503E5">
              <w:rPr>
                <w:rFonts w:ascii="Book Antiqua" w:eastAsia="宋体" w:hAnsi="Book Antiqua"/>
                <w:color w:val="000000"/>
              </w:rPr>
              <w:t>±</w:t>
            </w:r>
            <w:r>
              <w:rPr>
                <w:rFonts w:ascii="Book Antiqua" w:hAnsi="Book Antiqua" w:hint="eastAsia"/>
                <w:color w:val="000000"/>
                <w:lang w:eastAsia="zh-CN"/>
              </w:rPr>
              <w:t xml:space="preserve"> </w:t>
            </w:r>
            <w:bookmarkEnd w:id="99"/>
            <w:bookmarkEnd w:id="100"/>
            <w:r w:rsidRPr="009C66AF">
              <w:rPr>
                <w:rFonts w:ascii="Book Antiqua" w:hAnsi="Book Antiqua"/>
                <w:color w:val="000000"/>
              </w:rPr>
              <w:t>6.1</w:t>
            </w:r>
          </w:p>
        </w:tc>
      </w:tr>
      <w:tr w:rsidR="00A503E5" w:rsidRPr="009C66AF" w14:paraId="73687A68" w14:textId="77777777" w:rsidTr="00A503E5">
        <w:trPr>
          <w:trHeight w:val="253"/>
          <w:jc w:val="center"/>
        </w:trPr>
        <w:tc>
          <w:tcPr>
            <w:tcW w:w="3604" w:type="pct"/>
            <w:shd w:val="clear" w:color="auto" w:fill="auto"/>
            <w:noWrap/>
            <w:vAlign w:val="bottom"/>
          </w:tcPr>
          <w:p w14:paraId="65A53B7C"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BMI (kg/m</w:t>
            </w:r>
            <w:r w:rsidRPr="009C66AF">
              <w:rPr>
                <w:rFonts w:ascii="Book Antiqua" w:hAnsi="Book Antiqua"/>
                <w:color w:val="000000"/>
                <w:vertAlign w:val="superscript"/>
              </w:rPr>
              <w:t>2</w:t>
            </w:r>
            <w:r w:rsidRPr="009C66AF">
              <w:rPr>
                <w:rFonts w:ascii="Book Antiqua" w:hAnsi="Book Antiqua"/>
                <w:color w:val="000000"/>
              </w:rPr>
              <w:t>)</w:t>
            </w:r>
          </w:p>
        </w:tc>
        <w:tc>
          <w:tcPr>
            <w:tcW w:w="1396" w:type="pct"/>
            <w:shd w:val="clear" w:color="auto" w:fill="auto"/>
            <w:noWrap/>
            <w:vAlign w:val="bottom"/>
          </w:tcPr>
          <w:p w14:paraId="0EE7F32B"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31.1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6.7</w:t>
            </w:r>
          </w:p>
        </w:tc>
      </w:tr>
      <w:tr w:rsidR="00A503E5" w:rsidRPr="009C66AF" w14:paraId="663896AF" w14:textId="77777777" w:rsidTr="00A503E5">
        <w:trPr>
          <w:trHeight w:val="253"/>
          <w:jc w:val="center"/>
        </w:trPr>
        <w:tc>
          <w:tcPr>
            <w:tcW w:w="3604" w:type="pct"/>
            <w:shd w:val="clear" w:color="auto" w:fill="auto"/>
            <w:noWrap/>
            <w:vAlign w:val="bottom"/>
          </w:tcPr>
          <w:p w14:paraId="0A2CD40E"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Parity (</w:t>
            </w:r>
            <w:r w:rsidRPr="00A503E5">
              <w:rPr>
                <w:rFonts w:ascii="Book Antiqua" w:hAnsi="Book Antiqua"/>
                <w:i/>
                <w:color w:val="000000"/>
              </w:rPr>
              <w:t>n</w:t>
            </w:r>
            <w:r w:rsidRPr="009C66AF">
              <w:rPr>
                <w:rFonts w:ascii="Book Antiqua" w:hAnsi="Book Antiqua"/>
                <w:color w:val="000000"/>
              </w:rPr>
              <w:t>)</w:t>
            </w:r>
          </w:p>
        </w:tc>
        <w:tc>
          <w:tcPr>
            <w:tcW w:w="1396" w:type="pct"/>
            <w:shd w:val="clear" w:color="auto" w:fill="auto"/>
            <w:noWrap/>
            <w:vAlign w:val="bottom"/>
          </w:tcPr>
          <w:p w14:paraId="74CFE2B1"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5.74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3.3</w:t>
            </w:r>
          </w:p>
        </w:tc>
      </w:tr>
      <w:tr w:rsidR="00A503E5" w:rsidRPr="009C66AF" w14:paraId="38F31B8F" w14:textId="77777777" w:rsidTr="00A503E5">
        <w:trPr>
          <w:trHeight w:val="253"/>
          <w:jc w:val="center"/>
        </w:trPr>
        <w:tc>
          <w:tcPr>
            <w:tcW w:w="3604" w:type="pct"/>
            <w:shd w:val="clear" w:color="auto" w:fill="auto"/>
            <w:noWrap/>
            <w:vAlign w:val="bottom"/>
          </w:tcPr>
          <w:p w14:paraId="23F9B77B"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Live born (</w:t>
            </w:r>
            <w:r w:rsidRPr="00A503E5">
              <w:rPr>
                <w:rFonts w:ascii="Book Antiqua" w:hAnsi="Book Antiqua"/>
                <w:i/>
                <w:color w:val="000000"/>
              </w:rPr>
              <w:t>n</w:t>
            </w:r>
            <w:r w:rsidRPr="009C66AF">
              <w:rPr>
                <w:rFonts w:ascii="Book Antiqua" w:hAnsi="Book Antiqua"/>
                <w:color w:val="000000"/>
              </w:rPr>
              <w:t>)</w:t>
            </w:r>
          </w:p>
        </w:tc>
        <w:tc>
          <w:tcPr>
            <w:tcW w:w="1396" w:type="pct"/>
            <w:shd w:val="clear" w:color="auto" w:fill="auto"/>
            <w:noWrap/>
            <w:vAlign w:val="bottom"/>
          </w:tcPr>
          <w:p w14:paraId="3E009F7C"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4.53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3.0</w:t>
            </w:r>
          </w:p>
        </w:tc>
      </w:tr>
      <w:tr w:rsidR="00A503E5" w:rsidRPr="009C66AF" w14:paraId="5D2A309C" w14:textId="77777777" w:rsidTr="00A503E5">
        <w:trPr>
          <w:trHeight w:val="253"/>
          <w:jc w:val="center"/>
        </w:trPr>
        <w:tc>
          <w:tcPr>
            <w:tcW w:w="3604" w:type="pct"/>
            <w:shd w:val="clear" w:color="auto" w:fill="auto"/>
            <w:noWrap/>
            <w:vAlign w:val="bottom"/>
          </w:tcPr>
          <w:p w14:paraId="617509AD"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Still birth (</w:t>
            </w:r>
            <w:r w:rsidRPr="00A503E5">
              <w:rPr>
                <w:rFonts w:ascii="Book Antiqua" w:hAnsi="Book Antiqua"/>
                <w:i/>
                <w:color w:val="000000"/>
              </w:rPr>
              <w:t>n</w:t>
            </w:r>
            <w:r w:rsidRPr="009C66AF">
              <w:rPr>
                <w:rFonts w:ascii="Book Antiqua" w:hAnsi="Book Antiqua"/>
                <w:color w:val="000000"/>
              </w:rPr>
              <w:t>)</w:t>
            </w:r>
          </w:p>
        </w:tc>
        <w:tc>
          <w:tcPr>
            <w:tcW w:w="1396" w:type="pct"/>
            <w:shd w:val="clear" w:color="auto" w:fill="auto"/>
            <w:noWrap/>
            <w:vAlign w:val="bottom"/>
          </w:tcPr>
          <w:p w14:paraId="62010BAF"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0.1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0.3</w:t>
            </w:r>
          </w:p>
        </w:tc>
      </w:tr>
      <w:tr w:rsidR="00A503E5" w:rsidRPr="009C66AF" w14:paraId="5CE2A962" w14:textId="77777777" w:rsidTr="00A503E5">
        <w:trPr>
          <w:trHeight w:val="253"/>
          <w:jc w:val="center"/>
        </w:trPr>
        <w:tc>
          <w:tcPr>
            <w:tcW w:w="3604" w:type="pct"/>
            <w:tcBorders>
              <w:bottom w:val="single" w:sz="4" w:space="0" w:color="auto"/>
            </w:tcBorders>
            <w:shd w:val="clear" w:color="auto" w:fill="auto"/>
            <w:noWrap/>
            <w:vAlign w:val="bottom"/>
          </w:tcPr>
          <w:p w14:paraId="3697AA10"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Miscarriage (</w:t>
            </w:r>
            <w:r w:rsidRPr="00A503E5">
              <w:rPr>
                <w:rFonts w:ascii="Book Antiqua" w:hAnsi="Book Antiqua"/>
                <w:i/>
                <w:color w:val="000000"/>
              </w:rPr>
              <w:t>n</w:t>
            </w:r>
            <w:r w:rsidRPr="009C66AF">
              <w:rPr>
                <w:rFonts w:ascii="Book Antiqua" w:hAnsi="Book Antiqua"/>
                <w:color w:val="000000"/>
              </w:rPr>
              <w:t>)</w:t>
            </w:r>
          </w:p>
        </w:tc>
        <w:tc>
          <w:tcPr>
            <w:tcW w:w="1396" w:type="pct"/>
            <w:tcBorders>
              <w:bottom w:val="single" w:sz="4" w:space="0" w:color="auto"/>
            </w:tcBorders>
            <w:shd w:val="clear" w:color="auto" w:fill="auto"/>
            <w:noWrap/>
            <w:vAlign w:val="bottom"/>
          </w:tcPr>
          <w:p w14:paraId="7363F609"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1.1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1.7</w:t>
            </w:r>
          </w:p>
        </w:tc>
      </w:tr>
    </w:tbl>
    <w:p w14:paraId="1DC2B86F" w14:textId="77777777" w:rsidR="000A36C7" w:rsidRDefault="00740A17" w:rsidP="00A503E5">
      <w:pPr>
        <w:adjustRightInd w:val="0"/>
        <w:snapToGrid w:val="0"/>
        <w:spacing w:line="360" w:lineRule="auto"/>
        <w:jc w:val="both"/>
        <w:rPr>
          <w:rFonts w:ascii="Book Antiqua" w:hAnsi="Book Antiqua"/>
        </w:rPr>
      </w:pPr>
      <w:r>
        <w:rPr>
          <w:rFonts w:ascii="Book Antiqua" w:hAnsi="Book Antiqua" w:hint="eastAsia"/>
          <w:vertAlign w:val="superscript"/>
          <w:lang w:eastAsia="zh-CN"/>
        </w:rPr>
        <w:t>1</w:t>
      </w:r>
      <w:r w:rsidRPr="009C66AF">
        <w:rPr>
          <w:rFonts w:ascii="Book Antiqua" w:hAnsi="Book Antiqua"/>
        </w:rPr>
        <w:t>Data were obtained in 2016</w:t>
      </w:r>
      <w:r>
        <w:rPr>
          <w:rFonts w:ascii="Book Antiqua" w:hAnsi="Book Antiqua" w:hint="eastAsia"/>
          <w:lang w:eastAsia="zh-CN"/>
        </w:rPr>
        <w:t>.</w:t>
      </w:r>
      <w:r w:rsidRPr="009C66AF">
        <w:rPr>
          <w:rFonts w:ascii="Book Antiqua" w:hAnsi="Book Antiqua"/>
        </w:rPr>
        <w:t xml:space="preserve"> </w:t>
      </w:r>
    </w:p>
    <w:p w14:paraId="7E890703" w14:textId="79F74298" w:rsidR="00A503E5" w:rsidRPr="00A503E5" w:rsidRDefault="00A503E5" w:rsidP="00A503E5">
      <w:pPr>
        <w:adjustRightInd w:val="0"/>
        <w:snapToGrid w:val="0"/>
        <w:spacing w:line="360" w:lineRule="auto"/>
        <w:jc w:val="both"/>
        <w:rPr>
          <w:rFonts w:ascii="Book Antiqua" w:hAnsi="Book Antiqua"/>
          <w:vertAlign w:val="superscript"/>
        </w:rPr>
      </w:pPr>
      <w:r>
        <w:rPr>
          <w:rFonts w:ascii="Book Antiqua" w:hAnsi="Book Antiqua" w:hint="eastAsia"/>
          <w:lang w:eastAsia="zh-CN"/>
        </w:rPr>
        <w:t>B</w:t>
      </w:r>
      <w:r>
        <w:rPr>
          <w:rFonts w:ascii="Book Antiqua" w:hAnsi="Book Antiqua"/>
        </w:rPr>
        <w:t xml:space="preserve">MI: </w:t>
      </w:r>
      <w:r>
        <w:rPr>
          <w:rFonts w:ascii="Book Antiqua" w:hAnsi="Book Antiqua" w:hint="eastAsia"/>
          <w:lang w:eastAsia="zh-CN"/>
        </w:rPr>
        <w:t>B</w:t>
      </w:r>
      <w:r w:rsidRPr="009C66AF">
        <w:rPr>
          <w:rFonts w:ascii="Book Antiqua" w:hAnsi="Book Antiqua"/>
        </w:rPr>
        <w:t>ody mass index</w:t>
      </w:r>
      <w:r>
        <w:rPr>
          <w:rFonts w:ascii="Book Antiqua" w:hAnsi="Book Antiqua" w:hint="eastAsia"/>
          <w:lang w:eastAsia="zh-CN"/>
        </w:rPr>
        <w:t>.</w:t>
      </w:r>
      <w:r>
        <w:rPr>
          <w:rFonts w:ascii="Book Antiqua" w:hAnsi="Book Antiqua" w:hint="eastAsia"/>
          <w:vertAlign w:val="superscript"/>
          <w:lang w:eastAsia="zh-CN"/>
        </w:rPr>
        <w:t xml:space="preserve"> </w:t>
      </w:r>
    </w:p>
    <w:p w14:paraId="69DF0C4D" w14:textId="77777777" w:rsidR="00A503E5" w:rsidRPr="009C66AF" w:rsidRDefault="00A503E5" w:rsidP="00A503E5">
      <w:pPr>
        <w:adjustRightInd w:val="0"/>
        <w:snapToGrid w:val="0"/>
        <w:spacing w:line="360" w:lineRule="auto"/>
        <w:jc w:val="both"/>
        <w:rPr>
          <w:rFonts w:ascii="Book Antiqua" w:hAnsi="Book Antiqua"/>
          <w:b/>
          <w:bCs/>
        </w:rPr>
        <w:sectPr w:rsidR="00A503E5" w:rsidRPr="009C66AF" w:rsidSect="00AB067C">
          <w:pgSz w:w="11906" w:h="16838" w:code="9"/>
          <w:pgMar w:top="1440" w:right="1440" w:bottom="1440" w:left="1440" w:header="706" w:footer="706" w:gutter="0"/>
          <w:cols w:space="708"/>
          <w:docGrid w:linePitch="360"/>
        </w:sectPr>
      </w:pPr>
    </w:p>
    <w:p w14:paraId="2CE7DCE3" w14:textId="54A9F480" w:rsidR="00A503E5" w:rsidRPr="009C66AF" w:rsidRDefault="00A503E5" w:rsidP="00A503E5">
      <w:pPr>
        <w:adjustRightInd w:val="0"/>
        <w:snapToGrid w:val="0"/>
        <w:spacing w:line="360" w:lineRule="auto"/>
        <w:jc w:val="both"/>
        <w:rPr>
          <w:rFonts w:ascii="Book Antiqua" w:hAnsi="Book Antiqua"/>
          <w:b/>
        </w:rPr>
      </w:pPr>
      <w:r w:rsidRPr="009C66AF">
        <w:rPr>
          <w:rFonts w:ascii="Book Antiqua" w:hAnsi="Book Antiqua"/>
          <w:b/>
        </w:rPr>
        <w:lastRenderedPageBreak/>
        <w:t xml:space="preserve">Table 2 Results of </w:t>
      </w:r>
      <w:r w:rsidR="00A8368F" w:rsidRPr="00A8368F">
        <w:rPr>
          <w:rFonts w:ascii="Book Antiqua" w:hAnsi="Book Antiqua"/>
          <w:b/>
        </w:rPr>
        <w:t xml:space="preserve">oral glucose tolerance test </w:t>
      </w:r>
      <w:r w:rsidRPr="009C66AF">
        <w:rPr>
          <w:rFonts w:ascii="Book Antiqua" w:hAnsi="Book Antiqua"/>
          <w:b/>
        </w:rPr>
        <w:t>of 1231 Emirati pregnant women pe</w:t>
      </w:r>
      <w:r w:rsidR="00A8368F">
        <w:rPr>
          <w:rFonts w:ascii="Book Antiqua" w:hAnsi="Book Antiqua"/>
          <w:b/>
        </w:rPr>
        <w:t xml:space="preserve">rformed during their 24-28 </w:t>
      </w:r>
      <w:proofErr w:type="spellStart"/>
      <w:r w:rsidR="00A8368F">
        <w:rPr>
          <w:rFonts w:ascii="Book Antiqua" w:hAnsi="Book Antiqua"/>
          <w:b/>
        </w:rPr>
        <w:t>wk</w:t>
      </w:r>
      <w:proofErr w:type="spellEnd"/>
      <w:r w:rsidRPr="009C66AF">
        <w:rPr>
          <w:rFonts w:ascii="Book Antiqua" w:hAnsi="Book Antiqua"/>
          <w:b/>
        </w:rPr>
        <w:t xml:space="preserve"> of pregnancy in 2007</w:t>
      </w:r>
      <w:r w:rsidR="00BF1C1D">
        <w:rPr>
          <w:rFonts w:ascii="Book Antiqua" w:hAnsi="Book Antiqua"/>
          <w:b/>
        </w:rPr>
        <w:t>,</w:t>
      </w:r>
      <w:r w:rsidR="00BF1C1D" w:rsidRPr="00BF1C1D">
        <w:rPr>
          <w:rFonts w:ascii="Book Antiqua" w:hAnsi="Book Antiqua"/>
          <w:b/>
          <w:bCs/>
          <w:i/>
        </w:rPr>
        <w:t xml:space="preserve"> n</w:t>
      </w:r>
      <w:r w:rsidR="00BF1C1D" w:rsidRPr="00BF1C1D">
        <w:rPr>
          <w:rFonts w:ascii="Book Antiqua" w:hAnsi="Book Antiqua"/>
          <w:b/>
          <w:bCs/>
        </w:rPr>
        <w:t xml:space="preserve"> (%)</w:t>
      </w:r>
    </w:p>
    <w:tbl>
      <w:tblPr>
        <w:tblStyle w:val="PlainTable21"/>
        <w:tblW w:w="0" w:type="auto"/>
        <w:tblLook w:val="0620" w:firstRow="1" w:lastRow="0" w:firstColumn="0" w:lastColumn="0" w:noHBand="1" w:noVBand="1"/>
      </w:tblPr>
      <w:tblGrid>
        <w:gridCol w:w="1885"/>
        <w:gridCol w:w="2430"/>
        <w:gridCol w:w="2340"/>
        <w:gridCol w:w="2340"/>
      </w:tblGrid>
      <w:tr w:rsidR="00A503E5" w:rsidRPr="009C66AF" w14:paraId="0B22B045" w14:textId="77777777" w:rsidTr="00207664">
        <w:trPr>
          <w:cnfStyle w:val="100000000000" w:firstRow="1" w:lastRow="0" w:firstColumn="0" w:lastColumn="0" w:oddVBand="0" w:evenVBand="0" w:oddHBand="0" w:evenHBand="0" w:firstRowFirstColumn="0" w:firstRowLastColumn="0" w:lastRowFirstColumn="0" w:lastRowLastColumn="0"/>
        </w:trPr>
        <w:tc>
          <w:tcPr>
            <w:tcW w:w="1885" w:type="dxa"/>
            <w:tcBorders>
              <w:top w:val="single" w:sz="4" w:space="0" w:color="auto"/>
              <w:bottom w:val="single" w:sz="4" w:space="0" w:color="auto"/>
            </w:tcBorders>
          </w:tcPr>
          <w:p w14:paraId="5611AE0E" w14:textId="77777777" w:rsidR="00A503E5" w:rsidRPr="009C66AF" w:rsidRDefault="00A26712" w:rsidP="00A8368F">
            <w:pPr>
              <w:adjustRightInd w:val="0"/>
              <w:snapToGrid w:val="0"/>
              <w:spacing w:line="360" w:lineRule="auto"/>
              <w:jc w:val="both"/>
              <w:rPr>
                <w:rFonts w:ascii="Book Antiqua" w:hAnsi="Book Antiqua" w:cs="Times New Roman"/>
                <w:bCs w:val="0"/>
                <w:lang w:val="en-US" w:eastAsia="zh-CN"/>
              </w:rPr>
            </w:pPr>
            <w:r>
              <w:rPr>
                <w:rFonts w:ascii="Book Antiqua" w:hAnsi="Book Antiqua" w:cs="Times New Roman"/>
                <w:lang w:val="en-US"/>
              </w:rPr>
              <w:t xml:space="preserve">Positive Diagnostic </w:t>
            </w:r>
            <w:r>
              <w:rPr>
                <w:rFonts w:ascii="Book Antiqua" w:hAnsi="Book Antiqua" w:cs="Times New Roman" w:hint="eastAsia"/>
                <w:lang w:val="en-US" w:eastAsia="zh-CN"/>
              </w:rPr>
              <w:t>c</w:t>
            </w:r>
            <w:r w:rsidR="00A503E5" w:rsidRPr="009C66AF">
              <w:rPr>
                <w:rFonts w:ascii="Book Antiqua" w:hAnsi="Book Antiqua" w:cs="Times New Roman"/>
                <w:lang w:val="en-US"/>
              </w:rPr>
              <w:t>riteria</w:t>
            </w:r>
            <w:r w:rsidR="00A8368F">
              <w:rPr>
                <w:rFonts w:ascii="Book Antiqua" w:hAnsi="Book Antiqua" w:cs="Times New Roman" w:hint="eastAsia"/>
                <w:vertAlign w:val="superscript"/>
                <w:lang w:val="en-US" w:eastAsia="zh-CN"/>
              </w:rPr>
              <w:t>1</w:t>
            </w:r>
          </w:p>
        </w:tc>
        <w:tc>
          <w:tcPr>
            <w:tcW w:w="2430" w:type="dxa"/>
            <w:tcBorders>
              <w:top w:val="single" w:sz="4" w:space="0" w:color="auto"/>
              <w:bottom w:val="single" w:sz="4" w:space="0" w:color="auto"/>
            </w:tcBorders>
          </w:tcPr>
          <w:p w14:paraId="7F4F34C3" w14:textId="3A090585"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Normal</w:t>
            </w:r>
            <w:r w:rsidR="00A8368F">
              <w:rPr>
                <w:rFonts w:ascii="Book Antiqua" w:hAnsi="Book Antiqua" w:cs="Times New Roman" w:hint="eastAsia"/>
                <w:bCs w:val="0"/>
                <w:lang w:val="en-US" w:eastAsia="zh-CN"/>
              </w:rPr>
              <w:t xml:space="preserve"> </w:t>
            </w:r>
          </w:p>
        </w:tc>
        <w:tc>
          <w:tcPr>
            <w:tcW w:w="2340" w:type="dxa"/>
            <w:tcBorders>
              <w:top w:val="single" w:sz="4" w:space="0" w:color="auto"/>
              <w:bottom w:val="single" w:sz="4" w:space="0" w:color="auto"/>
            </w:tcBorders>
          </w:tcPr>
          <w:p w14:paraId="1CA80957" w14:textId="3671E02F"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GDM</w:t>
            </w:r>
          </w:p>
        </w:tc>
        <w:tc>
          <w:tcPr>
            <w:tcW w:w="2340" w:type="dxa"/>
            <w:tcBorders>
              <w:top w:val="single" w:sz="4" w:space="0" w:color="auto"/>
              <w:bottom w:val="single" w:sz="4" w:space="0" w:color="auto"/>
            </w:tcBorders>
          </w:tcPr>
          <w:p w14:paraId="757B02AD" w14:textId="49B23960"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T2D</w:t>
            </w:r>
          </w:p>
        </w:tc>
      </w:tr>
      <w:tr w:rsidR="00A503E5" w:rsidRPr="009C66AF" w14:paraId="4D57FC45" w14:textId="77777777" w:rsidTr="00207664">
        <w:tc>
          <w:tcPr>
            <w:tcW w:w="1885" w:type="dxa"/>
            <w:tcBorders>
              <w:top w:val="single" w:sz="4" w:space="0" w:color="auto"/>
            </w:tcBorders>
          </w:tcPr>
          <w:p w14:paraId="4CD0FFA3" w14:textId="77777777" w:rsidR="00A503E5" w:rsidRPr="00A8368F" w:rsidRDefault="00A503E5" w:rsidP="00A8368F">
            <w:pPr>
              <w:adjustRightInd w:val="0"/>
              <w:snapToGrid w:val="0"/>
              <w:spacing w:line="360" w:lineRule="auto"/>
              <w:jc w:val="both"/>
              <w:rPr>
                <w:rFonts w:ascii="Book Antiqua" w:hAnsi="Book Antiqua" w:cs="Times New Roman"/>
                <w:bCs/>
                <w:lang w:val="en-US" w:eastAsia="zh-CN"/>
              </w:rPr>
            </w:pPr>
            <w:r w:rsidRPr="009C66AF">
              <w:rPr>
                <w:rFonts w:ascii="Book Antiqua" w:hAnsi="Book Antiqua" w:cs="Times New Roman"/>
                <w:bCs/>
                <w:lang w:val="en-US"/>
              </w:rPr>
              <w:t>Isolated FBG</w:t>
            </w:r>
          </w:p>
        </w:tc>
        <w:tc>
          <w:tcPr>
            <w:tcW w:w="2430" w:type="dxa"/>
            <w:tcBorders>
              <w:top w:val="single" w:sz="4" w:space="0" w:color="auto"/>
            </w:tcBorders>
          </w:tcPr>
          <w:p w14:paraId="08EBEF61"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995 (80.8)</w:t>
            </w:r>
          </w:p>
        </w:tc>
        <w:tc>
          <w:tcPr>
            <w:tcW w:w="2340" w:type="dxa"/>
            <w:tcBorders>
              <w:top w:val="single" w:sz="4" w:space="0" w:color="auto"/>
            </w:tcBorders>
          </w:tcPr>
          <w:p w14:paraId="5E4B039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215 (17.5)</w:t>
            </w:r>
          </w:p>
        </w:tc>
        <w:tc>
          <w:tcPr>
            <w:tcW w:w="2340" w:type="dxa"/>
            <w:tcBorders>
              <w:top w:val="single" w:sz="4" w:space="0" w:color="auto"/>
            </w:tcBorders>
          </w:tcPr>
          <w:p w14:paraId="7ED50619" w14:textId="77777777" w:rsidR="00A503E5" w:rsidRPr="00A8368F" w:rsidRDefault="00A503E5" w:rsidP="00A8368F">
            <w:pPr>
              <w:adjustRightInd w:val="0"/>
              <w:snapToGrid w:val="0"/>
              <w:spacing w:line="360" w:lineRule="auto"/>
              <w:jc w:val="both"/>
              <w:rPr>
                <w:rFonts w:ascii="Book Antiqua" w:hAnsi="Book Antiqua" w:cs="Times New Roman"/>
                <w:bCs/>
                <w:lang w:val="en-US" w:eastAsia="zh-CN"/>
              </w:rPr>
            </w:pPr>
            <w:r w:rsidRPr="009C66AF">
              <w:rPr>
                <w:rFonts w:ascii="Book Antiqua" w:hAnsi="Book Antiqua" w:cs="Times New Roman"/>
                <w:bCs/>
                <w:lang w:val="en-US"/>
              </w:rPr>
              <w:t>21 (1.7)</w:t>
            </w:r>
          </w:p>
        </w:tc>
      </w:tr>
      <w:tr w:rsidR="00A503E5" w:rsidRPr="009C66AF" w14:paraId="71275A3E" w14:textId="77777777" w:rsidTr="00AB067C">
        <w:tc>
          <w:tcPr>
            <w:tcW w:w="1885" w:type="dxa"/>
          </w:tcPr>
          <w:p w14:paraId="4375C167"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Isolated 2hrBG</w:t>
            </w:r>
          </w:p>
        </w:tc>
        <w:tc>
          <w:tcPr>
            <w:tcW w:w="2430" w:type="dxa"/>
          </w:tcPr>
          <w:p w14:paraId="17895A3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1121 (91.0)</w:t>
            </w:r>
          </w:p>
        </w:tc>
        <w:tc>
          <w:tcPr>
            <w:tcW w:w="2340" w:type="dxa"/>
          </w:tcPr>
          <w:p w14:paraId="0B55F87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95 (7.7)</w:t>
            </w:r>
          </w:p>
        </w:tc>
        <w:tc>
          <w:tcPr>
            <w:tcW w:w="2340" w:type="dxa"/>
          </w:tcPr>
          <w:p w14:paraId="7C29F84B" w14:textId="49E245E9" w:rsidR="000A36C7"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15 (1.2)</w:t>
            </w:r>
          </w:p>
        </w:tc>
      </w:tr>
      <w:tr w:rsidR="00A503E5" w:rsidRPr="009C66AF" w14:paraId="6C2E660D" w14:textId="77777777" w:rsidTr="00507127">
        <w:tc>
          <w:tcPr>
            <w:tcW w:w="1885" w:type="dxa"/>
            <w:tcBorders>
              <w:bottom w:val="nil"/>
            </w:tcBorders>
          </w:tcPr>
          <w:p w14:paraId="0DBDE640"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Associated FBG and 2hrGB</w:t>
            </w:r>
          </w:p>
        </w:tc>
        <w:tc>
          <w:tcPr>
            <w:tcW w:w="2430" w:type="dxa"/>
            <w:tcBorders>
              <w:bottom w:val="nil"/>
            </w:tcBorders>
          </w:tcPr>
          <w:p w14:paraId="4936E41D" w14:textId="07DA43CC"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1179 (95.8)</w:t>
            </w:r>
          </w:p>
        </w:tc>
        <w:tc>
          <w:tcPr>
            <w:tcW w:w="2340" w:type="dxa"/>
            <w:tcBorders>
              <w:bottom w:val="nil"/>
            </w:tcBorders>
          </w:tcPr>
          <w:p w14:paraId="59DA1595"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52 (4.2)</w:t>
            </w:r>
          </w:p>
        </w:tc>
        <w:tc>
          <w:tcPr>
            <w:tcW w:w="2340" w:type="dxa"/>
            <w:tcBorders>
              <w:bottom w:val="nil"/>
            </w:tcBorders>
          </w:tcPr>
          <w:p w14:paraId="1E7AE84C" w14:textId="77777777" w:rsidR="00A503E5" w:rsidRPr="009C66AF" w:rsidRDefault="00A503E5" w:rsidP="00AB067C">
            <w:pPr>
              <w:adjustRightInd w:val="0"/>
              <w:snapToGrid w:val="0"/>
              <w:spacing w:line="360" w:lineRule="auto"/>
              <w:jc w:val="both"/>
              <w:rPr>
                <w:rFonts w:ascii="Book Antiqua" w:hAnsi="Book Antiqua" w:cs="Times New Roman"/>
                <w:bCs/>
                <w:lang w:val="en-US" w:eastAsia="zh-CN"/>
              </w:rPr>
            </w:pPr>
            <w:r w:rsidRPr="009C66AF">
              <w:rPr>
                <w:rFonts w:ascii="Book Antiqua" w:hAnsi="Book Antiqua" w:cs="Times New Roman"/>
                <w:bCs/>
                <w:lang w:val="en-US"/>
              </w:rPr>
              <w:t>0</w:t>
            </w:r>
            <w:r w:rsidR="00A8368F">
              <w:rPr>
                <w:rFonts w:ascii="Book Antiqua" w:hAnsi="Book Antiqua" w:cs="Times New Roman" w:hint="eastAsia"/>
                <w:bCs/>
                <w:lang w:val="en-US" w:eastAsia="zh-CN"/>
              </w:rPr>
              <w:t xml:space="preserve"> (</w:t>
            </w:r>
            <w:r w:rsidRPr="009C66AF">
              <w:rPr>
                <w:rFonts w:ascii="Book Antiqua" w:hAnsi="Book Antiqua" w:cs="Times New Roman"/>
                <w:bCs/>
                <w:lang w:val="en-US"/>
              </w:rPr>
              <w:t>0</w:t>
            </w:r>
            <w:r w:rsidR="00A8368F">
              <w:rPr>
                <w:rFonts w:ascii="Book Antiqua" w:hAnsi="Book Antiqua" w:cs="Times New Roman" w:hint="eastAsia"/>
                <w:bCs/>
                <w:lang w:val="en-US" w:eastAsia="zh-CN"/>
              </w:rPr>
              <w:t>)</w:t>
            </w:r>
          </w:p>
        </w:tc>
      </w:tr>
      <w:tr w:rsidR="00A503E5" w:rsidRPr="009C66AF" w14:paraId="198A829E" w14:textId="77777777" w:rsidTr="00507127">
        <w:tc>
          <w:tcPr>
            <w:tcW w:w="1885" w:type="dxa"/>
            <w:tcBorders>
              <w:top w:val="nil"/>
              <w:bottom w:val="single" w:sz="4" w:space="0" w:color="auto"/>
            </w:tcBorders>
          </w:tcPr>
          <w:p w14:paraId="4B0DF4A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Total</w:t>
            </w:r>
          </w:p>
        </w:tc>
        <w:tc>
          <w:tcPr>
            <w:tcW w:w="2430" w:type="dxa"/>
            <w:tcBorders>
              <w:top w:val="nil"/>
              <w:bottom w:val="single" w:sz="4" w:space="0" w:color="auto"/>
            </w:tcBorders>
          </w:tcPr>
          <w:p w14:paraId="716EEB0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833 (67.7)</w:t>
            </w:r>
          </w:p>
        </w:tc>
        <w:tc>
          <w:tcPr>
            <w:tcW w:w="2340" w:type="dxa"/>
            <w:tcBorders>
              <w:top w:val="nil"/>
              <w:bottom w:val="single" w:sz="4" w:space="0" w:color="auto"/>
            </w:tcBorders>
          </w:tcPr>
          <w:p w14:paraId="473C49C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362 (29.4)</w:t>
            </w:r>
          </w:p>
        </w:tc>
        <w:tc>
          <w:tcPr>
            <w:tcW w:w="2340" w:type="dxa"/>
            <w:tcBorders>
              <w:top w:val="nil"/>
              <w:bottom w:val="single" w:sz="4" w:space="0" w:color="auto"/>
            </w:tcBorders>
          </w:tcPr>
          <w:p w14:paraId="6EE6710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36 (2.9)</w:t>
            </w:r>
          </w:p>
        </w:tc>
      </w:tr>
    </w:tbl>
    <w:p w14:paraId="325610CC" w14:textId="77777777" w:rsidR="000A36C7" w:rsidRDefault="00BF1C1D" w:rsidP="00A503E5">
      <w:pPr>
        <w:adjustRightInd w:val="0"/>
        <w:snapToGrid w:val="0"/>
        <w:spacing w:line="360" w:lineRule="auto"/>
        <w:jc w:val="both"/>
        <w:rPr>
          <w:rFonts w:ascii="Book Antiqua" w:hAnsi="Book Antiqua"/>
        </w:rPr>
      </w:pPr>
      <w:bookmarkStart w:id="101" w:name="_Hlk72685125"/>
      <w:r>
        <w:rPr>
          <w:rFonts w:ascii="Book Antiqua" w:hAnsi="Book Antiqua" w:hint="eastAsia"/>
          <w:vertAlign w:val="superscript"/>
          <w:lang w:eastAsia="zh-CN"/>
        </w:rPr>
        <w:t>1</w:t>
      </w:r>
      <w:r w:rsidRPr="009C66AF">
        <w:rPr>
          <w:rFonts w:ascii="Book Antiqua" w:hAnsi="Book Antiqua"/>
        </w:rPr>
        <w:t>International Association of Diabetes and Pregnancy Study Groups (IADPSG</w:t>
      </w:r>
      <w:proofErr w:type="gramStart"/>
      <w:r w:rsidRPr="009C66AF">
        <w:rPr>
          <w:rFonts w:ascii="Book Antiqua" w:hAnsi="Book Antiqua"/>
        </w:rPr>
        <w:t>)</w:t>
      </w:r>
      <w:r w:rsidRPr="00A26712">
        <w:rPr>
          <w:rFonts w:ascii="Book Antiqua" w:hAnsi="Book Antiqua"/>
          <w:vertAlign w:val="superscript"/>
        </w:rPr>
        <w:t>[</w:t>
      </w:r>
      <w:proofErr w:type="gramEnd"/>
      <w:r w:rsidRPr="00A26712">
        <w:rPr>
          <w:rFonts w:ascii="Book Antiqua" w:hAnsi="Book Antiqua"/>
          <w:vertAlign w:val="superscript"/>
        </w:rPr>
        <w:t>5]</w:t>
      </w:r>
      <w:r w:rsidRPr="009C66AF">
        <w:rPr>
          <w:rFonts w:ascii="Book Antiqua" w:hAnsi="Book Antiqua"/>
          <w:color w:val="FF0000"/>
        </w:rPr>
        <w:t xml:space="preserve"> </w:t>
      </w:r>
      <w:r w:rsidRPr="009C66AF">
        <w:rPr>
          <w:rFonts w:ascii="Book Antiqua" w:hAnsi="Book Antiqua"/>
        </w:rPr>
        <w:t>criteria.</w:t>
      </w:r>
      <w:r>
        <w:rPr>
          <w:rFonts w:ascii="Book Antiqua" w:hAnsi="Book Antiqua"/>
        </w:rPr>
        <w:t xml:space="preserve"> </w:t>
      </w:r>
    </w:p>
    <w:p w14:paraId="0420DFB2" w14:textId="77777777" w:rsidR="00ED6267" w:rsidRDefault="00A503E5" w:rsidP="00A503E5">
      <w:pPr>
        <w:adjustRightInd w:val="0"/>
        <w:snapToGrid w:val="0"/>
        <w:spacing w:line="360" w:lineRule="auto"/>
        <w:jc w:val="both"/>
        <w:rPr>
          <w:rFonts w:ascii="Book Antiqua" w:hAnsi="Book Antiqua"/>
          <w:lang w:eastAsia="zh-CN"/>
        </w:rPr>
        <w:sectPr w:rsidR="00ED6267" w:rsidSect="00AB067C">
          <w:pgSz w:w="11906" w:h="16838" w:code="9"/>
          <w:pgMar w:top="1440" w:right="1440" w:bottom="1440" w:left="1440" w:header="706" w:footer="706" w:gutter="0"/>
          <w:cols w:space="708"/>
          <w:docGrid w:linePitch="360"/>
        </w:sectPr>
      </w:pPr>
      <w:r w:rsidRPr="009C66AF">
        <w:rPr>
          <w:rFonts w:ascii="Book Antiqua" w:hAnsi="Book Antiqua"/>
        </w:rPr>
        <w:t xml:space="preserve">OGTT: </w:t>
      </w:r>
      <w:bookmarkStart w:id="102" w:name="OLE_LINK52"/>
      <w:bookmarkStart w:id="103" w:name="OLE_LINK53"/>
      <w:r w:rsidR="00A26712">
        <w:rPr>
          <w:rFonts w:ascii="Book Antiqua" w:hAnsi="Book Antiqua" w:hint="eastAsia"/>
          <w:lang w:eastAsia="zh-CN"/>
        </w:rPr>
        <w:t>O</w:t>
      </w:r>
      <w:r w:rsidRPr="009C66AF">
        <w:rPr>
          <w:rFonts w:ascii="Book Antiqua" w:hAnsi="Book Antiqua"/>
        </w:rPr>
        <w:t>ral glucose tolerance test</w:t>
      </w:r>
      <w:bookmarkEnd w:id="102"/>
      <w:bookmarkEnd w:id="103"/>
      <w:r w:rsidR="00A26712">
        <w:rPr>
          <w:rFonts w:ascii="Book Antiqua" w:hAnsi="Book Antiqua"/>
        </w:rPr>
        <w:t xml:space="preserve">; GDM: </w:t>
      </w:r>
      <w:r w:rsidR="00A26712">
        <w:rPr>
          <w:rFonts w:ascii="Book Antiqua" w:hAnsi="Book Antiqua" w:hint="eastAsia"/>
          <w:lang w:eastAsia="zh-CN"/>
        </w:rPr>
        <w:t>G</w:t>
      </w:r>
      <w:r w:rsidRPr="009C66AF">
        <w:rPr>
          <w:rFonts w:ascii="Book Antiqua" w:hAnsi="Book Antiqua"/>
        </w:rPr>
        <w:t xml:space="preserve">estational diabetes mellitus; T2D: Type 2 </w:t>
      </w:r>
      <w:r w:rsidR="00A26712">
        <w:rPr>
          <w:rFonts w:ascii="Book Antiqua" w:hAnsi="Book Antiqua"/>
        </w:rPr>
        <w:t xml:space="preserve">diabetes; FBG: </w:t>
      </w:r>
      <w:r w:rsidR="00A26712">
        <w:rPr>
          <w:rFonts w:ascii="Book Antiqua" w:hAnsi="Book Antiqua" w:hint="eastAsia"/>
          <w:lang w:eastAsia="zh-CN"/>
        </w:rPr>
        <w:t>F</w:t>
      </w:r>
      <w:r w:rsidRPr="009C66AF">
        <w:rPr>
          <w:rFonts w:ascii="Book Antiqua" w:hAnsi="Book Antiqua"/>
        </w:rPr>
        <w:t>ast</w:t>
      </w:r>
      <w:r w:rsidR="00A26712">
        <w:rPr>
          <w:rFonts w:ascii="Book Antiqua" w:hAnsi="Book Antiqua"/>
        </w:rPr>
        <w:t>ing blood glucose; 2hrBG: 2-h blood glucose</w:t>
      </w:r>
      <w:r w:rsidR="00A26712">
        <w:rPr>
          <w:rFonts w:ascii="Book Antiqua" w:hAnsi="Book Antiqua" w:hint="eastAsia"/>
          <w:lang w:eastAsia="zh-CN"/>
        </w:rPr>
        <w:t>.</w:t>
      </w:r>
      <w:bookmarkEnd w:id="101"/>
      <w:r w:rsidR="00A26712">
        <w:rPr>
          <w:rFonts w:ascii="Book Antiqua" w:hAnsi="Book Antiqua" w:hint="eastAsia"/>
          <w:lang w:eastAsia="zh-CN"/>
        </w:rPr>
        <w:t xml:space="preserve"> </w:t>
      </w:r>
    </w:p>
    <w:p w14:paraId="71C1AB0E" w14:textId="088F7FA7" w:rsidR="00A503E5" w:rsidRPr="00A503E5" w:rsidRDefault="001722AD" w:rsidP="00A503E5">
      <w:pPr>
        <w:adjustRightInd w:val="0"/>
        <w:snapToGrid w:val="0"/>
        <w:spacing w:line="360" w:lineRule="auto"/>
        <w:jc w:val="both"/>
        <w:rPr>
          <w:rFonts w:ascii="Book Antiqua" w:hAnsi="Book Antiqua"/>
          <w:lang w:eastAsia="zh-CN"/>
        </w:rPr>
      </w:pPr>
      <w:r w:rsidRPr="009C66AF">
        <w:rPr>
          <w:rFonts w:ascii="Book Antiqua" w:hAnsi="Book Antiqua"/>
          <w:b/>
        </w:rPr>
        <w:lastRenderedPageBreak/>
        <w:t>Table</w:t>
      </w:r>
      <w:r w:rsidR="00A261A3" w:rsidRPr="009C66AF">
        <w:rPr>
          <w:rFonts w:ascii="Book Antiqua" w:eastAsia="Times New Roman" w:hAnsi="Book Antiqua"/>
          <w:b/>
          <w:bCs/>
          <w:color w:val="000000"/>
        </w:rPr>
        <w:t xml:space="preserve"> </w:t>
      </w:r>
      <w:r w:rsidR="00854167">
        <w:rPr>
          <w:rFonts w:ascii="Book Antiqua" w:eastAsia="Times New Roman" w:hAnsi="Book Antiqua"/>
          <w:b/>
          <w:bCs/>
          <w:color w:val="000000"/>
        </w:rPr>
        <w:t>3</w:t>
      </w:r>
      <w:r w:rsidR="00A261A3" w:rsidRPr="009C66AF">
        <w:rPr>
          <w:rFonts w:ascii="Book Antiqua" w:eastAsia="Times New Roman" w:hAnsi="Book Antiqua"/>
          <w:b/>
          <w:bCs/>
          <w:color w:val="000000"/>
        </w:rPr>
        <w:t xml:space="preserve"> </w:t>
      </w:r>
      <w:r w:rsidR="00B3054A">
        <w:rPr>
          <w:rFonts w:ascii="Book Antiqua" w:hAnsi="Book Antiqua" w:hint="eastAsia"/>
          <w:b/>
          <w:lang w:eastAsia="zh-CN"/>
        </w:rPr>
        <w:t>G</w:t>
      </w:r>
      <w:r w:rsidR="00A503E5" w:rsidRPr="009C66AF">
        <w:rPr>
          <w:rFonts w:ascii="Book Antiqua" w:hAnsi="Book Antiqua"/>
          <w:b/>
        </w:rPr>
        <w:t>lycemic status of 1231 Emirati pregnant women</w:t>
      </w:r>
      <w:r w:rsidR="00325A13">
        <w:rPr>
          <w:rFonts w:ascii="Book Antiqua" w:hAnsi="Book Antiqua"/>
          <w:b/>
        </w:rPr>
        <w:t>,</w:t>
      </w:r>
      <w:r w:rsidR="00A503E5" w:rsidRPr="009C66AF">
        <w:rPr>
          <w:rFonts w:ascii="Book Antiqua" w:hAnsi="Book Antiqua"/>
          <w:b/>
        </w:rPr>
        <w:t xml:space="preserve"> who were tested previously in 2007</w:t>
      </w:r>
      <w:r w:rsidR="00325A13">
        <w:rPr>
          <w:rFonts w:ascii="Book Antiqua" w:hAnsi="Book Antiqua"/>
          <w:b/>
        </w:rPr>
        <w:t>,</w:t>
      </w:r>
      <w:r w:rsidR="00A503E5" w:rsidRPr="009C66AF">
        <w:rPr>
          <w:rFonts w:ascii="Book Antiqua" w:hAnsi="Book Antiqua"/>
          <w:b/>
        </w:rPr>
        <w:t xml:space="preserve"> and underwent post-natal glycemic tests in 2016</w:t>
      </w:r>
    </w:p>
    <w:tbl>
      <w:tblPr>
        <w:tblStyle w:val="PlainTable41"/>
        <w:tblW w:w="0" w:type="auto"/>
        <w:tblBorders>
          <w:top w:val="single" w:sz="4" w:space="0" w:color="auto"/>
          <w:bottom w:val="single" w:sz="4" w:space="0" w:color="auto"/>
        </w:tblBorders>
        <w:tblLook w:val="0620" w:firstRow="1" w:lastRow="0" w:firstColumn="0" w:lastColumn="0" w:noHBand="1" w:noVBand="1"/>
      </w:tblPr>
      <w:tblGrid>
        <w:gridCol w:w="2097"/>
        <w:gridCol w:w="1184"/>
        <w:gridCol w:w="1165"/>
        <w:gridCol w:w="1230"/>
        <w:gridCol w:w="1216"/>
        <w:gridCol w:w="1230"/>
        <w:gridCol w:w="1058"/>
      </w:tblGrid>
      <w:tr w:rsidR="00A503E5" w:rsidRPr="009C66AF" w14:paraId="4FE59017" w14:textId="77777777" w:rsidTr="00281307">
        <w:trPr>
          <w:cnfStyle w:val="100000000000" w:firstRow="1" w:lastRow="0" w:firstColumn="0" w:lastColumn="0" w:oddVBand="0" w:evenVBand="0" w:oddHBand="0" w:evenHBand="0" w:firstRowFirstColumn="0" w:firstRowLastColumn="0" w:lastRowFirstColumn="0" w:lastRowLastColumn="0"/>
        </w:trPr>
        <w:tc>
          <w:tcPr>
            <w:tcW w:w="2097" w:type="dxa"/>
            <w:tcBorders>
              <w:top w:val="single" w:sz="4" w:space="0" w:color="auto"/>
              <w:bottom w:val="single" w:sz="4" w:space="0" w:color="auto"/>
            </w:tcBorders>
          </w:tcPr>
          <w:p w14:paraId="2DCC391D" w14:textId="7F03D3EE"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 xml:space="preserve">Diagnostic </w:t>
            </w:r>
            <w:r w:rsidR="00B3054A">
              <w:rPr>
                <w:rFonts w:ascii="Book Antiqua" w:hAnsi="Book Antiqua" w:cs="Times New Roman" w:hint="eastAsia"/>
                <w:lang w:val="en-US" w:eastAsia="zh-CN"/>
              </w:rPr>
              <w:t>c</w:t>
            </w:r>
            <w:r w:rsidRPr="009C66AF">
              <w:rPr>
                <w:rFonts w:ascii="Book Antiqua" w:hAnsi="Book Antiqua" w:cs="Times New Roman"/>
                <w:lang w:val="en-US"/>
              </w:rPr>
              <w:t>riteria</w:t>
            </w:r>
            <w:r w:rsidR="00100AD6" w:rsidRPr="00100AD6">
              <w:rPr>
                <w:rFonts w:ascii="Book Antiqua" w:hAnsi="Book Antiqua" w:cs="Times New Roman"/>
                <w:vertAlign w:val="superscript"/>
                <w:lang w:val="en-US"/>
              </w:rPr>
              <w:t>1</w:t>
            </w:r>
          </w:p>
        </w:tc>
        <w:tc>
          <w:tcPr>
            <w:tcW w:w="1184" w:type="dxa"/>
            <w:tcBorders>
              <w:top w:val="single" w:sz="4" w:space="0" w:color="auto"/>
              <w:bottom w:val="single" w:sz="4" w:space="0" w:color="auto"/>
            </w:tcBorders>
          </w:tcPr>
          <w:p w14:paraId="0EB7DF49" w14:textId="77777777" w:rsidR="00A503E5" w:rsidRPr="009C66AF" w:rsidRDefault="00B3054A" w:rsidP="00AB067C">
            <w:pPr>
              <w:adjustRightInd w:val="0"/>
              <w:snapToGrid w:val="0"/>
              <w:spacing w:line="360" w:lineRule="auto"/>
              <w:jc w:val="both"/>
              <w:rPr>
                <w:rFonts w:ascii="Book Antiqua" w:hAnsi="Book Antiqua" w:cs="Times New Roman"/>
                <w:bCs w:val="0"/>
                <w:lang w:val="en-US" w:eastAsia="zh-CN"/>
              </w:rPr>
            </w:pPr>
            <w:r>
              <w:rPr>
                <w:rFonts w:ascii="Book Antiqua" w:hAnsi="Book Antiqua" w:cs="Times New Roman"/>
                <w:lang w:val="en-US"/>
              </w:rPr>
              <w:t xml:space="preserve">Total </w:t>
            </w:r>
            <w:r>
              <w:rPr>
                <w:rFonts w:ascii="Book Antiqua" w:hAnsi="Book Antiqua" w:cs="Times New Roman" w:hint="eastAsia"/>
                <w:lang w:val="en-US" w:eastAsia="zh-CN"/>
              </w:rPr>
              <w:t>n</w:t>
            </w:r>
            <w:r w:rsidR="00A503E5" w:rsidRPr="009C66AF">
              <w:rPr>
                <w:rFonts w:ascii="Book Antiqua" w:hAnsi="Book Antiqua" w:cs="Times New Roman"/>
                <w:lang w:val="en-US"/>
              </w:rPr>
              <w:t>umber tested</w:t>
            </w:r>
          </w:p>
        </w:tc>
        <w:tc>
          <w:tcPr>
            <w:tcW w:w="1165" w:type="dxa"/>
            <w:tcBorders>
              <w:top w:val="single" w:sz="4" w:space="0" w:color="auto"/>
              <w:bottom w:val="single" w:sz="4" w:space="0" w:color="auto"/>
            </w:tcBorders>
          </w:tcPr>
          <w:p w14:paraId="3EFDAD84"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Normal</w:t>
            </w:r>
          </w:p>
        </w:tc>
        <w:tc>
          <w:tcPr>
            <w:tcW w:w="1230" w:type="dxa"/>
            <w:tcBorders>
              <w:top w:val="single" w:sz="4" w:space="0" w:color="auto"/>
              <w:bottom w:val="single" w:sz="4" w:space="0" w:color="auto"/>
            </w:tcBorders>
          </w:tcPr>
          <w:p w14:paraId="24F66B0F"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Impaired FBG</w:t>
            </w:r>
          </w:p>
        </w:tc>
        <w:tc>
          <w:tcPr>
            <w:tcW w:w="1216" w:type="dxa"/>
            <w:tcBorders>
              <w:top w:val="single" w:sz="4" w:space="0" w:color="auto"/>
              <w:bottom w:val="single" w:sz="4" w:space="0" w:color="auto"/>
            </w:tcBorders>
          </w:tcPr>
          <w:p w14:paraId="1C75EA94"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IGT</w:t>
            </w:r>
          </w:p>
        </w:tc>
        <w:tc>
          <w:tcPr>
            <w:tcW w:w="1230" w:type="dxa"/>
            <w:tcBorders>
              <w:top w:val="single" w:sz="4" w:space="0" w:color="auto"/>
              <w:bottom w:val="single" w:sz="4" w:space="0" w:color="auto"/>
            </w:tcBorders>
          </w:tcPr>
          <w:p w14:paraId="72B4F838" w14:textId="4D352363"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Impaired</w:t>
            </w:r>
            <w:r w:rsidR="00B3054A">
              <w:rPr>
                <w:rFonts w:ascii="Book Antiqua" w:hAnsi="Book Antiqua" w:cs="Times New Roman" w:hint="eastAsia"/>
                <w:bCs w:val="0"/>
                <w:lang w:val="en-US" w:eastAsia="zh-CN"/>
              </w:rPr>
              <w:t xml:space="preserve"> </w:t>
            </w:r>
            <w:r w:rsidRPr="009C66AF">
              <w:rPr>
                <w:rFonts w:ascii="Book Antiqua" w:hAnsi="Book Antiqua" w:cs="Times New Roman"/>
                <w:lang w:val="en-US"/>
              </w:rPr>
              <w:t xml:space="preserve">FBG </w:t>
            </w:r>
            <w:r w:rsidR="00567AFD">
              <w:rPr>
                <w:rFonts w:ascii="Book Antiqua" w:hAnsi="Book Antiqua" w:cs="Times New Roman"/>
                <w:lang w:val="en-US"/>
              </w:rPr>
              <w:t>and</w:t>
            </w:r>
            <w:r w:rsidRPr="009C66AF">
              <w:rPr>
                <w:rFonts w:ascii="Book Antiqua" w:hAnsi="Book Antiqua" w:cs="Times New Roman"/>
                <w:lang w:val="en-US"/>
              </w:rPr>
              <w:t xml:space="preserve"> IGT</w:t>
            </w:r>
          </w:p>
        </w:tc>
        <w:tc>
          <w:tcPr>
            <w:tcW w:w="1058" w:type="dxa"/>
            <w:tcBorders>
              <w:top w:val="single" w:sz="4" w:space="0" w:color="auto"/>
              <w:bottom w:val="single" w:sz="4" w:space="0" w:color="auto"/>
            </w:tcBorders>
          </w:tcPr>
          <w:p w14:paraId="23A36EFC"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T2D</w:t>
            </w:r>
          </w:p>
        </w:tc>
      </w:tr>
      <w:tr w:rsidR="00A503E5" w:rsidRPr="009C66AF" w14:paraId="531DD77F" w14:textId="77777777" w:rsidTr="00281307">
        <w:tc>
          <w:tcPr>
            <w:tcW w:w="2097" w:type="dxa"/>
            <w:tcBorders>
              <w:top w:val="single" w:sz="4" w:space="0" w:color="auto"/>
            </w:tcBorders>
          </w:tcPr>
          <w:p w14:paraId="34D59454"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 xml:space="preserve">FBG </w:t>
            </w:r>
          </w:p>
        </w:tc>
        <w:tc>
          <w:tcPr>
            <w:tcW w:w="1184" w:type="dxa"/>
            <w:tcBorders>
              <w:top w:val="single" w:sz="4" w:space="0" w:color="auto"/>
            </w:tcBorders>
          </w:tcPr>
          <w:p w14:paraId="00A8296B"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872</w:t>
            </w:r>
          </w:p>
        </w:tc>
        <w:tc>
          <w:tcPr>
            <w:tcW w:w="1165" w:type="dxa"/>
            <w:tcBorders>
              <w:top w:val="single" w:sz="4" w:space="0" w:color="auto"/>
            </w:tcBorders>
          </w:tcPr>
          <w:p w14:paraId="4E49AB9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542</w:t>
            </w:r>
          </w:p>
        </w:tc>
        <w:tc>
          <w:tcPr>
            <w:tcW w:w="1230" w:type="dxa"/>
            <w:tcBorders>
              <w:top w:val="single" w:sz="4" w:space="0" w:color="auto"/>
            </w:tcBorders>
          </w:tcPr>
          <w:p w14:paraId="7B49734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203</w:t>
            </w:r>
          </w:p>
        </w:tc>
        <w:tc>
          <w:tcPr>
            <w:tcW w:w="1216" w:type="dxa"/>
            <w:tcBorders>
              <w:top w:val="single" w:sz="4" w:space="0" w:color="auto"/>
            </w:tcBorders>
          </w:tcPr>
          <w:p w14:paraId="4BD8A73D" w14:textId="3B1FBB70"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230" w:type="dxa"/>
            <w:tcBorders>
              <w:top w:val="single" w:sz="4" w:space="0" w:color="auto"/>
            </w:tcBorders>
          </w:tcPr>
          <w:p w14:paraId="5194A268" w14:textId="58194FD2"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058" w:type="dxa"/>
            <w:tcBorders>
              <w:top w:val="single" w:sz="4" w:space="0" w:color="auto"/>
            </w:tcBorders>
          </w:tcPr>
          <w:p w14:paraId="4E27420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127</w:t>
            </w:r>
          </w:p>
        </w:tc>
      </w:tr>
      <w:tr w:rsidR="00A503E5" w:rsidRPr="009C66AF" w14:paraId="4D61034C" w14:textId="77777777" w:rsidTr="00281307">
        <w:tc>
          <w:tcPr>
            <w:tcW w:w="2097" w:type="dxa"/>
          </w:tcPr>
          <w:p w14:paraId="3AE0F6C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 xml:space="preserve">Post-prandial 2hrBG </w:t>
            </w:r>
          </w:p>
        </w:tc>
        <w:tc>
          <w:tcPr>
            <w:tcW w:w="1184" w:type="dxa"/>
          </w:tcPr>
          <w:p w14:paraId="63673F3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118</w:t>
            </w:r>
          </w:p>
        </w:tc>
        <w:tc>
          <w:tcPr>
            <w:tcW w:w="1165" w:type="dxa"/>
          </w:tcPr>
          <w:p w14:paraId="0AF16A3E"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86</w:t>
            </w:r>
          </w:p>
        </w:tc>
        <w:tc>
          <w:tcPr>
            <w:tcW w:w="1230" w:type="dxa"/>
          </w:tcPr>
          <w:p w14:paraId="6A857BA7" w14:textId="4B668F81"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216" w:type="dxa"/>
          </w:tcPr>
          <w:p w14:paraId="1DE5992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28</w:t>
            </w:r>
          </w:p>
        </w:tc>
        <w:tc>
          <w:tcPr>
            <w:tcW w:w="1230" w:type="dxa"/>
          </w:tcPr>
          <w:p w14:paraId="0C320F38" w14:textId="389C1D35"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058" w:type="dxa"/>
          </w:tcPr>
          <w:p w14:paraId="777E8FD6"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4</w:t>
            </w:r>
          </w:p>
        </w:tc>
      </w:tr>
      <w:tr w:rsidR="00A503E5" w:rsidRPr="009C66AF" w14:paraId="2D70FDFE" w14:textId="77777777" w:rsidTr="00281307">
        <w:tc>
          <w:tcPr>
            <w:tcW w:w="2097" w:type="dxa"/>
          </w:tcPr>
          <w:p w14:paraId="1DC84C8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OGTT</w:t>
            </w:r>
          </w:p>
        </w:tc>
        <w:tc>
          <w:tcPr>
            <w:tcW w:w="1184" w:type="dxa"/>
          </w:tcPr>
          <w:p w14:paraId="282BDF2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241</w:t>
            </w:r>
          </w:p>
        </w:tc>
        <w:tc>
          <w:tcPr>
            <w:tcW w:w="1165" w:type="dxa"/>
          </w:tcPr>
          <w:p w14:paraId="361CE9C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146</w:t>
            </w:r>
          </w:p>
        </w:tc>
        <w:tc>
          <w:tcPr>
            <w:tcW w:w="1230" w:type="dxa"/>
          </w:tcPr>
          <w:p w14:paraId="0E40845B"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23</w:t>
            </w:r>
          </w:p>
        </w:tc>
        <w:tc>
          <w:tcPr>
            <w:tcW w:w="1216" w:type="dxa"/>
          </w:tcPr>
          <w:p w14:paraId="5C225878"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52</w:t>
            </w:r>
          </w:p>
        </w:tc>
        <w:tc>
          <w:tcPr>
            <w:tcW w:w="1230" w:type="dxa"/>
          </w:tcPr>
          <w:p w14:paraId="2CA8E36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10</w:t>
            </w:r>
          </w:p>
        </w:tc>
        <w:tc>
          <w:tcPr>
            <w:tcW w:w="1058" w:type="dxa"/>
          </w:tcPr>
          <w:p w14:paraId="6628271A"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10</w:t>
            </w:r>
          </w:p>
        </w:tc>
      </w:tr>
      <w:tr w:rsidR="00A503E5" w:rsidRPr="009C66AF" w14:paraId="198CE02B" w14:textId="77777777" w:rsidTr="00281307">
        <w:tc>
          <w:tcPr>
            <w:tcW w:w="2097" w:type="dxa"/>
          </w:tcPr>
          <w:p w14:paraId="62CCC22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Total</w:t>
            </w:r>
          </w:p>
        </w:tc>
        <w:tc>
          <w:tcPr>
            <w:tcW w:w="1184" w:type="dxa"/>
          </w:tcPr>
          <w:p w14:paraId="64422E6F"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1231</w:t>
            </w:r>
          </w:p>
        </w:tc>
        <w:tc>
          <w:tcPr>
            <w:tcW w:w="1165" w:type="dxa"/>
          </w:tcPr>
          <w:p w14:paraId="59FC3C5A"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774</w:t>
            </w:r>
          </w:p>
        </w:tc>
        <w:tc>
          <w:tcPr>
            <w:tcW w:w="1230" w:type="dxa"/>
          </w:tcPr>
          <w:p w14:paraId="3CA43558"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226</w:t>
            </w:r>
          </w:p>
        </w:tc>
        <w:tc>
          <w:tcPr>
            <w:tcW w:w="1216" w:type="dxa"/>
          </w:tcPr>
          <w:p w14:paraId="029F32FC"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80</w:t>
            </w:r>
          </w:p>
        </w:tc>
        <w:tc>
          <w:tcPr>
            <w:tcW w:w="1230" w:type="dxa"/>
          </w:tcPr>
          <w:p w14:paraId="3073A1FF"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10</w:t>
            </w:r>
          </w:p>
        </w:tc>
        <w:tc>
          <w:tcPr>
            <w:tcW w:w="1058" w:type="dxa"/>
          </w:tcPr>
          <w:p w14:paraId="5F1A932C"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141</w:t>
            </w:r>
          </w:p>
        </w:tc>
      </w:tr>
    </w:tbl>
    <w:p w14:paraId="1C75AFDE" w14:textId="1F0CB577" w:rsidR="000A36C7" w:rsidRDefault="00100AD6" w:rsidP="00A503E5">
      <w:pPr>
        <w:adjustRightInd w:val="0"/>
        <w:snapToGrid w:val="0"/>
        <w:spacing w:line="360" w:lineRule="auto"/>
        <w:jc w:val="both"/>
        <w:rPr>
          <w:rFonts w:ascii="Book Antiqua" w:hAnsi="Book Antiqua"/>
        </w:rPr>
      </w:pPr>
      <w:r>
        <w:rPr>
          <w:rFonts w:ascii="Book Antiqua" w:hAnsi="Book Antiqua" w:hint="eastAsia"/>
          <w:vertAlign w:val="superscript"/>
          <w:lang w:eastAsia="zh-CN"/>
        </w:rPr>
        <w:t>1</w:t>
      </w:r>
      <w:r>
        <w:rPr>
          <w:rFonts w:ascii="Book Antiqua" w:hAnsi="Book Antiqua"/>
        </w:rPr>
        <w:t>American Diabetes Association</w:t>
      </w:r>
      <w:r w:rsidRPr="009C66AF">
        <w:rPr>
          <w:rFonts w:ascii="Book Antiqua" w:hAnsi="Book Antiqua"/>
        </w:rPr>
        <w:t xml:space="preserve"> criteria for diagnosis of </w:t>
      </w:r>
      <w:r w:rsidR="00281307" w:rsidRPr="00281307">
        <w:rPr>
          <w:rFonts w:ascii="Book Antiqua" w:hAnsi="Book Antiqua"/>
        </w:rPr>
        <w:t xml:space="preserve">diabetes </w:t>
      </w:r>
      <w:proofErr w:type="gramStart"/>
      <w:r w:rsidR="00281307" w:rsidRPr="00281307">
        <w:rPr>
          <w:rFonts w:ascii="Book Antiqua" w:hAnsi="Book Antiqua"/>
        </w:rPr>
        <w:t>mellitus</w:t>
      </w:r>
      <w:r w:rsidRPr="00B3054A">
        <w:rPr>
          <w:rFonts w:ascii="Book Antiqua" w:hAnsi="Book Antiqua"/>
          <w:vertAlign w:val="superscript"/>
        </w:rPr>
        <w:t>[</w:t>
      </w:r>
      <w:proofErr w:type="gramEnd"/>
      <w:r w:rsidRPr="00B3054A">
        <w:rPr>
          <w:rFonts w:ascii="Book Antiqua" w:hAnsi="Book Antiqua"/>
          <w:vertAlign w:val="superscript"/>
        </w:rPr>
        <w:t>8]</w:t>
      </w:r>
      <w:r w:rsidRPr="00B3054A">
        <w:rPr>
          <w:rFonts w:ascii="Book Antiqua" w:hAnsi="Book Antiqua"/>
        </w:rPr>
        <w:t>.</w:t>
      </w:r>
    </w:p>
    <w:p w14:paraId="09381C4C" w14:textId="77777777" w:rsidR="00ED6267" w:rsidRDefault="00B3054A" w:rsidP="00A503E5">
      <w:pPr>
        <w:adjustRightInd w:val="0"/>
        <w:snapToGrid w:val="0"/>
        <w:spacing w:line="360" w:lineRule="auto"/>
        <w:jc w:val="both"/>
        <w:rPr>
          <w:rFonts w:ascii="Book Antiqua" w:hAnsi="Book Antiqua"/>
          <w:lang w:eastAsia="zh-CN"/>
        </w:rPr>
        <w:sectPr w:rsidR="00ED6267" w:rsidSect="00AB067C">
          <w:pgSz w:w="11906" w:h="16838" w:code="9"/>
          <w:pgMar w:top="1440" w:right="1440" w:bottom="1440" w:left="1440" w:header="706" w:footer="706" w:gutter="0"/>
          <w:cols w:space="708"/>
          <w:docGrid w:linePitch="360"/>
        </w:sectPr>
      </w:pPr>
      <w:r>
        <w:rPr>
          <w:rFonts w:ascii="Book Antiqua" w:hAnsi="Book Antiqua"/>
        </w:rPr>
        <w:t xml:space="preserve">FBG: </w:t>
      </w:r>
      <w:r>
        <w:rPr>
          <w:rFonts w:ascii="Book Antiqua" w:hAnsi="Book Antiqua" w:hint="eastAsia"/>
          <w:lang w:eastAsia="zh-CN"/>
        </w:rPr>
        <w:t>F</w:t>
      </w:r>
      <w:r>
        <w:rPr>
          <w:rFonts w:ascii="Book Antiqua" w:hAnsi="Book Antiqua"/>
        </w:rPr>
        <w:t xml:space="preserve">asting blood glucose; IGT: </w:t>
      </w:r>
      <w:r>
        <w:rPr>
          <w:rFonts w:ascii="Book Antiqua" w:hAnsi="Book Antiqua" w:hint="eastAsia"/>
          <w:lang w:eastAsia="zh-CN"/>
        </w:rPr>
        <w:t>I</w:t>
      </w:r>
      <w:r w:rsidR="00A503E5" w:rsidRPr="009C66AF">
        <w:rPr>
          <w:rFonts w:ascii="Book Antiqua" w:hAnsi="Book Antiqua"/>
        </w:rPr>
        <w:t>m</w:t>
      </w:r>
      <w:r>
        <w:rPr>
          <w:rFonts w:ascii="Book Antiqua" w:hAnsi="Book Antiqua"/>
        </w:rPr>
        <w:t xml:space="preserve">paired glucose tolerance; T2D: </w:t>
      </w:r>
      <w:r>
        <w:rPr>
          <w:rFonts w:ascii="Book Antiqua" w:hAnsi="Book Antiqua" w:hint="eastAsia"/>
          <w:lang w:eastAsia="zh-CN"/>
        </w:rPr>
        <w:t>T</w:t>
      </w:r>
      <w:r>
        <w:rPr>
          <w:rFonts w:ascii="Book Antiqua" w:hAnsi="Book Antiqua"/>
        </w:rPr>
        <w:t xml:space="preserve">ype 2 diabetes; 2hrBG: 2-h blood glucose; OGTT: </w:t>
      </w:r>
      <w:r>
        <w:rPr>
          <w:rFonts w:ascii="Book Antiqua" w:hAnsi="Book Antiqua" w:hint="eastAsia"/>
          <w:lang w:eastAsia="zh-CN"/>
        </w:rPr>
        <w:t>O</w:t>
      </w:r>
      <w:r>
        <w:rPr>
          <w:rFonts w:ascii="Book Antiqua" w:hAnsi="Book Antiqua"/>
        </w:rPr>
        <w:t>ral glucose tolerance test</w:t>
      </w:r>
      <w:r>
        <w:rPr>
          <w:rFonts w:ascii="Book Antiqua" w:hAnsi="Book Antiqua" w:hint="eastAsia"/>
          <w:lang w:eastAsia="zh-CN"/>
        </w:rPr>
        <w:t xml:space="preserve">. </w:t>
      </w:r>
    </w:p>
    <w:p w14:paraId="7CE01AD3" w14:textId="7C3261B6" w:rsidR="00A503E5" w:rsidRPr="009C66AF" w:rsidRDefault="00A503E5" w:rsidP="00A503E5">
      <w:pPr>
        <w:adjustRightInd w:val="0"/>
        <w:snapToGrid w:val="0"/>
        <w:spacing w:line="360" w:lineRule="auto"/>
        <w:jc w:val="both"/>
        <w:rPr>
          <w:rFonts w:ascii="Book Antiqua" w:eastAsia="Times New Roman" w:hAnsi="Book Antiqua"/>
          <w:color w:val="000000"/>
        </w:rPr>
      </w:pPr>
      <w:r w:rsidRPr="009C66AF">
        <w:rPr>
          <w:rFonts w:ascii="Book Antiqua" w:eastAsia="Times New Roman" w:hAnsi="Book Antiqua"/>
          <w:b/>
          <w:bCs/>
          <w:color w:val="000000"/>
        </w:rPr>
        <w:lastRenderedPageBreak/>
        <w:t>Table 4 Cross-tabulation of the glycemic status of Emirati women (</w:t>
      </w:r>
      <w:r w:rsidRPr="00AE3005">
        <w:rPr>
          <w:rFonts w:ascii="Book Antiqua" w:eastAsia="Times New Roman" w:hAnsi="Book Antiqua"/>
          <w:b/>
          <w:bCs/>
          <w:i/>
          <w:color w:val="000000"/>
        </w:rPr>
        <w:t>n</w:t>
      </w:r>
      <w:r w:rsidR="00AE3005">
        <w:rPr>
          <w:rFonts w:ascii="Book Antiqua" w:hAnsi="Book Antiqua" w:hint="eastAsia"/>
          <w:b/>
          <w:bCs/>
          <w:color w:val="000000"/>
          <w:lang w:eastAsia="zh-CN"/>
        </w:rPr>
        <w:t xml:space="preserve"> </w:t>
      </w:r>
      <w:r w:rsidRPr="009C66AF">
        <w:rPr>
          <w:rFonts w:ascii="Book Antiqua" w:eastAsia="Times New Roman" w:hAnsi="Book Antiqua"/>
          <w:b/>
          <w:bCs/>
          <w:color w:val="000000"/>
        </w:rPr>
        <w:t>=</w:t>
      </w:r>
      <w:r w:rsidR="00AE3005">
        <w:rPr>
          <w:rFonts w:ascii="Book Antiqua" w:hAnsi="Book Antiqua" w:hint="eastAsia"/>
          <w:b/>
          <w:bCs/>
          <w:color w:val="000000"/>
          <w:lang w:eastAsia="zh-CN"/>
        </w:rPr>
        <w:t xml:space="preserve"> </w:t>
      </w:r>
      <w:r w:rsidRPr="009C66AF">
        <w:rPr>
          <w:rFonts w:ascii="Book Antiqua" w:eastAsia="Times New Roman" w:hAnsi="Book Antiqua"/>
          <w:b/>
          <w:bCs/>
          <w:color w:val="000000"/>
        </w:rPr>
        <w:t>1231) who delivered in 2007, against their glycemic status in 2016</w:t>
      </w:r>
      <w:r w:rsidR="00CD5497">
        <w:rPr>
          <w:rFonts w:ascii="Book Antiqua" w:eastAsia="Times New Roman" w:hAnsi="Book Antiqua"/>
          <w:b/>
          <w:bCs/>
          <w:color w:val="000000"/>
        </w:rPr>
        <w:t>,</w:t>
      </w:r>
      <w:r w:rsidR="00CD5497" w:rsidRPr="00CD5497">
        <w:rPr>
          <w:rFonts w:ascii="Book Antiqua" w:eastAsia="Calibri" w:hAnsi="Book Antiqua"/>
          <w:b/>
          <w:i/>
        </w:rPr>
        <w:t xml:space="preserve"> </w:t>
      </w:r>
      <w:r w:rsidR="00CD5497" w:rsidRPr="004F36C8">
        <w:rPr>
          <w:rFonts w:ascii="Book Antiqua" w:eastAsia="Calibri" w:hAnsi="Book Antiqua"/>
          <w:b/>
          <w:i/>
        </w:rPr>
        <w:t>n</w:t>
      </w:r>
      <w:r w:rsidR="00CD5497" w:rsidRPr="004F36C8">
        <w:rPr>
          <w:rFonts w:ascii="Book Antiqua" w:hAnsi="Book Antiqua" w:hint="eastAsia"/>
          <w:b/>
          <w:lang w:eastAsia="zh-CN"/>
        </w:rPr>
        <w:t xml:space="preserve"> </w:t>
      </w:r>
      <w:r w:rsidR="00CD5497" w:rsidRPr="004F36C8">
        <w:rPr>
          <w:rFonts w:ascii="Book Antiqua" w:eastAsia="Calibri" w:hAnsi="Book Antiqua"/>
          <w:b/>
        </w:rPr>
        <w:t>(%)</w:t>
      </w:r>
    </w:p>
    <w:tbl>
      <w:tblPr>
        <w:tblStyle w:val="PlainTable41"/>
        <w:tblW w:w="5000" w:type="pct"/>
        <w:tblBorders>
          <w:top w:val="single" w:sz="4" w:space="0" w:color="auto"/>
        </w:tblBorders>
        <w:tblLook w:val="0620" w:firstRow="1" w:lastRow="0" w:firstColumn="0" w:lastColumn="0" w:noHBand="1" w:noVBand="1"/>
      </w:tblPr>
      <w:tblGrid>
        <w:gridCol w:w="2213"/>
        <w:gridCol w:w="863"/>
        <w:gridCol w:w="1152"/>
        <w:gridCol w:w="732"/>
        <w:gridCol w:w="758"/>
        <w:gridCol w:w="860"/>
        <w:gridCol w:w="1152"/>
        <w:gridCol w:w="750"/>
        <w:gridCol w:w="762"/>
      </w:tblGrid>
      <w:tr w:rsidR="00CD5497" w:rsidRPr="004F36C8" w14:paraId="1D9100EB" w14:textId="77777777" w:rsidTr="001547CB">
        <w:trPr>
          <w:cnfStyle w:val="100000000000" w:firstRow="1" w:lastRow="0" w:firstColumn="0" w:lastColumn="0" w:oddVBand="0" w:evenVBand="0" w:oddHBand="0" w:evenHBand="0" w:firstRowFirstColumn="0" w:firstRowLastColumn="0" w:lastRowFirstColumn="0" w:lastRowLastColumn="0"/>
        </w:trPr>
        <w:tc>
          <w:tcPr>
            <w:tcW w:w="1198" w:type="pct"/>
            <w:vMerge w:val="restart"/>
            <w:tcBorders>
              <w:top w:val="single" w:sz="4" w:space="0" w:color="auto"/>
              <w:bottom w:val="single" w:sz="4" w:space="0" w:color="auto"/>
            </w:tcBorders>
          </w:tcPr>
          <w:p w14:paraId="3C720398" w14:textId="5DE352F9" w:rsidR="00CD5497" w:rsidRPr="001547CB" w:rsidRDefault="00CD5497" w:rsidP="002B71A6">
            <w:pPr>
              <w:adjustRightInd w:val="0"/>
              <w:snapToGrid w:val="0"/>
              <w:spacing w:line="360" w:lineRule="auto"/>
              <w:jc w:val="both"/>
              <w:rPr>
                <w:rFonts w:ascii="Book Antiqua" w:eastAsia="Calibri" w:hAnsi="Book Antiqua" w:cs="Times New Roman"/>
                <w:b w:val="0"/>
                <w:lang w:val="en-US"/>
              </w:rPr>
            </w:pPr>
            <w:r w:rsidRPr="004F36C8">
              <w:rPr>
                <w:rFonts w:ascii="Book Antiqua" w:eastAsia="Calibri" w:hAnsi="Book Antiqua" w:cs="Times New Roman"/>
                <w:lang w:val="en-US"/>
              </w:rPr>
              <w:t xml:space="preserve">IADPSG diagnostic </w:t>
            </w:r>
            <w:r w:rsidRPr="004F36C8">
              <w:rPr>
                <w:rFonts w:ascii="Book Antiqua" w:hAnsi="Book Antiqua" w:cs="Times New Roman" w:hint="eastAsia"/>
                <w:lang w:val="en-US" w:eastAsia="zh-CN"/>
              </w:rPr>
              <w:t>c</w:t>
            </w:r>
            <w:r w:rsidRPr="004F36C8">
              <w:rPr>
                <w:rFonts w:ascii="Book Antiqua" w:eastAsia="Calibri" w:hAnsi="Book Antiqua" w:cs="Times New Roman"/>
                <w:lang w:val="en-US"/>
              </w:rPr>
              <w:t>riteria for GDM</w:t>
            </w:r>
            <w:r w:rsidRPr="004F36C8">
              <w:rPr>
                <w:rFonts w:ascii="Book Antiqua" w:eastAsia="Calibri" w:hAnsi="Book Antiqua" w:cs="Times New Roman"/>
              </w:rPr>
              <w:t xml:space="preserve"> (20</w:t>
            </w:r>
            <w:r w:rsidRPr="004F36C8">
              <w:rPr>
                <w:rFonts w:ascii="Book Antiqua" w:eastAsia="Calibri" w:hAnsi="Book Antiqua" w:cs="Times New Roman"/>
                <w:lang w:val="en-US"/>
              </w:rPr>
              <w:t>07</w:t>
            </w:r>
            <w:r w:rsidRPr="004F36C8">
              <w:rPr>
                <w:rFonts w:ascii="Book Antiqua" w:eastAsia="Calibri" w:hAnsi="Book Antiqua" w:cs="Times New Roman"/>
              </w:rPr>
              <w:t>)</w:t>
            </w:r>
          </w:p>
        </w:tc>
        <w:tc>
          <w:tcPr>
            <w:tcW w:w="3802" w:type="pct"/>
            <w:gridSpan w:val="8"/>
            <w:tcBorders>
              <w:top w:val="single" w:sz="4" w:space="0" w:color="auto"/>
              <w:bottom w:val="single" w:sz="4" w:space="0" w:color="auto"/>
            </w:tcBorders>
          </w:tcPr>
          <w:p w14:paraId="7D00AA44" w14:textId="617BB294" w:rsidR="00CD5497" w:rsidRPr="004F36C8" w:rsidRDefault="00CD5497" w:rsidP="00AB067C">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lang w:val="en-US"/>
              </w:rPr>
              <w:t xml:space="preserve">ADA </w:t>
            </w:r>
            <w:r w:rsidR="00996334" w:rsidRPr="004F36C8">
              <w:rPr>
                <w:rFonts w:ascii="Book Antiqua" w:eastAsia="Calibri" w:hAnsi="Book Antiqua" w:cs="Times New Roman"/>
                <w:lang w:val="en-US"/>
              </w:rPr>
              <w:t xml:space="preserve">diagnostic </w:t>
            </w:r>
            <w:r w:rsidRPr="004F36C8">
              <w:rPr>
                <w:rFonts w:ascii="Book Antiqua" w:hAnsi="Book Antiqua" w:cs="Times New Roman" w:hint="eastAsia"/>
                <w:lang w:val="en-US" w:eastAsia="zh-CN"/>
              </w:rPr>
              <w:t>c</w:t>
            </w:r>
            <w:r w:rsidRPr="004F36C8">
              <w:rPr>
                <w:rFonts w:ascii="Book Antiqua" w:eastAsia="Calibri" w:hAnsi="Book Antiqua" w:cs="Times New Roman"/>
                <w:lang w:val="en-US"/>
              </w:rPr>
              <w:t>riteria</w:t>
            </w:r>
            <w:r w:rsidRPr="004F36C8">
              <w:rPr>
                <w:rFonts w:ascii="Book Antiqua" w:eastAsia="Calibri" w:hAnsi="Book Antiqua" w:cs="Times New Roman"/>
              </w:rPr>
              <w:t xml:space="preserve"> (20</w:t>
            </w:r>
            <w:r w:rsidRPr="004F36C8">
              <w:rPr>
                <w:rFonts w:ascii="Book Antiqua" w:eastAsia="Calibri" w:hAnsi="Book Antiqua" w:cs="Times New Roman"/>
                <w:lang w:val="en-US"/>
              </w:rPr>
              <w:t>16</w:t>
            </w:r>
            <w:r w:rsidRPr="004F36C8">
              <w:rPr>
                <w:rFonts w:ascii="Book Antiqua" w:eastAsia="Calibri" w:hAnsi="Book Antiqua" w:cs="Times New Roman"/>
              </w:rPr>
              <w:t>)</w:t>
            </w:r>
          </w:p>
        </w:tc>
      </w:tr>
      <w:tr w:rsidR="00CD5497" w:rsidRPr="004F36C8" w14:paraId="2093C408" w14:textId="77777777" w:rsidTr="001547CB">
        <w:tc>
          <w:tcPr>
            <w:tcW w:w="1198" w:type="pct"/>
            <w:vMerge/>
            <w:tcBorders>
              <w:top w:val="single" w:sz="4" w:space="0" w:color="auto"/>
              <w:bottom w:val="single" w:sz="4" w:space="0" w:color="auto"/>
            </w:tcBorders>
          </w:tcPr>
          <w:p w14:paraId="6085A653" w14:textId="244F2806" w:rsidR="00CD5497" w:rsidRPr="004F36C8" w:rsidRDefault="00CD5497" w:rsidP="002B71A6">
            <w:pPr>
              <w:adjustRightInd w:val="0"/>
              <w:snapToGrid w:val="0"/>
              <w:spacing w:line="360" w:lineRule="auto"/>
              <w:jc w:val="both"/>
              <w:rPr>
                <w:rFonts w:ascii="Book Antiqua" w:eastAsia="Calibri" w:hAnsi="Book Antiqua" w:cs="Times New Roman"/>
                <w:b/>
              </w:rPr>
            </w:pPr>
          </w:p>
        </w:tc>
        <w:tc>
          <w:tcPr>
            <w:tcW w:w="1896" w:type="pct"/>
            <w:gridSpan w:val="4"/>
            <w:tcBorders>
              <w:top w:val="single" w:sz="4" w:space="0" w:color="auto"/>
              <w:bottom w:val="single" w:sz="4" w:space="0" w:color="auto"/>
            </w:tcBorders>
          </w:tcPr>
          <w:p w14:paraId="024AA3D6" w14:textId="77777777"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Fasting</w:t>
            </w:r>
          </w:p>
        </w:tc>
        <w:tc>
          <w:tcPr>
            <w:tcW w:w="1905" w:type="pct"/>
            <w:gridSpan w:val="4"/>
            <w:tcBorders>
              <w:top w:val="single" w:sz="4" w:space="0" w:color="auto"/>
              <w:bottom w:val="single" w:sz="4" w:space="0" w:color="auto"/>
            </w:tcBorders>
          </w:tcPr>
          <w:p w14:paraId="047BE884" w14:textId="093F699D"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 xml:space="preserve">2 </w:t>
            </w:r>
            <w:r w:rsidR="00E52E66">
              <w:rPr>
                <w:rFonts w:ascii="Book Antiqua" w:eastAsia="Calibri" w:hAnsi="Book Antiqua" w:cs="Times New Roman"/>
                <w:b/>
              </w:rPr>
              <w:t>h</w:t>
            </w:r>
          </w:p>
        </w:tc>
      </w:tr>
      <w:tr w:rsidR="00CD5497" w:rsidRPr="004F36C8" w14:paraId="33E897CC" w14:textId="77777777" w:rsidTr="001547CB">
        <w:tc>
          <w:tcPr>
            <w:tcW w:w="1198" w:type="pct"/>
            <w:vMerge/>
            <w:tcBorders>
              <w:top w:val="single" w:sz="4" w:space="0" w:color="auto"/>
              <w:bottom w:val="single" w:sz="4" w:space="0" w:color="auto"/>
            </w:tcBorders>
          </w:tcPr>
          <w:p w14:paraId="5FD43A97" w14:textId="77777777" w:rsidR="00CD5497" w:rsidRPr="004F36C8" w:rsidRDefault="00CD5497" w:rsidP="00AB067C">
            <w:pPr>
              <w:adjustRightInd w:val="0"/>
              <w:snapToGrid w:val="0"/>
              <w:spacing w:line="360" w:lineRule="auto"/>
              <w:jc w:val="both"/>
              <w:rPr>
                <w:rFonts w:ascii="Book Antiqua" w:eastAsia="Calibri" w:hAnsi="Book Antiqua" w:cs="Times New Roman"/>
                <w:b/>
              </w:rPr>
            </w:pPr>
          </w:p>
        </w:tc>
        <w:tc>
          <w:tcPr>
            <w:tcW w:w="467" w:type="pct"/>
            <w:tcBorders>
              <w:top w:val="single" w:sz="4" w:space="0" w:color="auto"/>
              <w:bottom w:val="single" w:sz="4" w:space="0" w:color="auto"/>
            </w:tcBorders>
          </w:tcPr>
          <w:p w14:paraId="6BD89FB0" w14:textId="0C98D381"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lang w:val="en-US"/>
              </w:rPr>
              <w:t>Total</w:t>
            </w:r>
            <w:r w:rsidRPr="004F36C8">
              <w:rPr>
                <w:rFonts w:ascii="Book Antiqua" w:hAnsi="Book Antiqua" w:cs="Times New Roman" w:hint="eastAsia"/>
                <w:b/>
                <w:lang w:val="en-US" w:eastAsia="zh-CN"/>
              </w:rPr>
              <w:t xml:space="preserve"> </w:t>
            </w:r>
          </w:p>
        </w:tc>
        <w:tc>
          <w:tcPr>
            <w:tcW w:w="623" w:type="pct"/>
            <w:tcBorders>
              <w:top w:val="single" w:sz="4" w:space="0" w:color="auto"/>
              <w:bottom w:val="single" w:sz="4" w:space="0" w:color="auto"/>
            </w:tcBorders>
          </w:tcPr>
          <w:p w14:paraId="70730996" w14:textId="39121443"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Normal</w:t>
            </w:r>
          </w:p>
        </w:tc>
        <w:tc>
          <w:tcPr>
            <w:tcW w:w="396" w:type="pct"/>
            <w:tcBorders>
              <w:top w:val="single" w:sz="4" w:space="0" w:color="auto"/>
              <w:bottom w:val="single" w:sz="4" w:space="0" w:color="auto"/>
            </w:tcBorders>
          </w:tcPr>
          <w:p w14:paraId="0843BA01" w14:textId="69CB1A0E" w:rsidR="00CD5497" w:rsidRPr="004F36C8" w:rsidRDefault="00CD5497" w:rsidP="00AB067C">
            <w:pPr>
              <w:adjustRightInd w:val="0"/>
              <w:snapToGrid w:val="0"/>
              <w:spacing w:line="360" w:lineRule="auto"/>
              <w:jc w:val="both"/>
              <w:rPr>
                <w:rFonts w:ascii="Book Antiqua" w:eastAsia="Calibri" w:hAnsi="Book Antiqua" w:cs="Times New Roman"/>
                <w:b/>
                <w:lang w:val="en-US"/>
              </w:rPr>
            </w:pPr>
            <w:r w:rsidRPr="004F36C8">
              <w:rPr>
                <w:rFonts w:ascii="Book Antiqua" w:eastAsia="Calibri" w:hAnsi="Book Antiqua" w:cs="Times New Roman"/>
                <w:b/>
                <w:lang w:val="en-US"/>
              </w:rPr>
              <w:t>IFG</w:t>
            </w:r>
          </w:p>
        </w:tc>
        <w:tc>
          <w:tcPr>
            <w:tcW w:w="410" w:type="pct"/>
            <w:tcBorders>
              <w:top w:val="single" w:sz="4" w:space="0" w:color="auto"/>
              <w:bottom w:val="single" w:sz="4" w:space="0" w:color="auto"/>
            </w:tcBorders>
          </w:tcPr>
          <w:p w14:paraId="29436B3E" w14:textId="15D0E91C"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T2D</w:t>
            </w:r>
          </w:p>
        </w:tc>
        <w:tc>
          <w:tcPr>
            <w:tcW w:w="465" w:type="pct"/>
            <w:tcBorders>
              <w:top w:val="single" w:sz="4" w:space="0" w:color="auto"/>
              <w:bottom w:val="single" w:sz="4" w:space="0" w:color="auto"/>
            </w:tcBorders>
          </w:tcPr>
          <w:p w14:paraId="1A75E9D1" w14:textId="27EB019D" w:rsidR="00CD5497" w:rsidRPr="004F36C8" w:rsidRDefault="00CD5497" w:rsidP="00AB067C">
            <w:pPr>
              <w:adjustRightInd w:val="0"/>
              <w:snapToGrid w:val="0"/>
              <w:spacing w:line="360" w:lineRule="auto"/>
              <w:jc w:val="both"/>
              <w:rPr>
                <w:rFonts w:ascii="Book Antiqua" w:eastAsia="Calibri" w:hAnsi="Book Antiqua" w:cs="Times New Roman"/>
                <w:b/>
                <w:lang w:val="en-US"/>
              </w:rPr>
            </w:pPr>
            <w:r w:rsidRPr="004F36C8">
              <w:rPr>
                <w:rFonts w:ascii="Book Antiqua" w:eastAsia="Calibri" w:hAnsi="Book Antiqua" w:cs="Times New Roman"/>
                <w:b/>
                <w:lang w:val="en-US"/>
              </w:rPr>
              <w:t>Total</w:t>
            </w:r>
          </w:p>
        </w:tc>
        <w:tc>
          <w:tcPr>
            <w:tcW w:w="623" w:type="pct"/>
            <w:tcBorders>
              <w:top w:val="single" w:sz="4" w:space="0" w:color="auto"/>
              <w:bottom w:val="single" w:sz="4" w:space="0" w:color="auto"/>
            </w:tcBorders>
          </w:tcPr>
          <w:p w14:paraId="3897A48F" w14:textId="725F1DA2"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Normal</w:t>
            </w:r>
          </w:p>
        </w:tc>
        <w:tc>
          <w:tcPr>
            <w:tcW w:w="406" w:type="pct"/>
            <w:tcBorders>
              <w:top w:val="single" w:sz="4" w:space="0" w:color="auto"/>
              <w:bottom w:val="single" w:sz="4" w:space="0" w:color="auto"/>
            </w:tcBorders>
          </w:tcPr>
          <w:p w14:paraId="2C90CD2E" w14:textId="25F01538" w:rsidR="00CD5497" w:rsidRPr="004F36C8" w:rsidRDefault="00CD5497" w:rsidP="00AB067C">
            <w:pPr>
              <w:adjustRightInd w:val="0"/>
              <w:snapToGrid w:val="0"/>
              <w:spacing w:line="360" w:lineRule="auto"/>
              <w:jc w:val="both"/>
              <w:rPr>
                <w:rFonts w:ascii="Book Antiqua" w:eastAsia="Calibri" w:hAnsi="Book Antiqua" w:cs="Times New Roman"/>
                <w:b/>
                <w:lang w:val="en-US"/>
              </w:rPr>
            </w:pPr>
            <w:r w:rsidRPr="004F36C8">
              <w:rPr>
                <w:rFonts w:ascii="Book Antiqua" w:eastAsia="Calibri" w:hAnsi="Book Antiqua" w:cs="Times New Roman"/>
                <w:b/>
                <w:lang w:val="en-US"/>
              </w:rPr>
              <w:t>IGT</w:t>
            </w:r>
          </w:p>
        </w:tc>
        <w:tc>
          <w:tcPr>
            <w:tcW w:w="411" w:type="pct"/>
            <w:tcBorders>
              <w:top w:val="single" w:sz="4" w:space="0" w:color="auto"/>
              <w:bottom w:val="single" w:sz="4" w:space="0" w:color="auto"/>
            </w:tcBorders>
          </w:tcPr>
          <w:p w14:paraId="4A1C1F46" w14:textId="47BCBC66"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T2D</w:t>
            </w:r>
          </w:p>
        </w:tc>
      </w:tr>
      <w:tr w:rsidR="00FA6532" w:rsidRPr="004F36C8" w14:paraId="0CC1F7A9" w14:textId="77777777" w:rsidTr="001547CB">
        <w:trPr>
          <w:trHeight w:val="472"/>
        </w:trPr>
        <w:tc>
          <w:tcPr>
            <w:tcW w:w="5000" w:type="pct"/>
            <w:gridSpan w:val="9"/>
            <w:tcBorders>
              <w:top w:val="single" w:sz="4" w:space="0" w:color="auto"/>
            </w:tcBorders>
          </w:tcPr>
          <w:p w14:paraId="7D143F01" w14:textId="77777777" w:rsidR="00FA6532" w:rsidRPr="004F36C8" w:rsidRDefault="00FA6532" w:rsidP="006B6454">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Fasting</w:t>
            </w:r>
          </w:p>
        </w:tc>
      </w:tr>
      <w:tr w:rsidR="00FA6532" w:rsidRPr="004F36C8" w14:paraId="0A169937" w14:textId="77777777" w:rsidTr="001547CB">
        <w:trPr>
          <w:trHeight w:val="906"/>
        </w:trPr>
        <w:tc>
          <w:tcPr>
            <w:tcW w:w="1198" w:type="pct"/>
          </w:tcPr>
          <w:p w14:paraId="0846D043"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lang w:val="en-US"/>
              </w:rPr>
              <w:t>Normal</w:t>
            </w:r>
          </w:p>
        </w:tc>
        <w:tc>
          <w:tcPr>
            <w:tcW w:w="467" w:type="pct"/>
          </w:tcPr>
          <w:p w14:paraId="1FB040D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262</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(100)</w:t>
            </w:r>
          </w:p>
        </w:tc>
        <w:tc>
          <w:tcPr>
            <w:tcW w:w="623" w:type="pct"/>
          </w:tcPr>
          <w:p w14:paraId="47B4D2F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205</w:t>
            </w:r>
            <w:r>
              <w:rPr>
                <w:rFonts w:ascii="Book Antiqua" w:hAnsi="Book Antiqua" w:cs="Times New Roman" w:hint="eastAsia"/>
                <w:lang w:val="en-US" w:eastAsia="zh-CN"/>
              </w:rPr>
              <w:t xml:space="preserve"> </w:t>
            </w:r>
            <w:r w:rsidRPr="004F36C8">
              <w:rPr>
                <w:rFonts w:ascii="Book Antiqua" w:eastAsia="Calibri" w:hAnsi="Book Antiqua" w:cs="Times New Roman"/>
              </w:rPr>
              <w:t>(78)</w:t>
            </w:r>
          </w:p>
        </w:tc>
        <w:tc>
          <w:tcPr>
            <w:tcW w:w="396" w:type="pct"/>
          </w:tcPr>
          <w:p w14:paraId="7F0E63E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43</w:t>
            </w:r>
            <w:r>
              <w:rPr>
                <w:rFonts w:ascii="Book Antiqua" w:hAnsi="Book Antiqua" w:cs="Times New Roman" w:hint="eastAsia"/>
                <w:lang w:val="en-US" w:eastAsia="zh-CN"/>
              </w:rPr>
              <w:t xml:space="preserve"> </w:t>
            </w:r>
            <w:r w:rsidRPr="004F36C8">
              <w:rPr>
                <w:rFonts w:ascii="Book Antiqua" w:eastAsia="Calibri" w:hAnsi="Book Antiqua" w:cs="Times New Roman"/>
              </w:rPr>
              <w:t>(16)</w:t>
            </w:r>
          </w:p>
        </w:tc>
        <w:tc>
          <w:tcPr>
            <w:tcW w:w="410" w:type="pct"/>
          </w:tcPr>
          <w:p w14:paraId="661AD59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14</w:t>
            </w:r>
            <w:r>
              <w:rPr>
                <w:rFonts w:ascii="Book Antiqua" w:hAnsi="Book Antiqua" w:cs="Times New Roman" w:hint="eastAsia"/>
                <w:lang w:val="en-US" w:eastAsia="zh-CN"/>
              </w:rPr>
              <w:t xml:space="preserve"> </w:t>
            </w:r>
            <w:r w:rsidRPr="004F36C8">
              <w:rPr>
                <w:rFonts w:ascii="Book Antiqua" w:eastAsia="Calibri" w:hAnsi="Book Antiqua" w:cs="Times New Roman"/>
              </w:rPr>
              <w:t>(5)</w:t>
            </w:r>
          </w:p>
        </w:tc>
        <w:tc>
          <w:tcPr>
            <w:tcW w:w="465" w:type="pct"/>
          </w:tcPr>
          <w:p w14:paraId="2E816291" w14:textId="77777777" w:rsidR="00FA6532" w:rsidRPr="00C25066"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89</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4AF248D"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54</w:t>
            </w:r>
            <w:r>
              <w:rPr>
                <w:rFonts w:ascii="Book Antiqua" w:hAnsi="Book Antiqua" w:cs="Times New Roman" w:hint="eastAsia"/>
                <w:lang w:val="en-US" w:eastAsia="zh-CN"/>
              </w:rPr>
              <w:t xml:space="preserve"> </w:t>
            </w:r>
            <w:r w:rsidRPr="004F36C8">
              <w:rPr>
                <w:rFonts w:ascii="Book Antiqua" w:eastAsia="Calibri" w:hAnsi="Book Antiqua" w:cs="Times New Roman"/>
              </w:rPr>
              <w:t>(61)</w:t>
            </w:r>
          </w:p>
        </w:tc>
        <w:tc>
          <w:tcPr>
            <w:tcW w:w="406" w:type="pct"/>
          </w:tcPr>
          <w:p w14:paraId="3E1A00D3"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30</w:t>
            </w:r>
            <w:r>
              <w:rPr>
                <w:rFonts w:ascii="Book Antiqua" w:hAnsi="Book Antiqua" w:cs="Times New Roman" w:hint="eastAsia"/>
                <w:lang w:val="en-US" w:eastAsia="zh-CN"/>
              </w:rPr>
              <w:t xml:space="preserve"> </w:t>
            </w:r>
            <w:r w:rsidRPr="004F36C8">
              <w:rPr>
                <w:rFonts w:ascii="Book Antiqua" w:eastAsia="Calibri" w:hAnsi="Book Antiqua" w:cs="Times New Roman"/>
              </w:rPr>
              <w:t>(34)</w:t>
            </w:r>
          </w:p>
        </w:tc>
        <w:tc>
          <w:tcPr>
            <w:tcW w:w="411" w:type="pct"/>
          </w:tcPr>
          <w:p w14:paraId="069E830F"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w:t>
            </w:r>
            <w:r>
              <w:rPr>
                <w:rFonts w:ascii="Book Antiqua" w:hAnsi="Book Antiqua" w:cs="Times New Roman" w:hint="eastAsia"/>
                <w:lang w:val="en-US" w:eastAsia="zh-CN"/>
              </w:rPr>
              <w:t xml:space="preserve"> </w:t>
            </w:r>
            <w:r w:rsidRPr="004F36C8">
              <w:rPr>
                <w:rFonts w:ascii="Book Antiqua" w:eastAsia="Calibri" w:hAnsi="Book Antiqua" w:cs="Times New Roman"/>
              </w:rPr>
              <w:t>(5)</w:t>
            </w:r>
          </w:p>
        </w:tc>
      </w:tr>
      <w:tr w:rsidR="00FA6532" w:rsidRPr="004F36C8" w14:paraId="7170C14B" w14:textId="77777777" w:rsidTr="001547CB">
        <w:trPr>
          <w:trHeight w:val="895"/>
        </w:trPr>
        <w:tc>
          <w:tcPr>
            <w:tcW w:w="1198" w:type="pct"/>
          </w:tcPr>
          <w:p w14:paraId="20008064"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lang w:val="en-US"/>
              </w:rPr>
            </w:pPr>
            <w:r w:rsidRPr="004F36C8">
              <w:rPr>
                <w:rFonts w:ascii="Book Antiqua" w:eastAsia="Calibri" w:hAnsi="Book Antiqua" w:cs="Times New Roman"/>
                <w:lang w:val="en-US"/>
              </w:rPr>
              <w:t>GDM</w:t>
            </w:r>
          </w:p>
        </w:tc>
        <w:tc>
          <w:tcPr>
            <w:tcW w:w="467" w:type="pct"/>
          </w:tcPr>
          <w:p w14:paraId="4E4A32A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267</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0F85FE9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113</w:t>
            </w:r>
            <w:r>
              <w:rPr>
                <w:rFonts w:ascii="Book Antiqua" w:hAnsi="Book Antiqua" w:cs="Times New Roman" w:hint="eastAsia"/>
                <w:lang w:val="en-US" w:eastAsia="zh-CN"/>
              </w:rPr>
              <w:t xml:space="preserve"> </w:t>
            </w:r>
            <w:r w:rsidRPr="004F36C8">
              <w:rPr>
                <w:rFonts w:ascii="Book Antiqua" w:eastAsia="Calibri" w:hAnsi="Book Antiqua" w:cs="Times New Roman"/>
              </w:rPr>
              <w:t>(42)</w:t>
            </w:r>
          </w:p>
        </w:tc>
        <w:tc>
          <w:tcPr>
            <w:tcW w:w="396" w:type="pct"/>
          </w:tcPr>
          <w:p w14:paraId="2284E37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89</w:t>
            </w:r>
            <w:r>
              <w:rPr>
                <w:rFonts w:ascii="Book Antiqua" w:hAnsi="Book Antiqua" w:cs="Times New Roman" w:hint="eastAsia"/>
                <w:lang w:val="en-US" w:eastAsia="zh-CN"/>
              </w:rPr>
              <w:t xml:space="preserve"> </w:t>
            </w:r>
            <w:r w:rsidRPr="004F36C8">
              <w:rPr>
                <w:rFonts w:ascii="Book Antiqua" w:eastAsia="Calibri" w:hAnsi="Book Antiqua" w:cs="Times New Roman"/>
              </w:rPr>
              <w:t>(33)</w:t>
            </w:r>
          </w:p>
        </w:tc>
        <w:tc>
          <w:tcPr>
            <w:tcW w:w="410" w:type="pct"/>
          </w:tcPr>
          <w:p w14:paraId="5F17025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65</w:t>
            </w:r>
            <w:r>
              <w:rPr>
                <w:rFonts w:ascii="Book Antiqua" w:hAnsi="Book Antiqua" w:cs="Times New Roman" w:hint="eastAsia"/>
                <w:lang w:val="en-US" w:eastAsia="zh-CN"/>
              </w:rPr>
              <w:t xml:space="preserve"> </w:t>
            </w:r>
            <w:r w:rsidRPr="004F36C8">
              <w:rPr>
                <w:rFonts w:ascii="Book Antiqua" w:eastAsia="Calibri" w:hAnsi="Book Antiqua" w:cs="Times New Roman"/>
              </w:rPr>
              <w:t>(25)</w:t>
            </w:r>
          </w:p>
        </w:tc>
        <w:tc>
          <w:tcPr>
            <w:tcW w:w="465" w:type="pct"/>
          </w:tcPr>
          <w:p w14:paraId="10C12FE7" w14:textId="77777777" w:rsidR="00FA6532" w:rsidRPr="00C25066"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44</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5E576D2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31</w:t>
            </w:r>
            <w:r>
              <w:rPr>
                <w:rFonts w:ascii="Book Antiqua" w:hAnsi="Book Antiqua" w:cs="Times New Roman" w:hint="eastAsia"/>
                <w:lang w:val="en-US" w:eastAsia="zh-CN"/>
              </w:rPr>
              <w:t xml:space="preserve"> </w:t>
            </w:r>
            <w:r w:rsidRPr="004F36C8">
              <w:rPr>
                <w:rFonts w:ascii="Book Antiqua" w:eastAsia="Calibri" w:hAnsi="Book Antiqua" w:cs="Times New Roman"/>
              </w:rPr>
              <w:t>(70)</w:t>
            </w:r>
          </w:p>
        </w:tc>
        <w:tc>
          <w:tcPr>
            <w:tcW w:w="406" w:type="pct"/>
          </w:tcPr>
          <w:p w14:paraId="5B03993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9</w:t>
            </w:r>
            <w:r>
              <w:rPr>
                <w:rFonts w:ascii="Book Antiqua" w:hAnsi="Book Antiqua" w:cs="Times New Roman" w:hint="eastAsia"/>
                <w:lang w:val="en-US" w:eastAsia="zh-CN"/>
              </w:rPr>
              <w:t xml:space="preserve"> </w:t>
            </w:r>
            <w:r w:rsidRPr="004F36C8">
              <w:rPr>
                <w:rFonts w:ascii="Book Antiqua" w:eastAsia="Calibri" w:hAnsi="Book Antiqua" w:cs="Times New Roman"/>
              </w:rPr>
              <w:t>(21)</w:t>
            </w:r>
          </w:p>
        </w:tc>
        <w:tc>
          <w:tcPr>
            <w:tcW w:w="411" w:type="pct"/>
          </w:tcPr>
          <w:p w14:paraId="341A566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w:t>
            </w:r>
            <w:r>
              <w:rPr>
                <w:rFonts w:ascii="Book Antiqua" w:hAnsi="Book Antiqua" w:cs="Times New Roman" w:hint="eastAsia"/>
                <w:lang w:val="en-US" w:eastAsia="zh-CN"/>
              </w:rPr>
              <w:t xml:space="preserve"> </w:t>
            </w:r>
            <w:r w:rsidRPr="004F36C8">
              <w:rPr>
                <w:rFonts w:ascii="Book Antiqua" w:eastAsia="Calibri" w:hAnsi="Book Antiqua" w:cs="Times New Roman"/>
              </w:rPr>
              <w:t>(9)</w:t>
            </w:r>
          </w:p>
        </w:tc>
      </w:tr>
      <w:tr w:rsidR="00FA6532" w:rsidRPr="004F36C8" w14:paraId="14DAD8AF" w14:textId="77777777" w:rsidTr="001547CB">
        <w:trPr>
          <w:trHeight w:val="895"/>
        </w:trPr>
        <w:tc>
          <w:tcPr>
            <w:tcW w:w="1198" w:type="pct"/>
          </w:tcPr>
          <w:p w14:paraId="0DB45655"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lang w:val="en-US"/>
              </w:rPr>
              <w:t>T2D</w:t>
            </w:r>
          </w:p>
        </w:tc>
        <w:tc>
          <w:tcPr>
            <w:tcW w:w="467" w:type="pct"/>
          </w:tcPr>
          <w:p w14:paraId="5A60A690"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48E2B82E"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w:t>
            </w:r>
            <w:r>
              <w:rPr>
                <w:rFonts w:ascii="Book Antiqua" w:hAnsi="Book Antiqua" w:cs="Times New Roman" w:hint="eastAsia"/>
                <w:lang w:val="en-US" w:eastAsia="zh-CN"/>
              </w:rPr>
              <w:t xml:space="preserve"> </w:t>
            </w:r>
            <w:r w:rsidRPr="004F36C8">
              <w:rPr>
                <w:rFonts w:ascii="Book Antiqua" w:eastAsia="Calibri" w:hAnsi="Book Antiqua" w:cs="Times New Roman"/>
              </w:rPr>
              <w:t>(8)</w:t>
            </w:r>
          </w:p>
        </w:tc>
        <w:tc>
          <w:tcPr>
            <w:tcW w:w="396" w:type="pct"/>
          </w:tcPr>
          <w:p w14:paraId="3CC09CB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w:t>
            </w:r>
            <w:r>
              <w:rPr>
                <w:rFonts w:ascii="Book Antiqua" w:hAnsi="Book Antiqua" w:cs="Times New Roman" w:hint="eastAsia"/>
                <w:lang w:val="en-US" w:eastAsia="zh-CN"/>
              </w:rPr>
              <w:t xml:space="preserve"> </w:t>
            </w:r>
            <w:r w:rsidRPr="004F36C8">
              <w:rPr>
                <w:rFonts w:ascii="Book Antiqua" w:eastAsia="Calibri" w:hAnsi="Book Antiqua" w:cs="Times New Roman"/>
              </w:rPr>
              <w:t>(11)</w:t>
            </w:r>
          </w:p>
        </w:tc>
        <w:tc>
          <w:tcPr>
            <w:tcW w:w="410" w:type="pct"/>
          </w:tcPr>
          <w:p w14:paraId="4448264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21</w:t>
            </w:r>
            <w:r>
              <w:rPr>
                <w:rFonts w:ascii="Book Antiqua" w:hAnsi="Book Antiqua" w:cs="Times New Roman" w:hint="eastAsia"/>
                <w:lang w:val="en-US" w:eastAsia="zh-CN"/>
              </w:rPr>
              <w:t xml:space="preserve"> </w:t>
            </w:r>
            <w:r w:rsidRPr="004F36C8">
              <w:rPr>
                <w:rFonts w:ascii="Book Antiqua" w:eastAsia="Calibri" w:hAnsi="Book Antiqua" w:cs="Times New Roman"/>
              </w:rPr>
              <w:t>(81)</w:t>
            </w:r>
          </w:p>
        </w:tc>
        <w:tc>
          <w:tcPr>
            <w:tcW w:w="465" w:type="pct"/>
          </w:tcPr>
          <w:p w14:paraId="1EF1C59E" w14:textId="77777777" w:rsidR="00FA6532" w:rsidRPr="00C25066"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C3704F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(50)</w:t>
            </w:r>
          </w:p>
        </w:tc>
        <w:tc>
          <w:tcPr>
            <w:tcW w:w="406" w:type="pct"/>
          </w:tcPr>
          <w:p w14:paraId="25C6EF1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(50)</w:t>
            </w:r>
          </w:p>
        </w:tc>
        <w:tc>
          <w:tcPr>
            <w:tcW w:w="411" w:type="pct"/>
          </w:tcPr>
          <w:p w14:paraId="5BCE4FDE" w14:textId="77777777" w:rsidR="00FA6532" w:rsidRPr="00C25066" w:rsidRDefault="00FA6532" w:rsidP="00AB067C">
            <w:pPr>
              <w:adjustRightInd w:val="0"/>
              <w:snapToGrid w:val="0"/>
              <w:spacing w:line="360" w:lineRule="auto"/>
              <w:jc w:val="both"/>
              <w:rPr>
                <w:rFonts w:ascii="Book Antiqua" w:hAnsi="Book Antiqua" w:cs="Times New Roman"/>
                <w:lang w:val="en-US" w:eastAsia="zh-CN"/>
              </w:rPr>
            </w:pPr>
            <w:r w:rsidRPr="004F36C8">
              <w:rPr>
                <w:rFonts w:ascii="Book Antiqua" w:eastAsia="Calibri" w:hAnsi="Book Antiqua" w:cs="Times New Roman"/>
                <w:lang w:val="en-US"/>
              </w:rPr>
              <w:t>0</w:t>
            </w:r>
            <w:r>
              <w:rPr>
                <w:rFonts w:ascii="Book Antiqua" w:hAnsi="Book Antiqua" w:cs="Times New Roman" w:hint="eastAsia"/>
                <w:lang w:val="en-US" w:eastAsia="zh-CN"/>
              </w:rPr>
              <w:t xml:space="preserve"> (</w:t>
            </w:r>
            <w:r w:rsidRPr="004F36C8">
              <w:rPr>
                <w:rFonts w:ascii="Book Antiqua" w:eastAsia="Calibri" w:hAnsi="Book Antiqua" w:cs="Times New Roman"/>
              </w:rPr>
              <w:t>0</w:t>
            </w:r>
            <w:r>
              <w:rPr>
                <w:rFonts w:ascii="Book Antiqua" w:hAnsi="Book Antiqua" w:cs="Times New Roman" w:hint="eastAsia"/>
                <w:lang w:eastAsia="zh-CN"/>
              </w:rPr>
              <w:t>)</w:t>
            </w:r>
          </w:p>
        </w:tc>
      </w:tr>
      <w:tr w:rsidR="00FA6532" w:rsidRPr="004F36C8" w14:paraId="581C819A" w14:textId="77777777" w:rsidTr="001547CB">
        <w:trPr>
          <w:trHeight w:val="1342"/>
        </w:trPr>
        <w:tc>
          <w:tcPr>
            <w:tcW w:w="1198" w:type="pct"/>
          </w:tcPr>
          <w:p w14:paraId="2AB76DAB" w14:textId="77777777" w:rsidR="00FA6532" w:rsidRPr="004F36C8" w:rsidRDefault="00FA6532" w:rsidP="00AB067C">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Total</w:t>
            </w:r>
          </w:p>
        </w:tc>
        <w:tc>
          <w:tcPr>
            <w:tcW w:w="467" w:type="pct"/>
          </w:tcPr>
          <w:p w14:paraId="59F70685"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555</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74C20E81"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320</w:t>
            </w:r>
            <w:r>
              <w:rPr>
                <w:rFonts w:ascii="Book Antiqua" w:hAnsi="Book Antiqua" w:cs="Times New Roman" w:hint="eastAsia"/>
                <w:lang w:val="en-US" w:eastAsia="zh-CN"/>
              </w:rPr>
              <w:t xml:space="preserve"> </w:t>
            </w:r>
            <w:r w:rsidRPr="004F36C8">
              <w:rPr>
                <w:rFonts w:ascii="Book Antiqua" w:eastAsia="Calibri" w:hAnsi="Book Antiqua" w:cs="Times New Roman"/>
              </w:rPr>
              <w:t>(58)</w:t>
            </w:r>
          </w:p>
        </w:tc>
        <w:tc>
          <w:tcPr>
            <w:tcW w:w="396" w:type="pct"/>
          </w:tcPr>
          <w:p w14:paraId="53B3642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135</w:t>
            </w:r>
            <w:r>
              <w:rPr>
                <w:rFonts w:ascii="Book Antiqua" w:hAnsi="Book Antiqua" w:cs="Times New Roman" w:hint="eastAsia"/>
                <w:lang w:val="en-US" w:eastAsia="zh-CN"/>
              </w:rPr>
              <w:t xml:space="preserve"> </w:t>
            </w:r>
            <w:r w:rsidRPr="004F36C8">
              <w:rPr>
                <w:rFonts w:ascii="Book Antiqua" w:eastAsia="Calibri" w:hAnsi="Book Antiqua" w:cs="Times New Roman"/>
              </w:rPr>
              <w:t>(24)</w:t>
            </w:r>
          </w:p>
        </w:tc>
        <w:tc>
          <w:tcPr>
            <w:tcW w:w="410" w:type="pct"/>
          </w:tcPr>
          <w:p w14:paraId="2416C8D3"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100</w:t>
            </w:r>
            <w:r>
              <w:rPr>
                <w:rFonts w:ascii="Book Antiqua" w:hAnsi="Book Antiqua" w:cs="Times New Roman" w:hint="eastAsia"/>
                <w:lang w:val="en-US" w:eastAsia="zh-CN"/>
              </w:rPr>
              <w:t xml:space="preserve"> </w:t>
            </w:r>
            <w:r w:rsidRPr="004F36C8">
              <w:rPr>
                <w:rFonts w:ascii="Book Antiqua" w:eastAsia="Calibri" w:hAnsi="Book Antiqua" w:cs="Times New Roman"/>
              </w:rPr>
              <w:t>(18)</w:t>
            </w:r>
          </w:p>
        </w:tc>
        <w:tc>
          <w:tcPr>
            <w:tcW w:w="465" w:type="pct"/>
          </w:tcPr>
          <w:p w14:paraId="1922FC2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135</w:t>
            </w:r>
            <w:r>
              <w:rPr>
                <w:rFonts w:ascii="Book Antiqua" w:hAnsi="Book Antiqua" w:cs="Times New Roman" w:hint="eastAsia"/>
                <w:lang w:val="en-US" w:eastAsia="zh-CN"/>
              </w:rPr>
              <w:t xml:space="preserve"> </w:t>
            </w:r>
            <w:r w:rsidRPr="004F36C8">
              <w:rPr>
                <w:rFonts w:ascii="Book Antiqua" w:eastAsia="Calibri" w:hAnsi="Book Antiqua" w:cs="Times New Roman"/>
              </w:rPr>
              <w:t>(18)</w:t>
            </w:r>
          </w:p>
        </w:tc>
        <w:tc>
          <w:tcPr>
            <w:tcW w:w="623" w:type="pct"/>
          </w:tcPr>
          <w:p w14:paraId="6E30322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86</w:t>
            </w:r>
            <w:r>
              <w:rPr>
                <w:rFonts w:ascii="Book Antiqua" w:hAnsi="Book Antiqua" w:cs="Times New Roman" w:hint="eastAsia"/>
                <w:lang w:val="en-US" w:eastAsia="zh-CN"/>
              </w:rPr>
              <w:t xml:space="preserve"> </w:t>
            </w:r>
            <w:r w:rsidRPr="004F36C8">
              <w:rPr>
                <w:rFonts w:ascii="Book Antiqua" w:eastAsia="Calibri" w:hAnsi="Book Antiqua" w:cs="Times New Roman"/>
              </w:rPr>
              <w:t>(64)</w:t>
            </w:r>
          </w:p>
        </w:tc>
        <w:tc>
          <w:tcPr>
            <w:tcW w:w="406" w:type="pct"/>
          </w:tcPr>
          <w:p w14:paraId="4A0178D5"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40</w:t>
            </w:r>
            <w:r>
              <w:rPr>
                <w:rFonts w:ascii="Book Antiqua" w:hAnsi="Book Antiqua" w:cs="Times New Roman" w:hint="eastAsia"/>
                <w:lang w:val="en-US" w:eastAsia="zh-CN"/>
              </w:rPr>
              <w:t xml:space="preserve"> </w:t>
            </w:r>
            <w:r w:rsidRPr="004F36C8">
              <w:rPr>
                <w:rFonts w:ascii="Book Antiqua" w:eastAsia="Calibri" w:hAnsi="Book Antiqua" w:cs="Times New Roman"/>
              </w:rPr>
              <w:t>(29)</w:t>
            </w:r>
          </w:p>
        </w:tc>
        <w:tc>
          <w:tcPr>
            <w:tcW w:w="411" w:type="pct"/>
          </w:tcPr>
          <w:p w14:paraId="35855BB8" w14:textId="77777777" w:rsidR="00FA6532" w:rsidRPr="00AB067C" w:rsidRDefault="00FA6532" w:rsidP="00AB067C">
            <w:pPr>
              <w:adjustRightInd w:val="0"/>
              <w:snapToGrid w:val="0"/>
              <w:spacing w:line="360" w:lineRule="auto"/>
              <w:jc w:val="both"/>
              <w:rPr>
                <w:rFonts w:ascii="Book Antiqua" w:hAnsi="Book Antiqua" w:cs="Times New Roman"/>
                <w:lang w:val="en-US" w:eastAsia="zh-CN"/>
              </w:rPr>
            </w:pPr>
            <w:r w:rsidRPr="004F36C8">
              <w:rPr>
                <w:rFonts w:ascii="Book Antiqua" w:eastAsia="Calibri" w:hAnsi="Book Antiqua" w:cs="Times New Roman"/>
                <w:lang w:val="en-US"/>
              </w:rPr>
              <w:t>9</w:t>
            </w:r>
            <w:r>
              <w:rPr>
                <w:rFonts w:ascii="Book Antiqua" w:hAnsi="Book Antiqua" w:cs="Times New Roman" w:hint="eastAsia"/>
                <w:lang w:val="en-US" w:eastAsia="zh-CN"/>
              </w:rPr>
              <w:t xml:space="preserve"> </w:t>
            </w:r>
            <w:r w:rsidRPr="004F36C8">
              <w:rPr>
                <w:rFonts w:ascii="Book Antiqua" w:eastAsia="Calibri" w:hAnsi="Book Antiqua" w:cs="Times New Roman"/>
              </w:rPr>
              <w:t>(7)</w:t>
            </w:r>
          </w:p>
        </w:tc>
      </w:tr>
      <w:tr w:rsidR="00FA6532" w:rsidRPr="004F36C8" w14:paraId="45CD89A3" w14:textId="77777777" w:rsidTr="001547CB">
        <w:trPr>
          <w:trHeight w:val="504"/>
        </w:trPr>
        <w:tc>
          <w:tcPr>
            <w:tcW w:w="5000" w:type="pct"/>
            <w:gridSpan w:val="9"/>
          </w:tcPr>
          <w:p w14:paraId="58A4D007" w14:textId="77777777" w:rsidR="00FA6532" w:rsidRPr="004F36C8" w:rsidRDefault="00FA6532" w:rsidP="006B6454">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2Hr</w:t>
            </w:r>
          </w:p>
        </w:tc>
      </w:tr>
      <w:tr w:rsidR="00FA6532" w:rsidRPr="004F36C8" w14:paraId="4E239375" w14:textId="77777777" w:rsidTr="001547CB">
        <w:trPr>
          <w:trHeight w:val="895"/>
        </w:trPr>
        <w:tc>
          <w:tcPr>
            <w:tcW w:w="1198" w:type="pct"/>
          </w:tcPr>
          <w:p w14:paraId="79261E09"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rPr>
              <w:t>Normal</w:t>
            </w:r>
          </w:p>
        </w:tc>
        <w:tc>
          <w:tcPr>
            <w:tcW w:w="467" w:type="pct"/>
          </w:tcPr>
          <w:p w14:paraId="465B27B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670</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20F9FC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495</w:t>
            </w:r>
            <w:r>
              <w:rPr>
                <w:rFonts w:ascii="Book Antiqua" w:hAnsi="Book Antiqua" w:cs="Times New Roman" w:hint="eastAsia"/>
                <w:lang w:val="en-US" w:eastAsia="zh-CN"/>
              </w:rPr>
              <w:t xml:space="preserve"> </w:t>
            </w:r>
            <w:r w:rsidRPr="004F36C8">
              <w:rPr>
                <w:rFonts w:ascii="Book Antiqua" w:eastAsia="Calibri" w:hAnsi="Book Antiqua" w:cs="Times New Roman"/>
              </w:rPr>
              <w:t>(74)</w:t>
            </w:r>
          </w:p>
        </w:tc>
        <w:tc>
          <w:tcPr>
            <w:tcW w:w="396" w:type="pct"/>
          </w:tcPr>
          <w:p w14:paraId="1C71584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138</w:t>
            </w:r>
            <w:r>
              <w:rPr>
                <w:rFonts w:ascii="Book Antiqua" w:hAnsi="Book Antiqua" w:cs="Times New Roman" w:hint="eastAsia"/>
                <w:lang w:val="en-US" w:eastAsia="zh-CN"/>
              </w:rPr>
              <w:t xml:space="preserve"> </w:t>
            </w:r>
            <w:r w:rsidRPr="004F36C8">
              <w:rPr>
                <w:rFonts w:ascii="Book Antiqua" w:eastAsia="Calibri" w:hAnsi="Book Antiqua" w:cs="Times New Roman"/>
              </w:rPr>
              <w:t>(21)</w:t>
            </w:r>
          </w:p>
        </w:tc>
        <w:tc>
          <w:tcPr>
            <w:tcW w:w="410" w:type="pct"/>
          </w:tcPr>
          <w:p w14:paraId="4354847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37</w:t>
            </w:r>
            <w:r>
              <w:rPr>
                <w:rFonts w:ascii="Book Antiqua" w:hAnsi="Book Antiqua" w:cs="Times New Roman" w:hint="eastAsia"/>
                <w:lang w:val="en-US" w:eastAsia="zh-CN"/>
              </w:rPr>
              <w:t xml:space="preserve"> </w:t>
            </w:r>
            <w:r w:rsidRPr="004F36C8">
              <w:rPr>
                <w:rFonts w:ascii="Book Antiqua" w:eastAsia="Calibri" w:hAnsi="Book Antiqua" w:cs="Times New Roman"/>
              </w:rPr>
              <w:t>(5)</w:t>
            </w:r>
          </w:p>
        </w:tc>
        <w:tc>
          <w:tcPr>
            <w:tcW w:w="465" w:type="pct"/>
          </w:tcPr>
          <w:p w14:paraId="1C6ABFEB" w14:textId="77777777" w:rsidR="00FA6532" w:rsidRPr="00AB067C"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252</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4651696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197</w:t>
            </w:r>
            <w:r>
              <w:rPr>
                <w:rFonts w:ascii="Book Antiqua" w:hAnsi="Book Antiqua" w:cs="Times New Roman" w:hint="eastAsia"/>
                <w:lang w:val="en-US" w:eastAsia="zh-CN"/>
              </w:rPr>
              <w:t xml:space="preserve"> </w:t>
            </w:r>
            <w:r w:rsidRPr="004F36C8">
              <w:rPr>
                <w:rFonts w:ascii="Book Antiqua" w:eastAsia="Calibri" w:hAnsi="Book Antiqua" w:cs="Times New Roman"/>
              </w:rPr>
              <w:t>(78)</w:t>
            </w:r>
          </w:p>
        </w:tc>
        <w:tc>
          <w:tcPr>
            <w:tcW w:w="406" w:type="pct"/>
          </w:tcPr>
          <w:p w14:paraId="3C461FE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51</w:t>
            </w:r>
            <w:r>
              <w:rPr>
                <w:rFonts w:ascii="Book Antiqua" w:hAnsi="Book Antiqua" w:cs="Times New Roman" w:hint="eastAsia"/>
                <w:lang w:val="en-US" w:eastAsia="zh-CN"/>
              </w:rPr>
              <w:t xml:space="preserve"> </w:t>
            </w:r>
            <w:r w:rsidRPr="004F36C8">
              <w:rPr>
                <w:rFonts w:ascii="Book Antiqua" w:eastAsia="Calibri" w:hAnsi="Book Antiqua" w:cs="Times New Roman"/>
              </w:rPr>
              <w:t>(20)</w:t>
            </w:r>
          </w:p>
        </w:tc>
        <w:tc>
          <w:tcPr>
            <w:tcW w:w="411" w:type="pct"/>
          </w:tcPr>
          <w:p w14:paraId="6943190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w:t>
            </w:r>
            <w:r>
              <w:rPr>
                <w:rFonts w:ascii="Book Antiqua" w:hAnsi="Book Antiqua" w:cs="Times New Roman" w:hint="eastAsia"/>
                <w:lang w:val="en-US" w:eastAsia="zh-CN"/>
              </w:rPr>
              <w:t xml:space="preserve"> </w:t>
            </w:r>
            <w:r w:rsidRPr="004F36C8">
              <w:rPr>
                <w:rFonts w:ascii="Book Antiqua" w:eastAsia="Calibri" w:hAnsi="Book Antiqua" w:cs="Times New Roman"/>
              </w:rPr>
              <w:t>(2)</w:t>
            </w:r>
          </w:p>
        </w:tc>
      </w:tr>
      <w:tr w:rsidR="00FA6532" w:rsidRPr="004F36C8" w14:paraId="7E003083" w14:textId="77777777" w:rsidTr="001547CB">
        <w:trPr>
          <w:trHeight w:val="895"/>
        </w:trPr>
        <w:tc>
          <w:tcPr>
            <w:tcW w:w="1198" w:type="pct"/>
          </w:tcPr>
          <w:p w14:paraId="45DCC3A6"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lang w:val="en-US"/>
              </w:rPr>
            </w:pPr>
            <w:r w:rsidRPr="004F36C8">
              <w:rPr>
                <w:rFonts w:ascii="Book Antiqua" w:eastAsia="Calibri" w:hAnsi="Book Antiqua" w:cs="Times New Roman"/>
                <w:lang w:val="en-US"/>
              </w:rPr>
              <w:t>GDM</w:t>
            </w:r>
          </w:p>
        </w:tc>
        <w:tc>
          <w:tcPr>
            <w:tcW w:w="467" w:type="pct"/>
          </w:tcPr>
          <w:p w14:paraId="414A907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147</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64952B46"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68</w:t>
            </w:r>
            <w:r>
              <w:rPr>
                <w:rFonts w:ascii="Book Antiqua" w:hAnsi="Book Antiqua" w:cs="Times New Roman" w:hint="eastAsia"/>
                <w:lang w:val="en-US" w:eastAsia="zh-CN"/>
              </w:rPr>
              <w:t xml:space="preserve"> </w:t>
            </w:r>
            <w:r w:rsidRPr="004F36C8">
              <w:rPr>
                <w:rFonts w:ascii="Book Antiqua" w:eastAsia="Calibri" w:hAnsi="Book Antiqua" w:cs="Times New Roman"/>
              </w:rPr>
              <w:t>(46)</w:t>
            </w:r>
          </w:p>
        </w:tc>
        <w:tc>
          <w:tcPr>
            <w:tcW w:w="396" w:type="pct"/>
          </w:tcPr>
          <w:p w14:paraId="49AA1AE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53</w:t>
            </w:r>
            <w:r>
              <w:rPr>
                <w:rFonts w:ascii="Book Antiqua" w:hAnsi="Book Antiqua" w:cs="Times New Roman" w:hint="eastAsia"/>
                <w:lang w:val="en-US" w:eastAsia="zh-CN"/>
              </w:rPr>
              <w:t xml:space="preserve"> </w:t>
            </w:r>
            <w:r w:rsidRPr="004F36C8">
              <w:rPr>
                <w:rFonts w:ascii="Book Antiqua" w:eastAsia="Calibri" w:hAnsi="Book Antiqua" w:cs="Times New Roman"/>
              </w:rPr>
              <w:t>(36)</w:t>
            </w:r>
          </w:p>
        </w:tc>
        <w:tc>
          <w:tcPr>
            <w:tcW w:w="410" w:type="pct"/>
          </w:tcPr>
          <w:p w14:paraId="1DD72780"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w:t>
            </w:r>
            <w:r>
              <w:rPr>
                <w:rFonts w:ascii="Book Antiqua" w:hAnsi="Book Antiqua" w:cs="Times New Roman" w:hint="eastAsia"/>
                <w:lang w:val="en-US" w:eastAsia="zh-CN"/>
              </w:rPr>
              <w:t xml:space="preserve"> </w:t>
            </w:r>
            <w:r w:rsidRPr="004F36C8">
              <w:rPr>
                <w:rFonts w:ascii="Book Antiqua" w:eastAsia="Calibri" w:hAnsi="Book Antiqua" w:cs="Times New Roman"/>
              </w:rPr>
              <w:t>(18)</w:t>
            </w:r>
          </w:p>
        </w:tc>
        <w:tc>
          <w:tcPr>
            <w:tcW w:w="465" w:type="pct"/>
          </w:tcPr>
          <w:p w14:paraId="62131E95" w14:textId="77777777" w:rsidR="00FA6532" w:rsidRPr="00AB067C"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34</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1289261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w:t>
            </w:r>
            <w:r>
              <w:rPr>
                <w:rFonts w:ascii="Book Antiqua" w:hAnsi="Book Antiqua" w:cs="Times New Roman" w:hint="eastAsia"/>
                <w:lang w:val="en-US" w:eastAsia="zh-CN"/>
              </w:rPr>
              <w:t xml:space="preserve"> </w:t>
            </w:r>
            <w:r w:rsidRPr="004F36C8">
              <w:rPr>
                <w:rFonts w:ascii="Book Antiqua" w:eastAsia="Calibri" w:hAnsi="Book Antiqua" w:cs="Times New Roman"/>
              </w:rPr>
              <w:t>(38)</w:t>
            </w:r>
          </w:p>
        </w:tc>
        <w:tc>
          <w:tcPr>
            <w:tcW w:w="406" w:type="pct"/>
          </w:tcPr>
          <w:p w14:paraId="3287837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20</w:t>
            </w:r>
            <w:r>
              <w:rPr>
                <w:rFonts w:ascii="Book Antiqua" w:hAnsi="Book Antiqua" w:cs="Times New Roman" w:hint="eastAsia"/>
                <w:lang w:val="en-US" w:eastAsia="zh-CN"/>
              </w:rPr>
              <w:t xml:space="preserve"> </w:t>
            </w:r>
            <w:r w:rsidRPr="004F36C8">
              <w:rPr>
                <w:rFonts w:ascii="Book Antiqua" w:eastAsia="Calibri" w:hAnsi="Book Antiqua" w:cs="Times New Roman"/>
              </w:rPr>
              <w:t>(59)</w:t>
            </w:r>
          </w:p>
        </w:tc>
        <w:tc>
          <w:tcPr>
            <w:tcW w:w="411" w:type="pct"/>
          </w:tcPr>
          <w:p w14:paraId="13CB6C23"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(3)</w:t>
            </w:r>
          </w:p>
        </w:tc>
      </w:tr>
      <w:tr w:rsidR="00FA6532" w:rsidRPr="004F36C8" w14:paraId="023B6CED" w14:textId="77777777" w:rsidTr="001547CB">
        <w:trPr>
          <w:trHeight w:val="895"/>
        </w:trPr>
        <w:tc>
          <w:tcPr>
            <w:tcW w:w="1198" w:type="pct"/>
          </w:tcPr>
          <w:p w14:paraId="6851FB76"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rPr>
              <w:t>T2D</w:t>
            </w:r>
          </w:p>
        </w:tc>
        <w:tc>
          <w:tcPr>
            <w:tcW w:w="467" w:type="pct"/>
          </w:tcPr>
          <w:p w14:paraId="2C28D10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4E800B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7</w:t>
            </w:r>
            <w:r>
              <w:rPr>
                <w:rFonts w:ascii="Book Antiqua" w:hAnsi="Book Antiqua" w:cs="Times New Roman" w:hint="eastAsia"/>
                <w:lang w:val="en-US" w:eastAsia="zh-CN"/>
              </w:rPr>
              <w:t xml:space="preserve"> </w:t>
            </w:r>
            <w:r w:rsidRPr="004F36C8">
              <w:rPr>
                <w:rFonts w:ascii="Book Antiqua" w:eastAsia="Calibri" w:hAnsi="Book Antiqua" w:cs="Times New Roman"/>
              </w:rPr>
              <w:t>(27)</w:t>
            </w:r>
          </w:p>
        </w:tc>
        <w:tc>
          <w:tcPr>
            <w:tcW w:w="396" w:type="pct"/>
          </w:tcPr>
          <w:p w14:paraId="43703A0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w:t>
            </w:r>
            <w:r>
              <w:rPr>
                <w:rFonts w:ascii="Book Antiqua" w:hAnsi="Book Antiqua" w:cs="Times New Roman" w:hint="eastAsia"/>
                <w:lang w:val="en-US" w:eastAsia="zh-CN"/>
              </w:rPr>
              <w:t xml:space="preserve"> </w:t>
            </w:r>
            <w:r w:rsidRPr="004F36C8">
              <w:rPr>
                <w:rFonts w:ascii="Book Antiqua" w:eastAsia="Calibri" w:hAnsi="Book Antiqua" w:cs="Times New Roman"/>
              </w:rPr>
              <w:t>(19)</w:t>
            </w:r>
          </w:p>
        </w:tc>
        <w:tc>
          <w:tcPr>
            <w:tcW w:w="410" w:type="pct"/>
          </w:tcPr>
          <w:p w14:paraId="436F1EA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14</w:t>
            </w:r>
            <w:r>
              <w:rPr>
                <w:rFonts w:ascii="Book Antiqua" w:hAnsi="Book Antiqua" w:cs="Times New Roman" w:hint="eastAsia"/>
                <w:lang w:val="en-US" w:eastAsia="zh-CN"/>
              </w:rPr>
              <w:t xml:space="preserve"> </w:t>
            </w:r>
            <w:r w:rsidRPr="004F36C8">
              <w:rPr>
                <w:rFonts w:ascii="Book Antiqua" w:eastAsia="Calibri" w:hAnsi="Book Antiqua" w:cs="Times New Roman"/>
              </w:rPr>
              <w:t>(54)</w:t>
            </w:r>
          </w:p>
        </w:tc>
        <w:tc>
          <w:tcPr>
            <w:tcW w:w="465" w:type="pct"/>
          </w:tcPr>
          <w:p w14:paraId="18F87731" w14:textId="77777777" w:rsidR="00FA6532" w:rsidRPr="00AB067C"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0F0149F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(25)</w:t>
            </w:r>
          </w:p>
        </w:tc>
        <w:tc>
          <w:tcPr>
            <w:tcW w:w="406" w:type="pct"/>
          </w:tcPr>
          <w:p w14:paraId="3F7EBD21"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w:t>
            </w:r>
            <w:r>
              <w:rPr>
                <w:rFonts w:ascii="Book Antiqua" w:hAnsi="Book Antiqua" w:cs="Times New Roman" w:hint="eastAsia"/>
                <w:lang w:val="en-US" w:eastAsia="zh-CN"/>
              </w:rPr>
              <w:t xml:space="preserve"> </w:t>
            </w:r>
            <w:r w:rsidRPr="004F36C8">
              <w:rPr>
                <w:rFonts w:ascii="Book Antiqua" w:eastAsia="Calibri" w:hAnsi="Book Antiqua" w:cs="Times New Roman"/>
              </w:rPr>
              <w:t>(50)</w:t>
            </w:r>
          </w:p>
        </w:tc>
        <w:tc>
          <w:tcPr>
            <w:tcW w:w="411" w:type="pct"/>
          </w:tcPr>
          <w:p w14:paraId="7C2A6A4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(25)</w:t>
            </w:r>
          </w:p>
        </w:tc>
      </w:tr>
      <w:tr w:rsidR="00FA6532" w:rsidRPr="004F36C8" w14:paraId="26035420" w14:textId="77777777" w:rsidTr="00100AD6">
        <w:trPr>
          <w:trHeight w:val="718"/>
        </w:trPr>
        <w:tc>
          <w:tcPr>
            <w:tcW w:w="1198" w:type="pct"/>
            <w:tcBorders>
              <w:bottom w:val="single" w:sz="4" w:space="0" w:color="auto"/>
            </w:tcBorders>
          </w:tcPr>
          <w:p w14:paraId="3CCE78D2" w14:textId="77777777" w:rsidR="00FA6532" w:rsidRPr="004F36C8" w:rsidRDefault="00FA6532" w:rsidP="00AB067C">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Total</w:t>
            </w:r>
          </w:p>
        </w:tc>
        <w:tc>
          <w:tcPr>
            <w:tcW w:w="467" w:type="pct"/>
            <w:tcBorders>
              <w:bottom w:val="single" w:sz="4" w:space="0" w:color="auto"/>
            </w:tcBorders>
          </w:tcPr>
          <w:p w14:paraId="57FDD706"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843</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(100)</w:t>
            </w:r>
          </w:p>
        </w:tc>
        <w:tc>
          <w:tcPr>
            <w:tcW w:w="623" w:type="pct"/>
            <w:tcBorders>
              <w:bottom w:val="single" w:sz="4" w:space="0" w:color="auto"/>
            </w:tcBorders>
          </w:tcPr>
          <w:p w14:paraId="402EDDA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843</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(68)</w:t>
            </w:r>
          </w:p>
        </w:tc>
        <w:tc>
          <w:tcPr>
            <w:tcW w:w="396" w:type="pct"/>
            <w:tcBorders>
              <w:bottom w:val="single" w:sz="4" w:space="0" w:color="auto"/>
            </w:tcBorders>
          </w:tcPr>
          <w:p w14:paraId="60F9BBF6"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196</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(23)</w:t>
            </w:r>
          </w:p>
        </w:tc>
        <w:tc>
          <w:tcPr>
            <w:tcW w:w="410" w:type="pct"/>
            <w:tcBorders>
              <w:bottom w:val="single" w:sz="4" w:space="0" w:color="auto"/>
            </w:tcBorders>
          </w:tcPr>
          <w:p w14:paraId="67ACAEF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77</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(9)</w:t>
            </w:r>
          </w:p>
        </w:tc>
        <w:tc>
          <w:tcPr>
            <w:tcW w:w="465" w:type="pct"/>
            <w:tcBorders>
              <w:bottom w:val="single" w:sz="4" w:space="0" w:color="auto"/>
            </w:tcBorders>
          </w:tcPr>
          <w:p w14:paraId="66C161CB" w14:textId="77777777" w:rsidR="00FA6532" w:rsidRPr="00960169" w:rsidRDefault="00FA6532" w:rsidP="00AB067C">
            <w:pPr>
              <w:adjustRightInd w:val="0"/>
              <w:snapToGrid w:val="0"/>
              <w:spacing w:line="360" w:lineRule="auto"/>
              <w:jc w:val="both"/>
              <w:rPr>
                <w:rFonts w:ascii="Book Antiqua" w:hAnsi="Book Antiqua" w:cs="Times New Roman"/>
                <w:lang w:eastAsia="zh-CN"/>
              </w:rPr>
            </w:pPr>
            <w:r w:rsidRPr="004F36C8">
              <w:rPr>
                <w:rFonts w:ascii="Book Antiqua" w:eastAsia="Calibri" w:hAnsi="Book Antiqua" w:cs="Times New Roman"/>
              </w:rPr>
              <w:t>290</w:t>
            </w:r>
            <w:r>
              <w:rPr>
                <w:rFonts w:ascii="Book Antiqua" w:hAnsi="Book Antiqua" w:cs="Times New Roman" w:hint="eastAsia"/>
                <w:lang w:eastAsia="zh-CN"/>
              </w:rPr>
              <w:t xml:space="preserve"> </w:t>
            </w:r>
            <w:r w:rsidRPr="004F36C8">
              <w:rPr>
                <w:rFonts w:ascii="Book Antiqua" w:eastAsia="Calibri" w:hAnsi="Book Antiqua" w:cs="Times New Roman"/>
              </w:rPr>
              <w:t>(100)</w:t>
            </w:r>
          </w:p>
        </w:tc>
        <w:tc>
          <w:tcPr>
            <w:tcW w:w="623" w:type="pct"/>
            <w:tcBorders>
              <w:bottom w:val="single" w:sz="4" w:space="0" w:color="auto"/>
            </w:tcBorders>
          </w:tcPr>
          <w:p w14:paraId="23D192B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211</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(73)</w:t>
            </w:r>
          </w:p>
        </w:tc>
        <w:tc>
          <w:tcPr>
            <w:tcW w:w="406" w:type="pct"/>
            <w:tcBorders>
              <w:bottom w:val="single" w:sz="4" w:space="0" w:color="auto"/>
            </w:tcBorders>
          </w:tcPr>
          <w:p w14:paraId="39F58A5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73</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(25)</w:t>
            </w:r>
          </w:p>
        </w:tc>
        <w:tc>
          <w:tcPr>
            <w:tcW w:w="411" w:type="pct"/>
            <w:tcBorders>
              <w:bottom w:val="single" w:sz="4" w:space="0" w:color="auto"/>
            </w:tcBorders>
          </w:tcPr>
          <w:p w14:paraId="1BC9C12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(2)</w:t>
            </w:r>
          </w:p>
        </w:tc>
      </w:tr>
    </w:tbl>
    <w:p w14:paraId="68BF257E" w14:textId="77777777" w:rsidR="00A503E5" w:rsidRDefault="00960169" w:rsidP="00A503E5">
      <w:pPr>
        <w:adjustRightInd w:val="0"/>
        <w:snapToGrid w:val="0"/>
        <w:spacing w:line="360" w:lineRule="auto"/>
        <w:jc w:val="both"/>
        <w:rPr>
          <w:rFonts w:ascii="Book Antiqua" w:hAnsi="Book Antiqua"/>
          <w:lang w:eastAsia="zh-CN"/>
        </w:rPr>
      </w:pPr>
      <w:r>
        <w:rPr>
          <w:rFonts w:ascii="Book Antiqua" w:hAnsi="Book Antiqua"/>
        </w:rPr>
        <w:t xml:space="preserve">GDM: </w:t>
      </w:r>
      <w:r>
        <w:rPr>
          <w:rFonts w:ascii="Book Antiqua" w:hAnsi="Book Antiqua" w:hint="eastAsia"/>
          <w:lang w:eastAsia="zh-CN"/>
        </w:rPr>
        <w:t>G</w:t>
      </w:r>
      <w:r w:rsidR="00A503E5" w:rsidRPr="009C66AF">
        <w:rPr>
          <w:rFonts w:ascii="Book Antiqua" w:hAnsi="Book Antiqua"/>
        </w:rPr>
        <w:t>estational diabetes mellit</w:t>
      </w:r>
      <w:r>
        <w:rPr>
          <w:rFonts w:ascii="Book Antiqua" w:hAnsi="Book Antiqua"/>
        </w:rPr>
        <w:t xml:space="preserve">us; T2D: Type 2 diabetes; IFG: </w:t>
      </w:r>
      <w:r>
        <w:rPr>
          <w:rFonts w:ascii="Book Antiqua" w:hAnsi="Book Antiqua" w:hint="eastAsia"/>
          <w:lang w:eastAsia="zh-CN"/>
        </w:rPr>
        <w:t>I</w:t>
      </w:r>
      <w:r>
        <w:rPr>
          <w:rFonts w:ascii="Book Antiqua" w:hAnsi="Book Antiqua"/>
        </w:rPr>
        <w:t xml:space="preserve">mpaired fasting glucose; IGT: </w:t>
      </w:r>
      <w:r>
        <w:rPr>
          <w:rFonts w:ascii="Book Antiqua" w:hAnsi="Book Antiqua" w:hint="eastAsia"/>
          <w:lang w:eastAsia="zh-CN"/>
        </w:rPr>
        <w:t>I</w:t>
      </w:r>
      <w:r w:rsidR="00A503E5" w:rsidRPr="009C66AF">
        <w:rPr>
          <w:rFonts w:ascii="Book Antiqua" w:hAnsi="Book Antiqua"/>
        </w:rPr>
        <w:t>mpaired glu</w:t>
      </w:r>
      <w:r>
        <w:rPr>
          <w:rFonts w:ascii="Book Antiqua" w:hAnsi="Book Antiqua"/>
        </w:rPr>
        <w:t xml:space="preserve">cose tolerance; FBG: </w:t>
      </w:r>
      <w:r>
        <w:rPr>
          <w:rFonts w:ascii="Book Antiqua" w:hAnsi="Book Antiqua" w:hint="eastAsia"/>
          <w:lang w:eastAsia="zh-CN"/>
        </w:rPr>
        <w:t>F</w:t>
      </w:r>
      <w:r w:rsidR="00A503E5" w:rsidRPr="009C66AF">
        <w:rPr>
          <w:rFonts w:ascii="Book Antiqua" w:hAnsi="Book Antiqua"/>
        </w:rPr>
        <w:t>ast</w:t>
      </w:r>
      <w:r>
        <w:rPr>
          <w:rFonts w:ascii="Book Antiqua" w:hAnsi="Book Antiqua"/>
        </w:rPr>
        <w:t>ing blood glucose; 2hrBG: 2-h</w:t>
      </w:r>
      <w:r w:rsidR="00A503E5" w:rsidRPr="009C66AF">
        <w:rPr>
          <w:rFonts w:ascii="Book Antiqua" w:hAnsi="Book Antiqua"/>
        </w:rPr>
        <w:t xml:space="preserve"> blood glucose</w:t>
      </w:r>
      <w:r w:rsidR="00A503E5">
        <w:rPr>
          <w:rFonts w:ascii="Book Antiqua" w:hAnsi="Book Antiqua" w:hint="eastAsia"/>
          <w:lang w:eastAsia="zh-CN"/>
        </w:rPr>
        <w:t>.</w:t>
      </w:r>
    </w:p>
    <w:p w14:paraId="080E32C3" w14:textId="77777777" w:rsidR="00A503E5" w:rsidRPr="009C66AF" w:rsidRDefault="00A503E5" w:rsidP="00A503E5">
      <w:pPr>
        <w:adjustRightInd w:val="0"/>
        <w:snapToGrid w:val="0"/>
        <w:spacing w:line="360" w:lineRule="auto"/>
        <w:jc w:val="both"/>
        <w:rPr>
          <w:rFonts w:ascii="Book Antiqua" w:hAnsi="Book Antiqua"/>
          <w:lang w:eastAsia="zh-CN"/>
        </w:rPr>
        <w:sectPr w:rsidR="00A503E5" w:rsidRPr="009C66AF" w:rsidSect="00AB067C">
          <w:pgSz w:w="11906" w:h="16838" w:code="9"/>
          <w:pgMar w:top="1440" w:right="1440" w:bottom="1440" w:left="1440" w:header="706" w:footer="706" w:gutter="0"/>
          <w:cols w:space="708"/>
          <w:docGrid w:linePitch="360"/>
        </w:sectPr>
      </w:pPr>
    </w:p>
    <w:p w14:paraId="23BE0A1B" w14:textId="5A37A035" w:rsidR="00A503E5" w:rsidRPr="009C66AF" w:rsidRDefault="00A503E5" w:rsidP="00A503E5">
      <w:pPr>
        <w:adjustRightInd w:val="0"/>
        <w:snapToGrid w:val="0"/>
        <w:spacing w:line="360" w:lineRule="auto"/>
        <w:jc w:val="both"/>
        <w:rPr>
          <w:rFonts w:ascii="Book Antiqua" w:hAnsi="Book Antiqua" w:cstheme="majorBidi"/>
          <w:lang w:eastAsia="zh-CN"/>
        </w:rPr>
      </w:pPr>
      <w:bookmarkStart w:id="104" w:name="_Hlk76023744"/>
      <w:r w:rsidRPr="009C66AF">
        <w:rPr>
          <w:rFonts w:ascii="Book Antiqua" w:hAnsi="Book Antiqua" w:cstheme="majorBidi"/>
          <w:b/>
          <w:bCs/>
        </w:rPr>
        <w:lastRenderedPageBreak/>
        <w:t>Table 5</w:t>
      </w:r>
      <w:r w:rsidRPr="009C66AF">
        <w:rPr>
          <w:rFonts w:ascii="Book Antiqua" w:hAnsi="Book Antiqua" w:cstheme="majorBidi"/>
        </w:rPr>
        <w:t xml:space="preserve"> </w:t>
      </w:r>
      <w:bookmarkStart w:id="105" w:name="_Hlk75957461"/>
      <w:r w:rsidRPr="009C66AF">
        <w:rPr>
          <w:rFonts w:ascii="Book Antiqua" w:hAnsi="Book Antiqua" w:cstheme="majorBidi"/>
          <w:b/>
          <w:bCs/>
        </w:rPr>
        <w:t xml:space="preserve">Sensitivity and specificity of </w:t>
      </w:r>
      <w:r w:rsidR="0053427B">
        <w:rPr>
          <w:rFonts w:ascii="Book Antiqua" w:hAnsi="Book Antiqua" w:cstheme="majorBidi" w:hint="eastAsia"/>
          <w:b/>
          <w:bCs/>
          <w:lang w:eastAsia="zh-CN"/>
        </w:rPr>
        <w:t>f</w:t>
      </w:r>
      <w:r w:rsidR="0053427B" w:rsidRPr="0053427B">
        <w:rPr>
          <w:rFonts w:ascii="Book Antiqua" w:hAnsi="Book Antiqua" w:cstheme="majorBidi"/>
          <w:b/>
          <w:bCs/>
        </w:rPr>
        <w:t xml:space="preserve">asting blood glucose </w:t>
      </w:r>
      <w:r w:rsidRPr="009C66AF">
        <w:rPr>
          <w:rFonts w:ascii="Book Antiqua" w:hAnsi="Book Antiqua" w:cstheme="majorBidi"/>
          <w:b/>
          <w:bCs/>
        </w:rPr>
        <w:t xml:space="preserve">and </w:t>
      </w:r>
      <w:r w:rsidR="0053427B" w:rsidRPr="0053427B">
        <w:rPr>
          <w:rFonts w:ascii="Book Antiqua" w:hAnsi="Book Antiqua" w:cstheme="majorBidi"/>
          <w:b/>
          <w:bCs/>
        </w:rPr>
        <w:t>2-h blood glucose</w:t>
      </w:r>
      <w:r w:rsidR="000E37C6">
        <w:rPr>
          <w:rFonts w:ascii="Book Antiqua" w:hAnsi="Book Antiqua" w:cstheme="majorBidi"/>
          <w:b/>
          <w:bCs/>
        </w:rPr>
        <w:t xml:space="preserve"> </w:t>
      </w:r>
      <w:r w:rsidRPr="009C66AF">
        <w:rPr>
          <w:rFonts w:ascii="Book Antiqua" w:hAnsi="Book Antiqua" w:cstheme="majorBidi"/>
          <w:b/>
          <w:bCs/>
        </w:rPr>
        <w:t xml:space="preserve">in predicting </w:t>
      </w:r>
      <w:r w:rsidR="0053427B">
        <w:rPr>
          <w:rFonts w:ascii="Book Antiqua" w:hAnsi="Book Antiqua" w:cstheme="majorBidi" w:hint="eastAsia"/>
          <w:b/>
          <w:bCs/>
          <w:lang w:eastAsia="zh-CN"/>
        </w:rPr>
        <w:t>t</w:t>
      </w:r>
      <w:r w:rsidR="0053427B" w:rsidRPr="0053427B">
        <w:rPr>
          <w:rFonts w:ascii="Book Antiqua" w:hAnsi="Book Antiqua" w:cstheme="majorBidi"/>
          <w:b/>
          <w:bCs/>
        </w:rPr>
        <w:t xml:space="preserve">ype 2 diabetes </w:t>
      </w:r>
      <w:r w:rsidRPr="009C66AF">
        <w:rPr>
          <w:rFonts w:ascii="Book Antiqua" w:hAnsi="Book Antiqua" w:cstheme="majorBidi"/>
          <w:b/>
          <w:bCs/>
        </w:rPr>
        <w:t xml:space="preserve">following </w:t>
      </w:r>
      <w:r w:rsidR="008A7517">
        <w:rPr>
          <w:rFonts w:ascii="Book Antiqua" w:hAnsi="Book Antiqua" w:cstheme="majorBidi" w:hint="eastAsia"/>
          <w:b/>
          <w:bCs/>
          <w:lang w:eastAsia="zh-CN"/>
        </w:rPr>
        <w:t>g</w:t>
      </w:r>
      <w:r w:rsidR="008A7517" w:rsidRPr="008A7517">
        <w:rPr>
          <w:rFonts w:ascii="Book Antiqua" w:hAnsi="Book Antiqua" w:cstheme="majorBidi"/>
          <w:b/>
          <w:bCs/>
        </w:rPr>
        <w:t xml:space="preserve">estational diabetes mellitus </w:t>
      </w:r>
      <w:r w:rsidRPr="009C66AF">
        <w:rPr>
          <w:rFonts w:ascii="Book Antiqua" w:hAnsi="Book Antiqua" w:cstheme="majorBidi"/>
          <w:b/>
          <w:bCs/>
        </w:rPr>
        <w:t>in Emirati women</w:t>
      </w:r>
      <w:bookmarkEnd w:id="105"/>
      <w:r w:rsidR="009F21B4">
        <w:rPr>
          <w:rFonts w:ascii="Book Antiqua" w:hAnsi="Book Antiqua" w:cstheme="majorBidi" w:hint="eastAsia"/>
          <w:b/>
          <w:bCs/>
          <w:vertAlign w:val="superscript"/>
          <w:lang w:eastAsia="zh-CN"/>
        </w:rPr>
        <w:t>1</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1404"/>
        <w:gridCol w:w="1601"/>
        <w:gridCol w:w="1601"/>
        <w:gridCol w:w="1628"/>
      </w:tblGrid>
      <w:tr w:rsidR="00B051A0" w:rsidRPr="00235EB1" w14:paraId="217EE222" w14:textId="77777777" w:rsidTr="002975EC">
        <w:tc>
          <w:tcPr>
            <w:tcW w:w="1745" w:type="pct"/>
            <w:vMerge w:val="restart"/>
            <w:tcBorders>
              <w:top w:val="single" w:sz="4" w:space="0" w:color="auto"/>
              <w:bottom w:val="single" w:sz="4" w:space="0" w:color="auto"/>
            </w:tcBorders>
          </w:tcPr>
          <w:p w14:paraId="4C96682D" w14:textId="1C2D7C28" w:rsidR="00B051A0" w:rsidRPr="00235EB1" w:rsidRDefault="00B051A0" w:rsidP="00AB067C">
            <w:pPr>
              <w:adjustRightInd w:val="0"/>
              <w:snapToGrid w:val="0"/>
              <w:spacing w:line="360" w:lineRule="auto"/>
              <w:jc w:val="both"/>
              <w:rPr>
                <w:rFonts w:ascii="Book Antiqua" w:hAnsi="Book Antiqua" w:cstheme="majorBidi"/>
                <w:b/>
              </w:rPr>
            </w:pPr>
            <w:r w:rsidRPr="00FA6F5D">
              <w:rPr>
                <w:rFonts w:ascii="Book Antiqua" w:hAnsi="Book Antiqua" w:cstheme="majorBidi"/>
                <w:b/>
              </w:rPr>
              <w:t>IADPSG diagnostic criteria for GDM (2007)</w:t>
            </w:r>
          </w:p>
        </w:tc>
        <w:tc>
          <w:tcPr>
            <w:tcW w:w="3255" w:type="pct"/>
            <w:gridSpan w:val="4"/>
            <w:tcBorders>
              <w:top w:val="single" w:sz="4" w:space="0" w:color="auto"/>
              <w:bottom w:val="single" w:sz="4" w:space="0" w:color="auto"/>
            </w:tcBorders>
          </w:tcPr>
          <w:p w14:paraId="4127734B" w14:textId="066BC69A"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ADA diagnostic criteria for T2D (2016)</w:t>
            </w:r>
          </w:p>
        </w:tc>
      </w:tr>
      <w:tr w:rsidR="00B051A0" w:rsidRPr="00235EB1" w14:paraId="47EFE696" w14:textId="77777777" w:rsidTr="002975EC">
        <w:tc>
          <w:tcPr>
            <w:tcW w:w="1745" w:type="pct"/>
            <w:vMerge/>
            <w:tcBorders>
              <w:top w:val="single" w:sz="4" w:space="0" w:color="auto"/>
              <w:bottom w:val="single" w:sz="4" w:space="0" w:color="auto"/>
            </w:tcBorders>
          </w:tcPr>
          <w:p w14:paraId="1BB5FCAF" w14:textId="6E23E485" w:rsidR="00B051A0" w:rsidRPr="00FA6F5D" w:rsidRDefault="00B051A0" w:rsidP="00AB067C">
            <w:pPr>
              <w:adjustRightInd w:val="0"/>
              <w:snapToGrid w:val="0"/>
              <w:spacing w:line="360" w:lineRule="auto"/>
              <w:jc w:val="both"/>
              <w:rPr>
                <w:rFonts w:ascii="Book Antiqua" w:hAnsi="Book Antiqua" w:cstheme="majorBidi"/>
                <w:b/>
                <w:lang w:val="en-US"/>
              </w:rPr>
            </w:pPr>
          </w:p>
        </w:tc>
        <w:tc>
          <w:tcPr>
            <w:tcW w:w="1569" w:type="pct"/>
            <w:gridSpan w:val="2"/>
            <w:tcBorders>
              <w:top w:val="single" w:sz="4" w:space="0" w:color="auto"/>
              <w:bottom w:val="single" w:sz="4" w:space="0" w:color="auto"/>
            </w:tcBorders>
          </w:tcPr>
          <w:p w14:paraId="2FAB803F"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FBG</w:t>
            </w:r>
          </w:p>
        </w:tc>
        <w:tc>
          <w:tcPr>
            <w:tcW w:w="1686" w:type="pct"/>
            <w:gridSpan w:val="2"/>
            <w:tcBorders>
              <w:top w:val="single" w:sz="4" w:space="0" w:color="auto"/>
              <w:bottom w:val="single" w:sz="4" w:space="0" w:color="auto"/>
            </w:tcBorders>
          </w:tcPr>
          <w:p w14:paraId="6163ACFA"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Pr>
                <w:rFonts w:ascii="Book Antiqua" w:hAnsi="Book Antiqua" w:cstheme="majorBidi"/>
                <w:b/>
                <w:lang w:val="en-US"/>
              </w:rPr>
              <w:t>2</w:t>
            </w:r>
            <w:r>
              <w:rPr>
                <w:rFonts w:ascii="Book Antiqua" w:hAnsi="Book Antiqua" w:cstheme="majorBidi" w:hint="eastAsia"/>
                <w:b/>
                <w:lang w:val="en-US" w:eastAsia="zh-CN"/>
              </w:rPr>
              <w:t>h</w:t>
            </w:r>
            <w:r w:rsidRPr="00235EB1">
              <w:rPr>
                <w:rFonts w:ascii="Book Antiqua" w:hAnsi="Book Antiqua" w:cstheme="majorBidi"/>
                <w:b/>
                <w:lang w:val="en-US"/>
              </w:rPr>
              <w:t>rBG</w:t>
            </w:r>
          </w:p>
        </w:tc>
      </w:tr>
      <w:tr w:rsidR="00B051A0" w:rsidRPr="00235EB1" w14:paraId="62600A31" w14:textId="77777777" w:rsidTr="002975EC">
        <w:tc>
          <w:tcPr>
            <w:tcW w:w="1745" w:type="pct"/>
            <w:vMerge/>
            <w:tcBorders>
              <w:top w:val="single" w:sz="4" w:space="0" w:color="auto"/>
              <w:bottom w:val="single" w:sz="4" w:space="0" w:color="auto"/>
            </w:tcBorders>
          </w:tcPr>
          <w:p w14:paraId="596DD452" w14:textId="77777777" w:rsidR="00B051A0" w:rsidRPr="00235EB1" w:rsidRDefault="00B051A0" w:rsidP="00AB067C">
            <w:pPr>
              <w:adjustRightInd w:val="0"/>
              <w:snapToGrid w:val="0"/>
              <w:spacing w:line="360" w:lineRule="auto"/>
              <w:jc w:val="both"/>
              <w:rPr>
                <w:rFonts w:ascii="Book Antiqua" w:hAnsi="Book Antiqua" w:cstheme="majorBidi"/>
                <w:b/>
                <w:lang w:val="en-US"/>
              </w:rPr>
            </w:pPr>
          </w:p>
        </w:tc>
        <w:tc>
          <w:tcPr>
            <w:tcW w:w="733" w:type="pct"/>
            <w:tcBorders>
              <w:top w:val="single" w:sz="4" w:space="0" w:color="auto"/>
              <w:bottom w:val="single" w:sz="4" w:space="0" w:color="auto"/>
            </w:tcBorders>
          </w:tcPr>
          <w:p w14:paraId="657720BC"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T2D (</w:t>
            </w:r>
            <w:r w:rsidRPr="00235EB1">
              <w:rPr>
                <w:rFonts w:ascii="Book Antiqua" w:hAnsi="Book Antiqua" w:cstheme="majorBidi"/>
                <w:b/>
                <w:i/>
                <w:lang w:val="en-US"/>
              </w:rPr>
              <w:t>n</w:t>
            </w:r>
            <w:r w:rsidRPr="00235EB1">
              <w:rPr>
                <w:rFonts w:ascii="Book Antiqua" w:hAnsi="Book Antiqua" w:cstheme="majorBidi"/>
                <w:b/>
                <w:lang w:val="en-US"/>
              </w:rPr>
              <w:t>)</w:t>
            </w:r>
          </w:p>
        </w:tc>
        <w:tc>
          <w:tcPr>
            <w:tcW w:w="836" w:type="pct"/>
            <w:tcBorders>
              <w:top w:val="single" w:sz="4" w:space="0" w:color="auto"/>
              <w:bottom w:val="single" w:sz="4" w:space="0" w:color="auto"/>
            </w:tcBorders>
          </w:tcPr>
          <w:p w14:paraId="262FA90F"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Normal (</w:t>
            </w:r>
            <w:r w:rsidRPr="00235EB1">
              <w:rPr>
                <w:rFonts w:ascii="Book Antiqua" w:hAnsi="Book Antiqua" w:cstheme="majorBidi"/>
                <w:b/>
                <w:i/>
                <w:lang w:val="en-US"/>
              </w:rPr>
              <w:t>n</w:t>
            </w:r>
            <w:r w:rsidRPr="00235EB1">
              <w:rPr>
                <w:rFonts w:ascii="Book Antiqua" w:hAnsi="Book Antiqua" w:cstheme="majorBidi"/>
                <w:b/>
                <w:lang w:val="en-US"/>
              </w:rPr>
              <w:t>)</w:t>
            </w:r>
          </w:p>
        </w:tc>
        <w:tc>
          <w:tcPr>
            <w:tcW w:w="836" w:type="pct"/>
            <w:tcBorders>
              <w:top w:val="single" w:sz="4" w:space="0" w:color="auto"/>
              <w:bottom w:val="single" w:sz="4" w:space="0" w:color="auto"/>
            </w:tcBorders>
          </w:tcPr>
          <w:p w14:paraId="0D757959"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T2D (</w:t>
            </w:r>
            <w:r w:rsidRPr="00235EB1">
              <w:rPr>
                <w:rFonts w:ascii="Book Antiqua" w:hAnsi="Book Antiqua" w:cstheme="majorBidi"/>
                <w:b/>
                <w:i/>
                <w:lang w:val="en-US"/>
              </w:rPr>
              <w:t>n</w:t>
            </w:r>
            <w:r w:rsidRPr="00235EB1">
              <w:rPr>
                <w:rFonts w:ascii="Book Antiqua" w:hAnsi="Book Antiqua" w:cstheme="majorBidi"/>
                <w:b/>
                <w:lang w:val="en-US"/>
              </w:rPr>
              <w:t>)</w:t>
            </w:r>
          </w:p>
        </w:tc>
        <w:tc>
          <w:tcPr>
            <w:tcW w:w="850" w:type="pct"/>
            <w:tcBorders>
              <w:top w:val="single" w:sz="4" w:space="0" w:color="auto"/>
              <w:bottom w:val="single" w:sz="4" w:space="0" w:color="auto"/>
            </w:tcBorders>
          </w:tcPr>
          <w:p w14:paraId="6EBCF716"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Normal (</w:t>
            </w:r>
            <w:r w:rsidRPr="00235EB1">
              <w:rPr>
                <w:rFonts w:ascii="Book Antiqua" w:hAnsi="Book Antiqua" w:cstheme="majorBidi"/>
                <w:b/>
                <w:i/>
                <w:lang w:val="en-US"/>
              </w:rPr>
              <w:t>n</w:t>
            </w:r>
            <w:r w:rsidRPr="00235EB1">
              <w:rPr>
                <w:rFonts w:ascii="Book Antiqua" w:hAnsi="Book Antiqua" w:cstheme="majorBidi"/>
                <w:b/>
                <w:lang w:val="en-US"/>
              </w:rPr>
              <w:t>)</w:t>
            </w:r>
          </w:p>
        </w:tc>
      </w:tr>
      <w:tr w:rsidR="00FA6F5D" w:rsidRPr="009C66AF" w14:paraId="65AAB2D9" w14:textId="77777777" w:rsidTr="002975EC">
        <w:tc>
          <w:tcPr>
            <w:tcW w:w="1745" w:type="pct"/>
            <w:tcBorders>
              <w:top w:val="single" w:sz="4" w:space="0" w:color="auto"/>
            </w:tcBorders>
          </w:tcPr>
          <w:p w14:paraId="1973D5BE"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GDM</w:t>
            </w:r>
          </w:p>
        </w:tc>
        <w:tc>
          <w:tcPr>
            <w:tcW w:w="733" w:type="pct"/>
            <w:tcBorders>
              <w:top w:val="single" w:sz="4" w:space="0" w:color="auto"/>
            </w:tcBorders>
          </w:tcPr>
          <w:p w14:paraId="0BDB88A2"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65</w:t>
            </w:r>
          </w:p>
        </w:tc>
        <w:tc>
          <w:tcPr>
            <w:tcW w:w="836" w:type="pct"/>
            <w:tcBorders>
              <w:top w:val="single" w:sz="4" w:space="0" w:color="auto"/>
            </w:tcBorders>
          </w:tcPr>
          <w:p w14:paraId="00156195"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202</w:t>
            </w:r>
          </w:p>
        </w:tc>
        <w:tc>
          <w:tcPr>
            <w:tcW w:w="836" w:type="pct"/>
            <w:tcBorders>
              <w:top w:val="single" w:sz="4" w:space="0" w:color="auto"/>
            </w:tcBorders>
          </w:tcPr>
          <w:p w14:paraId="4F4D437B"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1</w:t>
            </w:r>
          </w:p>
        </w:tc>
        <w:tc>
          <w:tcPr>
            <w:tcW w:w="850" w:type="pct"/>
            <w:tcBorders>
              <w:top w:val="single" w:sz="4" w:space="0" w:color="auto"/>
            </w:tcBorders>
          </w:tcPr>
          <w:p w14:paraId="6222A1EC" w14:textId="5AAF57C4"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33</w:t>
            </w:r>
          </w:p>
        </w:tc>
      </w:tr>
      <w:tr w:rsidR="00FA6F5D" w:rsidRPr="009C66AF" w14:paraId="31B7D70D" w14:textId="77777777" w:rsidTr="002975EC">
        <w:tc>
          <w:tcPr>
            <w:tcW w:w="1745" w:type="pct"/>
          </w:tcPr>
          <w:p w14:paraId="609C200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Normal</w:t>
            </w:r>
          </w:p>
        </w:tc>
        <w:tc>
          <w:tcPr>
            <w:tcW w:w="733" w:type="pct"/>
          </w:tcPr>
          <w:p w14:paraId="608657CE"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14</w:t>
            </w:r>
          </w:p>
        </w:tc>
        <w:tc>
          <w:tcPr>
            <w:tcW w:w="836" w:type="pct"/>
          </w:tcPr>
          <w:p w14:paraId="1CE365CF"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248</w:t>
            </w:r>
          </w:p>
        </w:tc>
        <w:tc>
          <w:tcPr>
            <w:tcW w:w="836" w:type="pct"/>
          </w:tcPr>
          <w:p w14:paraId="5AC58639"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4</w:t>
            </w:r>
          </w:p>
        </w:tc>
        <w:tc>
          <w:tcPr>
            <w:tcW w:w="850" w:type="pct"/>
          </w:tcPr>
          <w:p w14:paraId="66BB123F"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248</w:t>
            </w:r>
          </w:p>
        </w:tc>
      </w:tr>
      <w:tr w:rsidR="00FA6F5D" w:rsidRPr="009C66AF" w14:paraId="4A84B786" w14:textId="77777777" w:rsidTr="002975EC">
        <w:tc>
          <w:tcPr>
            <w:tcW w:w="5000" w:type="pct"/>
            <w:gridSpan w:val="5"/>
          </w:tcPr>
          <w:p w14:paraId="74C1D13B" w14:textId="77777777" w:rsidR="00FA6F5D" w:rsidRPr="009C66AF" w:rsidRDefault="00FA6F5D" w:rsidP="00AB067C">
            <w:pPr>
              <w:adjustRightInd w:val="0"/>
              <w:snapToGrid w:val="0"/>
              <w:spacing w:line="360" w:lineRule="auto"/>
              <w:jc w:val="both"/>
              <w:rPr>
                <w:rFonts w:ascii="Book Antiqua" w:hAnsi="Book Antiqua" w:cstheme="majorBidi"/>
                <w:lang w:val="en-US" w:eastAsia="zh-CN"/>
              </w:rPr>
            </w:pPr>
            <w:r>
              <w:rPr>
                <w:rFonts w:ascii="Book Antiqua" w:hAnsi="Book Antiqua" w:cstheme="majorBidi"/>
                <w:lang w:val="en-US"/>
              </w:rPr>
              <w:t xml:space="preserve">Point </w:t>
            </w:r>
            <w:r>
              <w:rPr>
                <w:rFonts w:ascii="Book Antiqua" w:hAnsi="Book Antiqua" w:cstheme="majorBidi" w:hint="eastAsia"/>
                <w:lang w:val="en-US" w:eastAsia="zh-CN"/>
              </w:rPr>
              <w:t>e</w:t>
            </w:r>
            <w:r w:rsidRPr="009C66AF">
              <w:rPr>
                <w:rFonts w:ascii="Book Antiqua" w:hAnsi="Book Antiqua" w:cstheme="majorBidi"/>
                <w:lang w:val="en-US"/>
              </w:rPr>
              <w:t>stimates and 95%</w:t>
            </w:r>
            <w:r>
              <w:rPr>
                <w:rFonts w:ascii="Book Antiqua" w:hAnsi="Book Antiqua" w:cstheme="majorBidi" w:hint="eastAsia"/>
                <w:lang w:val="en-US" w:eastAsia="zh-CN"/>
              </w:rPr>
              <w:t>CI</w:t>
            </w:r>
            <w:r w:rsidRPr="009C66AF">
              <w:rPr>
                <w:rFonts w:ascii="Book Antiqua" w:hAnsi="Book Antiqua" w:cstheme="majorBidi"/>
                <w:lang w:val="en-US"/>
              </w:rPr>
              <w:t>s</w:t>
            </w:r>
          </w:p>
        </w:tc>
      </w:tr>
      <w:tr w:rsidR="00FA6F5D" w:rsidRPr="009C66AF" w14:paraId="07C33334" w14:textId="77777777" w:rsidTr="002975EC">
        <w:tc>
          <w:tcPr>
            <w:tcW w:w="1745" w:type="pct"/>
          </w:tcPr>
          <w:p w14:paraId="60816984" w14:textId="77777777" w:rsidR="00FA6F5D" w:rsidRPr="009C66AF" w:rsidRDefault="00FA6F5D" w:rsidP="00AB067C">
            <w:pPr>
              <w:adjustRightInd w:val="0"/>
              <w:snapToGrid w:val="0"/>
              <w:spacing w:line="360" w:lineRule="auto"/>
              <w:jc w:val="both"/>
              <w:rPr>
                <w:rFonts w:ascii="Book Antiqua" w:hAnsi="Book Antiqua" w:cstheme="majorBidi"/>
                <w:lang w:val="en-US" w:eastAsia="zh-CN"/>
              </w:rPr>
            </w:pPr>
            <w:r w:rsidRPr="009C66AF">
              <w:rPr>
                <w:rFonts w:ascii="Book Antiqua" w:hAnsi="Book Antiqua" w:cstheme="majorBidi"/>
                <w:lang w:val="en-US"/>
              </w:rPr>
              <w:t>Tr</w:t>
            </w:r>
            <w:r>
              <w:rPr>
                <w:rFonts w:ascii="Book Antiqua" w:hAnsi="Book Antiqua" w:cstheme="majorBidi"/>
                <w:lang w:val="en-US"/>
              </w:rPr>
              <w:t xml:space="preserve">ue </w:t>
            </w:r>
            <w:r>
              <w:rPr>
                <w:rFonts w:ascii="Book Antiqua" w:hAnsi="Book Antiqua" w:cstheme="majorBidi" w:hint="eastAsia"/>
                <w:lang w:val="en-US" w:eastAsia="zh-CN"/>
              </w:rPr>
              <w:t>p</w:t>
            </w:r>
            <w:r>
              <w:rPr>
                <w:rFonts w:ascii="Book Antiqua" w:hAnsi="Book Antiqua" w:cstheme="majorBidi"/>
                <w:lang w:val="en-US"/>
              </w:rPr>
              <w:t>revalence</w:t>
            </w:r>
          </w:p>
        </w:tc>
        <w:tc>
          <w:tcPr>
            <w:tcW w:w="1569" w:type="pct"/>
            <w:gridSpan w:val="2"/>
          </w:tcPr>
          <w:p w14:paraId="5FB9E4F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0.149 (0.12, 0.183)</w:t>
            </w:r>
          </w:p>
        </w:tc>
        <w:tc>
          <w:tcPr>
            <w:tcW w:w="1686" w:type="pct"/>
            <w:gridSpan w:val="2"/>
          </w:tcPr>
          <w:p w14:paraId="7992974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0.017 (0.006, 0.04)</w:t>
            </w:r>
          </w:p>
        </w:tc>
      </w:tr>
      <w:tr w:rsidR="00FA6F5D" w:rsidRPr="009C66AF" w14:paraId="439DE051" w14:textId="77777777" w:rsidTr="002975EC">
        <w:tc>
          <w:tcPr>
            <w:tcW w:w="1745" w:type="pct"/>
          </w:tcPr>
          <w:p w14:paraId="668FF747"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Sensitivity</w:t>
            </w:r>
          </w:p>
        </w:tc>
        <w:tc>
          <w:tcPr>
            <w:tcW w:w="1569" w:type="pct"/>
            <w:gridSpan w:val="2"/>
          </w:tcPr>
          <w:p w14:paraId="3C0E5122" w14:textId="77777777" w:rsidR="00FA6F5D" w:rsidRPr="009C66AF" w:rsidRDefault="00FA6F5D" w:rsidP="00FA6F5D">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0.823 (0.721, 0.9)</w:t>
            </w:r>
          </w:p>
        </w:tc>
        <w:tc>
          <w:tcPr>
            <w:tcW w:w="1686" w:type="pct"/>
            <w:gridSpan w:val="2"/>
          </w:tcPr>
          <w:p w14:paraId="0C4B663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0.200 (0.005 0.716)</w:t>
            </w:r>
          </w:p>
        </w:tc>
      </w:tr>
      <w:tr w:rsidR="00FA6F5D" w:rsidRPr="009C66AF" w14:paraId="52E5A2A6" w14:textId="77777777" w:rsidTr="002975EC">
        <w:tc>
          <w:tcPr>
            <w:tcW w:w="1745" w:type="pct"/>
          </w:tcPr>
          <w:p w14:paraId="1AB35912"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Specificity</w:t>
            </w:r>
          </w:p>
        </w:tc>
        <w:tc>
          <w:tcPr>
            <w:tcW w:w="1569" w:type="pct"/>
            <w:gridSpan w:val="2"/>
          </w:tcPr>
          <w:p w14:paraId="6D6CD29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0.551 (0.504, 0.598)</w:t>
            </w:r>
          </w:p>
        </w:tc>
        <w:tc>
          <w:tcPr>
            <w:tcW w:w="1686" w:type="pct"/>
            <w:gridSpan w:val="2"/>
          </w:tcPr>
          <w:p w14:paraId="02D8D164"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0.883 (0.839, 0.918)</w:t>
            </w:r>
          </w:p>
        </w:tc>
      </w:tr>
      <w:tr w:rsidR="00FA6F5D" w:rsidRPr="009C66AF" w14:paraId="4412D018" w14:textId="77777777" w:rsidTr="002975EC">
        <w:tc>
          <w:tcPr>
            <w:tcW w:w="1745" w:type="pct"/>
          </w:tcPr>
          <w:p w14:paraId="4E9D926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Positive predictive value</w:t>
            </w:r>
          </w:p>
        </w:tc>
        <w:tc>
          <w:tcPr>
            <w:tcW w:w="1569" w:type="pct"/>
            <w:gridSpan w:val="2"/>
          </w:tcPr>
          <w:p w14:paraId="0E071B18"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0.243 (0.193, 0.299)</w:t>
            </w:r>
          </w:p>
        </w:tc>
        <w:tc>
          <w:tcPr>
            <w:tcW w:w="1686" w:type="pct"/>
            <w:gridSpan w:val="2"/>
          </w:tcPr>
          <w:p w14:paraId="41A723B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0.029 (0.001, 0.153)</w:t>
            </w:r>
          </w:p>
        </w:tc>
      </w:tr>
      <w:tr w:rsidR="00FA6F5D" w:rsidRPr="009C66AF" w14:paraId="488EA5A1" w14:textId="77777777" w:rsidTr="002975EC">
        <w:tc>
          <w:tcPr>
            <w:tcW w:w="1745" w:type="pct"/>
          </w:tcPr>
          <w:p w14:paraId="20C5F8AB"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Negative predictive value</w:t>
            </w:r>
          </w:p>
        </w:tc>
        <w:tc>
          <w:tcPr>
            <w:tcW w:w="1569" w:type="pct"/>
            <w:gridSpan w:val="2"/>
          </w:tcPr>
          <w:p w14:paraId="65E18AB1"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0.947 (0.912, 0.97)</w:t>
            </w:r>
          </w:p>
        </w:tc>
        <w:tc>
          <w:tcPr>
            <w:tcW w:w="1686" w:type="pct"/>
            <w:gridSpan w:val="2"/>
          </w:tcPr>
          <w:p w14:paraId="18928896"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0.984 (0.96, 0.996)</w:t>
            </w:r>
          </w:p>
        </w:tc>
      </w:tr>
      <w:tr w:rsidR="00FA6F5D" w:rsidRPr="009C66AF" w14:paraId="1F635A4A" w14:textId="77777777" w:rsidTr="002975EC">
        <w:tc>
          <w:tcPr>
            <w:tcW w:w="1745" w:type="pct"/>
          </w:tcPr>
          <w:p w14:paraId="2374E1B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Positive likelihood ratio</w:t>
            </w:r>
          </w:p>
        </w:tc>
        <w:tc>
          <w:tcPr>
            <w:tcW w:w="1569" w:type="pct"/>
            <w:gridSpan w:val="2"/>
          </w:tcPr>
          <w:p w14:paraId="5604D7B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1.833 (1.586, 2.118)</w:t>
            </w:r>
          </w:p>
        </w:tc>
        <w:tc>
          <w:tcPr>
            <w:tcW w:w="1686" w:type="pct"/>
            <w:gridSpan w:val="2"/>
          </w:tcPr>
          <w:p w14:paraId="12D563D3"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1.703 (0.287, 10.12)</w:t>
            </w:r>
          </w:p>
        </w:tc>
      </w:tr>
      <w:tr w:rsidR="00FA6F5D" w:rsidRPr="009C66AF" w14:paraId="6D4FF123" w14:textId="77777777" w:rsidTr="002975EC">
        <w:tc>
          <w:tcPr>
            <w:tcW w:w="1745" w:type="pct"/>
          </w:tcPr>
          <w:p w14:paraId="418B8B0B"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Negative likelihood ratio</w:t>
            </w:r>
          </w:p>
        </w:tc>
        <w:tc>
          <w:tcPr>
            <w:tcW w:w="1569" w:type="pct"/>
            <w:gridSpan w:val="2"/>
          </w:tcPr>
          <w:p w14:paraId="21620DBF"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eastAsia="Calibri" w:hAnsi="Book Antiqua" w:cstheme="majorBidi"/>
                <w:lang w:val="en-IN"/>
              </w:rPr>
              <w:t>0.322 (0.198, 0.521)</w:t>
            </w:r>
          </w:p>
        </w:tc>
        <w:tc>
          <w:tcPr>
            <w:tcW w:w="1686" w:type="pct"/>
            <w:gridSpan w:val="2"/>
          </w:tcPr>
          <w:p w14:paraId="49B62FAE"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0.906 (0.584, 1.408)</w:t>
            </w:r>
          </w:p>
        </w:tc>
      </w:tr>
      <w:tr w:rsidR="00FA6F5D" w:rsidRPr="009C66AF" w14:paraId="160893C6" w14:textId="77777777" w:rsidTr="002975EC">
        <w:tc>
          <w:tcPr>
            <w:tcW w:w="1745" w:type="pct"/>
          </w:tcPr>
          <w:p w14:paraId="2EE2BE22"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Odds ratio</w:t>
            </w:r>
          </w:p>
        </w:tc>
        <w:tc>
          <w:tcPr>
            <w:tcW w:w="1569" w:type="pct"/>
            <w:gridSpan w:val="2"/>
          </w:tcPr>
          <w:p w14:paraId="4BA4DFEA"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5.7 (3.108, 10.455)</w:t>
            </w:r>
          </w:p>
        </w:tc>
        <w:tc>
          <w:tcPr>
            <w:tcW w:w="1686" w:type="pct"/>
            <w:gridSpan w:val="2"/>
          </w:tcPr>
          <w:p w14:paraId="0F2EEB61"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1.879 (0.204, 17.32)</w:t>
            </w:r>
          </w:p>
        </w:tc>
      </w:tr>
    </w:tbl>
    <w:p w14:paraId="1D868A40" w14:textId="77777777" w:rsidR="000A36C7" w:rsidRDefault="009F21B4" w:rsidP="00A503E5">
      <w:pPr>
        <w:adjustRightInd w:val="0"/>
        <w:snapToGrid w:val="0"/>
        <w:spacing w:line="360" w:lineRule="auto"/>
        <w:jc w:val="both"/>
        <w:rPr>
          <w:rFonts w:ascii="Book Antiqua" w:hAnsi="Book Antiqua" w:cstheme="majorBidi"/>
        </w:rPr>
      </w:pPr>
      <w:r>
        <w:rPr>
          <w:rFonts w:ascii="Book Antiqua" w:hAnsi="Book Antiqua" w:cstheme="majorBidi" w:hint="eastAsia"/>
          <w:vertAlign w:val="superscript"/>
          <w:lang w:eastAsia="zh-CN"/>
        </w:rPr>
        <w:t>1</w:t>
      </w:r>
      <w:r w:rsidR="00A503E5" w:rsidRPr="009C66AF">
        <w:rPr>
          <w:rFonts w:ascii="Book Antiqua" w:hAnsi="Book Antiqua" w:cstheme="majorBidi"/>
          <w:lang w:val="en-IN"/>
        </w:rPr>
        <w:t xml:space="preserve">The R 4.02 statistical software was used to plot the </w:t>
      </w:r>
      <w:r w:rsidR="00A503E5" w:rsidRPr="009C66AF">
        <w:rPr>
          <w:rFonts w:ascii="Book Antiqua" w:hAnsi="Book Antiqua" w:cstheme="majorBidi"/>
        </w:rPr>
        <w:t xml:space="preserve">receiver operating characteristic curve. </w:t>
      </w:r>
    </w:p>
    <w:p w14:paraId="70F1BAEA" w14:textId="77777777" w:rsidR="0011284F" w:rsidRDefault="00A503E5" w:rsidP="00A503E5">
      <w:pPr>
        <w:adjustRightInd w:val="0"/>
        <w:snapToGrid w:val="0"/>
        <w:spacing w:line="360" w:lineRule="auto"/>
        <w:jc w:val="both"/>
        <w:rPr>
          <w:rFonts w:ascii="Book Antiqua" w:hAnsi="Book Antiqua" w:cstheme="majorBidi"/>
        </w:rPr>
        <w:sectPr w:rsidR="0011284F">
          <w:pgSz w:w="12240" w:h="15840"/>
          <w:pgMar w:top="1440" w:right="1440" w:bottom="1440" w:left="1440" w:header="720" w:footer="720" w:gutter="0"/>
          <w:cols w:space="720"/>
          <w:docGrid w:linePitch="360"/>
        </w:sectPr>
      </w:pPr>
      <w:r w:rsidRPr="009C66AF">
        <w:rPr>
          <w:rFonts w:ascii="Book Antiqua" w:hAnsi="Book Antiqua" w:cstheme="majorBidi"/>
        </w:rPr>
        <w:t xml:space="preserve">GDM: </w:t>
      </w:r>
      <w:bookmarkStart w:id="106" w:name="OLE_LINK60"/>
      <w:r w:rsidRPr="009C66AF">
        <w:rPr>
          <w:rFonts w:ascii="Book Antiqua" w:hAnsi="Book Antiqua" w:cstheme="majorBidi"/>
        </w:rPr>
        <w:t>Gestational diabetes mellitus</w:t>
      </w:r>
      <w:bookmarkEnd w:id="106"/>
      <w:r w:rsidRPr="009C66AF">
        <w:rPr>
          <w:rFonts w:ascii="Book Antiqua" w:hAnsi="Book Antiqua" w:cstheme="majorBidi"/>
        </w:rPr>
        <w:t>; T2D:</w:t>
      </w:r>
      <w:bookmarkStart w:id="107" w:name="OLE_LINK58"/>
      <w:bookmarkStart w:id="108" w:name="OLE_LINK59"/>
      <w:r w:rsidRPr="009C66AF">
        <w:rPr>
          <w:rFonts w:ascii="Book Antiqua" w:hAnsi="Book Antiqua" w:cstheme="majorBidi"/>
        </w:rPr>
        <w:t xml:space="preserve"> Type 2 diabetes</w:t>
      </w:r>
      <w:bookmarkEnd w:id="107"/>
      <w:bookmarkEnd w:id="108"/>
      <w:r w:rsidRPr="009C66AF">
        <w:rPr>
          <w:rFonts w:ascii="Book Antiqua" w:hAnsi="Book Antiqua" w:cstheme="majorBidi"/>
        </w:rPr>
        <w:t xml:space="preserve">; FBG: </w:t>
      </w:r>
      <w:bookmarkStart w:id="109" w:name="OLE_LINK54"/>
      <w:bookmarkStart w:id="110" w:name="OLE_LINK55"/>
      <w:r w:rsidRPr="009C66AF">
        <w:rPr>
          <w:rFonts w:ascii="Book Antiqua" w:hAnsi="Book Antiqua" w:cstheme="majorBidi"/>
        </w:rPr>
        <w:t>Fasting bl</w:t>
      </w:r>
      <w:r w:rsidR="009F21B4">
        <w:rPr>
          <w:rFonts w:ascii="Book Antiqua" w:hAnsi="Book Antiqua" w:cstheme="majorBidi"/>
        </w:rPr>
        <w:t>ood glucose</w:t>
      </w:r>
      <w:bookmarkEnd w:id="109"/>
      <w:bookmarkEnd w:id="110"/>
      <w:r w:rsidR="009F21B4">
        <w:rPr>
          <w:rFonts w:ascii="Book Antiqua" w:hAnsi="Book Antiqua" w:cstheme="majorBidi"/>
        </w:rPr>
        <w:t xml:space="preserve">; 2hrBG: </w:t>
      </w:r>
      <w:bookmarkStart w:id="111" w:name="OLE_LINK56"/>
      <w:bookmarkStart w:id="112" w:name="OLE_LINK57"/>
      <w:r w:rsidR="009F21B4">
        <w:rPr>
          <w:rFonts w:ascii="Book Antiqua" w:hAnsi="Book Antiqua" w:cstheme="majorBidi"/>
        </w:rPr>
        <w:t>2-h</w:t>
      </w:r>
      <w:r w:rsidRPr="009C66AF">
        <w:rPr>
          <w:rFonts w:ascii="Book Antiqua" w:hAnsi="Book Antiqua" w:cstheme="majorBidi"/>
        </w:rPr>
        <w:t xml:space="preserve"> blood glucose</w:t>
      </w:r>
      <w:bookmarkEnd w:id="111"/>
      <w:bookmarkEnd w:id="112"/>
      <w:r w:rsidRPr="009C66AF">
        <w:rPr>
          <w:rFonts w:ascii="Book Antiqua" w:hAnsi="Book Antiqua" w:cstheme="majorBidi"/>
        </w:rPr>
        <w:t>.</w:t>
      </w:r>
      <w:bookmarkEnd w:id="104"/>
    </w:p>
    <w:p w14:paraId="71DDCF03" w14:textId="77777777" w:rsidR="0011284F" w:rsidRDefault="0011284F" w:rsidP="0011284F">
      <w:pPr>
        <w:jc w:val="center"/>
        <w:rPr>
          <w:rFonts w:ascii="Book Antiqua" w:hAnsi="Book Antiqua"/>
          <w:sz w:val="21"/>
          <w:szCs w:val="22"/>
        </w:rPr>
      </w:pPr>
    </w:p>
    <w:p w14:paraId="655BAAB6" w14:textId="123BB67F" w:rsidR="0011284F" w:rsidRDefault="0011284F" w:rsidP="0011284F">
      <w:pPr>
        <w:jc w:val="center"/>
        <w:rPr>
          <w:rFonts w:ascii="Book Antiqua" w:hAnsi="Book Antiqua"/>
        </w:rPr>
      </w:pPr>
      <w:r>
        <w:rPr>
          <w:rFonts w:ascii="Book Antiqua" w:hAnsi="Book Antiqua"/>
          <w:noProof/>
        </w:rPr>
        <w:drawing>
          <wp:inline distT="0" distB="0" distL="0" distR="0" wp14:anchorId="6039B3DA" wp14:editId="40B24632">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08B0F571" w14:textId="77777777" w:rsidR="0011284F" w:rsidRDefault="0011284F" w:rsidP="0011284F">
      <w:pPr>
        <w:jc w:val="center"/>
        <w:rPr>
          <w:rFonts w:ascii="Book Antiqua" w:hAnsi="Book Antiqua"/>
        </w:rPr>
      </w:pPr>
    </w:p>
    <w:p w14:paraId="07C4A40E" w14:textId="77777777" w:rsidR="0011284F" w:rsidRDefault="0011284F" w:rsidP="0011284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D662D0" w14:textId="77777777" w:rsidR="0011284F" w:rsidRDefault="0011284F" w:rsidP="0011284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99821B" w14:textId="77777777" w:rsidR="0011284F" w:rsidRDefault="0011284F" w:rsidP="0011284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2116A8" w14:textId="77777777" w:rsidR="0011284F" w:rsidRDefault="0011284F" w:rsidP="0011284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6F047F" w14:textId="77777777" w:rsidR="0011284F" w:rsidRDefault="0011284F" w:rsidP="0011284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0C5154" w14:textId="77777777" w:rsidR="0011284F" w:rsidRDefault="0011284F" w:rsidP="0011284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998F183" w14:textId="77777777" w:rsidR="0011284F" w:rsidRDefault="0011284F" w:rsidP="0011284F">
      <w:pPr>
        <w:jc w:val="center"/>
        <w:rPr>
          <w:rFonts w:ascii="Book Antiqua" w:hAnsi="Book Antiqua"/>
        </w:rPr>
      </w:pPr>
    </w:p>
    <w:p w14:paraId="1B75FAF2" w14:textId="77777777" w:rsidR="0011284F" w:rsidRDefault="0011284F" w:rsidP="0011284F">
      <w:pPr>
        <w:jc w:val="center"/>
        <w:rPr>
          <w:rFonts w:ascii="Book Antiqua" w:hAnsi="Book Antiqua"/>
        </w:rPr>
      </w:pPr>
    </w:p>
    <w:p w14:paraId="1828CCEA" w14:textId="77777777" w:rsidR="0011284F" w:rsidRDefault="0011284F" w:rsidP="0011284F">
      <w:pPr>
        <w:jc w:val="center"/>
        <w:rPr>
          <w:rFonts w:ascii="Book Antiqua" w:hAnsi="Book Antiqua"/>
        </w:rPr>
      </w:pPr>
    </w:p>
    <w:p w14:paraId="7049ECEB" w14:textId="7FBD69D1" w:rsidR="0011284F" w:rsidRDefault="0011284F" w:rsidP="0011284F">
      <w:pPr>
        <w:jc w:val="center"/>
        <w:rPr>
          <w:rFonts w:ascii="Book Antiqua" w:hAnsi="Book Antiqua"/>
        </w:rPr>
      </w:pPr>
      <w:r>
        <w:rPr>
          <w:rFonts w:ascii="Book Antiqua" w:hAnsi="Book Antiqua"/>
          <w:noProof/>
        </w:rPr>
        <w:drawing>
          <wp:inline distT="0" distB="0" distL="0" distR="0" wp14:anchorId="20B599E6" wp14:editId="4B07A7CE">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5F12F140" w14:textId="77777777" w:rsidR="0011284F" w:rsidRDefault="0011284F" w:rsidP="0011284F">
      <w:pPr>
        <w:jc w:val="center"/>
        <w:rPr>
          <w:rFonts w:ascii="Book Antiqua" w:hAnsi="Book Antiqua"/>
        </w:rPr>
      </w:pPr>
    </w:p>
    <w:p w14:paraId="74BE0415" w14:textId="77777777" w:rsidR="0011284F" w:rsidRDefault="0011284F" w:rsidP="0011284F">
      <w:pPr>
        <w:jc w:val="center"/>
        <w:rPr>
          <w:rFonts w:ascii="Book Antiqua" w:hAnsi="Book Antiqua"/>
        </w:rPr>
      </w:pPr>
    </w:p>
    <w:p w14:paraId="38AF7FAF" w14:textId="77777777" w:rsidR="0011284F" w:rsidRDefault="0011284F" w:rsidP="0011284F">
      <w:pPr>
        <w:jc w:val="center"/>
        <w:rPr>
          <w:rFonts w:ascii="Book Antiqua" w:hAnsi="Book Antiqua"/>
        </w:rPr>
      </w:pPr>
    </w:p>
    <w:p w14:paraId="3FC21F56" w14:textId="77777777" w:rsidR="0011284F" w:rsidRDefault="0011284F" w:rsidP="0011284F">
      <w:pPr>
        <w:jc w:val="center"/>
        <w:rPr>
          <w:rFonts w:ascii="Book Antiqua" w:hAnsi="Book Antiqua"/>
        </w:rPr>
      </w:pPr>
    </w:p>
    <w:p w14:paraId="1538FA04" w14:textId="77777777" w:rsidR="0011284F" w:rsidRDefault="0011284F" w:rsidP="0011284F">
      <w:pPr>
        <w:jc w:val="center"/>
        <w:rPr>
          <w:rFonts w:ascii="Book Antiqua" w:hAnsi="Book Antiqua"/>
        </w:rPr>
      </w:pPr>
    </w:p>
    <w:p w14:paraId="45DC21C7" w14:textId="77777777" w:rsidR="0011284F" w:rsidRDefault="0011284F" w:rsidP="0011284F">
      <w:pPr>
        <w:jc w:val="center"/>
        <w:rPr>
          <w:rFonts w:ascii="Book Antiqua" w:hAnsi="Book Antiqua"/>
        </w:rPr>
      </w:pPr>
    </w:p>
    <w:p w14:paraId="29089D38" w14:textId="77777777" w:rsidR="0011284F" w:rsidRDefault="0011284F" w:rsidP="0011284F">
      <w:pPr>
        <w:jc w:val="center"/>
        <w:rPr>
          <w:rFonts w:ascii="Book Antiqua" w:hAnsi="Book Antiqua"/>
        </w:rPr>
      </w:pPr>
    </w:p>
    <w:p w14:paraId="4A844396" w14:textId="77777777" w:rsidR="0011284F" w:rsidRDefault="0011284F" w:rsidP="0011284F">
      <w:pPr>
        <w:jc w:val="center"/>
        <w:rPr>
          <w:rFonts w:ascii="Book Antiqua" w:hAnsi="Book Antiqua"/>
        </w:rPr>
      </w:pPr>
    </w:p>
    <w:p w14:paraId="4F21ADF4" w14:textId="77777777" w:rsidR="0011284F" w:rsidRDefault="0011284F" w:rsidP="0011284F">
      <w:pPr>
        <w:jc w:val="center"/>
        <w:rPr>
          <w:rFonts w:ascii="Book Antiqua" w:hAnsi="Book Antiqua"/>
        </w:rPr>
      </w:pPr>
    </w:p>
    <w:p w14:paraId="5A1B4906" w14:textId="77777777" w:rsidR="0011284F" w:rsidRDefault="0011284F" w:rsidP="0011284F">
      <w:pPr>
        <w:jc w:val="right"/>
        <w:rPr>
          <w:rFonts w:ascii="Book Antiqua" w:hAnsi="Book Antiqua"/>
          <w:color w:val="000000" w:themeColor="text1"/>
        </w:rPr>
      </w:pPr>
    </w:p>
    <w:p w14:paraId="63CD4DC9" w14:textId="77777777" w:rsidR="0011284F" w:rsidRDefault="0011284F" w:rsidP="0011284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219DADC" w14:textId="6DA1BD8D" w:rsidR="00A77B3E" w:rsidRPr="0011284F" w:rsidRDefault="00A77B3E" w:rsidP="00A503E5">
      <w:pPr>
        <w:adjustRightInd w:val="0"/>
        <w:snapToGrid w:val="0"/>
        <w:spacing w:line="360" w:lineRule="auto"/>
        <w:jc w:val="both"/>
        <w:rPr>
          <w:rFonts w:ascii="Book Antiqua" w:hAnsi="Book Antiqua" w:cstheme="majorBidi"/>
          <w:lang w:eastAsia="zh-CN"/>
        </w:rPr>
      </w:pPr>
    </w:p>
    <w:sectPr w:rsidR="00A77B3E" w:rsidRPr="00112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30E7" w14:textId="77777777" w:rsidR="00D54B99" w:rsidRDefault="00D54B99" w:rsidP="00F4625A">
      <w:r>
        <w:separator/>
      </w:r>
    </w:p>
  </w:endnote>
  <w:endnote w:type="continuationSeparator" w:id="0">
    <w:p w14:paraId="246C4018" w14:textId="77777777" w:rsidR="00D54B99" w:rsidRDefault="00D54B99" w:rsidP="00F4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46429"/>
      <w:docPartObj>
        <w:docPartGallery w:val="Page Numbers (Bottom of Page)"/>
        <w:docPartUnique/>
      </w:docPartObj>
    </w:sdtPr>
    <w:sdtEndPr/>
    <w:sdtContent>
      <w:sdt>
        <w:sdtPr>
          <w:id w:val="860082579"/>
          <w:docPartObj>
            <w:docPartGallery w:val="Page Numbers (Top of Page)"/>
            <w:docPartUnique/>
          </w:docPartObj>
        </w:sdtPr>
        <w:sdtEndPr/>
        <w:sdtContent>
          <w:p w14:paraId="1C5F033F" w14:textId="77777777" w:rsidR="00F4625A" w:rsidRDefault="00F4625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69A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69AD">
              <w:rPr>
                <w:b/>
                <w:bCs/>
                <w:noProof/>
              </w:rPr>
              <w:t>29</w:t>
            </w:r>
            <w:r>
              <w:rPr>
                <w:b/>
                <w:bCs/>
                <w:sz w:val="24"/>
                <w:szCs w:val="24"/>
              </w:rPr>
              <w:fldChar w:fldCharType="end"/>
            </w:r>
          </w:p>
        </w:sdtContent>
      </w:sdt>
    </w:sdtContent>
  </w:sdt>
  <w:p w14:paraId="040C4E40" w14:textId="77777777" w:rsidR="00F4625A" w:rsidRDefault="00F462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37A5" w14:textId="77777777" w:rsidR="00D54B99" w:rsidRDefault="00D54B99" w:rsidP="00F4625A">
      <w:r>
        <w:separator/>
      </w:r>
    </w:p>
  </w:footnote>
  <w:footnote w:type="continuationSeparator" w:id="0">
    <w:p w14:paraId="208F3E65" w14:textId="77777777" w:rsidR="00D54B99" w:rsidRDefault="00D54B99" w:rsidP="00F4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0976"/>
    <w:rsid w:val="0004604F"/>
    <w:rsid w:val="00046B49"/>
    <w:rsid w:val="00064AB0"/>
    <w:rsid w:val="00067283"/>
    <w:rsid w:val="000A36C7"/>
    <w:rsid w:val="000A74EB"/>
    <w:rsid w:val="000B3541"/>
    <w:rsid w:val="000D47FA"/>
    <w:rsid w:val="000E37C6"/>
    <w:rsid w:val="00100AD6"/>
    <w:rsid w:val="00101066"/>
    <w:rsid w:val="0011284F"/>
    <w:rsid w:val="00135395"/>
    <w:rsid w:val="001437FA"/>
    <w:rsid w:val="0015373B"/>
    <w:rsid w:val="001547CB"/>
    <w:rsid w:val="001722AD"/>
    <w:rsid w:val="001B0D5F"/>
    <w:rsid w:val="001C0F95"/>
    <w:rsid w:val="00207664"/>
    <w:rsid w:val="002167E0"/>
    <w:rsid w:val="00235EB1"/>
    <w:rsid w:val="00244661"/>
    <w:rsid w:val="00251EFB"/>
    <w:rsid w:val="00281307"/>
    <w:rsid w:val="002975EC"/>
    <w:rsid w:val="002B71A6"/>
    <w:rsid w:val="002C7556"/>
    <w:rsid w:val="00325A13"/>
    <w:rsid w:val="0035488C"/>
    <w:rsid w:val="003629A5"/>
    <w:rsid w:val="00366051"/>
    <w:rsid w:val="00374BFE"/>
    <w:rsid w:val="00416CA3"/>
    <w:rsid w:val="00467F4B"/>
    <w:rsid w:val="004703C7"/>
    <w:rsid w:val="004817E6"/>
    <w:rsid w:val="00484326"/>
    <w:rsid w:val="004869AD"/>
    <w:rsid w:val="004F36C8"/>
    <w:rsid w:val="004F3F0C"/>
    <w:rsid w:val="00507127"/>
    <w:rsid w:val="00521A2C"/>
    <w:rsid w:val="0053427B"/>
    <w:rsid w:val="00567AFD"/>
    <w:rsid w:val="00585E1C"/>
    <w:rsid w:val="005A3E33"/>
    <w:rsid w:val="005A6596"/>
    <w:rsid w:val="005A6A5C"/>
    <w:rsid w:val="005B1168"/>
    <w:rsid w:val="005E0D4F"/>
    <w:rsid w:val="006435D1"/>
    <w:rsid w:val="006446DB"/>
    <w:rsid w:val="006A6052"/>
    <w:rsid w:val="00740A17"/>
    <w:rsid w:val="007813CA"/>
    <w:rsid w:val="007B0337"/>
    <w:rsid w:val="007F5674"/>
    <w:rsid w:val="0081799C"/>
    <w:rsid w:val="00854167"/>
    <w:rsid w:val="00863EE2"/>
    <w:rsid w:val="0087632B"/>
    <w:rsid w:val="008A7517"/>
    <w:rsid w:val="0090683E"/>
    <w:rsid w:val="00960169"/>
    <w:rsid w:val="00960198"/>
    <w:rsid w:val="009859A5"/>
    <w:rsid w:val="00996334"/>
    <w:rsid w:val="009C3A84"/>
    <w:rsid w:val="009C486B"/>
    <w:rsid w:val="009D1477"/>
    <w:rsid w:val="009D3B61"/>
    <w:rsid w:val="009F21B4"/>
    <w:rsid w:val="00A0572C"/>
    <w:rsid w:val="00A261A3"/>
    <w:rsid w:val="00A26712"/>
    <w:rsid w:val="00A2739D"/>
    <w:rsid w:val="00A3690E"/>
    <w:rsid w:val="00A503E5"/>
    <w:rsid w:val="00A54E12"/>
    <w:rsid w:val="00A6489F"/>
    <w:rsid w:val="00A77B3E"/>
    <w:rsid w:val="00A8368F"/>
    <w:rsid w:val="00AB067C"/>
    <w:rsid w:val="00AB2B5A"/>
    <w:rsid w:val="00AB401A"/>
    <w:rsid w:val="00AE3005"/>
    <w:rsid w:val="00B051A0"/>
    <w:rsid w:val="00B2652C"/>
    <w:rsid w:val="00B3054A"/>
    <w:rsid w:val="00B64B27"/>
    <w:rsid w:val="00B75670"/>
    <w:rsid w:val="00BB092D"/>
    <w:rsid w:val="00BF1C1D"/>
    <w:rsid w:val="00BF4EFA"/>
    <w:rsid w:val="00C153C4"/>
    <w:rsid w:val="00C23C1D"/>
    <w:rsid w:val="00C25066"/>
    <w:rsid w:val="00C2781E"/>
    <w:rsid w:val="00C74583"/>
    <w:rsid w:val="00CA17FA"/>
    <w:rsid w:val="00CA2A55"/>
    <w:rsid w:val="00CD211D"/>
    <w:rsid w:val="00CD5497"/>
    <w:rsid w:val="00CE064F"/>
    <w:rsid w:val="00D1433C"/>
    <w:rsid w:val="00D340CF"/>
    <w:rsid w:val="00D54B99"/>
    <w:rsid w:val="00D952F5"/>
    <w:rsid w:val="00DF3180"/>
    <w:rsid w:val="00E22D52"/>
    <w:rsid w:val="00E50E79"/>
    <w:rsid w:val="00E52E66"/>
    <w:rsid w:val="00E8725F"/>
    <w:rsid w:val="00ED4235"/>
    <w:rsid w:val="00ED6267"/>
    <w:rsid w:val="00EE548B"/>
    <w:rsid w:val="00F25F43"/>
    <w:rsid w:val="00F44E48"/>
    <w:rsid w:val="00F4625A"/>
    <w:rsid w:val="00F75E05"/>
    <w:rsid w:val="00F84A94"/>
    <w:rsid w:val="00FA6532"/>
    <w:rsid w:val="00FA6F5D"/>
    <w:rsid w:val="00FB7765"/>
    <w:rsid w:val="00FD74E8"/>
    <w:rsid w:val="00FE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7319D"/>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6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E1C"/>
    <w:pPr>
      <w:spacing w:before="100" w:beforeAutospacing="1" w:after="100" w:afterAutospacing="1"/>
    </w:pPr>
    <w:rPr>
      <w:rFonts w:ascii="宋体" w:eastAsia="宋体" w:hAnsi="宋体" w:cs="宋体"/>
      <w:lang w:eastAsia="zh-CN"/>
    </w:rPr>
  </w:style>
  <w:style w:type="table" w:styleId="a4">
    <w:name w:val="Table Grid"/>
    <w:basedOn w:val="a1"/>
    <w:uiPriority w:val="39"/>
    <w:rsid w:val="00A503E5"/>
    <w:rPr>
      <w:rFonts w:ascii="Dubai" w:hAnsi="Dubai" w:cs="Duba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A503E5"/>
    <w:rPr>
      <w:rFonts w:ascii="Dubai" w:hAnsi="Dubai" w:cs="Dubai"/>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21">
    <w:name w:val="Plain Table 21"/>
    <w:basedOn w:val="a1"/>
    <w:uiPriority w:val="42"/>
    <w:rsid w:val="00A503E5"/>
    <w:rPr>
      <w:rFonts w:ascii="Dubai" w:hAnsi="Dubai" w:cs="Duba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rsid w:val="00F462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4625A"/>
    <w:rPr>
      <w:sz w:val="18"/>
      <w:szCs w:val="18"/>
    </w:rPr>
  </w:style>
  <w:style w:type="paragraph" w:styleId="a7">
    <w:name w:val="footer"/>
    <w:basedOn w:val="a"/>
    <w:link w:val="a8"/>
    <w:uiPriority w:val="99"/>
    <w:rsid w:val="00F4625A"/>
    <w:pPr>
      <w:tabs>
        <w:tab w:val="center" w:pos="4153"/>
        <w:tab w:val="right" w:pos="8306"/>
      </w:tabs>
      <w:snapToGrid w:val="0"/>
    </w:pPr>
    <w:rPr>
      <w:sz w:val="18"/>
      <w:szCs w:val="18"/>
    </w:rPr>
  </w:style>
  <w:style w:type="character" w:customStyle="1" w:styleId="a8">
    <w:name w:val="页脚 字符"/>
    <w:basedOn w:val="a0"/>
    <w:link w:val="a7"/>
    <w:uiPriority w:val="99"/>
    <w:rsid w:val="00F4625A"/>
    <w:rPr>
      <w:sz w:val="18"/>
      <w:szCs w:val="18"/>
    </w:rPr>
  </w:style>
  <w:style w:type="character" w:styleId="a9">
    <w:name w:val="annotation reference"/>
    <w:basedOn w:val="a0"/>
    <w:semiHidden/>
    <w:unhideWhenUsed/>
    <w:rsid w:val="006446DB"/>
    <w:rPr>
      <w:sz w:val="21"/>
      <w:szCs w:val="21"/>
    </w:rPr>
  </w:style>
  <w:style w:type="paragraph" w:styleId="aa">
    <w:name w:val="annotation text"/>
    <w:basedOn w:val="a"/>
    <w:link w:val="ab"/>
    <w:semiHidden/>
    <w:unhideWhenUsed/>
    <w:rsid w:val="006446DB"/>
  </w:style>
  <w:style w:type="character" w:customStyle="1" w:styleId="ab">
    <w:name w:val="批注文字 字符"/>
    <w:basedOn w:val="a0"/>
    <w:link w:val="aa"/>
    <w:semiHidden/>
    <w:rsid w:val="006446DB"/>
    <w:rPr>
      <w:sz w:val="24"/>
      <w:szCs w:val="24"/>
    </w:rPr>
  </w:style>
  <w:style w:type="paragraph" w:styleId="ac">
    <w:name w:val="annotation subject"/>
    <w:basedOn w:val="aa"/>
    <w:next w:val="aa"/>
    <w:link w:val="ad"/>
    <w:semiHidden/>
    <w:unhideWhenUsed/>
    <w:rsid w:val="006446DB"/>
    <w:rPr>
      <w:b/>
      <w:bCs/>
    </w:rPr>
  </w:style>
  <w:style w:type="character" w:customStyle="1" w:styleId="ad">
    <w:name w:val="批注主题 字符"/>
    <w:basedOn w:val="ab"/>
    <w:link w:val="ac"/>
    <w:semiHidden/>
    <w:rsid w:val="006446DB"/>
    <w:rPr>
      <w:b/>
      <w:bCs/>
      <w:sz w:val="24"/>
      <w:szCs w:val="24"/>
    </w:rPr>
  </w:style>
  <w:style w:type="character" w:styleId="ae">
    <w:name w:val="Hyperlink"/>
    <w:basedOn w:val="a0"/>
    <w:unhideWhenUsed/>
    <w:rsid w:val="000D47FA"/>
    <w:rPr>
      <w:color w:val="0000FF" w:themeColor="hyperlink"/>
      <w:u w:val="single"/>
    </w:rPr>
  </w:style>
  <w:style w:type="character" w:styleId="af">
    <w:name w:val="Unresolved Mention"/>
    <w:basedOn w:val="a0"/>
    <w:uiPriority w:val="99"/>
    <w:semiHidden/>
    <w:unhideWhenUsed/>
    <w:rsid w:val="000D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8204">
      <w:bodyDiv w:val="1"/>
      <w:marLeft w:val="0"/>
      <w:marRight w:val="0"/>
      <w:marTop w:val="0"/>
      <w:marBottom w:val="0"/>
      <w:divBdr>
        <w:top w:val="none" w:sz="0" w:space="0" w:color="auto"/>
        <w:left w:val="none" w:sz="0" w:space="0" w:color="auto"/>
        <w:bottom w:val="none" w:sz="0" w:space="0" w:color="auto"/>
        <w:right w:val="none" w:sz="0" w:space="0" w:color="auto"/>
      </w:divBdr>
    </w:div>
    <w:div w:id="1107769185">
      <w:bodyDiv w:val="1"/>
      <w:marLeft w:val="0"/>
      <w:marRight w:val="0"/>
      <w:marTop w:val="0"/>
      <w:marBottom w:val="0"/>
      <w:divBdr>
        <w:top w:val="none" w:sz="0" w:space="0" w:color="auto"/>
        <w:left w:val="none" w:sz="0" w:space="0" w:color="auto"/>
        <w:bottom w:val="none" w:sz="0" w:space="0" w:color="auto"/>
        <w:right w:val="none" w:sz="0" w:space="0" w:color="auto"/>
      </w:divBdr>
    </w:div>
    <w:div w:id="132488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30</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Bayoumi</dc:creator>
  <cp:lastModifiedBy>Wang, Linyutong</cp:lastModifiedBy>
  <cp:revision>51</cp:revision>
  <dcterms:created xsi:type="dcterms:W3CDTF">2021-08-18T17:36:00Z</dcterms:created>
  <dcterms:modified xsi:type="dcterms:W3CDTF">2021-10-12T03:44:00Z</dcterms:modified>
</cp:coreProperties>
</file>