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5A9A" w14:textId="37025F74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Name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of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Journal: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Artificial</w:t>
      </w:r>
      <w:r w:rsidR="008858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Intelligence</w:t>
      </w:r>
      <w:r w:rsidR="008858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in</w:t>
      </w:r>
      <w:r w:rsidR="008858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Gastrointestinal</w:t>
      </w:r>
      <w:r w:rsidR="008858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Endoscopy</w:t>
      </w:r>
    </w:p>
    <w:p w14:paraId="5829A627" w14:textId="377F2285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Manuscript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NO: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68784</w:t>
      </w:r>
    </w:p>
    <w:p w14:paraId="50D808B3" w14:textId="1AFF5F1F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Manuscript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Type: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MINIREVIEWS</w:t>
      </w:r>
    </w:p>
    <w:p w14:paraId="0AD28F66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D403C3" w14:textId="20EEC3B6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as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means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to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improve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recognition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angiodysplasia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video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capsule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endoscopy</w:t>
      </w:r>
    </w:p>
    <w:p w14:paraId="42A12329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CEB523" w14:textId="5CCC9881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Cox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5E50C8">
        <w:rPr>
          <w:rFonts w:ascii="Book Antiqua" w:eastAsia="Book Antiqua" w:hAnsi="Book Antiqua" w:cs="Book Antiqua"/>
          <w:color w:val="000000"/>
        </w:rPr>
        <w:t>i</w:t>
      </w:r>
      <w:r w:rsidRPr="004533B4">
        <w:rPr>
          <w:rFonts w:ascii="Book Antiqua" w:eastAsia="Book Antiqua" w:hAnsi="Book Antiqua" w:cs="Book Antiqua"/>
          <w:color w:val="000000"/>
        </w:rPr>
        <w:t>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</w:p>
    <w:p w14:paraId="2707C001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5DBA5B" w14:textId="3DB2A215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Gerald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II,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Christian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Jackson,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Kenneth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Vega</w:t>
      </w:r>
    </w:p>
    <w:p w14:paraId="79C326A6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AE963B" w14:textId="0900D580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Gerald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II,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Department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Medicine,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Loma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Linda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University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Center,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Loma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Linda,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92354,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</w:t>
      </w:r>
    </w:p>
    <w:p w14:paraId="1AC62CE1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B4663E" w14:textId="49C75D23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S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Jackson,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Loma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Linda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Healthcare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System,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Loma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Linda,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92357,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</w:t>
      </w:r>
    </w:p>
    <w:p w14:paraId="06C31C56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2D17C" w14:textId="06528E54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Kenneth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J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Vega,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Division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Hepatology,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Augusta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University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-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Georgia,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Augusta,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30912,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</w:t>
      </w:r>
    </w:p>
    <w:p w14:paraId="00CB250B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58C3CF" w14:textId="2DA1E2A3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Jackson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KJ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planned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minireview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reviewed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included,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wrote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minireview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intellectual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content;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KJ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editorial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guarantor;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authors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submitted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version.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445C8124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D3161D" w14:textId="7CE2DB6B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Kenneth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J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Vega,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Division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Hepatology,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Augusta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University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-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Georgia,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1120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15</w:t>
      </w:r>
      <w:r w:rsidRPr="00B34A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Street,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2226,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Augusta,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30912,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kvega@augusta.edu</w:t>
      </w:r>
    </w:p>
    <w:p w14:paraId="5C041207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3478ED" w14:textId="331D23D9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June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</w:t>
      </w:r>
    </w:p>
    <w:p w14:paraId="2F0FE288" w14:textId="063D6BA2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July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7,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</w:t>
      </w:r>
    </w:p>
    <w:p w14:paraId="0F724B5C" w14:textId="2E17CD63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B34AB9">
        <w:rPr>
          <w:rFonts w:ascii="Book Antiqua" w:eastAsia="宋体" w:hAnsi="Book Antiqua" w:hint="eastAsia"/>
          <w:color w:val="000000" w:themeColor="text1"/>
        </w:rPr>
        <w:t>Au</w:t>
      </w:r>
      <w:r w:rsidR="00B34AB9">
        <w:rPr>
          <w:rFonts w:ascii="Book Antiqua" w:eastAsia="宋体" w:hAnsi="Book Antiqua"/>
          <w:color w:val="000000" w:themeColor="text1"/>
        </w:rPr>
        <w:t>gust</w:t>
      </w:r>
      <w:r w:rsidR="00B34AB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B34AB9">
        <w:rPr>
          <w:rFonts w:ascii="Book Antiqua" w:eastAsia="宋体" w:hAnsi="Book Antiqua"/>
          <w:color w:val="000000" w:themeColor="text1"/>
        </w:rPr>
        <w:t>13</w:t>
      </w:r>
      <w:r w:rsidR="00B34AB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2EC1B4A2" w14:textId="7548E554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83B64C5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533B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95C310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169336E" w14:textId="1D8A2142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(GIAD)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defined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blood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vessels,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typically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venules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capillaries,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become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engorged,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tortuous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walled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–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arteriovenous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connections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mucosal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submucosal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significant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suspected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gastroenterologists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(VCE)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“target”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cumbersome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suboptimal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preparation,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difficulty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eye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imperfect.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forms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(AI)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bridge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between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imperfection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burdens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addressed.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promise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near.</w:t>
      </w:r>
    </w:p>
    <w:p w14:paraId="3BE6A4C1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4B56E2" w14:textId="464003AA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</w:p>
    <w:p w14:paraId="5750E814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E42826" w14:textId="52C0450F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Cox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Jackson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KJ.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Intell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press</w:t>
      </w:r>
    </w:p>
    <w:p w14:paraId="2CE50E53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635BCB" w14:textId="701E3C9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(VCE)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primary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modality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(GIADs).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Typically,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gastroenterologists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prior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referral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deep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enteroscopy.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cumbersome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suboptimal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preparation,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difficulty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improved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exist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addressed.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promise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near.</w:t>
      </w:r>
    </w:p>
    <w:p w14:paraId="00C56C31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D4476D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AC50035" w14:textId="770C811D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(GIAD)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defined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blood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vessels,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typically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venules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capillaries,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become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engorged,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tortuous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walled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–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arteriovenous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connections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mucosal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submucosal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(GI)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tract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found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throughout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tract,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often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occur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intestine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(80%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jejunum,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57%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duodenum),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stomach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(22.8%)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frequently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ascending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(11.4%)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gold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standard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(VCE)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2001.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radically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yield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diseases.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provided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target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played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development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balloon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enteroscopy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advanced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treatment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options.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Although,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yield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diseases,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several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challenges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continues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face.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First,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arduous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from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30-40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hour.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abnormalities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present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couple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minute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time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reduction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address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issues,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several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advances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Quick-view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suspected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blood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indicator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adaptive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advances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[3-5]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Despite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widely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become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growing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focus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(AI)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identification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discuss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implementation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software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known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machine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programs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simulating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brain.</w:t>
      </w:r>
    </w:p>
    <w:p w14:paraId="52A5CDE7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D8F494" w14:textId="6E92F5B1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TYPES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</w:p>
    <w:p w14:paraId="472BAD8D" w14:textId="4F086D6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Several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exist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throughout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field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especially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aspect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machine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(ML),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discipline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large,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complex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outcomes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identify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various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algorithms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often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differentiate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characteristics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size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shape,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help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between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Beyond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ML,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exist,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neural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networks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(ANNs)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convolutional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neural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networks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(CNNs).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observed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perform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complex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task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cross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comparison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various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points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calculation.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Therefore,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numerous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provide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outcome.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simulates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neurobiological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brain,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continues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perform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task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through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time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between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further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investigate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objects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identify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relatively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highly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efficacy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(Table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71ADE79E" w14:textId="05274C21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CNNs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become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commonly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modalities,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particularly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significantly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particularly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created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era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reducing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time,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reducing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reviewer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shift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towards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computer-aided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tools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clinical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represent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future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common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Further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investigation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computer-aided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heavily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towards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Three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popular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implementation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include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single-shot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multibox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(SSD)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region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(ROI)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analysis.</w:t>
      </w:r>
    </w:p>
    <w:p w14:paraId="379B79BB" w14:textId="77777777" w:rsidR="00A77B3E" w:rsidRPr="004533B4" w:rsidRDefault="00A77B3E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299D2F9" w14:textId="2292B5E9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MODALITIES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WHERE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USED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WHEN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DETECTING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GIAD</w:t>
      </w:r>
    </w:p>
    <w:p w14:paraId="423F84B5" w14:textId="6C2E8D8B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2019,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Leenhardt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analyzed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2946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vascular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create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first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dataset,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also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termed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“training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phase,”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consisted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2946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vascular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characteristic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size,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shape,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contour.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helped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features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from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previous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applied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located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primary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endpoints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(CADx)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96%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respectively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19D2DCF6" w14:textId="0D58169C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Similarly,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Hwang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CNN-based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classified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hemorrhagic,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augmented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rotating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degrees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times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flipping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rotated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horizontally.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result,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30224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(11776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hemorrhagic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18,448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30224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observing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similar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outcomes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Leenhardt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Hwang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step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further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VGGnet,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incorporates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convolution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filters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screening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protocols,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Hwang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binary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without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hemorrhage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lesions.</w:t>
      </w:r>
    </w:p>
    <w:p w14:paraId="49738E9A" w14:textId="2E1D90F4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Another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called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similar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described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above.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instance,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expert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endoscopist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demarcate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rectangular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around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much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faster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provide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unifying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framework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interpretation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Tsuboi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incorporated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technique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2237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small-bowel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captured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placed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bounding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found.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Through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method,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Tsuboi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receiver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operating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characteristic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(ROC)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score,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PPV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NPV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CNN’s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accurately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delved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deeper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approach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RetinaNet,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mimics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VGGnet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described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above,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shortcuts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number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Otani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analyze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characterize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erosions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tumors,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ROC,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system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image.</w:t>
      </w:r>
    </w:p>
    <w:p w14:paraId="71327D7D" w14:textId="396C7004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Another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prevalent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performance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relevant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features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Noya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potential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regions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categorized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steps: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preprocessing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enhancement),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selection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potential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(geometric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outline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pixels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feature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extraction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selection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(labeling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texture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geometric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classification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(recognizing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potential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non-pathological).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Comparably,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Iakovidis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Koulaouzidis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color-based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separate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from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137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placed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four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categories: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vascular,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inflammatory,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lymphangiectatic,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polypoid.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Iakovidis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Koulaouzidis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4-step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categorization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Noya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above,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introduction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salient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point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saturation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(SPS),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extraction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selects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salient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points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digital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observed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intensity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3905128E" w14:textId="77777777" w:rsidR="00A77B3E" w:rsidRPr="004533B4" w:rsidRDefault="00A77B3E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2A5AC07" w14:textId="092F66BD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DETECTING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GIAD</w:t>
      </w:r>
    </w:p>
    <w:p w14:paraId="78C5453B" w14:textId="2D08C213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effects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computer-aided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producing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promising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results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individual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practitioners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hope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incorporate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yield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heavily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particular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focus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literature.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modality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implementing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tools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stands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own,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research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techniques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head-to-head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comparison.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42FDED95" w14:textId="43B544E1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performance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CADx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assess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precision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segmental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approach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localizing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Leenhardt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found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[95%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confidence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interval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(CI),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100%-100%].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endpoints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revealed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96.0%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93.78%-98.22%),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positive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96.15%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93.97%-98.33%),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negative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100.0%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100%-100%)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kappa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coefficient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reproducibility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1.0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"clean"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preparation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quality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presence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bubbles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would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included.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authors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point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comparison,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Hwang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separately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hemorrhagic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ulcerative)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binary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without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segregation)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approach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development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demonstrated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revealed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higher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(97.61%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95.07%,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&lt;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0.001).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Although,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classifying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binary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22903E6E" w14:textId="1CE652C5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Tsuboi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automatically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focuses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t-test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reported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0.999.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cut-off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score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0.36,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exhibiting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positive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negative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98.8%,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98.4%,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75.4%,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99.9%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respectively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Otani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RetinaNet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vascular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displayed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0.950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0.923-0.978)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among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cohort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obtained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0.884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0.874-0.893)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among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external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cohort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(randomly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obtained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cross-validation).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observable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Tsuboi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although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relatively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high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detection.</w:t>
      </w:r>
    </w:p>
    <w:p w14:paraId="12B7B883" w14:textId="4990AE77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Iakovidis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Koulaouzidis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assessed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validity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color-based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classification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including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(low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p1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(intermediate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p2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(high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Classification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revealed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69.9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±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15.8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(P0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97.5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±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2.4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(P1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79.6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±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13.1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(P3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respectively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Noya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color-based,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texture,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statistical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morphological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features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method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89.51%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96.8%,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82.33%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±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10.43%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2D2E360F" w14:textId="77777777" w:rsidR="00A77B3E" w:rsidRPr="004533B4" w:rsidRDefault="00A77B3E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0DCA754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C0C1F1B" w14:textId="1DE6EEEE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significant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suspected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gastroenterologists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“target”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cumbersome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suboptimal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preparation,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difficulty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imperfect.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eye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imperfect.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forms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burdens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addressed.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promise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near.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4811FD44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2DE4DA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REFERENCES</w:t>
      </w:r>
    </w:p>
    <w:p w14:paraId="211D0711" w14:textId="3BBCE726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3" w:name="OLE_LINK26"/>
      <w:r w:rsidRPr="004533B4">
        <w:rPr>
          <w:rFonts w:ascii="Book Antiqua" w:hAnsi="Book Antiqua"/>
          <w:color w:val="201F35"/>
        </w:rPr>
        <w:t>1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Jackson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CS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Strong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Gastrointestinal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Angiodysplasia: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Diagnosis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Management.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Gastrointest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Endosc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Clin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N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Am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2017;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27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51-62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27908518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10.1016/j.giec.2016.08.012]</w:t>
      </w:r>
    </w:p>
    <w:p w14:paraId="71A4D2E4" w14:textId="56401A55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2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Bollinger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E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Raines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Saitta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Distribution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of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bleeding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gastrointestinal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angioectasias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Western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population.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World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J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Gastroenterol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2012;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18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6235-6239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23180943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10.3748/wjg.v18.i43.6235]</w:t>
      </w:r>
    </w:p>
    <w:p w14:paraId="5B3B6C1D" w14:textId="2F38F250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3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Buscaglia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JM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Giday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SA,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Kantsevoy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SV,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Clarke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JO,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Magno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Yong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Mullin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GE.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Performance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characteristics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of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the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suspected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blood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indicator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feature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capsule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endoscopy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according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to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indication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study.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Clin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Gastroenterol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Hepatol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2008;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6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298-301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18255353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10.1016/j.cgh.2007.12.029]</w:t>
      </w:r>
    </w:p>
    <w:p w14:paraId="11AF74F9" w14:textId="34B3452B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lastRenderedPageBreak/>
        <w:t>4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  <w:shd w:val="clear" w:color="auto" w:fill="FFFFFF"/>
        </w:rPr>
        <w:t>Xavier</w:t>
      </w:r>
      <w:r w:rsidR="008858A8">
        <w:rPr>
          <w:rFonts w:ascii="Book Antiqua" w:hAnsi="Book Antiqua"/>
          <w:b/>
          <w:bCs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b/>
          <w:bCs/>
          <w:color w:val="201F35"/>
          <w:shd w:val="clear" w:color="auto" w:fill="FFFFFF"/>
        </w:rPr>
        <w:t>S</w:t>
      </w:r>
      <w:r w:rsidRPr="004533B4">
        <w:rPr>
          <w:rFonts w:ascii="Book Antiqua" w:hAnsi="Book Antiqua"/>
          <w:color w:val="201F35"/>
          <w:shd w:val="clear" w:color="auto" w:fill="FFFFFF"/>
        </w:rPr>
        <w:t>,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Monteiro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S,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Magalhães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J,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Rosa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B,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Moreira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MJ,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Cotter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J.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Capsule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endoscopy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with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PillCamSB2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versus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PillCamSB3: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has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the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improvement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in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technology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resulted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in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a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step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forward?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i/>
          <w:iCs/>
          <w:color w:val="201F35"/>
          <w:shd w:val="clear" w:color="auto" w:fill="FFFFFF"/>
        </w:rPr>
        <w:t>Rev</w:t>
      </w:r>
      <w:r w:rsidR="008858A8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i/>
          <w:iCs/>
          <w:color w:val="201F35"/>
          <w:shd w:val="clear" w:color="auto" w:fill="FFFFFF"/>
        </w:rPr>
        <w:t>Esp</w:t>
      </w:r>
      <w:r w:rsidR="008858A8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i/>
          <w:iCs/>
          <w:color w:val="201F35"/>
          <w:shd w:val="clear" w:color="auto" w:fill="FFFFFF"/>
        </w:rPr>
        <w:t>Enferm</w:t>
      </w:r>
      <w:r w:rsidR="008858A8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i/>
          <w:iCs/>
          <w:color w:val="201F35"/>
          <w:shd w:val="clear" w:color="auto" w:fill="FFFFFF"/>
        </w:rPr>
        <w:t>Dig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2018;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b/>
          <w:bCs/>
          <w:color w:val="201F35"/>
          <w:shd w:val="clear" w:color="auto" w:fill="FFFFFF"/>
        </w:rPr>
        <w:t>110</w:t>
      </w:r>
      <w:r w:rsidRPr="004533B4">
        <w:rPr>
          <w:rFonts w:ascii="Book Antiqua" w:hAnsi="Book Antiqua"/>
          <w:color w:val="201F35"/>
          <w:shd w:val="clear" w:color="auto" w:fill="FFFFFF"/>
        </w:rPr>
        <w:t>: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155-159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[PMID: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29278000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DOI:</w:t>
      </w:r>
      <w:r w:rsidR="008858A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4533B4">
        <w:rPr>
          <w:rFonts w:ascii="Book Antiqua" w:hAnsi="Book Antiqua"/>
          <w:color w:val="201F35"/>
          <w:shd w:val="clear" w:color="auto" w:fill="FFFFFF"/>
        </w:rPr>
        <w:t>10.17235/reed.2017.5071/2017]</w:t>
      </w:r>
    </w:p>
    <w:p w14:paraId="13271F2B" w14:textId="217C2A9D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5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Shiotani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A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Honda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Kawakami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Kimura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Yamanaka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Fujita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Matsumoto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Tarumi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Manabe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Haruma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Analysis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of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small-bowel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capsule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endoscopy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reading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using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Quickview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mode: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training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assistants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reading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produce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high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diagnostic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yield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save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time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physicians.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J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Clin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Gastroenterol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2012;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46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e92-e95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22495816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10.1097/MCG.0b013e31824fff94]</w:t>
      </w:r>
    </w:p>
    <w:p w14:paraId="5EE37CA0" w14:textId="7BFA7EE0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6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Handelman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GS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Kok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HK,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Chandra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RV,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Razavi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AH,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Lee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MJ,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Asadi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eDoctor: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machine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learning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the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future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of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medicine.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J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Intern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Med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2018;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284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603-619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30102808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10.1111/joim.12822]</w:t>
      </w:r>
    </w:p>
    <w:p w14:paraId="5830F551" w14:textId="5D095CD1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7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Leenhardt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R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Vasseur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Saurin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JC,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Rahmi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Cholet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Becq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Marteau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Histace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Dray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X;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CAD-CAP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Database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Working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Group.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neural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network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algorithm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detection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of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angiectasia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during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small-bowel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capsule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endoscopy.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Gastrointest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Endosc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2019;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89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189-194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30017868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10.1016/j.gie.2018.06.036]</w:t>
      </w:r>
    </w:p>
    <w:p w14:paraId="6940138B" w14:textId="21B87578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8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Hwang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Y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Lee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HH,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Park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Tama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BA,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Kim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JS,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Cheung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DY,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Chung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WC,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Cho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YS,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Lee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KM,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Choi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MG,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Lee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Lee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BI.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Improved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classification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localization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approach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to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small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bowel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capsule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endoscopy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using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convolutional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neural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network.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Dig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Endosc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2021;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33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598-607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32640059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10.1111/den.13787]</w:t>
      </w:r>
    </w:p>
    <w:p w14:paraId="5A3AA3A5" w14:textId="32B8BDB5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34AB9">
        <w:rPr>
          <w:rFonts w:ascii="Book Antiqua" w:hAnsi="Book Antiqua"/>
          <w:color w:val="201F35"/>
          <w:highlight w:val="yellow"/>
        </w:rPr>
        <w:t>9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b/>
          <w:bCs/>
          <w:color w:val="201F35"/>
          <w:highlight w:val="yellow"/>
        </w:rPr>
        <w:t>Somonyan</w:t>
      </w:r>
      <w:r w:rsidR="008858A8" w:rsidRPr="00B34AB9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b/>
          <w:bCs/>
          <w:color w:val="201F35"/>
          <w:highlight w:val="yellow"/>
        </w:rPr>
        <w:t>K</w:t>
      </w:r>
      <w:r w:rsidRPr="00B34AB9">
        <w:rPr>
          <w:rFonts w:ascii="Book Antiqua" w:hAnsi="Book Antiqua"/>
          <w:color w:val="201F35"/>
          <w:highlight w:val="yellow"/>
        </w:rPr>
        <w:t>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Zisserman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A.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Very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deep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convolutional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networks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for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large-scale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image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recognition.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2014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Preprint.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Available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from: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arXiv:1409.1556</w:t>
      </w:r>
      <w:r w:rsidR="008858A8">
        <w:rPr>
          <w:rFonts w:ascii="Book Antiqua" w:hAnsi="Book Antiqua"/>
          <w:color w:val="201F35"/>
        </w:rPr>
        <w:t xml:space="preserve"> </w:t>
      </w:r>
    </w:p>
    <w:p w14:paraId="16A4DD37" w14:textId="77DC83E2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34AB9">
        <w:rPr>
          <w:rFonts w:ascii="Book Antiqua" w:hAnsi="Book Antiqua"/>
          <w:color w:val="201F35"/>
          <w:highlight w:val="yellow"/>
        </w:rPr>
        <w:t>10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b/>
          <w:bCs/>
          <w:color w:val="201F35"/>
          <w:highlight w:val="yellow"/>
        </w:rPr>
        <w:t>Liu</w:t>
      </w:r>
      <w:r w:rsidR="008858A8" w:rsidRPr="00B34AB9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b/>
          <w:bCs/>
          <w:color w:val="201F35"/>
          <w:highlight w:val="yellow"/>
        </w:rPr>
        <w:t>W</w:t>
      </w:r>
      <w:r w:rsidRPr="00B34AB9">
        <w:rPr>
          <w:rFonts w:ascii="Book Antiqua" w:hAnsi="Book Antiqua"/>
          <w:color w:val="201F35"/>
          <w:highlight w:val="yellow"/>
        </w:rPr>
        <w:t>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Dragomir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A,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Erhan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D,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Szegedy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C,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Reed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Fu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CY,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Berg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AC.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SSD: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Single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Shot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MultiBox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Detector.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In: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Leibe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B,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Matas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J,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Sebe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N,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Welling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M.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Computer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Vision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–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ECCV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2016.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ECCV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2016.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>Berlin,</w:t>
      </w:r>
      <w:r w:rsidR="008858A8"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 xml:space="preserve"> </w:t>
      </w:r>
      <w:r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>Heidelberg: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Springer</w:t>
      </w:r>
      <w:r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>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2016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[DOI: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10.1007/978-3-319-46448-0_2]</w:t>
      </w:r>
    </w:p>
    <w:p w14:paraId="4DC74C83" w14:textId="6B9479C0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11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Tsuboi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A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Oka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Aoyama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Saito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Aoki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Yamada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Matsuda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Fujishiro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Ishihara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Nakahori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Koike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Tanaka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Tada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Artificial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intelligence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using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convolutional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neural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network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automatic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detection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of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small-bowel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angioectasia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lastRenderedPageBreak/>
        <w:t>capsule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endoscopy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images.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Dig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Endosc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2020;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32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382-390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31392767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10.1111/den.13507]</w:t>
      </w:r>
    </w:p>
    <w:p w14:paraId="71CF2D01" w14:textId="21CA0D02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12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Lin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TY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Goyal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Girshick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Dollar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Focal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Loss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Dense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Object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Detection.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IEEE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Trans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Pattern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Anal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Mach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Intell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2020;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42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318-327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30040631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10.1109/TPAMI.2018.2858826]</w:t>
      </w:r>
    </w:p>
    <w:p w14:paraId="33FE8363" w14:textId="708BA7A5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13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Otani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K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Nakada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Kurose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Niikura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Yamada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Aoki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Nakanishi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Doyama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Hasatani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Sumiyoshi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Kitsuregawa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Harada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Koike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Automatic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detection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of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different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types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of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small-bowel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lesions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capsule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endoscopy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images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using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newly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developed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deep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convolutional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neural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network.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Endoscopy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2020;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52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786-791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32557474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10.1055/a-1167-8157]</w:t>
      </w:r>
    </w:p>
    <w:p w14:paraId="460348E7" w14:textId="4E68052A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14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Noya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F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Alvarez-Gonzalez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MA,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Benitez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Automated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angiodysplasia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detection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from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wireless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capsule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endoscopy.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Annu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Int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Conf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IEEE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Eng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Med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Biol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Soc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2017;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2017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3158-3161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29060568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10.1109/EMBC.2017.8037527]</w:t>
      </w:r>
    </w:p>
    <w:p w14:paraId="07109AE4" w14:textId="3B41F646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15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Iakovidis</w:t>
      </w:r>
      <w:r w:rsidR="008858A8">
        <w:rPr>
          <w:rFonts w:ascii="Book Antiqua" w:hAnsi="Book Antiqua"/>
          <w:b/>
          <w:bCs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DK</w:t>
      </w:r>
      <w:r w:rsidRPr="004533B4">
        <w:rPr>
          <w:rFonts w:ascii="Book Antiqua" w:hAnsi="Book Antiqua"/>
          <w:color w:val="201F35"/>
        </w:rPr>
        <w:t>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Koulaouzidis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Automatic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lesion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detection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capsule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endoscopy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based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color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saliency: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closer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to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essential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adjunct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for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reviewing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software.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Gastrointest</w:t>
      </w:r>
      <w:r w:rsidR="008858A8">
        <w:rPr>
          <w:rFonts w:ascii="Book Antiqua" w:hAnsi="Book Antiqua"/>
          <w:i/>
          <w:iCs/>
          <w:color w:val="201F35"/>
        </w:rPr>
        <w:t xml:space="preserve"> </w:t>
      </w:r>
      <w:r w:rsidRPr="004533B4">
        <w:rPr>
          <w:rFonts w:ascii="Book Antiqua" w:hAnsi="Book Antiqua"/>
          <w:i/>
          <w:iCs/>
          <w:color w:val="201F35"/>
        </w:rPr>
        <w:t>Endosc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2014;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80</w:t>
      </w:r>
      <w:r w:rsidRPr="004533B4">
        <w:rPr>
          <w:rFonts w:ascii="Book Antiqua" w:hAnsi="Book Antiqua"/>
          <w:color w:val="201F35"/>
        </w:rPr>
        <w:t>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877-883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[PMID: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25088924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10.1016/j.gie.2014.06.026]</w:t>
      </w:r>
    </w:p>
    <w:p w14:paraId="2312CF8F" w14:textId="61BC5AB4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34AB9">
        <w:rPr>
          <w:rFonts w:ascii="Book Antiqua" w:hAnsi="Book Antiqua"/>
          <w:color w:val="201F35"/>
          <w:highlight w:val="yellow"/>
        </w:rPr>
        <w:t>16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b/>
          <w:bCs/>
          <w:color w:val="201F35"/>
          <w:highlight w:val="yellow"/>
        </w:rPr>
        <w:t>Bay</w:t>
      </w:r>
      <w:r w:rsidR="008858A8" w:rsidRPr="00B34AB9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b/>
          <w:bCs/>
          <w:color w:val="201F35"/>
          <w:highlight w:val="yellow"/>
        </w:rPr>
        <w:t>H,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Ess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A,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Tuytelaars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T,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Van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Gool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L.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SURF: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Speeded-Up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Robust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Features.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In: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Computer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Vision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–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ECCV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2006.</w:t>
      </w:r>
      <w:r w:rsidR="008858A8"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 xml:space="preserve"> </w:t>
      </w:r>
      <w:r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>Berlin,</w:t>
      </w:r>
      <w:r w:rsidR="008858A8"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 xml:space="preserve"> </w:t>
      </w:r>
      <w:r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>Heidelberg: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Springer</w:t>
      </w:r>
      <w:r w:rsidRPr="00B34AB9">
        <w:rPr>
          <w:rFonts w:ascii="Book Antiqua" w:hAnsi="Book Antiqua"/>
          <w:color w:val="333333"/>
          <w:spacing w:val="4"/>
          <w:highlight w:val="yellow"/>
          <w:shd w:val="clear" w:color="auto" w:fill="FCFCFC"/>
        </w:rPr>
        <w:t>,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2006:</w:t>
      </w:r>
      <w:r w:rsidR="00B34AB9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404-417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[DOI:</w:t>
      </w:r>
      <w:r w:rsidR="008858A8" w:rsidRPr="00B34AB9">
        <w:rPr>
          <w:rFonts w:ascii="Book Antiqua" w:hAnsi="Book Antiqua"/>
          <w:color w:val="201F35"/>
          <w:highlight w:val="yellow"/>
        </w:rPr>
        <w:t xml:space="preserve"> </w:t>
      </w:r>
      <w:r w:rsidRPr="00B34AB9">
        <w:rPr>
          <w:rFonts w:ascii="Book Antiqua" w:hAnsi="Book Antiqua"/>
          <w:color w:val="201F35"/>
          <w:highlight w:val="yellow"/>
        </w:rPr>
        <w:t>10.1007/11744023_32]</w:t>
      </w:r>
    </w:p>
    <w:p w14:paraId="23B1534E" w14:textId="6B820B47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533B4">
        <w:rPr>
          <w:rFonts w:ascii="Book Antiqua" w:hAnsi="Book Antiqua"/>
          <w:color w:val="201F35"/>
        </w:rPr>
        <w:t>17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b/>
          <w:bCs/>
          <w:color w:val="201F35"/>
        </w:rPr>
        <w:t>Chang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AC.</w:t>
      </w:r>
      <w:r w:rsidR="008858A8">
        <w:rPr>
          <w:rFonts w:ascii="Book Antiqua" w:hAnsi="Book Antiqua"/>
          <w:color w:val="201F35"/>
        </w:rPr>
        <w:t xml:space="preserve"> </w:t>
      </w:r>
      <w:r w:rsidR="00CE30A0" w:rsidRPr="00CE30A0">
        <w:rPr>
          <w:rFonts w:ascii="Book Antiqua" w:hAnsi="Book Antiqua"/>
          <w:color w:val="201F35"/>
        </w:rPr>
        <w:t>Chapter 1 - Basic Concepts of Artificial Intelligence</w:t>
      </w:r>
      <w:r w:rsidR="00CE30A0">
        <w:rPr>
          <w:rFonts w:ascii="Book Antiqua" w:hAnsi="Book Antiqua"/>
          <w:color w:val="201F35"/>
        </w:rPr>
        <w:t xml:space="preserve">. In: </w:t>
      </w:r>
      <w:r w:rsidRPr="004533B4">
        <w:rPr>
          <w:rFonts w:ascii="Book Antiqua" w:hAnsi="Book Antiqua"/>
          <w:color w:val="201F35"/>
        </w:rPr>
        <w:t>Intelligence-Based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Medicine: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Artificial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Intelligence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Human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Cognition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in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Clinical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Medicine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and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Healthcare.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Academic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Press,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Elsevier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B.V.,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2020: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7-22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[DOI:</w:t>
      </w:r>
      <w:r w:rsidR="008858A8">
        <w:rPr>
          <w:rFonts w:ascii="Book Antiqua" w:hAnsi="Book Antiqua"/>
          <w:color w:val="201F35"/>
        </w:rPr>
        <w:t xml:space="preserve"> </w:t>
      </w:r>
      <w:r w:rsidRPr="004533B4">
        <w:rPr>
          <w:rFonts w:ascii="Book Antiqua" w:hAnsi="Book Antiqua"/>
          <w:color w:val="201F35"/>
        </w:rPr>
        <w:t>10.1016/B978-0-12-823337-5.00001-9]</w:t>
      </w:r>
    </w:p>
    <w:bookmarkEnd w:id="3"/>
    <w:p w14:paraId="2FD57778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533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54F29D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4EC3777" w14:textId="17F398DC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conflict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exists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authors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manuscript.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2518C68B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859524" w14:textId="7A5AB9CE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article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open-access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article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selected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in-house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editor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peer-reviewed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external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reviewers.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distributed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accordance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Creative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Commons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Attribution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NonCommercial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BY-NC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4.0)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license,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permits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distribute,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remix,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adapt,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build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upon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work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non-commercially,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license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derivative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works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terms,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provided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original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work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properly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non-commercial.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See: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9B76D55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EA14E5" w14:textId="11F090EC" w:rsidR="00A77B3E" w:rsidRDefault="004533B4" w:rsidP="004533B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Manuscript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source: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Inv</w:t>
      </w:r>
      <w:r w:rsidR="008D58F0" w:rsidRPr="004533B4">
        <w:rPr>
          <w:rFonts w:ascii="Book Antiqua" w:eastAsia="Book Antiqua" w:hAnsi="Book Antiqua" w:cs="Book Antiqua"/>
          <w:color w:val="000000"/>
        </w:rPr>
        <w:t>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8D58F0" w:rsidRPr="004533B4">
        <w:rPr>
          <w:rFonts w:ascii="Book Antiqua" w:eastAsia="Book Antiqua" w:hAnsi="Book Antiqua" w:cs="Book Antiqua"/>
          <w:color w:val="000000"/>
        </w:rPr>
        <w:t>manus</w:t>
      </w:r>
      <w:r w:rsidRPr="004533B4">
        <w:rPr>
          <w:rFonts w:ascii="Book Antiqua" w:eastAsia="Book Antiqua" w:hAnsi="Book Antiqua" w:cs="Book Antiqua"/>
          <w:color w:val="000000"/>
        </w:rPr>
        <w:t>cript</w:t>
      </w:r>
    </w:p>
    <w:p w14:paraId="54F465EE" w14:textId="77777777" w:rsidR="00B34AB9" w:rsidRPr="004533B4" w:rsidRDefault="00B34AB9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3065D1" w14:textId="2976DC9A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Corresponding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Author's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Membership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in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Professional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Societies: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American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Association;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American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Society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American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</w:t>
      </w:r>
    </w:p>
    <w:p w14:paraId="7ABEC77B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F7C19C" w14:textId="554D6946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Peer-review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started: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June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</w:t>
      </w:r>
    </w:p>
    <w:p w14:paraId="52CB1DF7" w14:textId="0A0CEA74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First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decision: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June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23,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</w:t>
      </w:r>
    </w:p>
    <w:p w14:paraId="55497195" w14:textId="10C1D10A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Article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in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press: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D974DB2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8CAD6F" w14:textId="3B43B739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Specialty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type: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</w:t>
      </w:r>
      <w:r w:rsidR="008D58F0" w:rsidRPr="004533B4">
        <w:rPr>
          <w:rFonts w:ascii="Book Antiqua" w:eastAsia="Book Antiqua" w:hAnsi="Book Antiqua" w:cs="Book Antiqua"/>
          <w:color w:val="000000"/>
        </w:rPr>
        <w:t>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8D58F0"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8D58F0" w:rsidRPr="004533B4">
        <w:rPr>
          <w:rFonts w:ascii="Book Antiqua" w:eastAsia="Book Antiqua" w:hAnsi="Book Antiqua" w:cs="Book Antiqua"/>
          <w:color w:val="000000"/>
        </w:rPr>
        <w:t>hep</w:t>
      </w:r>
      <w:r w:rsidRPr="004533B4">
        <w:rPr>
          <w:rFonts w:ascii="Book Antiqua" w:eastAsia="Book Antiqua" w:hAnsi="Book Antiqua" w:cs="Book Antiqua"/>
          <w:color w:val="000000"/>
        </w:rPr>
        <w:t>atology</w:t>
      </w:r>
    </w:p>
    <w:p w14:paraId="1FE65A43" w14:textId="50F75928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Country/Territory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of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origin: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</w:t>
      </w:r>
    </w:p>
    <w:p w14:paraId="63217522" w14:textId="458AEF2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Peer-review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report’s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scientific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quality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978D6B" w14:textId="65350A42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(Excellent):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</w:t>
      </w:r>
    </w:p>
    <w:p w14:paraId="72190335" w14:textId="3DCCC57C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(Very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good):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</w:t>
      </w:r>
    </w:p>
    <w:p w14:paraId="449CF114" w14:textId="5515BE19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(Good):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</w:t>
      </w:r>
    </w:p>
    <w:p w14:paraId="53D96A99" w14:textId="798CFCEE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(Fair):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</w:t>
      </w:r>
    </w:p>
    <w:p w14:paraId="56DB63B8" w14:textId="7CC68EED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(Poor):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</w:t>
      </w:r>
    </w:p>
    <w:p w14:paraId="398D7883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551E4C" w14:textId="2BF2749A" w:rsidR="008D58F0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P-Reviewer: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Balaban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DV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S-Editor: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Liu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L-Editor: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P-Editor: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6B04B5" w14:textId="2021275B" w:rsidR="008D58F0" w:rsidRPr="004533B4" w:rsidRDefault="008D58F0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4533B4">
        <w:rPr>
          <w:rFonts w:ascii="Book Antiqua" w:eastAsia="Book Antiqua" w:hAnsi="Book Antiqua" w:cs="Book Antiqua"/>
          <w:b/>
          <w:color w:val="000000"/>
        </w:rPr>
        <w:br w:type="page"/>
      </w:r>
      <w:r w:rsidRPr="004533B4">
        <w:rPr>
          <w:rFonts w:ascii="Book Antiqua" w:hAnsi="Book Antiqua"/>
          <w:b/>
        </w:rPr>
        <w:lastRenderedPageBreak/>
        <w:t>Table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1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Artificial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intelligence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methods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for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gastrointestinal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angiodysplasia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detection</w:t>
      </w:r>
      <w:r w:rsidRPr="004533B4">
        <w:rPr>
          <w:rFonts w:ascii="Book Antiqua" w:hAnsi="Book Antiqua"/>
          <w:b/>
          <w:vertAlign w:val="superscript"/>
        </w:rPr>
        <w:t>[17]</w:t>
      </w:r>
    </w:p>
    <w:tbl>
      <w:tblPr>
        <w:tblW w:w="10380" w:type="dxa"/>
        <w:tblInd w:w="-352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83"/>
        <w:gridCol w:w="2151"/>
        <w:gridCol w:w="1394"/>
        <w:gridCol w:w="2611"/>
        <w:gridCol w:w="2341"/>
      </w:tblGrid>
      <w:tr w:rsidR="008D58F0" w:rsidRPr="004533B4" w14:paraId="42780008" w14:textId="77777777" w:rsidTr="00B9664D">
        <w:trPr>
          <w:trHeight w:val="699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5DA052EB" w14:textId="2C0F3680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Artificial</w:t>
            </w:r>
            <w:r w:rsidR="008858A8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/>
                <w:color w:val="000000"/>
              </w:rPr>
              <w:t>intelligence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6A99DFEE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Description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C309025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Function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14:paraId="5E169762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Advantages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14:paraId="23BA706E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Disadvantages</w:t>
            </w:r>
          </w:p>
        </w:tc>
      </w:tr>
      <w:tr w:rsidR="008D58F0" w:rsidRPr="004533B4" w14:paraId="08855D60" w14:textId="77777777" w:rsidTr="00B9664D">
        <w:trPr>
          <w:trHeight w:val="644"/>
        </w:trPr>
        <w:tc>
          <w:tcPr>
            <w:tcW w:w="1883" w:type="dxa"/>
            <w:vMerge w:val="restart"/>
            <w:tcBorders>
              <w:top w:val="single" w:sz="4" w:space="0" w:color="auto"/>
              <w:bottom w:val="nil"/>
            </w:tcBorders>
          </w:tcPr>
          <w:p w14:paraId="10A6051B" w14:textId="17000ABB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Machine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learning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bottom w:val="nil"/>
            </w:tcBorders>
          </w:tcPr>
          <w:p w14:paraId="4C1E9A40" w14:textId="55A3D422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Ability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computer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program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to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learn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nil"/>
            </w:tcBorders>
          </w:tcPr>
          <w:p w14:paraId="4D1060FE" w14:textId="25BD3C4E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Discern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logic-based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rules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from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input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and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output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  <w:tc>
          <w:tcPr>
            <w:tcW w:w="2611" w:type="dxa"/>
            <w:tcBorders>
              <w:top w:val="single" w:sz="4" w:space="0" w:color="auto"/>
              <w:bottom w:val="nil"/>
            </w:tcBorders>
          </w:tcPr>
          <w:p w14:paraId="0865BEA7" w14:textId="1AC4FE1D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Automation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tasks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bottom w:val="nil"/>
            </w:tcBorders>
          </w:tcPr>
          <w:p w14:paraId="424FBFFE" w14:textId="4DB75A46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Requires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high-quality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likely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to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have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some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causal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link</w:t>
            </w:r>
          </w:p>
        </w:tc>
      </w:tr>
      <w:tr w:rsidR="008D58F0" w:rsidRPr="004533B4" w14:paraId="56BFA200" w14:textId="77777777" w:rsidTr="00B9664D">
        <w:trPr>
          <w:trHeight w:val="1091"/>
        </w:trPr>
        <w:tc>
          <w:tcPr>
            <w:tcW w:w="1883" w:type="dxa"/>
            <w:vMerge/>
            <w:tcBorders>
              <w:top w:val="nil"/>
              <w:bottom w:val="nil"/>
            </w:tcBorders>
          </w:tcPr>
          <w:p w14:paraId="7F5BE724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bottom w:val="nil"/>
            </w:tcBorders>
          </w:tcPr>
          <w:p w14:paraId="03BF43EC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bottom w:val="nil"/>
            </w:tcBorders>
          </w:tcPr>
          <w:p w14:paraId="5B9D6151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  <w:vMerge w:val="restart"/>
            <w:tcBorders>
              <w:top w:val="nil"/>
              <w:bottom w:val="nil"/>
            </w:tcBorders>
          </w:tcPr>
          <w:p w14:paraId="3FAB3D30" w14:textId="3E619FDA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Detect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patterns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between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input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and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output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27572F55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8D58F0" w:rsidRPr="004533B4" w14:paraId="25AECB4F" w14:textId="77777777" w:rsidTr="00B9664D">
        <w:trPr>
          <w:trHeight w:val="2062"/>
        </w:trPr>
        <w:tc>
          <w:tcPr>
            <w:tcW w:w="1883" w:type="dxa"/>
            <w:vMerge/>
            <w:tcBorders>
              <w:top w:val="nil"/>
              <w:bottom w:val="nil"/>
            </w:tcBorders>
          </w:tcPr>
          <w:p w14:paraId="10B6B6D7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4C910B9B" w14:textId="6647218A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Algorithm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workflow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improves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performance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</w:tcPr>
          <w:p w14:paraId="7377074E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  <w:vMerge/>
            <w:tcBorders>
              <w:top w:val="nil"/>
              <w:bottom w:val="nil"/>
            </w:tcBorders>
          </w:tcPr>
          <w:p w14:paraId="38603EE9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5F5A48FC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8D58F0" w:rsidRPr="004533B4" w14:paraId="4620CADB" w14:textId="77777777" w:rsidTr="00B9664D">
        <w:trPr>
          <w:trHeight w:val="1181"/>
        </w:trPr>
        <w:tc>
          <w:tcPr>
            <w:tcW w:w="1883" w:type="dxa"/>
            <w:vMerge w:val="restart"/>
            <w:tcBorders>
              <w:top w:val="nil"/>
              <w:bottom w:val="nil"/>
            </w:tcBorders>
          </w:tcPr>
          <w:p w14:paraId="3DBA4E6C" w14:textId="0AF38219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Artificial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neural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network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nil"/>
              <w:bottom w:val="nil"/>
            </w:tcBorders>
          </w:tcPr>
          <w:p w14:paraId="2F5F4BF8" w14:textId="7BFFD375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Use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weighted/graded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signals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to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perceive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  <w:tc>
          <w:tcPr>
            <w:tcW w:w="1394" w:type="dxa"/>
            <w:vMerge w:val="restart"/>
            <w:tcBorders>
              <w:top w:val="nil"/>
              <w:bottom w:val="nil"/>
            </w:tcBorders>
          </w:tcPr>
          <w:p w14:paraId="75F22E8D" w14:textId="221C26A5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Adaptive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learning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66F0BFAC" w14:textId="4B977FCB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Mapping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performance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between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input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and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output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3CF60B6B" w14:textId="73EE232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Requires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labeled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</w:tr>
      <w:tr w:rsidR="008D58F0" w:rsidRPr="004533B4" w14:paraId="644203E8" w14:textId="77777777" w:rsidTr="00B9664D">
        <w:trPr>
          <w:trHeight w:val="447"/>
        </w:trPr>
        <w:tc>
          <w:tcPr>
            <w:tcW w:w="1883" w:type="dxa"/>
            <w:vMerge/>
            <w:tcBorders>
              <w:top w:val="nil"/>
              <w:bottom w:val="nil"/>
            </w:tcBorders>
          </w:tcPr>
          <w:p w14:paraId="73131C3B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bottom w:val="nil"/>
            </w:tcBorders>
          </w:tcPr>
          <w:p w14:paraId="3F2EFA1F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bottom w:val="nil"/>
            </w:tcBorders>
          </w:tcPr>
          <w:p w14:paraId="083E4651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  <w:vMerge w:val="restart"/>
            <w:tcBorders>
              <w:top w:val="nil"/>
              <w:bottom w:val="nil"/>
            </w:tcBorders>
          </w:tcPr>
          <w:p w14:paraId="581C36BD" w14:textId="4C40D780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Adaptive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learning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capability</w:t>
            </w: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14:paraId="4D6CDC08" w14:textId="05AD2B8D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Requires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large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volumes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</w:tr>
      <w:tr w:rsidR="008D58F0" w:rsidRPr="004533B4" w14:paraId="22AE59EA" w14:textId="77777777" w:rsidTr="00B9664D">
        <w:trPr>
          <w:trHeight w:val="1920"/>
        </w:trPr>
        <w:tc>
          <w:tcPr>
            <w:tcW w:w="1883" w:type="dxa"/>
            <w:vMerge/>
            <w:tcBorders>
              <w:top w:val="nil"/>
              <w:bottom w:val="nil"/>
            </w:tcBorders>
          </w:tcPr>
          <w:p w14:paraId="539CD5CA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42C27F8C" w14:textId="3D4328B0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Use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computational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communication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</w:tcPr>
          <w:p w14:paraId="3AA3FD8B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  <w:vMerge/>
            <w:tcBorders>
              <w:top w:val="nil"/>
              <w:bottom w:val="nil"/>
            </w:tcBorders>
          </w:tcPr>
          <w:p w14:paraId="4042959D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557272E3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8D58F0" w:rsidRPr="004533B4" w14:paraId="7882A4D3" w14:textId="77777777" w:rsidTr="00B9664D">
        <w:trPr>
          <w:trHeight w:val="601"/>
        </w:trPr>
        <w:tc>
          <w:tcPr>
            <w:tcW w:w="1883" w:type="dxa"/>
            <w:vMerge w:val="restart"/>
            <w:tcBorders>
              <w:top w:val="nil"/>
              <w:bottom w:val="nil"/>
            </w:tcBorders>
          </w:tcPr>
          <w:p w14:paraId="15BC2B9E" w14:textId="7CEFBDE6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Convolutional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neural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network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6EE21C6B" w14:textId="12BDF36E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Image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detection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1394" w:type="dxa"/>
            <w:vMerge w:val="restart"/>
            <w:tcBorders>
              <w:top w:val="nil"/>
              <w:bottom w:val="nil"/>
            </w:tcBorders>
          </w:tcPr>
          <w:p w14:paraId="736934C5" w14:textId="0A873500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Computer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vision</w:t>
            </w:r>
          </w:p>
        </w:tc>
        <w:tc>
          <w:tcPr>
            <w:tcW w:w="2611" w:type="dxa"/>
            <w:vMerge w:val="restart"/>
            <w:tcBorders>
              <w:top w:val="nil"/>
              <w:bottom w:val="nil"/>
            </w:tcBorders>
          </w:tcPr>
          <w:p w14:paraId="261A6C2B" w14:textId="08156035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Highly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accurate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image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recognition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and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classification</w:t>
            </w: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14:paraId="5EB4782C" w14:textId="37CA7365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Highly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dependent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training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model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or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models</w:t>
            </w:r>
          </w:p>
          <w:p w14:paraId="4C7325EC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8D58F0" w:rsidRPr="004533B4" w14:paraId="47E146D3" w14:textId="77777777" w:rsidTr="00B9664D">
        <w:trPr>
          <w:trHeight w:val="1124"/>
        </w:trPr>
        <w:tc>
          <w:tcPr>
            <w:tcW w:w="1883" w:type="dxa"/>
            <w:vMerge/>
            <w:tcBorders>
              <w:top w:val="nil"/>
              <w:bottom w:val="nil"/>
            </w:tcBorders>
          </w:tcPr>
          <w:p w14:paraId="46FA278A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nil"/>
              <w:bottom w:val="nil"/>
            </w:tcBorders>
          </w:tcPr>
          <w:p w14:paraId="05CBC0C3" w14:textId="694D3F41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Interpretation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through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three-dimensional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convolutional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layers</w:t>
            </w:r>
          </w:p>
        </w:tc>
        <w:tc>
          <w:tcPr>
            <w:tcW w:w="1394" w:type="dxa"/>
            <w:vMerge/>
            <w:tcBorders>
              <w:top w:val="nil"/>
              <w:bottom w:val="nil"/>
            </w:tcBorders>
          </w:tcPr>
          <w:p w14:paraId="74AEB454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  <w:vMerge/>
            <w:tcBorders>
              <w:top w:val="nil"/>
              <w:bottom w:val="nil"/>
            </w:tcBorders>
          </w:tcPr>
          <w:p w14:paraId="6D490342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250EE7D9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8D58F0" w:rsidRPr="004533B4" w14:paraId="4DF6742C" w14:textId="77777777" w:rsidTr="00B9664D">
        <w:trPr>
          <w:trHeight w:val="1516"/>
        </w:trPr>
        <w:tc>
          <w:tcPr>
            <w:tcW w:w="1883" w:type="dxa"/>
            <w:vMerge/>
            <w:tcBorders>
              <w:top w:val="nil"/>
              <w:bottom w:val="single" w:sz="4" w:space="0" w:color="auto"/>
            </w:tcBorders>
          </w:tcPr>
          <w:p w14:paraId="2866E213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bottom w:val="single" w:sz="4" w:space="0" w:color="auto"/>
            </w:tcBorders>
          </w:tcPr>
          <w:p w14:paraId="0DFBA914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4" w:space="0" w:color="auto"/>
            </w:tcBorders>
          </w:tcPr>
          <w:p w14:paraId="0A922442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  <w:vMerge/>
            <w:tcBorders>
              <w:top w:val="nil"/>
              <w:bottom w:val="single" w:sz="4" w:space="0" w:color="auto"/>
            </w:tcBorders>
          </w:tcPr>
          <w:p w14:paraId="2385B01A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14:paraId="5AC18ACB" w14:textId="34734C92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Limited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by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image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rotation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or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orientation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</w:tr>
    </w:tbl>
    <w:p w14:paraId="4AB083DA" w14:textId="02D3A171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45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234E" w14:textId="77777777" w:rsidR="007B4173" w:rsidRDefault="007B4173" w:rsidP="008D58F0">
      <w:r>
        <w:separator/>
      </w:r>
    </w:p>
  </w:endnote>
  <w:endnote w:type="continuationSeparator" w:id="0">
    <w:p w14:paraId="507A64F2" w14:textId="77777777" w:rsidR="007B4173" w:rsidRDefault="007B4173" w:rsidP="008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9915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92AF76" w14:textId="76AD485F" w:rsidR="004533B4" w:rsidRDefault="004533B4" w:rsidP="004533B4">
            <w:pPr>
              <w:pStyle w:val="a5"/>
              <w:jc w:val="right"/>
            </w:pPr>
            <w:r w:rsidRPr="004533B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533B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82A37" w14:textId="77777777" w:rsidR="004533B4" w:rsidRDefault="00453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9BC9" w14:textId="77777777" w:rsidR="007B4173" w:rsidRDefault="007B4173" w:rsidP="008D58F0">
      <w:r>
        <w:separator/>
      </w:r>
    </w:p>
  </w:footnote>
  <w:footnote w:type="continuationSeparator" w:id="0">
    <w:p w14:paraId="7420FD33" w14:textId="77777777" w:rsidR="007B4173" w:rsidRDefault="007B4173" w:rsidP="008D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533B4"/>
    <w:rsid w:val="005E50C8"/>
    <w:rsid w:val="007B4173"/>
    <w:rsid w:val="008858A8"/>
    <w:rsid w:val="008D58F0"/>
    <w:rsid w:val="009F0A29"/>
    <w:rsid w:val="00A77B3E"/>
    <w:rsid w:val="00B34AB9"/>
    <w:rsid w:val="00CA2A55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0B4FC"/>
  <w15:docId w15:val="{BF25FA06-542E-40D4-AC42-A547BA4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58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8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8F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D58F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7</cp:revision>
  <dcterms:created xsi:type="dcterms:W3CDTF">2021-08-13T02:46:00Z</dcterms:created>
  <dcterms:modified xsi:type="dcterms:W3CDTF">2021-08-13T06:02:00Z</dcterms:modified>
</cp:coreProperties>
</file>