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6F6D" w14:textId="77777777" w:rsidR="00E860A5" w:rsidRDefault="000C3EC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22F64EA" w14:textId="77777777" w:rsidR="00E860A5" w:rsidRDefault="000C3EC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68942</w:t>
      </w:r>
    </w:p>
    <w:p w14:paraId="1F3F4751" w14:textId="77777777" w:rsidR="00E860A5" w:rsidRDefault="000C3EC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99FADE4" w14:textId="77777777" w:rsidR="00E860A5" w:rsidRDefault="00E860A5">
      <w:pPr>
        <w:spacing w:line="360" w:lineRule="auto"/>
        <w:jc w:val="both"/>
      </w:pPr>
    </w:p>
    <w:p w14:paraId="5DDED7E5" w14:textId="77777777" w:rsidR="00E860A5" w:rsidRDefault="000C3EC2">
      <w:pPr>
        <w:spacing w:line="360" w:lineRule="auto"/>
        <w:jc w:val="both"/>
      </w:pPr>
      <w:r>
        <w:rPr>
          <w:rFonts w:ascii="Book Antiqua" w:eastAsia="Book Antiqua" w:hAnsi="Book Antiqua" w:cs="Book Antiqua"/>
          <w:b/>
          <w:color w:val="000000"/>
        </w:rPr>
        <w:t xml:space="preserve">Chronic colchicine poisoning with neuromyopathy, gastric ulcers and myelosuppression in a gout patient: </w:t>
      </w:r>
      <w:r>
        <w:rPr>
          <w:rFonts w:ascii="Book Antiqua" w:eastAsia="Book Antiqua" w:hAnsi="Book Antiqua" w:cs="Book Antiqua"/>
          <w:b/>
          <w:caps/>
          <w:color w:val="000000"/>
        </w:rPr>
        <w:t>a</w:t>
      </w:r>
      <w:r>
        <w:rPr>
          <w:rFonts w:ascii="Book Antiqua" w:eastAsia="Book Antiqua" w:hAnsi="Book Antiqua" w:cs="Book Antiqua"/>
          <w:b/>
          <w:color w:val="000000"/>
        </w:rPr>
        <w:t xml:space="preserve"> case report</w:t>
      </w:r>
    </w:p>
    <w:p w14:paraId="490D64C0" w14:textId="77777777" w:rsidR="00E860A5" w:rsidRDefault="00E860A5">
      <w:pPr>
        <w:spacing w:line="360" w:lineRule="auto"/>
        <w:jc w:val="both"/>
      </w:pPr>
    </w:p>
    <w:p w14:paraId="21DEFD8F" w14:textId="77777777" w:rsidR="00E860A5" w:rsidRDefault="000C3EC2">
      <w:pPr>
        <w:spacing w:line="360" w:lineRule="auto"/>
        <w:jc w:val="both"/>
      </w:pPr>
      <w:r>
        <w:rPr>
          <w:rFonts w:ascii="Book Antiqua" w:eastAsia="Book Antiqua" w:hAnsi="Book Antiqua" w:cs="Book Antiqua"/>
          <w:color w:val="000000"/>
        </w:rPr>
        <w:t xml:space="preserve">Li MM </w:t>
      </w:r>
      <w:r>
        <w:rPr>
          <w:rFonts w:ascii="Book Antiqua" w:eastAsia="Book Antiqua" w:hAnsi="Book Antiqua" w:cs="Book Antiqua"/>
          <w:i/>
          <w:color w:val="000000"/>
        </w:rPr>
        <w:t>et al</w:t>
      </w:r>
      <w:r>
        <w:rPr>
          <w:rFonts w:ascii="Book Antiqua" w:eastAsia="Book Antiqua" w:hAnsi="Book Antiqua" w:cs="Book Antiqua"/>
          <w:color w:val="000000"/>
        </w:rPr>
        <w:t>. Chronic colchicine poisoning</w:t>
      </w:r>
    </w:p>
    <w:p w14:paraId="02B20855" w14:textId="77777777" w:rsidR="00E860A5" w:rsidRDefault="00E860A5">
      <w:pPr>
        <w:spacing w:line="360" w:lineRule="auto"/>
        <w:jc w:val="both"/>
      </w:pPr>
    </w:p>
    <w:p w14:paraId="02F64CE5" w14:textId="77777777" w:rsidR="00E860A5" w:rsidRDefault="000C3EC2">
      <w:pPr>
        <w:spacing w:line="360" w:lineRule="auto"/>
        <w:jc w:val="both"/>
      </w:pPr>
      <w:r>
        <w:rPr>
          <w:rFonts w:ascii="Book Antiqua" w:eastAsia="Book Antiqua" w:hAnsi="Book Antiqua" w:cs="Book Antiqua"/>
          <w:color w:val="000000"/>
        </w:rPr>
        <w:t>Meng-</w:t>
      </w:r>
      <w:r>
        <w:rPr>
          <w:rFonts w:ascii="Book Antiqua" w:eastAsia="Book Antiqua" w:hAnsi="Book Antiqua" w:cs="Book Antiqua"/>
          <w:caps/>
          <w:color w:val="000000"/>
        </w:rPr>
        <w:t>m</w:t>
      </w:r>
      <w:r>
        <w:rPr>
          <w:rFonts w:ascii="Book Antiqua" w:eastAsia="Book Antiqua" w:hAnsi="Book Antiqua" w:cs="Book Antiqua"/>
          <w:color w:val="000000"/>
        </w:rPr>
        <w:t>ei Li, Jun Teng, Yan Wang</w:t>
      </w:r>
    </w:p>
    <w:p w14:paraId="3DF0A085" w14:textId="77777777" w:rsidR="00E860A5" w:rsidRDefault="00E860A5">
      <w:pPr>
        <w:spacing w:line="360" w:lineRule="auto"/>
        <w:jc w:val="both"/>
      </w:pPr>
    </w:p>
    <w:p w14:paraId="534AE90D" w14:textId="77777777" w:rsidR="00E860A5" w:rsidRDefault="000C3EC2">
      <w:pPr>
        <w:spacing w:line="360" w:lineRule="auto"/>
        <w:jc w:val="both"/>
      </w:pPr>
      <w:r>
        <w:rPr>
          <w:rFonts w:ascii="Book Antiqua" w:eastAsia="Book Antiqua" w:hAnsi="Book Antiqua" w:cs="Book Antiqua"/>
          <w:b/>
          <w:bCs/>
          <w:color w:val="000000"/>
        </w:rPr>
        <w:t>Meng-</w:t>
      </w:r>
      <w:r>
        <w:rPr>
          <w:rFonts w:ascii="Book Antiqua" w:eastAsia="Book Antiqua" w:hAnsi="Book Antiqua" w:cs="Book Antiqua"/>
          <w:b/>
          <w:bCs/>
          <w:caps/>
          <w:color w:val="000000"/>
        </w:rPr>
        <w:t>m</w:t>
      </w:r>
      <w:r>
        <w:rPr>
          <w:rFonts w:ascii="Book Antiqua" w:eastAsia="Book Antiqua" w:hAnsi="Book Antiqua" w:cs="Book Antiqua"/>
          <w:b/>
          <w:bCs/>
          <w:color w:val="000000"/>
        </w:rPr>
        <w:t xml:space="preserve">ei Li, Jun Teng, Yan Wang, </w:t>
      </w:r>
      <w:r>
        <w:rPr>
          <w:rFonts w:ascii="Book Antiqua" w:eastAsia="Book Antiqua" w:hAnsi="Book Antiqua" w:cs="Book Antiqua"/>
          <w:color w:val="000000"/>
        </w:rPr>
        <w:t>Department of Emergency, Qin</w:t>
      </w:r>
      <w:r>
        <w:rPr>
          <w:rFonts w:ascii="Book Antiqua" w:eastAsia="Book Antiqua" w:hAnsi="Book Antiqua" w:cs="Book Antiqua"/>
          <w:color w:val="000000"/>
        </w:rPr>
        <w:t>gdao Central Hospital, The Second Affiliated Hospital of Qingdao University Medical College, Qingdao 266042, Shandong Province, China</w:t>
      </w:r>
    </w:p>
    <w:p w14:paraId="7BDB68A4" w14:textId="77777777" w:rsidR="00E860A5" w:rsidRDefault="00E860A5">
      <w:pPr>
        <w:spacing w:line="360" w:lineRule="auto"/>
        <w:jc w:val="both"/>
      </w:pPr>
    </w:p>
    <w:p w14:paraId="2B4A6260" w14:textId="77777777" w:rsidR="00E860A5" w:rsidRDefault="000C3EC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 MM and Teng J were the patient’s attending physicians, reviewed the literature and contributed t</w:t>
      </w:r>
      <w:r>
        <w:rPr>
          <w:rFonts w:ascii="Book Antiqua" w:eastAsia="Book Antiqua" w:hAnsi="Book Antiqua" w:cs="Book Antiqua"/>
          <w:color w:val="000000"/>
        </w:rPr>
        <w:t>o manuscript drafting; Wang Y was responsible for revision of the manuscript for important intellectual content; all authors issued final approval for the version to be submitted.</w:t>
      </w:r>
    </w:p>
    <w:p w14:paraId="5FACCE05" w14:textId="77777777" w:rsidR="00E860A5" w:rsidRDefault="00E860A5">
      <w:pPr>
        <w:spacing w:line="360" w:lineRule="auto"/>
        <w:jc w:val="both"/>
      </w:pPr>
    </w:p>
    <w:p w14:paraId="03688B28" w14:textId="77777777" w:rsidR="00E860A5" w:rsidRDefault="000C3EC2">
      <w:pPr>
        <w:spacing w:line="360" w:lineRule="auto"/>
        <w:jc w:val="both"/>
      </w:pPr>
      <w:r>
        <w:rPr>
          <w:rFonts w:ascii="Book Antiqua" w:eastAsia="Book Antiqua" w:hAnsi="Book Antiqua" w:cs="Book Antiqua"/>
          <w:b/>
          <w:bCs/>
          <w:color w:val="000000"/>
        </w:rPr>
        <w:t xml:space="preserve">Corresponding author: Jun Teng, MD, Chief Doctor, </w:t>
      </w:r>
      <w:r>
        <w:rPr>
          <w:rFonts w:ascii="Book Antiqua" w:eastAsia="Book Antiqua" w:hAnsi="Book Antiqua" w:cs="Book Antiqua"/>
          <w:color w:val="000000"/>
        </w:rPr>
        <w:t xml:space="preserve">Department of Emergency, </w:t>
      </w:r>
      <w:r>
        <w:rPr>
          <w:rFonts w:ascii="Book Antiqua" w:eastAsia="Book Antiqua" w:hAnsi="Book Antiqua" w:cs="Book Antiqua"/>
          <w:color w:val="000000"/>
        </w:rPr>
        <w:t>Qingdao Central Hospital, The Second Affiliated Hospital of Qingdao University Medical College, No. 127 Siliu South Road, Qingdao 266042, Shandong Province, China. owen-145@163.com</w:t>
      </w:r>
    </w:p>
    <w:p w14:paraId="5CAF423D" w14:textId="77777777" w:rsidR="00E860A5" w:rsidRDefault="00E860A5">
      <w:pPr>
        <w:spacing w:line="360" w:lineRule="auto"/>
        <w:jc w:val="both"/>
      </w:pPr>
    </w:p>
    <w:p w14:paraId="4A8D0DA7" w14:textId="77777777" w:rsidR="00E860A5" w:rsidRDefault="000C3EC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9, 2021</w:t>
      </w:r>
    </w:p>
    <w:p w14:paraId="2051A44D" w14:textId="77777777" w:rsidR="00E860A5" w:rsidRDefault="000C3EC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7718CF46" w14:textId="77777777" w:rsidR="00E860A5" w:rsidRDefault="000C3EC2">
      <w:pPr>
        <w:spacing w:line="360" w:lineRule="auto"/>
        <w:jc w:val="both"/>
      </w:pPr>
      <w:r>
        <w:rPr>
          <w:rFonts w:ascii="Book Antiqua" w:eastAsia="Book Antiqua" w:hAnsi="Book Antiqua" w:cs="Book Antiqua"/>
          <w:b/>
          <w:bCs/>
          <w:color w:val="000000"/>
        </w:rPr>
        <w:t xml:space="preserve">Accepted: </w:t>
      </w:r>
      <w:r w:rsidRPr="00881DA6">
        <w:rPr>
          <w:rFonts w:ascii="Book Antiqua" w:eastAsia="Book Antiqua" w:hAnsi="Book Antiqua" w:cs="Book Antiqua"/>
          <w:color w:val="000000"/>
        </w:rPr>
        <w:t>October 27, 2021</w:t>
      </w:r>
    </w:p>
    <w:p w14:paraId="0DD49E34" w14:textId="77777777" w:rsidR="00E860A5" w:rsidRDefault="000C3EC2">
      <w:pPr>
        <w:spacing w:line="360" w:lineRule="auto"/>
        <w:jc w:val="both"/>
      </w:pPr>
      <w:r>
        <w:rPr>
          <w:rFonts w:ascii="Book Antiqua" w:eastAsia="Book Antiqua" w:hAnsi="Book Antiqua" w:cs="Book Antiqua"/>
          <w:b/>
          <w:bCs/>
          <w:color w:val="000000"/>
        </w:rPr>
        <w:t>P</w:t>
      </w:r>
      <w:r>
        <w:rPr>
          <w:rFonts w:ascii="Book Antiqua" w:eastAsia="Book Antiqua" w:hAnsi="Book Antiqua" w:cs="Book Antiqua"/>
          <w:b/>
          <w:bCs/>
          <w:color w:val="000000"/>
        </w:rPr>
        <w:t xml:space="preserve">ublished online: </w:t>
      </w:r>
      <w:r>
        <w:rPr>
          <w:rFonts w:ascii="Book Antiqua" w:eastAsia="Book Antiqua" w:hAnsi="Book Antiqua" w:cs="Book Antiqua"/>
          <w:color w:val="000000"/>
        </w:rPr>
        <w:t>December 16</w:t>
      </w:r>
      <w:r>
        <w:rPr>
          <w:rFonts w:ascii="Book Antiqua" w:eastAsia="宋体" w:hAnsi="Book Antiqua" w:cs="Book Antiqua" w:hint="eastAsia"/>
          <w:color w:val="000000"/>
          <w:lang w:eastAsia="zh-CN"/>
        </w:rPr>
        <w:t>, 2021</w:t>
      </w:r>
    </w:p>
    <w:p w14:paraId="30C5E86A" w14:textId="77777777" w:rsidR="00E860A5" w:rsidRDefault="00E860A5">
      <w:pPr>
        <w:spacing w:line="360" w:lineRule="auto"/>
        <w:jc w:val="both"/>
        <w:sectPr w:rsidR="00E860A5">
          <w:footerReference w:type="default" r:id="rId7"/>
          <w:pgSz w:w="12240" w:h="15840"/>
          <w:pgMar w:top="1440" w:right="1440" w:bottom="1440" w:left="1440" w:header="720" w:footer="720" w:gutter="0"/>
          <w:cols w:space="720"/>
          <w:docGrid w:linePitch="360"/>
        </w:sectPr>
      </w:pPr>
    </w:p>
    <w:p w14:paraId="3371F4D6" w14:textId="77777777" w:rsidR="00E860A5" w:rsidRDefault="000C3EC2">
      <w:pPr>
        <w:spacing w:line="360" w:lineRule="auto"/>
        <w:jc w:val="both"/>
      </w:pPr>
      <w:r>
        <w:rPr>
          <w:rFonts w:ascii="Book Antiqua" w:eastAsia="Book Antiqua" w:hAnsi="Book Antiqua" w:cs="Book Antiqua"/>
          <w:b/>
          <w:color w:val="000000"/>
        </w:rPr>
        <w:lastRenderedPageBreak/>
        <w:t>Abstract</w:t>
      </w:r>
    </w:p>
    <w:p w14:paraId="35CA96C6" w14:textId="77777777" w:rsidR="00E860A5" w:rsidRDefault="000C3EC2">
      <w:pPr>
        <w:spacing w:line="360" w:lineRule="auto"/>
        <w:jc w:val="both"/>
      </w:pPr>
      <w:r>
        <w:rPr>
          <w:rFonts w:ascii="Book Antiqua" w:eastAsia="Book Antiqua" w:hAnsi="Book Antiqua" w:cs="Book Antiqua"/>
          <w:color w:val="000000"/>
        </w:rPr>
        <w:t>BACKGROUND</w:t>
      </w:r>
    </w:p>
    <w:p w14:paraId="38070C63" w14:textId="77777777" w:rsidR="00E860A5" w:rsidRDefault="000C3EC2">
      <w:pPr>
        <w:spacing w:line="360" w:lineRule="auto"/>
        <w:jc w:val="both"/>
      </w:pPr>
      <w:r>
        <w:rPr>
          <w:rFonts w:ascii="Book Antiqua" w:eastAsia="Book Antiqua" w:hAnsi="Book Antiqua" w:cs="Book Antiqua"/>
          <w:color w:val="000000"/>
        </w:rPr>
        <w:t xml:space="preserve">Colchicine has been widely used as an anti-gout medication over the past decades. However, it is less commonly used due to its narrow </w:t>
      </w:r>
      <w:r>
        <w:rPr>
          <w:rFonts w:ascii="Book Antiqua" w:eastAsia="Book Antiqua" w:hAnsi="Book Antiqua" w:cs="Book Antiqua"/>
          <w:color w:val="000000"/>
        </w:rPr>
        <w:t>therapeutic range, meaning that its lethal dose is close to its therapeutic dose. The lethal dose of colchicine is considered to be 0.8 mg/kg. As chronic colchicine poisoning has multiple manifestations, it poses a challenge in the clinician’s differential</w:t>
      </w:r>
      <w:r>
        <w:rPr>
          <w:rFonts w:ascii="Book Antiqua" w:eastAsia="Book Antiqua" w:hAnsi="Book Antiqua" w:cs="Book Antiqua"/>
          <w:color w:val="000000"/>
        </w:rPr>
        <w:t xml:space="preserve"> diagnosis. Historically, the drug was important in treating gout; however, clinical studies are currently underway regarding the use of colchicine in patients with coronavirus disease 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as well as its use in coronary artery disease, making this drug mo</w:t>
      </w:r>
      <w:r>
        <w:rPr>
          <w:rFonts w:ascii="Book Antiqua" w:eastAsia="Book Antiqua" w:hAnsi="Book Antiqua" w:cs="Book Antiqua"/>
          <w:color w:val="000000"/>
        </w:rPr>
        <w:t>re important in clinical practice.</w:t>
      </w:r>
    </w:p>
    <w:p w14:paraId="0172FF5F" w14:textId="77777777" w:rsidR="00E860A5" w:rsidRDefault="00E860A5">
      <w:pPr>
        <w:spacing w:line="360" w:lineRule="auto"/>
        <w:jc w:val="both"/>
      </w:pPr>
    </w:p>
    <w:p w14:paraId="33BB84FA" w14:textId="77777777" w:rsidR="00E860A5" w:rsidRDefault="000C3EC2">
      <w:pPr>
        <w:spacing w:line="360" w:lineRule="auto"/>
        <w:jc w:val="both"/>
      </w:pPr>
      <w:r>
        <w:rPr>
          <w:rFonts w:ascii="Book Antiqua" w:eastAsia="Book Antiqua" w:hAnsi="Book Antiqua" w:cs="Book Antiqua"/>
          <w:color w:val="000000"/>
        </w:rPr>
        <w:t>CASE SUMMARY</w:t>
      </w:r>
    </w:p>
    <w:p w14:paraId="3BE93DC5" w14:textId="77777777" w:rsidR="00E860A5" w:rsidRDefault="000C3EC2">
      <w:pPr>
        <w:spacing w:line="360" w:lineRule="auto"/>
        <w:jc w:val="both"/>
      </w:pPr>
      <w:r>
        <w:rPr>
          <w:rFonts w:ascii="Book Antiqua" w:eastAsia="Book Antiqua" w:hAnsi="Book Antiqua" w:cs="Book Antiqua"/>
          <w:color w:val="000000"/>
        </w:rPr>
        <w:t xml:space="preserve">A 61-year-old male with a history of gout and chronic colchicine intake was admitted to our Emergency Department due to numbness and weakness of the lower limbs. The patient reported a history of colchicine </w:t>
      </w:r>
      <w:r>
        <w:rPr>
          <w:rFonts w:ascii="Book Antiqua" w:eastAsia="Book Antiqua" w:hAnsi="Book Antiqua" w:cs="Book Antiqua"/>
          <w:color w:val="000000"/>
        </w:rPr>
        <w:t>intake for 23 years. After thorough examination, he was diagnosed with colchicine poisoning, manifesting as neuromyopathy, multiple gastric ulcers and myelosuppression. We advised him to stop taking colchicine and drinking alcohol. We also provided a presc</w:t>
      </w:r>
      <w:r>
        <w:rPr>
          <w:rFonts w:ascii="Book Antiqua" w:eastAsia="Book Antiqua" w:hAnsi="Book Antiqua" w:cs="Book Antiqua"/>
          <w:color w:val="000000"/>
        </w:rPr>
        <w:t>ription of lansoprazole and mecobalamin, and then asked him to return to the clinic for re-examination. The patient was followed up for 3-mo during which time his gout symptoms were controlled to the point where he was asymptomatic.</w:t>
      </w:r>
    </w:p>
    <w:p w14:paraId="7DF37076" w14:textId="77777777" w:rsidR="00E860A5" w:rsidRDefault="00E860A5">
      <w:pPr>
        <w:spacing w:line="360" w:lineRule="auto"/>
        <w:jc w:val="both"/>
      </w:pPr>
    </w:p>
    <w:p w14:paraId="7F2E68BB" w14:textId="77777777" w:rsidR="00E860A5" w:rsidRDefault="000C3EC2">
      <w:pPr>
        <w:spacing w:line="360" w:lineRule="auto"/>
        <w:jc w:val="both"/>
      </w:pPr>
      <w:r>
        <w:rPr>
          <w:rFonts w:ascii="Book Antiqua" w:eastAsia="Book Antiqua" w:hAnsi="Book Antiqua" w:cs="Book Antiqua"/>
          <w:color w:val="000000"/>
        </w:rPr>
        <w:t>CONCLUSION</w:t>
      </w:r>
    </w:p>
    <w:p w14:paraId="3274D687" w14:textId="77777777" w:rsidR="00E860A5" w:rsidRDefault="000C3EC2">
      <w:pPr>
        <w:spacing w:line="360" w:lineRule="auto"/>
        <w:jc w:val="both"/>
      </w:pPr>
      <w:r>
        <w:rPr>
          <w:rFonts w:ascii="Book Antiqua" w:eastAsia="Book Antiqua" w:hAnsi="Book Antiqua" w:cs="Book Antiqua"/>
          <w:color w:val="000000"/>
        </w:rPr>
        <w:t xml:space="preserve">Colchicine </w:t>
      </w:r>
      <w:r>
        <w:rPr>
          <w:rFonts w:ascii="Book Antiqua" w:eastAsia="Book Antiqua" w:hAnsi="Book Antiqua" w:cs="Book Antiqua"/>
          <w:color w:val="000000"/>
        </w:rPr>
        <w:t>overdose can mimic the clinical manifestations of several conditions. Physicians easily pay attention to the disease while ignoring the cause of the disease. Thus, the patient’s medication history should never be ignored.</w:t>
      </w:r>
    </w:p>
    <w:p w14:paraId="4756D7FA" w14:textId="77777777" w:rsidR="00E860A5" w:rsidRDefault="00E860A5">
      <w:pPr>
        <w:spacing w:line="360" w:lineRule="auto"/>
        <w:jc w:val="both"/>
      </w:pPr>
    </w:p>
    <w:p w14:paraId="69A870FA" w14:textId="77777777" w:rsidR="00E860A5" w:rsidRDefault="000C3EC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Colchicine poisoning; </w:t>
      </w:r>
      <w:r>
        <w:rPr>
          <w:rFonts w:ascii="Book Antiqua" w:eastAsia="Book Antiqua" w:hAnsi="Book Antiqua" w:cs="Book Antiqua"/>
          <w:caps/>
          <w:color w:val="000000"/>
        </w:rPr>
        <w:t>n</w:t>
      </w:r>
      <w:r>
        <w:rPr>
          <w:rFonts w:ascii="Book Antiqua" w:eastAsia="Book Antiqua" w:hAnsi="Book Antiqua" w:cs="Book Antiqua"/>
          <w:color w:val="000000"/>
        </w:rPr>
        <w:t xml:space="preserve">euromyopathy; </w:t>
      </w:r>
      <w:r>
        <w:rPr>
          <w:rFonts w:ascii="Book Antiqua" w:eastAsia="Book Antiqua" w:hAnsi="Book Antiqua" w:cs="Book Antiqua"/>
          <w:caps/>
          <w:color w:val="000000"/>
        </w:rPr>
        <w:t>m</w:t>
      </w:r>
      <w:r>
        <w:rPr>
          <w:rFonts w:ascii="Book Antiqua" w:eastAsia="Book Antiqua" w:hAnsi="Book Antiqua" w:cs="Book Antiqua"/>
          <w:color w:val="000000"/>
        </w:rPr>
        <w:t xml:space="preserve">yelosuppression; </w:t>
      </w:r>
      <w:r>
        <w:rPr>
          <w:rFonts w:ascii="Book Antiqua" w:eastAsia="Book Antiqua" w:hAnsi="Book Antiqua" w:cs="Book Antiqua"/>
          <w:caps/>
          <w:color w:val="000000"/>
        </w:rPr>
        <w:t>g</w:t>
      </w:r>
      <w:r>
        <w:rPr>
          <w:rFonts w:ascii="Book Antiqua" w:eastAsia="Book Antiqua" w:hAnsi="Book Antiqua" w:cs="Book Antiqua"/>
          <w:color w:val="000000"/>
        </w:rPr>
        <w:t xml:space="preserve">astric ulcer; </w:t>
      </w:r>
      <w:r>
        <w:rPr>
          <w:rFonts w:ascii="Book Antiqua" w:eastAsia="Book Antiqua" w:hAnsi="Book Antiqua" w:cs="Book Antiqua"/>
          <w:caps/>
          <w:color w:val="000000"/>
        </w:rPr>
        <w:t>g</w:t>
      </w:r>
      <w:r>
        <w:rPr>
          <w:rFonts w:ascii="Book Antiqua" w:eastAsia="Book Antiqua" w:hAnsi="Book Antiqua" w:cs="Book Antiqua"/>
          <w:color w:val="000000"/>
        </w:rPr>
        <w:t xml:space="preserve">out; </w:t>
      </w:r>
      <w:r>
        <w:rPr>
          <w:rFonts w:ascii="Book Antiqua" w:eastAsia="Book Antiqua" w:hAnsi="Book Antiqua" w:cs="Book Antiqua"/>
          <w:caps/>
          <w:color w:val="000000"/>
        </w:rPr>
        <w:t>c</w:t>
      </w:r>
      <w:r>
        <w:rPr>
          <w:rFonts w:ascii="Book Antiqua" w:eastAsia="Book Antiqua" w:hAnsi="Book Antiqua" w:cs="Book Antiqua"/>
          <w:color w:val="000000"/>
        </w:rPr>
        <w:t>ase report</w:t>
      </w:r>
    </w:p>
    <w:p w14:paraId="773B758B" w14:textId="77777777" w:rsidR="00224746" w:rsidRDefault="00224746" w:rsidP="00224746">
      <w:pPr>
        <w:spacing w:line="360" w:lineRule="auto"/>
        <w:jc w:val="both"/>
        <w:rPr>
          <w:lang w:eastAsia="zh-CN"/>
        </w:rPr>
      </w:pPr>
    </w:p>
    <w:p w14:paraId="3F195EFD" w14:textId="77777777" w:rsidR="00224746" w:rsidRDefault="00224746" w:rsidP="0022474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B5DF5BD" w14:textId="77777777" w:rsidR="00224746" w:rsidRDefault="00224746" w:rsidP="00224746">
      <w:pPr>
        <w:spacing w:line="360" w:lineRule="auto"/>
        <w:jc w:val="both"/>
        <w:rPr>
          <w:lang w:eastAsia="zh-CN"/>
        </w:rPr>
      </w:pPr>
    </w:p>
    <w:p w14:paraId="4CE1CBF0" w14:textId="3E4B2AE7" w:rsidR="00D65EAE" w:rsidRDefault="00224746" w:rsidP="00224746">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C3EC2">
        <w:rPr>
          <w:rFonts w:ascii="Book Antiqua" w:eastAsia="Book Antiqua" w:hAnsi="Book Antiqua" w:cs="Book Antiqua"/>
          <w:color w:val="000000"/>
        </w:rPr>
        <w:t xml:space="preserve">Li MM, Teng J, Wang Y. Chronic colchicine poisoning with neuromyopathy, gastric ulcers and myelosuppression in a gout patient: </w:t>
      </w:r>
      <w:r w:rsidR="000C3EC2">
        <w:rPr>
          <w:rFonts w:ascii="Book Antiqua" w:eastAsia="Book Antiqua" w:hAnsi="Book Antiqua" w:cs="Book Antiqua"/>
          <w:caps/>
          <w:color w:val="000000"/>
        </w:rPr>
        <w:t>a</w:t>
      </w:r>
      <w:r w:rsidR="000C3EC2">
        <w:rPr>
          <w:rFonts w:ascii="Book Antiqua" w:eastAsia="Book Antiqua" w:hAnsi="Book Antiqua" w:cs="Book Antiqua"/>
          <w:color w:val="000000"/>
        </w:rPr>
        <w:t xml:space="preserve"> case report. </w:t>
      </w:r>
      <w:r w:rsidR="000C3EC2">
        <w:rPr>
          <w:rFonts w:ascii="Book Antiqua" w:eastAsia="Book Antiqua" w:hAnsi="Book Antiqua" w:cs="Book Antiqua"/>
          <w:i/>
          <w:iCs/>
          <w:color w:val="000000"/>
        </w:rPr>
        <w:t>World J Clin Cases</w:t>
      </w:r>
      <w:r w:rsidR="000C3EC2">
        <w:rPr>
          <w:rFonts w:ascii="Book Antiqua" w:eastAsia="Book Antiqua" w:hAnsi="Book Antiqua" w:cs="Book Antiqua"/>
          <w:color w:val="000000"/>
        </w:rPr>
        <w:t xml:space="preserve"> 2021; </w:t>
      </w:r>
      <w:r w:rsidR="000C3EC2">
        <w:rPr>
          <w:rFonts w:ascii="Book Antiqua" w:eastAsia="Book Antiqua" w:hAnsi="Book Antiqua" w:cs="Book Antiqua" w:hint="eastAsia"/>
          <w:color w:val="000000"/>
        </w:rPr>
        <w:t>9(3</w:t>
      </w:r>
      <w:r w:rsidR="000C3EC2">
        <w:rPr>
          <w:rFonts w:ascii="Book Antiqua" w:eastAsia="宋体" w:hAnsi="Book Antiqua" w:cs="Book Antiqua" w:hint="eastAsia"/>
          <w:color w:val="000000"/>
          <w:lang w:eastAsia="zh-CN"/>
        </w:rPr>
        <w:t>5</w:t>
      </w:r>
      <w:r w:rsidR="000C3EC2">
        <w:rPr>
          <w:rFonts w:ascii="Book Antiqua" w:eastAsia="Book Antiqua" w:hAnsi="Book Antiqua" w:cs="Book Antiqua" w:hint="eastAsia"/>
          <w:color w:val="000000"/>
        </w:rPr>
        <w:t xml:space="preserve">): </w:t>
      </w:r>
      <w:r w:rsidR="00D65EAE">
        <w:rPr>
          <w:rFonts w:ascii="Book Antiqua" w:hAnsi="Book Antiqua"/>
        </w:rPr>
        <w:t>11050-11055</w:t>
      </w:r>
    </w:p>
    <w:p w14:paraId="40812802" w14:textId="35E0B3AC" w:rsidR="00D65EAE" w:rsidRDefault="000C3EC2" w:rsidP="00224746">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D65EAE">
        <w:rPr>
          <w:rFonts w:ascii="Book Antiqua" w:hAnsi="Book Antiqua"/>
        </w:rPr>
        <w:t>11050</w:t>
      </w:r>
      <w:r>
        <w:rPr>
          <w:rFonts w:ascii="Book Antiqua" w:eastAsia="Book Antiqua" w:hAnsi="Book Antiqua" w:cs="Book Antiqua" w:hint="eastAsia"/>
          <w:color w:val="000000"/>
        </w:rPr>
        <w:t xml:space="preserve">.htm  </w:t>
      </w:r>
    </w:p>
    <w:p w14:paraId="582B37CD" w14:textId="7C56CA73" w:rsidR="00E860A5" w:rsidRDefault="000C3EC2" w:rsidP="00224746">
      <w:pPr>
        <w:spacing w:line="360" w:lineRule="auto"/>
        <w:jc w:val="both"/>
      </w:pPr>
      <w:r>
        <w:rPr>
          <w:rFonts w:ascii="Book Antiqua" w:eastAsia="Book Antiqua" w:hAnsi="Book Antiqua" w:cs="Book Antiqua" w:hint="eastAsia"/>
          <w:color w:val="000000"/>
        </w:rPr>
        <w:t>DOI: https:</w:t>
      </w:r>
      <w:r>
        <w:rPr>
          <w:rFonts w:ascii="Book Antiqua" w:eastAsia="Book Antiqua" w:hAnsi="Book Antiqua" w:cs="Book Antiqua" w:hint="eastAsia"/>
          <w:color w:val="000000"/>
        </w:rPr>
        <w:t>//dx.doi.org/10.12998/wjcc.v9.i3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D65EAE">
        <w:rPr>
          <w:rFonts w:ascii="Book Antiqua" w:hAnsi="Book Antiqua"/>
        </w:rPr>
        <w:t>11050</w:t>
      </w:r>
    </w:p>
    <w:p w14:paraId="0D089C4D" w14:textId="77777777" w:rsidR="00E860A5" w:rsidRDefault="00E860A5">
      <w:pPr>
        <w:spacing w:line="360" w:lineRule="auto"/>
        <w:jc w:val="both"/>
      </w:pPr>
    </w:p>
    <w:p w14:paraId="1E60EDDF" w14:textId="77777777" w:rsidR="00E860A5" w:rsidRDefault="000C3EC2">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With ongoing clinical trials on colchicine use in more generalized diseases, the probability of chronic colchicine poisoning is on the rise. Chronic colchicine poisoning has multiple manifestations.</w:t>
      </w:r>
      <w:r>
        <w:rPr>
          <w:rFonts w:ascii="Book Antiqua" w:eastAsia="Book Antiqua" w:hAnsi="Book Antiqua" w:cs="Book Antiqua"/>
          <w:color w:val="000000"/>
        </w:rPr>
        <w:t xml:space="preserve"> In this case, it presented with neuromyopathy, multiple gastric ulcers and myelosuppression, demonstrating its clinical significance.</w:t>
      </w:r>
    </w:p>
    <w:p w14:paraId="07924AD3" w14:textId="77777777" w:rsidR="00E860A5" w:rsidRDefault="00E860A5">
      <w:pPr>
        <w:spacing w:line="360" w:lineRule="auto"/>
        <w:jc w:val="both"/>
      </w:pPr>
    </w:p>
    <w:p w14:paraId="124D26B8" w14:textId="77777777" w:rsidR="00E860A5" w:rsidRDefault="000C3EC2">
      <w:pPr>
        <w:spacing w:line="360" w:lineRule="auto"/>
        <w:jc w:val="both"/>
      </w:pPr>
      <w:r>
        <w:rPr>
          <w:rFonts w:ascii="Book Antiqua" w:eastAsia="Book Antiqua" w:hAnsi="Book Antiqua" w:cs="Book Antiqua"/>
          <w:b/>
          <w:caps/>
          <w:color w:val="000000"/>
          <w:u w:val="single"/>
        </w:rPr>
        <w:t>INTRODUCTION</w:t>
      </w:r>
    </w:p>
    <w:p w14:paraId="34D31ECF" w14:textId="77777777" w:rsidR="00E860A5" w:rsidRDefault="000C3EC2">
      <w:pPr>
        <w:spacing w:line="360" w:lineRule="auto"/>
        <w:jc w:val="both"/>
      </w:pPr>
      <w:r>
        <w:rPr>
          <w:rFonts w:ascii="Book Antiqua" w:eastAsia="Book Antiqua" w:hAnsi="Book Antiqua" w:cs="Book Antiqua"/>
          <w:color w:val="000000"/>
        </w:rPr>
        <w:t xml:space="preserve">Colchicine is known for its anti-inflammatory effects, and was historically used for gout. However, due to </w:t>
      </w:r>
      <w:r>
        <w:rPr>
          <w:rFonts w:ascii="Book Antiqua" w:eastAsia="Book Antiqua" w:hAnsi="Book Antiqua" w:cs="Book Antiqua"/>
          <w:color w:val="000000"/>
        </w:rPr>
        <w:t>its narrow therapeutic range, there have been numerous reports regarding acute and chronic colchicine poisoning. Therefore, it has seldom been used in the clinical setting in recent years. Due to more generalized studies on colchicine, chronic colchicine p</w:t>
      </w:r>
      <w:r>
        <w:rPr>
          <w:rFonts w:ascii="Book Antiqua" w:eastAsia="Book Antiqua" w:hAnsi="Book Antiqua" w:cs="Book Antiqua"/>
          <w:color w:val="000000"/>
        </w:rPr>
        <w:t>oisoning has raised concerns among physicians. The ongoing GRECCO-19</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study aims to identify whether colchicine may positively intervene in the clinical course of coronavirus disease 2019. At the same time, the LoDoCo2</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COLCOT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trials have demonstrated the effects of colchicine on the secondary prevention of coronary artery disease. These studies have made the use of colchicine more generalized, while long-term use of colchicine increases the risk of chronic colchicine poisoning</w:t>
      </w:r>
      <w:r>
        <w:rPr>
          <w:rFonts w:ascii="Book Antiqua" w:eastAsia="Book Antiqua" w:hAnsi="Book Antiqua" w:cs="Book Antiqua"/>
          <w:color w:val="000000"/>
        </w:rPr>
        <w:t>. Thus, it is essential for clinicians to realize chronic colchicine poisoning.</w:t>
      </w:r>
    </w:p>
    <w:p w14:paraId="2251CD5B" w14:textId="77777777" w:rsidR="00E860A5" w:rsidRDefault="00E860A5">
      <w:pPr>
        <w:spacing w:line="360" w:lineRule="auto"/>
        <w:jc w:val="both"/>
      </w:pPr>
    </w:p>
    <w:p w14:paraId="373FF3F3" w14:textId="77777777" w:rsidR="00E860A5" w:rsidRDefault="000C3EC2">
      <w:pPr>
        <w:spacing w:line="360" w:lineRule="auto"/>
        <w:jc w:val="both"/>
      </w:pPr>
      <w:r>
        <w:rPr>
          <w:rFonts w:ascii="Book Antiqua" w:eastAsia="Book Antiqua" w:hAnsi="Book Antiqua" w:cs="Book Antiqua"/>
          <w:b/>
          <w:caps/>
          <w:color w:val="000000"/>
          <w:u w:val="single"/>
        </w:rPr>
        <w:t>CASE PRESENTATION</w:t>
      </w:r>
    </w:p>
    <w:p w14:paraId="2B7E8D97" w14:textId="77777777" w:rsidR="00E860A5" w:rsidRDefault="000C3EC2">
      <w:pPr>
        <w:spacing w:line="360" w:lineRule="auto"/>
        <w:jc w:val="both"/>
      </w:pPr>
      <w:r>
        <w:rPr>
          <w:rFonts w:ascii="Book Antiqua" w:eastAsia="Book Antiqua" w:hAnsi="Book Antiqua" w:cs="Book Antiqua"/>
          <w:b/>
          <w:i/>
          <w:color w:val="000000"/>
        </w:rPr>
        <w:t>Chief complaints</w:t>
      </w:r>
    </w:p>
    <w:p w14:paraId="310AAB4E" w14:textId="77777777" w:rsidR="00E860A5" w:rsidRDefault="000C3EC2">
      <w:pPr>
        <w:spacing w:line="360" w:lineRule="auto"/>
        <w:jc w:val="both"/>
      </w:pPr>
      <w:r>
        <w:rPr>
          <w:rFonts w:ascii="Book Antiqua" w:eastAsia="Book Antiqua" w:hAnsi="Book Antiqua" w:cs="Book Antiqua"/>
          <w:color w:val="000000"/>
        </w:rPr>
        <w:lastRenderedPageBreak/>
        <w:t xml:space="preserve">A 61-year-old male was admitted to the emergency department (ED) due to numbness and weakness of the lower limbs, which was his second hospital admission. </w:t>
      </w:r>
    </w:p>
    <w:p w14:paraId="015A93D3" w14:textId="77777777" w:rsidR="00E860A5" w:rsidRDefault="00E860A5">
      <w:pPr>
        <w:spacing w:line="360" w:lineRule="auto"/>
        <w:ind w:firstLine="421"/>
        <w:jc w:val="both"/>
      </w:pPr>
    </w:p>
    <w:p w14:paraId="0AE5B9E2" w14:textId="77777777" w:rsidR="00E860A5" w:rsidRDefault="000C3EC2">
      <w:pPr>
        <w:spacing w:line="360" w:lineRule="auto"/>
        <w:jc w:val="both"/>
      </w:pPr>
      <w:r>
        <w:rPr>
          <w:rFonts w:ascii="Book Antiqua" w:eastAsia="Book Antiqua" w:hAnsi="Book Antiqua" w:cs="Book Antiqua"/>
          <w:b/>
          <w:i/>
          <w:color w:val="000000"/>
        </w:rPr>
        <w:t>History of present illness</w:t>
      </w:r>
    </w:p>
    <w:p w14:paraId="2A18B75F" w14:textId="77777777" w:rsidR="00E860A5" w:rsidRDefault="000C3EC2">
      <w:pPr>
        <w:spacing w:line="360" w:lineRule="auto"/>
        <w:jc w:val="both"/>
      </w:pPr>
      <w:r>
        <w:rPr>
          <w:rFonts w:ascii="Book Antiqua" w:eastAsia="Book Antiqua" w:hAnsi="Book Antiqua" w:cs="Book Antiqua"/>
          <w:color w:val="000000"/>
        </w:rPr>
        <w:t>The patient reported a history of colchicine consumption for gout. He in</w:t>
      </w:r>
      <w:r>
        <w:rPr>
          <w:rFonts w:ascii="Book Antiqua" w:eastAsia="Book Antiqua" w:hAnsi="Book Antiqua" w:cs="Book Antiqua"/>
          <w:color w:val="000000"/>
        </w:rPr>
        <w:t>itially only took colchicine temporally for joint pain control or preventive purposes before drinking alcohol. He then started taking high doses of colchicine over the recent five years as his gout progressed. He reported discontinuously taking 30 mg month</w:t>
      </w:r>
      <w:r>
        <w:rPr>
          <w:rFonts w:ascii="Book Antiqua" w:eastAsia="Book Antiqua" w:hAnsi="Book Antiqua" w:cs="Book Antiqua"/>
          <w:color w:val="000000"/>
        </w:rPr>
        <w:t xml:space="preserve">ly on average over the past five years. He also complained of diarrhea after taking colchicine. He was diagnosed with multiple gastric ulcers by gastroscopy (Figure 1) and pathology, for which he received a subtotal gastrectomy approximately 6 mo ago. </w:t>
      </w:r>
    </w:p>
    <w:p w14:paraId="113F7332" w14:textId="77777777" w:rsidR="00E860A5" w:rsidRDefault="00E860A5">
      <w:pPr>
        <w:spacing w:line="360" w:lineRule="auto"/>
        <w:ind w:firstLine="421"/>
        <w:jc w:val="both"/>
      </w:pPr>
    </w:p>
    <w:p w14:paraId="4A32FF6C" w14:textId="77777777" w:rsidR="00E860A5" w:rsidRDefault="000C3EC2">
      <w:pPr>
        <w:spacing w:line="360" w:lineRule="auto"/>
        <w:jc w:val="both"/>
      </w:pPr>
      <w:r>
        <w:rPr>
          <w:rFonts w:ascii="Book Antiqua" w:eastAsia="Book Antiqua" w:hAnsi="Book Antiqua" w:cs="Book Antiqua"/>
          <w:b/>
          <w:i/>
          <w:color w:val="000000"/>
        </w:rPr>
        <w:t>Hi</w:t>
      </w:r>
      <w:r>
        <w:rPr>
          <w:rFonts w:ascii="Book Antiqua" w:eastAsia="Book Antiqua" w:hAnsi="Book Antiqua" w:cs="Book Antiqua"/>
          <w:b/>
          <w:i/>
          <w:color w:val="000000"/>
        </w:rPr>
        <w:t>story of past illness</w:t>
      </w:r>
    </w:p>
    <w:p w14:paraId="217DA18C" w14:textId="77777777" w:rsidR="00E860A5" w:rsidRDefault="000C3EC2">
      <w:pPr>
        <w:spacing w:line="360" w:lineRule="auto"/>
        <w:jc w:val="both"/>
      </w:pPr>
      <w:r>
        <w:rPr>
          <w:rFonts w:ascii="Book Antiqua" w:eastAsia="Book Antiqua" w:hAnsi="Book Antiqua" w:cs="Book Antiqua"/>
          <w:color w:val="000000"/>
        </w:rPr>
        <w:t>The patient had hypertension for over 10 years.</w:t>
      </w:r>
    </w:p>
    <w:p w14:paraId="6BAB48C8" w14:textId="77777777" w:rsidR="00E860A5" w:rsidRDefault="00E860A5">
      <w:pPr>
        <w:spacing w:line="360" w:lineRule="auto"/>
        <w:jc w:val="both"/>
      </w:pPr>
    </w:p>
    <w:p w14:paraId="25140117" w14:textId="77777777" w:rsidR="00E860A5" w:rsidRDefault="000C3EC2">
      <w:pPr>
        <w:spacing w:line="360" w:lineRule="auto"/>
        <w:jc w:val="both"/>
      </w:pPr>
      <w:r>
        <w:rPr>
          <w:rFonts w:ascii="Book Antiqua" w:eastAsia="Book Antiqua" w:hAnsi="Book Antiqua" w:cs="Book Antiqua"/>
          <w:b/>
          <w:i/>
          <w:color w:val="000000"/>
        </w:rPr>
        <w:t>Personal and family history</w:t>
      </w:r>
    </w:p>
    <w:p w14:paraId="0B7AA082" w14:textId="77777777" w:rsidR="00E860A5" w:rsidRDefault="000C3EC2">
      <w:pPr>
        <w:spacing w:line="360" w:lineRule="auto"/>
        <w:jc w:val="both"/>
      </w:pPr>
      <w:r>
        <w:rPr>
          <w:rFonts w:ascii="Book Antiqua" w:eastAsia="Book Antiqua" w:hAnsi="Book Antiqua" w:cs="Book Antiqua"/>
          <w:color w:val="000000"/>
        </w:rPr>
        <w:t>He had a history of alcohol abuse.</w:t>
      </w:r>
    </w:p>
    <w:p w14:paraId="7A6C43D6" w14:textId="77777777" w:rsidR="00E860A5" w:rsidRDefault="00E860A5">
      <w:pPr>
        <w:spacing w:line="360" w:lineRule="auto"/>
        <w:jc w:val="both"/>
      </w:pPr>
    </w:p>
    <w:p w14:paraId="267353D1" w14:textId="77777777" w:rsidR="00E860A5" w:rsidRDefault="000C3EC2">
      <w:pPr>
        <w:spacing w:line="360" w:lineRule="auto"/>
        <w:jc w:val="both"/>
      </w:pPr>
      <w:r>
        <w:rPr>
          <w:rFonts w:ascii="Book Antiqua" w:eastAsia="Book Antiqua" w:hAnsi="Book Antiqua" w:cs="Book Antiqua"/>
          <w:b/>
          <w:i/>
          <w:color w:val="000000"/>
        </w:rPr>
        <w:t>Physical examination</w:t>
      </w:r>
    </w:p>
    <w:p w14:paraId="31634222" w14:textId="77777777" w:rsidR="00E860A5" w:rsidRDefault="000C3EC2">
      <w:pPr>
        <w:spacing w:line="360" w:lineRule="auto"/>
        <w:jc w:val="both"/>
      </w:pPr>
      <w:r>
        <w:rPr>
          <w:rFonts w:ascii="Book Antiqua" w:eastAsia="Book Antiqua" w:hAnsi="Book Antiqua" w:cs="Book Antiqua"/>
          <w:color w:val="000000"/>
        </w:rPr>
        <w:t>Physical examination showed that the patient was afebrile, with no abnormal findings on heart and lu</w:t>
      </w:r>
      <w:r>
        <w:rPr>
          <w:rFonts w:ascii="Book Antiqua" w:eastAsia="Book Antiqua" w:hAnsi="Book Antiqua" w:cs="Book Antiqua"/>
          <w:color w:val="000000"/>
        </w:rPr>
        <w:t xml:space="preserve">ng and abdominal examinations. However, multiple joint tenderness was present, consistent with gout. The patient’s muscle strength scores were 4 and 3 bilaterally in the upper and lower limbs, respectively. </w:t>
      </w:r>
    </w:p>
    <w:p w14:paraId="47ECD796" w14:textId="77777777" w:rsidR="00E860A5" w:rsidRDefault="00E860A5">
      <w:pPr>
        <w:spacing w:line="360" w:lineRule="auto"/>
        <w:jc w:val="both"/>
      </w:pPr>
    </w:p>
    <w:p w14:paraId="64176909" w14:textId="77777777" w:rsidR="00E860A5" w:rsidRDefault="000C3EC2">
      <w:pPr>
        <w:spacing w:line="360" w:lineRule="auto"/>
        <w:jc w:val="both"/>
      </w:pPr>
      <w:r>
        <w:rPr>
          <w:rFonts w:ascii="Book Antiqua" w:eastAsia="Book Antiqua" w:hAnsi="Book Antiqua" w:cs="Book Antiqua"/>
          <w:b/>
          <w:i/>
          <w:color w:val="000000"/>
        </w:rPr>
        <w:t>Laboratory examinations</w:t>
      </w:r>
    </w:p>
    <w:p w14:paraId="71256C69" w14:textId="77777777" w:rsidR="00E860A5" w:rsidRDefault="000C3EC2">
      <w:pPr>
        <w:spacing w:line="360" w:lineRule="auto"/>
        <w:jc w:val="both"/>
      </w:pPr>
      <w:r>
        <w:rPr>
          <w:rFonts w:ascii="Book Antiqua" w:eastAsia="Book Antiqua" w:hAnsi="Book Antiqua" w:cs="Book Antiqua"/>
          <w:color w:val="000000"/>
        </w:rPr>
        <w:t>After admission, we ord</w:t>
      </w:r>
      <w:r>
        <w:rPr>
          <w:rFonts w:ascii="Book Antiqua" w:eastAsia="Book Antiqua" w:hAnsi="Book Antiqua" w:cs="Book Antiqua"/>
          <w:color w:val="000000"/>
        </w:rPr>
        <w:t>ered a complete blood count (CBC), liver and kidney function tests, C-reactive protein, erythrocyte sedimentation rate (ESR), tumor markers and other blood tests. Additionally, we performed an electromyogram, a positron emission tomography-computed tomogra</w:t>
      </w:r>
      <w:r>
        <w:rPr>
          <w:rFonts w:ascii="Book Antiqua" w:eastAsia="Book Antiqua" w:hAnsi="Book Antiqua" w:cs="Book Antiqua"/>
          <w:color w:val="000000"/>
        </w:rPr>
        <w:t xml:space="preserve">phy (PET-CT) scan, and brain nuclear magnetic </w:t>
      </w:r>
      <w:r>
        <w:rPr>
          <w:rFonts w:ascii="Book Antiqua" w:eastAsia="Book Antiqua" w:hAnsi="Book Antiqua" w:cs="Book Antiqua"/>
          <w:color w:val="000000"/>
        </w:rPr>
        <w:lastRenderedPageBreak/>
        <w:t xml:space="preserve">resonance imaging (MRI). The CBC revealed the following: Leukocytes 2.72 </w:t>
      </w:r>
      <w:r>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neutrophils 1.75 </w:t>
      </w:r>
      <w:r>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hemoglobin 76 g/L, reticulocyte ratio 1.43%, indicating microcytic hypochromic anemia and leukopenia; </w:t>
      </w:r>
      <w:r>
        <w:rPr>
          <w:rFonts w:ascii="Book Antiqua" w:eastAsia="Book Antiqua" w:hAnsi="Book Antiqua" w:cs="Book Antiqua"/>
          <w:color w:val="000000"/>
        </w:rPr>
        <w:t>carbohydrate antigen 724 (CA724) &gt; 500 U/mL, which was highly increased; the ESR was 107 mm/h, which was also increased, for which we considered gout and infection as the most probable etiologic factors. Serum uric acid level was 449 µmol/L, which was also</w:t>
      </w:r>
      <w:r>
        <w:rPr>
          <w:rFonts w:ascii="Book Antiqua" w:eastAsia="Book Antiqua" w:hAnsi="Book Antiqua" w:cs="Book Antiqua"/>
          <w:color w:val="000000"/>
        </w:rPr>
        <w:t xml:space="preserve"> elevated. The patient’s serum ferritin, vitamin B12 and folic acid levels were all within the normal ranges. The patient’s potassium level was 3.2 mmol/L, calcium level was 2.1 mmol/L, and phosphate level was 0.71 mmol/L, suggesting hypokalemia, hypocalce</w:t>
      </w:r>
      <w:r>
        <w:rPr>
          <w:rFonts w:ascii="Book Antiqua" w:eastAsia="Book Antiqua" w:hAnsi="Book Antiqua" w:cs="Book Antiqua"/>
          <w:color w:val="000000"/>
        </w:rPr>
        <w:t>mia and hypophosphatemia. After consulting a neurologist, we considered Guillain-Barre syndrome (GBS) as a preliminary diagnosis. In order to reach a precise diagnosis, we performed a lumbar puncture, bone marrow puncture and biopsy. The biopsy results dem</w:t>
      </w:r>
      <w:r>
        <w:rPr>
          <w:rFonts w:ascii="Book Antiqua" w:eastAsia="Book Antiqua" w:hAnsi="Book Antiqua" w:cs="Book Antiqua"/>
          <w:color w:val="000000"/>
        </w:rPr>
        <w:t>onstrated myelodysplasia. No abnormalities were detected in the cerebrospinal fluid, which excluded GBS.</w:t>
      </w:r>
    </w:p>
    <w:p w14:paraId="43BCF8CC" w14:textId="77777777" w:rsidR="00E860A5" w:rsidRDefault="00E860A5">
      <w:pPr>
        <w:spacing w:line="360" w:lineRule="auto"/>
        <w:jc w:val="both"/>
      </w:pPr>
    </w:p>
    <w:p w14:paraId="43A17F4E" w14:textId="77777777" w:rsidR="00E860A5" w:rsidRDefault="000C3EC2">
      <w:pPr>
        <w:spacing w:line="360" w:lineRule="auto"/>
        <w:jc w:val="both"/>
      </w:pPr>
      <w:r>
        <w:rPr>
          <w:rFonts w:ascii="Book Antiqua" w:eastAsia="Book Antiqua" w:hAnsi="Book Antiqua" w:cs="Book Antiqua"/>
          <w:b/>
          <w:i/>
          <w:color w:val="000000"/>
        </w:rPr>
        <w:t>Imaging examinations</w:t>
      </w:r>
    </w:p>
    <w:p w14:paraId="259D9AF8" w14:textId="77777777" w:rsidR="00E860A5" w:rsidRDefault="000C3EC2">
      <w:pPr>
        <w:spacing w:line="360" w:lineRule="auto"/>
        <w:jc w:val="both"/>
      </w:pPr>
      <w:r>
        <w:rPr>
          <w:rFonts w:ascii="Book Antiqua" w:eastAsia="Book Antiqua" w:hAnsi="Book Antiqua" w:cs="Book Antiqua"/>
          <w:color w:val="000000"/>
        </w:rPr>
        <w:t>The PET-CT scan did not reveal any structural lesions such as malignant tumors, but showed an infection of the right inferior mol</w:t>
      </w:r>
      <w:r>
        <w:rPr>
          <w:rFonts w:ascii="Book Antiqua" w:eastAsia="Book Antiqua" w:hAnsi="Book Antiqua" w:cs="Book Antiqua"/>
          <w:color w:val="000000"/>
        </w:rPr>
        <w:t xml:space="preserve">ar teeth. Brain MRI was also normal. The electromyogram delineated neurogenic damage of the upper and lower limbs. </w:t>
      </w:r>
    </w:p>
    <w:p w14:paraId="2A4EE873" w14:textId="77777777" w:rsidR="00E860A5" w:rsidRDefault="00E860A5">
      <w:pPr>
        <w:spacing w:line="360" w:lineRule="auto"/>
        <w:jc w:val="both"/>
      </w:pPr>
    </w:p>
    <w:p w14:paraId="30383AC7" w14:textId="77777777" w:rsidR="00E860A5" w:rsidRDefault="000C3EC2">
      <w:pPr>
        <w:spacing w:line="360" w:lineRule="auto"/>
        <w:jc w:val="both"/>
      </w:pPr>
      <w:r>
        <w:rPr>
          <w:rFonts w:ascii="Book Antiqua" w:eastAsia="Book Antiqua" w:hAnsi="Book Antiqua" w:cs="Book Antiqua"/>
          <w:b/>
          <w:caps/>
          <w:color w:val="000000"/>
          <w:u w:val="single"/>
        </w:rPr>
        <w:t>FINAL DIAGNOSIS</w:t>
      </w:r>
    </w:p>
    <w:p w14:paraId="7833A434" w14:textId="77777777" w:rsidR="00E860A5" w:rsidRDefault="000C3EC2">
      <w:pPr>
        <w:spacing w:line="360" w:lineRule="auto"/>
        <w:jc w:val="both"/>
      </w:pPr>
      <w:r>
        <w:rPr>
          <w:rFonts w:ascii="Book Antiqua" w:eastAsia="Book Antiqua" w:hAnsi="Book Antiqua" w:cs="Book Antiqua"/>
          <w:color w:val="000000"/>
        </w:rPr>
        <w:t>The examination results led to a dilemma: What is the correct diagnosis in this patient? Considering the history of chronic</w:t>
      </w:r>
      <w:r>
        <w:rPr>
          <w:rFonts w:ascii="Book Antiqua" w:eastAsia="Book Antiqua" w:hAnsi="Book Antiqua" w:cs="Book Antiqua"/>
          <w:color w:val="000000"/>
        </w:rPr>
        <w:t xml:space="preserve"> colchicine intake, we suspected that all of the patient’s clinical manifestations might be side effects of colchicine therapy. Colchicine poisoning can manifest as myelosuppression, neuromyopathy, and gastrointestinal symptoms, which were all present in t</w:t>
      </w:r>
      <w:r>
        <w:rPr>
          <w:rFonts w:ascii="Book Antiqua" w:eastAsia="Book Antiqua" w:hAnsi="Book Antiqua" w:cs="Book Antiqua"/>
          <w:color w:val="000000"/>
        </w:rPr>
        <w:t xml:space="preserve">his patient. Based on these facts, we eventually diagnosed the patient with chronic colchicine poisoning manifested as myelosuppression, neuromyopathy and multiple gastric ulcers combined with right inferior molar teeth infection. </w:t>
      </w:r>
    </w:p>
    <w:p w14:paraId="702F5CC4" w14:textId="77777777" w:rsidR="00E860A5" w:rsidRDefault="00E860A5">
      <w:pPr>
        <w:spacing w:line="360" w:lineRule="auto"/>
        <w:jc w:val="both"/>
      </w:pPr>
    </w:p>
    <w:p w14:paraId="6406D166" w14:textId="77777777" w:rsidR="00E860A5" w:rsidRDefault="000C3EC2">
      <w:pPr>
        <w:spacing w:line="360" w:lineRule="auto"/>
        <w:jc w:val="both"/>
      </w:pPr>
      <w:r>
        <w:rPr>
          <w:rFonts w:ascii="Book Antiqua" w:eastAsia="Book Antiqua" w:hAnsi="Book Antiqua" w:cs="Book Antiqua"/>
          <w:b/>
          <w:caps/>
          <w:color w:val="000000"/>
          <w:u w:val="single"/>
        </w:rPr>
        <w:lastRenderedPageBreak/>
        <w:t>TREATMENT</w:t>
      </w:r>
    </w:p>
    <w:p w14:paraId="749C1C2E" w14:textId="77777777" w:rsidR="00E860A5" w:rsidRDefault="000C3EC2">
      <w:pPr>
        <w:spacing w:line="360" w:lineRule="auto"/>
        <w:ind w:firstLine="360"/>
        <w:jc w:val="both"/>
      </w:pPr>
      <w:r>
        <w:rPr>
          <w:rFonts w:ascii="Book Antiqua" w:eastAsia="Book Antiqua" w:hAnsi="Book Antiqua" w:cs="Book Antiqua"/>
          <w:color w:val="000000"/>
        </w:rPr>
        <w:t>Following admission, the patient suddenly developed a fever, his numbness and weakness progressed to both upper limbs, and he was unable to ambulate normally. Given the lack of a precise protocol for colchicine overdose, we counseled the patient to stop ta</w:t>
      </w:r>
      <w:r>
        <w:rPr>
          <w:rFonts w:ascii="Book Antiqua" w:eastAsia="Book Antiqua" w:hAnsi="Book Antiqua" w:cs="Book Antiqua"/>
          <w:color w:val="000000"/>
        </w:rPr>
        <w:t>king colchicine, and then administered recombinant human granulocyte factor to increase his leukocyte count. Ceftizoxime was also given to treat any concurrent infection. Lansoprazole was prescribed to treat his gastric ulcers. However, the patient still d</w:t>
      </w:r>
      <w:r>
        <w:rPr>
          <w:rFonts w:ascii="Book Antiqua" w:eastAsia="Book Antiqua" w:hAnsi="Book Antiqua" w:cs="Book Antiqua"/>
          <w:color w:val="000000"/>
        </w:rPr>
        <w:t>eveloped chalkstones, which is a manifestation of gout. Based on the PET-CT scans, we suspected that bacterial infection secondary to myelosuppression was the cause of his fever. After consulting a rheumatologist, we administered benzbromarone to reduce th</w:t>
      </w:r>
      <w:r>
        <w:rPr>
          <w:rFonts w:ascii="Book Antiqua" w:eastAsia="Book Antiqua" w:hAnsi="Book Antiqua" w:cs="Book Antiqua"/>
          <w:color w:val="000000"/>
        </w:rPr>
        <w:t>e patient’s serum uric acid levels. Considering his history of gastric ulcer, we did not administer nonsteroidal anti-inflammatory drugs (NSAIDS). After 7 d of hospitalization, the patient’s infection was controlled, he was afebrile and his leukocyte count</w:t>
      </w:r>
      <w:r>
        <w:rPr>
          <w:rFonts w:ascii="Book Antiqua" w:eastAsia="Book Antiqua" w:hAnsi="Book Antiqua" w:cs="Book Antiqua"/>
          <w:color w:val="000000"/>
        </w:rPr>
        <w:t xml:space="preserve"> was back to normal. However, his hemoglobin level did not change and his symptoms of neuromyopathy persisted. The patient was now in a stable condition, the recovery from colchicine poisoning was a slow process and many complications such as gastric ulcer</w:t>
      </w:r>
      <w:r>
        <w:rPr>
          <w:rFonts w:ascii="Book Antiqua" w:eastAsia="Book Antiqua" w:hAnsi="Book Antiqua" w:cs="Book Antiqua"/>
          <w:color w:val="000000"/>
        </w:rPr>
        <w:t>s were irreversible. He was then discharged and transferred to the rehabilitation ward for further recovery. We counseled him to stop taking colchicine and drinking alcohol, and prescribed lansoprazole, mecobalamin, cefdinir (for 7 more days) and advised h</w:t>
      </w:r>
      <w:r>
        <w:rPr>
          <w:rFonts w:ascii="Book Antiqua" w:eastAsia="Book Antiqua" w:hAnsi="Book Antiqua" w:cs="Book Antiqua"/>
          <w:color w:val="000000"/>
        </w:rPr>
        <w:t>im to return to the clinic for follow-up after a month.</w:t>
      </w:r>
    </w:p>
    <w:p w14:paraId="23F200A8" w14:textId="77777777" w:rsidR="00E860A5" w:rsidRDefault="00E860A5">
      <w:pPr>
        <w:spacing w:line="360" w:lineRule="auto"/>
        <w:ind w:firstLine="360"/>
        <w:jc w:val="both"/>
      </w:pPr>
    </w:p>
    <w:p w14:paraId="160FEEE5" w14:textId="77777777" w:rsidR="00E860A5" w:rsidRDefault="000C3EC2">
      <w:pPr>
        <w:spacing w:line="360" w:lineRule="auto"/>
        <w:jc w:val="both"/>
      </w:pPr>
      <w:r>
        <w:rPr>
          <w:rFonts w:ascii="Book Antiqua" w:eastAsia="Book Antiqua" w:hAnsi="Book Antiqua" w:cs="Book Antiqua"/>
          <w:b/>
          <w:caps/>
          <w:color w:val="000000"/>
          <w:u w:val="single"/>
        </w:rPr>
        <w:t>OUTCOME AND FOLLOW-UP</w:t>
      </w:r>
    </w:p>
    <w:p w14:paraId="7C4C9411" w14:textId="77777777" w:rsidR="00E860A5" w:rsidRDefault="000C3EC2">
      <w:pPr>
        <w:spacing w:line="360" w:lineRule="auto"/>
        <w:jc w:val="both"/>
      </w:pPr>
      <w:r>
        <w:rPr>
          <w:rFonts w:ascii="Book Antiqua" w:eastAsia="Book Antiqua" w:hAnsi="Book Antiqua" w:cs="Book Antiqua"/>
          <w:color w:val="000000"/>
        </w:rPr>
        <w:t>We followed the patient for 3 mo during which time his gout symptoms were controlled. His hemoglobin level rose to 110 g/L, he was afebrile, and his weakness and numbness were a</w:t>
      </w:r>
      <w:r>
        <w:rPr>
          <w:rFonts w:ascii="Book Antiqua" w:eastAsia="Book Antiqua" w:hAnsi="Book Antiqua" w:cs="Book Antiqua"/>
          <w:color w:val="000000"/>
        </w:rPr>
        <w:t>lmost completely alleviated. The patient was still unable to walk. His leukocyte count was within the normal range. The patient was admitted to the rehabilitation ward for further recovery.</w:t>
      </w:r>
    </w:p>
    <w:p w14:paraId="20D937F4" w14:textId="77777777" w:rsidR="00E860A5" w:rsidRDefault="00E860A5">
      <w:pPr>
        <w:spacing w:line="360" w:lineRule="auto"/>
        <w:jc w:val="both"/>
      </w:pPr>
    </w:p>
    <w:p w14:paraId="48445525" w14:textId="77777777" w:rsidR="00E860A5" w:rsidRDefault="000C3EC2">
      <w:pPr>
        <w:spacing w:line="360" w:lineRule="auto"/>
        <w:jc w:val="both"/>
      </w:pPr>
      <w:r>
        <w:rPr>
          <w:rFonts w:ascii="Book Antiqua" w:eastAsia="Book Antiqua" w:hAnsi="Book Antiqua" w:cs="Book Antiqua"/>
          <w:b/>
          <w:caps/>
          <w:color w:val="000000"/>
          <w:u w:val="single"/>
        </w:rPr>
        <w:t>DISCUSSION</w:t>
      </w:r>
    </w:p>
    <w:p w14:paraId="00834D8D" w14:textId="77777777" w:rsidR="00E860A5" w:rsidRDefault="000C3EC2">
      <w:pPr>
        <w:spacing w:line="360" w:lineRule="auto"/>
        <w:jc w:val="both"/>
      </w:pPr>
      <w:r>
        <w:rPr>
          <w:rFonts w:ascii="Book Antiqua" w:eastAsia="Book Antiqua" w:hAnsi="Book Antiqua" w:cs="Book Antiqua"/>
          <w:color w:val="000000"/>
        </w:rPr>
        <w:lastRenderedPageBreak/>
        <w:t>Colchicine has been reported to be rapidly absorbed fr</w:t>
      </w:r>
      <w:r>
        <w:rPr>
          <w:rFonts w:ascii="Book Antiqua" w:eastAsia="Book Antiqua" w:hAnsi="Book Antiqua" w:cs="Book Antiqua"/>
          <w:color w:val="000000"/>
        </w:rPr>
        <w:t>om the gastrointestinal tract</w:t>
      </w:r>
      <w:r>
        <w:rPr>
          <w:rFonts w:ascii="Book Antiqua" w:eastAsia="Book Antiqua" w:hAnsi="Book Antiqua" w:cs="Book Antiqua"/>
          <w:color w:val="000000"/>
          <w:vertAlign w:val="superscript"/>
        </w:rPr>
        <w:t>[4]</w:t>
      </w:r>
      <w:r>
        <w:rPr>
          <w:rFonts w:ascii="Book Antiqua" w:eastAsia="Book Antiqua" w:hAnsi="Book Antiqua" w:cs="Book Antiqua"/>
          <w:color w:val="000000"/>
        </w:rPr>
        <w:t>. The serum concentration of colchicine has been shown to peak 0.5-3 h after ingestion</w:t>
      </w:r>
      <w:r>
        <w:rPr>
          <w:rFonts w:ascii="Book Antiqua" w:eastAsia="Book Antiqua" w:hAnsi="Book Antiqua" w:cs="Book Antiqua"/>
          <w:color w:val="000000"/>
          <w:vertAlign w:val="superscript"/>
        </w:rPr>
        <w:t>[4]</w:t>
      </w:r>
      <w:r>
        <w:rPr>
          <w:rFonts w:ascii="Book Antiqua" w:eastAsia="Book Antiqua" w:hAnsi="Book Antiqua" w:cs="Book Antiqua"/>
          <w:color w:val="000000"/>
        </w:rPr>
        <w:t>. Colchicine poisoning consists of three phases. First, the gastrointestinal phase: 0–24 h post-ingestion. Second, the multi-organ fail</w:t>
      </w:r>
      <w:r>
        <w:rPr>
          <w:rFonts w:ascii="Book Antiqua" w:eastAsia="Book Antiqua" w:hAnsi="Book Antiqua" w:cs="Book Antiqua"/>
          <w:color w:val="000000"/>
        </w:rPr>
        <w:t>ure phase: 1-7 d post-ingestion. Third, the recovery phase: 7-21 d post-ingestion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patient experienced diarrhea after taking colchicine, which was consistent with the gastrointestinal phase. The patient presented to the ED with neuromyopathy, bone </w:t>
      </w:r>
      <w:r>
        <w:rPr>
          <w:rFonts w:ascii="Book Antiqua" w:eastAsia="Book Antiqua" w:hAnsi="Book Antiqua" w:cs="Book Antiqua"/>
          <w:color w:val="000000"/>
        </w:rPr>
        <w:t>marrow suppression, hypokalemia, hypocalcemia and hypophosphatemia, which were consistent with the multi-organ failure phase. Many patients die during this phase. Nevertheless, this patient survived the multi-organ failure phase and entered the recovery ph</w:t>
      </w:r>
      <w:r>
        <w:rPr>
          <w:rFonts w:ascii="Book Antiqua" w:eastAsia="Book Antiqua" w:hAnsi="Book Antiqua" w:cs="Book Antiqua"/>
          <w:color w:val="000000"/>
        </w:rPr>
        <w:t>ase after being discharged from the ED. Moreover, chronic colchicine toxicity has also been reported to induce neuromyopathy and myocardial failure</w:t>
      </w:r>
      <w:r>
        <w:rPr>
          <w:rFonts w:ascii="Book Antiqua" w:eastAsia="Book Antiqua" w:hAnsi="Book Antiqua" w:cs="Book Antiqua"/>
          <w:color w:val="000000"/>
          <w:vertAlign w:val="superscript"/>
        </w:rPr>
        <w:t>[4]</w:t>
      </w:r>
      <w:r>
        <w:rPr>
          <w:rFonts w:ascii="Book Antiqua" w:eastAsia="Book Antiqua" w:hAnsi="Book Antiqua" w:cs="Book Antiqua"/>
          <w:color w:val="000000"/>
        </w:rPr>
        <w:t>. Considering this patient’s chronic colchicine use, he met the diagnostic criteria for chronic colchicine</w:t>
      </w:r>
      <w:r>
        <w:rPr>
          <w:rFonts w:ascii="Book Antiqua" w:eastAsia="Book Antiqua" w:hAnsi="Book Antiqua" w:cs="Book Antiqua"/>
          <w:color w:val="000000"/>
        </w:rPr>
        <w:t xml:space="preserve"> poisoning. Related reports confirm that colchicine-induced neuromyopathy usually resolves after discontinuation</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842DD49" w14:textId="77777777" w:rsidR="00E860A5" w:rsidRDefault="000C3EC2">
      <w:pPr>
        <w:spacing w:line="360" w:lineRule="auto"/>
        <w:ind w:firstLine="360"/>
        <w:jc w:val="both"/>
      </w:pPr>
      <w:r>
        <w:rPr>
          <w:rFonts w:ascii="Book Antiqua" w:eastAsia="Book Antiqua" w:hAnsi="Book Antiqua" w:cs="Book Antiqua"/>
          <w:color w:val="000000"/>
        </w:rPr>
        <w:t xml:space="preserve">Multiple gastric ulcers are a rare and seldom reported manifestation of colchicine poisoning. According to the instructions on the </w:t>
      </w:r>
      <w:r>
        <w:rPr>
          <w:rFonts w:ascii="Book Antiqua" w:eastAsia="Book Antiqua" w:hAnsi="Book Antiqua" w:cs="Book Antiqua"/>
          <w:color w:val="000000"/>
        </w:rPr>
        <w:t>drug’s manual, gastric changes can occur in patients with long-term intake. Therefore, the patient’s multiple gastric ulcers were a manifestation of chronic colchicine poisoning. Colchicine poisoning manifesting as neuromyopathy has been reported several t</w:t>
      </w:r>
      <w:r>
        <w:rPr>
          <w:rFonts w:ascii="Book Antiqua" w:eastAsia="Book Antiqua" w:hAnsi="Book Antiqua" w:cs="Book Antiqua"/>
          <w:color w:val="000000"/>
        </w:rPr>
        <w:t>imes in patients with long-term intake</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This patient with chronic colchicine intake developed neurogenic damage of the upper and lower limbs, consistent with previous reports. Nowadays, more knowledge on colchicine is available; thus, there have been </w:t>
      </w:r>
      <w:r>
        <w:rPr>
          <w:rFonts w:ascii="Book Antiqua" w:eastAsia="Book Antiqua" w:hAnsi="Book Antiqua" w:cs="Book Antiqua"/>
          <w:color w:val="000000"/>
        </w:rPr>
        <w:t>fewer reports of neuromyopathy in recent years. However, this clinical manifestation of colchicine poisoning cannot be ignored.</w:t>
      </w:r>
    </w:p>
    <w:p w14:paraId="483002CD" w14:textId="77777777" w:rsidR="00E860A5" w:rsidRDefault="000C3EC2">
      <w:pPr>
        <w:spacing w:line="360" w:lineRule="auto"/>
        <w:ind w:firstLine="360"/>
        <w:jc w:val="both"/>
      </w:pPr>
      <w:r>
        <w:rPr>
          <w:rFonts w:ascii="Book Antiqua" w:eastAsia="Book Antiqua" w:hAnsi="Book Antiqua" w:cs="Book Antiqua"/>
          <w:color w:val="000000"/>
        </w:rPr>
        <w:t>Bone marrow suppression has also been reported as a clinical manifestation of colchicine poisoning in some patients. It has been</w:t>
      </w:r>
      <w:r>
        <w:rPr>
          <w:rFonts w:ascii="Book Antiqua" w:eastAsia="Book Antiqua" w:hAnsi="Book Antiqua" w:cs="Book Antiqua"/>
          <w:color w:val="000000"/>
        </w:rPr>
        <w:t xml:space="preserve"> reported that granulocyte colony-stimulating factor is effective in treating leukopenia</w:t>
      </w:r>
      <w:r>
        <w:rPr>
          <w:rFonts w:ascii="Book Antiqua" w:eastAsia="Book Antiqua" w:hAnsi="Book Antiqua" w:cs="Book Antiqua"/>
          <w:color w:val="000000"/>
          <w:vertAlign w:val="superscript"/>
        </w:rPr>
        <w:t>[7]</w:t>
      </w:r>
      <w:r>
        <w:rPr>
          <w:rFonts w:ascii="Book Antiqua" w:eastAsia="Book Antiqua" w:hAnsi="Book Antiqua" w:cs="Book Antiqua"/>
          <w:color w:val="000000"/>
        </w:rPr>
        <w:t>. This patient had leukopenia and anemia, and the bone marrow biopsy confirmed the diagnosis of myelodysplasia. We treated his bone marrow suppression with recombina</w:t>
      </w:r>
      <w:r>
        <w:rPr>
          <w:rFonts w:ascii="Book Antiqua" w:eastAsia="Book Antiqua" w:hAnsi="Book Antiqua" w:cs="Book Antiqua"/>
          <w:color w:val="000000"/>
        </w:rPr>
        <w:t xml:space="preserve">nt human granulocyte factor, a type of granulocyte colony-stimulating factor (G-CSF). Following treatment with G-CSF, the </w:t>
      </w:r>
      <w:r>
        <w:rPr>
          <w:rFonts w:ascii="Book Antiqua" w:eastAsia="Book Antiqua" w:hAnsi="Book Antiqua" w:cs="Book Antiqua"/>
          <w:color w:val="000000"/>
        </w:rPr>
        <w:lastRenderedPageBreak/>
        <w:t>patient’s leukocyte count returned to normal. The patient also developed a fever after admission, and the PET-CT scan confirmed the di</w:t>
      </w:r>
      <w:r>
        <w:rPr>
          <w:rFonts w:ascii="Book Antiqua" w:eastAsia="Book Antiqua" w:hAnsi="Book Antiqua" w:cs="Book Antiqua"/>
          <w:color w:val="000000"/>
        </w:rPr>
        <w:t>agnosis of infection. We thought that this infection was secondary to bone marrow suppression. As tooth infections are usually responsive to third-generation cephalosporins, we managed his infection with ceftizoxime. The patient was afebrile after 7 days o</w:t>
      </w:r>
      <w:r>
        <w:rPr>
          <w:rFonts w:ascii="Book Antiqua" w:eastAsia="Book Antiqua" w:hAnsi="Book Antiqua" w:cs="Book Antiqua"/>
          <w:color w:val="000000"/>
        </w:rPr>
        <w:t xml:space="preserve">f antibiotic therapy. </w:t>
      </w:r>
    </w:p>
    <w:p w14:paraId="74E84A23" w14:textId="77777777" w:rsidR="00E860A5" w:rsidRDefault="000C3EC2">
      <w:pPr>
        <w:spacing w:line="360" w:lineRule="auto"/>
        <w:ind w:firstLine="360"/>
        <w:jc w:val="both"/>
      </w:pPr>
      <w:r>
        <w:rPr>
          <w:rFonts w:ascii="Book Antiqua" w:eastAsia="Book Antiqua" w:hAnsi="Book Antiqua" w:cs="Book Antiqua"/>
          <w:color w:val="000000"/>
        </w:rPr>
        <w:t>Colchicine blocks microtubule polymerization by an anti-inflammatory mechanism</w:t>
      </w:r>
      <w:r>
        <w:rPr>
          <w:rFonts w:ascii="Book Antiqua" w:eastAsia="Book Antiqua" w:hAnsi="Book Antiqua" w:cs="Book Antiqua"/>
          <w:color w:val="000000"/>
          <w:vertAlign w:val="superscript"/>
        </w:rPr>
        <w:t>[8]</w:t>
      </w:r>
      <w:r>
        <w:rPr>
          <w:rFonts w:ascii="Book Antiqua" w:eastAsia="Book Antiqua" w:hAnsi="Book Antiqua" w:cs="Book Antiqua"/>
          <w:color w:val="000000"/>
        </w:rPr>
        <w:t>. Recently the American College of Rheumatology (ACR)</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European League Against Rheumatism (EULAR)</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recommended the initiation of colchicine for</w:t>
      </w:r>
      <w:r>
        <w:rPr>
          <w:rFonts w:ascii="Book Antiqua" w:eastAsia="Book Antiqua" w:hAnsi="Book Antiqua" w:cs="Book Antiqua"/>
          <w:color w:val="000000"/>
        </w:rPr>
        <w:t xml:space="preserve"> acute gout treatment at a dosing regimen of 1.2 mg once (1.0 mg in the EULAR recommendations), followed by the administration of 0.6 mg 1 h later (0.5 mg in the EULAR recommendations). ACR</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guidelines recommend colchicine 0.5-0.6 mg once or twice daily </w:t>
      </w:r>
      <w:r>
        <w:rPr>
          <w:rFonts w:ascii="Book Antiqua" w:eastAsia="Book Antiqua" w:hAnsi="Book Antiqua" w:cs="Book Antiqua"/>
          <w:color w:val="000000"/>
        </w:rPr>
        <w:t>as first-line prophylactic therapy in patients who are initiated on urate-lowering therapy. They recommend using colchicine for 3 mo after achieving the target serum urate concentration in a patient without tophi on physical examination or 6 mo after achie</w:t>
      </w:r>
      <w:r>
        <w:rPr>
          <w:rFonts w:ascii="Book Antiqua" w:eastAsia="Book Antiqua" w:hAnsi="Book Antiqua" w:cs="Book Antiqua"/>
          <w:color w:val="000000"/>
        </w:rPr>
        <w:t>ving the target serum urate concentration in patients with resolution of tophi previously seen on physical examination. In addition, EULAR</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guidelines recommend using colchicine for the first 6 mo after urate-lowering therapy, with a recommended dose of</w:t>
      </w:r>
      <w:r>
        <w:rPr>
          <w:rFonts w:ascii="Book Antiqua" w:eastAsia="Book Antiqua" w:hAnsi="Book Antiqua" w:cs="Book Antiqua"/>
          <w:color w:val="000000"/>
        </w:rPr>
        <w:t xml:space="preserve"> 0.5-1 mg/d. Our patient did not use colchicine correctly according to the latest guidelines. He took colchicine at a dose higher than the prescribed dose. However, urate-lowering therapy was not initiated. This is why his gout was not controlled and he wa</w:t>
      </w:r>
      <w:r>
        <w:rPr>
          <w:rFonts w:ascii="Book Antiqua" w:eastAsia="Book Antiqua" w:hAnsi="Book Antiqua" w:cs="Book Antiqua"/>
          <w:color w:val="000000"/>
        </w:rPr>
        <w:t>s diagnosed with chronic colchicine poisoning. According to the newest ACR</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guidelines, urate-lowering therapy is recommended as the anchor medicine for gout and anti-inflammatory drugs are recommended for gout flare treatment. Allopurinol is recommended</w:t>
      </w:r>
      <w:r>
        <w:rPr>
          <w:rFonts w:ascii="Book Antiqua" w:eastAsia="Book Antiqua" w:hAnsi="Book Antiqua" w:cs="Book Antiqua"/>
          <w:color w:val="000000"/>
        </w:rPr>
        <w:t xml:space="preserve"> as the first-line treatment for urate-lowering therapy over other urate-lowering drugs. Moreover, colchicine and NSAIDs are recommended for gout flare treatment. The patient did not use colchicine correctly, as he used it as a prophylactic drug instead of</w:t>
      </w:r>
      <w:r>
        <w:rPr>
          <w:rFonts w:ascii="Book Antiqua" w:eastAsia="Book Antiqua" w:hAnsi="Book Antiqua" w:cs="Book Antiqua"/>
          <w:color w:val="000000"/>
        </w:rPr>
        <w:t xml:space="preserve"> gout flare treatment. He received urate-lowering drugs after discharge and his gout symptoms were controlled.  </w:t>
      </w:r>
    </w:p>
    <w:p w14:paraId="0E710E7D" w14:textId="77777777" w:rsidR="00E860A5" w:rsidRDefault="000C3EC2">
      <w:pPr>
        <w:spacing w:line="360" w:lineRule="auto"/>
        <w:ind w:firstLine="240"/>
        <w:jc w:val="both"/>
      </w:pPr>
      <w:r>
        <w:rPr>
          <w:rFonts w:ascii="Book Antiqua" w:eastAsia="Book Antiqua" w:hAnsi="Book Antiqua" w:cs="Book Antiqua"/>
          <w:color w:val="000000"/>
        </w:rPr>
        <w:lastRenderedPageBreak/>
        <w:t>The latest meta-analysis confirmed that colchicine increases the rate of diarrhea and gastrointestinal adverse events but does not increase the</w:t>
      </w:r>
      <w:r>
        <w:rPr>
          <w:rFonts w:ascii="Book Antiqua" w:eastAsia="Book Antiqua" w:hAnsi="Book Antiqua" w:cs="Book Antiqua"/>
          <w:color w:val="000000"/>
        </w:rPr>
        <w:t xml:space="preserve"> rate of liver, sensory, muscle, infectious or hematologic adverse events or death</w:t>
      </w:r>
      <w:r>
        <w:rPr>
          <w:rFonts w:ascii="Book Antiqua" w:eastAsia="Book Antiqua" w:hAnsi="Book Antiqua" w:cs="Book Antiqua"/>
          <w:color w:val="000000"/>
          <w:vertAlign w:val="superscript"/>
        </w:rPr>
        <w:t>[11]</w:t>
      </w:r>
      <w:r>
        <w:rPr>
          <w:rFonts w:ascii="Book Antiqua" w:eastAsia="Book Antiqua" w:hAnsi="Book Antiqua" w:cs="Book Antiqua"/>
          <w:color w:val="000000"/>
        </w:rPr>
        <w:t>. Therefore, this patient’s clinical manifestations were rare. Contrary to chronic colchicine poisoning,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acute colchicine poisoning is sometimes seen in clinical practice</w:t>
      </w:r>
      <w:r>
        <w:rPr>
          <w:rFonts w:ascii="Book Antiqua" w:eastAsia="Book Antiqua" w:hAnsi="Book Antiqua" w:cs="Book Antiqua"/>
          <w:color w:val="000000"/>
        </w:rPr>
        <w:t>. Chronic colchicine poisoning is usually seen in patients taking colchicine prophylactically. This patient had a history of chronic colchicine intake for prophylaxis. Chronic colchicine poisoning is seldom seen and it has been associated with a high morta</w:t>
      </w:r>
      <w:r>
        <w:rPr>
          <w:rFonts w:ascii="Book Antiqua" w:eastAsia="Book Antiqua" w:hAnsi="Book Antiqua" w:cs="Book Antiqua"/>
          <w:color w:val="000000"/>
        </w:rPr>
        <w:t>lity rate. Only a minority of patients recover from chronic colchicine poisoning. Hence, patients’ medication history should never be ignored. Moreover, to prevent similar cases, we should also educate patients on the side effects of colchicine and counsel</w:t>
      </w:r>
      <w:r>
        <w:rPr>
          <w:rFonts w:ascii="Book Antiqua" w:eastAsia="Book Antiqua" w:hAnsi="Book Antiqua" w:cs="Book Antiqua"/>
          <w:color w:val="000000"/>
        </w:rPr>
        <w:t xml:space="preserve"> them to take drugs as indicated by their healthcare provider.</w:t>
      </w:r>
    </w:p>
    <w:p w14:paraId="224588EF" w14:textId="77777777" w:rsidR="00E860A5" w:rsidRDefault="00E860A5">
      <w:pPr>
        <w:spacing w:line="360" w:lineRule="auto"/>
        <w:jc w:val="both"/>
      </w:pPr>
    </w:p>
    <w:p w14:paraId="60A30327" w14:textId="77777777" w:rsidR="00E860A5" w:rsidRDefault="000C3EC2">
      <w:pPr>
        <w:spacing w:line="360" w:lineRule="auto"/>
        <w:jc w:val="both"/>
      </w:pPr>
      <w:r>
        <w:rPr>
          <w:rFonts w:ascii="Book Antiqua" w:eastAsia="Book Antiqua" w:hAnsi="Book Antiqua" w:cs="Book Antiqua"/>
          <w:b/>
          <w:caps/>
          <w:color w:val="000000"/>
          <w:u w:val="single"/>
        </w:rPr>
        <w:t>CONCLUSION</w:t>
      </w:r>
    </w:p>
    <w:p w14:paraId="68BCD033" w14:textId="77777777" w:rsidR="00E860A5" w:rsidRDefault="000C3EC2">
      <w:pPr>
        <w:spacing w:line="360" w:lineRule="auto"/>
        <w:jc w:val="both"/>
      </w:pPr>
      <w:r>
        <w:rPr>
          <w:rFonts w:ascii="Book Antiqua" w:eastAsia="Book Antiqua" w:hAnsi="Book Antiqua" w:cs="Book Antiqua"/>
          <w:color w:val="000000"/>
        </w:rPr>
        <w:t>With ongoing clinical trials on colchicine use in more generalized diseases, the probability of chronic colchicine poisoning is on the rise. Colchicine poisoning has multiple clinic</w:t>
      </w:r>
      <w:r>
        <w:rPr>
          <w:rFonts w:ascii="Book Antiqua" w:eastAsia="Book Antiqua" w:hAnsi="Book Antiqua" w:cs="Book Antiqua"/>
          <w:color w:val="000000"/>
        </w:rPr>
        <w:t>al manifestations, and is usually misdiagnosed as physicians usually do not inquire about colchicine intake while taking the patient’s history.</w:t>
      </w:r>
    </w:p>
    <w:p w14:paraId="2E8C16FC" w14:textId="77777777" w:rsidR="00E860A5" w:rsidRDefault="00E860A5">
      <w:pPr>
        <w:spacing w:line="360" w:lineRule="auto"/>
        <w:jc w:val="both"/>
      </w:pPr>
    </w:p>
    <w:p w14:paraId="4F5A8EF2" w14:textId="77777777" w:rsidR="00E860A5" w:rsidRDefault="000C3EC2">
      <w:pPr>
        <w:spacing w:line="360" w:lineRule="auto"/>
        <w:jc w:val="both"/>
      </w:pPr>
      <w:r>
        <w:rPr>
          <w:rFonts w:ascii="Book Antiqua" w:eastAsia="Book Antiqua" w:hAnsi="Book Antiqua" w:cs="Book Antiqua"/>
          <w:b/>
          <w:color w:val="000000"/>
        </w:rPr>
        <w:t>REFERENCES</w:t>
      </w:r>
    </w:p>
    <w:p w14:paraId="602ACC1A" w14:textId="77777777" w:rsidR="00E860A5" w:rsidRDefault="000C3EC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Deftereos SG</w:t>
      </w:r>
      <w:r>
        <w:rPr>
          <w:rFonts w:ascii="Book Antiqua" w:eastAsia="Book Antiqua" w:hAnsi="Book Antiqua" w:cs="Book Antiqua"/>
          <w:color w:val="000000"/>
        </w:rPr>
        <w:t>, Siasos G, Giannopoulos G, Vrachatis DA, Angelidis C, Giotaki SG, Gargalianos P, Giam</w:t>
      </w:r>
      <w:r>
        <w:rPr>
          <w:rFonts w:ascii="Book Antiqua" w:eastAsia="Book Antiqua" w:hAnsi="Book Antiqua" w:cs="Book Antiqua"/>
          <w:color w:val="000000"/>
        </w:rPr>
        <w:t>arellou H, Gogos C, Daikos G, Lazanas M, Lagiou P, Saroglou G, Sipsas N, Tsiodras S, Chatzigeorgiou D, Moussas N, Kotanidou A, Koulouris N, Oikonomou E, Kaoukis A, Kossyvakis C, Raisakis K, Fountoulaki K, Comis M, Tsiachris D, Sarri E, Theodorakis A, Marti</w:t>
      </w:r>
      <w:r>
        <w:rPr>
          <w:rFonts w:ascii="Book Antiqua" w:eastAsia="Book Antiqua" w:hAnsi="Book Antiqua" w:cs="Book Antiqua"/>
          <w:color w:val="000000"/>
        </w:rPr>
        <w:t>nez-Dolz L, Sanz-Sánchez J, Reimers B, Stefanini GG, Cleman M, Filippou D, Olympios CD, Pyrgakis VN, Goudevenos J, Hahalis G, Kolettis TM, Iliodromitis E, Tousoulis D, Stefanadis C. The Greek study in the effects of colchicine in COvid-19 complications pre</w:t>
      </w:r>
      <w:r>
        <w:rPr>
          <w:rFonts w:ascii="Book Antiqua" w:eastAsia="Book Antiqua" w:hAnsi="Book Antiqua" w:cs="Book Antiqua"/>
          <w:color w:val="000000"/>
        </w:rPr>
        <w:t xml:space="preserve">vention (GRECCO-19 study): Rationale and study design. </w:t>
      </w:r>
      <w:r>
        <w:rPr>
          <w:rFonts w:ascii="Book Antiqua" w:eastAsia="Book Antiqua" w:hAnsi="Book Antiqua" w:cs="Book Antiqua"/>
          <w:i/>
          <w:iCs/>
          <w:color w:val="000000"/>
        </w:rPr>
        <w:t>Hellenic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42-45 [PMID: 32251729 DOI: 10.1016/j.hjc.2020.03.002]</w:t>
      </w:r>
    </w:p>
    <w:p w14:paraId="64E4FAC1" w14:textId="77777777" w:rsidR="00E860A5" w:rsidRDefault="000C3EC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2 Nidorf SM, Fiolet ATL, Mosterd A, Eikelboom JW, Schut A, Opstal TSJ, The SHK, Xu XF, Ireland MA, Lenderink T, Latche</w:t>
      </w:r>
      <w:r>
        <w:rPr>
          <w:rFonts w:ascii="Book Antiqua" w:eastAsia="Book Antiqua" w:hAnsi="Book Antiqua" w:cs="Book Antiqua"/>
          <w:color w:val="000000"/>
        </w:rPr>
        <w:t>m D, Hoogslag P, Jerzewski A, Nierop P, Whelan A, Hendriks R, Swart H, Schaap J, Kuijper AFM, van Hessen MWJ, Saklani P, Tan I, Thompson AG, Morton A, Judkins C, Bax WA, Dirksen M, Alings M, Hankey GJ, Budgeon CA, Tijssen JGP, Cornel JH, Thompson PL; LoDoC</w:t>
      </w:r>
      <w:r>
        <w:rPr>
          <w:rFonts w:ascii="Book Antiqua" w:eastAsia="Book Antiqua" w:hAnsi="Book Antiqua" w:cs="Book Antiqua"/>
          <w:color w:val="000000"/>
        </w:rPr>
        <w:t>o2 Trial Investigators. Colchicine in Patients with Chronic Coronary Disease. N Engl J Med 2020; 383: 1838-1847 [PMID: 32865380 DOI: 10.1056/NEJMoa2021372]</w:t>
      </w:r>
    </w:p>
    <w:p w14:paraId="3F749AE0" w14:textId="77777777" w:rsidR="00E860A5" w:rsidRDefault="000C3EC2">
      <w:pPr>
        <w:spacing w:line="360" w:lineRule="auto"/>
        <w:jc w:val="both"/>
      </w:pPr>
      <w:r>
        <w:t>3 Bouabdallaoui N, Tardif JC, Waters DD, Pinto FJ, Maggioni AP, Diaz R, Berry C, Koenig W, Lopez-Sen</w:t>
      </w:r>
      <w:r>
        <w:t>don J, Gamra H, Kiwan GS, Blondeau L, Orfanos A, Ibrahim R, Grégoire JC, Dubé MP, Samuel M, Morel O, Lim P, Bertrand OF, Kouz S, Guertin MC, L'Allier PL, Roubille F. Time-to-treatment initiation of colchicine and cardiovascular outcomes after myocardial in</w:t>
      </w:r>
      <w:r>
        <w:t>farction in the Colchicine Cardiovascular Outcomes Trial (COLCOT). Eur Heart J 2020; 41: 4092-4099 [PMID: 32860034 DOI: 10.1093/eurheartj/ehaa659]</w:t>
      </w:r>
    </w:p>
    <w:p w14:paraId="77665844" w14:textId="77777777" w:rsidR="00E860A5" w:rsidRDefault="000C3EC2">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4</w:t>
      </w:r>
      <w:r>
        <w:rPr>
          <w:rFonts w:ascii="Book Antiqua" w:hAnsi="Book Antiqua" w:cs="Book Antiqua"/>
          <w:color w:val="000000"/>
          <w:lang w:eastAsia="zh-CN"/>
        </w:rPr>
        <w:t xml:space="preserve"> </w:t>
      </w:r>
      <w:r>
        <w:rPr>
          <w:rFonts w:ascii="Book Antiqua" w:eastAsia="Book Antiqua" w:hAnsi="Book Antiqua" w:cs="Book Antiqua"/>
          <w:b/>
          <w:bCs/>
          <w:color w:val="000000"/>
        </w:rPr>
        <w:t>Finkelstein Y</w:t>
      </w:r>
      <w:r>
        <w:rPr>
          <w:rFonts w:ascii="Book Antiqua" w:eastAsia="Book Antiqua" w:hAnsi="Book Antiqua" w:cs="Book Antiqua"/>
          <w:color w:val="000000"/>
        </w:rPr>
        <w:t xml:space="preserve">, Aks SE, Hutson JR, Juurlink DN, Nguyen P, Dubnov-Raz G, Pollak U, Koren G, Bentur Y. Colchicine poisoning: the dark side of an ancient drug. </w:t>
      </w:r>
      <w:r>
        <w:rPr>
          <w:rFonts w:ascii="Book Antiqua" w:eastAsia="Book Antiqua" w:hAnsi="Book Antiqua" w:cs="Book Antiqua"/>
          <w:i/>
          <w:iCs/>
          <w:color w:val="000000"/>
        </w:rPr>
        <w:t>Clin Toxicol (Phila)</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407-414 [PMID: 20586571 DOI: 10.3109/15563650.2010.495348]</w:t>
      </w:r>
    </w:p>
    <w:p w14:paraId="2C552130" w14:textId="77777777" w:rsidR="00E860A5" w:rsidRDefault="000C3EC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Deyn PP</w:t>
      </w:r>
      <w:r>
        <w:rPr>
          <w:rFonts w:ascii="Book Antiqua" w:eastAsia="Book Antiqua" w:hAnsi="Book Antiqua" w:cs="Book Antiqua"/>
          <w:color w:val="000000"/>
        </w:rPr>
        <w:t>, Ceuterick</w:t>
      </w:r>
      <w:r>
        <w:rPr>
          <w:rFonts w:ascii="Book Antiqua" w:eastAsia="Book Antiqua" w:hAnsi="Book Antiqua" w:cs="Book Antiqua"/>
          <w:color w:val="000000"/>
        </w:rPr>
        <w:t xml:space="preserve"> C, Saxena V, Crols R, Chappel R, Martin JJ. Chronic colchicine-induced myopathy and neuropathy. </w:t>
      </w:r>
      <w:r>
        <w:rPr>
          <w:rFonts w:ascii="Book Antiqua" w:eastAsia="Book Antiqua" w:hAnsi="Book Antiqua" w:cs="Book Antiqua"/>
          <w:i/>
          <w:iCs/>
          <w:color w:val="000000"/>
        </w:rPr>
        <w:t>Acta Neurol Belg</w:t>
      </w:r>
      <w:r>
        <w:rPr>
          <w:rFonts w:ascii="Book Antiqua" w:eastAsia="Book Antiqua" w:hAnsi="Book Antiqua" w:cs="Book Antiqua"/>
          <w:color w:val="000000"/>
        </w:rPr>
        <w:t xml:space="preserve"> 1995; </w:t>
      </w:r>
      <w:r>
        <w:rPr>
          <w:rFonts w:ascii="Book Antiqua" w:eastAsia="Book Antiqua" w:hAnsi="Book Antiqua" w:cs="Book Antiqua"/>
          <w:b/>
          <w:bCs/>
          <w:color w:val="000000"/>
        </w:rPr>
        <w:t>95</w:t>
      </w:r>
      <w:r>
        <w:rPr>
          <w:rFonts w:ascii="Book Antiqua" w:eastAsia="Book Antiqua" w:hAnsi="Book Antiqua" w:cs="Book Antiqua"/>
          <w:color w:val="000000"/>
        </w:rPr>
        <w:t>: 29-32 [PMID: 7725894 DOI: 10.1007/s13760-017-0768-9]</w:t>
      </w:r>
    </w:p>
    <w:p w14:paraId="58E70B46" w14:textId="77777777" w:rsidR="00E860A5" w:rsidRDefault="000C3EC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Choi SS</w:t>
      </w:r>
      <w:r>
        <w:rPr>
          <w:rFonts w:ascii="Book Antiqua" w:eastAsia="Book Antiqua" w:hAnsi="Book Antiqua" w:cs="Book Antiqua"/>
          <w:color w:val="000000"/>
        </w:rPr>
        <w:t xml:space="preserve">, Chan KF, Ng HK, Mak WP. Colchicine-induced myopathy and neuropathy.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1999; </w:t>
      </w:r>
      <w:r>
        <w:rPr>
          <w:rFonts w:ascii="Book Antiqua" w:eastAsia="Book Antiqua" w:hAnsi="Book Antiqua" w:cs="Book Antiqua"/>
          <w:b/>
          <w:bCs/>
          <w:color w:val="000000"/>
        </w:rPr>
        <w:t>5</w:t>
      </w:r>
      <w:r>
        <w:rPr>
          <w:rFonts w:ascii="Book Antiqua" w:eastAsia="Book Antiqua" w:hAnsi="Book Antiqua" w:cs="Book Antiqua"/>
          <w:color w:val="000000"/>
        </w:rPr>
        <w:t>: 204-207 [PMID: 11821595 DOI: 10.12809/hkmj208390]</w:t>
      </w:r>
    </w:p>
    <w:p w14:paraId="32A8584B" w14:textId="77777777" w:rsidR="00E860A5" w:rsidRDefault="000C3EC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Harris R</w:t>
      </w:r>
      <w:r>
        <w:rPr>
          <w:rFonts w:ascii="Book Antiqua" w:eastAsia="Book Antiqua" w:hAnsi="Book Antiqua" w:cs="Book Antiqua"/>
          <w:color w:val="000000"/>
        </w:rPr>
        <w:t xml:space="preserve">, Marx G, Gillett M, Kark A, Arunanthy S. Colchicine-induced bone marrow suppression: treatment with granulocyte colony-stimulating factor. </w:t>
      </w:r>
      <w:r>
        <w:rPr>
          <w:rFonts w:ascii="Book Antiqua" w:eastAsia="Book Antiqua" w:hAnsi="Book Antiqua" w:cs="Book Antiqua"/>
          <w:i/>
          <w:iCs/>
          <w:color w:val="000000"/>
        </w:rPr>
        <w:t>J Emerg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435-440 [</w:t>
      </w:r>
      <w:r>
        <w:rPr>
          <w:rFonts w:ascii="Book Antiqua" w:eastAsia="Book Antiqua" w:hAnsi="Book Antiqua" w:cs="Book Antiqua"/>
          <w:color w:val="000000"/>
        </w:rPr>
        <w:t>PMID: 10802421 DOI: 10.1016/s0736-4679(00)00160-8]</w:t>
      </w:r>
    </w:p>
    <w:p w14:paraId="7F50033E" w14:textId="77777777" w:rsidR="00E860A5" w:rsidRDefault="000C3EC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Pascart T</w:t>
      </w:r>
      <w:r>
        <w:rPr>
          <w:rFonts w:ascii="Book Antiqua" w:eastAsia="Book Antiqua" w:hAnsi="Book Antiqua" w:cs="Book Antiqua"/>
          <w:color w:val="000000"/>
        </w:rPr>
        <w:t xml:space="preserve">, Richette P. Colchicine in Gout: An Update.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684-689 [PMID: 29336252 DOI: 10.2174/1381612824999180115103951]</w:t>
      </w:r>
    </w:p>
    <w:p w14:paraId="3B996519" w14:textId="77777777" w:rsidR="00E860A5" w:rsidRDefault="000C3EC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FitzGerald JD</w:t>
      </w:r>
      <w:r>
        <w:rPr>
          <w:rFonts w:ascii="Book Antiqua" w:eastAsia="Book Antiqua" w:hAnsi="Book Antiqua" w:cs="Book Antiqua"/>
          <w:color w:val="000000"/>
        </w:rPr>
        <w:t xml:space="preserve">, Dalbeth N, Mikuls T, Brignardello-Petersen </w:t>
      </w:r>
      <w:r>
        <w:rPr>
          <w:rFonts w:ascii="Book Antiqua" w:eastAsia="Book Antiqua" w:hAnsi="Book Antiqua" w:cs="Book Antiqua"/>
          <w:color w:val="000000"/>
        </w:rPr>
        <w:t xml:space="preserve">R, Guyatt G, Abeles AM, Gelber AC, Harrold LR, Khanna D, King C, Levy G, Libbey C, Mount D, Pillinger MH, Rosenthal A, Singh JA, Sims JE, Smith BJ, Wenger NS, Bae SS, Danve A, Khanna PP, Kim </w:t>
      </w:r>
      <w:r>
        <w:rPr>
          <w:rFonts w:ascii="Book Antiqua" w:eastAsia="Book Antiqua" w:hAnsi="Book Antiqua" w:cs="Book Antiqua"/>
          <w:color w:val="000000"/>
        </w:rPr>
        <w:lastRenderedPageBreak/>
        <w:t xml:space="preserve">SC, Lenert A, Poon S, Qasim A, Sehra ST, Sharma TSK, Toprover M, </w:t>
      </w:r>
      <w:r>
        <w:rPr>
          <w:rFonts w:ascii="Book Antiqua" w:eastAsia="Book Antiqua" w:hAnsi="Book Antiqua" w:cs="Book Antiqua"/>
          <w:color w:val="000000"/>
        </w:rPr>
        <w:t xml:space="preserve">Turgunbaev M, Zeng L, Zhang MA, Turner AS, Neogi T. 2020 American College of Rheumatology Guideline for the Management of Gout.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744-760 [PMID: 32391934 DOI: 10.1002/acr.24180]</w:t>
      </w:r>
    </w:p>
    <w:p w14:paraId="06C8486D" w14:textId="77777777" w:rsidR="00E860A5" w:rsidRDefault="000C3EC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Richette P</w:t>
      </w:r>
      <w:r>
        <w:rPr>
          <w:rFonts w:ascii="Book Antiqua" w:eastAsia="Book Antiqua" w:hAnsi="Book Antiqua" w:cs="Book Antiqua"/>
          <w:bCs/>
          <w:color w:val="000000"/>
        </w:rPr>
        <w:t>, Doherty M, Pascual E, Bars</w:t>
      </w:r>
      <w:r>
        <w:rPr>
          <w:rFonts w:ascii="Book Antiqua" w:eastAsia="Book Antiqua" w:hAnsi="Book Antiqua" w:cs="Book Antiqua"/>
          <w:bCs/>
          <w:color w:val="000000"/>
        </w:rPr>
        <w:t>kova V, Becce F, Castañeda-Sanabria J, Coyfish M, Guillo S, Jansen TL, Janssens H, Lioté F, Mallen C, Nuki G, Perez-Ruiz F, Pimentao J, Punzi L, Pywell T, So A, Tausche AK, Uhlig T, Zavada J, Zhang W, Tubach F, Bardin T. 2016 updated EULAR evidence-based r</w:t>
      </w:r>
      <w:r>
        <w:rPr>
          <w:rFonts w:ascii="Book Antiqua" w:eastAsia="Book Antiqua" w:hAnsi="Book Antiqua" w:cs="Book Antiqua"/>
          <w:bCs/>
          <w:color w:val="000000"/>
        </w:rPr>
        <w:t xml:space="preserve">ecommendations for the management of gout. </w:t>
      </w:r>
      <w:r>
        <w:rPr>
          <w:rFonts w:ascii="Book Antiqua" w:eastAsia="Book Antiqua" w:hAnsi="Book Antiqua" w:cs="Book Antiqua"/>
          <w:bCs/>
          <w:i/>
          <w:iCs/>
          <w:color w:val="000000"/>
        </w:rPr>
        <w:t>Ann Rheum Dis</w:t>
      </w:r>
      <w:r>
        <w:rPr>
          <w:rFonts w:ascii="Book Antiqua" w:eastAsia="Book Antiqua" w:hAnsi="Book Antiqua" w:cs="Book Antiqua"/>
          <w:bCs/>
          <w:color w:val="000000"/>
        </w:rPr>
        <w:t xml:space="preserve"> 2017; </w:t>
      </w:r>
      <w:r>
        <w:rPr>
          <w:rFonts w:ascii="Book Antiqua" w:eastAsia="Book Antiqua" w:hAnsi="Book Antiqua" w:cs="Book Antiqua"/>
          <w:b/>
          <w:bCs/>
          <w:color w:val="000000"/>
        </w:rPr>
        <w:t>76</w:t>
      </w:r>
      <w:r>
        <w:rPr>
          <w:rFonts w:ascii="Book Antiqua" w:eastAsia="Book Antiqua" w:hAnsi="Book Antiqua" w:cs="Book Antiqua"/>
          <w:bCs/>
          <w:color w:val="000000"/>
        </w:rPr>
        <w:t>: 29-42 [PMID: 27457514 DOI: 10.1136/annrheumdis-2016-209707]</w:t>
      </w:r>
    </w:p>
    <w:p w14:paraId="4C8F36FE" w14:textId="77777777" w:rsidR="00E860A5" w:rsidRDefault="000C3EC2">
      <w:pPr>
        <w:spacing w:line="360" w:lineRule="auto"/>
        <w:jc w:val="both"/>
        <w:rPr>
          <w:rFonts w:ascii="Book Antiqua" w:eastAsia="Book Antiqua" w:hAnsi="Book Antiqua" w:cs="Book Antiqua"/>
          <w:b/>
          <w:bCs/>
          <w:color w:val="000000"/>
        </w:rPr>
      </w:pPr>
      <w:r>
        <w:rPr>
          <w:rFonts w:hint="eastAsia"/>
          <w:lang w:eastAsia="zh-CN"/>
        </w:rPr>
        <w:t>1</w:t>
      </w:r>
      <w:r>
        <w:rPr>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Stewart S</w:t>
      </w:r>
      <w:r>
        <w:rPr>
          <w:rFonts w:ascii="Book Antiqua" w:eastAsia="Book Antiqua" w:hAnsi="Book Antiqua" w:cs="Book Antiqua"/>
          <w:color w:val="000000"/>
        </w:rPr>
        <w:t xml:space="preserve">, Yang KCK, Atkins K, Dalbeth N, Robinson PC. Adverse events during oral colchicine use: a systematic review and meta-analysis of randomised controlled trials. </w:t>
      </w:r>
      <w:r>
        <w:rPr>
          <w:rFonts w:ascii="Book Antiqua" w:eastAsia="Book Antiqua" w:hAnsi="Book Antiqua" w:cs="Book Antiqua"/>
          <w:i/>
          <w:iCs/>
          <w:color w:val="000000"/>
        </w:rPr>
        <w:t>Arthritis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28 [PMID: 32054504 DOI: 10.1186/s13075-020-2120-7]</w:t>
      </w:r>
    </w:p>
    <w:p w14:paraId="2D3D8D5C" w14:textId="77777777" w:rsidR="00E860A5" w:rsidRDefault="00E860A5">
      <w:pPr>
        <w:spacing w:line="360" w:lineRule="auto"/>
        <w:jc w:val="both"/>
      </w:pPr>
    </w:p>
    <w:p w14:paraId="2D64C928" w14:textId="77777777" w:rsidR="00E860A5" w:rsidRDefault="00E860A5">
      <w:pPr>
        <w:spacing w:line="360" w:lineRule="auto"/>
        <w:jc w:val="both"/>
        <w:sectPr w:rsidR="00E860A5">
          <w:pgSz w:w="12240" w:h="15840"/>
          <w:pgMar w:top="1440" w:right="1440" w:bottom="1440" w:left="1440" w:header="720" w:footer="720" w:gutter="0"/>
          <w:cols w:space="720"/>
          <w:docGrid w:linePitch="360"/>
        </w:sectPr>
      </w:pPr>
    </w:p>
    <w:p w14:paraId="0E85C8FE" w14:textId="77777777" w:rsidR="00E860A5" w:rsidRDefault="000C3EC2">
      <w:pPr>
        <w:spacing w:line="360" w:lineRule="auto"/>
        <w:jc w:val="both"/>
      </w:pPr>
      <w:r>
        <w:rPr>
          <w:rFonts w:ascii="Book Antiqua" w:eastAsia="Book Antiqua" w:hAnsi="Book Antiqua" w:cs="Book Antiqua"/>
          <w:b/>
          <w:color w:val="000000"/>
        </w:rPr>
        <w:lastRenderedPageBreak/>
        <w:t>Footnot</w:t>
      </w:r>
      <w:r>
        <w:rPr>
          <w:rFonts w:ascii="Book Antiqua" w:eastAsia="Book Antiqua" w:hAnsi="Book Antiqua" w:cs="Book Antiqua"/>
          <w:b/>
          <w:color w:val="000000"/>
        </w:rPr>
        <w:t>es</w:t>
      </w:r>
    </w:p>
    <w:p w14:paraId="3D7C7A5C" w14:textId="77777777" w:rsidR="00E860A5" w:rsidRDefault="000C3EC2">
      <w:pPr>
        <w:spacing w:line="360" w:lineRule="auto"/>
        <w:jc w:val="both"/>
      </w:pPr>
      <w:r>
        <w:rPr>
          <w:rFonts w:ascii="Book Antiqua" w:eastAsia="Book Antiqua" w:hAnsi="Book Antiqua" w:cs="Book Antiqua"/>
          <w:b/>
          <w:bCs/>
          <w:color w:val="000000"/>
          <w:szCs w:val="21"/>
        </w:rPr>
        <w:t>Informed consent statement:</w:t>
      </w:r>
      <w:r>
        <w:rPr>
          <w:rFonts w:ascii="Book Antiqua" w:eastAsia="Book Antiqua" w:hAnsi="Book Antiqua" w:cs="Book Antiqua"/>
          <w:color w:val="000000"/>
        </w:rPr>
        <w:t xml:space="preserve"> Informed written consent was obtained from the patient for publication of this report and any accompanying images.</w:t>
      </w:r>
    </w:p>
    <w:p w14:paraId="6B6EFD33" w14:textId="77777777" w:rsidR="00E860A5" w:rsidRDefault="00E860A5">
      <w:pPr>
        <w:spacing w:line="360" w:lineRule="auto"/>
        <w:jc w:val="both"/>
      </w:pPr>
    </w:p>
    <w:p w14:paraId="1BF48F4E" w14:textId="77777777" w:rsidR="00E860A5" w:rsidRDefault="000C3EC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102A6DE5" w14:textId="77777777" w:rsidR="00E860A5" w:rsidRDefault="00E860A5">
      <w:pPr>
        <w:spacing w:line="360" w:lineRule="auto"/>
        <w:jc w:val="both"/>
      </w:pPr>
    </w:p>
    <w:p w14:paraId="46C69367" w14:textId="77777777" w:rsidR="00E860A5" w:rsidRDefault="000C3EC2">
      <w:pPr>
        <w:spacing w:line="360" w:lineRule="auto"/>
        <w:jc w:val="both"/>
      </w:pPr>
      <w:r>
        <w:rPr>
          <w:rFonts w:ascii="Book Antiqua" w:eastAsia="Book Antiqua" w:hAnsi="Book Antiqua" w:cs="Book Antiqua"/>
          <w:b/>
          <w:bCs/>
          <w:color w:val="000000"/>
          <w:szCs w:val="21"/>
        </w:rPr>
        <w:t>CARE Checklist (</w:t>
      </w:r>
      <w:r>
        <w:rPr>
          <w:rFonts w:ascii="Book Antiqua" w:eastAsia="Book Antiqua" w:hAnsi="Book Antiqua" w:cs="Book Antiqua"/>
          <w:b/>
          <w:bCs/>
          <w:color w:val="000000"/>
          <w:szCs w:val="21"/>
        </w:rPr>
        <w:t xml:space="preserve">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B11AC83" w14:textId="77777777" w:rsidR="00E860A5" w:rsidRDefault="00E860A5">
      <w:pPr>
        <w:spacing w:line="360" w:lineRule="auto"/>
        <w:jc w:val="both"/>
      </w:pPr>
    </w:p>
    <w:p w14:paraId="0013EC1E" w14:textId="77777777" w:rsidR="00E860A5" w:rsidRDefault="000C3EC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w:t>
      </w:r>
      <w:r>
        <w:rPr>
          <w:rFonts w:ascii="Book Antiqua" w:eastAsia="Book Antiqua" w:hAnsi="Book Antiqua" w:cs="Book Antiqua"/>
          <w:color w:val="000000"/>
        </w:rPr>
        <w:t>r-reviewed by external reviewers. It is distributed in accordance with the Creative Commons Attribution NonCommercial (CC BY-NC 4.0) license, which permits others to distribute, remix, adapt, build upon this work non-commercially, and license their derivat</w:t>
      </w:r>
      <w:r>
        <w:rPr>
          <w:rFonts w:ascii="Book Antiqua" w:eastAsia="Book Antiqua" w:hAnsi="Book Antiqua" w:cs="Book Antiqua"/>
          <w:color w:val="000000"/>
        </w:rPr>
        <w:t>ive works on different terms, provided the original work is properly cited and the use is non-commercial. See: http://creativecommons.org/Licenses/by-nc/4.0/</w:t>
      </w:r>
    </w:p>
    <w:p w14:paraId="1755FC2A" w14:textId="77777777" w:rsidR="00E860A5" w:rsidRDefault="00E860A5">
      <w:pPr>
        <w:spacing w:line="360" w:lineRule="auto"/>
        <w:jc w:val="both"/>
      </w:pPr>
    </w:p>
    <w:p w14:paraId="58B792C0" w14:textId="77777777" w:rsidR="00E860A5" w:rsidRDefault="000C3EC2">
      <w:pPr>
        <w:spacing w:line="360" w:lineRule="auto"/>
        <w:jc w:val="both"/>
        <w:rPr>
          <w:rFonts w:ascii="Book Antiqua" w:hAnsi="Book Antiqua"/>
        </w:rPr>
      </w:pPr>
      <w:r>
        <w:rPr>
          <w:rFonts w:ascii="Book Antiqua" w:hAnsi="Book Antiqua"/>
          <w:b/>
          <w:bCs/>
        </w:rPr>
        <w:t>Provenance</w:t>
      </w:r>
      <w:r>
        <w:rPr>
          <w:rFonts w:ascii="Book Antiqua" w:eastAsia="宋体" w:hAnsi="Book Antiqua" w:hint="eastAsia"/>
          <w:b/>
          <w:bCs/>
          <w:lang w:eastAsia="zh-CN"/>
        </w:rPr>
        <w:t xml:space="preserve"> </w:t>
      </w:r>
      <w:r>
        <w:rPr>
          <w:rFonts w:ascii="Book Antiqua" w:hAnsi="Book Antiqua"/>
          <w:b/>
          <w:bCs/>
        </w:rPr>
        <w:t>and</w:t>
      </w:r>
      <w:r>
        <w:rPr>
          <w:rFonts w:ascii="Book Antiqua" w:eastAsia="宋体" w:hAnsi="Book Antiqua" w:hint="eastAsia"/>
          <w:b/>
          <w:bCs/>
          <w:lang w:eastAsia="zh-CN"/>
        </w:rPr>
        <w:t xml:space="preserve"> </w:t>
      </w:r>
      <w:r>
        <w:rPr>
          <w:rFonts w:ascii="Book Antiqua" w:hAnsi="Book Antiqua"/>
          <w:b/>
          <w:bCs/>
        </w:rPr>
        <w:t>peer</w:t>
      </w:r>
      <w:r>
        <w:rPr>
          <w:rFonts w:ascii="Book Antiqua" w:eastAsia="宋体" w:hAnsi="Book Antiqua" w:hint="eastAsia"/>
          <w:b/>
          <w:bCs/>
          <w:lang w:eastAsia="zh-CN"/>
        </w:rPr>
        <w:t xml:space="preserve"> </w:t>
      </w:r>
      <w:r>
        <w:rPr>
          <w:rFonts w:ascii="Book Antiqua" w:hAnsi="Book Antiqua"/>
          <w:b/>
          <w:bCs/>
        </w:rPr>
        <w:t>review:</w:t>
      </w:r>
      <w:r>
        <w:rPr>
          <w:rFonts w:ascii="Book Antiqua" w:eastAsia="宋体" w:hAnsi="Book Antiqua" w:hint="eastAsia"/>
          <w:lang w:eastAsia="zh-CN"/>
        </w:rPr>
        <w:t xml:space="preserve"> </w:t>
      </w:r>
      <w:r>
        <w:rPr>
          <w:rFonts w:ascii="Book Antiqua" w:hAnsi="Book Antiqua"/>
        </w:rPr>
        <w:t>Unsolicited</w:t>
      </w:r>
      <w:r>
        <w:rPr>
          <w:rFonts w:ascii="Book Antiqua" w:eastAsia="宋体" w:hAnsi="Book Antiqua" w:hint="eastAsia"/>
          <w:lang w:eastAsia="zh-CN"/>
        </w:rPr>
        <w:t xml:space="preserve"> </w:t>
      </w:r>
      <w:r>
        <w:rPr>
          <w:rFonts w:ascii="Book Antiqua" w:hAnsi="Book Antiqua"/>
        </w:rPr>
        <w:t>article;</w:t>
      </w:r>
      <w:r>
        <w:rPr>
          <w:rFonts w:ascii="Book Antiqua" w:eastAsia="宋体" w:hAnsi="Book Antiqua" w:hint="eastAsia"/>
          <w:lang w:eastAsia="zh-CN"/>
        </w:rPr>
        <w:t xml:space="preserve"> </w:t>
      </w:r>
      <w:r>
        <w:rPr>
          <w:rFonts w:ascii="Book Antiqua" w:hAnsi="Book Antiqua"/>
        </w:rPr>
        <w:t>Externally</w:t>
      </w:r>
      <w:r>
        <w:rPr>
          <w:rFonts w:ascii="Book Antiqua" w:eastAsia="宋体" w:hAnsi="Book Antiqua" w:hint="eastAsia"/>
          <w:lang w:eastAsia="zh-CN"/>
        </w:rPr>
        <w:t xml:space="preserve"> </w:t>
      </w:r>
      <w:r>
        <w:rPr>
          <w:rFonts w:ascii="Book Antiqua" w:hAnsi="Book Antiqua"/>
        </w:rPr>
        <w:t>peer</w:t>
      </w:r>
      <w:r>
        <w:rPr>
          <w:rFonts w:ascii="Book Antiqua" w:eastAsia="宋体" w:hAnsi="Book Antiqua" w:hint="eastAsia"/>
          <w:lang w:eastAsia="zh-CN"/>
        </w:rPr>
        <w:t xml:space="preserve"> </w:t>
      </w:r>
      <w:r>
        <w:rPr>
          <w:rFonts w:ascii="Book Antiqua" w:hAnsi="Book Antiqua"/>
        </w:rPr>
        <w:t>reviewed</w:t>
      </w:r>
    </w:p>
    <w:p w14:paraId="1585BFCA" w14:textId="77777777" w:rsidR="00E860A5" w:rsidRDefault="00E860A5">
      <w:pPr>
        <w:spacing w:line="360" w:lineRule="auto"/>
        <w:jc w:val="both"/>
      </w:pPr>
    </w:p>
    <w:p w14:paraId="471B6932" w14:textId="77777777" w:rsidR="00E860A5" w:rsidRDefault="000C3EC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9, 2021</w:t>
      </w:r>
    </w:p>
    <w:p w14:paraId="019F8194" w14:textId="77777777" w:rsidR="00E860A5" w:rsidRDefault="000C3EC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5F3AB925" w14:textId="77777777" w:rsidR="00E860A5" w:rsidRDefault="000C3EC2">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27, 2021</w:t>
      </w:r>
    </w:p>
    <w:p w14:paraId="6ADDAAFD" w14:textId="77777777" w:rsidR="00E860A5" w:rsidRDefault="00E860A5">
      <w:pPr>
        <w:spacing w:line="360" w:lineRule="auto"/>
        <w:jc w:val="both"/>
      </w:pPr>
    </w:p>
    <w:p w14:paraId="54F59C74" w14:textId="77777777" w:rsidR="00E860A5" w:rsidRDefault="000C3EC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Emergency medicine</w:t>
      </w:r>
    </w:p>
    <w:p w14:paraId="6D7FE162" w14:textId="77777777" w:rsidR="00E860A5" w:rsidRDefault="000C3EC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F6653C" w14:textId="77777777" w:rsidR="00E860A5" w:rsidRDefault="000C3EC2">
      <w:pPr>
        <w:spacing w:line="360" w:lineRule="auto"/>
        <w:jc w:val="both"/>
      </w:pPr>
      <w:r>
        <w:rPr>
          <w:rFonts w:ascii="Book Antiqua" w:eastAsia="Book Antiqua" w:hAnsi="Book Antiqua" w:cs="Book Antiqua"/>
          <w:b/>
          <w:color w:val="000000"/>
        </w:rPr>
        <w:t>Peer-review report’s scientific quality classification</w:t>
      </w:r>
    </w:p>
    <w:p w14:paraId="509699B8" w14:textId="77777777" w:rsidR="00E860A5" w:rsidRDefault="000C3EC2">
      <w:pPr>
        <w:spacing w:line="360" w:lineRule="auto"/>
        <w:jc w:val="both"/>
      </w:pPr>
      <w:r>
        <w:rPr>
          <w:rFonts w:ascii="Book Antiqua" w:eastAsia="Book Antiqua" w:hAnsi="Book Antiqua" w:cs="Book Antiqua"/>
          <w:color w:val="000000"/>
        </w:rPr>
        <w:t>Grade A (Excellent): 0</w:t>
      </w:r>
    </w:p>
    <w:p w14:paraId="3C940967" w14:textId="77777777" w:rsidR="00E860A5" w:rsidRDefault="000C3EC2">
      <w:pPr>
        <w:spacing w:line="360" w:lineRule="auto"/>
        <w:jc w:val="both"/>
      </w:pPr>
      <w:r>
        <w:rPr>
          <w:rFonts w:ascii="Book Antiqua" w:eastAsia="Book Antiqua" w:hAnsi="Book Antiqua" w:cs="Book Antiqua"/>
          <w:color w:val="000000"/>
        </w:rPr>
        <w:t xml:space="preserve">Grade B </w:t>
      </w:r>
      <w:r>
        <w:rPr>
          <w:rFonts w:ascii="Book Antiqua" w:eastAsia="Book Antiqua" w:hAnsi="Book Antiqua" w:cs="Book Antiqua"/>
          <w:color w:val="000000"/>
        </w:rPr>
        <w:t>(Very good): B, B</w:t>
      </w:r>
    </w:p>
    <w:p w14:paraId="16397AEE" w14:textId="77777777" w:rsidR="00E860A5" w:rsidRDefault="000C3EC2">
      <w:pPr>
        <w:spacing w:line="360" w:lineRule="auto"/>
        <w:jc w:val="both"/>
      </w:pPr>
      <w:r>
        <w:rPr>
          <w:rFonts w:ascii="Book Antiqua" w:eastAsia="Book Antiqua" w:hAnsi="Book Antiqua" w:cs="Book Antiqua"/>
          <w:color w:val="000000"/>
        </w:rPr>
        <w:t>Grade C (Good): C</w:t>
      </w:r>
    </w:p>
    <w:p w14:paraId="362DAD04" w14:textId="77777777" w:rsidR="00E860A5" w:rsidRDefault="000C3EC2">
      <w:pPr>
        <w:spacing w:line="360" w:lineRule="auto"/>
        <w:jc w:val="both"/>
      </w:pPr>
      <w:r>
        <w:rPr>
          <w:rFonts w:ascii="Book Antiqua" w:eastAsia="Book Antiqua" w:hAnsi="Book Antiqua" w:cs="Book Antiqua"/>
          <w:color w:val="000000"/>
        </w:rPr>
        <w:t>Grade D (Fair): 0</w:t>
      </w:r>
    </w:p>
    <w:p w14:paraId="115340E8" w14:textId="77777777" w:rsidR="00E860A5" w:rsidRDefault="000C3EC2">
      <w:pPr>
        <w:spacing w:line="360" w:lineRule="auto"/>
        <w:jc w:val="both"/>
      </w:pPr>
      <w:r>
        <w:rPr>
          <w:rFonts w:ascii="Book Antiqua" w:eastAsia="Book Antiqua" w:hAnsi="Book Antiqua" w:cs="Book Antiqua"/>
          <w:color w:val="000000"/>
        </w:rPr>
        <w:lastRenderedPageBreak/>
        <w:t>Grade E (Poor): 0</w:t>
      </w:r>
    </w:p>
    <w:p w14:paraId="41EDBE93" w14:textId="77777777" w:rsidR="00E860A5" w:rsidRDefault="00E860A5">
      <w:pPr>
        <w:spacing w:line="360" w:lineRule="auto"/>
        <w:jc w:val="both"/>
      </w:pPr>
    </w:p>
    <w:p w14:paraId="58B4F361" w14:textId="77777777" w:rsidR="00E860A5" w:rsidRDefault="000C3EC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Anghelescu A, Jatuworapruk K</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Pr="00881DA6">
        <w:rPr>
          <w:rFonts w:ascii="Book Antiqua" w:eastAsia="Book Antiqua" w:hAnsi="Book Antiqua" w:cs="Book Antiqua"/>
          <w:bCs/>
          <w:color w:val="000000"/>
        </w:rPr>
        <w:t>Gong ZM</w:t>
      </w:r>
    </w:p>
    <w:p w14:paraId="30E9B23F" w14:textId="77777777" w:rsidR="00E860A5" w:rsidRDefault="00E860A5">
      <w:pPr>
        <w:spacing w:line="360" w:lineRule="auto"/>
        <w:jc w:val="both"/>
        <w:rPr>
          <w:rFonts w:ascii="Book Antiqua" w:eastAsia="Book Antiqua" w:hAnsi="Book Antiqua" w:cs="Book Antiqua"/>
          <w:b/>
          <w:color w:val="000000"/>
        </w:rPr>
      </w:pPr>
    </w:p>
    <w:p w14:paraId="1067E4D8" w14:textId="77777777" w:rsidR="00E860A5" w:rsidRDefault="00E860A5">
      <w:pPr>
        <w:spacing w:line="360" w:lineRule="auto"/>
        <w:jc w:val="both"/>
        <w:rPr>
          <w:rFonts w:ascii="Book Antiqua" w:eastAsia="Book Antiqua" w:hAnsi="Book Antiqua" w:cs="Book Antiqua"/>
          <w:b/>
          <w:color w:val="000000"/>
        </w:rPr>
      </w:pPr>
    </w:p>
    <w:p w14:paraId="7CC2F0A8" w14:textId="77777777" w:rsidR="00E860A5" w:rsidRDefault="000C3EC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D975417" w14:textId="77777777" w:rsidR="00E860A5" w:rsidRDefault="000C3EC2">
      <w:pPr>
        <w:spacing w:line="360" w:lineRule="auto"/>
        <w:jc w:val="both"/>
      </w:pPr>
      <w:r>
        <w:rPr>
          <w:noProof/>
          <w:lang w:eastAsia="zh-CN"/>
        </w:rPr>
        <w:drawing>
          <wp:inline distT="0" distB="0" distL="0" distR="0" wp14:anchorId="3FBA7631" wp14:editId="6F551EEC">
            <wp:extent cx="3363595" cy="338963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8"/>
                    <a:stretch>
                      <a:fillRect/>
                    </a:stretch>
                  </pic:blipFill>
                  <pic:spPr>
                    <a:xfrm>
                      <a:off x="0" y="0"/>
                      <a:ext cx="3371947" cy="3398394"/>
                    </a:xfrm>
                    <a:prstGeom prst="rect">
                      <a:avLst/>
                    </a:prstGeom>
                  </pic:spPr>
                </pic:pic>
              </a:graphicData>
            </a:graphic>
          </wp:inline>
        </w:drawing>
      </w:r>
    </w:p>
    <w:p w14:paraId="1181E853" w14:textId="14B49AC0" w:rsidR="00467928" w:rsidRDefault="000C3EC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 Gastroscopy findings in this patient.</w:t>
      </w:r>
    </w:p>
    <w:p w14:paraId="6FA163BB" w14:textId="77777777" w:rsidR="00467928" w:rsidRDefault="00467928">
      <w:pPr>
        <w:rPr>
          <w:rFonts w:ascii="Book Antiqua" w:eastAsia="Book Antiqua" w:hAnsi="Book Antiqua" w:cs="Book Antiqua"/>
          <w:b/>
          <w:color w:val="000000"/>
        </w:rPr>
      </w:pPr>
      <w:r>
        <w:rPr>
          <w:rFonts w:ascii="Book Antiqua" w:eastAsia="Book Antiqua" w:hAnsi="Book Antiqua" w:cs="Book Antiqua"/>
          <w:b/>
          <w:color w:val="000000"/>
        </w:rPr>
        <w:br w:type="page"/>
      </w:r>
    </w:p>
    <w:p w14:paraId="01FC0968" w14:textId="77777777" w:rsidR="00467928" w:rsidRDefault="00467928" w:rsidP="00467928">
      <w:pPr>
        <w:jc w:val="center"/>
        <w:rPr>
          <w:rFonts w:ascii="Book Antiqua" w:hAnsi="Book Antiqua"/>
          <w:lang w:eastAsia="zh-CN"/>
        </w:rPr>
      </w:pPr>
    </w:p>
    <w:p w14:paraId="3D01881D" w14:textId="77777777" w:rsidR="00467928" w:rsidRDefault="00467928" w:rsidP="00467928">
      <w:pPr>
        <w:jc w:val="center"/>
        <w:rPr>
          <w:rFonts w:ascii="Book Antiqua" w:hAnsi="Book Antiqua"/>
          <w:lang w:eastAsia="zh-CN"/>
        </w:rPr>
      </w:pPr>
    </w:p>
    <w:p w14:paraId="7ECF9641" w14:textId="77777777" w:rsidR="00467928" w:rsidRDefault="00467928" w:rsidP="00467928">
      <w:pPr>
        <w:jc w:val="center"/>
        <w:rPr>
          <w:rFonts w:ascii="Book Antiqua" w:hAnsi="Book Antiqua"/>
          <w:lang w:eastAsia="zh-CN"/>
        </w:rPr>
      </w:pPr>
    </w:p>
    <w:p w14:paraId="7CC424A9" w14:textId="77777777" w:rsidR="00467928" w:rsidRDefault="00467928" w:rsidP="00467928">
      <w:pPr>
        <w:jc w:val="center"/>
        <w:rPr>
          <w:rFonts w:ascii="Book Antiqua" w:hAnsi="Book Antiqua"/>
          <w:lang w:eastAsia="zh-CN"/>
        </w:rPr>
      </w:pPr>
    </w:p>
    <w:p w14:paraId="0BBF5AB6" w14:textId="77777777" w:rsidR="00467928" w:rsidRDefault="00467928" w:rsidP="00467928">
      <w:pPr>
        <w:jc w:val="center"/>
        <w:rPr>
          <w:rFonts w:ascii="Book Antiqua" w:hAnsi="Book Antiqua"/>
          <w:lang w:eastAsia="zh-CN"/>
        </w:rPr>
      </w:pPr>
    </w:p>
    <w:p w14:paraId="4707C093" w14:textId="5D9582F9" w:rsidR="00467928" w:rsidRDefault="00467928" w:rsidP="00467928">
      <w:pPr>
        <w:jc w:val="center"/>
        <w:rPr>
          <w:rFonts w:ascii="Book Antiqua" w:hAnsi="Book Antiqua"/>
          <w:lang w:eastAsia="zh-CN"/>
        </w:rPr>
      </w:pPr>
      <w:r>
        <w:rPr>
          <w:rFonts w:ascii="Book Antiqua" w:hAnsi="Book Antiqua"/>
          <w:noProof/>
          <w:lang w:eastAsia="zh-CN"/>
        </w:rPr>
        <w:drawing>
          <wp:inline distT="0" distB="0" distL="0" distR="0" wp14:anchorId="508FA686" wp14:editId="6CE663F4">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0F7393AF" w14:textId="77777777" w:rsidR="00467928" w:rsidRDefault="00467928" w:rsidP="00467928">
      <w:pPr>
        <w:jc w:val="center"/>
        <w:rPr>
          <w:rFonts w:ascii="Book Antiqua" w:hAnsi="Book Antiqua"/>
          <w:lang w:eastAsia="zh-CN"/>
        </w:rPr>
      </w:pPr>
    </w:p>
    <w:p w14:paraId="5FF5509A" w14:textId="77777777" w:rsidR="00467928" w:rsidRDefault="00467928" w:rsidP="0046792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1220E57" w14:textId="77777777" w:rsidR="00467928" w:rsidRDefault="00467928" w:rsidP="0046792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8D1D1C" w14:textId="77777777" w:rsidR="00467928" w:rsidRDefault="00467928" w:rsidP="0046792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A29E87" w14:textId="77777777" w:rsidR="00467928" w:rsidRDefault="00467928" w:rsidP="004679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A8757D" w14:textId="77777777" w:rsidR="00467928" w:rsidRDefault="00467928" w:rsidP="004679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B00B16" w14:textId="77777777" w:rsidR="00467928" w:rsidRDefault="00467928" w:rsidP="0046792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4A61A32" w14:textId="77777777" w:rsidR="00467928" w:rsidRDefault="00467928" w:rsidP="00467928">
      <w:pPr>
        <w:jc w:val="center"/>
        <w:rPr>
          <w:rFonts w:ascii="Book Antiqua" w:hAnsi="Book Antiqua"/>
          <w:lang w:eastAsia="zh-CN"/>
        </w:rPr>
      </w:pPr>
    </w:p>
    <w:p w14:paraId="1347A36B" w14:textId="77777777" w:rsidR="00467928" w:rsidRDefault="00467928" w:rsidP="00467928">
      <w:pPr>
        <w:jc w:val="center"/>
        <w:rPr>
          <w:rFonts w:ascii="Book Antiqua" w:hAnsi="Book Antiqua"/>
          <w:lang w:eastAsia="zh-CN"/>
        </w:rPr>
      </w:pPr>
    </w:p>
    <w:p w14:paraId="3E54FCA3" w14:textId="77777777" w:rsidR="00467928" w:rsidRDefault="00467928" w:rsidP="00467928">
      <w:pPr>
        <w:jc w:val="center"/>
        <w:rPr>
          <w:rFonts w:ascii="Book Antiqua" w:hAnsi="Book Antiqua"/>
          <w:lang w:eastAsia="zh-CN"/>
        </w:rPr>
      </w:pPr>
    </w:p>
    <w:p w14:paraId="5D6CDEF7" w14:textId="3EB2BAA9" w:rsidR="00467928" w:rsidRDefault="00467928" w:rsidP="00467928">
      <w:pPr>
        <w:jc w:val="center"/>
        <w:rPr>
          <w:rFonts w:ascii="Book Antiqua" w:hAnsi="Book Antiqua"/>
          <w:lang w:eastAsia="zh-CN"/>
        </w:rPr>
      </w:pPr>
      <w:r>
        <w:rPr>
          <w:rFonts w:ascii="Book Antiqua" w:hAnsi="Book Antiqua"/>
          <w:noProof/>
          <w:lang w:eastAsia="zh-CN"/>
        </w:rPr>
        <w:drawing>
          <wp:inline distT="0" distB="0" distL="0" distR="0" wp14:anchorId="31F43E05" wp14:editId="1008DA7E">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4B29D32" w14:textId="77777777" w:rsidR="00467928" w:rsidRDefault="00467928" w:rsidP="00467928">
      <w:pPr>
        <w:jc w:val="center"/>
        <w:rPr>
          <w:rFonts w:ascii="Book Antiqua" w:hAnsi="Book Antiqua"/>
          <w:lang w:eastAsia="zh-CN"/>
        </w:rPr>
      </w:pPr>
    </w:p>
    <w:p w14:paraId="43455D7B" w14:textId="77777777" w:rsidR="00467928" w:rsidRDefault="00467928" w:rsidP="00467928">
      <w:pPr>
        <w:jc w:val="center"/>
        <w:rPr>
          <w:rFonts w:ascii="Book Antiqua" w:hAnsi="Book Antiqua"/>
          <w:lang w:eastAsia="zh-CN"/>
        </w:rPr>
      </w:pPr>
    </w:p>
    <w:p w14:paraId="57201B1D" w14:textId="77777777" w:rsidR="00467928" w:rsidRDefault="00467928" w:rsidP="00467928">
      <w:pPr>
        <w:jc w:val="center"/>
        <w:rPr>
          <w:rFonts w:ascii="Book Antiqua" w:hAnsi="Book Antiqua"/>
          <w:lang w:eastAsia="zh-CN"/>
        </w:rPr>
      </w:pPr>
    </w:p>
    <w:p w14:paraId="05BD02CD" w14:textId="77777777" w:rsidR="00467928" w:rsidRDefault="00467928" w:rsidP="00467928">
      <w:pPr>
        <w:jc w:val="center"/>
        <w:rPr>
          <w:rFonts w:ascii="Book Antiqua" w:hAnsi="Book Antiqua"/>
          <w:lang w:eastAsia="zh-CN"/>
        </w:rPr>
      </w:pPr>
    </w:p>
    <w:p w14:paraId="3F212F17" w14:textId="77777777" w:rsidR="00467928" w:rsidRDefault="00467928" w:rsidP="00467928">
      <w:pPr>
        <w:jc w:val="center"/>
        <w:rPr>
          <w:rFonts w:ascii="Book Antiqua" w:hAnsi="Book Antiqua"/>
          <w:lang w:eastAsia="zh-CN"/>
        </w:rPr>
      </w:pPr>
    </w:p>
    <w:p w14:paraId="77185D2B" w14:textId="77777777" w:rsidR="00467928" w:rsidRDefault="00467928" w:rsidP="00467928">
      <w:pPr>
        <w:jc w:val="center"/>
        <w:rPr>
          <w:rFonts w:ascii="Book Antiqua" w:hAnsi="Book Antiqua"/>
          <w:lang w:eastAsia="zh-CN"/>
        </w:rPr>
      </w:pPr>
    </w:p>
    <w:p w14:paraId="7CBB3653" w14:textId="77777777" w:rsidR="00467928" w:rsidRDefault="00467928" w:rsidP="00467928">
      <w:pPr>
        <w:jc w:val="center"/>
        <w:rPr>
          <w:rFonts w:ascii="Book Antiqua" w:hAnsi="Book Antiqua"/>
          <w:lang w:eastAsia="zh-CN"/>
        </w:rPr>
      </w:pPr>
    </w:p>
    <w:p w14:paraId="35200A29" w14:textId="77777777" w:rsidR="00467928" w:rsidRDefault="00467928" w:rsidP="00467928">
      <w:pPr>
        <w:jc w:val="center"/>
        <w:rPr>
          <w:rFonts w:ascii="Book Antiqua" w:hAnsi="Book Antiqua"/>
          <w:lang w:eastAsia="zh-CN"/>
        </w:rPr>
      </w:pPr>
    </w:p>
    <w:p w14:paraId="2932920D" w14:textId="77777777" w:rsidR="00467928" w:rsidRDefault="00467928" w:rsidP="00467928">
      <w:pPr>
        <w:jc w:val="center"/>
        <w:rPr>
          <w:rFonts w:ascii="Book Antiqua" w:hAnsi="Book Antiqua"/>
          <w:lang w:eastAsia="zh-CN"/>
        </w:rPr>
      </w:pPr>
    </w:p>
    <w:p w14:paraId="1419B752" w14:textId="77777777" w:rsidR="00467928" w:rsidRDefault="00467928" w:rsidP="00467928">
      <w:pPr>
        <w:jc w:val="right"/>
        <w:rPr>
          <w:rFonts w:ascii="Book Antiqua" w:hAnsi="Book Antiqua"/>
          <w:color w:val="000000" w:themeColor="text1"/>
          <w:lang w:eastAsia="zh-CN"/>
        </w:rPr>
      </w:pPr>
    </w:p>
    <w:p w14:paraId="79217C90" w14:textId="1A8C750D" w:rsidR="00E860A5" w:rsidRPr="00881DA6" w:rsidRDefault="00467928" w:rsidP="00881DA6">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E860A5" w:rsidRPr="00881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D68D" w14:textId="77777777" w:rsidR="000C3EC2" w:rsidRDefault="000C3EC2">
      <w:r>
        <w:separator/>
      </w:r>
    </w:p>
  </w:endnote>
  <w:endnote w:type="continuationSeparator" w:id="0">
    <w:p w14:paraId="3D7924FC" w14:textId="77777777" w:rsidR="000C3EC2" w:rsidRDefault="000C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240848"/>
      <w:docPartObj>
        <w:docPartGallery w:val="AutoText"/>
      </w:docPartObj>
    </w:sdtPr>
    <w:sdtEndPr/>
    <w:sdtContent>
      <w:sdt>
        <w:sdtPr>
          <w:id w:val="-1705238520"/>
          <w:docPartObj>
            <w:docPartGallery w:val="AutoText"/>
          </w:docPartObj>
        </w:sdtPr>
        <w:sdtEndPr/>
        <w:sdtContent>
          <w:p w14:paraId="2042A296" w14:textId="77777777" w:rsidR="00E860A5" w:rsidRDefault="000C3EC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13</w:t>
            </w:r>
            <w:r>
              <w:rPr>
                <w:b/>
                <w:bCs/>
                <w:sz w:val="24"/>
                <w:szCs w:val="24"/>
              </w:rPr>
              <w:fldChar w:fldCharType="end"/>
            </w:r>
          </w:p>
        </w:sdtContent>
      </w:sdt>
    </w:sdtContent>
  </w:sdt>
  <w:p w14:paraId="376419F4" w14:textId="77777777" w:rsidR="00E860A5" w:rsidRDefault="00E860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0DC2" w14:textId="77777777" w:rsidR="000C3EC2" w:rsidRDefault="000C3EC2">
      <w:r>
        <w:separator/>
      </w:r>
    </w:p>
  </w:footnote>
  <w:footnote w:type="continuationSeparator" w:id="0">
    <w:p w14:paraId="62540225" w14:textId="77777777" w:rsidR="000C3EC2" w:rsidRDefault="000C3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9BB"/>
    <w:rsid w:val="00052399"/>
    <w:rsid w:val="000C3EC2"/>
    <w:rsid w:val="00110FBA"/>
    <w:rsid w:val="00122BA4"/>
    <w:rsid w:val="00133BA4"/>
    <w:rsid w:val="00224746"/>
    <w:rsid w:val="00247E16"/>
    <w:rsid w:val="0027109B"/>
    <w:rsid w:val="002C2BBA"/>
    <w:rsid w:val="003548AB"/>
    <w:rsid w:val="003655EA"/>
    <w:rsid w:val="003712D9"/>
    <w:rsid w:val="0037259D"/>
    <w:rsid w:val="0037329C"/>
    <w:rsid w:val="00376DB3"/>
    <w:rsid w:val="00390050"/>
    <w:rsid w:val="003A370E"/>
    <w:rsid w:val="003B4814"/>
    <w:rsid w:val="003B5FE0"/>
    <w:rsid w:val="003D25B8"/>
    <w:rsid w:val="00410F92"/>
    <w:rsid w:val="00467928"/>
    <w:rsid w:val="005027DC"/>
    <w:rsid w:val="005170CA"/>
    <w:rsid w:val="00537C9A"/>
    <w:rsid w:val="00586AB2"/>
    <w:rsid w:val="00595F98"/>
    <w:rsid w:val="005C4179"/>
    <w:rsid w:val="00627B3E"/>
    <w:rsid w:val="006436D8"/>
    <w:rsid w:val="006516E4"/>
    <w:rsid w:val="006A31E4"/>
    <w:rsid w:val="006C60B4"/>
    <w:rsid w:val="006C6E98"/>
    <w:rsid w:val="006F26C4"/>
    <w:rsid w:val="00731DCD"/>
    <w:rsid w:val="0073365A"/>
    <w:rsid w:val="00757708"/>
    <w:rsid w:val="007740B8"/>
    <w:rsid w:val="0078475B"/>
    <w:rsid w:val="00790A97"/>
    <w:rsid w:val="00792C0B"/>
    <w:rsid w:val="007B5402"/>
    <w:rsid w:val="007E0BA2"/>
    <w:rsid w:val="007E7BEF"/>
    <w:rsid w:val="00800352"/>
    <w:rsid w:val="00827BE2"/>
    <w:rsid w:val="00881DA6"/>
    <w:rsid w:val="008A0A32"/>
    <w:rsid w:val="009071DE"/>
    <w:rsid w:val="00932DC8"/>
    <w:rsid w:val="00941043"/>
    <w:rsid w:val="009E0C84"/>
    <w:rsid w:val="00A12CC2"/>
    <w:rsid w:val="00A13815"/>
    <w:rsid w:val="00A26ED6"/>
    <w:rsid w:val="00A35BE7"/>
    <w:rsid w:val="00A77B3E"/>
    <w:rsid w:val="00A84E6E"/>
    <w:rsid w:val="00AC53B6"/>
    <w:rsid w:val="00AE4283"/>
    <w:rsid w:val="00AF5B1E"/>
    <w:rsid w:val="00AF640D"/>
    <w:rsid w:val="00AF6719"/>
    <w:rsid w:val="00B107ED"/>
    <w:rsid w:val="00B14E9F"/>
    <w:rsid w:val="00B15F3B"/>
    <w:rsid w:val="00B67735"/>
    <w:rsid w:val="00BB30F7"/>
    <w:rsid w:val="00BF53CB"/>
    <w:rsid w:val="00C11EA8"/>
    <w:rsid w:val="00CA18FC"/>
    <w:rsid w:val="00CA2A55"/>
    <w:rsid w:val="00CA62AC"/>
    <w:rsid w:val="00CA6E8A"/>
    <w:rsid w:val="00CB0545"/>
    <w:rsid w:val="00CD0ED9"/>
    <w:rsid w:val="00D6432B"/>
    <w:rsid w:val="00D65EAE"/>
    <w:rsid w:val="00D933CC"/>
    <w:rsid w:val="00DA0587"/>
    <w:rsid w:val="00DB4C64"/>
    <w:rsid w:val="00DC7A27"/>
    <w:rsid w:val="00DD0351"/>
    <w:rsid w:val="00E860A5"/>
    <w:rsid w:val="00E921C3"/>
    <w:rsid w:val="00EA3F59"/>
    <w:rsid w:val="00EC0F25"/>
    <w:rsid w:val="00F02501"/>
    <w:rsid w:val="00F04E1B"/>
    <w:rsid w:val="00F6171F"/>
    <w:rsid w:val="00F74C60"/>
    <w:rsid w:val="00F77E66"/>
    <w:rsid w:val="00F9437D"/>
    <w:rsid w:val="00F95A23"/>
    <w:rsid w:val="00FB3FFE"/>
    <w:rsid w:val="00FD607C"/>
    <w:rsid w:val="00FE2F47"/>
    <w:rsid w:val="47802A7F"/>
    <w:rsid w:val="5A0B6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D80BB"/>
  <w15:docId w15:val="{4198E0AA-A743-40FB-928A-68C16CC1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style>
  <w:style w:type="paragraph" w:styleId="ac">
    <w:name w:val="annotation subject"/>
    <w:basedOn w:val="a3"/>
    <w:next w:val="a3"/>
    <w:link w:val="ad"/>
    <w:semiHidden/>
    <w:unhideWhenUsed/>
    <w:rPr>
      <w:b/>
      <w:bCs/>
    </w:rPr>
  </w:style>
  <w:style w:type="character" w:styleId="ae">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character" w:customStyle="1" w:styleId="a6">
    <w:name w:val="批注框文本 字符"/>
    <w:basedOn w:val="a0"/>
    <w:link w:val="a5"/>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1830">
      <w:bodyDiv w:val="1"/>
      <w:marLeft w:val="0"/>
      <w:marRight w:val="0"/>
      <w:marTop w:val="0"/>
      <w:marBottom w:val="0"/>
      <w:divBdr>
        <w:top w:val="none" w:sz="0" w:space="0" w:color="auto"/>
        <w:left w:val="none" w:sz="0" w:space="0" w:color="auto"/>
        <w:bottom w:val="none" w:sz="0" w:space="0" w:color="auto"/>
        <w:right w:val="none" w:sz="0" w:space="0" w:color="auto"/>
      </w:divBdr>
    </w:div>
    <w:div w:id="77575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3300</Words>
  <Characters>18816</Characters>
  <Application>Microsoft Office Word</Application>
  <DocSecurity>0</DocSecurity>
  <Lines>156</Lines>
  <Paragraphs>44</Paragraphs>
  <ScaleCrop>false</ScaleCrop>
  <Company>Hewlett-Packard Company</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9</cp:revision>
  <dcterms:created xsi:type="dcterms:W3CDTF">2021-10-27T02:00:00Z</dcterms:created>
  <dcterms:modified xsi:type="dcterms:W3CDTF">2021-12-02T10:56:00Z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4377706359774045B630A791FBFE3FBA</vt:lpwstr>
  </property>
</Properties>
</file>