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D98" w:rsidRPr="00343901" w:rsidRDefault="00EC7D98" w:rsidP="00BC503B">
      <w:pPr>
        <w:adjustRightInd w:val="0"/>
        <w:snapToGrid w:val="0"/>
        <w:spacing w:line="360" w:lineRule="auto"/>
        <w:rPr>
          <w:rFonts w:ascii="Book Antiqua" w:hAnsi="Book Antiqua"/>
          <w:szCs w:val="24"/>
        </w:rPr>
      </w:pPr>
      <w:r w:rsidRPr="00343901">
        <w:rPr>
          <w:rFonts w:ascii="Book Antiqua" w:eastAsia="Times New Roman" w:hAnsi="Book Antiqua" w:cs="宋体"/>
          <w:b/>
          <w:szCs w:val="24"/>
        </w:rPr>
        <w:t xml:space="preserve">Name of journal: </w:t>
      </w:r>
      <w:bookmarkStart w:id="0" w:name="OLE_LINK718"/>
      <w:bookmarkStart w:id="1" w:name="OLE_LINK719"/>
      <w:r w:rsidRPr="00343901">
        <w:rPr>
          <w:rFonts w:ascii="Book Antiqua" w:eastAsia="Times New Roman" w:hAnsi="Book Antiqua" w:cs="宋体"/>
          <w:b/>
          <w:szCs w:val="24"/>
        </w:rPr>
        <w:t xml:space="preserve">World Journal of </w:t>
      </w:r>
      <w:bookmarkEnd w:id="0"/>
      <w:bookmarkEnd w:id="1"/>
      <w:r w:rsidRPr="00343901">
        <w:rPr>
          <w:rFonts w:ascii="Book Antiqua" w:hAnsi="Book Antiqua"/>
          <w:b/>
          <w:szCs w:val="24"/>
        </w:rPr>
        <w:t xml:space="preserve">Gastroenterology </w:t>
      </w:r>
    </w:p>
    <w:p w:rsidR="00EC7D98" w:rsidRPr="00343901" w:rsidRDefault="00EC7D98" w:rsidP="00BC503B">
      <w:pPr>
        <w:adjustRightInd w:val="0"/>
        <w:snapToGrid w:val="0"/>
        <w:spacing w:line="360" w:lineRule="auto"/>
        <w:rPr>
          <w:rFonts w:ascii="Book Antiqua" w:eastAsia="Times New Roman" w:hAnsi="Book Antiqua" w:cs="宋体"/>
          <w:b/>
          <w:szCs w:val="24"/>
        </w:rPr>
      </w:pPr>
      <w:r w:rsidRPr="00343901">
        <w:rPr>
          <w:rFonts w:ascii="Book Antiqua" w:hAnsi="Book Antiqua" w:cs="Arial"/>
          <w:b/>
          <w:szCs w:val="24"/>
        </w:rPr>
        <w:t>ESPS Manuscript NO: 6916</w:t>
      </w:r>
    </w:p>
    <w:p w:rsidR="00EC7D98" w:rsidRPr="00343901" w:rsidRDefault="00EC7D98" w:rsidP="00BC503B">
      <w:pPr>
        <w:suppressAutoHyphens/>
        <w:autoSpaceDE w:val="0"/>
        <w:autoSpaceDN w:val="0"/>
        <w:adjustRightInd w:val="0"/>
        <w:snapToGrid w:val="0"/>
        <w:spacing w:line="360" w:lineRule="auto"/>
        <w:rPr>
          <w:rFonts w:ascii="Book Antiqua" w:hAnsi="Book Antiqua"/>
          <w:b/>
          <w:caps/>
          <w:szCs w:val="24"/>
        </w:rPr>
      </w:pPr>
      <w:r w:rsidRPr="00343901">
        <w:rPr>
          <w:rFonts w:ascii="Book Antiqua" w:hAnsi="Book Antiqua"/>
          <w:b/>
          <w:szCs w:val="24"/>
        </w:rPr>
        <w:t xml:space="preserve">Columns: </w:t>
      </w:r>
      <w:r w:rsidR="00DE3894">
        <w:rPr>
          <w:rFonts w:ascii="Book Antiqua" w:hAnsi="Book Antiqua"/>
          <w:b/>
          <w:caps/>
          <w:szCs w:val="24"/>
        </w:rPr>
        <w:t>Original ARTICLE</w:t>
      </w:r>
    </w:p>
    <w:p w:rsidR="00EC7D98" w:rsidRPr="00343901" w:rsidRDefault="00EC7D98" w:rsidP="00BC503B">
      <w:pPr>
        <w:adjustRightInd w:val="0"/>
        <w:snapToGrid w:val="0"/>
        <w:spacing w:line="360" w:lineRule="auto"/>
        <w:rPr>
          <w:rFonts w:ascii="Book Antiqua" w:eastAsia="幼圆" w:hAnsi="Book Antiqua" w:cs="宋体"/>
          <w:b/>
          <w:bCs/>
          <w:kern w:val="0"/>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Epidermal growth factor upregulates serotonin transporter and its association with visceral hypersensitivity</w:t>
      </w:r>
      <w:r w:rsidR="009153FA">
        <w:rPr>
          <w:rFonts w:ascii="Book Antiqua" w:hAnsi="Book Antiqua"/>
          <w:b/>
          <w:sz w:val="24"/>
          <w:szCs w:val="24"/>
        </w:rPr>
        <w:t xml:space="preserve"> in </w:t>
      </w:r>
      <w:r w:rsidR="009153FA" w:rsidRPr="009153FA">
        <w:rPr>
          <w:rFonts w:ascii="Book Antiqua" w:hAnsi="Book Antiqua"/>
          <w:b/>
          <w:sz w:val="24"/>
          <w:szCs w:val="24"/>
        </w:rPr>
        <w:t>irritable bowel syndrome</w:t>
      </w:r>
    </w:p>
    <w:p w:rsidR="00EC7D98" w:rsidRPr="00343901" w:rsidRDefault="00EC7D98" w:rsidP="00BC503B">
      <w:pPr>
        <w:adjustRightInd w:val="0"/>
        <w:snapToGrid w:val="0"/>
        <w:spacing w:line="360" w:lineRule="auto"/>
        <w:rPr>
          <w:rFonts w:ascii="Book Antiqua" w:hAnsi="Book Antiqua" w:cs="Tahoma"/>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Cui XF</w:t>
      </w:r>
      <w:r w:rsidRPr="00343901">
        <w:rPr>
          <w:rFonts w:ascii="Book Antiqua" w:hAnsi="Book Antiqua" w:cs="Tahoma"/>
          <w:b/>
          <w:kern w:val="0"/>
          <w:sz w:val="24"/>
          <w:szCs w:val="24"/>
        </w:rPr>
        <w:t xml:space="preserve"> </w:t>
      </w:r>
      <w:r w:rsidRPr="00343901">
        <w:rPr>
          <w:rFonts w:ascii="Book Antiqua" w:hAnsi="Book Antiqua" w:cs="Tahoma"/>
          <w:i/>
          <w:kern w:val="0"/>
          <w:sz w:val="24"/>
          <w:szCs w:val="24"/>
        </w:rPr>
        <w:t>e</w:t>
      </w:r>
      <w:r w:rsidRPr="00343901">
        <w:rPr>
          <w:rFonts w:ascii="Book Antiqua" w:hAnsi="Book Antiqua"/>
          <w:i/>
          <w:sz w:val="24"/>
          <w:szCs w:val="24"/>
        </w:rPr>
        <w:t>t al</w:t>
      </w:r>
      <w:r w:rsidRPr="00343901">
        <w:rPr>
          <w:rFonts w:ascii="Book Antiqua" w:hAnsi="Book Antiqua"/>
          <w:sz w:val="24"/>
          <w:szCs w:val="24"/>
        </w:rPr>
        <w:t>. EGF, SERT and visceral hypersensitivity</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Xiu</w:t>
      </w:r>
      <w:r w:rsidR="00110F76" w:rsidRPr="00343901">
        <w:rPr>
          <w:rFonts w:ascii="Book Antiqua" w:hAnsi="Book Antiqua"/>
          <w:sz w:val="24"/>
          <w:szCs w:val="24"/>
        </w:rPr>
        <w:t xml:space="preserve">-Fang </w:t>
      </w:r>
      <w:r w:rsidRPr="00343901">
        <w:rPr>
          <w:rFonts w:ascii="Book Antiqua" w:hAnsi="Book Antiqua"/>
          <w:sz w:val="24"/>
          <w:szCs w:val="24"/>
        </w:rPr>
        <w:t>Cui</w:t>
      </w:r>
      <w:r w:rsidR="00110F76" w:rsidRPr="00343901">
        <w:rPr>
          <w:rFonts w:ascii="Book Antiqua" w:hAnsi="Book Antiqua"/>
          <w:sz w:val="24"/>
          <w:szCs w:val="24"/>
        </w:rPr>
        <w:t xml:space="preserve">, </w:t>
      </w:r>
      <w:r w:rsidRPr="00343901">
        <w:rPr>
          <w:rFonts w:ascii="Book Antiqua" w:hAnsi="Book Antiqua"/>
          <w:sz w:val="24"/>
          <w:szCs w:val="24"/>
        </w:rPr>
        <w:t>Wei</w:t>
      </w:r>
      <w:r w:rsidR="00110F76" w:rsidRPr="00343901">
        <w:rPr>
          <w:rFonts w:ascii="Book Antiqua" w:hAnsi="Book Antiqua"/>
          <w:sz w:val="24"/>
          <w:szCs w:val="24"/>
        </w:rPr>
        <w:t xml:space="preserve">-Mei </w:t>
      </w:r>
      <w:r w:rsidRPr="00343901">
        <w:rPr>
          <w:rFonts w:ascii="Book Antiqua" w:hAnsi="Book Antiqua"/>
          <w:sz w:val="24"/>
          <w:szCs w:val="24"/>
        </w:rPr>
        <w:t>Zhou</w:t>
      </w:r>
      <w:r w:rsidR="00110F76" w:rsidRPr="00343901">
        <w:rPr>
          <w:rFonts w:ascii="Book Antiqua" w:hAnsi="Book Antiqua"/>
          <w:sz w:val="24"/>
          <w:szCs w:val="24"/>
        </w:rPr>
        <w:t xml:space="preserve">, </w:t>
      </w:r>
      <w:r w:rsidRPr="00343901">
        <w:rPr>
          <w:rFonts w:ascii="Book Antiqua" w:hAnsi="Book Antiqua"/>
          <w:sz w:val="24"/>
          <w:szCs w:val="24"/>
        </w:rPr>
        <w:t>Yan Yang</w:t>
      </w:r>
      <w:r w:rsidR="00110F76" w:rsidRPr="00343901">
        <w:rPr>
          <w:rFonts w:ascii="Book Antiqua" w:hAnsi="Book Antiqua"/>
          <w:sz w:val="24"/>
          <w:szCs w:val="24"/>
        </w:rPr>
        <w:t xml:space="preserve">, </w:t>
      </w:r>
      <w:r w:rsidRPr="00343901">
        <w:rPr>
          <w:rFonts w:ascii="Book Antiqua" w:hAnsi="Book Antiqua"/>
          <w:sz w:val="24"/>
          <w:szCs w:val="24"/>
        </w:rPr>
        <w:t>Jun Zhou</w:t>
      </w:r>
      <w:r w:rsidR="00110F76" w:rsidRPr="00343901">
        <w:rPr>
          <w:rFonts w:ascii="Book Antiqua" w:hAnsi="Book Antiqua"/>
          <w:sz w:val="24"/>
          <w:szCs w:val="24"/>
        </w:rPr>
        <w:t xml:space="preserve">, </w:t>
      </w:r>
      <w:r w:rsidRPr="00343901">
        <w:rPr>
          <w:rFonts w:ascii="Book Antiqua" w:hAnsi="Book Antiqua"/>
          <w:sz w:val="24"/>
          <w:szCs w:val="24"/>
        </w:rPr>
        <w:t>Xue</w:t>
      </w:r>
      <w:r w:rsidR="00110F76" w:rsidRPr="00343901">
        <w:rPr>
          <w:rFonts w:ascii="Book Antiqua" w:hAnsi="Book Antiqua"/>
          <w:sz w:val="24"/>
          <w:szCs w:val="24"/>
        </w:rPr>
        <w:t xml:space="preserve">-Liang </w:t>
      </w:r>
      <w:r w:rsidRPr="00343901">
        <w:rPr>
          <w:rFonts w:ascii="Book Antiqua" w:hAnsi="Book Antiqua"/>
          <w:sz w:val="24"/>
          <w:szCs w:val="24"/>
        </w:rPr>
        <w:t>Li</w:t>
      </w:r>
      <w:r w:rsidR="00110F76" w:rsidRPr="00343901">
        <w:rPr>
          <w:rFonts w:ascii="Book Antiqua" w:hAnsi="Book Antiqua"/>
          <w:sz w:val="24"/>
          <w:szCs w:val="24"/>
        </w:rPr>
        <w:t xml:space="preserve">, </w:t>
      </w:r>
      <w:r w:rsidRPr="00343901">
        <w:rPr>
          <w:rFonts w:ascii="Book Antiqua" w:hAnsi="Book Antiqua"/>
          <w:sz w:val="24"/>
          <w:szCs w:val="24"/>
        </w:rPr>
        <w:t>Lin Lin</w:t>
      </w:r>
      <w:r w:rsidR="00110F76" w:rsidRPr="00343901">
        <w:rPr>
          <w:rFonts w:ascii="Book Antiqua" w:hAnsi="Book Antiqua"/>
          <w:sz w:val="24"/>
          <w:szCs w:val="24"/>
        </w:rPr>
        <w:t xml:space="preserve">, </w:t>
      </w:r>
      <w:r w:rsidRPr="00343901">
        <w:rPr>
          <w:rFonts w:ascii="Book Antiqua" w:hAnsi="Book Antiqua"/>
          <w:sz w:val="24"/>
          <w:szCs w:val="24"/>
        </w:rPr>
        <w:t>Hong</w:t>
      </w:r>
      <w:r w:rsidR="00110F76" w:rsidRPr="00343901">
        <w:rPr>
          <w:rFonts w:ascii="Book Antiqua" w:hAnsi="Book Antiqua"/>
          <w:sz w:val="24"/>
          <w:szCs w:val="24"/>
        </w:rPr>
        <w:t xml:space="preserve">-Jie </w:t>
      </w:r>
      <w:r w:rsidRPr="00343901">
        <w:rPr>
          <w:rFonts w:ascii="Book Antiqua" w:hAnsi="Book Antiqua"/>
          <w:sz w:val="24"/>
          <w:szCs w:val="24"/>
        </w:rPr>
        <w:t>Zhang</w:t>
      </w:r>
    </w:p>
    <w:p w:rsidR="00EC7D98" w:rsidRPr="00343901" w:rsidRDefault="00B07B47" w:rsidP="00BC503B">
      <w:pPr>
        <w:adjustRightInd w:val="0"/>
        <w:snapToGri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198119</wp:posOffset>
                </wp:positionV>
                <wp:extent cx="5760085" cy="0"/>
                <wp:effectExtent l="0" t="19050" r="12065" b="19050"/>
                <wp:wrapTopAndBottom/>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453.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" strokecolor="gray" strokeweight="3pt">
                <w10:wrap type="topAndBottom"/>
              </v:line>
            </w:pict>
          </mc:Fallback>
        </mc:AlternateContent>
      </w:r>
      <w:r w:rsidR="00EC7D98" w:rsidRPr="00343901">
        <w:rPr>
          <w:rFonts w:ascii="Book Antiqua" w:hAnsi="Book Antiqua"/>
          <w:b/>
          <w:sz w:val="24"/>
          <w:szCs w:val="24"/>
        </w:rPr>
        <w:t>Xiu</w:t>
      </w:r>
      <w:r w:rsidR="00110F76" w:rsidRPr="00343901">
        <w:rPr>
          <w:rFonts w:ascii="Book Antiqua" w:hAnsi="Book Antiqua"/>
          <w:b/>
          <w:sz w:val="24"/>
          <w:szCs w:val="24"/>
        </w:rPr>
        <w:t xml:space="preserve">-Fang </w:t>
      </w:r>
      <w:r w:rsidR="00EC7D98" w:rsidRPr="00343901">
        <w:rPr>
          <w:rFonts w:ascii="Book Antiqua" w:hAnsi="Book Antiqua"/>
          <w:b/>
          <w:sz w:val="24"/>
          <w:szCs w:val="24"/>
        </w:rPr>
        <w:t>Cui</w:t>
      </w:r>
      <w:r w:rsidR="00110F76" w:rsidRPr="00343901">
        <w:rPr>
          <w:rFonts w:ascii="Book Antiqua" w:hAnsi="Book Antiqua"/>
          <w:b/>
          <w:sz w:val="24"/>
          <w:szCs w:val="24"/>
        </w:rPr>
        <w:t xml:space="preserve">, </w:t>
      </w:r>
      <w:r w:rsidR="00EC7D98" w:rsidRPr="00343901">
        <w:rPr>
          <w:rFonts w:ascii="Book Antiqua" w:hAnsi="Book Antiqua"/>
          <w:b/>
          <w:sz w:val="24"/>
          <w:szCs w:val="24"/>
        </w:rPr>
        <w:t>Wei</w:t>
      </w:r>
      <w:r w:rsidR="00110F76" w:rsidRPr="00343901">
        <w:rPr>
          <w:rFonts w:ascii="Book Antiqua" w:hAnsi="Book Antiqua"/>
          <w:b/>
          <w:sz w:val="24"/>
          <w:szCs w:val="24"/>
        </w:rPr>
        <w:t xml:space="preserve">-Mei </w:t>
      </w:r>
      <w:r w:rsidR="00EC7D98" w:rsidRPr="00343901">
        <w:rPr>
          <w:rFonts w:ascii="Book Antiqua" w:hAnsi="Book Antiqua"/>
          <w:b/>
          <w:sz w:val="24"/>
          <w:szCs w:val="24"/>
        </w:rPr>
        <w:t>Zhou</w:t>
      </w:r>
      <w:r w:rsidR="00110F76" w:rsidRPr="00343901">
        <w:rPr>
          <w:rFonts w:ascii="Book Antiqua" w:hAnsi="Book Antiqua"/>
          <w:b/>
          <w:sz w:val="24"/>
          <w:szCs w:val="24"/>
        </w:rPr>
        <w:t xml:space="preserve">, </w:t>
      </w:r>
      <w:r w:rsidR="00EC7D98" w:rsidRPr="00343901">
        <w:rPr>
          <w:rFonts w:ascii="Book Antiqua" w:hAnsi="Book Antiqua"/>
          <w:b/>
          <w:sz w:val="24"/>
          <w:szCs w:val="24"/>
        </w:rPr>
        <w:t>Yan Yang</w:t>
      </w:r>
      <w:r w:rsidR="00110F76" w:rsidRPr="00343901">
        <w:rPr>
          <w:rFonts w:ascii="Book Antiqua" w:hAnsi="Book Antiqua"/>
          <w:b/>
          <w:sz w:val="24"/>
          <w:szCs w:val="24"/>
        </w:rPr>
        <w:t xml:space="preserve">, </w:t>
      </w:r>
      <w:r w:rsidR="00EC7D98" w:rsidRPr="00343901">
        <w:rPr>
          <w:rFonts w:ascii="Book Antiqua" w:hAnsi="Book Antiqua"/>
          <w:b/>
          <w:sz w:val="24"/>
          <w:szCs w:val="24"/>
        </w:rPr>
        <w:t>Jun Zhou</w:t>
      </w:r>
      <w:r w:rsidR="00110F76" w:rsidRPr="00343901">
        <w:rPr>
          <w:rFonts w:ascii="Book Antiqua" w:hAnsi="Book Antiqua"/>
          <w:b/>
          <w:sz w:val="24"/>
          <w:szCs w:val="24"/>
        </w:rPr>
        <w:t xml:space="preserve">, </w:t>
      </w:r>
      <w:r w:rsidR="00EC7D98" w:rsidRPr="00343901">
        <w:rPr>
          <w:rFonts w:ascii="Book Antiqua" w:hAnsi="Book Antiqua"/>
          <w:b/>
          <w:sz w:val="24"/>
          <w:szCs w:val="24"/>
        </w:rPr>
        <w:t>Xue</w:t>
      </w:r>
      <w:r w:rsidR="00110F76" w:rsidRPr="00343901">
        <w:rPr>
          <w:rFonts w:ascii="Book Antiqua" w:hAnsi="Book Antiqua"/>
          <w:b/>
          <w:sz w:val="24"/>
          <w:szCs w:val="24"/>
        </w:rPr>
        <w:t xml:space="preserve">-Liang </w:t>
      </w:r>
      <w:r w:rsidR="00EC7D98" w:rsidRPr="00343901">
        <w:rPr>
          <w:rFonts w:ascii="Book Antiqua" w:hAnsi="Book Antiqua"/>
          <w:b/>
          <w:sz w:val="24"/>
          <w:szCs w:val="24"/>
        </w:rPr>
        <w:t>Li</w:t>
      </w:r>
      <w:r w:rsidR="00110F76" w:rsidRPr="00343901">
        <w:rPr>
          <w:rFonts w:ascii="Book Antiqua" w:hAnsi="Book Antiqua"/>
          <w:b/>
          <w:sz w:val="24"/>
          <w:szCs w:val="24"/>
        </w:rPr>
        <w:t xml:space="preserve">, </w:t>
      </w:r>
      <w:r w:rsidR="00EC7D98" w:rsidRPr="00343901">
        <w:rPr>
          <w:rFonts w:ascii="Book Antiqua" w:hAnsi="Book Antiqua"/>
          <w:b/>
          <w:sz w:val="24"/>
          <w:szCs w:val="24"/>
        </w:rPr>
        <w:t>Lin Lin</w:t>
      </w:r>
      <w:r w:rsidR="00110F76" w:rsidRPr="00343901">
        <w:rPr>
          <w:rFonts w:ascii="Book Antiqua" w:hAnsi="Book Antiqua"/>
          <w:b/>
          <w:sz w:val="24"/>
          <w:szCs w:val="24"/>
        </w:rPr>
        <w:t xml:space="preserve">, </w:t>
      </w:r>
      <w:r w:rsidR="00EC7D98" w:rsidRPr="00343901">
        <w:rPr>
          <w:rFonts w:ascii="Book Antiqua" w:hAnsi="Book Antiqua"/>
          <w:b/>
          <w:sz w:val="24"/>
          <w:szCs w:val="24"/>
        </w:rPr>
        <w:t>Hong</w:t>
      </w:r>
      <w:r w:rsidR="00110F76" w:rsidRPr="00343901">
        <w:rPr>
          <w:rFonts w:ascii="Book Antiqua" w:hAnsi="Book Antiqua"/>
          <w:b/>
          <w:sz w:val="24"/>
          <w:szCs w:val="24"/>
        </w:rPr>
        <w:t xml:space="preserve">-Jie </w:t>
      </w:r>
      <w:r w:rsidR="00EC7D98" w:rsidRPr="00343901">
        <w:rPr>
          <w:rFonts w:ascii="Book Antiqua" w:hAnsi="Book Antiqua"/>
          <w:b/>
          <w:sz w:val="24"/>
          <w:szCs w:val="24"/>
        </w:rPr>
        <w:t xml:space="preserve">Zhang, </w:t>
      </w:r>
      <w:r w:rsidR="00EC7D98" w:rsidRPr="00343901">
        <w:rPr>
          <w:rFonts w:ascii="Book Antiqua" w:hAnsi="Book Antiqua"/>
          <w:sz w:val="24"/>
          <w:szCs w:val="24"/>
        </w:rPr>
        <w:t xml:space="preserve">Department of Gastroenterology, First Affiliated Hospital of Nanjing Medical University, Nanjing 210029, </w:t>
      </w:r>
      <w:r w:rsidR="007A2EBA">
        <w:rPr>
          <w:rFonts w:ascii="Book Antiqua" w:hAnsi="Book Antiqua" w:hint="eastAsia"/>
          <w:sz w:val="24"/>
          <w:szCs w:val="24"/>
        </w:rPr>
        <w:t xml:space="preserve">Jiangsu Province, </w:t>
      </w:r>
      <w:r w:rsidR="00EC7D98" w:rsidRPr="00343901">
        <w:rPr>
          <w:rFonts w:ascii="Book Antiqua" w:hAnsi="Book Antiqua"/>
          <w:sz w:val="24"/>
          <w:szCs w:val="24"/>
        </w:rPr>
        <w:t>China</w:t>
      </w:r>
    </w:p>
    <w:p w:rsidR="00EC7D98" w:rsidRPr="00343901" w:rsidRDefault="00EC7D98"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Author contributions:</w:t>
      </w:r>
      <w:r w:rsidRPr="00343901">
        <w:rPr>
          <w:rFonts w:ascii="Book Antiqua" w:hAnsi="Book Antiqua"/>
          <w:sz w:val="24"/>
          <w:szCs w:val="24"/>
        </w:rPr>
        <w:t xml:space="preserve"> Cui XF, Zhou WM, Yang Y and Zhou J performed the experiments; Cui XF collected and analyzed the data, and wrote the manuscript; Zhang HJ designed the study and revised the manuscript; Lin L and Li XL provided vital guidance to the study.</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Supported by</w:t>
      </w:r>
      <w:r w:rsidRPr="00343901">
        <w:rPr>
          <w:rFonts w:ascii="Book Antiqua" w:hAnsi="Book Antiqua"/>
          <w:sz w:val="24"/>
          <w:szCs w:val="24"/>
        </w:rPr>
        <w:t xml:space="preserve"> National Natural Science Foundation of China</w:t>
      </w:r>
      <w:r w:rsidR="007A2EBA">
        <w:rPr>
          <w:rFonts w:ascii="Book Antiqua" w:hAnsi="Book Antiqua" w:hint="eastAsia"/>
          <w:sz w:val="24"/>
          <w:szCs w:val="24"/>
        </w:rPr>
        <w:t>,</w:t>
      </w:r>
      <w:r w:rsidR="007A2EBA">
        <w:rPr>
          <w:rFonts w:ascii="Book Antiqua" w:hAnsi="Book Antiqua"/>
          <w:sz w:val="24"/>
          <w:szCs w:val="24"/>
        </w:rPr>
        <w:t xml:space="preserve"> </w:t>
      </w:r>
      <w:r w:rsidRPr="00343901">
        <w:rPr>
          <w:rFonts w:ascii="Book Antiqua" w:hAnsi="Book Antiqua"/>
          <w:sz w:val="24"/>
          <w:szCs w:val="24"/>
        </w:rPr>
        <w:t>No.81270469</w:t>
      </w:r>
      <w:r w:rsidR="007A2EBA">
        <w:rPr>
          <w:rFonts w:ascii="Book Antiqua" w:hAnsi="Book Antiqua" w:hint="eastAsia"/>
          <w:sz w:val="24"/>
          <w:szCs w:val="24"/>
        </w:rPr>
        <w:t>;</w:t>
      </w:r>
      <w:r w:rsidRPr="00343901">
        <w:rPr>
          <w:rFonts w:ascii="Book Antiqua" w:hAnsi="Book Antiqua"/>
          <w:sz w:val="24"/>
          <w:szCs w:val="24"/>
        </w:rPr>
        <w:t xml:space="preserve"> and Key Medical Personnel of Jiangsu Province</w:t>
      </w:r>
      <w:r w:rsidR="007A2EBA">
        <w:rPr>
          <w:rFonts w:ascii="Book Antiqua" w:hAnsi="Book Antiqua" w:hint="eastAsia"/>
          <w:sz w:val="24"/>
          <w:szCs w:val="24"/>
        </w:rPr>
        <w:t>,</w:t>
      </w:r>
      <w:r w:rsidR="007A2EBA">
        <w:rPr>
          <w:rFonts w:ascii="Book Antiqua" w:hAnsi="Book Antiqua"/>
          <w:sz w:val="24"/>
          <w:szCs w:val="24"/>
        </w:rPr>
        <w:t xml:space="preserve"> No.RC2011063</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Correspondence to: Hong-</w:t>
      </w:r>
      <w:r w:rsidR="00110F76" w:rsidRPr="00343901">
        <w:rPr>
          <w:rFonts w:ascii="Book Antiqua" w:hAnsi="Book Antiqua"/>
          <w:b/>
          <w:sz w:val="24"/>
          <w:szCs w:val="24"/>
        </w:rPr>
        <w:t>J</w:t>
      </w:r>
      <w:r w:rsidRPr="00343901">
        <w:rPr>
          <w:rFonts w:ascii="Book Antiqua" w:hAnsi="Book Antiqua"/>
          <w:b/>
          <w:sz w:val="24"/>
          <w:szCs w:val="24"/>
        </w:rPr>
        <w:t>ie Zhang, MD, PhD,</w:t>
      </w:r>
      <w:r w:rsidRPr="007A2EBA">
        <w:rPr>
          <w:rFonts w:ascii="Book Antiqua" w:hAnsi="Book Antiqua"/>
          <w:b/>
          <w:sz w:val="24"/>
          <w:szCs w:val="24"/>
        </w:rPr>
        <w:t xml:space="preserve"> Professor,</w:t>
      </w:r>
      <w:r w:rsidRPr="00343901">
        <w:rPr>
          <w:rFonts w:ascii="Book Antiqua" w:hAnsi="Book Antiqua"/>
          <w:sz w:val="24"/>
          <w:szCs w:val="24"/>
        </w:rPr>
        <w:t xml:space="preserve"> Department of Gastroenterology, First Affiliated Hospital of Nanjing Medical University, 300 Guangzhou Road, Nanjing 210029, </w:t>
      </w:r>
      <w:r w:rsidR="007A2EBA" w:rsidRPr="00343901">
        <w:rPr>
          <w:rFonts w:ascii="Book Antiqua" w:hAnsi="Book Antiqua"/>
          <w:sz w:val="24"/>
          <w:szCs w:val="24"/>
        </w:rPr>
        <w:t>Jiangsu Province,</w:t>
      </w:r>
      <w:r w:rsidR="007A2EBA">
        <w:rPr>
          <w:rFonts w:ascii="Book Antiqua" w:hAnsi="Book Antiqua" w:hint="eastAsia"/>
          <w:sz w:val="24"/>
          <w:szCs w:val="24"/>
        </w:rPr>
        <w:t xml:space="preserve"> </w:t>
      </w:r>
      <w:r w:rsidRPr="00343901">
        <w:rPr>
          <w:rFonts w:ascii="Book Antiqua" w:hAnsi="Book Antiqua"/>
          <w:sz w:val="24"/>
          <w:szCs w:val="24"/>
        </w:rPr>
        <w:t xml:space="preserve">China. </w:t>
      </w:r>
      <w:r w:rsidR="000D0FC4" w:rsidRPr="00343901">
        <w:rPr>
          <w:rFonts w:ascii="Book Antiqua" w:hAnsi="Book Antiqua"/>
          <w:sz w:val="24"/>
          <w:szCs w:val="24"/>
        </w:rPr>
        <w:t>hjzhang06</w:t>
      </w:r>
      <w:r w:rsidRPr="00343901">
        <w:rPr>
          <w:rFonts w:ascii="Book Antiqua" w:hAnsi="Book Antiqua"/>
          <w:sz w:val="24"/>
          <w:szCs w:val="24"/>
        </w:rPr>
        <w:t>@163.com</w:t>
      </w:r>
    </w:p>
    <w:p w:rsidR="00EC7D98" w:rsidRPr="000D0FC4"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Telephone:</w:t>
      </w:r>
      <w:r w:rsidR="007A2EBA">
        <w:rPr>
          <w:rFonts w:ascii="Book Antiqua" w:hAnsi="Book Antiqua"/>
          <w:sz w:val="24"/>
          <w:szCs w:val="24"/>
        </w:rPr>
        <w:t xml:space="preserve"> +86-25-8371</w:t>
      </w:r>
      <w:r w:rsidRPr="00343901">
        <w:rPr>
          <w:rFonts w:ascii="Book Antiqua" w:hAnsi="Book Antiqua"/>
          <w:sz w:val="24"/>
          <w:szCs w:val="24"/>
        </w:rPr>
        <w:t>8836</w:t>
      </w:r>
      <w:r w:rsidR="007A2EBA">
        <w:rPr>
          <w:rFonts w:ascii="Book Antiqua" w:hAnsi="Book Antiqua" w:hint="eastAsia"/>
          <w:sz w:val="24"/>
          <w:szCs w:val="24"/>
        </w:rPr>
        <w:t xml:space="preserve"> </w:t>
      </w:r>
      <w:r w:rsidRPr="00343901">
        <w:rPr>
          <w:rFonts w:ascii="Book Antiqua" w:hAnsi="Book Antiqua"/>
          <w:b/>
          <w:sz w:val="24"/>
          <w:szCs w:val="24"/>
        </w:rPr>
        <w:t>Fax:</w:t>
      </w:r>
      <w:r w:rsidR="007A2EBA">
        <w:rPr>
          <w:rFonts w:ascii="Book Antiqua" w:hAnsi="Book Antiqua"/>
          <w:sz w:val="24"/>
          <w:szCs w:val="24"/>
        </w:rPr>
        <w:t xml:space="preserve"> +86-25-8367</w:t>
      </w:r>
      <w:r w:rsidRPr="00343901">
        <w:rPr>
          <w:rFonts w:ascii="Book Antiqua" w:hAnsi="Book Antiqua"/>
          <w:sz w:val="24"/>
          <w:szCs w:val="24"/>
        </w:rPr>
        <w:t>4636</w:t>
      </w:r>
    </w:p>
    <w:p w:rsidR="00BE208D" w:rsidRPr="003166B1" w:rsidRDefault="00BE208D" w:rsidP="00BC503B">
      <w:pPr>
        <w:adjustRightInd w:val="0"/>
        <w:snapToGrid w:val="0"/>
        <w:spacing w:line="360" w:lineRule="auto"/>
      </w:pPr>
      <w:r w:rsidRPr="00E7301E">
        <w:rPr>
          <w:rFonts w:ascii="Book Antiqua" w:hAnsi="Book Antiqua"/>
          <w:b/>
          <w:sz w:val="24"/>
        </w:rPr>
        <w:t xml:space="preserve">Received: </w:t>
      </w:r>
      <w:r w:rsidRPr="00A11C75">
        <w:rPr>
          <w:rFonts w:ascii="Book Antiqua" w:hAnsi="Book Antiqua"/>
          <w:sz w:val="24"/>
        </w:rPr>
        <w:t>October</w:t>
      </w:r>
      <w:r w:rsidRPr="004C0A65">
        <w:rPr>
          <w:rFonts w:ascii="Book Antiqua" w:hAnsi="Book Antiqua"/>
          <w:sz w:val="24"/>
        </w:rPr>
        <w:t xml:space="preserve"> </w:t>
      </w:r>
      <w:r w:rsidRPr="004C0A65">
        <w:rPr>
          <w:rFonts w:ascii="Book Antiqua" w:hAnsi="Book Antiqua" w:hint="eastAsia"/>
          <w:sz w:val="24"/>
        </w:rPr>
        <w:t>2</w:t>
      </w:r>
      <w:r>
        <w:rPr>
          <w:rFonts w:ascii="Book Antiqua" w:hAnsi="Book Antiqua" w:hint="eastAsia"/>
          <w:sz w:val="24"/>
        </w:rPr>
        <w:t>9</w:t>
      </w:r>
      <w:r w:rsidRPr="004C0A65">
        <w:rPr>
          <w:rFonts w:ascii="Book Antiqua" w:hAnsi="Book Antiqua" w:hint="eastAsia"/>
          <w:sz w:val="24"/>
        </w:rPr>
        <w:t>, 2013</w:t>
      </w:r>
      <w:r>
        <w:rPr>
          <w:rFonts w:ascii="Book Antiqua" w:hAnsi="Book Antiqua" w:hint="eastAsia"/>
          <w:b/>
          <w:sz w:val="24"/>
        </w:rPr>
        <w:t xml:space="preserve">  </w:t>
      </w:r>
      <w:r>
        <w:rPr>
          <w:rFonts w:ascii="Book Antiqua" w:hAnsi="Book Antiqua"/>
          <w:b/>
          <w:sz w:val="24"/>
        </w:rPr>
        <w:t xml:space="preserve">Revised: </w:t>
      </w:r>
      <w:r w:rsidRPr="00A11C75">
        <w:rPr>
          <w:rFonts w:ascii="Book Antiqua" w:hAnsi="Book Antiqua"/>
          <w:sz w:val="24"/>
        </w:rPr>
        <w:t>March</w:t>
      </w:r>
      <w:r>
        <w:rPr>
          <w:rFonts w:ascii="Book Antiqua" w:hAnsi="Book Antiqua" w:hint="eastAsia"/>
          <w:sz w:val="24"/>
        </w:rPr>
        <w:t xml:space="preserve"> 10, 2014</w:t>
      </w:r>
    </w:p>
    <w:p w:rsidR="0093286E" w:rsidRPr="006A53D2" w:rsidRDefault="00EC7D98" w:rsidP="0093286E">
      <w:pPr>
        <w:rPr>
          <w:rFonts w:ascii="Book Antiqua" w:hAnsi="Book Antiqua"/>
          <w:sz w:val="24"/>
          <w:szCs w:val="24"/>
        </w:rPr>
      </w:pPr>
      <w:r w:rsidRPr="00343901">
        <w:rPr>
          <w:rFonts w:ascii="Book Antiqua" w:hAnsi="Book Antiqua"/>
          <w:b/>
          <w:sz w:val="24"/>
          <w:szCs w:val="24"/>
        </w:rPr>
        <w:t>Accepted:</w:t>
      </w:r>
      <w:r w:rsidR="0093286E" w:rsidRPr="0093286E">
        <w:rPr>
          <w:rFonts w:ascii="Book Antiqua" w:hAnsi="Book Antiqua"/>
          <w:sz w:val="24"/>
          <w:szCs w:val="24"/>
        </w:rPr>
        <w:t xml:space="preserve"> </w:t>
      </w:r>
      <w:r w:rsidR="0093286E" w:rsidRPr="006A53D2">
        <w:rPr>
          <w:rFonts w:ascii="Book Antiqua" w:hAnsi="Book Antiqua"/>
          <w:sz w:val="24"/>
          <w:szCs w:val="24"/>
        </w:rPr>
        <w:t>May 28, 2014</w:t>
      </w:r>
    </w:p>
    <w:p w:rsidR="007A2EBA" w:rsidRDefault="007A2EBA"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lastRenderedPageBreak/>
        <w:t xml:space="preserve">Published online: </w:t>
      </w:r>
    </w:p>
    <w:p w:rsidR="00343901" w:rsidRPr="00343901" w:rsidRDefault="00343901"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Abstract</w:t>
      </w:r>
    </w:p>
    <w:p w:rsidR="00EC7D98" w:rsidRPr="00343901" w:rsidRDefault="00EC7D98" w:rsidP="00BC503B">
      <w:pPr>
        <w:autoSpaceDE w:val="0"/>
        <w:autoSpaceDN w:val="0"/>
        <w:adjustRightInd w:val="0"/>
        <w:snapToGrid w:val="0"/>
        <w:spacing w:line="360" w:lineRule="auto"/>
        <w:rPr>
          <w:rFonts w:ascii="Book Antiqua" w:hAnsi="Book Antiqua"/>
          <w:sz w:val="24"/>
          <w:szCs w:val="24"/>
        </w:rPr>
      </w:pPr>
      <w:r w:rsidRPr="00343901">
        <w:rPr>
          <w:rFonts w:ascii="Book Antiqua" w:hAnsi="Book Antiqua"/>
          <w:b/>
          <w:sz w:val="24"/>
          <w:szCs w:val="24"/>
        </w:rPr>
        <w:t>AIM:</w:t>
      </w:r>
      <w:r w:rsidRPr="00343901">
        <w:rPr>
          <w:rFonts w:ascii="Book Antiqua" w:hAnsi="Book Antiqua"/>
          <w:sz w:val="24"/>
          <w:szCs w:val="24"/>
        </w:rPr>
        <w:t xml:space="preserve"> To investigate the role of epidermal growth factor (EGF) in visceral hypersensitivity and its effect on the serotonin transporter (SERT).</w:t>
      </w:r>
    </w:p>
    <w:p w:rsidR="00EC7D98" w:rsidRPr="00343901" w:rsidRDefault="00EC7D98" w:rsidP="00BC503B">
      <w:pPr>
        <w:autoSpaceDE w:val="0"/>
        <w:autoSpaceDN w:val="0"/>
        <w:adjustRightInd w:val="0"/>
        <w:snapToGrid w:val="0"/>
        <w:spacing w:line="360" w:lineRule="auto"/>
        <w:rPr>
          <w:rFonts w:ascii="Book Antiqua" w:hAnsi="Book Antiqua"/>
          <w:b/>
          <w:sz w:val="24"/>
          <w:szCs w:val="24"/>
        </w:rPr>
      </w:pPr>
    </w:p>
    <w:p w:rsidR="00EC7D98" w:rsidRPr="00343901" w:rsidRDefault="00EC7D98" w:rsidP="00BC503B">
      <w:pPr>
        <w:autoSpaceDE w:val="0"/>
        <w:autoSpaceDN w:val="0"/>
        <w:adjustRightInd w:val="0"/>
        <w:snapToGrid w:val="0"/>
        <w:spacing w:line="360" w:lineRule="auto"/>
        <w:rPr>
          <w:rFonts w:ascii="Book Antiqua" w:hAnsi="Book Antiqua"/>
          <w:sz w:val="24"/>
          <w:szCs w:val="24"/>
        </w:rPr>
      </w:pPr>
      <w:r w:rsidRPr="00343901">
        <w:rPr>
          <w:rFonts w:ascii="Book Antiqua" w:hAnsi="Book Antiqua"/>
          <w:b/>
          <w:sz w:val="24"/>
          <w:szCs w:val="24"/>
        </w:rPr>
        <w:t>METHODS:</w:t>
      </w:r>
      <w:r w:rsidRPr="00343901">
        <w:rPr>
          <w:rFonts w:ascii="Book Antiqua" w:hAnsi="Book Antiqua"/>
          <w:sz w:val="24"/>
          <w:szCs w:val="24"/>
        </w:rPr>
        <w:t xml:space="preserve"> A rat model for visceral hypersensitivity was established by intra-colonic infusion of 0.5% acetic acid in 10-d</w:t>
      </w:r>
      <w:r w:rsidR="00BE208D">
        <w:rPr>
          <w:rFonts w:ascii="Book Antiqua" w:hAnsi="Book Antiqua" w:hint="eastAsia"/>
          <w:sz w:val="24"/>
          <w:szCs w:val="24"/>
        </w:rPr>
        <w:t>ay</w:t>
      </w:r>
      <w:r w:rsidRPr="00343901">
        <w:rPr>
          <w:rFonts w:ascii="Book Antiqua" w:hAnsi="Book Antiqua"/>
          <w:sz w:val="24"/>
          <w:szCs w:val="24"/>
        </w:rPr>
        <w:t xml:space="preserve">-old Sprague-Dawley rats. The visceral sensitivity was assessed by observing the abdominal withdrawal reflex and recording electromyographic activity of the external oblique muscle in response to colorectal distension. An enzyme-linked immunosorbent assay was used to measure the EGF levels in plasma and colonic tissues. SERT mRNA expression was detected by real-time PCR while protein level was determined by Western blot. The correlation between EGF and SERT levels in colon tissues was analyzed by Pearson's correlation analysis. SERT function was examined by tritiated serotonin (5-HT) uptake experiments. Rat intestinal epithelial cells (IEC-6) were used to examine the EGF regulatory effect on SERT expression and function </w:t>
      </w:r>
      <w:r w:rsidR="0026079B" w:rsidRPr="0026079B">
        <w:rPr>
          <w:rFonts w:ascii="Book Antiqua" w:hAnsi="Book Antiqua"/>
          <w:i/>
          <w:sz w:val="24"/>
          <w:szCs w:val="24"/>
        </w:rPr>
        <w:t>via</w:t>
      </w:r>
      <w:r w:rsidRPr="00343901">
        <w:rPr>
          <w:rFonts w:ascii="Book Antiqua" w:hAnsi="Book Antiqua"/>
          <w:sz w:val="24"/>
          <w:szCs w:val="24"/>
        </w:rPr>
        <w:t xml:space="preserve"> the EGF receptor (EGFR). </w:t>
      </w:r>
    </w:p>
    <w:p w:rsidR="00EC7D98" w:rsidRPr="00343901" w:rsidRDefault="00EC7D98" w:rsidP="00BC503B">
      <w:pPr>
        <w:autoSpaceDE w:val="0"/>
        <w:autoSpaceDN w:val="0"/>
        <w:adjustRightInd w:val="0"/>
        <w:snapToGrid w:val="0"/>
        <w:spacing w:line="360" w:lineRule="auto"/>
        <w:rPr>
          <w:rFonts w:ascii="Book Antiqua" w:hAnsi="Book Antiqua"/>
          <w:b/>
          <w:sz w:val="24"/>
          <w:szCs w:val="24"/>
        </w:rPr>
      </w:pPr>
    </w:p>
    <w:p w:rsidR="00EC7D98" w:rsidRPr="00343901" w:rsidRDefault="00EC7D98" w:rsidP="00BC503B">
      <w:pPr>
        <w:autoSpaceDE w:val="0"/>
        <w:autoSpaceDN w:val="0"/>
        <w:adjustRightInd w:val="0"/>
        <w:snapToGrid w:val="0"/>
        <w:spacing w:line="360" w:lineRule="auto"/>
        <w:rPr>
          <w:rFonts w:ascii="Book Antiqua" w:hAnsi="Book Antiqua"/>
          <w:sz w:val="24"/>
          <w:szCs w:val="24"/>
        </w:rPr>
      </w:pPr>
      <w:r w:rsidRPr="00343901">
        <w:rPr>
          <w:rFonts w:ascii="Book Antiqua" w:hAnsi="Book Antiqua"/>
          <w:b/>
          <w:sz w:val="24"/>
          <w:szCs w:val="24"/>
        </w:rPr>
        <w:t>RESULTS:</w:t>
      </w:r>
      <w:r w:rsidRPr="00343901">
        <w:rPr>
          <w:rFonts w:ascii="Book Antiqua" w:hAnsi="Book Antiqua"/>
          <w:sz w:val="24"/>
          <w:szCs w:val="24"/>
        </w:rPr>
        <w:t xml:space="preserve"> EGF levels were significantly lower in the rats with visceral hypersensitivity as measured in plasma (2.639 ± 0.107 </w:t>
      </w:r>
      <w:r w:rsidR="00343901" w:rsidRPr="00343901">
        <w:rPr>
          <w:rFonts w:ascii="Book Antiqua" w:hAnsi="Book Antiqua"/>
          <w:sz w:val="24"/>
          <w:szCs w:val="24"/>
        </w:rPr>
        <w:t>ng/mL</w:t>
      </w:r>
      <w:r w:rsidR="00343901" w:rsidRPr="00343901">
        <w:rPr>
          <w:rFonts w:ascii="Book Antiqua" w:hAnsi="Book Antiqua"/>
          <w:i/>
          <w:sz w:val="24"/>
          <w:szCs w:val="24"/>
        </w:rPr>
        <w:t xml:space="preserve"> vs</w:t>
      </w:r>
      <w:r w:rsidRPr="00343901">
        <w:rPr>
          <w:rFonts w:ascii="Book Antiqua" w:hAnsi="Book Antiqua"/>
          <w:sz w:val="24"/>
          <w:szCs w:val="24"/>
        </w:rPr>
        <w:t xml:space="preserve"> 4.066 ± 0.573 ng/mL; </w:t>
      </w:r>
      <w:r w:rsidRPr="00343901">
        <w:rPr>
          <w:rFonts w:ascii="Book Antiqua" w:hAnsi="Book Antiqua"/>
          <w:i/>
          <w:sz w:val="24"/>
          <w:szCs w:val="24"/>
        </w:rPr>
        <w:t xml:space="preserve">P </w:t>
      </w:r>
      <w:r w:rsidRPr="00343901">
        <w:rPr>
          <w:rFonts w:ascii="Book Antiqua" w:hAnsi="Book Antiqua"/>
          <w:sz w:val="24"/>
          <w:szCs w:val="24"/>
        </w:rPr>
        <w:t xml:space="preserve">&lt; 0.01) and in colonic tissue (3.244 ± 0.135 </w:t>
      </w:r>
      <w:r w:rsidR="00343901" w:rsidRPr="00343901">
        <w:rPr>
          <w:rFonts w:ascii="Book Antiqua" w:hAnsi="Book Antiqua"/>
          <w:sz w:val="24"/>
          <w:szCs w:val="24"/>
        </w:rPr>
        <w:t>ng/100 mg</w:t>
      </w:r>
      <w:r w:rsidR="00343901" w:rsidRPr="00343901">
        <w:rPr>
          <w:rFonts w:ascii="Book Antiqua" w:hAnsi="Book Antiqua"/>
          <w:i/>
          <w:sz w:val="24"/>
          <w:szCs w:val="24"/>
        </w:rPr>
        <w:t xml:space="preserve"> vs</w:t>
      </w:r>
      <w:r w:rsidRPr="00343901">
        <w:rPr>
          <w:rFonts w:ascii="Book Antiqua" w:hAnsi="Book Antiqua"/>
          <w:i/>
          <w:sz w:val="24"/>
          <w:szCs w:val="24"/>
        </w:rPr>
        <w:t xml:space="preserve"> </w:t>
      </w:r>
      <w:r w:rsidRPr="00343901">
        <w:rPr>
          <w:rFonts w:ascii="Book Antiqua" w:hAnsi="Book Antiqua"/>
          <w:sz w:val="24"/>
          <w:szCs w:val="24"/>
        </w:rPr>
        <w:t xml:space="preserve">3.582 ± 0.197 ng/100 mg colon tissue; </w:t>
      </w:r>
      <w:r w:rsidRPr="00343901">
        <w:rPr>
          <w:rFonts w:ascii="Book Antiqua" w:hAnsi="Book Antiqua"/>
          <w:i/>
          <w:sz w:val="24"/>
          <w:szCs w:val="24"/>
        </w:rPr>
        <w:t xml:space="preserve">P </w:t>
      </w:r>
      <w:r w:rsidRPr="00343901">
        <w:rPr>
          <w:rFonts w:ascii="Book Antiqua" w:hAnsi="Book Antiqua"/>
          <w:sz w:val="24"/>
          <w:szCs w:val="24"/>
        </w:rPr>
        <w:t>&lt; 0.01) compared with controls. Moreover, the EGF levels were positively correlated with SERT levels (</w:t>
      </w:r>
      <w:r w:rsidR="00343901" w:rsidRPr="00343901">
        <w:rPr>
          <w:rFonts w:ascii="Book Antiqua" w:hAnsi="Book Antiqua"/>
          <w:i/>
          <w:sz w:val="24"/>
          <w:szCs w:val="24"/>
        </w:rPr>
        <w:t>r =</w:t>
      </w:r>
      <w:r w:rsidRPr="00343901">
        <w:rPr>
          <w:rFonts w:ascii="Book Antiqua" w:hAnsi="Book Antiqua"/>
          <w:sz w:val="24"/>
          <w:szCs w:val="24"/>
        </w:rPr>
        <w:t xml:space="preserve"> 0.820;</w:t>
      </w:r>
      <w:r w:rsidRPr="00343901">
        <w:rPr>
          <w:rFonts w:ascii="Book Antiqua" w:hAnsi="Book Antiqua"/>
          <w:i/>
          <w:sz w:val="24"/>
          <w:szCs w:val="24"/>
        </w:rPr>
        <w:t xml:space="preserve"> P </w:t>
      </w:r>
      <w:r w:rsidRPr="00343901">
        <w:rPr>
          <w:rFonts w:ascii="Book Antiqua" w:hAnsi="Book Antiqua"/>
          <w:sz w:val="24"/>
          <w:szCs w:val="24"/>
        </w:rPr>
        <w:t xml:space="preserve">&lt; 0.01). EGF displayed dose- and time–dependent increased SERT gene expressions in IEC-6 cells. An EGFR kinase inhibitor inhibited the effect of EGF on SERT gene upregulation. SERT activity was enhanced following treatment with EGF (592.908 ± 31.515 </w:t>
      </w:r>
      <w:r w:rsidR="00343901" w:rsidRPr="00343901">
        <w:rPr>
          <w:rFonts w:ascii="Book Antiqua" w:hAnsi="Book Antiqua"/>
          <w:sz w:val="24"/>
          <w:szCs w:val="24"/>
        </w:rPr>
        <w:t>fmol/min</w:t>
      </w:r>
      <w:r w:rsidR="00343901">
        <w:rPr>
          <w:rFonts w:ascii="Book Antiqua" w:hAnsi="Book Antiqua" w:hint="eastAsia"/>
          <w:sz w:val="24"/>
          <w:szCs w:val="24"/>
        </w:rPr>
        <w:t xml:space="preserve"> per </w:t>
      </w:r>
      <w:r w:rsidR="00343901" w:rsidRPr="00343901">
        <w:rPr>
          <w:rFonts w:ascii="Book Antiqua" w:hAnsi="Book Antiqua"/>
          <w:sz w:val="24"/>
          <w:szCs w:val="24"/>
        </w:rPr>
        <w:t>milligram</w:t>
      </w:r>
      <w:r w:rsidR="00343901" w:rsidRPr="00343901">
        <w:rPr>
          <w:rFonts w:ascii="Book Antiqua" w:hAnsi="Book Antiqua"/>
          <w:i/>
          <w:sz w:val="24"/>
          <w:szCs w:val="24"/>
        </w:rPr>
        <w:t xml:space="preserve"> vs</w:t>
      </w:r>
      <w:r w:rsidRPr="00343901">
        <w:rPr>
          <w:rFonts w:ascii="Book Antiqua" w:hAnsi="Book Antiqua"/>
          <w:sz w:val="24"/>
          <w:szCs w:val="24"/>
        </w:rPr>
        <w:t xml:space="preserve"> 316.789 ± 85.652 fmol/min</w:t>
      </w:r>
      <w:r w:rsidR="00343901">
        <w:rPr>
          <w:rFonts w:ascii="Book Antiqua" w:hAnsi="Book Antiqua" w:hint="eastAsia"/>
          <w:sz w:val="24"/>
          <w:szCs w:val="24"/>
        </w:rPr>
        <w:t xml:space="preserve"> per </w:t>
      </w:r>
      <w:r w:rsidR="00343901" w:rsidRPr="00343901">
        <w:rPr>
          <w:rFonts w:ascii="Book Antiqua" w:hAnsi="Book Antiqua"/>
          <w:sz w:val="24"/>
          <w:szCs w:val="24"/>
        </w:rPr>
        <w:t>milligram</w:t>
      </w:r>
      <w:r w:rsidRPr="00343901">
        <w:rPr>
          <w:rFonts w:ascii="Book Antiqua" w:hAnsi="Book Antiqua"/>
          <w:sz w:val="24"/>
          <w:szCs w:val="24"/>
        </w:rPr>
        <w:t xml:space="preserve"> protein; </w:t>
      </w:r>
      <w:r w:rsidRPr="00343901">
        <w:rPr>
          <w:rFonts w:ascii="Book Antiqua" w:hAnsi="Book Antiqua"/>
          <w:i/>
          <w:sz w:val="24"/>
          <w:szCs w:val="24"/>
        </w:rPr>
        <w:t xml:space="preserve">P </w:t>
      </w:r>
      <w:r w:rsidRPr="00343901">
        <w:rPr>
          <w:rFonts w:ascii="Book Antiqua" w:hAnsi="Book Antiqua"/>
          <w:sz w:val="24"/>
          <w:szCs w:val="24"/>
        </w:rPr>
        <w:t xml:space="preserve">&lt; 0.05) and blocked by the EGFR kinase inhibitor in IEC-6 cells (590.274 ± 25.954 </w:t>
      </w:r>
      <w:r w:rsidR="00343901" w:rsidRPr="00343901">
        <w:rPr>
          <w:rFonts w:ascii="Book Antiqua" w:hAnsi="Book Antiqua"/>
          <w:sz w:val="24"/>
          <w:szCs w:val="24"/>
        </w:rPr>
        <w:t>fmol/min</w:t>
      </w:r>
      <w:r w:rsidR="00343901">
        <w:rPr>
          <w:rFonts w:ascii="Book Antiqua" w:hAnsi="Book Antiqua" w:hint="eastAsia"/>
          <w:sz w:val="24"/>
          <w:szCs w:val="24"/>
        </w:rPr>
        <w:t xml:space="preserve"> per </w:t>
      </w:r>
      <w:r w:rsidR="00343901" w:rsidRPr="00343901">
        <w:rPr>
          <w:rFonts w:ascii="Book Antiqua" w:hAnsi="Book Antiqua"/>
          <w:sz w:val="24"/>
          <w:szCs w:val="24"/>
        </w:rPr>
        <w:t>milligram</w:t>
      </w:r>
      <w:r w:rsidR="00343901" w:rsidRPr="00343901">
        <w:rPr>
          <w:rFonts w:ascii="Book Antiqua" w:hAnsi="Book Antiqua"/>
          <w:i/>
          <w:sz w:val="24"/>
          <w:szCs w:val="24"/>
        </w:rPr>
        <w:t xml:space="preserve"> vs</w:t>
      </w:r>
      <w:r w:rsidRPr="00343901">
        <w:rPr>
          <w:rFonts w:ascii="Book Antiqua" w:hAnsi="Book Antiqua"/>
          <w:sz w:val="24"/>
          <w:szCs w:val="24"/>
        </w:rPr>
        <w:t xml:space="preserve"> 367.834 ± 120.307 </w:t>
      </w:r>
      <w:r w:rsidR="00343901" w:rsidRPr="00343901">
        <w:rPr>
          <w:rFonts w:ascii="Book Antiqua" w:hAnsi="Book Antiqua"/>
          <w:sz w:val="24"/>
          <w:szCs w:val="24"/>
        </w:rPr>
        <w:t>fmol/min</w:t>
      </w:r>
      <w:r w:rsidR="00343901">
        <w:rPr>
          <w:rFonts w:ascii="Book Antiqua" w:hAnsi="Book Antiqua" w:hint="eastAsia"/>
          <w:sz w:val="24"/>
          <w:szCs w:val="24"/>
        </w:rPr>
        <w:t xml:space="preserve"> per </w:t>
      </w:r>
      <w:r w:rsidR="00343901" w:rsidRPr="00343901">
        <w:rPr>
          <w:rFonts w:ascii="Book Antiqua" w:hAnsi="Book Antiqua"/>
          <w:sz w:val="24"/>
          <w:szCs w:val="24"/>
        </w:rPr>
        <w:t>milligram</w:t>
      </w:r>
      <w:r w:rsidRPr="00343901">
        <w:rPr>
          <w:rFonts w:ascii="Book Antiqua" w:hAnsi="Book Antiqua"/>
          <w:sz w:val="24"/>
          <w:szCs w:val="24"/>
        </w:rPr>
        <w:t xml:space="preserve"> protein; </w:t>
      </w:r>
      <w:r w:rsidRPr="00343901">
        <w:rPr>
          <w:rFonts w:ascii="Book Antiqua" w:hAnsi="Book Antiqua"/>
          <w:i/>
          <w:sz w:val="24"/>
          <w:szCs w:val="24"/>
        </w:rPr>
        <w:t>P</w:t>
      </w:r>
      <w:r w:rsidRPr="00343901">
        <w:rPr>
          <w:rFonts w:ascii="Book Antiqua" w:hAnsi="Book Antiqua"/>
          <w:sz w:val="24"/>
          <w:szCs w:val="24"/>
        </w:rPr>
        <w:t xml:space="preserve"> &lt; 0.05).</w:t>
      </w:r>
    </w:p>
    <w:p w:rsidR="00EC7D98" w:rsidRPr="00343901" w:rsidRDefault="00EC7D98" w:rsidP="00BC503B">
      <w:pPr>
        <w:autoSpaceDE w:val="0"/>
        <w:autoSpaceDN w:val="0"/>
        <w:adjustRightInd w:val="0"/>
        <w:snapToGrid w:val="0"/>
        <w:spacing w:line="360" w:lineRule="auto"/>
        <w:rPr>
          <w:rFonts w:ascii="Book Antiqua" w:hAnsi="Book Antiqua"/>
          <w:sz w:val="24"/>
          <w:szCs w:val="24"/>
        </w:rPr>
      </w:pPr>
    </w:p>
    <w:p w:rsidR="00EC7D98" w:rsidRPr="00343901" w:rsidRDefault="00EC7D98" w:rsidP="00BC503B">
      <w:pPr>
        <w:autoSpaceDE w:val="0"/>
        <w:autoSpaceDN w:val="0"/>
        <w:adjustRightInd w:val="0"/>
        <w:snapToGrid w:val="0"/>
        <w:spacing w:line="360" w:lineRule="auto"/>
        <w:rPr>
          <w:rFonts w:ascii="Book Antiqua" w:hAnsi="Book Antiqua"/>
          <w:sz w:val="24"/>
          <w:szCs w:val="24"/>
        </w:rPr>
      </w:pPr>
      <w:r w:rsidRPr="00343901">
        <w:rPr>
          <w:rFonts w:ascii="Book Antiqua" w:hAnsi="Book Antiqua"/>
          <w:b/>
          <w:sz w:val="24"/>
          <w:szCs w:val="24"/>
        </w:rPr>
        <w:t>CONCLUSION:</w:t>
      </w:r>
      <w:r w:rsidRPr="00343901">
        <w:rPr>
          <w:rFonts w:ascii="Book Antiqua" w:hAnsi="Book Antiqua"/>
          <w:sz w:val="24"/>
          <w:szCs w:val="24"/>
        </w:rPr>
        <w:t xml:space="preserve"> A decrease in EGF levels may contribute to the formation of </w:t>
      </w:r>
      <w:r w:rsidRPr="00343901">
        <w:rPr>
          <w:rFonts w:ascii="Book Antiqua" w:hAnsi="Book Antiqua"/>
          <w:sz w:val="24"/>
          <w:szCs w:val="24"/>
        </w:rPr>
        <w:lastRenderedPageBreak/>
        <w:t>visceral hypersensitivity through downregulation of SERT-mediated 5-HT uptake into enterocytes.</w:t>
      </w:r>
    </w:p>
    <w:p w:rsidR="00EC7D98" w:rsidRPr="00343901" w:rsidRDefault="00EC7D98" w:rsidP="00BC503B">
      <w:pPr>
        <w:adjustRightInd w:val="0"/>
        <w:snapToGrid w:val="0"/>
        <w:spacing w:line="360" w:lineRule="auto"/>
        <w:rPr>
          <w:rFonts w:ascii="Book Antiqua" w:hAnsi="Book Antiqua"/>
          <w:b/>
          <w:sz w:val="24"/>
          <w:szCs w:val="24"/>
        </w:rPr>
      </w:pPr>
    </w:p>
    <w:p w:rsidR="00343901" w:rsidRPr="00343901" w:rsidRDefault="00343901" w:rsidP="00BC503B">
      <w:pPr>
        <w:adjustRightInd w:val="0"/>
        <w:snapToGrid w:val="0"/>
        <w:spacing w:line="360" w:lineRule="auto"/>
        <w:rPr>
          <w:rFonts w:ascii="Book Antiqua" w:hAnsi="Book Antiqua" w:cs="Tahoma"/>
          <w:sz w:val="24"/>
          <w:szCs w:val="24"/>
        </w:rPr>
      </w:pPr>
      <w:r w:rsidRPr="00343901">
        <w:rPr>
          <w:rFonts w:ascii="Book Antiqua" w:hAnsi="Book Antiqua" w:cs="Tahoma"/>
          <w:sz w:val="24"/>
          <w:szCs w:val="24"/>
          <w:lang w:eastAsia="ja-JP"/>
        </w:rPr>
        <w:t>© 2014 Baishideng Publishing Group Inc. All rights reserved.</w:t>
      </w:r>
    </w:p>
    <w:p w:rsidR="00343901" w:rsidRPr="00343901" w:rsidRDefault="00343901" w:rsidP="00BC503B">
      <w:pPr>
        <w:adjustRightInd w:val="0"/>
        <w:snapToGrid w:val="0"/>
        <w:spacing w:line="360" w:lineRule="auto"/>
        <w:rPr>
          <w:rFonts w:ascii="Book Antiqua" w:hAnsi="Book Antiqua"/>
          <w:color w:val="000000"/>
          <w:sz w:val="24"/>
          <w:szCs w:val="24"/>
          <w:lang w:val="en"/>
        </w:rPr>
      </w:pPr>
    </w:p>
    <w:p w:rsidR="00EC7D98" w:rsidRPr="00343901" w:rsidRDefault="00343901"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Key words:</w:t>
      </w:r>
      <w:r w:rsidR="00EC7D98" w:rsidRPr="00343901">
        <w:rPr>
          <w:rFonts w:ascii="Book Antiqua" w:hAnsi="Book Antiqua"/>
          <w:b/>
          <w:sz w:val="24"/>
          <w:szCs w:val="24"/>
          <w:lang w:val="sv-SE"/>
        </w:rPr>
        <w:t xml:space="preserve"> </w:t>
      </w:r>
      <w:r w:rsidRPr="00343901">
        <w:rPr>
          <w:rFonts w:ascii="Book Antiqua" w:hAnsi="Book Antiqua"/>
          <w:caps/>
          <w:sz w:val="24"/>
          <w:szCs w:val="24"/>
        </w:rPr>
        <w:t>e</w:t>
      </w:r>
      <w:r w:rsidRPr="00343901">
        <w:rPr>
          <w:rFonts w:ascii="Book Antiqua" w:hAnsi="Book Antiqua"/>
          <w:sz w:val="24"/>
          <w:szCs w:val="24"/>
        </w:rPr>
        <w:t>pidermal growth factor</w:t>
      </w:r>
      <w:r w:rsidR="00EC7D98" w:rsidRPr="00343901">
        <w:rPr>
          <w:rFonts w:ascii="Book Antiqua" w:hAnsi="Book Antiqua"/>
          <w:sz w:val="24"/>
          <w:szCs w:val="24"/>
        </w:rPr>
        <w:t xml:space="preserve">; Visceral hypersensitivity; Rat models; Serotonin transporter; Rat small intestinal epithelial cells; </w:t>
      </w:r>
      <w:r w:rsidRPr="00343901">
        <w:rPr>
          <w:rFonts w:ascii="Book Antiqua" w:hAnsi="Book Antiqua"/>
          <w:caps/>
          <w:sz w:val="24"/>
          <w:szCs w:val="24"/>
        </w:rPr>
        <w:t>i</w:t>
      </w:r>
      <w:r w:rsidRPr="00343901">
        <w:rPr>
          <w:rFonts w:ascii="Book Antiqua" w:hAnsi="Book Antiqua"/>
          <w:sz w:val="24"/>
          <w:szCs w:val="24"/>
        </w:rPr>
        <w:t>ntestinal epithelial cells</w:t>
      </w:r>
      <w:r w:rsidR="00DC0744">
        <w:rPr>
          <w:rFonts w:ascii="Book Antiqua" w:hAnsi="Book Antiqua"/>
          <w:sz w:val="24"/>
          <w:szCs w:val="24"/>
        </w:rPr>
        <w:t xml:space="preserve">; </w:t>
      </w:r>
      <w:r w:rsidR="00DC0744" w:rsidRPr="00DC0744">
        <w:rPr>
          <w:rFonts w:ascii="Book Antiqua" w:hAnsi="Book Antiqua"/>
          <w:sz w:val="24"/>
          <w:szCs w:val="24"/>
        </w:rPr>
        <w:t>Irritable bowel syndrome</w:t>
      </w:r>
      <w:r w:rsidR="00EC7D98" w:rsidRPr="00343901">
        <w:rPr>
          <w:rFonts w:ascii="Book Antiqua" w:hAnsi="Book Antiqua"/>
          <w:sz w:val="24"/>
          <w:szCs w:val="24"/>
        </w:rPr>
        <w:t xml:space="preserve"> </w:t>
      </w:r>
    </w:p>
    <w:p w:rsidR="00EC7D98" w:rsidRPr="00343901" w:rsidRDefault="00EC7D98" w:rsidP="00BC503B">
      <w:pPr>
        <w:adjustRightInd w:val="0"/>
        <w:snapToGrid w:val="0"/>
        <w:spacing w:line="360" w:lineRule="auto"/>
        <w:rPr>
          <w:rFonts w:ascii="Book Antiqua" w:hAnsi="Book Antiqua"/>
          <w:sz w:val="24"/>
          <w:szCs w:val="24"/>
          <w:lang w:val="sv-SE"/>
        </w:rPr>
      </w:pP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eastAsia="Arial Unicode MS" w:hAnsi="Book Antiqua" w:cs="Arial Unicode MS"/>
          <w:b/>
          <w:sz w:val="24"/>
          <w:szCs w:val="24"/>
        </w:rPr>
        <w:t xml:space="preserve">Core tip: </w:t>
      </w:r>
      <w:r w:rsidRPr="00343901">
        <w:rPr>
          <w:rFonts w:ascii="Book Antiqua" w:hAnsi="Book Antiqua"/>
          <w:sz w:val="24"/>
          <w:szCs w:val="24"/>
        </w:rPr>
        <w:t xml:space="preserve">Results of this study show that visceral hypersensitivity results in a decrease in the plasma and colon tissue levels of epidermal growth factor (EGF). Moreover, the EGF levels were positively correlated with serotonin transporter (SERT) levels. </w:t>
      </w:r>
      <w:r w:rsidRPr="00BE208D">
        <w:rPr>
          <w:rFonts w:ascii="Book Antiqua" w:hAnsi="Book Antiqua"/>
          <w:i/>
          <w:sz w:val="24"/>
          <w:szCs w:val="24"/>
        </w:rPr>
        <w:t>SERT</w:t>
      </w:r>
      <w:r w:rsidRPr="00343901">
        <w:rPr>
          <w:rFonts w:ascii="Book Antiqua" w:hAnsi="Book Antiqua"/>
          <w:sz w:val="24"/>
          <w:szCs w:val="24"/>
        </w:rPr>
        <w:t xml:space="preserve"> gene expression and protein activity were upregulated in a dose- and time–dependent manner by EGF, and an inhibitor of the EGF receptor kinase blocked </w:t>
      </w:r>
      <w:r w:rsidRPr="00BE208D">
        <w:rPr>
          <w:rFonts w:ascii="Book Antiqua" w:hAnsi="Book Antiqua"/>
          <w:i/>
          <w:sz w:val="24"/>
          <w:szCs w:val="24"/>
        </w:rPr>
        <w:t>SERT</w:t>
      </w:r>
      <w:r w:rsidRPr="00343901">
        <w:rPr>
          <w:rFonts w:ascii="Book Antiqua" w:hAnsi="Book Antiqua"/>
          <w:sz w:val="24"/>
          <w:szCs w:val="24"/>
        </w:rPr>
        <w:t xml:space="preserve"> gene expression and activity in an intestinal epithelial cell line. The data suggest that decreased EGF levels may contribute to the formation of visceral hypersensitivity through downregulation of SERT activity.</w:t>
      </w:r>
    </w:p>
    <w:p w:rsidR="00EC7D98" w:rsidRPr="00343901" w:rsidRDefault="00EC7D98" w:rsidP="00BC503B">
      <w:pPr>
        <w:adjustRightInd w:val="0"/>
        <w:snapToGrid w:val="0"/>
        <w:spacing w:line="360" w:lineRule="auto"/>
        <w:rPr>
          <w:rFonts w:ascii="Book Antiqua" w:hAnsi="Book Antiqua"/>
          <w:sz w:val="24"/>
          <w:szCs w:val="24"/>
        </w:rPr>
      </w:pPr>
    </w:p>
    <w:p w:rsidR="00343901"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Cui XF, Zhou WM, Yang Y, Zhou J, Li XL, Lin L, Zhang HJ. Epidermal growth factor upregulates serotonin transporter and its association with visceral hypersensitivity</w:t>
      </w:r>
      <w:r w:rsidR="009153FA" w:rsidRPr="009153FA">
        <w:rPr>
          <w:rFonts w:ascii="Book Antiqua" w:hAnsi="Book Antiqua"/>
          <w:sz w:val="24"/>
          <w:szCs w:val="24"/>
        </w:rPr>
        <w:t xml:space="preserve"> in irritable bowel syndrome</w:t>
      </w:r>
      <w:r w:rsidRPr="00343901">
        <w:rPr>
          <w:rFonts w:ascii="Book Antiqua" w:hAnsi="Book Antiqua"/>
          <w:sz w:val="24"/>
          <w:szCs w:val="24"/>
        </w:rPr>
        <w:t xml:space="preserve">. </w:t>
      </w:r>
      <w:r w:rsidRPr="00343901">
        <w:rPr>
          <w:rFonts w:ascii="Book Antiqua" w:hAnsi="Book Antiqua"/>
          <w:i/>
          <w:sz w:val="24"/>
          <w:szCs w:val="24"/>
        </w:rPr>
        <w:t>World J Gastroenterol</w:t>
      </w:r>
      <w:r w:rsidRPr="00343901">
        <w:rPr>
          <w:rFonts w:ascii="Book Antiqua" w:hAnsi="Book Antiqua"/>
          <w:sz w:val="24"/>
          <w:szCs w:val="24"/>
        </w:rPr>
        <w:t xml:space="preserve"> 2014;</w:t>
      </w:r>
      <w:r w:rsidR="00343901">
        <w:rPr>
          <w:rFonts w:ascii="Book Antiqua" w:hAnsi="Book Antiqua" w:hint="eastAsia"/>
          <w:sz w:val="24"/>
          <w:szCs w:val="24"/>
        </w:rPr>
        <w:t xml:space="preserve"> </w:t>
      </w:r>
      <w:r w:rsidR="00343901" w:rsidRPr="00343901">
        <w:rPr>
          <w:rFonts w:ascii="Book Antiqua" w:hAnsi="Book Antiqua" w:hint="eastAsia"/>
          <w:sz w:val="24"/>
          <w:szCs w:val="24"/>
        </w:rPr>
        <w:t xml:space="preserve">In </w:t>
      </w:r>
      <w:r w:rsidR="00D623F2" w:rsidRPr="00343901">
        <w:rPr>
          <w:rFonts w:ascii="Book Antiqua" w:hAnsi="Book Antiqua"/>
          <w:sz w:val="24"/>
          <w:szCs w:val="24"/>
        </w:rPr>
        <w:t>press</w:t>
      </w:r>
    </w:p>
    <w:p w:rsidR="00EC7D98" w:rsidRDefault="00EC7D98" w:rsidP="00BC503B">
      <w:pPr>
        <w:adjustRightInd w:val="0"/>
        <w:snapToGrid w:val="0"/>
        <w:spacing w:line="360" w:lineRule="auto"/>
        <w:rPr>
          <w:rFonts w:ascii="Book Antiqua" w:hAnsi="Book Antiqua"/>
          <w:b/>
          <w:sz w:val="24"/>
          <w:szCs w:val="24"/>
        </w:rPr>
      </w:pPr>
    </w:p>
    <w:p w:rsidR="00842DCE" w:rsidRPr="00343901" w:rsidRDefault="00842DCE"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INTRODUCTION</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Irritable bowel syndrome (IBS), a common chronic functional gastrointestinal disease, is characterized by abdominal pain and discomfort, and bowel disturbance. The pathogenesis of IBS remains unclear; however, visceral hypersensitivity is the most likely cause for the motor and sensory abnormalities in IBS patients</w:t>
      </w:r>
      <w:r w:rsidRPr="00343901">
        <w:rPr>
          <w:rFonts w:ascii="Book Antiqua" w:hAnsi="Book Antiqua"/>
          <w:sz w:val="24"/>
          <w:szCs w:val="24"/>
          <w:vertAlign w:val="superscript"/>
        </w:rPr>
        <w:t>[1]</w:t>
      </w:r>
      <w:r w:rsidRPr="00343901">
        <w:rPr>
          <w:rFonts w:ascii="Book Antiqua" w:hAnsi="Book Antiqua"/>
          <w:sz w:val="24"/>
          <w:szCs w:val="24"/>
        </w:rPr>
        <w:t>. Recent reports indicate abnormalities in serotonergic signaling systems being involved in the development of IBS, particularly those affecting serotonin (5-HT) levels in the gastrointestinal tract</w:t>
      </w:r>
      <w:r w:rsidRPr="00343901">
        <w:rPr>
          <w:rFonts w:ascii="Book Antiqua" w:hAnsi="Book Antiqua"/>
          <w:sz w:val="24"/>
          <w:szCs w:val="24"/>
          <w:vertAlign w:val="superscript"/>
        </w:rPr>
        <w:t>[2]</w:t>
      </w:r>
      <w:r w:rsidRPr="00343901">
        <w:rPr>
          <w:rFonts w:ascii="Book Antiqua" w:hAnsi="Book Antiqua"/>
          <w:sz w:val="24"/>
          <w:szCs w:val="24"/>
        </w:rPr>
        <w:t xml:space="preserve">. Therefore, it is of interest to investigate the role of this </w:t>
      </w:r>
      <w:r w:rsidRPr="00343901">
        <w:rPr>
          <w:rFonts w:ascii="Book Antiqua" w:hAnsi="Book Antiqua"/>
          <w:sz w:val="24"/>
          <w:szCs w:val="24"/>
        </w:rPr>
        <w:lastRenderedPageBreak/>
        <w:t>pathway in the pathogenesis of IBS.</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High levels of 5-HT have been found in the intestinal mucosal tissue of IBS patients, especially those with constipation</w:t>
      </w:r>
      <w:r w:rsidRPr="00343901">
        <w:rPr>
          <w:rFonts w:ascii="Book Antiqua" w:hAnsi="Book Antiqua"/>
          <w:sz w:val="24"/>
          <w:szCs w:val="24"/>
          <w:vertAlign w:val="superscript"/>
        </w:rPr>
        <w:t>[3]</w:t>
      </w:r>
      <w:r w:rsidRPr="00343901">
        <w:rPr>
          <w:rFonts w:ascii="Book Antiqua" w:hAnsi="Book Antiqua"/>
          <w:sz w:val="24"/>
          <w:szCs w:val="24"/>
        </w:rPr>
        <w:t>. 5-HT is known to facilitate communication between the enteric nervous system and its effector systems (muscles, secretory endothelium, endocrine cells, and vasculature of the gastrointestinal tract). An increase in 5-HT can lead to gastrointestinal motility disorder and visceral hypersensitivity</w:t>
      </w:r>
      <w:r w:rsidRPr="00343901">
        <w:rPr>
          <w:rFonts w:ascii="Book Antiqua" w:hAnsi="Book Antiqua"/>
          <w:sz w:val="24"/>
          <w:szCs w:val="24"/>
          <w:vertAlign w:val="superscript"/>
        </w:rPr>
        <w:t>[4]</w:t>
      </w:r>
      <w:r w:rsidRPr="00343901">
        <w:rPr>
          <w:rFonts w:ascii="Book Antiqua" w:hAnsi="Book Antiqua"/>
          <w:sz w:val="24"/>
          <w:szCs w:val="24"/>
        </w:rPr>
        <w:t>. Accumulating evidence suggests that alterations in serotonergic signaling exist in the gut of IBS patients, including alterations in 5-HT biosynthesis, release, and/or reuptake</w:t>
      </w:r>
      <w:r w:rsidRPr="00343901">
        <w:rPr>
          <w:rFonts w:ascii="Book Antiqua" w:hAnsi="Book Antiqua"/>
          <w:sz w:val="24"/>
          <w:szCs w:val="24"/>
          <w:vertAlign w:val="superscript"/>
        </w:rPr>
        <w:t>[5,6]</w:t>
      </w:r>
      <w:r w:rsidRPr="00343901">
        <w:rPr>
          <w:rFonts w:ascii="Book Antiqua" w:hAnsi="Book Antiqua"/>
          <w:sz w:val="24"/>
          <w:szCs w:val="24"/>
        </w:rPr>
        <w:t>.</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The serotonin transporter (SERT) is mainly</w:t>
      </w:r>
      <w:r w:rsidRPr="00343901">
        <w:rPr>
          <w:rFonts w:ascii="Book Antiqua" w:hAnsi="Book Antiqua"/>
          <w:b/>
          <w:sz w:val="24"/>
          <w:szCs w:val="24"/>
        </w:rPr>
        <w:t xml:space="preserve"> </w:t>
      </w:r>
      <w:r w:rsidRPr="00343901">
        <w:rPr>
          <w:rFonts w:ascii="Book Antiqua" w:hAnsi="Book Antiqua"/>
          <w:sz w:val="24"/>
          <w:szCs w:val="24"/>
        </w:rPr>
        <w:t>localized to the apical membrane of intestinal epithelial cells. Due to its role in reuptake of 5-HT, SERT plays an important part in terminating transmitter action and maintaining transmitter homeostasis</w:t>
      </w:r>
      <w:r w:rsidRPr="00343901">
        <w:rPr>
          <w:rFonts w:ascii="Book Antiqua" w:hAnsi="Book Antiqua"/>
          <w:sz w:val="24"/>
          <w:szCs w:val="24"/>
          <w:vertAlign w:val="superscript"/>
        </w:rPr>
        <w:t>[7,8]</w:t>
      </w:r>
      <w:r w:rsidRPr="00343901">
        <w:rPr>
          <w:rFonts w:ascii="Book Antiqua" w:hAnsi="Book Antiqua"/>
          <w:sz w:val="24"/>
          <w:szCs w:val="24"/>
        </w:rPr>
        <w:t>. SERT gene expression is downregulated in the colon</w:t>
      </w:r>
      <w:bookmarkStart w:id="2" w:name="OLE_LINK10"/>
      <w:r w:rsidRPr="00343901">
        <w:rPr>
          <w:rFonts w:ascii="Book Antiqua" w:hAnsi="Book Antiqua"/>
          <w:sz w:val="24"/>
          <w:szCs w:val="24"/>
          <w:vertAlign w:val="superscript"/>
        </w:rPr>
        <w:t>[9]</w:t>
      </w:r>
      <w:bookmarkEnd w:id="2"/>
      <w:r w:rsidRPr="00343901">
        <w:rPr>
          <w:rFonts w:ascii="Book Antiqua" w:hAnsi="Book Antiqua"/>
          <w:sz w:val="24"/>
          <w:szCs w:val="24"/>
          <w:vertAlign w:val="superscript"/>
        </w:rPr>
        <w:t xml:space="preserve"> </w:t>
      </w:r>
      <w:r w:rsidRPr="00343901">
        <w:rPr>
          <w:rFonts w:ascii="Book Antiqua" w:hAnsi="Book Antiqua"/>
          <w:sz w:val="24"/>
          <w:szCs w:val="24"/>
        </w:rPr>
        <w:t>and rectal tissues</w:t>
      </w:r>
      <w:r w:rsidRPr="00343901">
        <w:rPr>
          <w:rFonts w:ascii="Book Antiqua" w:hAnsi="Book Antiqua"/>
          <w:sz w:val="24"/>
          <w:szCs w:val="24"/>
          <w:vertAlign w:val="superscript"/>
        </w:rPr>
        <w:t>[10]</w:t>
      </w:r>
      <w:r w:rsidRPr="00343901">
        <w:rPr>
          <w:rFonts w:ascii="Book Antiqua" w:hAnsi="Book Antiqua"/>
          <w:sz w:val="24"/>
          <w:szCs w:val="24"/>
        </w:rPr>
        <w:t xml:space="preserve"> of patients with IBS and inflammatory bowel disease. The downregulation may contribute to the pathophysiology of these gastrointestinal disorders; however, the underlying mechanisms are still not fully understood.</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Previous studies have demonstrated that epidermal growth factor (EGF) upregulates the reuptake of 5-HT by increasing SERT transcription in human intestinal epithelial cells</w:t>
      </w:r>
      <w:r w:rsidRPr="00343901">
        <w:rPr>
          <w:rFonts w:ascii="Book Antiqua" w:hAnsi="Book Antiqua"/>
          <w:sz w:val="24"/>
          <w:szCs w:val="24"/>
          <w:vertAlign w:val="superscript"/>
        </w:rPr>
        <w:t>[11,12]</w:t>
      </w:r>
      <w:r w:rsidRPr="00343901">
        <w:rPr>
          <w:rFonts w:ascii="Book Antiqua" w:hAnsi="Book Antiqua"/>
          <w:sz w:val="24"/>
          <w:szCs w:val="24"/>
        </w:rPr>
        <w:t>. EGF is a 53-amino acid peptide with a variety of biologic functions. In the gut, EGF plays an important role in intestinal proliferation, differentiation, and maturation</w:t>
      </w:r>
      <w:bookmarkStart w:id="3" w:name="OLE_LINK12"/>
      <w:bookmarkStart w:id="4" w:name="OLE_LINK11"/>
      <w:r w:rsidRPr="00343901">
        <w:rPr>
          <w:rFonts w:ascii="Book Antiqua" w:hAnsi="Book Antiqua"/>
          <w:sz w:val="24"/>
          <w:szCs w:val="24"/>
          <w:vertAlign w:val="superscript"/>
        </w:rPr>
        <w:t>[13]</w:t>
      </w:r>
      <w:r w:rsidRPr="00343901">
        <w:rPr>
          <w:rFonts w:ascii="Book Antiqua" w:hAnsi="Book Antiqua"/>
          <w:sz w:val="24"/>
          <w:szCs w:val="24"/>
        </w:rPr>
        <w:t>.</w:t>
      </w:r>
      <w:bookmarkEnd w:id="3"/>
      <w:bookmarkEnd w:id="4"/>
      <w:r w:rsidRPr="00343901">
        <w:rPr>
          <w:rFonts w:ascii="Book Antiqua" w:hAnsi="Book Antiqua"/>
          <w:sz w:val="24"/>
          <w:szCs w:val="24"/>
        </w:rPr>
        <w:t xml:space="preserve"> EGF affects various processes by binding to the EGF receptor (EGFR), which is expressed on the basolateral surface of both human and rat intestinal epithelial cells</w:t>
      </w:r>
      <w:r w:rsidRPr="00343901">
        <w:rPr>
          <w:rFonts w:ascii="Book Antiqua" w:hAnsi="Book Antiqua"/>
          <w:sz w:val="24"/>
          <w:szCs w:val="24"/>
          <w:vertAlign w:val="superscript"/>
        </w:rPr>
        <w:t>[14]</w:t>
      </w:r>
      <w:r w:rsidRPr="00343901">
        <w:rPr>
          <w:rFonts w:ascii="Book Antiqua" w:hAnsi="Book Antiqua"/>
          <w:sz w:val="24"/>
          <w:szCs w:val="24"/>
        </w:rPr>
        <w:t xml:space="preserve"> and is associated with certain bowel diseases, such as inflammatory bowel disease</w:t>
      </w:r>
      <w:r w:rsidRPr="00343901">
        <w:rPr>
          <w:rFonts w:ascii="Book Antiqua" w:hAnsi="Book Antiqua"/>
          <w:sz w:val="24"/>
          <w:szCs w:val="24"/>
          <w:vertAlign w:val="superscript"/>
        </w:rPr>
        <w:t>[15,16]</w:t>
      </w:r>
      <w:r w:rsidRPr="00343901">
        <w:rPr>
          <w:rFonts w:ascii="Book Antiqua" w:hAnsi="Book Antiqua"/>
          <w:sz w:val="24"/>
          <w:szCs w:val="24"/>
        </w:rPr>
        <w:t>. Our preliminary findings demonstrated that plasma EGF levels were decreased in IBS patients. To date, the role of EGF in IBS patients remains unknown. Some studies report that SERT-mediated alterations of 5-HT levels in the intestinal space are related to IBS-like syndrome</w:t>
      </w:r>
      <w:r w:rsidRPr="00343901">
        <w:rPr>
          <w:rFonts w:ascii="Book Antiqua" w:hAnsi="Book Antiqua"/>
          <w:sz w:val="24"/>
          <w:szCs w:val="24"/>
          <w:vertAlign w:val="superscript"/>
        </w:rPr>
        <w:t>[17,18]</w:t>
      </w:r>
      <w:r w:rsidRPr="00343901">
        <w:rPr>
          <w:rFonts w:ascii="Book Antiqua" w:hAnsi="Book Antiqua"/>
          <w:sz w:val="24"/>
          <w:szCs w:val="24"/>
        </w:rPr>
        <w:t>.</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 xml:space="preserve">We hypothesized that EGF regulates SERT expression </w:t>
      </w:r>
      <w:r w:rsidR="0026079B" w:rsidRPr="0026079B">
        <w:rPr>
          <w:rFonts w:ascii="Book Antiqua" w:hAnsi="Book Antiqua"/>
          <w:i/>
          <w:sz w:val="24"/>
          <w:szCs w:val="24"/>
        </w:rPr>
        <w:t>via</w:t>
      </w:r>
      <w:r w:rsidRPr="00343901">
        <w:rPr>
          <w:rFonts w:ascii="Book Antiqua" w:hAnsi="Book Antiqua"/>
          <w:sz w:val="24"/>
          <w:szCs w:val="24"/>
        </w:rPr>
        <w:t xml:space="preserve"> EGFR and SERT, consequently mediating the 5-HT reuptake, which may be involved in visceral hypersensitivity. In this study, a rodent model of visceral hypersensitivity was established by a two-week colonic infusion of 0.5% acetic acid to produce persistent </w:t>
      </w:r>
      <w:r w:rsidRPr="00343901">
        <w:rPr>
          <w:rFonts w:ascii="Book Antiqua" w:hAnsi="Book Antiqua"/>
          <w:sz w:val="24"/>
          <w:szCs w:val="24"/>
        </w:rPr>
        <w:lastRenderedPageBreak/>
        <w:t>chronic hypersensitivity</w:t>
      </w:r>
      <w:r w:rsidRPr="00343901">
        <w:rPr>
          <w:rFonts w:ascii="Book Antiqua" w:hAnsi="Book Antiqua"/>
          <w:sz w:val="24"/>
          <w:szCs w:val="24"/>
          <w:vertAlign w:val="superscript"/>
        </w:rPr>
        <w:t>[18–20]</w:t>
      </w:r>
      <w:r w:rsidRPr="00343901">
        <w:rPr>
          <w:rFonts w:ascii="Book Antiqua" w:hAnsi="Book Antiqua"/>
          <w:sz w:val="24"/>
          <w:szCs w:val="24"/>
        </w:rPr>
        <w:t xml:space="preserve">. SERT expression was evaluated in this model, and the association of EGF levels with SERT expression was assessed. Lastly, the effect of EGF treatment on SERT expression and its function </w:t>
      </w:r>
      <w:r w:rsidR="0026079B" w:rsidRPr="0026079B">
        <w:rPr>
          <w:rFonts w:ascii="Book Antiqua" w:hAnsi="Book Antiqua"/>
          <w:i/>
          <w:sz w:val="24"/>
          <w:szCs w:val="24"/>
        </w:rPr>
        <w:t>via</w:t>
      </w:r>
      <w:r w:rsidRPr="00343901">
        <w:rPr>
          <w:rFonts w:ascii="Book Antiqua" w:hAnsi="Book Antiqua"/>
          <w:sz w:val="24"/>
          <w:szCs w:val="24"/>
        </w:rPr>
        <w:t xml:space="preserve"> EGFR in intestinal epithelial cells were investigated.</w:t>
      </w:r>
    </w:p>
    <w:p w:rsidR="00EC7D98" w:rsidRPr="00343901" w:rsidRDefault="00EC7D98" w:rsidP="00BC503B">
      <w:pPr>
        <w:adjustRightInd w:val="0"/>
        <w:snapToGrid w:val="0"/>
        <w:spacing w:line="360" w:lineRule="auto"/>
        <w:ind w:firstLineChars="100" w:firstLine="240"/>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 xml:space="preserve">MATERIALS AND METHODS </w:t>
      </w: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Animals</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Sprague-Dawley male rats were </w:t>
      </w:r>
      <w:r w:rsidRPr="00343901">
        <w:rPr>
          <w:rFonts w:ascii="Book Antiqua" w:hAnsi="Book Antiqua"/>
          <w:kern w:val="0"/>
          <w:sz w:val="24"/>
          <w:szCs w:val="24"/>
        </w:rPr>
        <w:t xml:space="preserve">purchased from </w:t>
      </w:r>
      <w:r w:rsidRPr="00343901">
        <w:rPr>
          <w:rFonts w:ascii="Book Antiqua" w:hAnsi="Book Antiqua"/>
          <w:sz w:val="24"/>
          <w:szCs w:val="24"/>
        </w:rPr>
        <w:t xml:space="preserve">Beijing Vital River Laboratories Animal Technology Co., Ltd. (Beijing, China). Rats were housed with </w:t>
      </w:r>
      <w:r w:rsidRPr="00343901">
        <w:rPr>
          <w:rFonts w:ascii="Book Antiqua" w:hAnsi="Book Antiqua"/>
          <w:i/>
          <w:iCs/>
          <w:kern w:val="0"/>
          <w:sz w:val="24"/>
          <w:szCs w:val="24"/>
        </w:rPr>
        <w:t>ad libitum</w:t>
      </w:r>
      <w:r w:rsidRPr="00343901">
        <w:rPr>
          <w:rFonts w:ascii="Book Antiqua" w:hAnsi="Book Antiqua"/>
          <w:kern w:val="0"/>
          <w:sz w:val="24"/>
          <w:szCs w:val="24"/>
        </w:rPr>
        <w:t xml:space="preserve"> food </w:t>
      </w:r>
      <w:r w:rsidRPr="00343901">
        <w:rPr>
          <w:rFonts w:ascii="Book Antiqua" w:hAnsi="Book Antiqua"/>
          <w:sz w:val="24"/>
          <w:szCs w:val="24"/>
        </w:rPr>
        <w:t>in standard rodent cages at 2</w:t>
      </w:r>
      <w:r w:rsidRPr="00343901">
        <w:rPr>
          <w:rFonts w:ascii="Book Antiqua" w:hAnsi="Book Antiqua" w:cs="Cambria Math"/>
          <w:sz w:val="24"/>
          <w:szCs w:val="24"/>
        </w:rPr>
        <w:t>2</w:t>
      </w:r>
      <w:r w:rsidR="00BE208D">
        <w:rPr>
          <w:rFonts w:ascii="Book Antiqua" w:hAnsi="Book Antiqua" w:cs="Cambria Math" w:hint="eastAsia"/>
          <w:sz w:val="24"/>
          <w:szCs w:val="24"/>
        </w:rPr>
        <w:t xml:space="preserve"> </w:t>
      </w:r>
      <w:r w:rsidRPr="00343901">
        <w:rPr>
          <w:rFonts w:ascii="Book Antiqua" w:hAnsi="Book Antiqua" w:cs="Cambria Math"/>
          <w:sz w:val="24"/>
          <w:szCs w:val="24"/>
        </w:rPr>
        <w:sym w:font="Symbol" w:char="F0B0"/>
      </w:r>
      <w:r w:rsidRPr="00343901">
        <w:rPr>
          <w:rFonts w:ascii="Book Antiqua" w:hAnsi="Book Antiqua" w:cs="Cambria Math"/>
          <w:sz w:val="24"/>
          <w:szCs w:val="24"/>
        </w:rPr>
        <w:t>C</w:t>
      </w:r>
      <w:r w:rsidRPr="00343901">
        <w:rPr>
          <w:rFonts w:ascii="Book Antiqua" w:hAnsi="Book Antiqua"/>
          <w:sz w:val="24"/>
          <w:szCs w:val="24"/>
        </w:rPr>
        <w:t xml:space="preserve"> in a 12 h light-dark controlled room. All procedures were approved by the Institutional Animal Care and Use Committee of Nanjing Medical University (Nanjing, China), and were in accordance with the guidelines </w:t>
      </w:r>
      <w:r w:rsidRPr="00343901">
        <w:rPr>
          <w:rFonts w:ascii="Book Antiqua" w:hAnsi="Book Antiqua"/>
          <w:kern w:val="0"/>
          <w:sz w:val="24"/>
          <w:szCs w:val="24"/>
        </w:rPr>
        <w:t xml:space="preserve">of </w:t>
      </w:r>
      <w:r w:rsidRPr="00343901">
        <w:rPr>
          <w:rFonts w:ascii="Book Antiqua" w:hAnsi="Book Antiqua"/>
          <w:sz w:val="24"/>
          <w:szCs w:val="24"/>
        </w:rPr>
        <w:t xml:space="preserve">the International Association for the Study of Pain (IASP; Washington, DC, </w:t>
      </w:r>
      <w:r w:rsidR="00BE208D">
        <w:rPr>
          <w:rFonts w:ascii="Book Antiqua" w:hAnsi="Book Antiqua" w:hint="eastAsia"/>
          <w:sz w:val="24"/>
          <w:szCs w:val="24"/>
        </w:rPr>
        <w:t>United States</w:t>
      </w:r>
      <w:r w:rsidRPr="00343901">
        <w:rPr>
          <w:rFonts w:ascii="Book Antiqua" w:hAnsi="Book Antiqua"/>
          <w:sz w:val="24"/>
          <w:szCs w:val="24"/>
        </w:rPr>
        <w:t>).</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Initiation of visceral hypersensitivity</w:t>
      </w:r>
    </w:p>
    <w:p w:rsidR="00EC7D98" w:rsidRPr="00343901" w:rsidRDefault="00EC7D98" w:rsidP="00BC503B">
      <w:pPr>
        <w:adjustRightInd w:val="0"/>
        <w:snapToGrid w:val="0"/>
        <w:spacing w:line="360" w:lineRule="auto"/>
        <w:rPr>
          <w:rFonts w:ascii="Book Antiqua" w:hAnsi="Book Antiqua"/>
          <w:kern w:val="0"/>
          <w:sz w:val="24"/>
          <w:szCs w:val="24"/>
        </w:rPr>
      </w:pPr>
      <w:r w:rsidRPr="00343901">
        <w:rPr>
          <w:rFonts w:ascii="Book Antiqua" w:hAnsi="Book Antiqua"/>
          <w:sz w:val="24"/>
          <w:szCs w:val="24"/>
        </w:rPr>
        <w:t>Ten-day-old male rats (</w:t>
      </w:r>
      <w:r w:rsidRPr="00343901">
        <w:rPr>
          <w:rFonts w:ascii="Book Antiqua" w:hAnsi="Book Antiqua"/>
          <w:i/>
          <w:sz w:val="24"/>
          <w:szCs w:val="24"/>
        </w:rPr>
        <w:t>n</w:t>
      </w:r>
      <w:r w:rsidRPr="00343901">
        <w:rPr>
          <w:rFonts w:ascii="Book Antiqua" w:hAnsi="Book Antiqua"/>
          <w:sz w:val="24"/>
          <w:szCs w:val="24"/>
        </w:rPr>
        <w:t xml:space="preserve"> = 10) received an intracolonic infusion of 0.2 mL of 0.5% (v/v) acetic acid in saline, 2 cm from the anu</w:t>
      </w:r>
      <w:r w:rsidRPr="00343901">
        <w:rPr>
          <w:rFonts w:ascii="Book Antiqua" w:hAnsi="Book Antiqua"/>
          <w:kern w:val="0"/>
          <w:sz w:val="24"/>
          <w:szCs w:val="24"/>
        </w:rPr>
        <w:t xml:space="preserve">s. </w:t>
      </w:r>
      <w:r w:rsidRPr="00343901">
        <w:rPr>
          <w:rFonts w:ascii="Book Antiqua" w:hAnsi="Book Antiqua"/>
          <w:sz w:val="24"/>
          <w:szCs w:val="24"/>
        </w:rPr>
        <w:t>Control ten-day-old pups</w:t>
      </w:r>
      <w:r w:rsidRPr="00343901">
        <w:rPr>
          <w:rFonts w:ascii="Book Antiqua" w:hAnsi="Book Antiqua"/>
          <w:kern w:val="0"/>
          <w:sz w:val="24"/>
          <w:szCs w:val="24"/>
        </w:rPr>
        <w:t xml:space="preserve"> (</w:t>
      </w:r>
      <w:r w:rsidRPr="00343901">
        <w:rPr>
          <w:rFonts w:ascii="Book Antiqua" w:hAnsi="Book Antiqua"/>
          <w:i/>
          <w:kern w:val="0"/>
          <w:sz w:val="24"/>
          <w:szCs w:val="24"/>
        </w:rPr>
        <w:t>n</w:t>
      </w:r>
      <w:r w:rsidRPr="00343901">
        <w:rPr>
          <w:rFonts w:ascii="Book Antiqua" w:hAnsi="Book Antiqua"/>
          <w:kern w:val="0"/>
          <w:sz w:val="24"/>
          <w:szCs w:val="24"/>
        </w:rPr>
        <w:t xml:space="preserve"> = 10) were infused with an equal volume of saline alone</w:t>
      </w:r>
      <w:r w:rsidRPr="00343901">
        <w:rPr>
          <w:rFonts w:ascii="Book Antiqua" w:hAnsi="Book Antiqua"/>
          <w:sz w:val="24"/>
          <w:szCs w:val="24"/>
          <w:vertAlign w:val="superscript"/>
        </w:rPr>
        <w:t>[19,20]</w:t>
      </w:r>
      <w:r w:rsidRPr="00343901">
        <w:rPr>
          <w:rFonts w:ascii="Book Antiqua" w:hAnsi="Book Antiqua"/>
          <w:kern w:val="0"/>
          <w:sz w:val="24"/>
          <w:szCs w:val="24"/>
        </w:rPr>
        <w:t>. All of the ex</w:t>
      </w:r>
      <w:r w:rsidR="00BE208D">
        <w:rPr>
          <w:rFonts w:ascii="Book Antiqua" w:hAnsi="Book Antiqua"/>
          <w:kern w:val="0"/>
          <w:sz w:val="24"/>
          <w:szCs w:val="24"/>
        </w:rPr>
        <w:t>periments were conducted on 8-w</w:t>
      </w:r>
      <w:r w:rsidR="00BE208D">
        <w:rPr>
          <w:rFonts w:ascii="Book Antiqua" w:hAnsi="Book Antiqua" w:hint="eastAsia"/>
          <w:kern w:val="0"/>
          <w:sz w:val="24"/>
          <w:szCs w:val="24"/>
        </w:rPr>
        <w:t>ee</w:t>
      </w:r>
      <w:r w:rsidRPr="00343901">
        <w:rPr>
          <w:rFonts w:ascii="Book Antiqua" w:hAnsi="Book Antiqua"/>
          <w:kern w:val="0"/>
          <w:sz w:val="24"/>
          <w:szCs w:val="24"/>
        </w:rPr>
        <w:t>k-old rats. Two parallel electrodes were implanted in the external oblique muscles of control and colonic-sensitized rats under anesthesia with pentobarbital sodium (50 mg/kg, intraperitoneal). The end of electrode was extended to the back of the necks in both groups for electromyography (EMG) recording. All postoperative rats were housed quietly for seven days in individual cages to recuperate.</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Assessment of visceral sensitivity</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The visceral sensitivity of the rats was assessed by observing the abdominal withdrawal reflex (AWR) and EMG activity of the external oblique muscle in response to colorectal distension (CRD), as previously described</w:t>
      </w:r>
      <w:r w:rsidRPr="00343901">
        <w:rPr>
          <w:rFonts w:ascii="Book Antiqua" w:hAnsi="Book Antiqua"/>
          <w:sz w:val="24"/>
          <w:szCs w:val="24"/>
          <w:vertAlign w:val="superscript"/>
        </w:rPr>
        <w:t>[19–21]</w:t>
      </w:r>
      <w:r w:rsidRPr="00343901">
        <w:rPr>
          <w:rFonts w:ascii="Book Antiqua" w:hAnsi="Book Antiqua"/>
          <w:sz w:val="24"/>
          <w:szCs w:val="24"/>
        </w:rPr>
        <w:t>. Briefly,</w:t>
      </w:r>
      <w:r w:rsidRPr="00343901">
        <w:rPr>
          <w:rStyle w:val="Char4"/>
          <w:rFonts w:ascii="Book Antiqua" w:hAnsi="Book Antiqua"/>
          <w:sz w:val="24"/>
          <w:szCs w:val="24"/>
        </w:rPr>
        <w:t xml:space="preserve"> </w:t>
      </w:r>
      <w:r w:rsidRPr="00343901">
        <w:rPr>
          <w:rFonts w:ascii="Book Antiqua" w:hAnsi="Book Antiqua"/>
          <w:sz w:val="24"/>
          <w:szCs w:val="24"/>
        </w:rPr>
        <w:t xml:space="preserve">the rats were anesthetized with ether, followed by insertion of a flexible balloon, </w:t>
      </w:r>
      <w:r w:rsidRPr="00343901">
        <w:rPr>
          <w:rFonts w:ascii="Book Antiqua" w:hAnsi="Book Antiqua"/>
          <w:sz w:val="24"/>
          <w:szCs w:val="24"/>
        </w:rPr>
        <w:lastRenderedPageBreak/>
        <w:t>attached to a graded pressure system, into the colon 8 cm from the anus and fixed on the tail. The EMG activity of the external oblique muscle in response to CRD was measured at different pressures (20, 40, 60, and 80 mmHg). After the rats awoke, CRD was performed with 20 s of distention, followed by a complete balloon deflation for 2 min to rest between different distentions. Using a PowerLab data acquisition system (8SP; AD Instruments, Sydney, Australia) to record EMG, the area under the curve was analyzed for each EMG signal using an in-house</w:t>
      </w:r>
      <w:r w:rsidRPr="00343901">
        <w:rPr>
          <w:rFonts w:ascii="Book Antiqua" w:hAnsi="Book Antiqua"/>
          <w:b/>
          <w:sz w:val="24"/>
          <w:szCs w:val="24"/>
        </w:rPr>
        <w:t xml:space="preserve"> </w:t>
      </w:r>
      <w:r w:rsidRPr="00343901">
        <w:rPr>
          <w:rFonts w:ascii="Book Antiqua" w:hAnsi="Book Antiqua"/>
          <w:sz w:val="24"/>
          <w:szCs w:val="24"/>
        </w:rPr>
        <w:t>written computer program. AWR in response to CRD was assessed by an observer without prior knowledge of the test/control groups. AWR was scored as follows: 0</w:t>
      </w:r>
      <w:r w:rsidRPr="00343901">
        <w:rPr>
          <w:rFonts w:ascii="Book Antiqua" w:hAnsi="Book Antiqua"/>
          <w:b/>
          <w:sz w:val="24"/>
          <w:szCs w:val="24"/>
        </w:rPr>
        <w:t xml:space="preserve"> </w:t>
      </w:r>
      <w:r w:rsidRPr="00343901">
        <w:rPr>
          <w:rFonts w:ascii="Book Antiqua" w:hAnsi="Book Antiqua"/>
          <w:sz w:val="24"/>
          <w:szCs w:val="24"/>
        </w:rPr>
        <w:t>=</w:t>
      </w:r>
      <w:r w:rsidRPr="00343901">
        <w:rPr>
          <w:rFonts w:ascii="Book Antiqua" w:hAnsi="Book Antiqua"/>
          <w:b/>
          <w:sz w:val="24"/>
          <w:szCs w:val="24"/>
        </w:rPr>
        <w:t xml:space="preserve"> </w:t>
      </w:r>
      <w:r w:rsidRPr="00343901">
        <w:rPr>
          <w:rFonts w:ascii="Book Antiqua" w:hAnsi="Book Antiqua"/>
          <w:sz w:val="24"/>
          <w:szCs w:val="24"/>
        </w:rPr>
        <w:t>normal behavior with no response, 1 = contraction of abdominal muscles, 2 = lifting of the abdominal wall, and 3 = body arching and lifting of pelvis</w:t>
      </w:r>
      <w:r w:rsidRPr="00343901">
        <w:rPr>
          <w:rFonts w:ascii="Book Antiqua" w:hAnsi="Book Antiqua"/>
          <w:sz w:val="24"/>
          <w:szCs w:val="24"/>
          <w:vertAlign w:val="superscript"/>
        </w:rPr>
        <w:t>[20]</w:t>
      </w:r>
      <w:r w:rsidRPr="00343901">
        <w:rPr>
          <w:rFonts w:ascii="Book Antiqua" w:hAnsi="Book Antiqua"/>
          <w:sz w:val="24"/>
          <w:szCs w:val="24"/>
        </w:rPr>
        <w:t>.</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 xml:space="preserve">Evaluation of colon inflammation </w:t>
      </w: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kern w:val="0"/>
          <w:sz w:val="24"/>
          <w:szCs w:val="24"/>
        </w:rPr>
        <w:t>After behavior testing,</w:t>
      </w:r>
      <w:r w:rsidRPr="00343901">
        <w:rPr>
          <w:rFonts w:ascii="Book Antiqua" w:hAnsi="Book Antiqua"/>
          <w:sz w:val="24"/>
          <w:szCs w:val="24"/>
        </w:rPr>
        <w:t xml:space="preserve"> colon tissue specimens (4 cm proximal to the anus) were removed from rats of both groups and fixed i</w:t>
      </w:r>
      <w:r w:rsidRPr="00343901">
        <w:rPr>
          <w:rFonts w:ascii="Book Antiqua" w:hAnsi="Book Antiqua"/>
          <w:kern w:val="0"/>
          <w:sz w:val="24"/>
          <w:szCs w:val="24"/>
        </w:rPr>
        <w:t>n 10% (w/v) buffered for</w:t>
      </w:r>
      <w:r w:rsidRPr="00343901">
        <w:rPr>
          <w:rFonts w:ascii="Book Antiqua" w:hAnsi="Book Antiqua"/>
          <w:sz w:val="24"/>
          <w:szCs w:val="24"/>
        </w:rPr>
        <w:t>malin. Tissue specimens were embedded in paraffin, cut</w:t>
      </w:r>
      <w:r w:rsidRPr="00343901">
        <w:rPr>
          <w:rFonts w:ascii="Book Antiqua" w:hAnsi="Book Antiqua"/>
          <w:kern w:val="0"/>
          <w:sz w:val="24"/>
          <w:szCs w:val="24"/>
        </w:rPr>
        <w:t xml:space="preserve"> into 4 </w:t>
      </w:r>
      <w:r w:rsidRPr="00343901">
        <w:rPr>
          <w:rFonts w:ascii="Book Antiqua" w:hAnsi="Book Antiqua"/>
          <w:kern w:val="0"/>
          <w:sz w:val="24"/>
          <w:szCs w:val="24"/>
        </w:rPr>
        <w:t xml:space="preserve">m sections, </w:t>
      </w:r>
      <w:r w:rsidRPr="00343901">
        <w:rPr>
          <w:rFonts w:ascii="Book Antiqua" w:hAnsi="Book Antiqua"/>
          <w:sz w:val="24"/>
          <w:szCs w:val="24"/>
        </w:rPr>
        <w:t xml:space="preserve">and stained with </w:t>
      </w:r>
      <w:r w:rsidRPr="00343901">
        <w:rPr>
          <w:rFonts w:ascii="Book Antiqua" w:hAnsi="Book Antiqua"/>
          <w:kern w:val="0"/>
          <w:sz w:val="24"/>
          <w:szCs w:val="24"/>
        </w:rPr>
        <w:t>hematoxylin and eosin. A pathologist blindly assessed and assigned an inflammatory grade to each section</w:t>
      </w:r>
      <w:r w:rsidRPr="00343901">
        <w:rPr>
          <w:rFonts w:ascii="Book Antiqua" w:hAnsi="Book Antiqua"/>
          <w:sz w:val="24"/>
          <w:szCs w:val="24"/>
        </w:rPr>
        <w:t>.</w:t>
      </w:r>
      <w:bookmarkStart w:id="5" w:name="OLE_LINK7"/>
      <w:r w:rsidRPr="00343901">
        <w:rPr>
          <w:rFonts w:ascii="Book Antiqua" w:hAnsi="Book Antiqua"/>
          <w:sz w:val="24"/>
          <w:szCs w:val="24"/>
        </w:rPr>
        <w:t xml:space="preserve"> </w:t>
      </w:r>
    </w:p>
    <w:bookmarkEnd w:id="5"/>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 xml:space="preserve">Detection of EGF in plasma and colon tissues </w:t>
      </w:r>
    </w:p>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EGF levels in plasma and colon tissues were quantified using a commercially available enzyme-linked immunosorbent assay (ELISA) kit (</w:t>
      </w:r>
      <w:r w:rsidR="00BE208D">
        <w:rPr>
          <w:rFonts w:ascii="Book Antiqua" w:hAnsi="Book Antiqua" w:cs="Arial"/>
          <w:sz w:val="24"/>
          <w:szCs w:val="24"/>
          <w:shd w:val="clear" w:color="auto" w:fill="FFFFFF"/>
        </w:rPr>
        <w:t>R</w:t>
      </w:r>
      <w:r w:rsidR="00BE208D">
        <w:rPr>
          <w:rFonts w:ascii="Book Antiqua" w:hAnsi="Book Antiqua" w:cs="Arial" w:hint="eastAsia"/>
          <w:sz w:val="24"/>
          <w:szCs w:val="24"/>
          <w:shd w:val="clear" w:color="auto" w:fill="FFFFFF"/>
        </w:rPr>
        <w:t xml:space="preserve"> and </w:t>
      </w:r>
      <w:r w:rsidRPr="00343901">
        <w:rPr>
          <w:rFonts w:ascii="Book Antiqua" w:hAnsi="Book Antiqua" w:cs="Arial"/>
          <w:sz w:val="24"/>
          <w:szCs w:val="24"/>
          <w:shd w:val="clear" w:color="auto" w:fill="FFFFFF"/>
        </w:rPr>
        <w:t>D Systems Inc.</w:t>
      </w:r>
      <w:r w:rsidRPr="00343901">
        <w:rPr>
          <w:rFonts w:ascii="Book Antiqua" w:hAnsi="Book Antiqua"/>
          <w:sz w:val="24"/>
          <w:szCs w:val="24"/>
        </w:rPr>
        <w:t xml:space="preserve">, Minneapolis, MN, </w:t>
      </w:r>
      <w:r w:rsidR="00BE208D">
        <w:rPr>
          <w:rFonts w:ascii="Book Antiqua" w:hAnsi="Book Antiqua"/>
          <w:sz w:val="24"/>
          <w:szCs w:val="24"/>
        </w:rPr>
        <w:t>United States</w:t>
      </w:r>
      <w:r w:rsidRPr="00343901">
        <w:rPr>
          <w:rFonts w:ascii="Book Antiqua" w:hAnsi="Book Antiqua"/>
          <w:sz w:val="24"/>
          <w:szCs w:val="24"/>
        </w:rPr>
        <w:t xml:space="preserve">). Following rat anesthetization, 1 mL blood samples were removed from the orbital canthus vein plexus and collected into heparin tubes followed by centrifugation at 1000 </w:t>
      </w:r>
      <w:r w:rsidRPr="00343901">
        <w:rPr>
          <w:rFonts w:ascii="Book Antiqua" w:hAnsi="Book Antiqua"/>
          <w:sz w:val="24"/>
          <w:szCs w:val="24"/>
        </w:rPr>
        <w:sym w:font="Symbol" w:char="F0B4"/>
      </w:r>
      <w:r w:rsidRPr="00343901">
        <w:rPr>
          <w:rFonts w:ascii="Book Antiqua" w:hAnsi="Book Antiqua"/>
          <w:sz w:val="24"/>
          <w:szCs w:val="24"/>
        </w:rPr>
        <w:t xml:space="preserve"> </w:t>
      </w:r>
      <w:r w:rsidRPr="006E71A8">
        <w:rPr>
          <w:rFonts w:ascii="Book Antiqua" w:hAnsi="Book Antiqua"/>
          <w:i/>
          <w:sz w:val="24"/>
          <w:szCs w:val="24"/>
        </w:rPr>
        <w:t>g</w:t>
      </w:r>
      <w:r w:rsidRPr="00343901">
        <w:rPr>
          <w:rFonts w:ascii="Book Antiqua" w:hAnsi="Book Antiqua"/>
          <w:sz w:val="24"/>
          <w:szCs w:val="24"/>
        </w:rPr>
        <w:t xml:space="preserve"> for 5 min at room temperature. The plasma (supernatant) was then collected and stored at </w:t>
      </w:r>
      <w:r w:rsidRPr="00343901">
        <w:rPr>
          <w:rFonts w:ascii="Book Antiqua" w:hAnsi="Book Antiqua"/>
          <w:sz w:val="24"/>
          <w:szCs w:val="24"/>
        </w:rPr>
        <w:sym w:font="Symbol" w:char="F02D"/>
      </w:r>
      <w:r w:rsidRPr="00343901">
        <w:rPr>
          <w:rFonts w:ascii="Book Antiqua" w:hAnsi="Book Antiqua"/>
          <w:sz w:val="24"/>
          <w:szCs w:val="24"/>
        </w:rPr>
        <w:t>70</w:t>
      </w:r>
      <w:r w:rsidR="00BE208D">
        <w:rPr>
          <w:rFonts w:ascii="Book Antiqua" w:hAnsi="Book Antiqua" w:hint="eastAsia"/>
          <w:sz w:val="24"/>
          <w:szCs w:val="24"/>
        </w:rPr>
        <w:t xml:space="preserve"> </w:t>
      </w:r>
      <w:r w:rsidRPr="00343901">
        <w:rPr>
          <w:rFonts w:ascii="Book Antiqua" w:hAnsi="Book Antiqua"/>
          <w:sz w:val="24"/>
          <w:szCs w:val="24"/>
        </w:rPr>
        <w:t xml:space="preserve">°C until analysis. At the same time, colon tissue samples (0.1 g) were homogenized in phosphate-buffered saline with a glass homogenizer on ice. The homogenates were then sonicated with an ultrasonic cell disrupter (New Cheese Biotech Company, NingBo, China) and centrifuged for 5 min at 5000 </w:t>
      </w:r>
      <w:r w:rsidRPr="00343901">
        <w:rPr>
          <w:rFonts w:ascii="Book Antiqua" w:hAnsi="Book Antiqua"/>
          <w:sz w:val="24"/>
          <w:szCs w:val="24"/>
        </w:rPr>
        <w:sym w:font="Symbol" w:char="F0B4"/>
      </w:r>
      <w:r w:rsidRPr="00343901">
        <w:rPr>
          <w:rFonts w:ascii="Book Antiqua" w:hAnsi="Book Antiqua"/>
          <w:sz w:val="24"/>
          <w:szCs w:val="24"/>
        </w:rPr>
        <w:t xml:space="preserve"> </w:t>
      </w:r>
      <w:r w:rsidRPr="006E71A8">
        <w:rPr>
          <w:rFonts w:ascii="Book Antiqua" w:hAnsi="Book Antiqua"/>
          <w:i/>
          <w:sz w:val="24"/>
          <w:szCs w:val="24"/>
        </w:rPr>
        <w:t>g</w:t>
      </w:r>
      <w:r w:rsidRPr="00343901">
        <w:rPr>
          <w:rFonts w:ascii="Book Antiqua" w:hAnsi="Book Antiqua"/>
          <w:sz w:val="24"/>
          <w:szCs w:val="24"/>
        </w:rPr>
        <w:t xml:space="preserve"> at 4</w:t>
      </w:r>
      <w:r w:rsidR="00BE208D">
        <w:rPr>
          <w:rFonts w:ascii="Book Antiqua" w:hAnsi="Book Antiqua" w:hint="eastAsia"/>
          <w:sz w:val="24"/>
          <w:szCs w:val="24"/>
        </w:rPr>
        <w:t xml:space="preserve"> </w:t>
      </w:r>
      <w:r w:rsidRPr="00343901">
        <w:rPr>
          <w:rFonts w:ascii="Book Antiqua" w:hAnsi="Book Antiqua"/>
          <w:sz w:val="24"/>
          <w:szCs w:val="24"/>
        </w:rPr>
        <w:t>°C. The supernatants were collected</w:t>
      </w:r>
      <w:r w:rsidRPr="00343901">
        <w:rPr>
          <w:rFonts w:ascii="Book Antiqua" w:hAnsi="Book Antiqua"/>
          <w:b/>
          <w:sz w:val="24"/>
          <w:szCs w:val="24"/>
        </w:rPr>
        <w:t xml:space="preserve"> </w:t>
      </w:r>
      <w:r w:rsidRPr="00343901">
        <w:rPr>
          <w:rFonts w:ascii="Book Antiqua" w:hAnsi="Book Antiqua"/>
          <w:sz w:val="24"/>
          <w:szCs w:val="24"/>
        </w:rPr>
        <w:t xml:space="preserve">and stored at </w:t>
      </w:r>
      <w:r w:rsidRPr="00343901">
        <w:rPr>
          <w:rFonts w:ascii="Book Antiqua" w:hAnsi="Book Antiqua"/>
          <w:sz w:val="24"/>
          <w:szCs w:val="24"/>
        </w:rPr>
        <w:sym w:font="Symbol" w:char="F02D"/>
      </w:r>
      <w:r w:rsidRPr="00343901">
        <w:rPr>
          <w:rFonts w:ascii="Book Antiqua" w:hAnsi="Book Antiqua"/>
          <w:sz w:val="24"/>
          <w:szCs w:val="24"/>
        </w:rPr>
        <w:t>70</w:t>
      </w:r>
      <w:r w:rsidR="00BE208D">
        <w:rPr>
          <w:rFonts w:ascii="Book Antiqua" w:hAnsi="Book Antiqua" w:hint="eastAsia"/>
          <w:sz w:val="24"/>
          <w:szCs w:val="24"/>
        </w:rPr>
        <w:t xml:space="preserve"> </w:t>
      </w:r>
      <w:r w:rsidRPr="00343901">
        <w:rPr>
          <w:rFonts w:ascii="Book Antiqua" w:hAnsi="Book Antiqua"/>
          <w:sz w:val="24"/>
          <w:szCs w:val="24"/>
        </w:rPr>
        <w:t>°C until EGF analysis.</w:t>
      </w: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r w:rsidRPr="00343901">
        <w:rPr>
          <w:rFonts w:ascii="Book Antiqua" w:hAnsi="Book Antiqua"/>
          <w:b/>
          <w:i/>
          <w:sz w:val="24"/>
          <w:szCs w:val="24"/>
        </w:rPr>
        <w:t>Cell culture</w:t>
      </w:r>
    </w:p>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Rat intestinal epithelial cells (IEC-6) at the 10</w:t>
      </w:r>
      <w:r w:rsidRPr="00343901">
        <w:rPr>
          <w:rFonts w:ascii="Book Antiqua" w:hAnsi="Book Antiqua"/>
          <w:sz w:val="24"/>
          <w:szCs w:val="24"/>
          <w:vertAlign w:val="superscript"/>
        </w:rPr>
        <w:t>th</w:t>
      </w:r>
      <w:r w:rsidRPr="00343901">
        <w:rPr>
          <w:rFonts w:ascii="Book Antiqua" w:hAnsi="Book Antiqua"/>
          <w:sz w:val="24"/>
          <w:szCs w:val="24"/>
        </w:rPr>
        <w:t xml:space="preserve"> culture passage were obtained from the American Type Culture Collection (Manassas, VA, </w:t>
      </w:r>
      <w:r w:rsidR="00BE208D">
        <w:rPr>
          <w:rFonts w:ascii="Book Antiqua" w:hAnsi="Book Antiqua"/>
          <w:sz w:val="24"/>
          <w:szCs w:val="24"/>
        </w:rPr>
        <w:t>United States</w:t>
      </w:r>
      <w:r w:rsidRPr="00343901">
        <w:rPr>
          <w:rFonts w:ascii="Book Antiqua" w:hAnsi="Book Antiqua"/>
          <w:sz w:val="24"/>
          <w:szCs w:val="24"/>
        </w:rPr>
        <w:t>) and were cultured as previously described</w:t>
      </w:r>
      <w:r w:rsidRPr="00343901">
        <w:rPr>
          <w:rFonts w:ascii="Book Antiqua" w:hAnsi="Book Antiqua"/>
          <w:sz w:val="24"/>
          <w:szCs w:val="24"/>
          <w:vertAlign w:val="superscript"/>
        </w:rPr>
        <w:t>[22]</w:t>
      </w:r>
      <w:r w:rsidRPr="00343901">
        <w:rPr>
          <w:rFonts w:ascii="Book Antiqua" w:hAnsi="Book Antiqua"/>
          <w:sz w:val="24"/>
          <w:szCs w:val="24"/>
        </w:rPr>
        <w:t xml:space="preserve">. Briefly, IEC-6 cells were grown in Dulbecco’s Modified Eagle Medium (Gibco of Thermo Fisher Scientific Inc., Waltham, MA, </w:t>
      </w:r>
      <w:r w:rsidR="00BE208D">
        <w:rPr>
          <w:rFonts w:ascii="Book Antiqua" w:hAnsi="Book Antiqua"/>
          <w:sz w:val="24"/>
          <w:szCs w:val="24"/>
        </w:rPr>
        <w:t>United States</w:t>
      </w:r>
      <w:r w:rsidRPr="00343901">
        <w:rPr>
          <w:rFonts w:ascii="Book Antiqua" w:hAnsi="Book Antiqua"/>
          <w:sz w:val="24"/>
          <w:szCs w:val="24"/>
        </w:rPr>
        <w:t>), supplemented with 10% FBS (Gibco), 2 m</w:t>
      </w:r>
      <w:r w:rsidR="00BE208D">
        <w:rPr>
          <w:rFonts w:ascii="Book Antiqua" w:hAnsi="Book Antiqua" w:hint="eastAsia"/>
          <w:sz w:val="24"/>
          <w:szCs w:val="24"/>
        </w:rPr>
        <w:t>mol/L</w:t>
      </w:r>
      <w:r w:rsidRPr="00343901">
        <w:rPr>
          <w:rFonts w:ascii="Book Antiqua" w:hAnsi="Book Antiqua"/>
          <w:sz w:val="24"/>
          <w:szCs w:val="24"/>
        </w:rPr>
        <w:t xml:space="preserve"> L-glutamine, 10 mL/L antibiotic solution containing penicillin G (10</w:t>
      </w:r>
      <w:r w:rsidR="00BE208D">
        <w:rPr>
          <w:rFonts w:ascii="Book Antiqua" w:hAnsi="Book Antiqua"/>
          <w:sz w:val="24"/>
          <w:szCs w:val="24"/>
        </w:rPr>
        <w:t>000 U/mL) and streptomycin (10</w:t>
      </w:r>
      <w:r w:rsidRPr="00343901">
        <w:rPr>
          <w:rFonts w:ascii="Book Antiqua" w:hAnsi="Book Antiqua"/>
          <w:sz w:val="24"/>
          <w:szCs w:val="24"/>
        </w:rPr>
        <w:t xml:space="preserve">000 µg/mL; Gibco), and 0.01 mg/mL insulin (Sigma-Aldrich, St. Louis, MO, </w:t>
      </w:r>
      <w:r w:rsidR="00BE208D">
        <w:rPr>
          <w:rFonts w:ascii="Book Antiqua" w:hAnsi="Book Antiqua"/>
          <w:sz w:val="24"/>
          <w:szCs w:val="24"/>
        </w:rPr>
        <w:t>United States</w:t>
      </w:r>
      <w:r w:rsidRPr="00343901">
        <w:rPr>
          <w:rFonts w:ascii="Book Antiqua" w:hAnsi="Book Antiqua"/>
          <w:sz w:val="24"/>
          <w:szCs w:val="24"/>
        </w:rPr>
        <w:t xml:space="preserve">). IEC-6 cells were seeded in polystyrene plastic culture dishes (Corning Inc., Corning, NY, </w:t>
      </w:r>
      <w:r w:rsidR="00BE208D">
        <w:rPr>
          <w:rFonts w:ascii="Book Antiqua" w:hAnsi="Book Antiqua"/>
          <w:sz w:val="24"/>
          <w:szCs w:val="24"/>
        </w:rPr>
        <w:t>United States</w:t>
      </w:r>
      <w:r w:rsidRPr="00343901">
        <w:rPr>
          <w:rFonts w:ascii="Book Antiqua" w:hAnsi="Book Antiqua"/>
          <w:sz w:val="24"/>
          <w:szCs w:val="24"/>
        </w:rPr>
        <w:t>), grown for four days (37</w:t>
      </w:r>
      <w:r w:rsidR="00BE208D">
        <w:rPr>
          <w:rFonts w:ascii="Book Antiqua" w:hAnsi="Book Antiqua" w:hint="eastAsia"/>
          <w:sz w:val="24"/>
          <w:szCs w:val="24"/>
        </w:rPr>
        <w:t xml:space="preserve"> </w:t>
      </w:r>
      <w:r w:rsidRPr="00343901">
        <w:rPr>
          <w:rFonts w:ascii="Book Antiqua" w:hAnsi="Book Antiqua"/>
          <w:sz w:val="24"/>
          <w:szCs w:val="24"/>
        </w:rPr>
        <w:t>°C and 5% CO</w:t>
      </w:r>
      <w:r w:rsidRPr="00343901">
        <w:rPr>
          <w:rFonts w:ascii="Book Antiqua" w:hAnsi="Book Antiqua"/>
          <w:sz w:val="24"/>
          <w:szCs w:val="24"/>
          <w:vertAlign w:val="subscript"/>
        </w:rPr>
        <w:t>2</w:t>
      </w:r>
      <w:r w:rsidRPr="00343901">
        <w:rPr>
          <w:rFonts w:ascii="Book Antiqua" w:hAnsi="Book Antiqua"/>
          <w:sz w:val="24"/>
          <w:szCs w:val="24"/>
        </w:rPr>
        <w:t>), and used up to the 25</w:t>
      </w:r>
      <w:r w:rsidRPr="00343901">
        <w:rPr>
          <w:rFonts w:ascii="Book Antiqua" w:hAnsi="Book Antiqua"/>
          <w:sz w:val="24"/>
          <w:szCs w:val="24"/>
          <w:vertAlign w:val="superscript"/>
        </w:rPr>
        <w:t>th</w:t>
      </w:r>
      <w:r w:rsidRPr="00343901">
        <w:rPr>
          <w:rFonts w:ascii="Book Antiqua" w:hAnsi="Book Antiqua"/>
          <w:sz w:val="24"/>
          <w:szCs w:val="24"/>
        </w:rPr>
        <w:t xml:space="preserve"> passage. The</w:t>
      </w:r>
      <w:r w:rsidRPr="00343901">
        <w:rPr>
          <w:rFonts w:ascii="Book Antiqua" w:hAnsi="Book Antiqua"/>
          <w:b/>
          <w:sz w:val="24"/>
          <w:szCs w:val="24"/>
        </w:rPr>
        <w:t xml:space="preserve"> </w:t>
      </w:r>
      <w:r w:rsidRPr="00343901">
        <w:rPr>
          <w:rFonts w:ascii="Book Antiqua" w:hAnsi="Book Antiqua"/>
          <w:sz w:val="24"/>
          <w:szCs w:val="24"/>
        </w:rPr>
        <w:t xml:space="preserve">medium was changed every 2–3 </w:t>
      </w:r>
      <w:r w:rsidR="007037B8">
        <w:rPr>
          <w:rFonts w:ascii="Book Antiqua" w:hAnsi="Book Antiqua"/>
          <w:sz w:val="24"/>
          <w:szCs w:val="24"/>
        </w:rPr>
        <w:t>d</w:t>
      </w:r>
      <w:r w:rsidRPr="00343901">
        <w:rPr>
          <w:rFonts w:ascii="Book Antiqua" w:hAnsi="Book Antiqua"/>
          <w:sz w:val="24"/>
          <w:szCs w:val="24"/>
        </w:rPr>
        <w:t xml:space="preserve">. All cell treatments were conducted in serum-free medium following a 1 h period of serum starvation. </w:t>
      </w:r>
      <w:bookmarkStart w:id="6" w:name="OLE_LINK14"/>
      <w:bookmarkStart w:id="7" w:name="OLE_LINK13"/>
      <w:r w:rsidRPr="00343901">
        <w:rPr>
          <w:rFonts w:ascii="Book Antiqua" w:hAnsi="Book Antiqua"/>
          <w:sz w:val="24"/>
          <w:szCs w:val="24"/>
        </w:rPr>
        <w:t xml:space="preserve">IEC-6 cell monolayers were treated with 0–160 ng/mL EGF (0203B16; PeproTech, Rocky Hill, NJ, </w:t>
      </w:r>
      <w:r w:rsidR="00BE208D">
        <w:rPr>
          <w:rFonts w:ascii="Book Antiqua" w:hAnsi="Book Antiqua"/>
          <w:sz w:val="24"/>
          <w:szCs w:val="24"/>
        </w:rPr>
        <w:t>United States</w:t>
      </w:r>
      <w:r w:rsidRPr="00343901">
        <w:rPr>
          <w:rFonts w:ascii="Book Antiqua" w:hAnsi="Book Antiqua"/>
          <w:sz w:val="24"/>
          <w:szCs w:val="24"/>
        </w:rPr>
        <w:t xml:space="preserve">) for 0–48 h or with 10 </w:t>
      </w:r>
      <w:r w:rsidRPr="00343901">
        <w:rPr>
          <w:rFonts w:ascii="Book Antiqua" w:hAnsi="Book Antiqua"/>
          <w:sz w:val="24"/>
          <w:szCs w:val="24"/>
        </w:rPr>
        <w:sym w:font="Symbol" w:char="F06D"/>
      </w:r>
      <w:r w:rsidR="00BE208D">
        <w:rPr>
          <w:rFonts w:ascii="Book Antiqua" w:hAnsi="Book Antiqua" w:hint="eastAsia"/>
          <w:sz w:val="24"/>
          <w:szCs w:val="24"/>
        </w:rPr>
        <w:t>mol/L</w:t>
      </w:r>
      <w:r w:rsidRPr="00343901">
        <w:rPr>
          <w:rFonts w:ascii="Book Antiqua" w:hAnsi="Book Antiqua"/>
          <w:sz w:val="24"/>
          <w:szCs w:val="24"/>
        </w:rPr>
        <w:t xml:space="preserve"> EGFR specific kinase inhibitor PD153035 (Sigma-Aldrich) to block EGFR action.</w:t>
      </w:r>
    </w:p>
    <w:p w:rsidR="00EC7D98" w:rsidRPr="00343901" w:rsidRDefault="00EC7D98" w:rsidP="00BC503B">
      <w:pPr>
        <w:tabs>
          <w:tab w:val="left" w:pos="2760"/>
        </w:tabs>
        <w:adjustRightInd w:val="0"/>
        <w:snapToGrid w:val="0"/>
        <w:spacing w:line="360" w:lineRule="auto"/>
        <w:rPr>
          <w:rFonts w:ascii="Book Antiqua" w:hAnsi="Book Antiqua"/>
          <w:sz w:val="24"/>
          <w:szCs w:val="24"/>
        </w:rPr>
      </w:pP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r w:rsidRPr="00343901">
        <w:rPr>
          <w:rFonts w:ascii="Book Antiqua" w:hAnsi="Book Antiqua"/>
          <w:b/>
          <w:i/>
          <w:sz w:val="24"/>
          <w:szCs w:val="24"/>
        </w:rPr>
        <w:t>Western blot detection of SERT</w:t>
      </w:r>
    </w:p>
    <w:bookmarkEnd w:id="6"/>
    <w:bookmarkEnd w:id="7"/>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 xml:space="preserve">Intestinal tissue samples were homogenized in potency lysate buffer </w:t>
      </w:r>
      <w:r w:rsidR="00BE208D">
        <w:rPr>
          <w:rFonts w:ascii="Book Antiqua" w:hAnsi="Book Antiqua" w:hint="eastAsia"/>
          <w:kern w:val="0"/>
          <w:sz w:val="24"/>
          <w:szCs w:val="24"/>
        </w:rPr>
        <w:t>[</w:t>
      </w:r>
      <w:r w:rsidRPr="00343901">
        <w:rPr>
          <w:rFonts w:ascii="Book Antiqua" w:hAnsi="Book Antiqua"/>
          <w:sz w:val="24"/>
          <w:szCs w:val="24"/>
        </w:rPr>
        <w:t xml:space="preserve">25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Tris-HCl </w:t>
      </w:r>
      <w:r w:rsidR="0026079B">
        <w:rPr>
          <w:rFonts w:ascii="Book Antiqua" w:hAnsi="Book Antiqua" w:hint="eastAsia"/>
          <w:sz w:val="24"/>
          <w:szCs w:val="24"/>
        </w:rPr>
        <w:t>(</w:t>
      </w:r>
      <w:r w:rsidRPr="00343901">
        <w:rPr>
          <w:rFonts w:ascii="Book Antiqua" w:hAnsi="Book Antiqua"/>
          <w:sz w:val="24"/>
          <w:szCs w:val="24"/>
        </w:rPr>
        <w:t>pH 7.5</w:t>
      </w:r>
      <w:r w:rsidR="0026079B">
        <w:rPr>
          <w:rFonts w:ascii="Book Antiqua" w:hAnsi="Book Antiqua" w:hint="eastAsia"/>
          <w:sz w:val="24"/>
          <w:szCs w:val="24"/>
        </w:rPr>
        <w:t>)</w:t>
      </w:r>
      <w:r w:rsidRPr="00343901">
        <w:rPr>
          <w:rFonts w:ascii="Book Antiqua" w:hAnsi="Book Antiqua"/>
          <w:sz w:val="24"/>
          <w:szCs w:val="24"/>
        </w:rPr>
        <w:t>; 5 m</w:t>
      </w:r>
      <w:r w:rsidR="00BE208D">
        <w:rPr>
          <w:rFonts w:ascii="Book Antiqua" w:hAnsi="Book Antiqua" w:hint="eastAsia"/>
          <w:sz w:val="24"/>
          <w:szCs w:val="24"/>
        </w:rPr>
        <w:t>mol/L</w:t>
      </w:r>
      <w:r w:rsidRPr="00343901">
        <w:rPr>
          <w:rFonts w:ascii="Book Antiqua" w:hAnsi="Book Antiqua"/>
          <w:sz w:val="24"/>
          <w:szCs w:val="24"/>
        </w:rPr>
        <w:t xml:space="preserve"> EDTA, 5 m</w:t>
      </w:r>
      <w:r w:rsidR="0026079B">
        <w:rPr>
          <w:rFonts w:ascii="Book Antiqua" w:hAnsi="Book Antiqua" w:hint="eastAsia"/>
          <w:sz w:val="24"/>
          <w:szCs w:val="24"/>
        </w:rPr>
        <w:t>mol/L</w:t>
      </w:r>
      <w:r w:rsidRPr="00343901">
        <w:rPr>
          <w:rFonts w:ascii="Book Antiqua" w:hAnsi="Book Antiqua"/>
          <w:sz w:val="24"/>
          <w:szCs w:val="24"/>
        </w:rPr>
        <w:t xml:space="preserve"> EGTA, 0.5 m</w:t>
      </w:r>
      <w:r w:rsidR="0026079B">
        <w:rPr>
          <w:rFonts w:ascii="Book Antiqua" w:hAnsi="Book Antiqua" w:hint="eastAsia"/>
          <w:sz w:val="24"/>
          <w:szCs w:val="24"/>
        </w:rPr>
        <w:t>mol/L</w:t>
      </w:r>
      <w:r w:rsidRPr="00343901">
        <w:rPr>
          <w:rFonts w:ascii="Book Antiqua" w:hAnsi="Book Antiqua"/>
          <w:sz w:val="24"/>
          <w:szCs w:val="24"/>
        </w:rPr>
        <w:t xml:space="preserve"> PMSF, 25 µg/mL leupeptin, 10 µg/mL aprotinin, 1 m</w:t>
      </w:r>
      <w:r w:rsidR="00BE208D">
        <w:rPr>
          <w:rFonts w:ascii="Book Antiqua" w:hAnsi="Book Antiqua" w:hint="eastAsia"/>
          <w:sz w:val="24"/>
          <w:szCs w:val="24"/>
        </w:rPr>
        <w:t>mol/L</w:t>
      </w:r>
      <w:r w:rsidRPr="00343901">
        <w:rPr>
          <w:rFonts w:ascii="Book Antiqua" w:hAnsi="Book Antiqua"/>
          <w:sz w:val="24"/>
          <w:szCs w:val="24"/>
        </w:rPr>
        <w:t xml:space="preserve"> sodium vanadate</w:t>
      </w:r>
      <w:r w:rsidR="0026079B">
        <w:rPr>
          <w:rFonts w:ascii="Book Antiqua" w:hAnsi="Book Antiqua" w:hint="eastAsia"/>
          <w:sz w:val="24"/>
          <w:szCs w:val="24"/>
        </w:rPr>
        <w:t>]</w:t>
      </w:r>
      <w:r w:rsidRPr="00343901">
        <w:rPr>
          <w:rFonts w:ascii="Book Antiqua" w:hAnsi="Book Antiqua"/>
          <w:sz w:val="24"/>
          <w:szCs w:val="24"/>
        </w:rPr>
        <w:t xml:space="preserve"> with a glass homogenizer on ice. Cells were lysed in ice-cold cell lysis buffer </w:t>
      </w:r>
      <w:r w:rsidR="0026079B">
        <w:rPr>
          <w:rFonts w:ascii="Book Antiqua" w:hAnsi="Book Antiqua" w:hint="eastAsia"/>
          <w:sz w:val="24"/>
          <w:szCs w:val="24"/>
        </w:rPr>
        <w:t>[</w:t>
      </w:r>
      <w:r w:rsidRPr="00343901">
        <w:rPr>
          <w:rFonts w:ascii="Book Antiqua" w:hAnsi="Book Antiqua"/>
          <w:sz w:val="24"/>
          <w:szCs w:val="24"/>
        </w:rPr>
        <w:t xml:space="preserve">20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Tris </w:t>
      </w:r>
      <w:r w:rsidR="0026079B">
        <w:rPr>
          <w:rFonts w:ascii="Book Antiqua" w:hAnsi="Book Antiqua" w:hint="eastAsia"/>
          <w:sz w:val="24"/>
          <w:szCs w:val="24"/>
        </w:rPr>
        <w:t>(</w:t>
      </w:r>
      <w:r w:rsidRPr="00343901">
        <w:rPr>
          <w:rFonts w:ascii="Book Antiqua" w:hAnsi="Book Antiqua"/>
          <w:sz w:val="24"/>
          <w:szCs w:val="24"/>
        </w:rPr>
        <w:t>pH 7.5</w:t>
      </w:r>
      <w:r w:rsidR="0026079B">
        <w:rPr>
          <w:rFonts w:ascii="Book Antiqua" w:hAnsi="Book Antiqua" w:hint="eastAsia"/>
          <w:sz w:val="24"/>
          <w:szCs w:val="24"/>
        </w:rPr>
        <w:t>)</w:t>
      </w:r>
      <w:r w:rsidRPr="00343901">
        <w:rPr>
          <w:rFonts w:ascii="Book Antiqua" w:hAnsi="Book Antiqua"/>
          <w:sz w:val="24"/>
          <w:szCs w:val="24"/>
        </w:rPr>
        <w:t xml:space="preserve">, 150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NaCl, 1% </w:t>
      </w:r>
      <w:r w:rsidR="0026079B">
        <w:rPr>
          <w:rFonts w:ascii="Book Antiqua" w:hAnsi="Book Antiqua" w:hint="eastAsia"/>
          <w:sz w:val="24"/>
          <w:szCs w:val="24"/>
        </w:rPr>
        <w:t>(</w:t>
      </w:r>
      <w:r w:rsidRPr="00343901">
        <w:rPr>
          <w:rFonts w:ascii="Book Antiqua" w:hAnsi="Book Antiqua"/>
          <w:sz w:val="24"/>
          <w:szCs w:val="24"/>
        </w:rPr>
        <w:t>w/v</w:t>
      </w:r>
      <w:r w:rsidR="0026079B">
        <w:rPr>
          <w:rFonts w:ascii="Book Antiqua" w:hAnsi="Book Antiqua" w:hint="eastAsia"/>
          <w:sz w:val="24"/>
          <w:szCs w:val="24"/>
        </w:rPr>
        <w:t>)</w:t>
      </w:r>
      <w:r w:rsidRPr="00343901">
        <w:rPr>
          <w:rFonts w:ascii="Book Antiqua" w:hAnsi="Book Antiqua"/>
          <w:sz w:val="24"/>
          <w:szCs w:val="24"/>
        </w:rPr>
        <w:t xml:space="preserve"> Triton X-100, 0.1% </w:t>
      </w:r>
      <w:r w:rsidR="0026079B">
        <w:rPr>
          <w:rFonts w:ascii="Book Antiqua" w:hAnsi="Book Antiqua" w:hint="eastAsia"/>
          <w:sz w:val="24"/>
          <w:szCs w:val="24"/>
        </w:rPr>
        <w:t>(</w:t>
      </w:r>
      <w:r w:rsidRPr="00343901">
        <w:rPr>
          <w:rFonts w:ascii="Book Antiqua" w:hAnsi="Book Antiqua"/>
          <w:sz w:val="24"/>
          <w:szCs w:val="24"/>
        </w:rPr>
        <w:t>w/v</w:t>
      </w:r>
      <w:r w:rsidR="0026079B">
        <w:rPr>
          <w:rFonts w:ascii="Book Antiqua" w:hAnsi="Book Antiqua" w:hint="eastAsia"/>
          <w:sz w:val="24"/>
          <w:szCs w:val="24"/>
        </w:rPr>
        <w:t>)</w:t>
      </w:r>
      <w:r w:rsidRPr="00343901">
        <w:rPr>
          <w:rFonts w:ascii="Book Antiqua" w:hAnsi="Book Antiqua"/>
          <w:sz w:val="24"/>
          <w:szCs w:val="24"/>
        </w:rPr>
        <w:t xml:space="preserve"> sodium pyrophosphate, 1</w:t>
      </w:r>
      <w:r w:rsidR="0026079B">
        <w:rPr>
          <w:rFonts w:ascii="Book Antiqua" w:hAnsi="Book Antiqua" w:hint="eastAsia"/>
          <w:sz w:val="24"/>
          <w:szCs w:val="24"/>
        </w:rPr>
        <w:t xml:space="preserve">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β-glycerophosphate, </w:t>
      </w:r>
      <w:bookmarkStart w:id="8" w:name="OLE_LINK2"/>
      <w:bookmarkStart w:id="9" w:name="OLE_LINK1"/>
      <w:r w:rsidRPr="00343901">
        <w:rPr>
          <w:rFonts w:ascii="Book Antiqua" w:hAnsi="Book Antiqua"/>
          <w:sz w:val="24"/>
          <w:szCs w:val="24"/>
        </w:rPr>
        <w:t xml:space="preserve">1 </w:t>
      </w:r>
      <w:bookmarkEnd w:id="8"/>
      <w:bookmarkEnd w:id="9"/>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EDTA, 1</w:t>
      </w:r>
      <w:r w:rsidR="0026079B">
        <w:rPr>
          <w:rFonts w:ascii="Book Antiqua" w:hAnsi="Book Antiqua" w:hint="eastAsia"/>
          <w:sz w:val="24"/>
          <w:szCs w:val="24"/>
        </w:rPr>
        <w:t xml:space="preserve">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Na</w:t>
      </w:r>
      <w:r w:rsidRPr="00343901">
        <w:rPr>
          <w:rFonts w:ascii="Book Antiqua" w:hAnsi="Book Antiqua"/>
          <w:sz w:val="24"/>
          <w:szCs w:val="24"/>
          <w:vertAlign w:val="subscript"/>
        </w:rPr>
        <w:t>3</w:t>
      </w:r>
      <w:r w:rsidRPr="00343901">
        <w:rPr>
          <w:rFonts w:ascii="Book Antiqua" w:hAnsi="Book Antiqua"/>
          <w:sz w:val="24"/>
          <w:szCs w:val="24"/>
        </w:rPr>
        <w:t>VO</w:t>
      </w:r>
      <w:r w:rsidRPr="00343901">
        <w:rPr>
          <w:rFonts w:ascii="Book Antiqua" w:hAnsi="Book Antiqua"/>
          <w:sz w:val="24"/>
          <w:szCs w:val="24"/>
          <w:vertAlign w:val="subscript"/>
        </w:rPr>
        <w:t>4</w:t>
      </w:r>
      <w:r w:rsidRPr="00343901">
        <w:rPr>
          <w:rFonts w:ascii="Book Antiqua" w:hAnsi="Book Antiqua"/>
          <w:sz w:val="24"/>
          <w:szCs w:val="24"/>
        </w:rPr>
        <w:t xml:space="preserve">, 2 µg/mL leupeptin). Protein concentrations were determined by a BCA protein assay kit (#23250; Thermo Fisher Scientific Inc.). The </w:t>
      </w:r>
      <w:r w:rsidRPr="00343901">
        <w:rPr>
          <w:rFonts w:ascii="Book Antiqua" w:hAnsi="Book Antiqua"/>
          <w:kern w:val="0"/>
          <w:sz w:val="24"/>
          <w:szCs w:val="24"/>
        </w:rPr>
        <w:t xml:space="preserve">remaining </w:t>
      </w:r>
      <w:r w:rsidRPr="00343901">
        <w:rPr>
          <w:rFonts w:ascii="Book Antiqua" w:hAnsi="Book Antiqua"/>
          <w:sz w:val="24"/>
          <w:szCs w:val="24"/>
        </w:rPr>
        <w:t xml:space="preserve">supernatant (36 </w:t>
      </w:r>
      <w:r w:rsidRPr="00343901">
        <w:rPr>
          <w:rFonts w:ascii="Book Antiqua" w:hAnsi="Book Antiqua"/>
          <w:sz w:val="24"/>
          <w:szCs w:val="24"/>
        </w:rPr>
        <w:sym w:font="Symbol" w:char="F06D"/>
      </w:r>
      <w:r w:rsidRPr="00343901">
        <w:rPr>
          <w:rFonts w:ascii="Book Antiqua" w:hAnsi="Book Antiqua"/>
          <w:sz w:val="24"/>
          <w:szCs w:val="24"/>
        </w:rPr>
        <w:t>L) was combined (1:1) with 1</w:t>
      </w:r>
      <w:r w:rsidR="0026079B">
        <w:rPr>
          <w:rFonts w:ascii="Book Antiqua" w:hAnsi="Book Antiqua" w:hint="eastAsia"/>
          <w:sz w:val="24"/>
          <w:szCs w:val="24"/>
        </w:rPr>
        <w:t xml:space="preserve"> </w:t>
      </w:r>
      <w:r w:rsidRPr="00343901">
        <w:rPr>
          <w:rFonts w:ascii="Book Antiqua" w:hAnsi="Book Antiqua"/>
          <w:sz w:val="24"/>
          <w:szCs w:val="24"/>
        </w:rPr>
        <w:sym w:font="Symbol" w:char="F0B4"/>
      </w:r>
      <w:r w:rsidRPr="00343901">
        <w:rPr>
          <w:rFonts w:ascii="Book Antiqua" w:hAnsi="Book Antiqua"/>
          <w:sz w:val="24"/>
          <w:szCs w:val="24"/>
        </w:rPr>
        <w:t xml:space="preserve"> sodium dodecyl sulfate polyacrylamide gel electrophoresis loading buffer, and boiled for 5 min. Approximately 30 </w:t>
      </w:r>
      <w:r w:rsidRPr="00343901">
        <w:rPr>
          <w:rFonts w:ascii="Book Antiqua" w:hAnsi="Book Antiqua"/>
          <w:sz w:val="24"/>
          <w:szCs w:val="24"/>
        </w:rPr>
        <w:sym w:font="Symbol" w:char="F06D"/>
      </w:r>
      <w:r w:rsidRPr="00343901">
        <w:rPr>
          <w:rFonts w:ascii="Book Antiqua" w:hAnsi="Book Antiqua"/>
          <w:sz w:val="24"/>
          <w:szCs w:val="24"/>
        </w:rPr>
        <w:t>g of protein from each sample was run on a 10% polyacrylamide gel and transferred onto a polyvinylidene difluoride membrane for immunoblotting as previously reported</w:t>
      </w:r>
      <w:r w:rsidRPr="00343901">
        <w:rPr>
          <w:rFonts w:ascii="Book Antiqua" w:hAnsi="Book Antiqua"/>
          <w:sz w:val="24"/>
          <w:szCs w:val="24"/>
          <w:vertAlign w:val="superscript"/>
        </w:rPr>
        <w:t>[23,24]</w:t>
      </w:r>
      <w:r w:rsidRPr="00343901">
        <w:rPr>
          <w:rFonts w:ascii="Book Antiqua" w:hAnsi="Book Antiqua"/>
          <w:sz w:val="24"/>
          <w:szCs w:val="24"/>
        </w:rPr>
        <w:t xml:space="preserve">. The membranes were blocked with 5% (w/v) non-fat milk, and SERT </w:t>
      </w:r>
      <w:r w:rsidRPr="00343901">
        <w:rPr>
          <w:rFonts w:ascii="Book Antiqua" w:hAnsi="Book Antiqua"/>
          <w:sz w:val="24"/>
          <w:szCs w:val="24"/>
        </w:rPr>
        <w:lastRenderedPageBreak/>
        <w:t xml:space="preserve">protein was detected using </w:t>
      </w:r>
      <w:bookmarkStart w:id="10" w:name="OLE_LINK9"/>
      <w:bookmarkStart w:id="11" w:name="OLE_LINK8"/>
      <w:bookmarkStart w:id="12" w:name="OLE_LINK17"/>
      <w:r w:rsidRPr="00343901">
        <w:rPr>
          <w:rFonts w:ascii="Book Antiqua" w:hAnsi="Book Antiqua"/>
          <w:sz w:val="24"/>
          <w:szCs w:val="24"/>
        </w:rPr>
        <w:t>rabbit anti-SERT polyclonal antibody</w:t>
      </w:r>
      <w:bookmarkEnd w:id="10"/>
      <w:bookmarkEnd w:id="11"/>
      <w:r w:rsidRPr="00343901">
        <w:rPr>
          <w:rFonts w:ascii="Book Antiqua" w:hAnsi="Book Antiqua"/>
          <w:sz w:val="24"/>
          <w:szCs w:val="24"/>
        </w:rPr>
        <w:t xml:space="preserve"> (AB9726, 1:500; EMD Millipore,</w:t>
      </w:r>
      <w:r w:rsidRPr="00343901">
        <w:rPr>
          <w:rFonts w:ascii="Book Antiqua" w:hAnsi="Book Antiqua"/>
          <w:b/>
          <w:bCs/>
          <w:sz w:val="24"/>
          <w:szCs w:val="24"/>
          <w:shd w:val="clear" w:color="auto" w:fill="FFFFFF"/>
        </w:rPr>
        <w:t xml:space="preserve"> </w:t>
      </w:r>
      <w:r w:rsidRPr="00343901">
        <w:rPr>
          <w:rFonts w:ascii="Book Antiqua" w:hAnsi="Book Antiqua"/>
          <w:sz w:val="24"/>
          <w:szCs w:val="24"/>
        </w:rPr>
        <w:t xml:space="preserve">Billerica, MA, </w:t>
      </w:r>
      <w:r w:rsidR="00BE208D">
        <w:rPr>
          <w:rFonts w:ascii="Book Antiqua" w:hAnsi="Book Antiqua"/>
          <w:sz w:val="24"/>
          <w:szCs w:val="24"/>
        </w:rPr>
        <w:t>United States</w:t>
      </w:r>
      <w:r w:rsidRPr="00343901">
        <w:rPr>
          <w:rFonts w:ascii="Book Antiqua" w:hAnsi="Book Antiqua"/>
          <w:sz w:val="24"/>
          <w:szCs w:val="24"/>
        </w:rPr>
        <w:t>)</w:t>
      </w:r>
      <w:bookmarkEnd w:id="12"/>
      <w:r w:rsidRPr="00343901">
        <w:rPr>
          <w:rFonts w:ascii="Book Antiqua" w:hAnsi="Book Antiqua"/>
          <w:sz w:val="24"/>
          <w:szCs w:val="24"/>
        </w:rPr>
        <w:t>. Mouse anti-G</w:t>
      </w:r>
      <w:r w:rsidR="00160248">
        <w:rPr>
          <w:rFonts w:ascii="Book Antiqua" w:hAnsi="Book Antiqua"/>
          <w:sz w:val="24"/>
          <w:szCs w:val="24"/>
        </w:rPr>
        <w:t>APDH (Macclesfield, Cheshire, U</w:t>
      </w:r>
      <w:r w:rsidR="00160248">
        <w:rPr>
          <w:rFonts w:ascii="Book Antiqua" w:hAnsi="Book Antiqua" w:hint="eastAsia"/>
          <w:sz w:val="24"/>
          <w:szCs w:val="24"/>
        </w:rPr>
        <w:t>nited Kingdom</w:t>
      </w:r>
      <w:r w:rsidRPr="00343901">
        <w:rPr>
          <w:rFonts w:ascii="Book Antiqua" w:hAnsi="Book Antiqua"/>
          <w:sz w:val="24"/>
          <w:szCs w:val="24"/>
        </w:rPr>
        <w:t xml:space="preserve">) polyclonal antibody (1:3000) was used as a reference. The membranes were incubated with either horseradish peroxidase-conjugated goat anti-rabbit (BS13278, 1:3000; Bioworld, Louis Park, MN, </w:t>
      </w:r>
      <w:r w:rsidR="00BE208D">
        <w:rPr>
          <w:rFonts w:ascii="Book Antiqua" w:hAnsi="Book Antiqua"/>
          <w:sz w:val="24"/>
          <w:szCs w:val="24"/>
        </w:rPr>
        <w:t>United States</w:t>
      </w:r>
      <w:r w:rsidRPr="00343901">
        <w:rPr>
          <w:rFonts w:ascii="Book Antiqua" w:hAnsi="Book Antiqua"/>
          <w:sz w:val="24"/>
          <w:szCs w:val="24"/>
        </w:rPr>
        <w:t>) or goat anti-mouse secondary antibodies (BS12478, 1:3000; Bioworld). All the antibodies were diluted with 5% (w/v) non-fat milk</w:t>
      </w:r>
      <w:r w:rsidRPr="00343901">
        <w:rPr>
          <w:rFonts w:ascii="Book Antiqua" w:hAnsi="Book Antiqua"/>
          <w:b/>
          <w:sz w:val="24"/>
          <w:szCs w:val="24"/>
        </w:rPr>
        <w:t xml:space="preserve">. </w:t>
      </w:r>
      <w:r w:rsidRPr="00343901">
        <w:rPr>
          <w:rFonts w:ascii="Book Antiqua" w:hAnsi="Book Antiqua"/>
          <w:sz w:val="24"/>
          <w:szCs w:val="24"/>
        </w:rPr>
        <w:t xml:space="preserve">The SERT/GAPDH ratio was calculated from the films with the Quantity One Analysis Software (Bio-Rad, Hercules, CA, </w:t>
      </w:r>
      <w:r w:rsidR="00BE208D">
        <w:rPr>
          <w:rFonts w:ascii="Book Antiqua" w:hAnsi="Book Antiqua"/>
          <w:sz w:val="24"/>
          <w:szCs w:val="24"/>
        </w:rPr>
        <w:t>United States</w:t>
      </w:r>
      <w:r w:rsidRPr="00343901">
        <w:rPr>
          <w:rFonts w:ascii="Book Antiqua" w:hAnsi="Book Antiqua"/>
          <w:sz w:val="24"/>
          <w:szCs w:val="24"/>
        </w:rPr>
        <w:t>), and the results were expressed in densitometric units.</w:t>
      </w:r>
    </w:p>
    <w:p w:rsidR="00EC7D98" w:rsidRPr="00343901" w:rsidRDefault="00EC7D98" w:rsidP="00BC503B">
      <w:pPr>
        <w:tabs>
          <w:tab w:val="left" w:pos="2760"/>
        </w:tabs>
        <w:adjustRightInd w:val="0"/>
        <w:snapToGrid w:val="0"/>
        <w:spacing w:line="360" w:lineRule="auto"/>
        <w:rPr>
          <w:rFonts w:ascii="Book Antiqua" w:hAnsi="Book Antiqua"/>
          <w:sz w:val="24"/>
          <w:szCs w:val="24"/>
        </w:rPr>
      </w:pP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r w:rsidRPr="00343901">
        <w:rPr>
          <w:rFonts w:ascii="Book Antiqua" w:hAnsi="Book Antiqua"/>
          <w:b/>
          <w:i/>
          <w:sz w:val="24"/>
          <w:szCs w:val="24"/>
        </w:rPr>
        <w:t>Extraction of RNA and real-time PCR detection of SERT mRNA</w:t>
      </w:r>
    </w:p>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 xml:space="preserve">The total RNA from control and EGF-treated cells was extracted using TRIzol reagent® (Invitrogen of Thermo Fisher Scientific Inc.). After cDNA was synthesized with a two-step reverse transcription kit (Takara, Dalian, China), real-time PCR was performed on an Applied Biosystems 7500 Real-time PCR System using the SYBR Premix Ex Taq Kit (Applied Biosystems of Thermo Fisher Scientific Inc.) in a 96-well plate. PCR cycle parameters were as follows: </w:t>
      </w:r>
      <w:r w:rsidRPr="00343901">
        <w:rPr>
          <w:rFonts w:ascii="Book Antiqua" w:hAnsi="Book Antiqua"/>
          <w:bCs/>
          <w:sz w:val="24"/>
          <w:szCs w:val="24"/>
        </w:rPr>
        <w:t>initial denaturation at 95</w:t>
      </w:r>
      <w:r w:rsidR="0026079B">
        <w:rPr>
          <w:rFonts w:ascii="Book Antiqua" w:hAnsi="Book Antiqua" w:hint="eastAsia"/>
          <w:bCs/>
          <w:sz w:val="24"/>
          <w:szCs w:val="24"/>
        </w:rPr>
        <w:t xml:space="preserve"> </w:t>
      </w:r>
      <w:r w:rsidRPr="00343901">
        <w:rPr>
          <w:rFonts w:ascii="Book Antiqua" w:hAnsi="Book Antiqua"/>
          <w:sz w:val="24"/>
          <w:szCs w:val="24"/>
        </w:rPr>
        <w:t>°C</w:t>
      </w:r>
      <w:r w:rsidRPr="00343901">
        <w:rPr>
          <w:rFonts w:ascii="Book Antiqua" w:hAnsi="Book Antiqua"/>
          <w:bCs/>
          <w:sz w:val="24"/>
          <w:szCs w:val="24"/>
        </w:rPr>
        <w:t xml:space="preserve"> at 30 s, 40 cycles of 95</w:t>
      </w:r>
      <w:r w:rsidR="0026079B">
        <w:rPr>
          <w:rFonts w:ascii="Book Antiqua" w:hAnsi="Book Antiqua" w:hint="eastAsia"/>
          <w:bCs/>
          <w:sz w:val="24"/>
          <w:szCs w:val="24"/>
        </w:rPr>
        <w:t xml:space="preserve"> </w:t>
      </w:r>
      <w:r w:rsidRPr="00343901">
        <w:rPr>
          <w:rFonts w:ascii="Book Antiqua" w:hAnsi="Book Antiqua"/>
          <w:sz w:val="24"/>
          <w:szCs w:val="24"/>
        </w:rPr>
        <w:t>°C</w:t>
      </w:r>
      <w:r w:rsidRPr="00343901">
        <w:rPr>
          <w:rFonts w:ascii="Book Antiqua" w:hAnsi="Book Antiqua"/>
          <w:bCs/>
          <w:sz w:val="24"/>
          <w:szCs w:val="24"/>
        </w:rPr>
        <w:t xml:space="preserve"> for 5 s and 60</w:t>
      </w:r>
      <w:r w:rsidR="0026079B">
        <w:rPr>
          <w:rFonts w:ascii="Book Antiqua" w:hAnsi="Book Antiqua" w:hint="eastAsia"/>
          <w:bCs/>
          <w:sz w:val="24"/>
          <w:szCs w:val="24"/>
        </w:rPr>
        <w:t xml:space="preserve"> </w:t>
      </w:r>
      <w:r w:rsidRPr="00343901">
        <w:rPr>
          <w:rFonts w:ascii="Book Antiqua" w:hAnsi="Book Antiqua"/>
          <w:sz w:val="24"/>
          <w:szCs w:val="24"/>
        </w:rPr>
        <w:t xml:space="preserve">°C </w:t>
      </w:r>
      <w:r w:rsidRPr="00343901">
        <w:rPr>
          <w:rFonts w:ascii="Book Antiqua" w:hAnsi="Book Antiqua"/>
          <w:bCs/>
          <w:sz w:val="24"/>
          <w:szCs w:val="24"/>
        </w:rPr>
        <w:t xml:space="preserve">for 34 s, followed by a dissociation stage for recording the melting curve. The cycle threshold (Ct) values of all genes were obtained, and </w:t>
      </w:r>
      <w:r w:rsidRPr="00343901">
        <w:rPr>
          <w:rFonts w:ascii="Book Antiqua" w:hAnsi="Book Antiqua"/>
          <w:sz w:val="24"/>
          <w:szCs w:val="24"/>
        </w:rPr>
        <w:t>the relative level of SERT gene was normalized to a housekeeping β-actin gene</w:t>
      </w:r>
      <w:r w:rsidRPr="00343901">
        <w:rPr>
          <w:rFonts w:ascii="Book Antiqua" w:hAnsi="Book Antiqua"/>
          <w:bCs/>
          <w:sz w:val="24"/>
          <w:szCs w:val="24"/>
        </w:rPr>
        <w:t>. Data were analyzed according to the relative expression using the 2</w:t>
      </w:r>
      <w:r w:rsidRPr="00343901">
        <w:rPr>
          <w:rFonts w:ascii="Book Antiqua" w:hAnsi="Book Antiqua"/>
          <w:bCs/>
          <w:sz w:val="24"/>
          <w:szCs w:val="24"/>
          <w:vertAlign w:val="superscript"/>
        </w:rPr>
        <w:t>-</w:t>
      </w:r>
      <w:r w:rsidRPr="00343901">
        <w:rPr>
          <w:rFonts w:ascii="Cambria Math" w:hAnsi="Cambria Math" w:cs="Cambria Math"/>
          <w:bCs/>
          <w:sz w:val="24"/>
          <w:szCs w:val="24"/>
          <w:vertAlign w:val="superscript"/>
        </w:rPr>
        <w:t>△△</w:t>
      </w:r>
      <w:r w:rsidRPr="00343901">
        <w:rPr>
          <w:rFonts w:ascii="Book Antiqua" w:hAnsi="Book Antiqua"/>
          <w:bCs/>
          <w:sz w:val="24"/>
          <w:szCs w:val="24"/>
          <w:vertAlign w:val="superscript"/>
        </w:rPr>
        <w:t>Ct</w:t>
      </w:r>
      <w:r w:rsidRPr="00343901">
        <w:rPr>
          <w:rFonts w:ascii="Book Antiqua" w:hAnsi="Book Antiqua"/>
          <w:bCs/>
          <w:sz w:val="24"/>
          <w:szCs w:val="24"/>
        </w:rPr>
        <w:t xml:space="preserve"> method</w:t>
      </w:r>
      <w:r w:rsidRPr="00343901">
        <w:rPr>
          <w:rFonts w:ascii="Book Antiqua" w:hAnsi="Book Antiqua"/>
          <w:sz w:val="24"/>
          <w:szCs w:val="24"/>
        </w:rPr>
        <w:t>. Each sample was run in triplicate, and the mean values are presented. Primers used for the PCR were: forward, 5’-GACTCCTCCCCTCTAAGCCA-3’ and reverse, 5’-CACGGAAAGAAGTGGTCGGA– 3’ for SERT; forward, 5’-CTAAGGCCAACCGTGAAAAG-3’ and reverse, 5’-TCTCAGCTGTGGTGGTGAAG-3’ for β-actin.</w:t>
      </w: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p>
    <w:p w:rsidR="00EC7D98" w:rsidRPr="00343901" w:rsidRDefault="00EC7D98" w:rsidP="00BC503B">
      <w:pPr>
        <w:tabs>
          <w:tab w:val="left" w:pos="2760"/>
        </w:tabs>
        <w:adjustRightInd w:val="0"/>
        <w:snapToGrid w:val="0"/>
        <w:spacing w:line="360" w:lineRule="auto"/>
        <w:rPr>
          <w:rFonts w:ascii="Book Antiqua" w:hAnsi="Book Antiqua"/>
          <w:b/>
          <w:i/>
          <w:sz w:val="24"/>
          <w:szCs w:val="24"/>
        </w:rPr>
      </w:pPr>
      <w:r w:rsidRPr="00343901">
        <w:rPr>
          <w:rFonts w:ascii="Book Antiqua" w:hAnsi="Book Antiqua"/>
          <w:b/>
          <w:i/>
          <w:sz w:val="24"/>
          <w:szCs w:val="24"/>
        </w:rPr>
        <w:t>[</w:t>
      </w:r>
      <w:r w:rsidRPr="00343901">
        <w:rPr>
          <w:rFonts w:ascii="Book Antiqua" w:hAnsi="Book Antiqua"/>
          <w:b/>
          <w:i/>
          <w:sz w:val="24"/>
          <w:szCs w:val="24"/>
          <w:vertAlign w:val="superscript"/>
        </w:rPr>
        <w:t>3</w:t>
      </w:r>
      <w:r w:rsidRPr="00343901">
        <w:rPr>
          <w:rFonts w:ascii="Book Antiqua" w:hAnsi="Book Antiqua"/>
          <w:b/>
          <w:i/>
          <w:sz w:val="24"/>
          <w:szCs w:val="24"/>
        </w:rPr>
        <w:t>H]-5-HT reuptake experiment</w:t>
      </w:r>
    </w:p>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w:t>
      </w:r>
      <w:r w:rsidRPr="00343901">
        <w:rPr>
          <w:rFonts w:ascii="Book Antiqua" w:hAnsi="Book Antiqua"/>
          <w:sz w:val="24"/>
          <w:szCs w:val="24"/>
          <w:vertAlign w:val="superscript"/>
        </w:rPr>
        <w:t>3</w:t>
      </w:r>
      <w:r w:rsidRPr="00343901">
        <w:rPr>
          <w:rFonts w:ascii="Book Antiqua" w:hAnsi="Book Antiqua"/>
          <w:sz w:val="24"/>
          <w:szCs w:val="24"/>
        </w:rPr>
        <w:t>H]-5-HT uptake was examined as previously described</w:t>
      </w:r>
      <w:r w:rsidRPr="00343901">
        <w:rPr>
          <w:rFonts w:ascii="Book Antiqua" w:hAnsi="Book Antiqua"/>
          <w:sz w:val="24"/>
          <w:szCs w:val="24"/>
          <w:vertAlign w:val="superscript"/>
        </w:rPr>
        <w:t>[8,25]</w:t>
      </w:r>
      <w:r w:rsidRPr="00343901">
        <w:rPr>
          <w:rFonts w:ascii="Book Antiqua" w:hAnsi="Book Antiqua"/>
          <w:sz w:val="24"/>
          <w:szCs w:val="24"/>
        </w:rPr>
        <w:t>. Briefly, cells were plated in poly-D-lysine-coated (0.1 mg/mL) 12-well plates (Corning, Inc.) for 48 h before the uptake experiments. Cells (at 80</w:t>
      </w:r>
      <w:r w:rsidR="0026079B">
        <w:rPr>
          <w:rFonts w:ascii="Book Antiqua" w:hAnsi="Book Antiqua" w:hint="eastAsia"/>
          <w:sz w:val="24"/>
          <w:szCs w:val="24"/>
        </w:rPr>
        <w:t>%</w:t>
      </w:r>
      <w:r w:rsidRPr="00343901">
        <w:rPr>
          <w:rFonts w:ascii="Book Antiqua" w:hAnsi="Book Antiqua"/>
          <w:sz w:val="24"/>
          <w:szCs w:val="24"/>
        </w:rPr>
        <w:t xml:space="preserve">–90% confluence) were treated either </w:t>
      </w:r>
      <w:r w:rsidRPr="00343901">
        <w:rPr>
          <w:rFonts w:ascii="Book Antiqua" w:hAnsi="Book Antiqua"/>
          <w:sz w:val="24"/>
          <w:szCs w:val="24"/>
        </w:rPr>
        <w:lastRenderedPageBreak/>
        <w:t>with the optimal dose of EGF (40 ng/mL) in a serum-free medium or with an equal volume of the albumin-containing medium for 24 h. For the [</w:t>
      </w:r>
      <w:r w:rsidRPr="00343901">
        <w:rPr>
          <w:rFonts w:ascii="Book Antiqua" w:hAnsi="Book Antiqua"/>
          <w:sz w:val="24"/>
          <w:szCs w:val="24"/>
          <w:vertAlign w:val="superscript"/>
        </w:rPr>
        <w:t>3</w:t>
      </w:r>
      <w:r w:rsidRPr="00343901">
        <w:rPr>
          <w:rFonts w:ascii="Book Antiqua" w:hAnsi="Book Antiqua"/>
          <w:sz w:val="24"/>
          <w:szCs w:val="24"/>
        </w:rPr>
        <w:t xml:space="preserve">H]-5-HT uptake assay, the growth medium was completely removed, and 1 mL of Krebs-Ringer’s (KRH) buffer (130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NaCl, 1.3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KCl, 2.2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CaCl</w:t>
      </w:r>
      <w:r w:rsidRPr="00343901">
        <w:rPr>
          <w:rFonts w:ascii="Book Antiqua" w:hAnsi="Book Antiqua"/>
          <w:sz w:val="24"/>
          <w:szCs w:val="24"/>
          <w:vertAlign w:val="subscript"/>
        </w:rPr>
        <w:t>2</w:t>
      </w:r>
      <w:r w:rsidRPr="00343901">
        <w:rPr>
          <w:rFonts w:ascii="Book Antiqua" w:hAnsi="Book Antiqua"/>
          <w:sz w:val="24"/>
          <w:szCs w:val="24"/>
        </w:rPr>
        <w:t xml:space="preserve">, 1.2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MgSO</w:t>
      </w:r>
      <w:r w:rsidRPr="00343901">
        <w:rPr>
          <w:rFonts w:ascii="Book Antiqua" w:hAnsi="Book Antiqua"/>
          <w:sz w:val="24"/>
          <w:szCs w:val="24"/>
          <w:vertAlign w:val="subscript"/>
        </w:rPr>
        <w:t>4</w:t>
      </w:r>
      <w:r w:rsidRPr="00343901">
        <w:rPr>
          <w:rFonts w:ascii="Book Antiqua" w:hAnsi="Book Antiqua"/>
          <w:sz w:val="24"/>
          <w:szCs w:val="24"/>
        </w:rPr>
        <w:t xml:space="preserve">, 1.2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KH</w:t>
      </w:r>
      <w:r w:rsidRPr="00343901">
        <w:rPr>
          <w:rFonts w:ascii="Book Antiqua" w:hAnsi="Book Antiqua"/>
          <w:sz w:val="24"/>
          <w:szCs w:val="24"/>
          <w:vertAlign w:val="subscript"/>
        </w:rPr>
        <w:t>2</w:t>
      </w:r>
      <w:r w:rsidRPr="00343901">
        <w:rPr>
          <w:rFonts w:ascii="Book Antiqua" w:hAnsi="Book Antiqua"/>
          <w:sz w:val="24"/>
          <w:szCs w:val="24"/>
        </w:rPr>
        <w:t>PO</w:t>
      </w:r>
      <w:r w:rsidRPr="00343901">
        <w:rPr>
          <w:rFonts w:ascii="Book Antiqua" w:hAnsi="Book Antiqua"/>
          <w:sz w:val="24"/>
          <w:szCs w:val="24"/>
          <w:vertAlign w:val="subscript"/>
        </w:rPr>
        <w:t>4</w:t>
      </w:r>
      <w:r w:rsidRPr="00343901">
        <w:rPr>
          <w:rFonts w:ascii="Book Antiqua" w:hAnsi="Book Antiqua"/>
          <w:sz w:val="24"/>
          <w:szCs w:val="24"/>
        </w:rPr>
        <w:t xml:space="preserve">, 1.8 g/L glucose, 10 </w:t>
      </w:r>
      <w:r w:rsidR="0026079B" w:rsidRPr="00343901">
        <w:rPr>
          <w:rFonts w:ascii="Book Antiqua" w:hAnsi="Book Antiqua"/>
          <w:sz w:val="24"/>
          <w:szCs w:val="24"/>
        </w:rPr>
        <w:t>m</w:t>
      </w:r>
      <w:r w:rsidR="0026079B">
        <w:rPr>
          <w:rFonts w:ascii="Book Antiqua" w:hAnsi="Book Antiqua" w:hint="eastAsia"/>
          <w:sz w:val="24"/>
          <w:szCs w:val="24"/>
        </w:rPr>
        <w:t>mol/L</w:t>
      </w:r>
      <w:r w:rsidRPr="00343901">
        <w:rPr>
          <w:rFonts w:ascii="Book Antiqua" w:hAnsi="Book Antiqua"/>
          <w:sz w:val="24"/>
          <w:szCs w:val="24"/>
        </w:rPr>
        <w:t xml:space="preserve"> HEPES, pH 7.4) was used to wash the cells twice. Next, cells were incubated in KRH buffer containing 100 </w:t>
      </w:r>
      <w:r w:rsidRPr="00343901">
        <w:rPr>
          <w:rFonts w:ascii="Book Antiqua" w:hAnsi="Book Antiqua"/>
          <w:sz w:val="24"/>
          <w:szCs w:val="24"/>
        </w:rPr>
        <w:sym w:font="Symbol" w:char="F06D"/>
      </w:r>
      <w:r w:rsidR="0026079B">
        <w:rPr>
          <w:rFonts w:ascii="Book Antiqua" w:hAnsi="Book Antiqua" w:hint="eastAsia"/>
          <w:sz w:val="24"/>
          <w:szCs w:val="24"/>
        </w:rPr>
        <w:t>mol/L</w:t>
      </w:r>
      <w:r w:rsidRPr="00343901">
        <w:rPr>
          <w:rFonts w:ascii="Book Antiqua" w:hAnsi="Book Antiqua"/>
          <w:sz w:val="24"/>
          <w:szCs w:val="24"/>
        </w:rPr>
        <w:t xml:space="preserve"> pargyline and 100 </w:t>
      </w:r>
      <w:r w:rsidRPr="00343901">
        <w:rPr>
          <w:rFonts w:ascii="Book Antiqua" w:hAnsi="Book Antiqua"/>
          <w:sz w:val="24"/>
          <w:szCs w:val="24"/>
        </w:rPr>
        <w:sym w:font="Symbol" w:char="F06D"/>
      </w:r>
      <w:r w:rsidR="0026079B">
        <w:rPr>
          <w:rFonts w:ascii="Book Antiqua" w:hAnsi="Book Antiqua" w:hint="eastAsia"/>
          <w:sz w:val="24"/>
          <w:szCs w:val="24"/>
        </w:rPr>
        <w:t>mol/L</w:t>
      </w:r>
      <w:r w:rsidRPr="00343901">
        <w:rPr>
          <w:rFonts w:ascii="Book Antiqua" w:hAnsi="Book Antiqua"/>
          <w:sz w:val="24"/>
          <w:szCs w:val="24"/>
        </w:rPr>
        <w:t xml:space="preserve"> ascorbic acid in a 5% CO</w:t>
      </w:r>
      <w:r w:rsidRPr="00343901">
        <w:rPr>
          <w:rFonts w:ascii="Book Antiqua" w:hAnsi="Book Antiqua"/>
          <w:sz w:val="24"/>
          <w:szCs w:val="24"/>
          <w:vertAlign w:val="subscript"/>
        </w:rPr>
        <w:t>2</w:t>
      </w:r>
      <w:r w:rsidRPr="00343901">
        <w:rPr>
          <w:rFonts w:ascii="Book Antiqua" w:hAnsi="Book Antiqua"/>
          <w:sz w:val="24"/>
          <w:szCs w:val="24"/>
        </w:rPr>
        <w:t xml:space="preserve"> homothermal chamber (37</w:t>
      </w:r>
      <w:r w:rsidR="0026079B">
        <w:rPr>
          <w:rFonts w:ascii="Book Antiqua" w:hAnsi="Book Antiqua" w:hint="eastAsia"/>
          <w:sz w:val="24"/>
          <w:szCs w:val="24"/>
        </w:rPr>
        <w:t xml:space="preserve"> </w:t>
      </w:r>
      <w:r w:rsidRPr="00343901">
        <w:rPr>
          <w:rFonts w:ascii="Book Antiqua" w:hAnsi="Book Antiqua"/>
          <w:sz w:val="24"/>
          <w:szCs w:val="24"/>
        </w:rPr>
        <w:t xml:space="preserve">°C) for 10 min. The uptake experiment was initiated by adding </w:t>
      </w:r>
      <w:bookmarkStart w:id="13" w:name="OLE_LINK27"/>
      <w:bookmarkStart w:id="14" w:name="OLE_LINK26"/>
      <w:r w:rsidRPr="00343901">
        <w:rPr>
          <w:rFonts w:ascii="Book Antiqua" w:hAnsi="Book Antiqua"/>
          <w:sz w:val="24"/>
          <w:szCs w:val="24"/>
        </w:rPr>
        <w:t>0.1</w:t>
      </w:r>
      <w:bookmarkEnd w:id="13"/>
      <w:bookmarkEnd w:id="14"/>
      <w:r w:rsidRPr="00343901">
        <w:rPr>
          <w:rFonts w:ascii="Book Antiqua" w:hAnsi="Book Antiqua"/>
          <w:sz w:val="24"/>
          <w:szCs w:val="24"/>
        </w:rPr>
        <w:t xml:space="preserve"> </w:t>
      </w:r>
      <w:r w:rsidRPr="00343901">
        <w:rPr>
          <w:rFonts w:ascii="Book Antiqua" w:hAnsi="Book Antiqua"/>
          <w:sz w:val="24"/>
          <w:szCs w:val="24"/>
        </w:rPr>
        <w:sym w:font="Symbol" w:char="F06D"/>
      </w:r>
      <w:r w:rsidRPr="00343901">
        <w:rPr>
          <w:rFonts w:ascii="Book Antiqua" w:hAnsi="Book Antiqua"/>
          <w:sz w:val="24"/>
          <w:szCs w:val="24"/>
        </w:rPr>
        <w:t>M [</w:t>
      </w:r>
      <w:r w:rsidRPr="00343901">
        <w:rPr>
          <w:rFonts w:ascii="Book Antiqua" w:hAnsi="Book Antiqua"/>
          <w:sz w:val="24"/>
          <w:szCs w:val="24"/>
          <w:vertAlign w:val="superscript"/>
        </w:rPr>
        <w:t>3</w:t>
      </w:r>
      <w:r w:rsidRPr="00343901">
        <w:rPr>
          <w:rFonts w:ascii="Book Antiqua" w:hAnsi="Book Antiqua"/>
          <w:sz w:val="24"/>
          <w:szCs w:val="24"/>
        </w:rPr>
        <w:t xml:space="preserve">H]-5-HT (27.9 Ci/mmol, NET498; PerkinElmer, Waltham, MA, </w:t>
      </w:r>
      <w:r w:rsidR="00BE208D">
        <w:rPr>
          <w:rFonts w:ascii="Book Antiqua" w:hAnsi="Book Antiqua"/>
          <w:sz w:val="24"/>
          <w:szCs w:val="24"/>
        </w:rPr>
        <w:t>United States</w:t>
      </w:r>
      <w:r w:rsidRPr="00343901">
        <w:rPr>
          <w:rFonts w:ascii="Book Antiqua" w:hAnsi="Book Antiqua"/>
          <w:sz w:val="24"/>
          <w:szCs w:val="24"/>
        </w:rPr>
        <w:t>) and incubating the cells at 37</w:t>
      </w:r>
      <w:r w:rsidR="0026079B">
        <w:rPr>
          <w:rFonts w:ascii="Book Antiqua" w:hAnsi="Book Antiqua" w:hint="eastAsia"/>
          <w:sz w:val="24"/>
          <w:szCs w:val="24"/>
        </w:rPr>
        <w:t xml:space="preserve"> </w:t>
      </w:r>
      <w:r w:rsidRPr="00343901">
        <w:rPr>
          <w:rFonts w:ascii="Book Antiqua" w:hAnsi="Book Antiqua"/>
          <w:sz w:val="24"/>
          <w:szCs w:val="24"/>
        </w:rPr>
        <w:t xml:space="preserve">°C for another 10 min. The uptake assays were terminated by three rapid washes with cold KRH buffer. The cells were then lysed with 600 </w:t>
      </w:r>
      <w:r w:rsidRPr="00343901">
        <w:rPr>
          <w:rFonts w:ascii="Book Antiqua" w:hAnsi="Book Antiqua"/>
          <w:sz w:val="24"/>
          <w:szCs w:val="24"/>
        </w:rPr>
        <w:sym w:font="Symbol" w:char="F06D"/>
      </w:r>
      <w:r w:rsidRPr="00343901">
        <w:rPr>
          <w:rFonts w:ascii="Book Antiqua" w:hAnsi="Book Antiqua"/>
          <w:sz w:val="24"/>
          <w:szCs w:val="24"/>
        </w:rPr>
        <w:t xml:space="preserve">L of 0.5 N NaOH, and 100 </w:t>
      </w:r>
      <w:r w:rsidRPr="00343901">
        <w:rPr>
          <w:rFonts w:ascii="Book Antiqua" w:hAnsi="Book Antiqua"/>
          <w:sz w:val="24"/>
          <w:szCs w:val="24"/>
        </w:rPr>
        <w:sym w:font="Symbol" w:char="F06D"/>
      </w:r>
      <w:r w:rsidRPr="00343901">
        <w:rPr>
          <w:rFonts w:ascii="Book Antiqua" w:hAnsi="Book Antiqua"/>
          <w:sz w:val="24"/>
          <w:szCs w:val="24"/>
        </w:rPr>
        <w:t xml:space="preserve">L of the cell lysate was diluted in OptiPhase SuperMix scintillation mixture (Wallac, Gaithersburg, MD, </w:t>
      </w:r>
      <w:r w:rsidR="00BE208D">
        <w:rPr>
          <w:rFonts w:ascii="Book Antiqua" w:hAnsi="Book Antiqua"/>
          <w:sz w:val="24"/>
          <w:szCs w:val="24"/>
        </w:rPr>
        <w:t>United States</w:t>
      </w:r>
      <w:r w:rsidRPr="00343901">
        <w:rPr>
          <w:rFonts w:ascii="Book Antiqua" w:hAnsi="Book Antiqua"/>
          <w:sz w:val="24"/>
          <w:szCs w:val="24"/>
        </w:rPr>
        <w:t>) for direct quantification of radioactivity in a Wallac liquid scintillation counter (PerkinElmer). The total protein in the cell lysates was determined using a Bradford assay kit (Beyotime Biotechnology, Haimen, China). Specific SERT-mediated uptake was calculated by subtracting the uptake of [</w:t>
      </w:r>
      <w:r w:rsidRPr="00343901">
        <w:rPr>
          <w:rFonts w:ascii="Book Antiqua" w:hAnsi="Book Antiqua"/>
          <w:sz w:val="24"/>
          <w:szCs w:val="24"/>
          <w:vertAlign w:val="superscript"/>
        </w:rPr>
        <w:t>3</w:t>
      </w:r>
      <w:r w:rsidRPr="00343901">
        <w:rPr>
          <w:rFonts w:ascii="Book Antiqua" w:hAnsi="Book Antiqua"/>
          <w:sz w:val="24"/>
          <w:szCs w:val="24"/>
        </w:rPr>
        <w:t xml:space="preserve">H]-5-HT in the presence of 100 </w:t>
      </w:r>
      <w:r w:rsidRPr="00343901">
        <w:rPr>
          <w:rFonts w:ascii="Book Antiqua" w:hAnsi="Book Antiqua"/>
          <w:sz w:val="24"/>
          <w:szCs w:val="24"/>
        </w:rPr>
        <w:sym w:font="Symbol" w:char="F06D"/>
      </w:r>
      <w:r w:rsidRPr="00343901">
        <w:rPr>
          <w:rFonts w:ascii="Book Antiqua" w:hAnsi="Book Antiqua"/>
          <w:sz w:val="24"/>
          <w:szCs w:val="24"/>
        </w:rPr>
        <w:t xml:space="preserve">M </w:t>
      </w:r>
      <w:bookmarkStart w:id="15" w:name="OLE_LINK29"/>
      <w:bookmarkStart w:id="16" w:name="OLE_LINK28"/>
      <w:r w:rsidRPr="00343901">
        <w:rPr>
          <w:rFonts w:ascii="Book Antiqua" w:hAnsi="Book Antiqua"/>
          <w:sz w:val="24"/>
          <w:szCs w:val="24"/>
        </w:rPr>
        <w:t>paroxetine</w:t>
      </w:r>
      <w:bookmarkEnd w:id="15"/>
      <w:bookmarkEnd w:id="16"/>
      <w:r w:rsidRPr="00343901">
        <w:rPr>
          <w:rFonts w:ascii="Book Antiqua" w:hAnsi="Book Antiqua"/>
          <w:sz w:val="24"/>
          <w:szCs w:val="24"/>
        </w:rPr>
        <w:t xml:space="preserve">, a SERT inhibitor (Enzo, Farmingdale, NY, </w:t>
      </w:r>
      <w:r w:rsidR="00BE208D">
        <w:rPr>
          <w:rFonts w:ascii="Book Antiqua" w:hAnsi="Book Antiqua"/>
          <w:sz w:val="24"/>
          <w:szCs w:val="24"/>
        </w:rPr>
        <w:t>United States</w:t>
      </w:r>
      <w:r w:rsidRPr="00343901">
        <w:rPr>
          <w:rFonts w:ascii="Book Antiqua" w:hAnsi="Book Antiqua"/>
          <w:sz w:val="24"/>
          <w:szCs w:val="24"/>
        </w:rPr>
        <w:t xml:space="preserve">), from the total uptake. </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Statistics</w:t>
      </w:r>
    </w:p>
    <w:p w:rsidR="00EC7D98" w:rsidRPr="00343901" w:rsidRDefault="00EC7D98" w:rsidP="00BC503B">
      <w:pPr>
        <w:tabs>
          <w:tab w:val="left" w:pos="2760"/>
        </w:tabs>
        <w:adjustRightInd w:val="0"/>
        <w:snapToGrid w:val="0"/>
        <w:spacing w:line="360" w:lineRule="auto"/>
        <w:rPr>
          <w:rFonts w:ascii="Book Antiqua" w:hAnsi="Book Antiqua"/>
          <w:sz w:val="24"/>
          <w:szCs w:val="24"/>
        </w:rPr>
      </w:pPr>
      <w:r w:rsidRPr="00343901">
        <w:rPr>
          <w:rFonts w:ascii="Book Antiqua" w:hAnsi="Book Antiqua"/>
          <w:sz w:val="24"/>
          <w:szCs w:val="24"/>
        </w:rPr>
        <w:t xml:space="preserve">The data were analyzed using SPSS 18.0 software (SPSS Inc., Chicago, IL, </w:t>
      </w:r>
      <w:r w:rsidR="00BE208D">
        <w:rPr>
          <w:rFonts w:ascii="Book Antiqua" w:hAnsi="Book Antiqua"/>
          <w:sz w:val="24"/>
          <w:szCs w:val="24"/>
        </w:rPr>
        <w:t>United States</w:t>
      </w:r>
      <w:r w:rsidRPr="00343901">
        <w:rPr>
          <w:rFonts w:ascii="Book Antiqua" w:hAnsi="Book Antiqua"/>
          <w:sz w:val="24"/>
          <w:szCs w:val="24"/>
        </w:rPr>
        <w:t xml:space="preserve">). Results are expressed as mean ± SD. Two-tailed Student’s </w:t>
      </w:r>
      <w:r w:rsidRPr="00343901">
        <w:rPr>
          <w:rFonts w:ascii="Book Antiqua" w:hAnsi="Book Antiqua"/>
          <w:i/>
          <w:sz w:val="24"/>
          <w:szCs w:val="24"/>
        </w:rPr>
        <w:t>t</w:t>
      </w:r>
      <w:r w:rsidRPr="00343901">
        <w:rPr>
          <w:rFonts w:ascii="Book Antiqua" w:hAnsi="Book Antiqua"/>
          <w:sz w:val="24"/>
          <w:szCs w:val="24"/>
        </w:rPr>
        <w:t xml:space="preserve"> tests were used to analyze differences between two mean values. Two-way repeated measures analysis of variance (</w:t>
      </w:r>
      <w:bookmarkStart w:id="17" w:name="OLE_LINK21"/>
      <w:bookmarkStart w:id="18" w:name="OLE_LINK20"/>
      <w:r w:rsidRPr="00343901">
        <w:rPr>
          <w:rFonts w:ascii="Book Antiqua" w:hAnsi="Book Antiqua"/>
          <w:sz w:val="24"/>
          <w:szCs w:val="24"/>
        </w:rPr>
        <w:t>ANOVA</w:t>
      </w:r>
      <w:bookmarkEnd w:id="17"/>
      <w:bookmarkEnd w:id="18"/>
      <w:r w:rsidRPr="00343901">
        <w:rPr>
          <w:rFonts w:ascii="Book Antiqua" w:hAnsi="Book Antiqua"/>
          <w:sz w:val="24"/>
          <w:szCs w:val="24"/>
        </w:rPr>
        <w:t>) was used to evaluate whether the AWR scores and/or EMG area under the curves were altered in the test and/or control groups at different pressures. The remaining data were</w:t>
      </w:r>
      <w:r w:rsidRPr="00343901">
        <w:rPr>
          <w:rFonts w:ascii="Book Antiqua" w:hAnsi="Book Antiqua"/>
          <w:b/>
          <w:sz w:val="24"/>
          <w:szCs w:val="24"/>
        </w:rPr>
        <w:t xml:space="preserve"> </w:t>
      </w:r>
      <w:r w:rsidRPr="00343901">
        <w:rPr>
          <w:rFonts w:ascii="Book Antiqua" w:hAnsi="Book Antiqua"/>
          <w:sz w:val="24"/>
          <w:szCs w:val="24"/>
        </w:rPr>
        <w:t xml:space="preserve">analyzed using one-way ANOVAs. Values were considered statistically significant if </w:t>
      </w:r>
      <w:r w:rsidRPr="00343901">
        <w:rPr>
          <w:rFonts w:ascii="Book Antiqua" w:hAnsi="Book Antiqua"/>
          <w:i/>
          <w:sz w:val="24"/>
          <w:szCs w:val="24"/>
        </w:rPr>
        <w:t>P</w:t>
      </w:r>
      <w:r w:rsidRPr="00343901">
        <w:rPr>
          <w:rFonts w:ascii="Book Antiqua" w:hAnsi="Book Antiqua"/>
          <w:sz w:val="24"/>
          <w:szCs w:val="24"/>
        </w:rPr>
        <w:t xml:space="preserve"> was &lt; 0.05. </w:t>
      </w:r>
    </w:p>
    <w:p w:rsidR="00EC7D98" w:rsidRPr="00343901" w:rsidRDefault="00EC7D98"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 xml:space="preserve">RESULTS </w:t>
      </w:r>
    </w:p>
    <w:p w:rsidR="00EC7D98" w:rsidRPr="00343901" w:rsidRDefault="00EC7D98" w:rsidP="00BC503B">
      <w:pPr>
        <w:adjustRightInd w:val="0"/>
        <w:snapToGrid w:val="0"/>
        <w:spacing w:line="360" w:lineRule="auto"/>
        <w:rPr>
          <w:rFonts w:ascii="Book Antiqua" w:hAnsi="Book Antiqua"/>
          <w:b/>
          <w:i/>
          <w:sz w:val="24"/>
          <w:szCs w:val="24"/>
        </w:rPr>
      </w:pPr>
      <w:bookmarkStart w:id="19" w:name="OLE_LINK31"/>
      <w:bookmarkStart w:id="20" w:name="OLE_LINK30"/>
      <w:r w:rsidRPr="00343901">
        <w:rPr>
          <w:rFonts w:ascii="Book Antiqua" w:hAnsi="Book Antiqua"/>
          <w:b/>
          <w:i/>
          <w:sz w:val="24"/>
          <w:szCs w:val="24"/>
        </w:rPr>
        <w:t>Visceral hypersensitivity development after neonatal colonic sensitization</w:t>
      </w:r>
      <w:bookmarkEnd w:id="19"/>
      <w:bookmarkEnd w:id="20"/>
      <w:r w:rsidRPr="00343901">
        <w:rPr>
          <w:rFonts w:ascii="Book Antiqua" w:hAnsi="Book Antiqua"/>
          <w:b/>
          <w:i/>
          <w:sz w:val="24"/>
          <w:szCs w:val="24"/>
        </w:rPr>
        <w:t xml:space="preserve"> </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Neonatal rats (</w:t>
      </w:r>
      <w:r w:rsidRPr="00343901">
        <w:rPr>
          <w:rFonts w:ascii="Book Antiqua" w:hAnsi="Book Antiqua"/>
          <w:i/>
          <w:sz w:val="24"/>
          <w:szCs w:val="24"/>
        </w:rPr>
        <w:t>n</w:t>
      </w:r>
      <w:r w:rsidRPr="00343901">
        <w:rPr>
          <w:rFonts w:ascii="Book Antiqua" w:hAnsi="Book Antiqua"/>
          <w:sz w:val="24"/>
          <w:szCs w:val="24"/>
        </w:rPr>
        <w:t xml:space="preserve"> = 10) treated with 0.5% acetic acid developed visceral </w:t>
      </w:r>
      <w:r w:rsidRPr="00343901">
        <w:rPr>
          <w:rFonts w:ascii="Book Antiqua" w:hAnsi="Book Antiqua"/>
          <w:sz w:val="24"/>
          <w:szCs w:val="24"/>
        </w:rPr>
        <w:lastRenderedPageBreak/>
        <w:t>hypersensitivity. Compared with the control rats (</w:t>
      </w:r>
      <w:r w:rsidRPr="00343901">
        <w:rPr>
          <w:rFonts w:ascii="Book Antiqua" w:hAnsi="Book Antiqua"/>
          <w:i/>
          <w:sz w:val="24"/>
          <w:szCs w:val="24"/>
        </w:rPr>
        <w:t>n</w:t>
      </w:r>
      <w:r w:rsidRPr="00343901">
        <w:rPr>
          <w:rFonts w:ascii="Book Antiqua" w:hAnsi="Book Antiqua"/>
          <w:sz w:val="24"/>
          <w:szCs w:val="24"/>
        </w:rPr>
        <w:t xml:space="preserve"> = 10), the AWR scores in the acetic acid-treated rats were higher during CRD at all tested distension pressures (Figure 1A). These differences were significant at distension pressures of 40 mmHg (</w:t>
      </w:r>
      <w:r w:rsidRPr="00343901">
        <w:rPr>
          <w:rFonts w:ascii="Book Antiqua" w:hAnsi="Book Antiqua"/>
          <w:i/>
          <w:sz w:val="24"/>
          <w:szCs w:val="24"/>
        </w:rPr>
        <w:t xml:space="preserve">P </w:t>
      </w:r>
      <w:r w:rsidRPr="00343901">
        <w:rPr>
          <w:rFonts w:ascii="Book Antiqua" w:hAnsi="Book Antiqua"/>
          <w:sz w:val="24"/>
          <w:szCs w:val="24"/>
        </w:rPr>
        <w:t>&lt; 0.01) and 60 mmHg (</w:t>
      </w:r>
      <w:r w:rsidRPr="00343901">
        <w:rPr>
          <w:rFonts w:ascii="Book Antiqua" w:hAnsi="Book Antiqua"/>
          <w:i/>
          <w:sz w:val="24"/>
          <w:szCs w:val="24"/>
        </w:rPr>
        <w:t xml:space="preserve">P </w:t>
      </w:r>
      <w:r w:rsidRPr="00343901">
        <w:rPr>
          <w:rFonts w:ascii="Book Antiqua" w:hAnsi="Book Antiqua"/>
          <w:sz w:val="24"/>
          <w:szCs w:val="24"/>
        </w:rPr>
        <w:t>&lt; 0.05). Similar to the AWR results, acetic acid-treated rats showed increased EMG responses to CRD at three distension pressures tested (Figure 1B). The EMG area under the curve of the acetic acid-treated rats was significantly higher compared to the controls at 40 mmHg (</w:t>
      </w:r>
      <w:r w:rsidRPr="00343901">
        <w:rPr>
          <w:rFonts w:ascii="Book Antiqua" w:hAnsi="Book Antiqua"/>
          <w:i/>
          <w:sz w:val="24"/>
          <w:szCs w:val="24"/>
        </w:rPr>
        <w:t xml:space="preserve">P </w:t>
      </w:r>
      <w:r w:rsidRPr="00343901">
        <w:rPr>
          <w:rFonts w:ascii="Book Antiqua" w:hAnsi="Book Antiqua"/>
          <w:sz w:val="24"/>
          <w:szCs w:val="24"/>
        </w:rPr>
        <w:t>&lt; 0.05), 60 mmHg (</w:t>
      </w:r>
      <w:r w:rsidRPr="00343901">
        <w:rPr>
          <w:rFonts w:ascii="Book Antiqua" w:hAnsi="Book Antiqua"/>
          <w:i/>
          <w:sz w:val="24"/>
          <w:szCs w:val="24"/>
        </w:rPr>
        <w:t xml:space="preserve">P </w:t>
      </w:r>
      <w:r w:rsidRPr="00343901">
        <w:rPr>
          <w:rFonts w:ascii="Book Antiqua" w:hAnsi="Book Antiqua"/>
          <w:sz w:val="24"/>
          <w:szCs w:val="24"/>
        </w:rPr>
        <w:t>&lt; 0.01), and 80 mmHg (</w:t>
      </w:r>
      <w:r w:rsidRPr="00343901">
        <w:rPr>
          <w:rFonts w:ascii="Book Antiqua" w:hAnsi="Book Antiqua"/>
          <w:i/>
          <w:sz w:val="24"/>
          <w:szCs w:val="24"/>
        </w:rPr>
        <w:t xml:space="preserve">P </w:t>
      </w:r>
      <w:r w:rsidRPr="00343901">
        <w:rPr>
          <w:rFonts w:ascii="Book Antiqua" w:hAnsi="Book Antiqua"/>
          <w:sz w:val="24"/>
          <w:szCs w:val="24"/>
        </w:rPr>
        <w:t>&lt; 0.01) (Figure 1C). No evidence of inflammation or structural abnormalities was found in the control or acetic acid–treated rats</w:t>
      </w:r>
      <w:r w:rsidRPr="00343901">
        <w:rPr>
          <w:rFonts w:ascii="Book Antiqua" w:hAnsi="Book Antiqua"/>
          <w:b/>
          <w:sz w:val="24"/>
          <w:szCs w:val="24"/>
        </w:rPr>
        <w:t>,</w:t>
      </w:r>
      <w:r w:rsidRPr="00343901">
        <w:rPr>
          <w:rFonts w:ascii="Book Antiqua" w:hAnsi="Book Antiqua"/>
          <w:sz w:val="24"/>
          <w:szCs w:val="24"/>
        </w:rPr>
        <w:t xml:space="preserve"> indicating successful establishment of visceral hypersensitivity.</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 xml:space="preserve">EGF levels in plasma and colon tissues were lower in rats with chronic visceral hypersensitivity </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ELISA was used to detect any potential differences in EGF levels between the visceral hypersensitive and control group rats. As shown in Figure 2A, the visceral-sensitized rats had significantly lower plasma EGF levels compared with control rats (2.639 ± 0.107 </w:t>
      </w:r>
      <w:r w:rsidR="0026079B" w:rsidRPr="00343901">
        <w:rPr>
          <w:rFonts w:ascii="Book Antiqua" w:hAnsi="Book Antiqua"/>
          <w:sz w:val="24"/>
          <w:szCs w:val="24"/>
        </w:rPr>
        <w:t>ng/mL</w:t>
      </w:r>
      <w:r w:rsidR="0026079B" w:rsidRPr="00343901">
        <w:rPr>
          <w:rFonts w:ascii="Book Antiqua" w:hAnsi="Book Antiqua"/>
          <w:i/>
          <w:sz w:val="24"/>
          <w:szCs w:val="24"/>
        </w:rPr>
        <w:t xml:space="preserve"> </w:t>
      </w:r>
      <w:r w:rsidR="00343901" w:rsidRPr="00343901">
        <w:rPr>
          <w:rFonts w:ascii="Book Antiqua" w:hAnsi="Book Antiqua"/>
          <w:i/>
          <w:sz w:val="24"/>
          <w:szCs w:val="24"/>
        </w:rPr>
        <w:t>vs</w:t>
      </w:r>
      <w:r w:rsidRPr="00343901">
        <w:rPr>
          <w:rFonts w:ascii="Book Antiqua" w:hAnsi="Book Antiqua"/>
          <w:sz w:val="24"/>
          <w:szCs w:val="24"/>
        </w:rPr>
        <w:t xml:space="preserve"> 4.066 ± 0.573 ng/mL; </w:t>
      </w:r>
      <w:r w:rsidRPr="00343901">
        <w:rPr>
          <w:rFonts w:ascii="Book Antiqua" w:hAnsi="Book Antiqua"/>
          <w:i/>
          <w:sz w:val="24"/>
          <w:szCs w:val="24"/>
        </w:rPr>
        <w:t xml:space="preserve">P </w:t>
      </w:r>
      <w:r w:rsidRPr="00343901">
        <w:rPr>
          <w:rFonts w:ascii="Book Antiqua" w:hAnsi="Book Antiqua"/>
          <w:sz w:val="24"/>
          <w:szCs w:val="24"/>
        </w:rPr>
        <w:t xml:space="preserve">&lt; 0.01). The EGF levels in colon tissue from visceral-sensitized rats were also significantly decreased compared with control rats (3.244 ± 0.135 </w:t>
      </w:r>
      <w:r w:rsidR="0026079B" w:rsidRPr="00343901">
        <w:rPr>
          <w:rFonts w:ascii="Book Antiqua" w:hAnsi="Book Antiqua"/>
          <w:sz w:val="24"/>
          <w:szCs w:val="24"/>
        </w:rPr>
        <w:t>ng/100 mg</w:t>
      </w:r>
      <w:r w:rsidR="0026079B" w:rsidRPr="00343901">
        <w:rPr>
          <w:rFonts w:ascii="Book Antiqua" w:hAnsi="Book Antiqua"/>
          <w:i/>
          <w:sz w:val="24"/>
          <w:szCs w:val="24"/>
        </w:rPr>
        <w:t xml:space="preserve"> </w:t>
      </w:r>
      <w:r w:rsidR="00343901" w:rsidRPr="00343901">
        <w:rPr>
          <w:rFonts w:ascii="Book Antiqua" w:hAnsi="Book Antiqua"/>
          <w:i/>
          <w:sz w:val="24"/>
          <w:szCs w:val="24"/>
        </w:rPr>
        <w:t>vs</w:t>
      </w:r>
      <w:r w:rsidRPr="00343901">
        <w:rPr>
          <w:rFonts w:ascii="Book Antiqua" w:hAnsi="Book Antiqua"/>
          <w:i/>
          <w:sz w:val="24"/>
          <w:szCs w:val="24"/>
        </w:rPr>
        <w:t xml:space="preserve"> </w:t>
      </w:r>
      <w:r w:rsidRPr="00343901">
        <w:rPr>
          <w:rFonts w:ascii="Book Antiqua" w:hAnsi="Book Antiqua"/>
          <w:sz w:val="24"/>
          <w:szCs w:val="24"/>
        </w:rPr>
        <w:t xml:space="preserve">3.582 ± 0.197 ng/100 mg colon tissue; </w:t>
      </w:r>
      <w:r w:rsidRPr="00343901">
        <w:rPr>
          <w:rFonts w:ascii="Book Antiqua" w:hAnsi="Book Antiqua"/>
          <w:i/>
          <w:sz w:val="24"/>
          <w:szCs w:val="24"/>
        </w:rPr>
        <w:t xml:space="preserve">P </w:t>
      </w:r>
      <w:r w:rsidRPr="00343901">
        <w:rPr>
          <w:rFonts w:ascii="Book Antiqua" w:hAnsi="Book Antiqua"/>
          <w:sz w:val="24"/>
          <w:szCs w:val="24"/>
        </w:rPr>
        <w:t>&lt; 0.01) (Figure 2B).</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Expression of SERT in colon tissues decreased in rats with chronic visceral hypersensitivity</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Western blot analysis showed a decrease in SERT protein levels in colon tissue of the visceral-sensitized rats (Figure 3). Analysis of the relationship between EGF and SERT levels in colon tissue showed a positive correlation (</w:t>
      </w:r>
      <w:r w:rsidR="00343901" w:rsidRPr="00343901">
        <w:rPr>
          <w:rFonts w:ascii="Book Antiqua" w:hAnsi="Book Antiqua"/>
          <w:i/>
          <w:sz w:val="24"/>
          <w:szCs w:val="24"/>
        </w:rPr>
        <w:t>r =</w:t>
      </w:r>
      <w:r w:rsidRPr="00343901">
        <w:rPr>
          <w:rFonts w:ascii="Book Antiqua" w:hAnsi="Book Antiqua"/>
          <w:sz w:val="24"/>
          <w:szCs w:val="24"/>
        </w:rPr>
        <w:t xml:space="preserve"> 0.820,</w:t>
      </w:r>
      <w:r w:rsidRPr="00343901">
        <w:rPr>
          <w:rFonts w:ascii="Book Antiqua" w:hAnsi="Book Antiqua"/>
          <w:i/>
          <w:sz w:val="24"/>
          <w:szCs w:val="24"/>
        </w:rPr>
        <w:t xml:space="preserve"> P </w:t>
      </w:r>
      <w:r w:rsidR="00030078">
        <w:rPr>
          <w:rFonts w:ascii="Book Antiqua" w:hAnsi="Book Antiqua"/>
          <w:sz w:val="24"/>
          <w:szCs w:val="24"/>
        </w:rPr>
        <w:t>&lt; 0.</w:t>
      </w:r>
      <w:r w:rsidRPr="00343901">
        <w:rPr>
          <w:rFonts w:ascii="Book Antiqua" w:hAnsi="Book Antiqua"/>
          <w:sz w:val="24"/>
          <w:szCs w:val="24"/>
        </w:rPr>
        <w:t>01).</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Effects of EGF on SERT expression and function in intestinal epithelial cells</w:t>
      </w:r>
    </w:p>
    <w:p w:rsidR="00EC7D98" w:rsidRPr="00343901" w:rsidRDefault="00EC7D98" w:rsidP="00BC503B">
      <w:pPr>
        <w:adjustRightInd w:val="0"/>
        <w:snapToGrid w:val="0"/>
        <w:spacing w:line="360" w:lineRule="auto"/>
        <w:rPr>
          <w:rFonts w:ascii="Book Antiqua" w:hAnsi="Book Antiqua"/>
          <w:kern w:val="0"/>
          <w:sz w:val="24"/>
          <w:szCs w:val="24"/>
        </w:rPr>
      </w:pPr>
      <w:r w:rsidRPr="00343901">
        <w:rPr>
          <w:rFonts w:ascii="Book Antiqua" w:hAnsi="Book Antiqua"/>
          <w:sz w:val="24"/>
          <w:szCs w:val="24"/>
        </w:rPr>
        <w:t xml:space="preserve">To observe the effect of EGF on SERT levels, IEC-6 cells were treated with various concentrations of EGF for 24 h followed by western blot analysis of SERT protein levels. Our results indicate that EGF upregulates SERT in a dose-dependent manner, </w:t>
      </w:r>
      <w:r w:rsidRPr="00343901">
        <w:rPr>
          <w:rFonts w:ascii="Book Antiqua" w:hAnsi="Book Antiqua"/>
          <w:sz w:val="24"/>
          <w:szCs w:val="24"/>
        </w:rPr>
        <w:lastRenderedPageBreak/>
        <w:t xml:space="preserve">with a peak at a dose of 40 ng/mL (Figure 4A). IEC-6 cells were also treated with the optimal dose of EGF (40 ng/mL) for 0, 3, 6, 12, 24, or 48 h. SERT expression was upregulated after a 12 h EGF treatment, with maximal effects after 24–48 h </w:t>
      </w:r>
      <w:r w:rsidRPr="00343901">
        <w:rPr>
          <w:rFonts w:ascii="Book Antiqua" w:hAnsi="Book Antiqua"/>
          <w:kern w:val="0"/>
          <w:sz w:val="24"/>
          <w:szCs w:val="24"/>
        </w:rPr>
        <w:t>(</w:t>
      </w:r>
      <w:r w:rsidRPr="00343901">
        <w:rPr>
          <w:rFonts w:ascii="Book Antiqua" w:hAnsi="Book Antiqua"/>
          <w:sz w:val="24"/>
          <w:szCs w:val="24"/>
        </w:rPr>
        <w:t>Figure 4C</w:t>
      </w:r>
      <w:r w:rsidRPr="00343901">
        <w:rPr>
          <w:rFonts w:ascii="Book Antiqua" w:hAnsi="Book Antiqua"/>
          <w:kern w:val="0"/>
          <w:sz w:val="24"/>
          <w:szCs w:val="24"/>
        </w:rPr>
        <w:t xml:space="preserve">). The real-time PCR analysis of </w:t>
      </w:r>
      <w:r w:rsidRPr="00343901">
        <w:rPr>
          <w:rFonts w:ascii="Book Antiqua" w:hAnsi="Book Antiqua"/>
          <w:sz w:val="24"/>
          <w:szCs w:val="24"/>
        </w:rPr>
        <w:t xml:space="preserve">the EGF effects on SERT gene expression showed that EGF </w:t>
      </w:r>
      <w:r w:rsidRPr="00343901">
        <w:rPr>
          <w:rFonts w:ascii="Book Antiqua" w:hAnsi="Book Antiqua"/>
          <w:kern w:val="0"/>
          <w:sz w:val="24"/>
          <w:szCs w:val="24"/>
        </w:rPr>
        <w:t>increased</w:t>
      </w:r>
      <w:r w:rsidRPr="00343901">
        <w:rPr>
          <w:rFonts w:ascii="Book Antiqua" w:hAnsi="Book Antiqua"/>
          <w:sz w:val="24"/>
          <w:szCs w:val="24"/>
        </w:rPr>
        <w:t xml:space="preserve"> SERT mRNA</w:t>
      </w:r>
      <w:r w:rsidRPr="00343901">
        <w:rPr>
          <w:rFonts w:ascii="Book Antiqua" w:hAnsi="Book Antiqua"/>
          <w:kern w:val="0"/>
          <w:sz w:val="24"/>
          <w:szCs w:val="24"/>
        </w:rPr>
        <w:t xml:space="preserve"> expression</w:t>
      </w:r>
      <w:r w:rsidRPr="00343901">
        <w:rPr>
          <w:rFonts w:ascii="Book Antiqua" w:hAnsi="Book Antiqua"/>
          <w:sz w:val="24"/>
          <w:szCs w:val="24"/>
        </w:rPr>
        <w:t xml:space="preserve"> in a dose- and time-dependent </w:t>
      </w:r>
      <w:r w:rsidRPr="00343901">
        <w:rPr>
          <w:rFonts w:ascii="Book Antiqua" w:hAnsi="Book Antiqua"/>
          <w:kern w:val="0"/>
          <w:sz w:val="24"/>
          <w:szCs w:val="24"/>
        </w:rPr>
        <w:t>manner</w:t>
      </w:r>
      <w:r w:rsidRPr="00343901">
        <w:rPr>
          <w:rFonts w:ascii="Book Antiqua" w:hAnsi="Book Antiqua"/>
          <w:sz w:val="24"/>
          <w:szCs w:val="24"/>
        </w:rPr>
        <w:t xml:space="preserve"> in IEC-6 cells </w:t>
      </w:r>
      <w:r w:rsidRPr="00343901">
        <w:rPr>
          <w:rFonts w:ascii="Book Antiqua" w:hAnsi="Book Antiqua"/>
          <w:kern w:val="0"/>
          <w:sz w:val="24"/>
          <w:szCs w:val="24"/>
        </w:rPr>
        <w:t>(</w:t>
      </w:r>
      <w:r w:rsidRPr="00343901">
        <w:rPr>
          <w:rFonts w:ascii="Book Antiqua" w:hAnsi="Book Antiqua"/>
          <w:sz w:val="24"/>
          <w:szCs w:val="24"/>
        </w:rPr>
        <w:t>Figure 4B,</w:t>
      </w:r>
      <w:r w:rsidR="00E86CC2">
        <w:rPr>
          <w:rFonts w:ascii="Book Antiqua" w:hAnsi="Book Antiqua" w:hint="eastAsia"/>
          <w:sz w:val="24"/>
          <w:szCs w:val="24"/>
        </w:rPr>
        <w:t xml:space="preserve"> </w:t>
      </w:r>
      <w:r w:rsidRPr="00343901">
        <w:rPr>
          <w:rFonts w:ascii="Book Antiqua" w:hAnsi="Book Antiqua"/>
          <w:sz w:val="24"/>
          <w:szCs w:val="24"/>
        </w:rPr>
        <w:t>D</w:t>
      </w:r>
      <w:r w:rsidRPr="00343901">
        <w:rPr>
          <w:rFonts w:ascii="Book Antiqua" w:hAnsi="Book Antiqua"/>
          <w:kern w:val="0"/>
          <w:sz w:val="24"/>
          <w:szCs w:val="24"/>
        </w:rPr>
        <w:t>).</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A [</w:t>
      </w:r>
      <w:r w:rsidRPr="00343901">
        <w:rPr>
          <w:rFonts w:ascii="Book Antiqua" w:hAnsi="Book Antiqua"/>
          <w:sz w:val="24"/>
          <w:szCs w:val="24"/>
          <w:vertAlign w:val="superscript"/>
        </w:rPr>
        <w:t>3</w:t>
      </w:r>
      <w:r w:rsidRPr="00343901">
        <w:rPr>
          <w:rFonts w:ascii="Book Antiqua" w:hAnsi="Book Antiqua"/>
          <w:sz w:val="24"/>
          <w:szCs w:val="24"/>
        </w:rPr>
        <w:t>H]-5-HT uptake assay</w:t>
      </w:r>
      <w:r w:rsidRPr="00343901" w:rsidDel="00EE44D3">
        <w:rPr>
          <w:rFonts w:ascii="Book Antiqua" w:hAnsi="Book Antiqua"/>
          <w:sz w:val="24"/>
          <w:szCs w:val="24"/>
        </w:rPr>
        <w:t xml:space="preserve"> </w:t>
      </w:r>
      <w:r w:rsidRPr="00343901">
        <w:rPr>
          <w:rFonts w:ascii="Book Antiqua" w:hAnsi="Book Antiqua"/>
          <w:sz w:val="24"/>
          <w:szCs w:val="24"/>
        </w:rPr>
        <w:t>was used to determine whether the high SERT expression, induced by EGF, influenced the reuptake activity of SERT in IEC-6 cells. Uptake of [</w:t>
      </w:r>
      <w:r w:rsidRPr="00343901">
        <w:rPr>
          <w:rFonts w:ascii="Book Antiqua" w:hAnsi="Book Antiqua"/>
          <w:sz w:val="24"/>
          <w:szCs w:val="24"/>
          <w:vertAlign w:val="superscript"/>
        </w:rPr>
        <w:t>3</w:t>
      </w:r>
      <w:r w:rsidRPr="00343901">
        <w:rPr>
          <w:rFonts w:ascii="Book Antiqua" w:hAnsi="Book Antiqua"/>
          <w:sz w:val="24"/>
          <w:szCs w:val="24"/>
        </w:rPr>
        <w:t xml:space="preserve">H]-5-HT was significantly higher in cells pre-treated with EGF (40 ng/mL) for 24 h than in the solvent controls (592.908 ± 31.515 </w:t>
      </w:r>
      <w:r w:rsidR="0026079B" w:rsidRPr="00343901">
        <w:rPr>
          <w:rFonts w:ascii="Book Antiqua" w:hAnsi="Book Antiqua"/>
          <w:sz w:val="24"/>
          <w:szCs w:val="24"/>
        </w:rPr>
        <w:t>fmol/min</w:t>
      </w:r>
      <w:r w:rsidR="0026079B">
        <w:rPr>
          <w:rFonts w:ascii="Book Antiqua" w:hAnsi="Book Antiqua" w:hint="eastAsia"/>
          <w:sz w:val="24"/>
          <w:szCs w:val="24"/>
        </w:rPr>
        <w:t xml:space="preserve"> per </w:t>
      </w:r>
      <w:r w:rsidR="0026079B" w:rsidRPr="00343901">
        <w:rPr>
          <w:rFonts w:ascii="Book Antiqua" w:hAnsi="Book Antiqua"/>
          <w:sz w:val="24"/>
          <w:szCs w:val="24"/>
        </w:rPr>
        <w:t>milligram</w:t>
      </w:r>
      <w:r w:rsidR="0026079B" w:rsidRPr="00343901">
        <w:rPr>
          <w:rFonts w:ascii="Book Antiqua" w:hAnsi="Book Antiqua"/>
          <w:i/>
          <w:sz w:val="24"/>
          <w:szCs w:val="24"/>
        </w:rPr>
        <w:t xml:space="preserve"> </w:t>
      </w:r>
      <w:r w:rsidR="00343901" w:rsidRPr="00343901">
        <w:rPr>
          <w:rFonts w:ascii="Book Antiqua" w:hAnsi="Book Antiqua"/>
          <w:i/>
          <w:sz w:val="24"/>
          <w:szCs w:val="24"/>
        </w:rPr>
        <w:t>vs</w:t>
      </w:r>
      <w:r w:rsidRPr="00343901">
        <w:rPr>
          <w:rFonts w:ascii="Book Antiqua" w:hAnsi="Book Antiqua"/>
          <w:sz w:val="24"/>
          <w:szCs w:val="24"/>
        </w:rPr>
        <w:t xml:space="preserve"> 316.789 ± 85.652 </w:t>
      </w:r>
      <w:r w:rsidR="0026079B" w:rsidRPr="00343901">
        <w:rPr>
          <w:rFonts w:ascii="Book Antiqua" w:hAnsi="Book Antiqua"/>
          <w:sz w:val="24"/>
          <w:szCs w:val="24"/>
        </w:rPr>
        <w:t>fmol/min</w:t>
      </w:r>
      <w:r w:rsidR="0026079B">
        <w:rPr>
          <w:rFonts w:ascii="Book Antiqua" w:hAnsi="Book Antiqua" w:hint="eastAsia"/>
          <w:sz w:val="24"/>
          <w:szCs w:val="24"/>
        </w:rPr>
        <w:t xml:space="preserve"> per </w:t>
      </w:r>
      <w:r w:rsidR="0026079B" w:rsidRPr="00343901">
        <w:rPr>
          <w:rFonts w:ascii="Book Antiqua" w:hAnsi="Book Antiqua"/>
          <w:sz w:val="24"/>
          <w:szCs w:val="24"/>
        </w:rPr>
        <w:t>milligram</w:t>
      </w:r>
      <w:r w:rsidRPr="00343901">
        <w:rPr>
          <w:rFonts w:ascii="Book Antiqua" w:hAnsi="Book Antiqua"/>
          <w:sz w:val="24"/>
          <w:szCs w:val="24"/>
        </w:rPr>
        <w:t xml:space="preserve"> protein; </w:t>
      </w:r>
      <w:r w:rsidRPr="00343901">
        <w:rPr>
          <w:rFonts w:ascii="Book Antiqua" w:hAnsi="Book Antiqua"/>
          <w:i/>
          <w:sz w:val="24"/>
          <w:szCs w:val="24"/>
        </w:rPr>
        <w:t xml:space="preserve">P </w:t>
      </w:r>
      <w:r w:rsidRPr="00343901">
        <w:rPr>
          <w:rFonts w:ascii="Book Antiqua" w:hAnsi="Book Antiqua"/>
          <w:sz w:val="24"/>
          <w:szCs w:val="24"/>
        </w:rPr>
        <w:t>&lt; 0.05)</w:t>
      </w:r>
      <w:r w:rsidRPr="00343901">
        <w:rPr>
          <w:rFonts w:ascii="Book Antiqua" w:hAnsi="Book Antiqua"/>
          <w:b/>
          <w:sz w:val="24"/>
          <w:szCs w:val="24"/>
        </w:rPr>
        <w:t xml:space="preserve"> </w:t>
      </w:r>
      <w:r w:rsidRPr="00343901">
        <w:rPr>
          <w:rFonts w:ascii="Book Antiqua" w:hAnsi="Book Antiqua"/>
          <w:sz w:val="24"/>
          <w:szCs w:val="24"/>
        </w:rPr>
        <w:t xml:space="preserve">(Figure 4E). </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kern w:val="0"/>
          <w:sz w:val="24"/>
          <w:szCs w:val="24"/>
        </w:rPr>
      </w:pPr>
      <w:r w:rsidRPr="00343901">
        <w:rPr>
          <w:rFonts w:ascii="Book Antiqua" w:hAnsi="Book Antiqua"/>
          <w:b/>
          <w:i/>
          <w:sz w:val="24"/>
          <w:szCs w:val="24"/>
        </w:rPr>
        <w:t xml:space="preserve">Effects of EGF on SERT gene expression and function </w:t>
      </w:r>
      <w:r w:rsidR="0026079B" w:rsidRPr="0026079B">
        <w:rPr>
          <w:rFonts w:ascii="Book Antiqua" w:hAnsi="Book Antiqua"/>
          <w:b/>
          <w:i/>
          <w:sz w:val="24"/>
          <w:szCs w:val="24"/>
        </w:rPr>
        <w:t>via</w:t>
      </w:r>
      <w:r w:rsidRPr="00343901">
        <w:rPr>
          <w:rFonts w:ascii="Book Antiqua" w:hAnsi="Book Antiqua"/>
          <w:b/>
          <w:i/>
          <w:sz w:val="24"/>
          <w:szCs w:val="24"/>
        </w:rPr>
        <w:t xml:space="preserve"> EGFR</w:t>
      </w:r>
    </w:p>
    <w:p w:rsidR="00EC7D98" w:rsidRPr="00343901" w:rsidRDefault="00EC7D98" w:rsidP="00BC503B">
      <w:pPr>
        <w:adjustRightInd w:val="0"/>
        <w:snapToGrid w:val="0"/>
        <w:spacing w:line="360" w:lineRule="auto"/>
        <w:rPr>
          <w:rFonts w:ascii="Book Antiqua" w:hAnsi="Book Antiqua"/>
          <w:kern w:val="0"/>
          <w:sz w:val="24"/>
          <w:szCs w:val="24"/>
        </w:rPr>
      </w:pPr>
      <w:r w:rsidRPr="00343901">
        <w:rPr>
          <w:rFonts w:ascii="Book Antiqua" w:hAnsi="Book Antiqua"/>
          <w:sz w:val="24"/>
          <w:szCs w:val="24"/>
        </w:rPr>
        <w:t xml:space="preserve">To determine whether the effects of EGF on SERT expression and function were mediated </w:t>
      </w:r>
      <w:r w:rsidR="0026079B" w:rsidRPr="0026079B">
        <w:rPr>
          <w:rFonts w:ascii="Book Antiqua" w:hAnsi="Book Antiqua"/>
          <w:i/>
          <w:sz w:val="24"/>
          <w:szCs w:val="24"/>
        </w:rPr>
        <w:t>via</w:t>
      </w:r>
      <w:r w:rsidRPr="00343901">
        <w:rPr>
          <w:rFonts w:ascii="Book Antiqua" w:hAnsi="Book Antiqua"/>
          <w:sz w:val="24"/>
          <w:szCs w:val="24"/>
        </w:rPr>
        <w:t xml:space="preserve"> EGFR, IEC-6 cells were pre-treated with the EGFR kinase-specific inhibitor PD153035 (10 </w:t>
      </w:r>
      <w:r w:rsidRPr="00343901">
        <w:rPr>
          <w:rFonts w:ascii="Book Antiqua" w:hAnsi="Book Antiqua"/>
          <w:sz w:val="24"/>
          <w:szCs w:val="24"/>
        </w:rPr>
        <w:sym w:font="Symbol" w:char="F06D"/>
      </w:r>
      <w:r w:rsidR="0026079B">
        <w:rPr>
          <w:rFonts w:ascii="Book Antiqua" w:hAnsi="Book Antiqua" w:hint="eastAsia"/>
          <w:sz w:val="24"/>
          <w:szCs w:val="24"/>
        </w:rPr>
        <w:t>mol/L</w:t>
      </w:r>
      <w:r w:rsidRPr="00343901">
        <w:rPr>
          <w:rFonts w:ascii="Book Antiqua" w:hAnsi="Book Antiqua"/>
          <w:sz w:val="24"/>
          <w:szCs w:val="24"/>
        </w:rPr>
        <w:t xml:space="preserve">) for 30 min, followed by a 24 h treatment with EGF (40 ng/mL). The results show that PD153035 blocks the EGF upregulation of SERT expression (Figure 5A), suggesting that EGF upregulates SERT expression </w:t>
      </w:r>
      <w:r w:rsidR="0026079B" w:rsidRPr="0026079B">
        <w:rPr>
          <w:rFonts w:ascii="Book Antiqua" w:hAnsi="Book Antiqua"/>
          <w:i/>
          <w:sz w:val="24"/>
          <w:szCs w:val="24"/>
        </w:rPr>
        <w:t>via</w:t>
      </w:r>
      <w:r w:rsidRPr="00343901">
        <w:rPr>
          <w:rFonts w:ascii="Book Antiqua" w:hAnsi="Book Antiqua"/>
          <w:sz w:val="24"/>
          <w:szCs w:val="24"/>
        </w:rPr>
        <w:t xml:space="preserve"> EGFR.</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To investigate whether EGFR is also necessary for EGF to affect SERT reuptake activity, the [</w:t>
      </w:r>
      <w:r w:rsidRPr="00343901">
        <w:rPr>
          <w:rFonts w:ascii="Book Antiqua" w:hAnsi="Book Antiqua"/>
          <w:sz w:val="24"/>
          <w:szCs w:val="24"/>
          <w:vertAlign w:val="superscript"/>
        </w:rPr>
        <w:t>3</w:t>
      </w:r>
      <w:r w:rsidRPr="00343901">
        <w:rPr>
          <w:rFonts w:ascii="Book Antiqua" w:hAnsi="Book Antiqua"/>
          <w:sz w:val="24"/>
          <w:szCs w:val="24"/>
        </w:rPr>
        <w:t xml:space="preserve">H]-5-HT uptake assay was performed in the IEC-6 cells. PD153035 (10 </w:t>
      </w:r>
      <w:r w:rsidRPr="00343901">
        <w:rPr>
          <w:rFonts w:ascii="Book Antiqua" w:hAnsi="Book Antiqua"/>
          <w:sz w:val="24"/>
          <w:szCs w:val="24"/>
        </w:rPr>
        <w:sym w:font="Symbol" w:char="F06D"/>
      </w:r>
      <w:r w:rsidRPr="00343901">
        <w:rPr>
          <w:rFonts w:ascii="Book Antiqua" w:hAnsi="Book Antiqua"/>
          <w:sz w:val="24"/>
          <w:szCs w:val="24"/>
        </w:rPr>
        <w:t>M) pre-treatment abolished the EGF-induced increase in [</w:t>
      </w:r>
      <w:r w:rsidRPr="00343901">
        <w:rPr>
          <w:rFonts w:ascii="Book Antiqua" w:hAnsi="Book Antiqua"/>
          <w:sz w:val="24"/>
          <w:szCs w:val="24"/>
          <w:vertAlign w:val="superscript"/>
        </w:rPr>
        <w:t>3</w:t>
      </w:r>
      <w:r w:rsidRPr="00343901">
        <w:rPr>
          <w:rFonts w:ascii="Book Antiqua" w:hAnsi="Book Antiqua"/>
          <w:sz w:val="24"/>
          <w:szCs w:val="24"/>
        </w:rPr>
        <w:t xml:space="preserve">H]-5-HT uptake in IEC-6 cells (Figure 5B), suggesting that EGF influences SERT function in 5-HT uptake </w:t>
      </w:r>
      <w:r w:rsidR="0026079B" w:rsidRPr="0026079B">
        <w:rPr>
          <w:rFonts w:ascii="Book Antiqua" w:hAnsi="Book Antiqua"/>
          <w:i/>
          <w:sz w:val="24"/>
          <w:szCs w:val="24"/>
        </w:rPr>
        <w:t>via</w:t>
      </w:r>
      <w:r w:rsidRPr="00343901">
        <w:rPr>
          <w:rFonts w:ascii="Book Antiqua" w:hAnsi="Book Antiqua"/>
          <w:sz w:val="24"/>
          <w:szCs w:val="24"/>
        </w:rPr>
        <w:t xml:space="preserve"> EGFR.</w:t>
      </w:r>
    </w:p>
    <w:p w:rsidR="00EC7D98" w:rsidRPr="00343901" w:rsidRDefault="00EC7D98"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 xml:space="preserve">DISCUSSION </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The gastrointestinal tract is a major source of endogenous 5-HT, which regulates the gastrointestinal tract’s sensory, motor, and secretory functions through the interaction with different receptor subtypes. 5-HT is synthesized by tryptophan hydroxylases in enterochromaffin cells and in brainstem and myenteric plexus neurons. It is inactivated by SERT-mediated uptake into enterocytes or neurons. Recent studies have reported that patients with IBS have higher 5-HT levels and </w:t>
      </w:r>
      <w:r w:rsidRPr="00343901">
        <w:rPr>
          <w:rFonts w:ascii="Book Antiqua" w:hAnsi="Book Antiqua"/>
          <w:sz w:val="24"/>
          <w:szCs w:val="24"/>
        </w:rPr>
        <w:lastRenderedPageBreak/>
        <w:t>lower SERT gene expression in rectal mucosa compared with healthy controls</w:t>
      </w:r>
      <w:r w:rsidRPr="00343901">
        <w:rPr>
          <w:rFonts w:ascii="Book Antiqua" w:hAnsi="Book Antiqua"/>
          <w:sz w:val="24"/>
          <w:szCs w:val="24"/>
          <w:vertAlign w:val="superscript"/>
        </w:rPr>
        <w:t>[3,5]</w:t>
      </w:r>
      <w:r w:rsidRPr="00343901">
        <w:rPr>
          <w:rFonts w:ascii="Book Antiqua" w:hAnsi="Book Antiqua"/>
          <w:sz w:val="24"/>
          <w:szCs w:val="24"/>
        </w:rPr>
        <w:t>. These findings suggest that SERT may play an important role in the pathophysiology of IBS. In this study, SERT expression was decreased in colon tissues from visceral-sensitized rats, suggesting a potential association of SERT with sensitivity of the gastrointestinal tract.</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High expression of EGF in the gastrointestinal tract</w:t>
      </w:r>
      <w:r w:rsidRPr="00343901">
        <w:rPr>
          <w:rFonts w:ascii="Book Antiqua" w:hAnsi="Book Antiqua"/>
          <w:sz w:val="24"/>
          <w:szCs w:val="24"/>
          <w:vertAlign w:val="superscript"/>
        </w:rPr>
        <w:t>[26]</w:t>
      </w:r>
      <w:r w:rsidRPr="00343901">
        <w:rPr>
          <w:rFonts w:ascii="Book Antiqua" w:hAnsi="Book Antiqua"/>
          <w:sz w:val="24"/>
          <w:szCs w:val="24"/>
        </w:rPr>
        <w:t xml:space="preserve"> plays a vital role in the regulation of gastrointestinal function and protects epithelial cells from damage by various factors</w:t>
      </w:r>
      <w:r w:rsidRPr="00343901">
        <w:rPr>
          <w:rFonts w:ascii="Book Antiqua" w:hAnsi="Book Antiqua"/>
          <w:sz w:val="24"/>
          <w:szCs w:val="24"/>
          <w:vertAlign w:val="superscript"/>
        </w:rPr>
        <w:t>[27–29]</w:t>
      </w:r>
      <w:r w:rsidRPr="00343901">
        <w:rPr>
          <w:rFonts w:ascii="Book Antiqua" w:hAnsi="Book Antiqua"/>
          <w:sz w:val="24"/>
          <w:szCs w:val="24"/>
        </w:rPr>
        <w:t>. EGF has also been shown to upregulate SERT gene expression in human intestinal epithelial</w:t>
      </w:r>
      <w:r w:rsidRPr="00343901">
        <w:rPr>
          <w:rFonts w:ascii="Book Antiqua" w:hAnsi="Book Antiqua"/>
          <w:sz w:val="24"/>
          <w:szCs w:val="24"/>
          <w:vertAlign w:val="superscript"/>
        </w:rPr>
        <w:t>[11]</w:t>
      </w:r>
      <w:r w:rsidRPr="00343901">
        <w:rPr>
          <w:rFonts w:ascii="Book Antiqua" w:hAnsi="Book Antiqua"/>
          <w:sz w:val="24"/>
          <w:szCs w:val="24"/>
        </w:rPr>
        <w:t xml:space="preserve"> and glial cells</w:t>
      </w:r>
      <w:r w:rsidRPr="00343901">
        <w:rPr>
          <w:rFonts w:ascii="Book Antiqua" w:hAnsi="Book Antiqua"/>
          <w:sz w:val="24"/>
          <w:szCs w:val="24"/>
          <w:vertAlign w:val="superscript"/>
        </w:rPr>
        <w:t>[30]</w:t>
      </w:r>
      <w:r w:rsidRPr="00343901">
        <w:rPr>
          <w:rFonts w:ascii="Book Antiqua" w:hAnsi="Book Antiqua"/>
          <w:sz w:val="24"/>
          <w:szCs w:val="24"/>
        </w:rPr>
        <w:t xml:space="preserve">. In our preliminary study, the plasma EGF levels in IBS patients were significantly decreased compared with healthy controls (see supplemental Figure 1). Additionally, the levels of EGF in plasma and colon tissues of visceral-sensitized rats were significantly lower than in controls. Furthermore, the Pearson's correlation analysis showed a positive correlation between EGF and SERT protein levels. These results suggest that EGF may be involved in the development of visceral hypersensitivity </w:t>
      </w:r>
      <w:r w:rsidR="0026079B" w:rsidRPr="0026079B">
        <w:rPr>
          <w:rFonts w:ascii="Book Antiqua" w:hAnsi="Book Antiqua"/>
          <w:i/>
          <w:sz w:val="24"/>
          <w:szCs w:val="24"/>
        </w:rPr>
        <w:t>via</w:t>
      </w:r>
      <w:r w:rsidRPr="00343901">
        <w:rPr>
          <w:rFonts w:ascii="Book Antiqua" w:hAnsi="Book Antiqua"/>
          <w:sz w:val="24"/>
          <w:szCs w:val="24"/>
        </w:rPr>
        <w:t xml:space="preserve"> SERT-mediated 5-HT uptake into enterocytes. Consequently, one has to ask how EGF affects SERT gene expression and function. The results of the present study show that EGF upregulates SERT mRNA expression in a dose- and time-dependent manner, suggesting regulation is at the transcriptional level. EGF-stimulated SERT gene expression is known to be dependent on tyrosine kinase activation of EGFR in human choriocarcinoma cells</w:t>
      </w:r>
      <w:r w:rsidRPr="00343901">
        <w:rPr>
          <w:rFonts w:ascii="Book Antiqua" w:hAnsi="Book Antiqua"/>
          <w:sz w:val="24"/>
          <w:szCs w:val="24"/>
          <w:vertAlign w:val="superscript"/>
        </w:rPr>
        <w:t>[31]</w:t>
      </w:r>
      <w:r w:rsidRPr="00343901">
        <w:rPr>
          <w:rFonts w:ascii="Book Antiqua" w:hAnsi="Book Antiqua"/>
          <w:sz w:val="24"/>
          <w:szCs w:val="24"/>
        </w:rPr>
        <w:t xml:space="preserve">. In this study, inhibition of EGFR blocked the effect of EGF on SERT expression and function in IEC-6 cells, thus suggesting that EGF promotes SERT-mediated 5-HT uptake into enterocytes through EGFR binding. These results are in agreement with the report by Ravinder </w:t>
      </w:r>
      <w:r w:rsidR="0026079B">
        <w:rPr>
          <w:rFonts w:ascii="Book Antiqua" w:hAnsi="Book Antiqua"/>
          <w:i/>
          <w:sz w:val="24"/>
          <w:szCs w:val="24"/>
        </w:rPr>
        <w:t>et al</w:t>
      </w:r>
      <w:r w:rsidRPr="00343901">
        <w:rPr>
          <w:rFonts w:ascii="Book Antiqua" w:hAnsi="Book Antiqua"/>
          <w:sz w:val="24"/>
          <w:szCs w:val="24"/>
          <w:vertAlign w:val="superscript"/>
        </w:rPr>
        <w:t>[11]</w:t>
      </w:r>
      <w:r w:rsidRPr="00343901">
        <w:rPr>
          <w:rFonts w:ascii="Book Antiqua" w:hAnsi="Book Antiqua"/>
          <w:sz w:val="24"/>
          <w:szCs w:val="24"/>
        </w:rPr>
        <w:t>. EGF plays important roles in restoring tissue and enhancing SERT expression in intestinal epithelial cells; hence, promoting reuptake of 5-HT into enterocytes. Clinical studies support the beneficial effects of EGF in decreasing inflammation and diarrhea</w:t>
      </w:r>
      <w:r w:rsidRPr="00343901">
        <w:rPr>
          <w:rFonts w:ascii="Book Antiqua" w:hAnsi="Book Antiqua"/>
          <w:sz w:val="24"/>
          <w:szCs w:val="24"/>
          <w:vertAlign w:val="superscript"/>
        </w:rPr>
        <w:t>[32,33]</w:t>
      </w:r>
      <w:r w:rsidRPr="00343901">
        <w:rPr>
          <w:rFonts w:ascii="Book Antiqua" w:hAnsi="Book Antiqua"/>
          <w:sz w:val="24"/>
          <w:szCs w:val="24"/>
        </w:rPr>
        <w:t>. The beneficial effects of EGF, which may contribute to a change in visceral sensitivity, are worthy of further investigation.</w:t>
      </w:r>
    </w:p>
    <w:p w:rsidR="00EC7D98" w:rsidRPr="00343901" w:rsidRDefault="00EC7D98" w:rsidP="00BC503B">
      <w:pPr>
        <w:autoSpaceDE w:val="0"/>
        <w:autoSpaceDN w:val="0"/>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In summary, plasma EGF levels were decreased both in IBS patients and in visceral-sensitized</w:t>
      </w:r>
      <w:r w:rsidRPr="00343901" w:rsidDel="00833179">
        <w:rPr>
          <w:rFonts w:ascii="Book Antiqua" w:hAnsi="Book Antiqua"/>
          <w:sz w:val="24"/>
          <w:szCs w:val="24"/>
        </w:rPr>
        <w:t xml:space="preserve"> </w:t>
      </w:r>
      <w:r w:rsidRPr="00343901">
        <w:rPr>
          <w:rFonts w:ascii="Book Antiqua" w:hAnsi="Book Antiqua"/>
          <w:sz w:val="24"/>
          <w:szCs w:val="24"/>
        </w:rPr>
        <w:t xml:space="preserve">rats, and were correlated with SERT protein expression. </w:t>
      </w:r>
      <w:r w:rsidRPr="00343901">
        <w:rPr>
          <w:rFonts w:ascii="Book Antiqua" w:hAnsi="Book Antiqua"/>
          <w:sz w:val="24"/>
          <w:szCs w:val="24"/>
        </w:rPr>
        <w:lastRenderedPageBreak/>
        <w:t xml:space="preserve">Furthermore, treatment of cells with EGF upregulated SERT expression and function </w:t>
      </w:r>
      <w:r w:rsidR="0026079B" w:rsidRPr="0026079B">
        <w:rPr>
          <w:rFonts w:ascii="Book Antiqua" w:hAnsi="Book Antiqua"/>
          <w:i/>
          <w:sz w:val="24"/>
          <w:szCs w:val="24"/>
        </w:rPr>
        <w:t>via</w:t>
      </w:r>
      <w:r w:rsidRPr="00343901">
        <w:rPr>
          <w:rFonts w:ascii="Book Antiqua" w:hAnsi="Book Antiqua"/>
          <w:sz w:val="24"/>
          <w:szCs w:val="24"/>
        </w:rPr>
        <w:t xml:space="preserve"> EGFR. These results suggest that EGF downregulates SERT-mediated 5-HT uptake into enterocytes, potentially contributing to the development of visceral hypersensitivity.</w:t>
      </w:r>
    </w:p>
    <w:p w:rsidR="00EC7D98" w:rsidRPr="00343901" w:rsidRDefault="00EC7D98" w:rsidP="00BC503B">
      <w:pPr>
        <w:adjustRightInd w:val="0"/>
        <w:snapToGrid w:val="0"/>
        <w:spacing w:line="360" w:lineRule="auto"/>
        <w:ind w:firstLineChars="210" w:firstLine="504"/>
        <w:rPr>
          <w:rFonts w:ascii="Book Antiqua" w:hAnsi="Book Antiqua"/>
          <w:sz w:val="24"/>
          <w:szCs w:val="24"/>
        </w:rPr>
      </w:pPr>
      <w:r w:rsidRPr="00343901">
        <w:rPr>
          <w:rFonts w:ascii="Book Antiqua" w:hAnsi="Book Antiqua"/>
          <w:sz w:val="24"/>
          <w:szCs w:val="24"/>
        </w:rPr>
        <w:t xml:space="preserve">There are some limitations to this study. First, we did not confirm the findings concerning EGFR signaling on SERT expression and change of visceral hypersensitivity </w:t>
      </w:r>
      <w:r w:rsidRPr="00343901">
        <w:rPr>
          <w:rFonts w:ascii="Book Antiqua" w:hAnsi="Book Antiqua"/>
          <w:i/>
          <w:sz w:val="24"/>
          <w:szCs w:val="24"/>
        </w:rPr>
        <w:t>in vivo</w:t>
      </w:r>
      <w:r w:rsidRPr="00343901">
        <w:rPr>
          <w:rFonts w:ascii="Book Antiqua" w:hAnsi="Book Antiqua"/>
          <w:sz w:val="24"/>
          <w:szCs w:val="24"/>
        </w:rPr>
        <w:t>. Future studies are needed to use mice expressing dominant-negative EGFR point mutations to test whether the EGFR signaling pathway is involved in SERT expression and visceral hypersensitivity. Although accumulating evidence indicates that alterations in 5-HT signaling occurs in IBS, the underlying mechanism remains not well understood. Further studies are needed to better understand the pathogenesis of visceral hypersensitivity.</w:t>
      </w:r>
    </w:p>
    <w:p w:rsidR="00EC7D98" w:rsidRPr="00343901" w:rsidRDefault="00EC7D98" w:rsidP="00BC503B">
      <w:pPr>
        <w:adjustRightInd w:val="0"/>
        <w:snapToGrid w:val="0"/>
        <w:spacing w:line="360" w:lineRule="auto"/>
        <w:rPr>
          <w:rFonts w:ascii="Book Antiqua" w:hAnsi="Book Antiqua"/>
          <w:b/>
          <w:sz w:val="24"/>
          <w:szCs w:val="24"/>
        </w:rPr>
      </w:pP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COMMENTS</w:t>
      </w: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Background</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The pathogenesis of irritable bowel syndrome (IBS) remains poorly understood. Visceral hypersensitivity is the most likely culprit responsible for sensory abnormalities in IBS patients. Serotonergic signaling abnormalities are involved in the development of IBS. Serotonin transporter (SERT) gene expression is downregulated in the colon and rectal tissues of IBS patients. Epidermal growth factor (EGF) can upregulate 5-HT reuptake levels by increasing SERT expression.</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Research frontiers</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The visceral hypersensitivity plays an important role in the pathogenesis of IBS. However, the mechanism of visceral hypersensitivity formation remains unclear. Downregulation of SERT-mediated 5-HT uptake into enterocytes by EGF can potentially contribute to the development of visceral hypersensitivity.</w:t>
      </w:r>
    </w:p>
    <w:p w:rsidR="00EC7D98" w:rsidRPr="00343901" w:rsidRDefault="00EC7D98" w:rsidP="00BC503B">
      <w:pPr>
        <w:adjustRightInd w:val="0"/>
        <w:snapToGrid w:val="0"/>
        <w:spacing w:line="360" w:lineRule="auto"/>
        <w:ind w:firstLineChars="50" w:firstLine="120"/>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Innovations and breakthroughs</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There have been no studies evaluating the role that plasma EGF plays in the pathogenesis of IBS. This is the first study showing a significant decrease in the </w:t>
      </w:r>
      <w:r w:rsidRPr="00343901">
        <w:rPr>
          <w:rFonts w:ascii="Book Antiqua" w:hAnsi="Book Antiqua"/>
          <w:sz w:val="24"/>
          <w:szCs w:val="24"/>
        </w:rPr>
        <w:lastRenderedPageBreak/>
        <w:t>plasma level of EGF in IBS patients and rats with visceral hypersensitivity. Furthermore, SERT gene expression and protein activity were enhanced following treatment with EGF. Hence, a decrease in EGF levels may contribute to the formation of visceral hypersensitivity through downregulation of SERT-mediated 5-HT uptake into enterocytes.</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Applications</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The results of the study add to our understanding of EGF upregulation of SERT expression and function and its association with formation of visceral hypersensitivity. This may provide a future strategy for therapeutic intervention in the treatment of patients with IBS.</w:t>
      </w:r>
    </w:p>
    <w:p w:rsidR="00EC7D98" w:rsidRPr="00343901" w:rsidRDefault="00EC7D98" w:rsidP="00BC503B">
      <w:pPr>
        <w:adjustRightInd w:val="0"/>
        <w:snapToGrid w:val="0"/>
        <w:spacing w:line="360" w:lineRule="auto"/>
        <w:rPr>
          <w:rFonts w:ascii="Book Antiqua" w:hAnsi="Book Antiqua"/>
          <w:b/>
          <w:i/>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Terminology</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Altered 5-HT signaling in the gut contributes to visceral hypersensitivity of IBS. Downregulated expression and function of SERT is considered a pathophysiology of various functional gastrointestinal disorders, especially IBS. EGF can increase SERT expression and function in intestinal epithelial cells, consequently decreasing 5-HT levels, thus presenting a potential therapeutic effect for visceral hypersensitivity in IBS. </w:t>
      </w:r>
    </w:p>
    <w:p w:rsidR="00EC7D98" w:rsidRPr="00343901" w:rsidRDefault="00EC7D98" w:rsidP="00BC503B">
      <w:pPr>
        <w:adjustRightInd w:val="0"/>
        <w:snapToGrid w:val="0"/>
        <w:spacing w:line="360" w:lineRule="auto"/>
        <w:rPr>
          <w:rFonts w:ascii="Book Antiqua" w:hAnsi="Book Antiqua"/>
          <w:sz w:val="24"/>
          <w:szCs w:val="24"/>
        </w:rPr>
      </w:pPr>
    </w:p>
    <w:p w:rsidR="00EC7D98" w:rsidRPr="00343901" w:rsidRDefault="00EC7D98" w:rsidP="00BC503B">
      <w:pPr>
        <w:adjustRightInd w:val="0"/>
        <w:snapToGrid w:val="0"/>
        <w:spacing w:line="360" w:lineRule="auto"/>
        <w:rPr>
          <w:rFonts w:ascii="Book Antiqua" w:hAnsi="Book Antiqua"/>
          <w:b/>
          <w:i/>
          <w:sz w:val="24"/>
          <w:szCs w:val="24"/>
        </w:rPr>
      </w:pPr>
      <w:r w:rsidRPr="00343901">
        <w:rPr>
          <w:rFonts w:ascii="Book Antiqua" w:hAnsi="Book Antiqua"/>
          <w:b/>
          <w:i/>
          <w:sz w:val="24"/>
          <w:szCs w:val="24"/>
        </w:rPr>
        <w:t>Peer review</w:t>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sz w:val="24"/>
          <w:szCs w:val="24"/>
        </w:rPr>
        <w:t xml:space="preserve">In this manuscript, the authors show that EGF levels are decreased in colon tissues and plasma of rats with visceral hypersensitivity. Furthermore, SERT expression is decreased at both protein and mRNA levels in these animals with respect to controls. The authors also show that EGF treatment induces SERT expression </w:t>
      </w:r>
      <w:r w:rsidR="0026079B" w:rsidRPr="0026079B">
        <w:rPr>
          <w:rFonts w:ascii="Book Antiqua" w:hAnsi="Book Antiqua"/>
          <w:i/>
          <w:sz w:val="24"/>
          <w:szCs w:val="24"/>
        </w:rPr>
        <w:t>via</w:t>
      </w:r>
      <w:r w:rsidRPr="00343901">
        <w:rPr>
          <w:rFonts w:ascii="Book Antiqua" w:hAnsi="Book Antiqua"/>
          <w:sz w:val="24"/>
          <w:szCs w:val="24"/>
        </w:rPr>
        <w:t xml:space="preserve"> EGFR in rat intestinal crypt cells. This research is important because it sheds light on the role that decreased EGF levels play in SERT regulation and subsequent development of visceral hypersensitivity.</w:t>
      </w:r>
    </w:p>
    <w:p w:rsidR="0026079B" w:rsidRDefault="0026079B" w:rsidP="00BC503B">
      <w:pPr>
        <w:adjustRightInd w:val="0"/>
        <w:snapToGrid w:val="0"/>
        <w:spacing w:line="360" w:lineRule="auto"/>
        <w:rPr>
          <w:rFonts w:ascii="Book Antiqua" w:hAnsi="Book Antiqua"/>
          <w:b/>
          <w:sz w:val="24"/>
          <w:szCs w:val="24"/>
        </w:rPr>
      </w:pPr>
    </w:p>
    <w:p w:rsidR="00EC7D98" w:rsidRDefault="00EC7D98" w:rsidP="00BC503B">
      <w:pPr>
        <w:adjustRightInd w:val="0"/>
        <w:snapToGrid w:val="0"/>
        <w:spacing w:line="360" w:lineRule="auto"/>
        <w:rPr>
          <w:rFonts w:ascii="Book Antiqua" w:hAnsi="Book Antiqua"/>
          <w:b/>
          <w:szCs w:val="24"/>
        </w:rPr>
      </w:pPr>
      <w:r w:rsidRPr="0026079B">
        <w:rPr>
          <w:rFonts w:ascii="Book Antiqua" w:hAnsi="Book Antiqua"/>
          <w:b/>
          <w:szCs w:val="24"/>
        </w:rPr>
        <w:t>REFERENCES</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Talley NJ</w:t>
      </w:r>
      <w:r w:rsidRPr="000E1BD8">
        <w:rPr>
          <w:rFonts w:ascii="Book Antiqua" w:eastAsia="宋体" w:hAnsi="Book Antiqua" w:cs="宋体"/>
          <w:color w:val="000000"/>
          <w:kern w:val="0"/>
          <w:szCs w:val="21"/>
        </w:rPr>
        <w:t>, Spiller R. Irritable bowel syndrome: a little understood organic bowel disease?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Lancet</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360</w:t>
      </w:r>
      <w:r w:rsidRPr="000E1BD8">
        <w:rPr>
          <w:rFonts w:ascii="Book Antiqua" w:eastAsia="宋体" w:hAnsi="Book Antiqua" w:cs="宋体"/>
          <w:color w:val="000000"/>
          <w:kern w:val="0"/>
          <w:szCs w:val="21"/>
        </w:rPr>
        <w:t>: 555-564 [PMID: 12241674 DOI: 10.1016/S0140-6736(02)09712-X]</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lastRenderedPageBreak/>
        <w:t>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Yan C</w:t>
      </w:r>
      <w:r w:rsidRPr="000E1BD8">
        <w:rPr>
          <w:rFonts w:ascii="Book Antiqua" w:eastAsia="宋体" w:hAnsi="Book Antiqua" w:cs="宋体"/>
          <w:color w:val="000000"/>
          <w:kern w:val="0"/>
          <w:szCs w:val="21"/>
        </w:rPr>
        <w:t>, Xin-Guang L, Hua-Hong W, Jun-Xia L, Yi-Xuan L. Effect of the 5-HT4 receptor and serotonin transporter on visceral hypersensitivity in rats.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Braz J Med Biol Res</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45</w:t>
      </w:r>
      <w:r w:rsidRPr="000E1BD8">
        <w:rPr>
          <w:rFonts w:ascii="Book Antiqua" w:eastAsia="宋体" w:hAnsi="Book Antiqua" w:cs="宋体"/>
          <w:color w:val="000000"/>
          <w:kern w:val="0"/>
          <w:szCs w:val="21"/>
        </w:rPr>
        <w:t>: 948-954 [PMID: 22832600 DOI: 10.1590/S0100-879X2012007500122]</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Miwa J</w:t>
      </w:r>
      <w:r w:rsidRPr="000E1BD8">
        <w:rPr>
          <w:rFonts w:ascii="Book Antiqua" w:eastAsia="宋体" w:hAnsi="Book Antiqua" w:cs="宋体"/>
          <w:color w:val="000000"/>
          <w:kern w:val="0"/>
          <w:szCs w:val="21"/>
        </w:rPr>
        <w:t>, Echizen H, Matsueda K, Umeda N. Patients with constipation-predominant irritable bowel syndrome (IBS) may have elevated serotonin concentrations in colonic mucosa as compared with diarrhea-predominant patients and subjects with normal bowel habits.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Digestion</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63</w:t>
      </w:r>
      <w:r w:rsidRPr="000E1BD8">
        <w:rPr>
          <w:rFonts w:ascii="Book Antiqua" w:eastAsia="宋体" w:hAnsi="Book Antiqua" w:cs="宋体"/>
          <w:color w:val="000000"/>
          <w:kern w:val="0"/>
          <w:szCs w:val="21"/>
        </w:rPr>
        <w:t>: 188-194 [PMID: 11351146 DOI: 10.1159/000051888]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4</w:t>
      </w:r>
      <w:r w:rsidRPr="000E1BD8">
        <w:rPr>
          <w:rFonts w:ascii="Book Antiqua" w:eastAsia="宋体" w:hAnsi="Book Antiqua" w:cs="宋体"/>
          <w:b/>
          <w:color w:val="000000"/>
          <w:kern w:val="0"/>
          <w:szCs w:val="21"/>
        </w:rPr>
        <w:t xml:space="preserve"> </w:t>
      </w:r>
      <w:r w:rsidRPr="00F07F5C">
        <w:rPr>
          <w:rFonts w:ascii="Book Antiqua" w:eastAsia="宋体" w:hAnsi="Book Antiqua" w:cs="宋体"/>
          <w:b/>
          <w:color w:val="000000"/>
          <w:kern w:val="0"/>
          <w:szCs w:val="21"/>
        </w:rPr>
        <w:t>Stasi C</w:t>
      </w:r>
      <w:r w:rsidRPr="00F07F5C">
        <w:rPr>
          <w:rFonts w:ascii="Book Antiqua" w:eastAsia="宋体" w:hAnsi="Book Antiqua" w:cs="宋体"/>
          <w:color w:val="000000"/>
          <w:kern w:val="0"/>
          <w:szCs w:val="21"/>
        </w:rPr>
        <w:t>, Bellini M, Bassotti G, Blandizzi C, Milani S</w:t>
      </w:r>
      <w:r w:rsidRPr="000E1BD8">
        <w:rPr>
          <w:rFonts w:ascii="Book Antiqua" w:eastAsia="宋体" w:hAnsi="Book Antiqua" w:cs="宋体"/>
          <w:color w:val="000000"/>
          <w:kern w:val="0"/>
          <w:szCs w:val="21"/>
        </w:rPr>
        <w:t>. Serotonin receptors and their role in the pathophysiology and therapy of irritable bowel syndrome.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Tech Coloproctol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2014;</w:t>
      </w:r>
      <w:r w:rsidRPr="00F07F5C">
        <w:rPr>
          <w:rFonts w:ascii="Book Antiqua" w:eastAsia="宋体" w:hAnsi="Book Antiqua" w:cs="宋体"/>
          <w:color w:val="000000"/>
          <w:kern w:val="0"/>
          <w:szCs w:val="21"/>
        </w:rPr>
        <w:t> Epub ahead of print</w:t>
      </w:r>
      <w:r w:rsidRPr="000E1BD8">
        <w:rPr>
          <w:rFonts w:ascii="Book Antiqua" w:eastAsia="宋体" w:hAnsi="Book Antiqua" w:cs="宋体"/>
          <w:color w:val="000000"/>
          <w:kern w:val="0"/>
          <w:szCs w:val="21"/>
        </w:rPr>
        <w:t xml:space="preserve"> [PMID: 24425100 DOI: 10.1007/s10151-013-1106-8]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Coates MD</w:t>
      </w:r>
      <w:r w:rsidRPr="000E1BD8">
        <w:rPr>
          <w:rFonts w:ascii="Book Antiqua" w:eastAsia="宋体" w:hAnsi="Book Antiqua" w:cs="宋体"/>
          <w:color w:val="000000"/>
          <w:kern w:val="0"/>
          <w:szCs w:val="21"/>
        </w:rPr>
        <w:t>, Mahoney CR, Linden DR, Sampson JE, Chen J, Blaszyk H, Crowell MD, Sharkey KA, Gershon MD, Mawe GM, Moses PL. Molecular defects in mucosal serotonin content and decreased serotonin reuptake transporter in ulcerative colitis and irritable bowel syndrome.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Gastroenterology</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2004;</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126</w:t>
      </w:r>
      <w:r w:rsidRPr="000E1BD8">
        <w:rPr>
          <w:rFonts w:ascii="Book Antiqua" w:eastAsia="宋体" w:hAnsi="Book Antiqua" w:cs="宋体"/>
          <w:color w:val="000000"/>
          <w:kern w:val="0"/>
          <w:szCs w:val="21"/>
        </w:rPr>
        <w:t>: 1657-1664 [PMID: 15188158 DOI: 10.1053/j.gastro.2004.03.013]</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6</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Dunlop SP</w:t>
      </w:r>
      <w:r w:rsidRPr="000E1BD8">
        <w:rPr>
          <w:rFonts w:ascii="Book Antiqua" w:eastAsia="宋体" w:hAnsi="Book Antiqua" w:cs="宋体"/>
          <w:color w:val="000000"/>
          <w:kern w:val="0"/>
          <w:szCs w:val="21"/>
        </w:rPr>
        <w:t>, Coleman NS, Blackshaw E, Perkins AC, Singh G, Marsden CA, Spiller RC. Abnormalities of 5-hydroxytryptamine metabolism in irritable bowel syndrome.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Clin Gastroenterol Hepatol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w:t>
      </w:r>
      <w:r w:rsidRPr="000E1BD8">
        <w:rPr>
          <w:rFonts w:ascii="Book Antiqua" w:eastAsia="宋体" w:hAnsi="Book Antiqua" w:cs="宋体"/>
          <w:color w:val="000000"/>
          <w:kern w:val="0"/>
          <w:szCs w:val="21"/>
        </w:rPr>
        <w:t>: 349-357 [PMID: 15822040 DOI: 10.1016/S1542-3565(04)00726-8]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Latorre E</w:t>
      </w:r>
      <w:r w:rsidRPr="000E1BD8">
        <w:rPr>
          <w:rFonts w:ascii="Book Antiqua" w:eastAsia="宋体" w:hAnsi="Book Antiqua" w:cs="宋体"/>
          <w:color w:val="000000"/>
          <w:kern w:val="0"/>
          <w:szCs w:val="21"/>
        </w:rPr>
        <w:t>, Mendoza C, Matheus N, Castro M, Grasa L, Mesonero JE, Alcalde AI. IL-10 modulates serotonin transporter activity and molecular expression in intestinal epithelial cells.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Cytokine</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61</w:t>
      </w:r>
      <w:r w:rsidRPr="000E1BD8">
        <w:rPr>
          <w:rFonts w:ascii="Book Antiqua" w:eastAsia="宋体" w:hAnsi="Book Antiqua" w:cs="宋体"/>
          <w:color w:val="000000"/>
          <w:kern w:val="0"/>
          <w:szCs w:val="21"/>
        </w:rPr>
        <w:t>: 778-784 [PMID: 23410504 DOI: 10.1016/j.cyto.2013.01.01]</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8</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Martel F</w:t>
      </w:r>
      <w:r w:rsidRPr="000E1BD8">
        <w:rPr>
          <w:rFonts w:ascii="Book Antiqua" w:eastAsia="宋体" w:hAnsi="Book Antiqua" w:cs="宋体"/>
          <w:color w:val="000000"/>
          <w:kern w:val="0"/>
          <w:szCs w:val="21"/>
        </w:rPr>
        <w:t>, Monteiro R, Lemos C. Uptake of serotonin at the apical and basolateral membranes of human intestinal epithelial (Caco-2) cells occurs through the neuronal serotonin transporter (SERT).</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J Pharmacol Exp Ther</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306</w:t>
      </w:r>
      <w:r w:rsidRPr="000E1BD8">
        <w:rPr>
          <w:rFonts w:ascii="Book Antiqua" w:eastAsia="宋体" w:hAnsi="Book Antiqua" w:cs="宋体"/>
          <w:color w:val="000000"/>
          <w:kern w:val="0"/>
          <w:szCs w:val="21"/>
        </w:rPr>
        <w:t>: 355-362 [PMID: 12682218 DOI: 10.1124/jpet.103.049668]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9</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Faure C</w:t>
      </w:r>
      <w:r w:rsidRPr="000E1BD8">
        <w:rPr>
          <w:rFonts w:ascii="Book Antiqua" w:eastAsia="宋体" w:hAnsi="Book Antiqua" w:cs="宋体"/>
          <w:color w:val="000000"/>
          <w:kern w:val="0"/>
          <w:szCs w:val="21"/>
        </w:rPr>
        <w:t>, Patey N, Gauthier C, Brooks EM, Mawe GM. Serotonin signaling is altered in irritable bowel syndrome with diarrhea but not in functional dyspepsia in pediatric age patients.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Gastroenterology</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139</w:t>
      </w:r>
      <w:r w:rsidRPr="000E1BD8">
        <w:rPr>
          <w:rFonts w:ascii="Book Antiqua" w:eastAsia="宋体" w:hAnsi="Book Antiqua" w:cs="宋体"/>
          <w:color w:val="000000"/>
          <w:kern w:val="0"/>
          <w:szCs w:val="21"/>
        </w:rPr>
        <w:t>: 249-258 [PMID: 20303355 DOI: 10.1053/j.gastro.2010.03.032]</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El-Salhy M</w:t>
      </w:r>
      <w:r w:rsidRPr="000E1BD8">
        <w:rPr>
          <w:rFonts w:ascii="Book Antiqua" w:eastAsia="宋体" w:hAnsi="Book Antiqua" w:cs="宋体"/>
          <w:color w:val="000000"/>
          <w:kern w:val="0"/>
          <w:szCs w:val="21"/>
        </w:rPr>
        <w:t>, Wendelbo I, Gundersen D. Serotonin and serotonin transporter in the rectum of patients with irritable bowel disease.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Mol Med Rep</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8</w:t>
      </w:r>
      <w:r w:rsidRPr="000E1BD8">
        <w:rPr>
          <w:rFonts w:ascii="Book Antiqua" w:eastAsia="宋体" w:hAnsi="Book Antiqua" w:cs="宋体"/>
          <w:color w:val="000000"/>
          <w:kern w:val="0"/>
          <w:szCs w:val="21"/>
        </w:rPr>
        <w:t>: 451-455 [PMID: 23778763 DOI: 10.3892/mmr.2013.1525]</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Gill RK</w:t>
      </w:r>
      <w:r w:rsidRPr="000E1BD8">
        <w:rPr>
          <w:rFonts w:ascii="Book Antiqua" w:eastAsia="宋体" w:hAnsi="Book Antiqua" w:cs="宋体"/>
          <w:color w:val="000000"/>
          <w:kern w:val="0"/>
          <w:szCs w:val="21"/>
        </w:rPr>
        <w:t>, Anbazhagan AN, Esmaili A, Kumar A, Nazir S, Malakooti J, Alrefai WA, Saksena S. Epidermal growth factor upregulates serotonin transporter in human intestinal epithelial cells via transcriptional mechanisms.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Am J Physiol Gastrointest Liver Physiol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300</w:t>
      </w:r>
      <w:r w:rsidRPr="000E1BD8">
        <w:rPr>
          <w:rFonts w:ascii="Book Antiqua" w:eastAsia="宋体" w:hAnsi="Book Antiqua" w:cs="宋体"/>
          <w:color w:val="000000"/>
          <w:kern w:val="0"/>
          <w:szCs w:val="21"/>
        </w:rPr>
        <w:t>: G627-G636 [PMID: 21273531 DOI: 10.1152/ajpgi.00563.2010]</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lastRenderedPageBreak/>
        <w:t>12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Gil C</w:t>
      </w:r>
      <w:r w:rsidRPr="000E1BD8">
        <w:rPr>
          <w:rFonts w:ascii="Book Antiqua" w:eastAsia="宋体" w:hAnsi="Book Antiqua" w:cs="宋体"/>
          <w:color w:val="000000"/>
          <w:kern w:val="0"/>
          <w:szCs w:val="21"/>
        </w:rPr>
        <w:t>, Najib A, Aguilera J. Serotonin transport is modulated differently by tetanus toxin and growth factors.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Neurochem Int</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42</w:t>
      </w:r>
      <w:r w:rsidRPr="000E1BD8">
        <w:rPr>
          <w:rFonts w:ascii="Book Antiqua" w:eastAsia="宋体" w:hAnsi="Book Antiqua" w:cs="宋体"/>
          <w:color w:val="000000"/>
          <w:kern w:val="0"/>
          <w:szCs w:val="21"/>
        </w:rPr>
        <w:t>: 535-542 [PMID: 12590935 DOI: 10.1016/S0197-0186(02)00187-0]</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Dvorak B</w:t>
      </w:r>
      <w:r w:rsidRPr="000E1BD8">
        <w:rPr>
          <w:rFonts w:ascii="Book Antiqua" w:eastAsia="宋体" w:hAnsi="Book Antiqua" w:cs="宋体"/>
          <w:color w:val="000000"/>
          <w:kern w:val="0"/>
          <w:szCs w:val="21"/>
        </w:rPr>
        <w:t>. Milk epidermal growth factor and gut protection.</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J Pediatr</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156</w:t>
      </w:r>
      <w:r w:rsidRPr="000E1BD8">
        <w:rPr>
          <w:rFonts w:ascii="Book Antiqua" w:eastAsia="宋体" w:hAnsi="Book Antiqua" w:cs="宋体"/>
          <w:color w:val="000000"/>
          <w:kern w:val="0"/>
          <w:szCs w:val="21"/>
        </w:rPr>
        <w:t>: S31-S35 [PMID: 20105663 DOI: 10.1016/j.jpeds.2009.11.018]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14</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Niederlechner S</w:t>
      </w:r>
      <w:r w:rsidRPr="000E1BD8">
        <w:rPr>
          <w:rFonts w:ascii="Book Antiqua" w:eastAsia="宋体" w:hAnsi="Book Antiqua" w:cs="宋体"/>
          <w:color w:val="000000"/>
          <w:kern w:val="0"/>
          <w:szCs w:val="21"/>
        </w:rPr>
        <w:t>, Baird C, Petrie B, Wischmeyer E, Wischmeyer PE. Epidermal growth factor receptor expression and signaling are essential in glutamine's cytoprotective mechanism in heat-stressed intestinal epithelial-6 cells.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Am J Physiol Gastrointest Liver Physiol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304</w:t>
      </w:r>
      <w:r w:rsidRPr="000E1BD8">
        <w:rPr>
          <w:rFonts w:ascii="Book Antiqua" w:eastAsia="宋体" w:hAnsi="Book Antiqua" w:cs="宋体"/>
          <w:color w:val="000000"/>
          <w:kern w:val="0"/>
          <w:szCs w:val="21"/>
        </w:rPr>
        <w:t>: G543-G552 [PMID: 23275616 DOI: 10.1152/ajpgi.00418]</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Alexander RJ</w:t>
      </w:r>
      <w:r w:rsidRPr="000E1BD8">
        <w:rPr>
          <w:rFonts w:ascii="Book Antiqua" w:eastAsia="宋体" w:hAnsi="Book Antiqua" w:cs="宋体"/>
          <w:color w:val="000000"/>
          <w:kern w:val="0"/>
          <w:szCs w:val="21"/>
        </w:rPr>
        <w:t>, Panja A, Kaplan-Liss E, Mayer L, Raicht RF. Expression of growth factor receptor-encoded mRNA by colonic epithelial cells is altered in inflammatory bowel disease.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Dig Dis Sci</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40</w:t>
      </w:r>
      <w:r w:rsidRPr="000E1BD8">
        <w:rPr>
          <w:rFonts w:ascii="Book Antiqua" w:eastAsia="宋体" w:hAnsi="Book Antiqua" w:cs="宋体"/>
          <w:color w:val="000000"/>
          <w:kern w:val="0"/>
          <w:szCs w:val="21"/>
        </w:rPr>
        <w:t>: 485-494 [PMID: 7895532]</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16</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Dubé PE</w:t>
      </w:r>
      <w:r w:rsidRPr="000E1BD8">
        <w:rPr>
          <w:rFonts w:ascii="Book Antiqua" w:eastAsia="宋体" w:hAnsi="Book Antiqua" w:cs="宋体"/>
          <w:color w:val="000000"/>
          <w:kern w:val="0"/>
          <w:szCs w:val="21"/>
        </w:rPr>
        <w:t>, Yan F, Punit S, Girish N, McElroy SJ, Washington MK, Polk DB. Epidermal growth factor receptor inhibits colitis-associated cancer in mice.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J Clin Invest</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122</w:t>
      </w:r>
      <w:r w:rsidRPr="000E1BD8">
        <w:rPr>
          <w:rFonts w:ascii="Book Antiqua" w:eastAsia="宋体" w:hAnsi="Book Antiqua" w:cs="宋体"/>
          <w:color w:val="000000"/>
          <w:kern w:val="0"/>
          <w:szCs w:val="21"/>
        </w:rPr>
        <w:t>: 2780-2792 [PMID: 22772467]</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Kerckhoffs AP</w:t>
      </w:r>
      <w:r w:rsidRPr="000E1BD8">
        <w:rPr>
          <w:rFonts w:ascii="Book Antiqua" w:eastAsia="宋体" w:hAnsi="Book Antiqua" w:cs="宋体"/>
          <w:color w:val="000000"/>
          <w:kern w:val="0"/>
          <w:szCs w:val="21"/>
        </w:rPr>
        <w:t>, ter Linde JJ, Akkermans LM, Samsom M. SERT and TPH-1 mRNA expression are reduced in irritable bowel syndrome patients regardless of viscer</w:t>
      </w:r>
      <w:bookmarkStart w:id="21" w:name="_GoBack"/>
      <w:bookmarkEnd w:id="21"/>
      <w:r w:rsidRPr="000E1BD8">
        <w:rPr>
          <w:rFonts w:ascii="Book Antiqua" w:eastAsia="宋体" w:hAnsi="Book Antiqua" w:cs="宋体"/>
          <w:color w:val="000000"/>
          <w:kern w:val="0"/>
          <w:szCs w:val="21"/>
        </w:rPr>
        <w:t>al sensitivity state in large intestine.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Am J Physiol Gastrointest Liver Physiol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302</w:t>
      </w:r>
      <w:r w:rsidRPr="000E1BD8">
        <w:rPr>
          <w:rFonts w:ascii="Book Antiqua" w:eastAsia="宋体" w:hAnsi="Book Antiqua" w:cs="宋体"/>
          <w:color w:val="000000"/>
          <w:kern w:val="0"/>
          <w:szCs w:val="21"/>
        </w:rPr>
        <w:t>: G1053-G1060 [PMID: 22323131 DOI: 10.1152/ajpgi.00153.2011]</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18</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Kerckhoffs AP</w:t>
      </w:r>
      <w:r w:rsidRPr="000E1BD8">
        <w:rPr>
          <w:rFonts w:ascii="Book Antiqua" w:eastAsia="宋体" w:hAnsi="Book Antiqua" w:cs="宋体"/>
          <w:color w:val="000000"/>
          <w:kern w:val="0"/>
          <w:szCs w:val="21"/>
        </w:rPr>
        <w:t>, Ter Linde JJ, Akkermans LM, Samsom M. Trypsinogen IV, serotonin transporter transcript levels and serotonin content are increased in small intestine of irritable bowel syndrome patients.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Neurogastroenterol Motil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2008;</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20</w:t>
      </w:r>
      <w:r w:rsidRPr="000E1BD8">
        <w:rPr>
          <w:rFonts w:ascii="Book Antiqua" w:eastAsia="宋体" w:hAnsi="Book Antiqua" w:cs="宋体"/>
          <w:color w:val="000000"/>
          <w:kern w:val="0"/>
          <w:szCs w:val="21"/>
        </w:rPr>
        <w:t>: 900-907 [PMID: 18363639 DOI: 10.1111/j.1365-2982.2008.01100.x]</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19</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Xu GY</w:t>
      </w:r>
      <w:r w:rsidRPr="000E1BD8">
        <w:rPr>
          <w:rFonts w:ascii="Book Antiqua" w:eastAsia="宋体" w:hAnsi="Book Antiqua" w:cs="宋体"/>
          <w:color w:val="000000"/>
          <w:kern w:val="0"/>
          <w:szCs w:val="21"/>
        </w:rPr>
        <w:t>, Shenoy M, Winston JH, Mittal S, Pasricha PJ. P2X receptor-mediated visceral hyperalgesia in a rat model of chronic visceral hypersensitivity.</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Gut</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2008;</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57</w:t>
      </w:r>
      <w:r w:rsidRPr="000E1BD8">
        <w:rPr>
          <w:rFonts w:ascii="Book Antiqua" w:eastAsia="宋体" w:hAnsi="Book Antiqua" w:cs="宋体"/>
          <w:color w:val="000000"/>
          <w:kern w:val="0"/>
          <w:szCs w:val="21"/>
        </w:rPr>
        <w:t>: 1230-1237 [PMID: 18270243 DOI: 10.1136/gut.2007.134221]</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Winston J</w:t>
      </w:r>
      <w:r w:rsidRPr="000E1BD8">
        <w:rPr>
          <w:rFonts w:ascii="Book Antiqua" w:eastAsia="宋体" w:hAnsi="Book Antiqua" w:cs="宋体"/>
          <w:color w:val="000000"/>
          <w:kern w:val="0"/>
          <w:szCs w:val="21"/>
        </w:rPr>
        <w:t>, Shenoy M, Medley D, Naniwadekar A, Pasricha PJ. The vanilloid receptor initiates and maintains colonic hypersensitivity induced by neonatal colon irritation in rats.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Gastroenterology</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132</w:t>
      </w:r>
      <w:r w:rsidRPr="000E1BD8">
        <w:rPr>
          <w:rFonts w:ascii="Book Antiqua" w:eastAsia="宋体" w:hAnsi="Book Antiqua" w:cs="宋体"/>
          <w:color w:val="000000"/>
          <w:kern w:val="0"/>
          <w:szCs w:val="21"/>
        </w:rPr>
        <w:t>: 615-627 [PMID: 17258716 DOI: 10.1053/j.gastro.2006.11.014]</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Al-Chaer ED</w:t>
      </w:r>
      <w:r w:rsidRPr="000E1BD8">
        <w:rPr>
          <w:rFonts w:ascii="Book Antiqua" w:eastAsia="宋体" w:hAnsi="Book Antiqua" w:cs="宋体"/>
          <w:color w:val="000000"/>
          <w:kern w:val="0"/>
          <w:szCs w:val="21"/>
        </w:rPr>
        <w:t>, Kawasaki M, Pasricha PJ. A new model of chronic visceral hypersensitivity in adult rats induced by colon irritation during postnatal development.</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Gastroenterology</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119</w:t>
      </w:r>
      <w:r w:rsidRPr="000E1BD8">
        <w:rPr>
          <w:rFonts w:ascii="Book Antiqua" w:eastAsia="宋体" w:hAnsi="Book Antiqua" w:cs="宋体"/>
          <w:color w:val="000000"/>
          <w:kern w:val="0"/>
          <w:szCs w:val="21"/>
        </w:rPr>
        <w:t>: 1276-1285 [PMID: 11054385 DOI: 10.1053/gast.2000.19576]</w:t>
      </w:r>
    </w:p>
    <w:p w:rsidR="0074597D" w:rsidRPr="00F07F5C" w:rsidRDefault="0074597D" w:rsidP="00BC503B">
      <w:pPr>
        <w:widowControl/>
        <w:adjustRightInd w:val="0"/>
        <w:snapToGrid w:val="0"/>
        <w:spacing w:line="360" w:lineRule="auto"/>
        <w:rPr>
          <w:rFonts w:ascii="Book Antiqua" w:hAnsi="Book Antiqua"/>
          <w:color w:val="000000"/>
          <w:szCs w:val="21"/>
        </w:rPr>
      </w:pPr>
      <w:r w:rsidRPr="00F07F5C">
        <w:rPr>
          <w:rFonts w:ascii="Book Antiqua" w:hAnsi="Book Antiqua"/>
          <w:color w:val="000000"/>
          <w:szCs w:val="21"/>
        </w:rPr>
        <w:t>22</w:t>
      </w:r>
      <w:r w:rsidRPr="00F07F5C">
        <w:rPr>
          <w:rStyle w:val="apple-converted-space"/>
          <w:rFonts w:ascii="Book Antiqua" w:hAnsi="Book Antiqua"/>
          <w:color w:val="000000"/>
          <w:szCs w:val="21"/>
        </w:rPr>
        <w:t> </w:t>
      </w:r>
      <w:r w:rsidRPr="00F07F5C">
        <w:rPr>
          <w:rFonts w:ascii="Book Antiqua" w:hAnsi="Book Antiqua"/>
          <w:b/>
          <w:bCs/>
          <w:color w:val="000000"/>
          <w:szCs w:val="21"/>
        </w:rPr>
        <w:t>Gulec S</w:t>
      </w:r>
      <w:r w:rsidRPr="00F07F5C">
        <w:rPr>
          <w:rFonts w:ascii="Book Antiqua" w:hAnsi="Book Antiqua"/>
          <w:color w:val="000000"/>
          <w:szCs w:val="21"/>
        </w:rPr>
        <w:t>, Collins JF. Silencing the Menkes copper-transporting ATPase (Atp7a) gene in rat intestinal epithelial (IEC-6) cells increases iron flux via transcriptional induction of ferroportin 1 (Fpn1).</w:t>
      </w:r>
      <w:r w:rsidRPr="00F07F5C">
        <w:rPr>
          <w:rStyle w:val="apple-converted-space"/>
          <w:rFonts w:ascii="Book Antiqua" w:hAnsi="Book Antiqua"/>
          <w:color w:val="000000"/>
          <w:szCs w:val="21"/>
        </w:rPr>
        <w:t> </w:t>
      </w:r>
      <w:r w:rsidRPr="00F07F5C">
        <w:rPr>
          <w:rFonts w:ascii="Book Antiqua" w:hAnsi="Book Antiqua"/>
          <w:i/>
          <w:iCs/>
          <w:color w:val="000000"/>
          <w:szCs w:val="21"/>
        </w:rPr>
        <w:t>J Nutr</w:t>
      </w:r>
      <w:r w:rsidRPr="00F07F5C">
        <w:rPr>
          <w:rStyle w:val="apple-converted-space"/>
          <w:rFonts w:ascii="Book Antiqua" w:hAnsi="Book Antiqua"/>
          <w:color w:val="000000"/>
          <w:szCs w:val="21"/>
        </w:rPr>
        <w:t> </w:t>
      </w:r>
      <w:r w:rsidRPr="00F07F5C">
        <w:rPr>
          <w:rFonts w:ascii="Book Antiqua" w:hAnsi="Book Antiqua"/>
          <w:color w:val="000000"/>
          <w:szCs w:val="21"/>
        </w:rPr>
        <w:t>2014;</w:t>
      </w:r>
      <w:r w:rsidRPr="00F07F5C">
        <w:rPr>
          <w:rStyle w:val="apple-converted-space"/>
          <w:rFonts w:ascii="Book Antiqua" w:hAnsi="Book Antiqua"/>
          <w:color w:val="000000"/>
          <w:szCs w:val="21"/>
        </w:rPr>
        <w:t> </w:t>
      </w:r>
      <w:r w:rsidRPr="00F07F5C">
        <w:rPr>
          <w:rFonts w:ascii="Book Antiqua" w:hAnsi="Book Antiqua"/>
          <w:b/>
          <w:bCs/>
          <w:color w:val="000000"/>
          <w:szCs w:val="21"/>
        </w:rPr>
        <w:t>144</w:t>
      </w:r>
      <w:r w:rsidRPr="00F07F5C">
        <w:rPr>
          <w:rFonts w:ascii="Book Antiqua" w:hAnsi="Book Antiqua"/>
          <w:color w:val="000000"/>
          <w:szCs w:val="21"/>
        </w:rPr>
        <w:t>: 12-19 [PMID: 24174620 DOI: 10.3945/jn.113.183160]</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lastRenderedPageBreak/>
        <w:t>23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Gendron FP</w:t>
      </w:r>
      <w:r w:rsidRPr="000E1BD8">
        <w:rPr>
          <w:rFonts w:ascii="Book Antiqua" w:eastAsia="宋体" w:hAnsi="Book Antiqua" w:cs="宋体"/>
          <w:color w:val="000000"/>
          <w:kern w:val="0"/>
          <w:szCs w:val="21"/>
        </w:rPr>
        <w:t>, Mongrain S, Laprise P, McMahon S, Dubois CM, Blais M, Asselin C, Rivard N. The CDX2 transcription factor regulates furin expression during intestinal epithelial cell differentiation.</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Am J Physiol Gastrointest Liver Physiol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2006;</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290</w:t>
      </w:r>
      <w:r w:rsidRPr="000E1BD8">
        <w:rPr>
          <w:rFonts w:ascii="Book Antiqua" w:eastAsia="宋体" w:hAnsi="Book Antiqua" w:cs="宋体"/>
          <w:color w:val="000000"/>
          <w:kern w:val="0"/>
          <w:szCs w:val="21"/>
        </w:rPr>
        <w:t>: G310-G318 [PMID: 16239403 DOI: 10.1152/ajpgi.00217.2005]</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24</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Gordillo-Bastidas D</w:t>
      </w:r>
      <w:r w:rsidRPr="000E1BD8">
        <w:rPr>
          <w:rFonts w:ascii="Book Antiqua" w:eastAsia="宋体" w:hAnsi="Book Antiqua" w:cs="宋体"/>
          <w:color w:val="000000"/>
          <w:kern w:val="0"/>
          <w:szCs w:val="21"/>
        </w:rPr>
        <w:t>, Oceguera-Contreras E, Salazar-Montes A, González-Cuevas J, Hernández-Ortega LD, Armendáriz-Borunda J. Nrf2 and Snail-1 in the prevention of experimental liver fibrosis by caffeine.</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World J Gastroenterol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2013;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19</w:t>
      </w:r>
      <w:r w:rsidRPr="000E1BD8">
        <w:rPr>
          <w:rFonts w:ascii="Book Antiqua" w:eastAsia="宋体" w:hAnsi="Book Antiqua" w:cs="宋体"/>
          <w:color w:val="000000"/>
          <w:kern w:val="0"/>
          <w:szCs w:val="21"/>
        </w:rPr>
        <w:t>: 9020-9033 [PMID: 24379627 DOI: 10.3748/wjg.v19.i47.9020]</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Koldzic-Zivanovic N</w:t>
      </w:r>
      <w:r w:rsidRPr="000E1BD8">
        <w:rPr>
          <w:rFonts w:ascii="Book Antiqua" w:eastAsia="宋体" w:hAnsi="Book Antiqua" w:cs="宋体"/>
          <w:color w:val="000000"/>
          <w:kern w:val="0"/>
          <w:szCs w:val="21"/>
        </w:rPr>
        <w:t>, Seitz PK, Cunningham KA, Thomas ML, Hughes TK. Serotonin regulation of serotonin uptake in RN46A cells.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Cell Mol Neurobiol</w:t>
      </w:r>
      <w:r w:rsidRPr="00F07F5C">
        <w:rPr>
          <w:rFonts w:ascii="Book Antiqua" w:eastAsia="宋体" w:hAnsi="Book Antiqua" w:cs="宋体"/>
          <w:color w:val="000000"/>
          <w:kern w:val="0"/>
          <w:szCs w:val="21"/>
        </w:rPr>
        <w:t> 2006</w:t>
      </w:r>
      <w:r w:rsidRPr="000E1BD8">
        <w:rPr>
          <w:rFonts w:ascii="Book Antiqua" w:eastAsia="宋体" w:hAnsi="Book Antiqua" w:cs="宋体"/>
          <w:color w:val="000000"/>
          <w:kern w:val="0"/>
          <w:szCs w:val="21"/>
        </w:rPr>
        <w:t>;</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26</w:t>
      </w:r>
      <w:r w:rsidRPr="000E1BD8">
        <w:rPr>
          <w:rFonts w:ascii="Book Antiqua" w:eastAsia="宋体" w:hAnsi="Book Antiqua" w:cs="宋体"/>
          <w:color w:val="000000"/>
          <w:kern w:val="0"/>
          <w:szCs w:val="21"/>
        </w:rPr>
        <w:t>: 979-987 [PMID: 16858637 DOI: 10.1007/s10571-006-9097-x]</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26</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Rao RK</w:t>
      </w:r>
      <w:r w:rsidRPr="000E1BD8">
        <w:rPr>
          <w:rFonts w:ascii="Book Antiqua" w:eastAsia="宋体" w:hAnsi="Book Antiqua" w:cs="宋体"/>
          <w:color w:val="000000"/>
          <w:kern w:val="0"/>
          <w:szCs w:val="21"/>
        </w:rPr>
        <w:t>. Biologically active peptides in the gastrointestinal lumen.</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Life Sci</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48</w:t>
      </w:r>
      <w:r w:rsidRPr="000E1BD8">
        <w:rPr>
          <w:rFonts w:ascii="Book Antiqua" w:eastAsia="宋体" w:hAnsi="Book Antiqua" w:cs="宋体"/>
          <w:color w:val="000000"/>
          <w:kern w:val="0"/>
          <w:szCs w:val="21"/>
        </w:rPr>
        <w:t>: 1685-1704 [PMID: 2020253]</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Rao R</w:t>
      </w:r>
      <w:r w:rsidRPr="000E1BD8">
        <w:rPr>
          <w:rFonts w:ascii="Book Antiqua" w:eastAsia="宋体" w:hAnsi="Book Antiqua" w:cs="宋体"/>
          <w:color w:val="000000"/>
          <w:kern w:val="0"/>
          <w:szCs w:val="21"/>
        </w:rPr>
        <w:t>, Porreca F. Epidermal growth factor protects mouse ileal mucosa from Triton X-100-induced injury.</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Eur J Pharmacol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1996;</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303</w:t>
      </w:r>
      <w:r w:rsidRPr="000E1BD8">
        <w:rPr>
          <w:rFonts w:ascii="Book Antiqua" w:eastAsia="宋体" w:hAnsi="Book Antiqua" w:cs="宋体"/>
          <w:color w:val="000000"/>
          <w:kern w:val="0"/>
          <w:szCs w:val="21"/>
        </w:rPr>
        <w:t>: 209-212 [PMID: 8813570 DOI: 10.1016/0014-2999(96)00186-0]</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28</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Rao RK</w:t>
      </w:r>
      <w:r w:rsidRPr="000E1BD8">
        <w:rPr>
          <w:rFonts w:ascii="Book Antiqua" w:eastAsia="宋体" w:hAnsi="Book Antiqua" w:cs="宋体"/>
          <w:color w:val="000000"/>
          <w:kern w:val="0"/>
          <w:szCs w:val="21"/>
        </w:rPr>
        <w:t>, Thomas DW, Pepperl S, Porreca F. Salivary epidermal growth factor plays a role in protection of ileal mucosal integrity.</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Dig Dis Sci</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42</w:t>
      </w:r>
      <w:r w:rsidRPr="000E1BD8">
        <w:rPr>
          <w:rFonts w:ascii="Book Antiqua" w:eastAsia="宋体" w:hAnsi="Book Antiqua" w:cs="宋体"/>
          <w:color w:val="000000"/>
          <w:kern w:val="0"/>
          <w:szCs w:val="21"/>
        </w:rPr>
        <w:t>: 2175-2181 [PMID: 9365155 DOI: 10.1023/A: 1018855525989]</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29</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Tepperman BL</w:t>
      </w:r>
      <w:r w:rsidRPr="000E1BD8">
        <w:rPr>
          <w:rFonts w:ascii="Book Antiqua" w:eastAsia="宋体" w:hAnsi="Book Antiqua" w:cs="宋体"/>
          <w:color w:val="000000"/>
          <w:kern w:val="0"/>
          <w:szCs w:val="21"/>
        </w:rPr>
        <w:t>, Vozzolo BL, Soper BD. Effect of maternal sialoadenectomy on ontogenic response of rat gastric mucosa to luminal H+.</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Am J Physiol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265</w:t>
      </w:r>
      <w:r w:rsidRPr="000E1BD8">
        <w:rPr>
          <w:rFonts w:ascii="Book Antiqua" w:eastAsia="宋体" w:hAnsi="Book Antiqua" w:cs="宋体"/>
          <w:color w:val="000000"/>
          <w:kern w:val="0"/>
          <w:szCs w:val="21"/>
        </w:rPr>
        <w:t>: G354-G360 [PMID: 8368317]</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30</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Kubota N</w:t>
      </w:r>
      <w:r w:rsidRPr="000E1BD8">
        <w:rPr>
          <w:rFonts w:ascii="Book Antiqua" w:eastAsia="宋体" w:hAnsi="Book Antiqua" w:cs="宋体"/>
          <w:color w:val="000000"/>
          <w:kern w:val="0"/>
          <w:szCs w:val="21"/>
        </w:rPr>
        <w:t>, Kiuchi Y, Nemoto M, Oyamada H, Ohno M, Funahashi H, Shioda S, Oguchi K. Regulation of serotonin transporter gene expression in human glial cells by growth factors.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Eur J Pharmacol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417</w:t>
      </w:r>
      <w:r w:rsidRPr="000E1BD8">
        <w:rPr>
          <w:rFonts w:ascii="Book Antiqua" w:eastAsia="宋体" w:hAnsi="Book Antiqua" w:cs="宋体"/>
          <w:color w:val="000000"/>
          <w:kern w:val="0"/>
          <w:szCs w:val="21"/>
        </w:rPr>
        <w:t>: 69-76 [PMID: 11301061 DOI: 10.1016/S0014-2999(01)00906-2]</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31</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Kekuda R</w:t>
      </w:r>
      <w:r w:rsidRPr="000E1BD8">
        <w:rPr>
          <w:rFonts w:ascii="Book Antiqua" w:eastAsia="宋体" w:hAnsi="Book Antiqua" w:cs="宋体"/>
          <w:color w:val="000000"/>
          <w:kern w:val="0"/>
          <w:szCs w:val="21"/>
        </w:rPr>
        <w:t>, Torres-Zamorano V, Leibach FH, Ganapathy V. Human serotonin transporter: regulation by the neuroprotective agent aurintricarboxylic acid and by epidermal growth factor.</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J Neurochem</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68</w:t>
      </w:r>
      <w:r w:rsidRPr="000E1BD8">
        <w:rPr>
          <w:rFonts w:ascii="Book Antiqua" w:eastAsia="宋体" w:hAnsi="Book Antiqua" w:cs="宋体"/>
          <w:color w:val="000000"/>
          <w:kern w:val="0"/>
          <w:szCs w:val="21"/>
        </w:rPr>
        <w:t>: 1443-1450 [PMID: 9084414 DOI: 10.1046/j.1471-4159.1997.68041443.x]</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32</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McCole DF</w:t>
      </w:r>
      <w:r w:rsidRPr="000E1BD8">
        <w:rPr>
          <w:rFonts w:ascii="Book Antiqua" w:eastAsia="宋体" w:hAnsi="Book Antiqua" w:cs="宋体"/>
          <w:color w:val="000000"/>
          <w:kern w:val="0"/>
          <w:szCs w:val="21"/>
        </w:rPr>
        <w:t>, Rogler G, Varki N, Barrett KE. Epidermal growth factor partially restores colonic ion transport responses in mouse models of chronic colitis.</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Gastroenterology</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2005;</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129</w:t>
      </w:r>
      <w:r w:rsidRPr="000E1BD8">
        <w:rPr>
          <w:rFonts w:ascii="Book Antiqua" w:eastAsia="宋体" w:hAnsi="Book Antiqua" w:cs="宋体"/>
          <w:color w:val="000000"/>
          <w:kern w:val="0"/>
          <w:szCs w:val="21"/>
        </w:rPr>
        <w:t>: 591-608 [PMID: 16083715 DOI: 10.1016/j.gastro.2005.06.004]</w:t>
      </w:r>
    </w:p>
    <w:p w:rsidR="0074597D" w:rsidRPr="000E1BD8" w:rsidRDefault="0074597D" w:rsidP="00BC503B">
      <w:pPr>
        <w:widowControl/>
        <w:adjustRightInd w:val="0"/>
        <w:snapToGrid w:val="0"/>
        <w:spacing w:line="360" w:lineRule="auto"/>
        <w:rPr>
          <w:rFonts w:ascii="Book Antiqua" w:eastAsia="宋体" w:hAnsi="Book Antiqua" w:cs="宋体"/>
          <w:color w:val="000000"/>
          <w:kern w:val="0"/>
          <w:szCs w:val="21"/>
        </w:rPr>
      </w:pPr>
      <w:r w:rsidRPr="000E1BD8">
        <w:rPr>
          <w:rFonts w:ascii="Book Antiqua" w:eastAsia="宋体" w:hAnsi="Book Antiqua" w:cs="宋体"/>
          <w:color w:val="000000"/>
          <w:kern w:val="0"/>
          <w:szCs w:val="21"/>
        </w:rPr>
        <w:t>33</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Riegler M</w:t>
      </w:r>
      <w:r w:rsidRPr="000E1BD8">
        <w:rPr>
          <w:rFonts w:ascii="Book Antiqua" w:eastAsia="宋体" w:hAnsi="Book Antiqua" w:cs="宋体"/>
          <w:color w:val="000000"/>
          <w:kern w:val="0"/>
          <w:szCs w:val="21"/>
        </w:rPr>
        <w:t>, Sedivy R, Sogukoglu T, Cosentini E, Bischof G, Teleky B, Feil W, Schiessel R, Hamilton G, Wenzl E. Effect of growth factors on epithelial restitution of human colonic mucosa in vitro.</w:t>
      </w:r>
      <w:r w:rsidRPr="00F07F5C">
        <w:rPr>
          <w:rFonts w:ascii="Book Antiqua" w:eastAsia="宋体" w:hAnsi="Book Antiqua" w:cs="宋体"/>
          <w:color w:val="000000"/>
          <w:kern w:val="0"/>
          <w:szCs w:val="21"/>
        </w:rPr>
        <w:t> </w:t>
      </w:r>
      <w:r w:rsidRPr="000E1BD8">
        <w:rPr>
          <w:rFonts w:ascii="Book Antiqua" w:eastAsia="宋体" w:hAnsi="Book Antiqua" w:cs="宋体"/>
          <w:i/>
          <w:iCs/>
          <w:color w:val="000000"/>
          <w:kern w:val="0"/>
          <w:szCs w:val="21"/>
        </w:rPr>
        <w:t>Scand J Gastroenterol</w:t>
      </w:r>
      <w:r w:rsidRPr="00F07F5C">
        <w:rPr>
          <w:rFonts w:ascii="Book Antiqua" w:eastAsia="宋体" w:hAnsi="Book Antiqua" w:cs="宋体"/>
          <w:color w:val="000000"/>
          <w:kern w:val="0"/>
          <w:szCs w:val="21"/>
        </w:rPr>
        <w:t> </w:t>
      </w:r>
      <w:r w:rsidRPr="000E1BD8">
        <w:rPr>
          <w:rFonts w:ascii="Book Antiqua" w:eastAsia="宋体" w:hAnsi="Book Antiqua" w:cs="宋体"/>
          <w:color w:val="000000"/>
          <w:kern w:val="0"/>
          <w:szCs w:val="21"/>
        </w:rPr>
        <w:t>1997;</w:t>
      </w:r>
      <w:r w:rsidRPr="00F07F5C">
        <w:rPr>
          <w:rFonts w:ascii="Book Antiqua" w:eastAsia="宋体" w:hAnsi="Book Antiqua" w:cs="宋体"/>
          <w:color w:val="000000"/>
          <w:kern w:val="0"/>
          <w:szCs w:val="21"/>
        </w:rPr>
        <w:t> </w:t>
      </w:r>
      <w:r w:rsidRPr="000E1BD8">
        <w:rPr>
          <w:rFonts w:ascii="Book Antiqua" w:eastAsia="宋体" w:hAnsi="Book Antiqua" w:cs="宋体"/>
          <w:b/>
          <w:bCs/>
          <w:color w:val="000000"/>
          <w:kern w:val="0"/>
          <w:szCs w:val="21"/>
        </w:rPr>
        <w:t>32</w:t>
      </w:r>
      <w:r w:rsidRPr="000E1BD8">
        <w:rPr>
          <w:rFonts w:ascii="Book Antiqua" w:eastAsia="宋体" w:hAnsi="Book Antiqua" w:cs="宋体"/>
          <w:color w:val="000000"/>
          <w:kern w:val="0"/>
          <w:szCs w:val="21"/>
        </w:rPr>
        <w:t>: 925-932 [PMID: 9299673]</w:t>
      </w:r>
    </w:p>
    <w:p w:rsidR="0074597D" w:rsidRPr="00F07F5C" w:rsidRDefault="0074597D" w:rsidP="00BC503B">
      <w:pPr>
        <w:adjustRightInd w:val="0"/>
        <w:snapToGrid w:val="0"/>
        <w:spacing w:line="360" w:lineRule="auto"/>
        <w:rPr>
          <w:rFonts w:ascii="Book Antiqua" w:hAnsi="Book Antiqua"/>
          <w:szCs w:val="21"/>
        </w:rPr>
      </w:pPr>
    </w:p>
    <w:p w:rsidR="0074597D" w:rsidRPr="00652C0E" w:rsidRDefault="0074597D" w:rsidP="00BC503B">
      <w:pPr>
        <w:adjustRightInd w:val="0"/>
        <w:snapToGrid w:val="0"/>
        <w:spacing w:line="360" w:lineRule="auto"/>
        <w:ind w:left="316" w:hangingChars="150" w:hanging="316"/>
        <w:jc w:val="right"/>
        <w:rPr>
          <w:rFonts w:ascii="Book Antiqua" w:hAnsi="Book Antiqua"/>
        </w:rPr>
      </w:pPr>
      <w:r w:rsidRPr="00652C0E">
        <w:rPr>
          <w:rFonts w:ascii="Book Antiqua" w:hAnsi="Book Antiqua"/>
          <w:b/>
          <w:bCs/>
        </w:rPr>
        <w:lastRenderedPageBreak/>
        <w:t>P-Reviewer</w:t>
      </w:r>
      <w:r>
        <w:rPr>
          <w:rFonts w:ascii="Book Antiqua" w:hAnsi="Book Antiqua" w:hint="eastAsia"/>
          <w:b/>
          <w:bCs/>
        </w:rPr>
        <w:t>s</w:t>
      </w:r>
      <w:r w:rsidRPr="00652C0E">
        <w:rPr>
          <w:rFonts w:ascii="Book Antiqua" w:hAnsi="Book Antiqua" w:hint="eastAsia"/>
          <w:b/>
          <w:bCs/>
        </w:rPr>
        <w:t>:</w:t>
      </w:r>
      <w:r w:rsidRPr="00652C0E">
        <w:rPr>
          <w:rFonts w:ascii="Book Antiqua" w:hAnsi="Book Antiqua"/>
          <w:b/>
          <w:bCs/>
        </w:rPr>
        <w:t xml:space="preserve"> </w:t>
      </w:r>
      <w:r w:rsidRPr="0074597D">
        <w:rPr>
          <w:rFonts w:ascii="Book Antiqua" w:hAnsi="Book Antiqua"/>
          <w:bCs/>
        </w:rPr>
        <w:t>Troncoso MF</w:t>
      </w:r>
      <w:r w:rsidRPr="0074597D">
        <w:rPr>
          <w:rFonts w:ascii="Book Antiqua" w:hAnsi="Book Antiqua" w:hint="eastAsia"/>
          <w:bCs/>
        </w:rPr>
        <w:t xml:space="preserve">, </w:t>
      </w:r>
      <w:r w:rsidRPr="0074597D">
        <w:rPr>
          <w:rFonts w:ascii="Book Antiqua" w:hAnsi="Book Antiqua"/>
          <w:bCs/>
        </w:rPr>
        <w:t>Yang</w:t>
      </w:r>
      <w:r w:rsidRPr="0074597D">
        <w:rPr>
          <w:rFonts w:ascii="Book Antiqua" w:hAnsi="Book Antiqua" w:hint="eastAsia"/>
          <w:bCs/>
        </w:rPr>
        <w:t xml:space="preserve"> P </w:t>
      </w:r>
      <w:r w:rsidRPr="00652C0E">
        <w:rPr>
          <w:rFonts w:ascii="Book Antiqua" w:hAnsi="Book Antiqua"/>
          <w:b/>
          <w:bCs/>
        </w:rPr>
        <w:t>S-Editor</w:t>
      </w:r>
      <w:r w:rsidRPr="00652C0E">
        <w:rPr>
          <w:rFonts w:ascii="Book Antiqua" w:hAnsi="Book Antiqua" w:hint="eastAsia"/>
          <w:b/>
          <w:bCs/>
        </w:rPr>
        <w:t>:</w:t>
      </w:r>
      <w:r w:rsidRPr="00652C0E">
        <w:rPr>
          <w:rFonts w:ascii="Book Antiqua" w:hAnsi="Book Antiqua"/>
        </w:rPr>
        <w:t xml:space="preserve"> </w:t>
      </w:r>
      <w:r>
        <w:rPr>
          <w:rFonts w:ascii="Book Antiqua" w:hAnsi="Book Antiqua" w:hint="eastAsia"/>
        </w:rPr>
        <w:t>Ma YJ</w:t>
      </w:r>
      <w:r w:rsidRPr="00652C0E">
        <w:rPr>
          <w:rFonts w:ascii="Book Antiqua" w:hAnsi="Book Antiqua"/>
        </w:rPr>
        <w:t xml:space="preserve"> </w:t>
      </w:r>
      <w:r w:rsidRPr="00652C0E">
        <w:rPr>
          <w:rFonts w:ascii="Book Antiqua" w:hAnsi="Book Antiqua"/>
          <w:b/>
          <w:bCs/>
        </w:rPr>
        <w:t>L-Editor</w:t>
      </w:r>
      <w:r w:rsidRPr="00652C0E">
        <w:rPr>
          <w:rFonts w:ascii="Book Antiqua" w:hAnsi="Book Antiqua" w:hint="eastAsia"/>
          <w:b/>
          <w:bCs/>
        </w:rPr>
        <w:t>:</w:t>
      </w:r>
      <w:r w:rsidRPr="00652C0E">
        <w:rPr>
          <w:rFonts w:ascii="Book Antiqua" w:hAnsi="Book Antiqua"/>
        </w:rPr>
        <w:t xml:space="preserve">  </w:t>
      </w:r>
      <w:r w:rsidRPr="00652C0E">
        <w:rPr>
          <w:rFonts w:ascii="Book Antiqua" w:hAnsi="Book Antiqua"/>
          <w:b/>
          <w:bCs/>
        </w:rPr>
        <w:t>E-Editor</w:t>
      </w:r>
      <w:r w:rsidRPr="00652C0E">
        <w:rPr>
          <w:rFonts w:ascii="Book Antiqua" w:hAnsi="Book Antiqua" w:hint="eastAsia"/>
          <w:b/>
          <w:bCs/>
        </w:rPr>
        <w:t>:</w:t>
      </w:r>
    </w:p>
    <w:p w:rsidR="0074597D"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br w:type="page"/>
      </w:r>
    </w:p>
    <w:p w:rsidR="0074597D" w:rsidRDefault="0074597D" w:rsidP="00BC503B">
      <w:pPr>
        <w:adjustRightInd w:val="0"/>
        <w:snapToGrid w:val="0"/>
        <w:spacing w:line="360" w:lineRule="auto"/>
        <w:rPr>
          <w:rFonts w:ascii="宋体" w:eastAsia="宋体" w:hAnsi="宋体" w:cs="宋体"/>
          <w:kern w:val="0"/>
          <w:sz w:val="24"/>
          <w:szCs w:val="24"/>
        </w:rPr>
      </w:pPr>
      <w:r>
        <w:rPr>
          <w:rFonts w:ascii="宋体" w:eastAsia="宋体" w:hAnsi="宋体" w:cs="宋体" w:hint="eastAsia"/>
          <w:noProof/>
          <w:kern w:val="0"/>
          <w:sz w:val="24"/>
          <w:szCs w:val="24"/>
        </w:rPr>
        <w:lastRenderedPageBreak/>
        <w:drawing>
          <wp:inline distT="0" distB="0" distL="0" distR="0" wp14:anchorId="72B7769F" wp14:editId="034E9738">
            <wp:extent cx="3512185" cy="30697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Effect of neonatal acetic acid treatment on sensitivity to CRD at 8 weeks of ag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2185" cy="3069771"/>
                    </a:xfrm>
                    <a:prstGeom prst="rect">
                      <a:avLst/>
                    </a:prstGeom>
                  </pic:spPr>
                </pic:pic>
              </a:graphicData>
            </a:graphic>
          </wp:inline>
        </w:drawing>
      </w:r>
    </w:p>
    <w:p w:rsidR="00EC7D98" w:rsidRPr="00370E67"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Figure 1 Effect of neonatal acetic acid treatment on 8-week-old rat sensitivity to colorectal distension.</w:t>
      </w:r>
      <w:r w:rsidRPr="00343901">
        <w:rPr>
          <w:rFonts w:ascii="Book Antiqua" w:hAnsi="Book Antiqua"/>
          <w:sz w:val="24"/>
          <w:szCs w:val="24"/>
        </w:rPr>
        <w:t xml:space="preserve"> A: Abdominal withdrawal reflex (AWR) responses to the graded pressures of </w:t>
      </w:r>
      <w:r w:rsidR="0074597D" w:rsidRPr="0074597D">
        <w:rPr>
          <w:rFonts w:ascii="Book Antiqua" w:hAnsi="Book Antiqua"/>
          <w:sz w:val="24"/>
          <w:szCs w:val="24"/>
        </w:rPr>
        <w:t>colorectal distension (CRD)</w:t>
      </w:r>
      <w:r w:rsidR="0074597D">
        <w:rPr>
          <w:rFonts w:ascii="Book Antiqua" w:hAnsi="Book Antiqua" w:hint="eastAsia"/>
          <w:sz w:val="24"/>
          <w:szCs w:val="24"/>
        </w:rPr>
        <w:t xml:space="preserve"> </w:t>
      </w:r>
      <w:r w:rsidRPr="00343901">
        <w:rPr>
          <w:rFonts w:ascii="Book Antiqua" w:hAnsi="Book Antiqua"/>
          <w:sz w:val="24"/>
          <w:szCs w:val="24"/>
        </w:rPr>
        <w:t>in saline-treated (</w:t>
      </w:r>
      <w:r w:rsidRPr="00343901">
        <w:rPr>
          <w:rFonts w:ascii="Book Antiqua" w:hAnsi="Book Antiqua"/>
          <w:i/>
          <w:sz w:val="24"/>
          <w:szCs w:val="24"/>
        </w:rPr>
        <w:t xml:space="preserve">n </w:t>
      </w:r>
      <w:r w:rsidRPr="00343901">
        <w:rPr>
          <w:rFonts w:ascii="Book Antiqua" w:hAnsi="Book Antiqua"/>
          <w:sz w:val="24"/>
          <w:szCs w:val="24"/>
        </w:rPr>
        <w:t>= 10) and acetic acid-treated (</w:t>
      </w:r>
      <w:r w:rsidRPr="00343901">
        <w:rPr>
          <w:rFonts w:ascii="Book Antiqua" w:hAnsi="Book Antiqua"/>
          <w:i/>
          <w:sz w:val="24"/>
          <w:szCs w:val="24"/>
        </w:rPr>
        <w:t xml:space="preserve">n </w:t>
      </w:r>
      <w:r w:rsidRPr="00343901">
        <w:rPr>
          <w:rFonts w:ascii="Book Antiqua" w:hAnsi="Book Antiqua"/>
          <w:sz w:val="24"/>
          <w:szCs w:val="24"/>
        </w:rPr>
        <w:t>= 10) rats. Acetic acid-treated rats show increased AWR scores compared with the saline rats. Values are expressed as mean ± SD; B: Representative electromyogram (EMG) traces recorded in control and acetic acid-treated rats in response to CRD; C: EMG responses to CRD in rats treated with saline and acetic acid at the neonatal stage. Similar to the AWR scores, acetic acid-treated rats exhibited exaggerated EMG activity responses to CRD at different pressures compared with the saline-treated rats.</w:t>
      </w:r>
      <w:r w:rsidR="00370E67" w:rsidRPr="00370E67">
        <w:t xml:space="preserve"> </w:t>
      </w:r>
      <w:r w:rsidR="00370E67">
        <w:rPr>
          <w:rFonts w:ascii="Book Antiqua" w:hAnsi="Book Antiqua"/>
          <w:sz w:val="24"/>
          <w:szCs w:val="24"/>
        </w:rPr>
        <w:t>Neonatal rats</w:t>
      </w:r>
      <w:r w:rsidR="00370E67">
        <w:rPr>
          <w:rFonts w:ascii="Book Antiqua" w:hAnsi="Book Antiqua" w:hint="eastAsia"/>
          <w:sz w:val="24"/>
          <w:szCs w:val="24"/>
        </w:rPr>
        <w:t xml:space="preserve"> </w:t>
      </w:r>
      <w:r w:rsidR="00370E67" w:rsidRPr="00370E67">
        <w:rPr>
          <w:rFonts w:ascii="Book Antiqua" w:hAnsi="Book Antiqua" w:hint="eastAsia"/>
          <w:i/>
          <w:sz w:val="24"/>
          <w:szCs w:val="24"/>
        </w:rPr>
        <w:t>vs</w:t>
      </w:r>
      <w:r w:rsidR="00370E67">
        <w:rPr>
          <w:rFonts w:ascii="Book Antiqua" w:hAnsi="Book Antiqua" w:hint="eastAsia"/>
          <w:sz w:val="24"/>
          <w:szCs w:val="24"/>
        </w:rPr>
        <w:t xml:space="preserve"> </w:t>
      </w:r>
      <w:r w:rsidR="00370E67" w:rsidRPr="00370E67">
        <w:rPr>
          <w:rFonts w:ascii="Book Antiqua" w:hAnsi="Book Antiqua"/>
          <w:sz w:val="24"/>
          <w:szCs w:val="24"/>
        </w:rPr>
        <w:t>control rats</w:t>
      </w:r>
      <w:r w:rsidR="00370E67">
        <w:rPr>
          <w:rFonts w:ascii="Book Antiqua" w:hAnsi="Book Antiqua" w:hint="eastAsia"/>
          <w:sz w:val="24"/>
          <w:szCs w:val="24"/>
        </w:rPr>
        <w:t>,</w:t>
      </w:r>
      <w:r w:rsidRPr="00343901">
        <w:rPr>
          <w:rFonts w:ascii="Book Antiqua" w:hAnsi="Book Antiqua"/>
          <w:sz w:val="24"/>
          <w:szCs w:val="24"/>
        </w:rPr>
        <w:t xml:space="preserve"> </w:t>
      </w:r>
      <w:r w:rsidR="00155E96" w:rsidRPr="00155E96">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155E96">
        <w:rPr>
          <w:rFonts w:ascii="Book Antiqua" w:hAnsi="Book Antiqua" w:hint="eastAsia"/>
          <w:sz w:val="24"/>
          <w:szCs w:val="24"/>
          <w:vertAlign w:val="superscript"/>
        </w:rPr>
        <w:t>b</w:t>
      </w:r>
      <w:r w:rsidRPr="00343901">
        <w:rPr>
          <w:rFonts w:ascii="Book Antiqua" w:hAnsi="Book Antiqua"/>
          <w:i/>
          <w:sz w:val="24"/>
          <w:szCs w:val="24"/>
        </w:rPr>
        <w:t xml:space="preserve">P </w:t>
      </w:r>
      <w:r w:rsidR="00155E96" w:rsidRPr="00155E96">
        <w:rPr>
          <w:rFonts w:ascii="Book Antiqua" w:hAnsi="Book Antiqua"/>
          <w:sz w:val="24"/>
          <w:szCs w:val="24"/>
        </w:rPr>
        <w:t>≤</w:t>
      </w:r>
      <w:r w:rsidR="00155E96">
        <w:rPr>
          <w:rFonts w:ascii="Book Antiqua" w:hAnsi="Book Antiqua"/>
          <w:sz w:val="24"/>
          <w:szCs w:val="24"/>
        </w:rPr>
        <w:t xml:space="preserve"> 0.0</w:t>
      </w:r>
      <w:r w:rsidRPr="00343901">
        <w:rPr>
          <w:rFonts w:ascii="Book Antiqua" w:hAnsi="Book Antiqua"/>
          <w:sz w:val="24"/>
          <w:szCs w:val="24"/>
        </w:rPr>
        <w:t>1. Error bars represent the mean</w:t>
      </w:r>
      <w:r w:rsidR="00155E96" w:rsidRPr="00155E96">
        <w:rPr>
          <w:rFonts w:ascii="Book Antiqua" w:hAnsi="Book Antiqua"/>
          <w:sz w:val="24"/>
          <w:szCs w:val="24"/>
        </w:rPr>
        <w:t xml:space="preserve"> ±</w:t>
      </w:r>
      <w:r w:rsidR="00155E96">
        <w:rPr>
          <w:rFonts w:ascii="Book Antiqua" w:hAnsi="Book Antiqua" w:hint="eastAsia"/>
          <w:sz w:val="24"/>
          <w:szCs w:val="24"/>
        </w:rPr>
        <w:t xml:space="preserve"> </w:t>
      </w:r>
      <w:r w:rsidR="00155E96" w:rsidRPr="00343901">
        <w:rPr>
          <w:rFonts w:ascii="Book Antiqua" w:hAnsi="Book Antiqua"/>
          <w:sz w:val="24"/>
          <w:szCs w:val="24"/>
        </w:rPr>
        <w:t>SD</w:t>
      </w:r>
      <w:r w:rsidRPr="00343901">
        <w:rPr>
          <w:rFonts w:ascii="Book Antiqua" w:hAnsi="Book Antiqua"/>
          <w:sz w:val="24"/>
          <w:szCs w:val="24"/>
        </w:rPr>
        <w:t>.</w:t>
      </w:r>
    </w:p>
    <w:p w:rsidR="00EC7D98" w:rsidRPr="00370E67" w:rsidRDefault="00EC7D98" w:rsidP="00BC503B">
      <w:pPr>
        <w:adjustRightInd w:val="0"/>
        <w:snapToGrid w:val="0"/>
        <w:spacing w:line="360" w:lineRule="auto"/>
        <w:rPr>
          <w:rFonts w:ascii="Book Antiqua" w:hAnsi="Book Antiqua"/>
          <w:b/>
          <w:sz w:val="24"/>
          <w:szCs w:val="24"/>
        </w:rPr>
      </w:pPr>
    </w:p>
    <w:p w:rsidR="00F33309" w:rsidRPr="00343901" w:rsidRDefault="00F33309" w:rsidP="00BC503B">
      <w:pPr>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790BF092" wp14:editId="5A18F7D7">
            <wp:extent cx="3366655" cy="2380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The EGF levels in plasma and colon in visceral-sensitized rats.tif"/>
                    <pic:cNvPicPr/>
                  </pic:nvPicPr>
                  <pic:blipFill rotWithShape="1">
                    <a:blip r:embed="rId9" cstate="print">
                      <a:extLst>
                        <a:ext uri="{28A0092B-C50C-407E-A947-70E740481C1C}">
                          <a14:useLocalDpi xmlns:a14="http://schemas.microsoft.com/office/drawing/2010/main" val="0"/>
                        </a:ext>
                      </a:extLst>
                    </a:blip>
                    <a:srcRect l="5100" r="7265"/>
                    <a:stretch/>
                  </pic:blipFill>
                  <pic:spPr bwMode="auto">
                    <a:xfrm>
                      <a:off x="0" y="0"/>
                      <a:ext cx="3369562" cy="2382696"/>
                    </a:xfrm>
                    <a:prstGeom prst="rect">
                      <a:avLst/>
                    </a:prstGeom>
                    <a:ln>
                      <a:noFill/>
                    </a:ln>
                    <a:extLst>
                      <a:ext uri="{53640926-AAD7-44D8-BBD7-CCE9431645EC}">
                        <a14:shadowObscured xmlns:a14="http://schemas.microsoft.com/office/drawing/2010/main"/>
                      </a:ext>
                    </a:extLst>
                  </pic:spPr>
                </pic:pic>
              </a:graphicData>
            </a:graphic>
          </wp:inline>
        </w:drawing>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Figure 2 Epidermal growth factor</w:t>
      </w:r>
      <w:r w:rsidRPr="00343901">
        <w:rPr>
          <w:rFonts w:ascii="Book Antiqua" w:hAnsi="Book Antiqua"/>
          <w:sz w:val="24"/>
          <w:szCs w:val="24"/>
        </w:rPr>
        <w:t xml:space="preserve"> </w:t>
      </w:r>
      <w:r w:rsidRPr="00343901">
        <w:rPr>
          <w:rFonts w:ascii="Book Antiqua" w:hAnsi="Book Antiqua"/>
          <w:b/>
          <w:sz w:val="24"/>
          <w:szCs w:val="24"/>
        </w:rPr>
        <w:t xml:space="preserve">levels in plasma and colon tissue of the visceral-sensitized rats. </w:t>
      </w:r>
      <w:r w:rsidRPr="00343901">
        <w:rPr>
          <w:rFonts w:ascii="Book Antiqua" w:hAnsi="Book Antiqua"/>
          <w:sz w:val="24"/>
          <w:szCs w:val="24"/>
        </w:rPr>
        <w:t xml:space="preserve">A: Plasma </w:t>
      </w:r>
      <w:r w:rsidR="00F33309" w:rsidRPr="00F33309">
        <w:rPr>
          <w:rFonts w:ascii="Book Antiqua" w:hAnsi="Book Antiqua"/>
          <w:sz w:val="24"/>
          <w:szCs w:val="24"/>
        </w:rPr>
        <w:t>Epidermal growth factor (EGF)</w:t>
      </w:r>
      <w:r w:rsidR="00F33309">
        <w:rPr>
          <w:rFonts w:ascii="Book Antiqua" w:hAnsi="Book Antiqua" w:hint="eastAsia"/>
          <w:sz w:val="24"/>
          <w:szCs w:val="24"/>
        </w:rPr>
        <w:t xml:space="preserve"> </w:t>
      </w:r>
      <w:r w:rsidRPr="00343901">
        <w:rPr>
          <w:rFonts w:ascii="Book Antiqua" w:hAnsi="Book Antiqua"/>
          <w:sz w:val="24"/>
          <w:szCs w:val="24"/>
        </w:rPr>
        <w:t>levels were significantly lower in visceral-sensitized rats than in controls (</w:t>
      </w:r>
      <w:r w:rsidR="00370E67" w:rsidRPr="00370E67">
        <w:rPr>
          <w:rFonts w:ascii="Book Antiqua" w:hAnsi="Book Antiqua"/>
          <w:sz w:val="24"/>
          <w:szCs w:val="24"/>
        </w:rPr>
        <w:t xml:space="preserve">visceral hypersensitive group rats </w:t>
      </w:r>
      <w:r w:rsidR="00370E67" w:rsidRPr="00F33309">
        <w:rPr>
          <w:rFonts w:ascii="Book Antiqua" w:hAnsi="Book Antiqua" w:hint="eastAsia"/>
          <w:i/>
          <w:sz w:val="24"/>
          <w:szCs w:val="24"/>
        </w:rPr>
        <w:t>vs</w:t>
      </w:r>
      <w:r w:rsidR="00370E67" w:rsidRPr="00370E67">
        <w:rPr>
          <w:rFonts w:ascii="Book Antiqua" w:hAnsi="Book Antiqua"/>
          <w:sz w:val="24"/>
          <w:szCs w:val="24"/>
        </w:rPr>
        <w:t xml:space="preserve"> control group rats</w:t>
      </w:r>
      <w:r w:rsidR="00370E67">
        <w:rPr>
          <w:rFonts w:ascii="Book Antiqua" w:hAnsi="Book Antiqua" w:hint="eastAsia"/>
          <w:sz w:val="24"/>
          <w:szCs w:val="24"/>
        </w:rPr>
        <w:t>,</w:t>
      </w:r>
      <w:r w:rsidR="00F33309">
        <w:rPr>
          <w:rFonts w:ascii="Book Antiqua" w:hAnsi="Book Antiqua" w:hint="eastAsia"/>
          <w:sz w:val="24"/>
          <w:szCs w:val="24"/>
          <w:vertAlign w:val="superscript"/>
        </w:rPr>
        <w:t xml:space="preserve"> b</w:t>
      </w:r>
      <w:r w:rsidRPr="00343901">
        <w:rPr>
          <w:rFonts w:ascii="Book Antiqua" w:hAnsi="Book Antiqua"/>
          <w:i/>
          <w:sz w:val="24"/>
          <w:szCs w:val="24"/>
        </w:rPr>
        <w:t xml:space="preserve">P </w:t>
      </w:r>
      <w:r w:rsidRPr="00343901">
        <w:rPr>
          <w:rFonts w:ascii="Book Antiqua" w:hAnsi="Book Antiqua"/>
          <w:sz w:val="24"/>
          <w:szCs w:val="24"/>
        </w:rPr>
        <w:t>&lt; 0.01); B: EGF levels in colon were significantly lower in visceral-sensitized rats than in controls (</w:t>
      </w:r>
      <w:r w:rsidR="00370E67" w:rsidRPr="00370E67">
        <w:rPr>
          <w:rFonts w:ascii="Book Antiqua" w:hAnsi="Book Antiqua"/>
          <w:sz w:val="24"/>
          <w:szCs w:val="24"/>
        </w:rPr>
        <w:t xml:space="preserve">visceral-sensitized rats </w:t>
      </w:r>
      <w:r w:rsidR="00370E67" w:rsidRPr="00370E67">
        <w:rPr>
          <w:rFonts w:ascii="Book Antiqua" w:hAnsi="Book Antiqua" w:hint="eastAsia"/>
          <w:i/>
          <w:sz w:val="24"/>
          <w:szCs w:val="24"/>
        </w:rPr>
        <w:t>vs</w:t>
      </w:r>
      <w:r w:rsidR="00370E67">
        <w:rPr>
          <w:rFonts w:ascii="Book Antiqua" w:hAnsi="Book Antiqua" w:hint="eastAsia"/>
          <w:sz w:val="24"/>
          <w:szCs w:val="24"/>
        </w:rPr>
        <w:t xml:space="preserve"> </w:t>
      </w:r>
      <w:r w:rsidR="00370E67" w:rsidRPr="00370E67">
        <w:rPr>
          <w:rFonts w:ascii="Book Antiqua" w:hAnsi="Book Antiqua"/>
          <w:sz w:val="24"/>
          <w:szCs w:val="24"/>
        </w:rPr>
        <w:t>control rats</w:t>
      </w:r>
      <w:r w:rsidR="00F33309">
        <w:rPr>
          <w:rFonts w:ascii="Book Antiqua" w:hAnsi="Book Antiqua" w:hint="eastAsia"/>
          <w:sz w:val="24"/>
          <w:szCs w:val="24"/>
        </w:rPr>
        <w:t xml:space="preserve"> </w:t>
      </w:r>
      <w:r w:rsidR="00F33309">
        <w:rPr>
          <w:rFonts w:ascii="Book Antiqua" w:hAnsi="Book Antiqua" w:hint="eastAsia"/>
          <w:sz w:val="24"/>
          <w:szCs w:val="24"/>
          <w:vertAlign w:val="superscript"/>
        </w:rPr>
        <w:t>d</w:t>
      </w:r>
      <w:r w:rsidRPr="00343901">
        <w:rPr>
          <w:rFonts w:ascii="Book Antiqua" w:hAnsi="Book Antiqua"/>
          <w:i/>
          <w:sz w:val="24"/>
          <w:szCs w:val="24"/>
        </w:rPr>
        <w:t xml:space="preserve">P </w:t>
      </w:r>
      <w:r w:rsidRPr="00343901">
        <w:rPr>
          <w:rFonts w:ascii="Book Antiqua" w:hAnsi="Book Antiqua"/>
          <w:sz w:val="24"/>
          <w:szCs w:val="24"/>
        </w:rPr>
        <w:t xml:space="preserve">&lt; 0.01). Error bars represent </w:t>
      </w:r>
      <w:r w:rsidR="00F33309" w:rsidRPr="00343901">
        <w:rPr>
          <w:rFonts w:ascii="Book Antiqua" w:hAnsi="Book Antiqua"/>
          <w:sz w:val="24"/>
          <w:szCs w:val="24"/>
        </w:rPr>
        <w:t>the mean</w:t>
      </w:r>
      <w:r w:rsidR="00F33309" w:rsidRPr="00155E96">
        <w:rPr>
          <w:rFonts w:ascii="Book Antiqua" w:hAnsi="Book Antiqua"/>
          <w:sz w:val="24"/>
          <w:szCs w:val="24"/>
        </w:rPr>
        <w:t xml:space="preserve"> ±</w:t>
      </w:r>
      <w:r w:rsidR="00F33309">
        <w:rPr>
          <w:rFonts w:ascii="Book Antiqua" w:hAnsi="Book Antiqua" w:hint="eastAsia"/>
          <w:sz w:val="24"/>
          <w:szCs w:val="24"/>
        </w:rPr>
        <w:t xml:space="preserve"> </w:t>
      </w:r>
      <w:r w:rsidR="00F33309" w:rsidRPr="00343901">
        <w:rPr>
          <w:rFonts w:ascii="Book Antiqua" w:hAnsi="Book Antiqua"/>
          <w:sz w:val="24"/>
          <w:szCs w:val="24"/>
        </w:rPr>
        <w:t>SD</w:t>
      </w:r>
      <w:r w:rsidRPr="00343901">
        <w:rPr>
          <w:rFonts w:ascii="Book Antiqua" w:hAnsi="Book Antiqua"/>
          <w:sz w:val="24"/>
          <w:szCs w:val="24"/>
        </w:rPr>
        <w:t xml:space="preserve"> (</w:t>
      </w:r>
      <w:r w:rsidRPr="00343901">
        <w:rPr>
          <w:rFonts w:ascii="Book Antiqua" w:hAnsi="Book Antiqua"/>
          <w:i/>
          <w:sz w:val="24"/>
          <w:szCs w:val="24"/>
        </w:rPr>
        <w:t>n</w:t>
      </w:r>
      <w:r w:rsidRPr="00343901">
        <w:rPr>
          <w:rFonts w:ascii="Book Antiqua" w:hAnsi="Book Antiqua"/>
          <w:sz w:val="24"/>
          <w:szCs w:val="24"/>
        </w:rPr>
        <w:t xml:space="preserve"> = 10 in each group).</w:t>
      </w:r>
    </w:p>
    <w:p w:rsidR="00160248" w:rsidRDefault="00160248" w:rsidP="00BC503B">
      <w:pPr>
        <w:adjustRightInd w:val="0"/>
        <w:snapToGrid w:val="0"/>
        <w:spacing w:line="360" w:lineRule="auto"/>
        <w:rPr>
          <w:rFonts w:ascii="Book Antiqua" w:hAnsi="Book Antiqua"/>
          <w:b/>
          <w:bCs/>
          <w:sz w:val="24"/>
          <w:szCs w:val="24"/>
        </w:rPr>
      </w:pPr>
      <w:r>
        <w:rPr>
          <w:rFonts w:ascii="Book Antiqua" w:hAnsi="Book Antiqua"/>
          <w:b/>
          <w:bCs/>
          <w:sz w:val="24"/>
          <w:szCs w:val="24"/>
        </w:rPr>
        <w:br w:type="page"/>
      </w:r>
    </w:p>
    <w:p w:rsidR="00EC7D98" w:rsidRDefault="00EC7D98" w:rsidP="00BC503B">
      <w:pPr>
        <w:adjustRightInd w:val="0"/>
        <w:snapToGrid w:val="0"/>
        <w:spacing w:line="360" w:lineRule="auto"/>
        <w:rPr>
          <w:rFonts w:ascii="Book Antiqua" w:hAnsi="Book Antiqua"/>
          <w:b/>
          <w:bCs/>
          <w:sz w:val="24"/>
          <w:szCs w:val="24"/>
        </w:rPr>
      </w:pPr>
    </w:p>
    <w:p w:rsidR="00160248" w:rsidRPr="00343901" w:rsidRDefault="00160248" w:rsidP="00BC503B">
      <w:pPr>
        <w:adjustRightInd w:val="0"/>
        <w:snapToGrid w:val="0"/>
        <w:spacing w:line="360" w:lineRule="auto"/>
        <w:rPr>
          <w:rFonts w:ascii="Book Antiqua" w:hAnsi="Book Antiqua"/>
          <w:b/>
          <w:bCs/>
          <w:sz w:val="24"/>
          <w:szCs w:val="24"/>
        </w:rPr>
      </w:pPr>
      <w:r>
        <w:rPr>
          <w:rFonts w:ascii="Book Antiqua" w:hAnsi="Book Antiqua"/>
          <w:b/>
          <w:bCs/>
          <w:noProof/>
          <w:sz w:val="24"/>
          <w:szCs w:val="24"/>
        </w:rPr>
        <w:drawing>
          <wp:inline distT="0" distB="0" distL="0" distR="0" wp14:anchorId="0AE8EBF8" wp14:editId="24B13C0C">
            <wp:extent cx="4364966" cy="36748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ERT levels in colon tissue of control and visceral-sensitized rats.tif"/>
                    <pic:cNvPicPr/>
                  </pic:nvPicPr>
                  <pic:blipFill>
                    <a:blip r:embed="rId10">
                      <a:extLst>
                        <a:ext uri="{28A0092B-C50C-407E-A947-70E740481C1C}">
                          <a14:useLocalDpi xmlns:a14="http://schemas.microsoft.com/office/drawing/2010/main" val="0"/>
                        </a:ext>
                      </a:extLst>
                    </a:blip>
                    <a:stretch>
                      <a:fillRect/>
                    </a:stretch>
                  </pic:blipFill>
                  <pic:spPr>
                    <a:xfrm>
                      <a:off x="0" y="0"/>
                      <a:ext cx="4362434" cy="3672721"/>
                    </a:xfrm>
                    <a:prstGeom prst="rect">
                      <a:avLst/>
                    </a:prstGeom>
                  </pic:spPr>
                </pic:pic>
              </a:graphicData>
            </a:graphic>
          </wp:inline>
        </w:drawing>
      </w:r>
    </w:p>
    <w:p w:rsidR="00EC7D98" w:rsidRPr="00343901" w:rsidRDefault="00821DB6" w:rsidP="00BC503B">
      <w:pPr>
        <w:adjustRightInd w:val="0"/>
        <w:snapToGrid w:val="0"/>
        <w:spacing w:line="360" w:lineRule="auto"/>
        <w:rPr>
          <w:rFonts w:ascii="Book Antiqua" w:hAnsi="Book Antiqua"/>
          <w:sz w:val="24"/>
          <w:szCs w:val="24"/>
        </w:rPr>
      </w:pPr>
      <w:r>
        <w:rPr>
          <w:rFonts w:ascii="Book Antiqua" w:hAnsi="Book Antiqua"/>
          <w:b/>
          <w:sz w:val="24"/>
          <w:szCs w:val="24"/>
        </w:rPr>
        <w:t>Figure 3 Serotonin transporter</w:t>
      </w:r>
      <w:r w:rsidR="00EC7D98" w:rsidRPr="00343901">
        <w:rPr>
          <w:rFonts w:ascii="Book Antiqua" w:hAnsi="Book Antiqua"/>
          <w:b/>
          <w:sz w:val="24"/>
          <w:szCs w:val="24"/>
        </w:rPr>
        <w:t xml:space="preserve"> levels in colon tissues of control and visceral-sensitized rats. </w:t>
      </w:r>
      <w:r w:rsidR="00EC7D98" w:rsidRPr="00343901">
        <w:rPr>
          <w:rFonts w:ascii="Book Antiqua" w:hAnsi="Book Antiqua"/>
          <w:sz w:val="24"/>
          <w:szCs w:val="24"/>
        </w:rPr>
        <w:t>A:</w:t>
      </w:r>
      <w:r w:rsidR="00EC7D98" w:rsidRPr="00343901">
        <w:rPr>
          <w:rFonts w:ascii="Book Antiqua" w:hAnsi="Book Antiqua"/>
          <w:b/>
          <w:sz w:val="24"/>
          <w:szCs w:val="24"/>
        </w:rPr>
        <w:t xml:space="preserve"> </w:t>
      </w:r>
      <w:r w:rsidR="00EC7D98" w:rsidRPr="00343901">
        <w:rPr>
          <w:rFonts w:ascii="Book Antiqua" w:hAnsi="Book Antiqua"/>
          <w:sz w:val="24"/>
          <w:szCs w:val="24"/>
        </w:rPr>
        <w:t xml:space="preserve">Western blot of </w:t>
      </w:r>
      <w:r w:rsidR="00160248" w:rsidRPr="00160248">
        <w:rPr>
          <w:rFonts w:ascii="Book Antiqua" w:hAnsi="Book Antiqua"/>
          <w:sz w:val="24"/>
          <w:szCs w:val="24"/>
        </w:rPr>
        <w:t>serotonin transporter (SERT)</w:t>
      </w:r>
      <w:r w:rsidR="00160248">
        <w:rPr>
          <w:rFonts w:ascii="Book Antiqua" w:hAnsi="Book Antiqua" w:hint="eastAsia"/>
          <w:sz w:val="24"/>
          <w:szCs w:val="24"/>
        </w:rPr>
        <w:t xml:space="preserve"> </w:t>
      </w:r>
      <w:r w:rsidR="00EC7D98" w:rsidRPr="00343901">
        <w:rPr>
          <w:rFonts w:ascii="Book Antiqua" w:hAnsi="Book Antiqua"/>
          <w:sz w:val="24"/>
          <w:szCs w:val="24"/>
        </w:rPr>
        <w:t>expression in colonic tissues in both acetic acid- and saline-treated rat groups; B: Quantitation of SERT protein in rat colonic tissue in both acetic acid- and saline-treated rat</w:t>
      </w:r>
      <w:r w:rsidR="00EC7D98" w:rsidRPr="00343901" w:rsidDel="005173F6">
        <w:rPr>
          <w:rFonts w:ascii="Book Antiqua" w:hAnsi="Book Antiqua"/>
          <w:sz w:val="24"/>
          <w:szCs w:val="24"/>
        </w:rPr>
        <w:t xml:space="preserve"> </w:t>
      </w:r>
      <w:r w:rsidR="00EC7D98" w:rsidRPr="00343901">
        <w:rPr>
          <w:rFonts w:ascii="Book Antiqua" w:hAnsi="Book Antiqua"/>
          <w:sz w:val="24"/>
          <w:szCs w:val="24"/>
        </w:rPr>
        <w:t>groups compared to GAPDH. The SERT protein expressions in colon tissues were significantly lower in visceral-sensitized rats than in the controls (</w:t>
      </w:r>
      <w:r w:rsidR="00370E67" w:rsidRPr="00370E67">
        <w:rPr>
          <w:rFonts w:ascii="Book Antiqua" w:hAnsi="Book Antiqua"/>
          <w:sz w:val="24"/>
          <w:szCs w:val="24"/>
        </w:rPr>
        <w:t>visceral-sensitized rats</w:t>
      </w:r>
      <w:r w:rsidR="00370E67">
        <w:rPr>
          <w:rFonts w:ascii="Book Antiqua" w:hAnsi="Book Antiqua" w:hint="eastAsia"/>
          <w:sz w:val="24"/>
          <w:szCs w:val="24"/>
        </w:rPr>
        <w:t xml:space="preserve"> </w:t>
      </w:r>
      <w:r w:rsidR="00370E67" w:rsidRPr="00370E67">
        <w:rPr>
          <w:rFonts w:ascii="Book Antiqua" w:hAnsi="Book Antiqua" w:hint="eastAsia"/>
          <w:i/>
          <w:sz w:val="24"/>
          <w:szCs w:val="24"/>
        </w:rPr>
        <w:t>vs</w:t>
      </w:r>
      <w:r w:rsidR="00370E67">
        <w:rPr>
          <w:rFonts w:ascii="Book Antiqua" w:hAnsi="Book Antiqua" w:hint="eastAsia"/>
          <w:sz w:val="24"/>
          <w:szCs w:val="24"/>
        </w:rPr>
        <w:t xml:space="preserve"> </w:t>
      </w:r>
      <w:r w:rsidR="00370E67" w:rsidRPr="00370E67">
        <w:rPr>
          <w:rFonts w:ascii="Book Antiqua" w:hAnsi="Book Antiqua"/>
          <w:sz w:val="24"/>
          <w:szCs w:val="24"/>
        </w:rPr>
        <w:t>controls</w:t>
      </w:r>
      <w:r w:rsidR="00370E67">
        <w:rPr>
          <w:rFonts w:ascii="Book Antiqua" w:hAnsi="Book Antiqua" w:hint="eastAsia"/>
          <w:sz w:val="24"/>
          <w:szCs w:val="24"/>
        </w:rPr>
        <w:t xml:space="preserve">, </w:t>
      </w:r>
      <w:r w:rsidR="00160248">
        <w:rPr>
          <w:rFonts w:ascii="Book Antiqua" w:hAnsi="Book Antiqua" w:hint="eastAsia"/>
          <w:sz w:val="24"/>
          <w:szCs w:val="24"/>
          <w:vertAlign w:val="superscript"/>
        </w:rPr>
        <w:t>b</w:t>
      </w:r>
      <w:r w:rsidR="00EC7D98" w:rsidRPr="00343901">
        <w:rPr>
          <w:rFonts w:ascii="Book Antiqua" w:hAnsi="Book Antiqua"/>
          <w:i/>
          <w:sz w:val="24"/>
          <w:szCs w:val="24"/>
        </w:rPr>
        <w:t xml:space="preserve">P </w:t>
      </w:r>
      <w:r w:rsidR="00EC7D98" w:rsidRPr="00343901">
        <w:rPr>
          <w:rFonts w:ascii="Book Antiqua" w:hAnsi="Book Antiqua"/>
          <w:sz w:val="24"/>
          <w:szCs w:val="24"/>
        </w:rPr>
        <w:t>&lt; 0.01) (</w:t>
      </w:r>
      <w:r w:rsidR="00EC7D98" w:rsidRPr="00343901">
        <w:rPr>
          <w:rFonts w:ascii="Book Antiqua" w:hAnsi="Book Antiqua"/>
          <w:i/>
          <w:sz w:val="24"/>
          <w:szCs w:val="24"/>
        </w:rPr>
        <w:t>n</w:t>
      </w:r>
      <w:r w:rsidR="00EC7D98" w:rsidRPr="00343901">
        <w:rPr>
          <w:rFonts w:ascii="Book Antiqua" w:hAnsi="Book Antiqua"/>
          <w:sz w:val="24"/>
          <w:szCs w:val="24"/>
        </w:rPr>
        <w:t xml:space="preserve"> = 10 in each group).</w:t>
      </w:r>
    </w:p>
    <w:p w:rsidR="00370E67" w:rsidRDefault="00370E67" w:rsidP="00BC503B">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EC7D98" w:rsidRPr="00160248" w:rsidRDefault="00030078" w:rsidP="00BC503B">
      <w:pPr>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3E595F9E" wp14:editId="05B60047">
            <wp:extent cx="6029879" cy="66383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Effects of EGF on SERT in cultured rat intestinal epithelial cell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5758" cy="6644779"/>
                    </a:xfrm>
                    <a:prstGeom prst="rect">
                      <a:avLst/>
                    </a:prstGeom>
                  </pic:spPr>
                </pic:pic>
              </a:graphicData>
            </a:graphic>
          </wp:inline>
        </w:drawing>
      </w:r>
    </w:p>
    <w:p w:rsidR="00EC7D98" w:rsidRPr="00343901" w:rsidRDefault="00EC7D98" w:rsidP="00BC503B">
      <w:pPr>
        <w:adjustRightInd w:val="0"/>
        <w:snapToGrid w:val="0"/>
        <w:spacing w:line="360" w:lineRule="auto"/>
        <w:rPr>
          <w:rFonts w:ascii="Book Antiqua" w:hAnsi="Book Antiqua"/>
          <w:b/>
          <w:sz w:val="24"/>
          <w:szCs w:val="24"/>
        </w:rPr>
      </w:pPr>
      <w:r w:rsidRPr="00343901">
        <w:rPr>
          <w:rFonts w:ascii="Book Antiqua" w:hAnsi="Book Antiqua"/>
          <w:b/>
          <w:sz w:val="24"/>
          <w:szCs w:val="24"/>
        </w:rPr>
        <w:t>Figure 4 Eff</w:t>
      </w:r>
      <w:r w:rsidR="00030078">
        <w:rPr>
          <w:rFonts w:ascii="Book Antiqua" w:hAnsi="Book Antiqua"/>
          <w:b/>
          <w:sz w:val="24"/>
          <w:szCs w:val="24"/>
        </w:rPr>
        <w:t>ects of epidermal growth factor</w:t>
      </w:r>
      <w:r w:rsidRPr="00343901">
        <w:rPr>
          <w:rFonts w:ascii="Book Antiqua" w:hAnsi="Book Antiqua"/>
          <w:b/>
          <w:sz w:val="24"/>
          <w:szCs w:val="24"/>
        </w:rPr>
        <w:t xml:space="preserve"> on serotonin transporter in rat intestinal epithelial cells</w:t>
      </w:r>
      <w:r w:rsidRPr="00343901">
        <w:rPr>
          <w:rFonts w:ascii="Book Antiqua" w:hAnsi="Book Antiqua"/>
          <w:sz w:val="24"/>
          <w:szCs w:val="24"/>
        </w:rPr>
        <w:t xml:space="preserve">. </w:t>
      </w:r>
      <w:r w:rsidR="00030078" w:rsidRPr="00030078">
        <w:rPr>
          <w:rFonts w:ascii="Book Antiqua" w:hAnsi="Book Antiqua"/>
          <w:caps/>
          <w:sz w:val="24"/>
          <w:szCs w:val="24"/>
        </w:rPr>
        <w:t>i</w:t>
      </w:r>
      <w:r w:rsidR="00030078" w:rsidRPr="00030078">
        <w:rPr>
          <w:rFonts w:ascii="Book Antiqua" w:hAnsi="Book Antiqua"/>
          <w:sz w:val="24"/>
          <w:szCs w:val="24"/>
        </w:rPr>
        <w:t>ntestinal epithelial cells (IEC-6)</w:t>
      </w:r>
      <w:r w:rsidRPr="00343901">
        <w:rPr>
          <w:rFonts w:ascii="Book Antiqua" w:hAnsi="Book Antiqua"/>
          <w:sz w:val="24"/>
          <w:szCs w:val="24"/>
        </w:rPr>
        <w:t xml:space="preserve"> cells were treated with </w:t>
      </w:r>
      <w:r w:rsidR="00030078" w:rsidRPr="00030078">
        <w:rPr>
          <w:rFonts w:ascii="Book Antiqua" w:hAnsi="Book Antiqua"/>
          <w:sz w:val="24"/>
          <w:szCs w:val="24"/>
        </w:rPr>
        <w:t xml:space="preserve">epidermal growth factor (EGF) </w:t>
      </w:r>
      <w:r w:rsidRPr="00343901">
        <w:rPr>
          <w:rFonts w:ascii="Book Antiqua" w:hAnsi="Book Antiqua"/>
          <w:sz w:val="24"/>
          <w:szCs w:val="24"/>
        </w:rPr>
        <w:t xml:space="preserve">(0, 20, 40, 60, and 80 ng/mL) for 24 h. A: Western blots were performed to detected </w:t>
      </w:r>
      <w:r w:rsidR="00030078" w:rsidRPr="00030078">
        <w:rPr>
          <w:rFonts w:ascii="Book Antiqua" w:hAnsi="Book Antiqua"/>
          <w:sz w:val="24"/>
          <w:szCs w:val="24"/>
        </w:rPr>
        <w:t>serotonin transporter (SERT)</w:t>
      </w:r>
      <w:r w:rsidR="00030078">
        <w:rPr>
          <w:rFonts w:ascii="Book Antiqua" w:hAnsi="Book Antiqua" w:hint="eastAsia"/>
          <w:sz w:val="24"/>
          <w:szCs w:val="24"/>
        </w:rPr>
        <w:t xml:space="preserve"> </w:t>
      </w:r>
      <w:r w:rsidRPr="00343901">
        <w:rPr>
          <w:rFonts w:ascii="Book Antiqua" w:hAnsi="Book Antiqua"/>
          <w:sz w:val="24"/>
          <w:szCs w:val="24"/>
        </w:rPr>
        <w:t>protein expressions. GAPDH was used to verify equivalent protein loading (</w:t>
      </w:r>
      <w:r w:rsidR="00370E67">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control;</w:t>
      </w:r>
      <w:r w:rsidRPr="00343901">
        <w:rPr>
          <w:rFonts w:ascii="Book Antiqua" w:hAnsi="Book Antiqua"/>
          <w:sz w:val="24"/>
          <w:szCs w:val="24"/>
          <w:vertAlign w:val="superscript"/>
        </w:rPr>
        <w:t xml:space="preserve"> </w:t>
      </w:r>
      <w:bookmarkStart w:id="22" w:name="OLE_LINK32"/>
      <w:r w:rsidR="00030078">
        <w:rPr>
          <w:rFonts w:ascii="Book Antiqua" w:hAnsi="Book Antiqua" w:hint="eastAsia"/>
          <w:sz w:val="24"/>
          <w:szCs w:val="24"/>
          <w:vertAlign w:val="superscript"/>
        </w:rPr>
        <w:t>c</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20, 80, and 160 ng/m</w:t>
      </w:r>
      <w:bookmarkEnd w:id="22"/>
      <w:r w:rsidRPr="00343901">
        <w:rPr>
          <w:rFonts w:ascii="Book Antiqua" w:hAnsi="Book Antiqua"/>
          <w:sz w:val="24"/>
          <w:szCs w:val="24"/>
        </w:rPr>
        <w:t xml:space="preserve">L); B: </w:t>
      </w:r>
      <w:r w:rsidRPr="00030078">
        <w:rPr>
          <w:rFonts w:ascii="Book Antiqua" w:hAnsi="Book Antiqua"/>
          <w:i/>
          <w:sz w:val="24"/>
          <w:szCs w:val="24"/>
        </w:rPr>
        <w:t>SERT</w:t>
      </w:r>
      <w:r w:rsidRPr="00343901">
        <w:rPr>
          <w:rFonts w:ascii="Book Antiqua" w:hAnsi="Book Antiqua"/>
          <w:sz w:val="24"/>
          <w:szCs w:val="24"/>
        </w:rPr>
        <w:t xml:space="preserve"> gene expression was examined by real-time PCR (</w:t>
      </w:r>
      <w:r w:rsidR="00030078">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control; </w:t>
      </w:r>
      <w:r w:rsidR="00030078">
        <w:rPr>
          <w:rFonts w:ascii="宋体" w:eastAsia="宋体" w:hAnsi="宋体" w:cs="宋体" w:hint="eastAsia"/>
          <w:sz w:val="24"/>
          <w:szCs w:val="24"/>
          <w:vertAlign w:val="superscript"/>
        </w:rPr>
        <w:t>e</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20 and 80 ng/L). To determine the optimal time for </w:t>
      </w:r>
      <w:r w:rsidRPr="00343901">
        <w:rPr>
          <w:rFonts w:ascii="Book Antiqua" w:hAnsi="Book Antiqua"/>
          <w:sz w:val="24"/>
          <w:szCs w:val="24"/>
        </w:rPr>
        <w:lastRenderedPageBreak/>
        <w:t>EGF treatment, IEC-6 cells were treated with EGF (40 ng/L) for the indicated times (0, 3, 6, 12, 24, and 48 h); C: SERT protein levels were examined by Western blot (</w:t>
      </w:r>
      <w:r w:rsidR="00030078">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control); D: SERT gene expression was examined by real-time PCR (</w:t>
      </w:r>
      <w:r w:rsidR="00030078">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control; </w:t>
      </w:r>
      <w:r w:rsidR="00030078">
        <w:rPr>
          <w:rFonts w:ascii="Book Antiqua" w:hAnsi="Book Antiqua" w:hint="eastAsia"/>
          <w:sz w:val="24"/>
          <w:szCs w:val="24"/>
          <w:vertAlign w:val="superscript"/>
        </w:rPr>
        <w:t>g</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48 h); E: Uptake of [</w:t>
      </w:r>
      <w:r w:rsidRPr="00343901">
        <w:rPr>
          <w:rFonts w:ascii="Book Antiqua" w:hAnsi="Book Antiqua"/>
          <w:sz w:val="24"/>
          <w:szCs w:val="24"/>
          <w:vertAlign w:val="superscript"/>
        </w:rPr>
        <w:t>3</w:t>
      </w:r>
      <w:r w:rsidRPr="00343901">
        <w:rPr>
          <w:rFonts w:ascii="Book Antiqua" w:hAnsi="Book Antiqua"/>
          <w:sz w:val="24"/>
          <w:szCs w:val="24"/>
        </w:rPr>
        <w:t>H]-serotonin in cells pre-treated with 40 ng/ml EGF for 24 h (</w:t>
      </w:r>
      <w:r w:rsidR="00030078">
        <w:rPr>
          <w:rFonts w:ascii="Book Antiqua" w:hAnsi="Book Antiqua" w:hint="eastAsia"/>
          <w:sz w:val="24"/>
          <w:szCs w:val="24"/>
          <w:vertAlign w:val="superscript"/>
        </w:rPr>
        <w:t>I</w:t>
      </w:r>
      <w:r w:rsidR="00030078" w:rsidRPr="00343901">
        <w:rPr>
          <w:rFonts w:ascii="Book Antiqua" w:hAnsi="Book Antiqua"/>
          <w:i/>
          <w:sz w:val="24"/>
          <w:szCs w:val="24"/>
        </w:rPr>
        <w:t xml:space="preserve">P </w:t>
      </w:r>
      <w:r w:rsidR="00030078" w:rsidRPr="00343901">
        <w:rPr>
          <w:rFonts w:ascii="Book Antiqua" w:hAnsi="Book Antiqua"/>
          <w:sz w:val="24"/>
          <w:szCs w:val="24"/>
        </w:rPr>
        <w:t>&lt; 0.05</w:t>
      </w:r>
      <w:r w:rsidR="00030078">
        <w:rPr>
          <w:rFonts w:ascii="Book Antiqua" w:hAnsi="Book Antiqua" w:hint="eastAsia"/>
          <w:sz w:val="24"/>
          <w:szCs w:val="24"/>
        </w:rPr>
        <w:t xml:space="preserve"> </w:t>
      </w:r>
      <w:r w:rsidR="00030078" w:rsidRPr="00343901">
        <w:rPr>
          <w:rFonts w:ascii="Book Antiqua" w:hAnsi="Book Antiqua"/>
          <w:i/>
          <w:sz w:val="24"/>
          <w:szCs w:val="24"/>
        </w:rPr>
        <w:t>vs</w:t>
      </w:r>
      <w:r w:rsidR="00030078" w:rsidRPr="00343901">
        <w:rPr>
          <w:rFonts w:ascii="Book Antiqua" w:hAnsi="Book Antiqua"/>
          <w:sz w:val="24"/>
          <w:szCs w:val="24"/>
        </w:rPr>
        <w:t xml:space="preserve"> </w:t>
      </w:r>
      <w:r w:rsidR="00030078">
        <w:rPr>
          <w:rFonts w:ascii="Book Antiqua" w:hAnsi="Book Antiqua" w:hint="eastAsia"/>
          <w:sz w:val="24"/>
          <w:szCs w:val="24"/>
        </w:rPr>
        <w:t>24</w:t>
      </w:r>
      <w:r w:rsidR="00030078" w:rsidRPr="00343901">
        <w:rPr>
          <w:rFonts w:ascii="Book Antiqua" w:hAnsi="Book Antiqua"/>
          <w:sz w:val="24"/>
          <w:szCs w:val="24"/>
        </w:rPr>
        <w:t xml:space="preserve"> h</w:t>
      </w:r>
      <w:r w:rsidRPr="00343901">
        <w:rPr>
          <w:rFonts w:ascii="Book Antiqua" w:hAnsi="Book Antiqua"/>
          <w:sz w:val="24"/>
          <w:szCs w:val="24"/>
        </w:rPr>
        <w:t>)</w:t>
      </w:r>
      <w:r w:rsidR="00030078">
        <w:rPr>
          <w:rFonts w:ascii="Book Antiqua" w:hAnsi="Book Antiqua" w:hint="eastAsia"/>
          <w:sz w:val="24"/>
          <w:szCs w:val="24"/>
        </w:rPr>
        <w:t xml:space="preserve"> </w:t>
      </w:r>
      <w:r w:rsidRPr="00343901">
        <w:rPr>
          <w:rFonts w:ascii="Book Antiqua" w:hAnsi="Book Antiqua"/>
          <w:sz w:val="24"/>
          <w:szCs w:val="24"/>
        </w:rPr>
        <w:t>. All values are mean ± SD of three independent experiments.</w:t>
      </w:r>
    </w:p>
    <w:p w:rsidR="00EC7D98" w:rsidRDefault="00EC7D98" w:rsidP="00BC503B">
      <w:pPr>
        <w:adjustRightInd w:val="0"/>
        <w:snapToGrid w:val="0"/>
        <w:spacing w:line="360" w:lineRule="auto"/>
        <w:rPr>
          <w:rFonts w:ascii="Book Antiqua" w:hAnsi="Book Antiqua"/>
          <w:b/>
          <w:sz w:val="24"/>
          <w:szCs w:val="24"/>
        </w:rPr>
      </w:pPr>
    </w:p>
    <w:p w:rsidR="00030078" w:rsidRPr="00343901" w:rsidRDefault="00AC3A27" w:rsidP="00BC503B">
      <w:pPr>
        <w:adjustRightInd w:val="0"/>
        <w:snapToGrid w:val="0"/>
        <w:spacing w:line="360" w:lineRule="auto"/>
        <w:rPr>
          <w:rFonts w:ascii="Book Antiqua" w:hAnsi="Book Antiqua"/>
          <w:b/>
          <w:sz w:val="24"/>
          <w:szCs w:val="24"/>
        </w:rPr>
      </w:pPr>
      <w:r>
        <w:rPr>
          <w:rFonts w:ascii="Book Antiqua" w:hAnsi="Book Antiqua"/>
          <w:b/>
          <w:noProof/>
          <w:sz w:val="24"/>
          <w:szCs w:val="24"/>
        </w:rPr>
        <w:drawing>
          <wp:inline distT="0" distB="0" distL="0" distR="0" wp14:anchorId="32354909" wp14:editId="413F9C4F">
            <wp:extent cx="5193102" cy="40457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Role of EGFR in the regulation of SERT levels and function in IEC-6 cell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205" cy="4048206"/>
                    </a:xfrm>
                    <a:prstGeom prst="rect">
                      <a:avLst/>
                    </a:prstGeom>
                  </pic:spPr>
                </pic:pic>
              </a:graphicData>
            </a:graphic>
          </wp:inline>
        </w:drawing>
      </w:r>
    </w:p>
    <w:p w:rsidR="00EC7D98" w:rsidRPr="00343901" w:rsidRDefault="00EC7D98" w:rsidP="00BC503B">
      <w:pPr>
        <w:adjustRightInd w:val="0"/>
        <w:snapToGrid w:val="0"/>
        <w:spacing w:line="360" w:lineRule="auto"/>
        <w:rPr>
          <w:rFonts w:ascii="Book Antiqua" w:hAnsi="Book Antiqua"/>
          <w:sz w:val="24"/>
          <w:szCs w:val="24"/>
        </w:rPr>
      </w:pPr>
      <w:r w:rsidRPr="00343901">
        <w:rPr>
          <w:rFonts w:ascii="Book Antiqua" w:hAnsi="Book Antiqua"/>
          <w:b/>
          <w:sz w:val="24"/>
          <w:szCs w:val="24"/>
        </w:rPr>
        <w:t>Figure 5</w:t>
      </w:r>
      <w:r w:rsidRPr="00343901">
        <w:rPr>
          <w:rFonts w:ascii="Book Antiqua" w:hAnsi="Book Antiqua"/>
          <w:b/>
          <w:i/>
          <w:sz w:val="24"/>
          <w:szCs w:val="24"/>
        </w:rPr>
        <w:t xml:space="preserve"> </w:t>
      </w:r>
      <w:r w:rsidRPr="00343901">
        <w:rPr>
          <w:rFonts w:ascii="Book Antiqua" w:hAnsi="Book Antiqua"/>
          <w:b/>
          <w:sz w:val="24"/>
          <w:szCs w:val="24"/>
        </w:rPr>
        <w:t xml:space="preserve">Role of epidermal growth factor receptor in the regulation of serotonin transporter levels and function in </w:t>
      </w:r>
      <w:r w:rsidR="00030078">
        <w:rPr>
          <w:rFonts w:ascii="Book Antiqua" w:hAnsi="Book Antiqua"/>
          <w:b/>
          <w:sz w:val="24"/>
          <w:szCs w:val="24"/>
        </w:rPr>
        <w:t>intestinal epithelial</w:t>
      </w:r>
      <w:r w:rsidRPr="00343901">
        <w:rPr>
          <w:rFonts w:ascii="Book Antiqua" w:hAnsi="Book Antiqua"/>
          <w:b/>
          <w:sz w:val="24"/>
          <w:szCs w:val="24"/>
        </w:rPr>
        <w:t xml:space="preserve"> cells. </w:t>
      </w:r>
      <w:r w:rsidRPr="00343901">
        <w:rPr>
          <w:rFonts w:ascii="Book Antiqua" w:hAnsi="Book Antiqua"/>
          <w:sz w:val="24"/>
          <w:szCs w:val="24"/>
        </w:rPr>
        <w:t xml:space="preserve">IEC-6 cells were pre-treated with an </w:t>
      </w:r>
      <w:r w:rsidR="00682888" w:rsidRPr="00682888">
        <w:rPr>
          <w:rFonts w:ascii="Book Antiqua" w:hAnsi="Book Antiqua"/>
          <w:sz w:val="24"/>
          <w:szCs w:val="24"/>
        </w:rPr>
        <w:t>epidermal growth factor receptor (EGFR)</w:t>
      </w:r>
      <w:r w:rsidR="00682888">
        <w:rPr>
          <w:rFonts w:ascii="Book Antiqua" w:hAnsi="Book Antiqua" w:hint="eastAsia"/>
          <w:sz w:val="24"/>
          <w:szCs w:val="24"/>
        </w:rPr>
        <w:t xml:space="preserve"> </w:t>
      </w:r>
      <w:r w:rsidRPr="00343901">
        <w:rPr>
          <w:rFonts w:ascii="Book Antiqua" w:hAnsi="Book Antiqua"/>
          <w:sz w:val="24"/>
          <w:szCs w:val="24"/>
        </w:rPr>
        <w:t xml:space="preserve">inhibitor (10 </w:t>
      </w:r>
      <w:r w:rsidRPr="00343901">
        <w:rPr>
          <w:rFonts w:ascii="Book Antiqua" w:hAnsi="Book Antiqua"/>
          <w:sz w:val="24"/>
          <w:szCs w:val="24"/>
        </w:rPr>
        <w:sym w:font="Symbol" w:char="F06D"/>
      </w:r>
      <w:r w:rsidR="00030078">
        <w:rPr>
          <w:rFonts w:ascii="Book Antiqua" w:hAnsi="Book Antiqua" w:hint="eastAsia"/>
          <w:sz w:val="24"/>
          <w:szCs w:val="24"/>
        </w:rPr>
        <w:t>mol/L</w:t>
      </w:r>
      <w:r w:rsidRPr="00343901">
        <w:rPr>
          <w:rFonts w:ascii="Book Antiqua" w:hAnsi="Book Antiqua"/>
          <w:sz w:val="24"/>
          <w:szCs w:val="24"/>
        </w:rPr>
        <w:t xml:space="preserve"> PD153035) prior to stimulation with EGF. A: </w:t>
      </w:r>
      <w:r w:rsidR="00682888" w:rsidRPr="00682888">
        <w:rPr>
          <w:rFonts w:ascii="Book Antiqua" w:hAnsi="Book Antiqua"/>
          <w:sz w:val="24"/>
          <w:szCs w:val="24"/>
        </w:rPr>
        <w:t>serotonin transporter (SERT)</w:t>
      </w:r>
      <w:r w:rsidR="00682888">
        <w:rPr>
          <w:rFonts w:ascii="Book Antiqua" w:hAnsi="Book Antiqua" w:hint="eastAsia"/>
          <w:sz w:val="24"/>
          <w:szCs w:val="24"/>
        </w:rPr>
        <w:t xml:space="preserve"> </w:t>
      </w:r>
      <w:r w:rsidRPr="00343901">
        <w:rPr>
          <w:rFonts w:ascii="Book Antiqua" w:hAnsi="Book Antiqua"/>
          <w:sz w:val="24"/>
          <w:szCs w:val="24"/>
        </w:rPr>
        <w:t>was detected by Western blot (</w:t>
      </w:r>
      <w:r w:rsidR="00682888">
        <w:rPr>
          <w:rFonts w:ascii="Book Antiqua" w:hAnsi="Book Antiqua" w:hint="eastAsia"/>
          <w:sz w:val="24"/>
          <w:szCs w:val="24"/>
          <w:vertAlign w:val="superscript"/>
        </w:rPr>
        <w:t>a</w:t>
      </w:r>
      <w:r w:rsidRPr="00343901">
        <w:rPr>
          <w:rFonts w:ascii="Book Antiqua" w:hAnsi="Book Antiqua"/>
          <w:i/>
          <w:sz w:val="24"/>
          <w:szCs w:val="24"/>
        </w:rPr>
        <w:t xml:space="preserve">P </w:t>
      </w:r>
      <w:r w:rsidRPr="00343901">
        <w:rPr>
          <w:rFonts w:ascii="Book Antiqua" w:hAnsi="Book Antiqua"/>
          <w:sz w:val="24"/>
          <w:szCs w:val="24"/>
        </w:rPr>
        <w:t xml:space="preserve">&lt; 0.05 </w:t>
      </w:r>
      <w:r w:rsidR="00343901" w:rsidRPr="00343901">
        <w:rPr>
          <w:rFonts w:ascii="Book Antiqua" w:hAnsi="Book Antiqua"/>
          <w:i/>
          <w:sz w:val="24"/>
          <w:szCs w:val="24"/>
        </w:rPr>
        <w:t>vs</w:t>
      </w:r>
      <w:r w:rsidRPr="00343901">
        <w:rPr>
          <w:rFonts w:ascii="Book Antiqua" w:hAnsi="Book Antiqua"/>
          <w:sz w:val="24"/>
          <w:szCs w:val="24"/>
        </w:rPr>
        <w:t xml:space="preserve"> control, EGF + PD153035, and PD153035) and quantified relative to GAPDH; B: Serotonin (5-HT) reuptake was estimated by an [</w:t>
      </w:r>
      <w:r w:rsidRPr="00343901">
        <w:rPr>
          <w:rFonts w:ascii="Book Antiqua" w:hAnsi="Book Antiqua"/>
          <w:sz w:val="24"/>
          <w:szCs w:val="24"/>
          <w:vertAlign w:val="superscript"/>
        </w:rPr>
        <w:t>3</w:t>
      </w:r>
      <w:r w:rsidRPr="00343901">
        <w:rPr>
          <w:rFonts w:ascii="Book Antiqua" w:hAnsi="Book Antiqua"/>
          <w:sz w:val="24"/>
          <w:szCs w:val="24"/>
        </w:rPr>
        <w:t>H]-5-HT uptake assay. Data are mean ± SD of at least three independent experiments.</w:t>
      </w:r>
    </w:p>
    <w:p w:rsidR="00EC7D98" w:rsidRPr="00343901" w:rsidRDefault="00EC7D98" w:rsidP="00BC503B">
      <w:pPr>
        <w:adjustRightInd w:val="0"/>
        <w:snapToGrid w:val="0"/>
        <w:spacing w:line="360" w:lineRule="auto"/>
        <w:rPr>
          <w:rFonts w:ascii="Book Antiqua" w:hAnsi="Book Antiqua"/>
          <w:sz w:val="24"/>
          <w:szCs w:val="24"/>
        </w:rPr>
      </w:pPr>
    </w:p>
    <w:p w:rsidR="00D110FD" w:rsidRPr="00343901" w:rsidRDefault="00D110FD" w:rsidP="00BC503B">
      <w:pPr>
        <w:adjustRightInd w:val="0"/>
        <w:snapToGrid w:val="0"/>
        <w:spacing w:line="360" w:lineRule="auto"/>
        <w:rPr>
          <w:rFonts w:ascii="Book Antiqua" w:hAnsi="Book Antiqua"/>
          <w:sz w:val="24"/>
          <w:szCs w:val="24"/>
        </w:rPr>
      </w:pPr>
    </w:p>
    <w:sectPr w:rsidR="00D110FD" w:rsidRPr="00343901" w:rsidSect="00030078">
      <w:footerReference w:type="even" r:id="rId13"/>
      <w:footerReference w:type="default" r:id="rId14"/>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546" w:rsidRDefault="00251546" w:rsidP="008D78FB">
      <w:r>
        <w:separator/>
      </w:r>
    </w:p>
  </w:endnote>
  <w:endnote w:type="continuationSeparator" w:id="0">
    <w:p w:rsidR="00251546" w:rsidRDefault="00251546" w:rsidP="008D7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78" w:rsidRDefault="00030078" w:rsidP="00030078">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30078" w:rsidRDefault="00030078" w:rsidP="0003007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78" w:rsidRDefault="00030078" w:rsidP="0003007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546" w:rsidRDefault="00251546" w:rsidP="008D78FB">
      <w:r>
        <w:separator/>
      </w:r>
    </w:p>
  </w:footnote>
  <w:footnote w:type="continuationSeparator" w:id="0">
    <w:p w:rsidR="00251546" w:rsidRDefault="00251546" w:rsidP="008D78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6C38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531E54"/>
    <w:multiLevelType w:val="singleLevel"/>
    <w:tmpl w:val="289EB7D0"/>
    <w:lvl w:ilvl="0">
      <w:start w:val="2"/>
      <w:numFmt w:val="bullet"/>
      <w:lvlText w:val="□"/>
      <w:lvlJc w:val="left"/>
      <w:pPr>
        <w:tabs>
          <w:tab w:val="num" w:pos="180"/>
        </w:tabs>
        <w:ind w:left="180" w:hanging="180"/>
      </w:pPr>
      <w:rPr>
        <w:rFonts w:ascii="仿宋_GB2312" w:hint="eastAsia"/>
        <w:lang w:val="en-US"/>
      </w:rPr>
    </w:lvl>
  </w:abstractNum>
  <w:abstractNum w:abstractNumId="2">
    <w:nsid w:val="352623B4"/>
    <w:multiLevelType w:val="hybridMultilevel"/>
    <w:tmpl w:val="17BCCE30"/>
    <w:lvl w:ilvl="0" w:tplc="1F86E342">
      <w:start w:val="1"/>
      <w:numFmt w:val="decimal"/>
      <w:lvlText w:val="%1."/>
      <w:lvlJc w:val="left"/>
      <w:pPr>
        <w:ind w:left="360" w:hanging="360"/>
      </w:pPr>
      <w:rPr>
        <w:rFonts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EED6E85"/>
    <w:multiLevelType w:val="hybridMultilevel"/>
    <w:tmpl w:val="FC26D704"/>
    <w:lvl w:ilvl="0" w:tplc="3BAEE364">
      <w:start w:val="1"/>
      <w:numFmt w:val="decimal"/>
      <w:lvlText w:val="%1."/>
      <w:lvlJc w:val="left"/>
      <w:pPr>
        <w:ind w:left="420" w:hanging="420"/>
      </w:pPr>
      <w:rPr>
        <w:color w:val="FF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24A"/>
    <w:rsid w:val="00030078"/>
    <w:rsid w:val="0007011E"/>
    <w:rsid w:val="000B4DFE"/>
    <w:rsid w:val="000D0FC4"/>
    <w:rsid w:val="000F426D"/>
    <w:rsid w:val="00110F76"/>
    <w:rsid w:val="00155E96"/>
    <w:rsid w:val="00160248"/>
    <w:rsid w:val="001C331F"/>
    <w:rsid w:val="001E25B8"/>
    <w:rsid w:val="00251546"/>
    <w:rsid w:val="0026079B"/>
    <w:rsid w:val="00343901"/>
    <w:rsid w:val="00370E67"/>
    <w:rsid w:val="00382BCD"/>
    <w:rsid w:val="003B27DC"/>
    <w:rsid w:val="003E3C7B"/>
    <w:rsid w:val="0048224A"/>
    <w:rsid w:val="004A723C"/>
    <w:rsid w:val="004D2BB4"/>
    <w:rsid w:val="005B34A0"/>
    <w:rsid w:val="006702CD"/>
    <w:rsid w:val="00682888"/>
    <w:rsid w:val="006E71A8"/>
    <w:rsid w:val="007037B8"/>
    <w:rsid w:val="0074597D"/>
    <w:rsid w:val="007A2EBA"/>
    <w:rsid w:val="00821DB6"/>
    <w:rsid w:val="00842DCE"/>
    <w:rsid w:val="008D78FB"/>
    <w:rsid w:val="009153FA"/>
    <w:rsid w:val="0093286E"/>
    <w:rsid w:val="00AC20FC"/>
    <w:rsid w:val="00AC3A27"/>
    <w:rsid w:val="00B07B47"/>
    <w:rsid w:val="00BC503B"/>
    <w:rsid w:val="00BE208D"/>
    <w:rsid w:val="00D01A7B"/>
    <w:rsid w:val="00D110FD"/>
    <w:rsid w:val="00D623F2"/>
    <w:rsid w:val="00DC0744"/>
    <w:rsid w:val="00DE3894"/>
    <w:rsid w:val="00E86CC2"/>
    <w:rsid w:val="00EC7D98"/>
    <w:rsid w:val="00F07BF2"/>
    <w:rsid w:val="00F30BA3"/>
    <w:rsid w:val="00F3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EC7D98"/>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qFormat/>
    <w:rsid w:val="00EC7D98"/>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EC7D98"/>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224A"/>
  </w:style>
  <w:style w:type="character" w:styleId="a3">
    <w:name w:val="Hyperlink"/>
    <w:basedOn w:val="a0"/>
    <w:unhideWhenUsed/>
    <w:rsid w:val="00D01A7B"/>
    <w:rPr>
      <w:color w:val="0000FF"/>
      <w:u w:val="single"/>
    </w:rPr>
  </w:style>
  <w:style w:type="character" w:customStyle="1" w:styleId="1Char">
    <w:name w:val="标题 1 Char"/>
    <w:basedOn w:val="a0"/>
    <w:link w:val="1"/>
    <w:rsid w:val="00EC7D98"/>
    <w:rPr>
      <w:rFonts w:ascii="宋体" w:eastAsia="宋体" w:hAnsi="宋体" w:cs="宋体"/>
      <w:b/>
      <w:bCs/>
      <w:kern w:val="36"/>
      <w:sz w:val="48"/>
      <w:szCs w:val="48"/>
    </w:rPr>
  </w:style>
  <w:style w:type="character" w:customStyle="1" w:styleId="3Char">
    <w:name w:val="标题 3 Char"/>
    <w:basedOn w:val="a0"/>
    <w:link w:val="3"/>
    <w:rsid w:val="00EC7D98"/>
    <w:rPr>
      <w:rFonts w:ascii="Times New Roman" w:eastAsia="宋体" w:hAnsi="Times New Roman" w:cs="Times New Roman"/>
      <w:b/>
      <w:bCs/>
      <w:sz w:val="32"/>
      <w:szCs w:val="32"/>
    </w:rPr>
  </w:style>
  <w:style w:type="character" w:customStyle="1" w:styleId="4Char">
    <w:name w:val="标题 4 Char"/>
    <w:basedOn w:val="a0"/>
    <w:link w:val="4"/>
    <w:rsid w:val="00EC7D98"/>
    <w:rPr>
      <w:rFonts w:ascii="Cambria" w:eastAsia="宋体" w:hAnsi="Cambria" w:cs="Times New Roman"/>
      <w:b/>
      <w:bCs/>
      <w:sz w:val="28"/>
      <w:szCs w:val="28"/>
    </w:rPr>
  </w:style>
  <w:style w:type="paragraph" w:styleId="a4">
    <w:name w:val="Body Text"/>
    <w:basedOn w:val="a"/>
    <w:link w:val="Char"/>
    <w:rsid w:val="00EC7D98"/>
    <w:pPr>
      <w:widowControl/>
      <w:spacing w:line="480" w:lineRule="auto"/>
    </w:pPr>
    <w:rPr>
      <w:rFonts w:ascii="Times New Roman" w:eastAsia="宋体" w:hAnsi="Times New Roman" w:cs="Times New Roman"/>
      <w:kern w:val="0"/>
      <w:sz w:val="24"/>
      <w:szCs w:val="24"/>
      <w:lang w:val="en-GB" w:eastAsia="en-US"/>
    </w:rPr>
  </w:style>
  <w:style w:type="character" w:customStyle="1" w:styleId="Char">
    <w:name w:val="正文文本 Char"/>
    <w:basedOn w:val="a0"/>
    <w:link w:val="a4"/>
    <w:rsid w:val="00EC7D98"/>
    <w:rPr>
      <w:rFonts w:ascii="Times New Roman" w:eastAsia="宋体" w:hAnsi="Times New Roman" w:cs="Times New Roman"/>
      <w:kern w:val="0"/>
      <w:sz w:val="24"/>
      <w:szCs w:val="24"/>
      <w:lang w:val="en-GB" w:eastAsia="en-US"/>
    </w:rPr>
  </w:style>
  <w:style w:type="character" w:styleId="a5">
    <w:name w:val="annotation reference"/>
    <w:semiHidden/>
    <w:rsid w:val="00EC7D98"/>
    <w:rPr>
      <w:sz w:val="21"/>
      <w:szCs w:val="21"/>
    </w:rPr>
  </w:style>
  <w:style w:type="paragraph" w:styleId="a6">
    <w:name w:val="annotation text"/>
    <w:basedOn w:val="a"/>
    <w:link w:val="Char0"/>
    <w:semiHidden/>
    <w:rsid w:val="00EC7D98"/>
    <w:pPr>
      <w:jc w:val="left"/>
    </w:pPr>
    <w:rPr>
      <w:rFonts w:ascii="Times New Roman" w:eastAsia="宋体" w:hAnsi="Times New Roman" w:cs="Times New Roman"/>
      <w:szCs w:val="24"/>
    </w:rPr>
  </w:style>
  <w:style w:type="character" w:customStyle="1" w:styleId="Char0">
    <w:name w:val="批注文字 Char"/>
    <w:basedOn w:val="a0"/>
    <w:link w:val="a6"/>
    <w:semiHidden/>
    <w:rsid w:val="00EC7D98"/>
    <w:rPr>
      <w:rFonts w:ascii="Times New Roman" w:eastAsia="宋体" w:hAnsi="Times New Roman" w:cs="Times New Roman"/>
      <w:szCs w:val="24"/>
    </w:rPr>
  </w:style>
  <w:style w:type="paragraph" w:styleId="a7">
    <w:name w:val="annotation subject"/>
    <w:basedOn w:val="a6"/>
    <w:next w:val="a6"/>
    <w:link w:val="Char1"/>
    <w:semiHidden/>
    <w:rsid w:val="00EC7D98"/>
    <w:rPr>
      <w:b/>
      <w:bCs/>
    </w:rPr>
  </w:style>
  <w:style w:type="character" w:customStyle="1" w:styleId="Char1">
    <w:name w:val="批注主题 Char"/>
    <w:basedOn w:val="Char0"/>
    <w:link w:val="a7"/>
    <w:semiHidden/>
    <w:rsid w:val="00EC7D98"/>
    <w:rPr>
      <w:rFonts w:ascii="Times New Roman" w:eastAsia="宋体" w:hAnsi="Times New Roman" w:cs="Times New Roman"/>
      <w:b/>
      <w:bCs/>
      <w:szCs w:val="24"/>
    </w:rPr>
  </w:style>
  <w:style w:type="paragraph" w:styleId="a8">
    <w:name w:val="Balloon Text"/>
    <w:basedOn w:val="a"/>
    <w:link w:val="Char2"/>
    <w:semiHidden/>
    <w:rsid w:val="00EC7D98"/>
    <w:rPr>
      <w:rFonts w:ascii="Times New Roman" w:eastAsia="宋体" w:hAnsi="Times New Roman" w:cs="Times New Roman"/>
      <w:sz w:val="18"/>
      <w:szCs w:val="18"/>
    </w:rPr>
  </w:style>
  <w:style w:type="character" w:customStyle="1" w:styleId="Char2">
    <w:name w:val="批注框文本 Char"/>
    <w:basedOn w:val="a0"/>
    <w:link w:val="a8"/>
    <w:semiHidden/>
    <w:rsid w:val="00EC7D98"/>
    <w:rPr>
      <w:rFonts w:ascii="Times New Roman" w:eastAsia="宋体" w:hAnsi="Times New Roman" w:cs="Times New Roman"/>
      <w:sz w:val="18"/>
      <w:szCs w:val="18"/>
    </w:rPr>
  </w:style>
  <w:style w:type="character" w:styleId="a9">
    <w:name w:val="Strong"/>
    <w:qFormat/>
    <w:rsid w:val="00EC7D98"/>
    <w:rPr>
      <w:b/>
      <w:bCs/>
    </w:rPr>
  </w:style>
  <w:style w:type="paragraph" w:styleId="aa">
    <w:name w:val="footer"/>
    <w:basedOn w:val="a"/>
    <w:link w:val="Char3"/>
    <w:rsid w:val="00EC7D98"/>
    <w:pPr>
      <w:tabs>
        <w:tab w:val="center" w:pos="4153"/>
        <w:tab w:val="right" w:pos="8306"/>
      </w:tabs>
      <w:snapToGrid w:val="0"/>
      <w:jc w:val="left"/>
    </w:pPr>
    <w:rPr>
      <w:rFonts w:ascii="Times New Roman" w:eastAsia="宋体" w:hAnsi="Times New Roman" w:cs="Times New Roman"/>
      <w:sz w:val="18"/>
      <w:szCs w:val="18"/>
    </w:rPr>
  </w:style>
  <w:style w:type="character" w:customStyle="1" w:styleId="Char3">
    <w:name w:val="页脚 Char"/>
    <w:basedOn w:val="a0"/>
    <w:link w:val="aa"/>
    <w:rsid w:val="00EC7D98"/>
    <w:rPr>
      <w:rFonts w:ascii="Times New Roman" w:eastAsia="宋体" w:hAnsi="Times New Roman" w:cs="Times New Roman"/>
      <w:sz w:val="18"/>
      <w:szCs w:val="18"/>
    </w:rPr>
  </w:style>
  <w:style w:type="character" w:styleId="ab">
    <w:name w:val="page number"/>
    <w:basedOn w:val="a0"/>
    <w:rsid w:val="00EC7D98"/>
  </w:style>
  <w:style w:type="paragraph" w:customStyle="1" w:styleId="no-top-margin">
    <w:name w:val="no-top-margin"/>
    <w:basedOn w:val="a"/>
    <w:rsid w:val="00EC7D98"/>
    <w:pPr>
      <w:widowControl/>
      <w:spacing w:before="100" w:beforeAutospacing="1" w:after="100" w:afterAutospacing="1"/>
      <w:jc w:val="left"/>
    </w:pPr>
    <w:rPr>
      <w:rFonts w:ascii="宋体" w:eastAsia="宋体" w:hAnsi="宋体" w:cs="宋体"/>
      <w:kern w:val="0"/>
      <w:sz w:val="24"/>
      <w:szCs w:val="24"/>
    </w:rPr>
  </w:style>
  <w:style w:type="paragraph" w:customStyle="1" w:styleId="norm">
    <w:name w:val="norm"/>
    <w:basedOn w:val="a"/>
    <w:rsid w:val="00EC7D98"/>
    <w:pPr>
      <w:widowControl/>
      <w:spacing w:before="100" w:beforeAutospacing="1" w:after="100" w:afterAutospacing="1"/>
      <w:jc w:val="left"/>
    </w:pPr>
    <w:rPr>
      <w:rFonts w:ascii="宋体" w:eastAsia="宋体" w:hAnsi="宋体" w:cs="宋体"/>
      <w:kern w:val="0"/>
      <w:sz w:val="24"/>
      <w:szCs w:val="24"/>
    </w:rPr>
  </w:style>
  <w:style w:type="paragraph" w:styleId="ac">
    <w:name w:val="header"/>
    <w:basedOn w:val="a"/>
    <w:link w:val="Char4"/>
    <w:uiPriority w:val="99"/>
    <w:rsid w:val="00EC7D98"/>
    <w:pPr>
      <w:pBdr>
        <w:bottom w:val="single" w:sz="6" w:space="1" w:color="auto"/>
      </w:pBdr>
      <w:tabs>
        <w:tab w:val="center" w:pos="4153"/>
        <w:tab w:val="right" w:pos="8306"/>
      </w:tabs>
      <w:snapToGrid w:val="0"/>
      <w:jc w:val="center"/>
    </w:pPr>
    <w:rPr>
      <w:rFonts w:ascii="Calibri" w:eastAsia="宋体" w:hAnsi="Calibri" w:cs="Times New Roman"/>
      <w:kern w:val="0"/>
      <w:sz w:val="18"/>
      <w:szCs w:val="20"/>
    </w:rPr>
  </w:style>
  <w:style w:type="character" w:customStyle="1" w:styleId="Char4">
    <w:name w:val="页眉 Char"/>
    <w:basedOn w:val="a0"/>
    <w:link w:val="ac"/>
    <w:uiPriority w:val="99"/>
    <w:rsid w:val="00EC7D98"/>
    <w:rPr>
      <w:rFonts w:ascii="Calibri" w:eastAsia="宋体" w:hAnsi="Calibri" w:cs="Times New Roman"/>
      <w:kern w:val="0"/>
      <w:sz w:val="18"/>
      <w:szCs w:val="20"/>
    </w:rPr>
  </w:style>
  <w:style w:type="paragraph" w:styleId="HTML">
    <w:name w:val="HTML Preformatted"/>
    <w:basedOn w:val="a"/>
    <w:link w:val="HTMLChar"/>
    <w:rsid w:val="00EC7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0"/>
      <w:szCs w:val="20"/>
    </w:rPr>
  </w:style>
  <w:style w:type="character" w:customStyle="1" w:styleId="HTMLChar">
    <w:name w:val="HTML 预设格式 Char"/>
    <w:basedOn w:val="a0"/>
    <w:link w:val="HTML"/>
    <w:rsid w:val="00EC7D98"/>
    <w:rPr>
      <w:rFonts w:ascii="宋体" w:eastAsia="宋体" w:hAnsi="宋体" w:cs="Times New Roman"/>
      <w:kern w:val="0"/>
      <w:sz w:val="20"/>
      <w:szCs w:val="20"/>
    </w:rPr>
  </w:style>
  <w:style w:type="table" w:styleId="ad">
    <w:name w:val="Table Grid"/>
    <w:basedOn w:val="a1"/>
    <w:uiPriority w:val="59"/>
    <w:rsid w:val="00EC7D9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uiPriority w:val="20"/>
    <w:qFormat/>
    <w:rsid w:val="00EC7D98"/>
    <w:rPr>
      <w:i/>
      <w:iCs/>
    </w:rPr>
  </w:style>
  <w:style w:type="character" w:styleId="af">
    <w:name w:val="FollowedHyperlink"/>
    <w:rsid w:val="00EC7D98"/>
    <w:rPr>
      <w:color w:val="800080"/>
      <w:u w:val="single"/>
    </w:rPr>
  </w:style>
  <w:style w:type="paragraph" w:styleId="af0">
    <w:name w:val="Revision"/>
    <w:hidden/>
    <w:uiPriority w:val="99"/>
    <w:semiHidden/>
    <w:rsid w:val="00EC7D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EC7D98"/>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qFormat/>
    <w:rsid w:val="00EC7D98"/>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EC7D98"/>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8224A"/>
  </w:style>
  <w:style w:type="character" w:styleId="a3">
    <w:name w:val="Hyperlink"/>
    <w:basedOn w:val="a0"/>
    <w:unhideWhenUsed/>
    <w:rsid w:val="00D01A7B"/>
    <w:rPr>
      <w:color w:val="0000FF"/>
      <w:u w:val="single"/>
    </w:rPr>
  </w:style>
  <w:style w:type="character" w:customStyle="1" w:styleId="1Char">
    <w:name w:val="标题 1 Char"/>
    <w:basedOn w:val="a0"/>
    <w:link w:val="1"/>
    <w:rsid w:val="00EC7D98"/>
    <w:rPr>
      <w:rFonts w:ascii="宋体" w:eastAsia="宋体" w:hAnsi="宋体" w:cs="宋体"/>
      <w:b/>
      <w:bCs/>
      <w:kern w:val="36"/>
      <w:sz w:val="48"/>
      <w:szCs w:val="48"/>
    </w:rPr>
  </w:style>
  <w:style w:type="character" w:customStyle="1" w:styleId="3Char">
    <w:name w:val="标题 3 Char"/>
    <w:basedOn w:val="a0"/>
    <w:link w:val="3"/>
    <w:rsid w:val="00EC7D98"/>
    <w:rPr>
      <w:rFonts w:ascii="Times New Roman" w:eastAsia="宋体" w:hAnsi="Times New Roman" w:cs="Times New Roman"/>
      <w:b/>
      <w:bCs/>
      <w:sz w:val="32"/>
      <w:szCs w:val="32"/>
    </w:rPr>
  </w:style>
  <w:style w:type="character" w:customStyle="1" w:styleId="4Char">
    <w:name w:val="标题 4 Char"/>
    <w:basedOn w:val="a0"/>
    <w:link w:val="4"/>
    <w:rsid w:val="00EC7D98"/>
    <w:rPr>
      <w:rFonts w:ascii="Cambria" w:eastAsia="宋体" w:hAnsi="Cambria" w:cs="Times New Roman"/>
      <w:b/>
      <w:bCs/>
      <w:sz w:val="28"/>
      <w:szCs w:val="28"/>
    </w:rPr>
  </w:style>
  <w:style w:type="paragraph" w:styleId="a4">
    <w:name w:val="Body Text"/>
    <w:basedOn w:val="a"/>
    <w:link w:val="Char"/>
    <w:rsid w:val="00EC7D98"/>
    <w:pPr>
      <w:widowControl/>
      <w:spacing w:line="480" w:lineRule="auto"/>
    </w:pPr>
    <w:rPr>
      <w:rFonts w:ascii="Times New Roman" w:eastAsia="宋体" w:hAnsi="Times New Roman" w:cs="Times New Roman"/>
      <w:kern w:val="0"/>
      <w:sz w:val="24"/>
      <w:szCs w:val="24"/>
      <w:lang w:val="en-GB" w:eastAsia="en-US"/>
    </w:rPr>
  </w:style>
  <w:style w:type="character" w:customStyle="1" w:styleId="Char">
    <w:name w:val="正文文本 Char"/>
    <w:basedOn w:val="a0"/>
    <w:link w:val="a4"/>
    <w:rsid w:val="00EC7D98"/>
    <w:rPr>
      <w:rFonts w:ascii="Times New Roman" w:eastAsia="宋体" w:hAnsi="Times New Roman" w:cs="Times New Roman"/>
      <w:kern w:val="0"/>
      <w:sz w:val="24"/>
      <w:szCs w:val="24"/>
      <w:lang w:val="en-GB" w:eastAsia="en-US"/>
    </w:rPr>
  </w:style>
  <w:style w:type="character" w:styleId="a5">
    <w:name w:val="annotation reference"/>
    <w:semiHidden/>
    <w:rsid w:val="00EC7D98"/>
    <w:rPr>
      <w:sz w:val="21"/>
      <w:szCs w:val="21"/>
    </w:rPr>
  </w:style>
  <w:style w:type="paragraph" w:styleId="a6">
    <w:name w:val="annotation text"/>
    <w:basedOn w:val="a"/>
    <w:link w:val="Char0"/>
    <w:semiHidden/>
    <w:rsid w:val="00EC7D98"/>
    <w:pPr>
      <w:jc w:val="left"/>
    </w:pPr>
    <w:rPr>
      <w:rFonts w:ascii="Times New Roman" w:eastAsia="宋体" w:hAnsi="Times New Roman" w:cs="Times New Roman"/>
      <w:szCs w:val="24"/>
    </w:rPr>
  </w:style>
  <w:style w:type="character" w:customStyle="1" w:styleId="Char0">
    <w:name w:val="批注文字 Char"/>
    <w:basedOn w:val="a0"/>
    <w:link w:val="a6"/>
    <w:semiHidden/>
    <w:rsid w:val="00EC7D98"/>
    <w:rPr>
      <w:rFonts w:ascii="Times New Roman" w:eastAsia="宋体" w:hAnsi="Times New Roman" w:cs="Times New Roman"/>
      <w:szCs w:val="24"/>
    </w:rPr>
  </w:style>
  <w:style w:type="paragraph" w:styleId="a7">
    <w:name w:val="annotation subject"/>
    <w:basedOn w:val="a6"/>
    <w:next w:val="a6"/>
    <w:link w:val="Char1"/>
    <w:semiHidden/>
    <w:rsid w:val="00EC7D98"/>
    <w:rPr>
      <w:b/>
      <w:bCs/>
    </w:rPr>
  </w:style>
  <w:style w:type="character" w:customStyle="1" w:styleId="Char1">
    <w:name w:val="批注主题 Char"/>
    <w:basedOn w:val="Char0"/>
    <w:link w:val="a7"/>
    <w:semiHidden/>
    <w:rsid w:val="00EC7D98"/>
    <w:rPr>
      <w:rFonts w:ascii="Times New Roman" w:eastAsia="宋体" w:hAnsi="Times New Roman" w:cs="Times New Roman"/>
      <w:b/>
      <w:bCs/>
      <w:szCs w:val="24"/>
    </w:rPr>
  </w:style>
  <w:style w:type="paragraph" w:styleId="a8">
    <w:name w:val="Balloon Text"/>
    <w:basedOn w:val="a"/>
    <w:link w:val="Char2"/>
    <w:semiHidden/>
    <w:rsid w:val="00EC7D98"/>
    <w:rPr>
      <w:rFonts w:ascii="Times New Roman" w:eastAsia="宋体" w:hAnsi="Times New Roman" w:cs="Times New Roman"/>
      <w:sz w:val="18"/>
      <w:szCs w:val="18"/>
    </w:rPr>
  </w:style>
  <w:style w:type="character" w:customStyle="1" w:styleId="Char2">
    <w:name w:val="批注框文本 Char"/>
    <w:basedOn w:val="a0"/>
    <w:link w:val="a8"/>
    <w:semiHidden/>
    <w:rsid w:val="00EC7D98"/>
    <w:rPr>
      <w:rFonts w:ascii="Times New Roman" w:eastAsia="宋体" w:hAnsi="Times New Roman" w:cs="Times New Roman"/>
      <w:sz w:val="18"/>
      <w:szCs w:val="18"/>
    </w:rPr>
  </w:style>
  <w:style w:type="character" w:styleId="a9">
    <w:name w:val="Strong"/>
    <w:qFormat/>
    <w:rsid w:val="00EC7D98"/>
    <w:rPr>
      <w:b/>
      <w:bCs/>
    </w:rPr>
  </w:style>
  <w:style w:type="paragraph" w:styleId="aa">
    <w:name w:val="footer"/>
    <w:basedOn w:val="a"/>
    <w:link w:val="Char3"/>
    <w:rsid w:val="00EC7D98"/>
    <w:pPr>
      <w:tabs>
        <w:tab w:val="center" w:pos="4153"/>
        <w:tab w:val="right" w:pos="8306"/>
      </w:tabs>
      <w:snapToGrid w:val="0"/>
      <w:jc w:val="left"/>
    </w:pPr>
    <w:rPr>
      <w:rFonts w:ascii="Times New Roman" w:eastAsia="宋体" w:hAnsi="Times New Roman" w:cs="Times New Roman"/>
      <w:sz w:val="18"/>
      <w:szCs w:val="18"/>
    </w:rPr>
  </w:style>
  <w:style w:type="character" w:customStyle="1" w:styleId="Char3">
    <w:name w:val="页脚 Char"/>
    <w:basedOn w:val="a0"/>
    <w:link w:val="aa"/>
    <w:rsid w:val="00EC7D98"/>
    <w:rPr>
      <w:rFonts w:ascii="Times New Roman" w:eastAsia="宋体" w:hAnsi="Times New Roman" w:cs="Times New Roman"/>
      <w:sz w:val="18"/>
      <w:szCs w:val="18"/>
    </w:rPr>
  </w:style>
  <w:style w:type="character" w:styleId="ab">
    <w:name w:val="page number"/>
    <w:basedOn w:val="a0"/>
    <w:rsid w:val="00EC7D98"/>
  </w:style>
  <w:style w:type="paragraph" w:customStyle="1" w:styleId="no-top-margin">
    <w:name w:val="no-top-margin"/>
    <w:basedOn w:val="a"/>
    <w:rsid w:val="00EC7D98"/>
    <w:pPr>
      <w:widowControl/>
      <w:spacing w:before="100" w:beforeAutospacing="1" w:after="100" w:afterAutospacing="1"/>
      <w:jc w:val="left"/>
    </w:pPr>
    <w:rPr>
      <w:rFonts w:ascii="宋体" w:eastAsia="宋体" w:hAnsi="宋体" w:cs="宋体"/>
      <w:kern w:val="0"/>
      <w:sz w:val="24"/>
      <w:szCs w:val="24"/>
    </w:rPr>
  </w:style>
  <w:style w:type="paragraph" w:customStyle="1" w:styleId="norm">
    <w:name w:val="norm"/>
    <w:basedOn w:val="a"/>
    <w:rsid w:val="00EC7D98"/>
    <w:pPr>
      <w:widowControl/>
      <w:spacing w:before="100" w:beforeAutospacing="1" w:after="100" w:afterAutospacing="1"/>
      <w:jc w:val="left"/>
    </w:pPr>
    <w:rPr>
      <w:rFonts w:ascii="宋体" w:eastAsia="宋体" w:hAnsi="宋体" w:cs="宋体"/>
      <w:kern w:val="0"/>
      <w:sz w:val="24"/>
      <w:szCs w:val="24"/>
    </w:rPr>
  </w:style>
  <w:style w:type="paragraph" w:styleId="ac">
    <w:name w:val="header"/>
    <w:basedOn w:val="a"/>
    <w:link w:val="Char4"/>
    <w:uiPriority w:val="99"/>
    <w:rsid w:val="00EC7D98"/>
    <w:pPr>
      <w:pBdr>
        <w:bottom w:val="single" w:sz="6" w:space="1" w:color="auto"/>
      </w:pBdr>
      <w:tabs>
        <w:tab w:val="center" w:pos="4153"/>
        <w:tab w:val="right" w:pos="8306"/>
      </w:tabs>
      <w:snapToGrid w:val="0"/>
      <w:jc w:val="center"/>
    </w:pPr>
    <w:rPr>
      <w:rFonts w:ascii="Calibri" w:eastAsia="宋体" w:hAnsi="Calibri" w:cs="Times New Roman"/>
      <w:kern w:val="0"/>
      <w:sz w:val="18"/>
      <w:szCs w:val="20"/>
    </w:rPr>
  </w:style>
  <w:style w:type="character" w:customStyle="1" w:styleId="Char4">
    <w:name w:val="页眉 Char"/>
    <w:basedOn w:val="a0"/>
    <w:link w:val="ac"/>
    <w:uiPriority w:val="99"/>
    <w:rsid w:val="00EC7D98"/>
    <w:rPr>
      <w:rFonts w:ascii="Calibri" w:eastAsia="宋体" w:hAnsi="Calibri" w:cs="Times New Roman"/>
      <w:kern w:val="0"/>
      <w:sz w:val="18"/>
      <w:szCs w:val="20"/>
    </w:rPr>
  </w:style>
  <w:style w:type="paragraph" w:styleId="HTML">
    <w:name w:val="HTML Preformatted"/>
    <w:basedOn w:val="a"/>
    <w:link w:val="HTMLChar"/>
    <w:rsid w:val="00EC7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0"/>
      <w:szCs w:val="20"/>
    </w:rPr>
  </w:style>
  <w:style w:type="character" w:customStyle="1" w:styleId="HTMLChar">
    <w:name w:val="HTML 预设格式 Char"/>
    <w:basedOn w:val="a0"/>
    <w:link w:val="HTML"/>
    <w:rsid w:val="00EC7D98"/>
    <w:rPr>
      <w:rFonts w:ascii="宋体" w:eastAsia="宋体" w:hAnsi="宋体" w:cs="Times New Roman"/>
      <w:kern w:val="0"/>
      <w:sz w:val="20"/>
      <w:szCs w:val="20"/>
    </w:rPr>
  </w:style>
  <w:style w:type="table" w:styleId="ad">
    <w:name w:val="Table Grid"/>
    <w:basedOn w:val="a1"/>
    <w:uiPriority w:val="59"/>
    <w:rsid w:val="00EC7D9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uiPriority w:val="20"/>
    <w:qFormat/>
    <w:rsid w:val="00EC7D98"/>
    <w:rPr>
      <w:i/>
      <w:iCs/>
    </w:rPr>
  </w:style>
  <w:style w:type="character" w:styleId="af">
    <w:name w:val="FollowedHyperlink"/>
    <w:rsid w:val="00EC7D98"/>
    <w:rPr>
      <w:color w:val="800080"/>
      <w:u w:val="single"/>
    </w:rPr>
  </w:style>
  <w:style w:type="paragraph" w:styleId="af0">
    <w:name w:val="Revision"/>
    <w:hidden/>
    <w:uiPriority w:val="99"/>
    <w:semiHidden/>
    <w:rsid w:val="00EC7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8672">
      <w:bodyDiv w:val="1"/>
      <w:marLeft w:val="0"/>
      <w:marRight w:val="0"/>
      <w:marTop w:val="0"/>
      <w:marBottom w:val="0"/>
      <w:divBdr>
        <w:top w:val="none" w:sz="0" w:space="0" w:color="auto"/>
        <w:left w:val="none" w:sz="0" w:space="0" w:color="auto"/>
        <w:bottom w:val="none" w:sz="0" w:space="0" w:color="auto"/>
        <w:right w:val="none" w:sz="0" w:space="0" w:color="auto"/>
      </w:divBdr>
      <w:divsChild>
        <w:div w:id="1741101063">
          <w:marLeft w:val="0"/>
          <w:marRight w:val="0"/>
          <w:marTop w:val="0"/>
          <w:marBottom w:val="0"/>
          <w:divBdr>
            <w:top w:val="none" w:sz="0" w:space="0" w:color="auto"/>
            <w:left w:val="none" w:sz="0" w:space="0" w:color="auto"/>
            <w:bottom w:val="none" w:sz="0" w:space="0" w:color="auto"/>
            <w:right w:val="none" w:sz="0" w:space="0" w:color="auto"/>
          </w:divBdr>
        </w:div>
        <w:div w:id="1361511946">
          <w:marLeft w:val="0"/>
          <w:marRight w:val="0"/>
          <w:marTop w:val="0"/>
          <w:marBottom w:val="0"/>
          <w:divBdr>
            <w:top w:val="none" w:sz="0" w:space="0" w:color="auto"/>
            <w:left w:val="none" w:sz="0" w:space="0" w:color="auto"/>
            <w:bottom w:val="none" w:sz="0" w:space="0" w:color="auto"/>
            <w:right w:val="none" w:sz="0" w:space="0" w:color="auto"/>
          </w:divBdr>
        </w:div>
        <w:div w:id="1004472163">
          <w:marLeft w:val="0"/>
          <w:marRight w:val="0"/>
          <w:marTop w:val="0"/>
          <w:marBottom w:val="0"/>
          <w:divBdr>
            <w:top w:val="none" w:sz="0" w:space="0" w:color="auto"/>
            <w:left w:val="none" w:sz="0" w:space="0" w:color="auto"/>
            <w:bottom w:val="none" w:sz="0" w:space="0" w:color="auto"/>
            <w:right w:val="none" w:sz="0" w:space="0" w:color="auto"/>
          </w:divBdr>
        </w:div>
        <w:div w:id="1793009984">
          <w:marLeft w:val="0"/>
          <w:marRight w:val="0"/>
          <w:marTop w:val="0"/>
          <w:marBottom w:val="0"/>
          <w:divBdr>
            <w:top w:val="none" w:sz="0" w:space="0" w:color="auto"/>
            <w:left w:val="none" w:sz="0" w:space="0" w:color="auto"/>
            <w:bottom w:val="none" w:sz="0" w:space="0" w:color="auto"/>
            <w:right w:val="none" w:sz="0" w:space="0" w:color="auto"/>
          </w:divBdr>
        </w:div>
        <w:div w:id="238489413">
          <w:marLeft w:val="0"/>
          <w:marRight w:val="0"/>
          <w:marTop w:val="0"/>
          <w:marBottom w:val="0"/>
          <w:divBdr>
            <w:top w:val="none" w:sz="0" w:space="0" w:color="auto"/>
            <w:left w:val="none" w:sz="0" w:space="0" w:color="auto"/>
            <w:bottom w:val="none" w:sz="0" w:space="0" w:color="auto"/>
            <w:right w:val="none" w:sz="0" w:space="0" w:color="auto"/>
          </w:divBdr>
        </w:div>
        <w:div w:id="1585451502">
          <w:marLeft w:val="0"/>
          <w:marRight w:val="0"/>
          <w:marTop w:val="0"/>
          <w:marBottom w:val="0"/>
          <w:divBdr>
            <w:top w:val="none" w:sz="0" w:space="0" w:color="auto"/>
            <w:left w:val="none" w:sz="0" w:space="0" w:color="auto"/>
            <w:bottom w:val="none" w:sz="0" w:space="0" w:color="auto"/>
            <w:right w:val="none" w:sz="0" w:space="0" w:color="auto"/>
          </w:divBdr>
        </w:div>
        <w:div w:id="1697343487">
          <w:marLeft w:val="0"/>
          <w:marRight w:val="0"/>
          <w:marTop w:val="0"/>
          <w:marBottom w:val="0"/>
          <w:divBdr>
            <w:top w:val="none" w:sz="0" w:space="0" w:color="auto"/>
            <w:left w:val="none" w:sz="0" w:space="0" w:color="auto"/>
            <w:bottom w:val="none" w:sz="0" w:space="0" w:color="auto"/>
            <w:right w:val="none" w:sz="0" w:space="0" w:color="auto"/>
          </w:divBdr>
        </w:div>
        <w:div w:id="1152409020">
          <w:marLeft w:val="0"/>
          <w:marRight w:val="0"/>
          <w:marTop w:val="0"/>
          <w:marBottom w:val="0"/>
          <w:divBdr>
            <w:top w:val="none" w:sz="0" w:space="0" w:color="auto"/>
            <w:left w:val="none" w:sz="0" w:space="0" w:color="auto"/>
            <w:bottom w:val="none" w:sz="0" w:space="0" w:color="auto"/>
            <w:right w:val="none" w:sz="0" w:space="0" w:color="auto"/>
          </w:divBdr>
        </w:div>
        <w:div w:id="223609608">
          <w:marLeft w:val="0"/>
          <w:marRight w:val="0"/>
          <w:marTop w:val="0"/>
          <w:marBottom w:val="0"/>
          <w:divBdr>
            <w:top w:val="none" w:sz="0" w:space="0" w:color="auto"/>
            <w:left w:val="none" w:sz="0" w:space="0" w:color="auto"/>
            <w:bottom w:val="none" w:sz="0" w:space="0" w:color="auto"/>
            <w:right w:val="none" w:sz="0" w:space="0" w:color="auto"/>
          </w:divBdr>
        </w:div>
        <w:div w:id="1504928546">
          <w:marLeft w:val="0"/>
          <w:marRight w:val="0"/>
          <w:marTop w:val="0"/>
          <w:marBottom w:val="0"/>
          <w:divBdr>
            <w:top w:val="none" w:sz="0" w:space="0" w:color="auto"/>
            <w:left w:val="none" w:sz="0" w:space="0" w:color="auto"/>
            <w:bottom w:val="none" w:sz="0" w:space="0" w:color="auto"/>
            <w:right w:val="none" w:sz="0" w:space="0" w:color="auto"/>
          </w:divBdr>
        </w:div>
        <w:div w:id="865293688">
          <w:marLeft w:val="0"/>
          <w:marRight w:val="0"/>
          <w:marTop w:val="0"/>
          <w:marBottom w:val="0"/>
          <w:divBdr>
            <w:top w:val="none" w:sz="0" w:space="0" w:color="auto"/>
            <w:left w:val="none" w:sz="0" w:space="0" w:color="auto"/>
            <w:bottom w:val="none" w:sz="0" w:space="0" w:color="auto"/>
            <w:right w:val="none" w:sz="0" w:space="0" w:color="auto"/>
          </w:divBdr>
        </w:div>
        <w:div w:id="2084832121">
          <w:marLeft w:val="0"/>
          <w:marRight w:val="0"/>
          <w:marTop w:val="0"/>
          <w:marBottom w:val="0"/>
          <w:divBdr>
            <w:top w:val="none" w:sz="0" w:space="0" w:color="auto"/>
            <w:left w:val="none" w:sz="0" w:space="0" w:color="auto"/>
            <w:bottom w:val="none" w:sz="0" w:space="0" w:color="auto"/>
            <w:right w:val="none" w:sz="0" w:space="0" w:color="auto"/>
          </w:divBdr>
        </w:div>
        <w:div w:id="1196039521">
          <w:marLeft w:val="0"/>
          <w:marRight w:val="0"/>
          <w:marTop w:val="0"/>
          <w:marBottom w:val="0"/>
          <w:divBdr>
            <w:top w:val="none" w:sz="0" w:space="0" w:color="auto"/>
            <w:left w:val="none" w:sz="0" w:space="0" w:color="auto"/>
            <w:bottom w:val="none" w:sz="0" w:space="0" w:color="auto"/>
            <w:right w:val="none" w:sz="0" w:space="0" w:color="auto"/>
          </w:divBdr>
        </w:div>
        <w:div w:id="434132066">
          <w:marLeft w:val="0"/>
          <w:marRight w:val="0"/>
          <w:marTop w:val="0"/>
          <w:marBottom w:val="0"/>
          <w:divBdr>
            <w:top w:val="none" w:sz="0" w:space="0" w:color="auto"/>
            <w:left w:val="none" w:sz="0" w:space="0" w:color="auto"/>
            <w:bottom w:val="none" w:sz="0" w:space="0" w:color="auto"/>
            <w:right w:val="none" w:sz="0" w:space="0" w:color="auto"/>
          </w:divBdr>
        </w:div>
        <w:div w:id="1452550251">
          <w:marLeft w:val="0"/>
          <w:marRight w:val="0"/>
          <w:marTop w:val="0"/>
          <w:marBottom w:val="0"/>
          <w:divBdr>
            <w:top w:val="none" w:sz="0" w:space="0" w:color="auto"/>
            <w:left w:val="none" w:sz="0" w:space="0" w:color="auto"/>
            <w:bottom w:val="none" w:sz="0" w:space="0" w:color="auto"/>
            <w:right w:val="none" w:sz="0" w:space="0" w:color="auto"/>
          </w:divBdr>
        </w:div>
        <w:div w:id="773287602">
          <w:marLeft w:val="0"/>
          <w:marRight w:val="0"/>
          <w:marTop w:val="0"/>
          <w:marBottom w:val="0"/>
          <w:divBdr>
            <w:top w:val="none" w:sz="0" w:space="0" w:color="auto"/>
            <w:left w:val="none" w:sz="0" w:space="0" w:color="auto"/>
            <w:bottom w:val="none" w:sz="0" w:space="0" w:color="auto"/>
            <w:right w:val="none" w:sz="0" w:space="0" w:color="auto"/>
          </w:divBdr>
        </w:div>
        <w:div w:id="1349327410">
          <w:marLeft w:val="0"/>
          <w:marRight w:val="0"/>
          <w:marTop w:val="0"/>
          <w:marBottom w:val="0"/>
          <w:divBdr>
            <w:top w:val="none" w:sz="0" w:space="0" w:color="auto"/>
            <w:left w:val="none" w:sz="0" w:space="0" w:color="auto"/>
            <w:bottom w:val="none" w:sz="0" w:space="0" w:color="auto"/>
            <w:right w:val="none" w:sz="0" w:space="0" w:color="auto"/>
          </w:divBdr>
        </w:div>
        <w:div w:id="1979187702">
          <w:marLeft w:val="0"/>
          <w:marRight w:val="0"/>
          <w:marTop w:val="0"/>
          <w:marBottom w:val="0"/>
          <w:divBdr>
            <w:top w:val="none" w:sz="0" w:space="0" w:color="auto"/>
            <w:left w:val="none" w:sz="0" w:space="0" w:color="auto"/>
            <w:bottom w:val="none" w:sz="0" w:space="0" w:color="auto"/>
            <w:right w:val="none" w:sz="0" w:space="0" w:color="auto"/>
          </w:divBdr>
        </w:div>
        <w:div w:id="940911744">
          <w:marLeft w:val="0"/>
          <w:marRight w:val="0"/>
          <w:marTop w:val="0"/>
          <w:marBottom w:val="0"/>
          <w:divBdr>
            <w:top w:val="none" w:sz="0" w:space="0" w:color="auto"/>
            <w:left w:val="none" w:sz="0" w:space="0" w:color="auto"/>
            <w:bottom w:val="none" w:sz="0" w:space="0" w:color="auto"/>
            <w:right w:val="none" w:sz="0" w:space="0" w:color="auto"/>
          </w:divBdr>
        </w:div>
        <w:div w:id="1292907755">
          <w:marLeft w:val="0"/>
          <w:marRight w:val="0"/>
          <w:marTop w:val="0"/>
          <w:marBottom w:val="0"/>
          <w:divBdr>
            <w:top w:val="none" w:sz="0" w:space="0" w:color="auto"/>
            <w:left w:val="none" w:sz="0" w:space="0" w:color="auto"/>
            <w:bottom w:val="none" w:sz="0" w:space="0" w:color="auto"/>
            <w:right w:val="none" w:sz="0" w:space="0" w:color="auto"/>
          </w:divBdr>
        </w:div>
        <w:div w:id="586112645">
          <w:marLeft w:val="0"/>
          <w:marRight w:val="0"/>
          <w:marTop w:val="0"/>
          <w:marBottom w:val="0"/>
          <w:divBdr>
            <w:top w:val="none" w:sz="0" w:space="0" w:color="auto"/>
            <w:left w:val="none" w:sz="0" w:space="0" w:color="auto"/>
            <w:bottom w:val="none" w:sz="0" w:space="0" w:color="auto"/>
            <w:right w:val="none" w:sz="0" w:space="0" w:color="auto"/>
          </w:divBdr>
        </w:div>
        <w:div w:id="710810327">
          <w:marLeft w:val="0"/>
          <w:marRight w:val="0"/>
          <w:marTop w:val="0"/>
          <w:marBottom w:val="0"/>
          <w:divBdr>
            <w:top w:val="none" w:sz="0" w:space="0" w:color="auto"/>
            <w:left w:val="none" w:sz="0" w:space="0" w:color="auto"/>
            <w:bottom w:val="none" w:sz="0" w:space="0" w:color="auto"/>
            <w:right w:val="none" w:sz="0" w:space="0" w:color="auto"/>
          </w:divBdr>
        </w:div>
        <w:div w:id="663704181">
          <w:marLeft w:val="0"/>
          <w:marRight w:val="0"/>
          <w:marTop w:val="0"/>
          <w:marBottom w:val="0"/>
          <w:divBdr>
            <w:top w:val="none" w:sz="0" w:space="0" w:color="auto"/>
            <w:left w:val="none" w:sz="0" w:space="0" w:color="auto"/>
            <w:bottom w:val="none" w:sz="0" w:space="0" w:color="auto"/>
            <w:right w:val="none" w:sz="0" w:space="0" w:color="auto"/>
          </w:divBdr>
        </w:div>
        <w:div w:id="1827740946">
          <w:marLeft w:val="0"/>
          <w:marRight w:val="0"/>
          <w:marTop w:val="0"/>
          <w:marBottom w:val="0"/>
          <w:divBdr>
            <w:top w:val="none" w:sz="0" w:space="0" w:color="auto"/>
            <w:left w:val="none" w:sz="0" w:space="0" w:color="auto"/>
            <w:bottom w:val="none" w:sz="0" w:space="0" w:color="auto"/>
            <w:right w:val="none" w:sz="0" w:space="0" w:color="auto"/>
          </w:divBdr>
        </w:div>
        <w:div w:id="1065568627">
          <w:marLeft w:val="0"/>
          <w:marRight w:val="0"/>
          <w:marTop w:val="0"/>
          <w:marBottom w:val="0"/>
          <w:divBdr>
            <w:top w:val="none" w:sz="0" w:space="0" w:color="auto"/>
            <w:left w:val="none" w:sz="0" w:space="0" w:color="auto"/>
            <w:bottom w:val="none" w:sz="0" w:space="0" w:color="auto"/>
            <w:right w:val="none" w:sz="0" w:space="0" w:color="auto"/>
          </w:divBdr>
        </w:div>
        <w:div w:id="1644962605">
          <w:marLeft w:val="0"/>
          <w:marRight w:val="0"/>
          <w:marTop w:val="0"/>
          <w:marBottom w:val="0"/>
          <w:divBdr>
            <w:top w:val="none" w:sz="0" w:space="0" w:color="auto"/>
            <w:left w:val="none" w:sz="0" w:space="0" w:color="auto"/>
            <w:bottom w:val="none" w:sz="0" w:space="0" w:color="auto"/>
            <w:right w:val="none" w:sz="0" w:space="0" w:color="auto"/>
          </w:divBdr>
        </w:div>
        <w:div w:id="1978021670">
          <w:marLeft w:val="0"/>
          <w:marRight w:val="0"/>
          <w:marTop w:val="0"/>
          <w:marBottom w:val="0"/>
          <w:divBdr>
            <w:top w:val="none" w:sz="0" w:space="0" w:color="auto"/>
            <w:left w:val="none" w:sz="0" w:space="0" w:color="auto"/>
            <w:bottom w:val="none" w:sz="0" w:space="0" w:color="auto"/>
            <w:right w:val="none" w:sz="0" w:space="0" w:color="auto"/>
          </w:divBdr>
        </w:div>
        <w:div w:id="1151410552">
          <w:marLeft w:val="0"/>
          <w:marRight w:val="0"/>
          <w:marTop w:val="0"/>
          <w:marBottom w:val="0"/>
          <w:divBdr>
            <w:top w:val="none" w:sz="0" w:space="0" w:color="auto"/>
            <w:left w:val="none" w:sz="0" w:space="0" w:color="auto"/>
            <w:bottom w:val="none" w:sz="0" w:space="0" w:color="auto"/>
            <w:right w:val="none" w:sz="0" w:space="0" w:color="auto"/>
          </w:divBdr>
        </w:div>
        <w:div w:id="32660744">
          <w:marLeft w:val="0"/>
          <w:marRight w:val="0"/>
          <w:marTop w:val="0"/>
          <w:marBottom w:val="0"/>
          <w:divBdr>
            <w:top w:val="none" w:sz="0" w:space="0" w:color="auto"/>
            <w:left w:val="none" w:sz="0" w:space="0" w:color="auto"/>
            <w:bottom w:val="none" w:sz="0" w:space="0" w:color="auto"/>
            <w:right w:val="none" w:sz="0" w:space="0" w:color="auto"/>
          </w:divBdr>
        </w:div>
        <w:div w:id="295061867">
          <w:marLeft w:val="0"/>
          <w:marRight w:val="0"/>
          <w:marTop w:val="0"/>
          <w:marBottom w:val="0"/>
          <w:divBdr>
            <w:top w:val="none" w:sz="0" w:space="0" w:color="auto"/>
            <w:left w:val="none" w:sz="0" w:space="0" w:color="auto"/>
            <w:bottom w:val="none" w:sz="0" w:space="0" w:color="auto"/>
            <w:right w:val="none" w:sz="0" w:space="0" w:color="auto"/>
          </w:divBdr>
        </w:div>
        <w:div w:id="452943867">
          <w:marLeft w:val="0"/>
          <w:marRight w:val="0"/>
          <w:marTop w:val="0"/>
          <w:marBottom w:val="0"/>
          <w:divBdr>
            <w:top w:val="none" w:sz="0" w:space="0" w:color="auto"/>
            <w:left w:val="none" w:sz="0" w:space="0" w:color="auto"/>
            <w:bottom w:val="none" w:sz="0" w:space="0" w:color="auto"/>
            <w:right w:val="none" w:sz="0" w:space="0" w:color="auto"/>
          </w:divBdr>
        </w:div>
        <w:div w:id="1243569693">
          <w:marLeft w:val="0"/>
          <w:marRight w:val="0"/>
          <w:marTop w:val="0"/>
          <w:marBottom w:val="0"/>
          <w:divBdr>
            <w:top w:val="none" w:sz="0" w:space="0" w:color="auto"/>
            <w:left w:val="none" w:sz="0" w:space="0" w:color="auto"/>
            <w:bottom w:val="none" w:sz="0" w:space="0" w:color="auto"/>
            <w:right w:val="none" w:sz="0" w:space="0" w:color="auto"/>
          </w:divBdr>
        </w:div>
        <w:div w:id="287201644">
          <w:marLeft w:val="0"/>
          <w:marRight w:val="0"/>
          <w:marTop w:val="0"/>
          <w:marBottom w:val="0"/>
          <w:divBdr>
            <w:top w:val="none" w:sz="0" w:space="0" w:color="auto"/>
            <w:left w:val="none" w:sz="0" w:space="0" w:color="auto"/>
            <w:bottom w:val="none" w:sz="0" w:space="0" w:color="auto"/>
            <w:right w:val="none" w:sz="0" w:space="0" w:color="auto"/>
          </w:divBdr>
        </w:div>
        <w:div w:id="598638456">
          <w:marLeft w:val="0"/>
          <w:marRight w:val="0"/>
          <w:marTop w:val="0"/>
          <w:marBottom w:val="0"/>
          <w:divBdr>
            <w:top w:val="none" w:sz="0" w:space="0" w:color="auto"/>
            <w:left w:val="none" w:sz="0" w:space="0" w:color="auto"/>
            <w:bottom w:val="none" w:sz="0" w:space="0" w:color="auto"/>
            <w:right w:val="none" w:sz="0" w:space="0" w:color="auto"/>
          </w:divBdr>
        </w:div>
        <w:div w:id="1490973870">
          <w:marLeft w:val="0"/>
          <w:marRight w:val="0"/>
          <w:marTop w:val="0"/>
          <w:marBottom w:val="0"/>
          <w:divBdr>
            <w:top w:val="none" w:sz="0" w:space="0" w:color="auto"/>
            <w:left w:val="none" w:sz="0" w:space="0" w:color="auto"/>
            <w:bottom w:val="none" w:sz="0" w:space="0" w:color="auto"/>
            <w:right w:val="none" w:sz="0" w:space="0" w:color="auto"/>
          </w:divBdr>
        </w:div>
        <w:div w:id="1575386951">
          <w:marLeft w:val="0"/>
          <w:marRight w:val="0"/>
          <w:marTop w:val="0"/>
          <w:marBottom w:val="0"/>
          <w:divBdr>
            <w:top w:val="none" w:sz="0" w:space="0" w:color="auto"/>
            <w:left w:val="none" w:sz="0" w:space="0" w:color="auto"/>
            <w:bottom w:val="none" w:sz="0" w:space="0" w:color="auto"/>
            <w:right w:val="none" w:sz="0" w:space="0" w:color="auto"/>
          </w:divBdr>
        </w:div>
        <w:div w:id="69010836">
          <w:marLeft w:val="0"/>
          <w:marRight w:val="0"/>
          <w:marTop w:val="0"/>
          <w:marBottom w:val="0"/>
          <w:divBdr>
            <w:top w:val="none" w:sz="0" w:space="0" w:color="auto"/>
            <w:left w:val="none" w:sz="0" w:space="0" w:color="auto"/>
            <w:bottom w:val="none" w:sz="0" w:space="0" w:color="auto"/>
            <w:right w:val="none" w:sz="0" w:space="0" w:color="auto"/>
          </w:divBdr>
        </w:div>
        <w:div w:id="2086417267">
          <w:marLeft w:val="0"/>
          <w:marRight w:val="0"/>
          <w:marTop w:val="0"/>
          <w:marBottom w:val="0"/>
          <w:divBdr>
            <w:top w:val="none" w:sz="0" w:space="0" w:color="auto"/>
            <w:left w:val="none" w:sz="0" w:space="0" w:color="auto"/>
            <w:bottom w:val="none" w:sz="0" w:space="0" w:color="auto"/>
            <w:right w:val="none" w:sz="0" w:space="0" w:color="auto"/>
          </w:divBdr>
        </w:div>
        <w:div w:id="1545293146">
          <w:marLeft w:val="0"/>
          <w:marRight w:val="0"/>
          <w:marTop w:val="0"/>
          <w:marBottom w:val="0"/>
          <w:divBdr>
            <w:top w:val="none" w:sz="0" w:space="0" w:color="auto"/>
            <w:left w:val="none" w:sz="0" w:space="0" w:color="auto"/>
            <w:bottom w:val="none" w:sz="0" w:space="0" w:color="auto"/>
            <w:right w:val="none" w:sz="0" w:space="0" w:color="auto"/>
          </w:divBdr>
        </w:div>
        <w:div w:id="535238866">
          <w:marLeft w:val="0"/>
          <w:marRight w:val="0"/>
          <w:marTop w:val="0"/>
          <w:marBottom w:val="0"/>
          <w:divBdr>
            <w:top w:val="none" w:sz="0" w:space="0" w:color="auto"/>
            <w:left w:val="none" w:sz="0" w:space="0" w:color="auto"/>
            <w:bottom w:val="none" w:sz="0" w:space="0" w:color="auto"/>
            <w:right w:val="none" w:sz="0" w:space="0" w:color="auto"/>
          </w:divBdr>
        </w:div>
        <w:div w:id="911933881">
          <w:marLeft w:val="0"/>
          <w:marRight w:val="0"/>
          <w:marTop w:val="0"/>
          <w:marBottom w:val="0"/>
          <w:divBdr>
            <w:top w:val="none" w:sz="0" w:space="0" w:color="auto"/>
            <w:left w:val="none" w:sz="0" w:space="0" w:color="auto"/>
            <w:bottom w:val="none" w:sz="0" w:space="0" w:color="auto"/>
            <w:right w:val="none" w:sz="0" w:space="0" w:color="auto"/>
          </w:divBdr>
        </w:div>
        <w:div w:id="644551467">
          <w:marLeft w:val="0"/>
          <w:marRight w:val="0"/>
          <w:marTop w:val="0"/>
          <w:marBottom w:val="0"/>
          <w:divBdr>
            <w:top w:val="none" w:sz="0" w:space="0" w:color="auto"/>
            <w:left w:val="none" w:sz="0" w:space="0" w:color="auto"/>
            <w:bottom w:val="none" w:sz="0" w:space="0" w:color="auto"/>
            <w:right w:val="none" w:sz="0" w:space="0" w:color="auto"/>
          </w:divBdr>
        </w:div>
        <w:div w:id="1460609623">
          <w:marLeft w:val="0"/>
          <w:marRight w:val="0"/>
          <w:marTop w:val="0"/>
          <w:marBottom w:val="0"/>
          <w:divBdr>
            <w:top w:val="none" w:sz="0" w:space="0" w:color="auto"/>
            <w:left w:val="none" w:sz="0" w:space="0" w:color="auto"/>
            <w:bottom w:val="none" w:sz="0" w:space="0" w:color="auto"/>
            <w:right w:val="none" w:sz="0" w:space="0" w:color="auto"/>
          </w:divBdr>
        </w:div>
        <w:div w:id="1729912194">
          <w:marLeft w:val="0"/>
          <w:marRight w:val="0"/>
          <w:marTop w:val="0"/>
          <w:marBottom w:val="0"/>
          <w:divBdr>
            <w:top w:val="none" w:sz="0" w:space="0" w:color="auto"/>
            <w:left w:val="none" w:sz="0" w:space="0" w:color="auto"/>
            <w:bottom w:val="none" w:sz="0" w:space="0" w:color="auto"/>
            <w:right w:val="none" w:sz="0" w:space="0" w:color="auto"/>
          </w:divBdr>
        </w:div>
        <w:div w:id="1508442176">
          <w:marLeft w:val="0"/>
          <w:marRight w:val="0"/>
          <w:marTop w:val="0"/>
          <w:marBottom w:val="0"/>
          <w:divBdr>
            <w:top w:val="none" w:sz="0" w:space="0" w:color="auto"/>
            <w:left w:val="none" w:sz="0" w:space="0" w:color="auto"/>
            <w:bottom w:val="none" w:sz="0" w:space="0" w:color="auto"/>
            <w:right w:val="none" w:sz="0" w:space="0" w:color="auto"/>
          </w:divBdr>
        </w:div>
        <w:div w:id="725373735">
          <w:marLeft w:val="0"/>
          <w:marRight w:val="0"/>
          <w:marTop w:val="0"/>
          <w:marBottom w:val="0"/>
          <w:divBdr>
            <w:top w:val="none" w:sz="0" w:space="0" w:color="auto"/>
            <w:left w:val="none" w:sz="0" w:space="0" w:color="auto"/>
            <w:bottom w:val="none" w:sz="0" w:space="0" w:color="auto"/>
            <w:right w:val="none" w:sz="0" w:space="0" w:color="auto"/>
          </w:divBdr>
        </w:div>
        <w:div w:id="333650322">
          <w:marLeft w:val="0"/>
          <w:marRight w:val="0"/>
          <w:marTop w:val="0"/>
          <w:marBottom w:val="0"/>
          <w:divBdr>
            <w:top w:val="none" w:sz="0" w:space="0" w:color="auto"/>
            <w:left w:val="none" w:sz="0" w:space="0" w:color="auto"/>
            <w:bottom w:val="none" w:sz="0" w:space="0" w:color="auto"/>
            <w:right w:val="none" w:sz="0" w:space="0" w:color="auto"/>
          </w:divBdr>
        </w:div>
        <w:div w:id="2092459268">
          <w:marLeft w:val="0"/>
          <w:marRight w:val="0"/>
          <w:marTop w:val="0"/>
          <w:marBottom w:val="0"/>
          <w:divBdr>
            <w:top w:val="none" w:sz="0" w:space="0" w:color="auto"/>
            <w:left w:val="none" w:sz="0" w:space="0" w:color="auto"/>
            <w:bottom w:val="none" w:sz="0" w:space="0" w:color="auto"/>
            <w:right w:val="none" w:sz="0" w:space="0" w:color="auto"/>
          </w:divBdr>
        </w:div>
        <w:div w:id="1936745286">
          <w:marLeft w:val="0"/>
          <w:marRight w:val="0"/>
          <w:marTop w:val="0"/>
          <w:marBottom w:val="0"/>
          <w:divBdr>
            <w:top w:val="none" w:sz="0" w:space="0" w:color="auto"/>
            <w:left w:val="none" w:sz="0" w:space="0" w:color="auto"/>
            <w:bottom w:val="none" w:sz="0" w:space="0" w:color="auto"/>
            <w:right w:val="none" w:sz="0" w:space="0" w:color="auto"/>
          </w:divBdr>
        </w:div>
        <w:div w:id="706298102">
          <w:marLeft w:val="0"/>
          <w:marRight w:val="0"/>
          <w:marTop w:val="0"/>
          <w:marBottom w:val="0"/>
          <w:divBdr>
            <w:top w:val="none" w:sz="0" w:space="0" w:color="auto"/>
            <w:left w:val="none" w:sz="0" w:space="0" w:color="auto"/>
            <w:bottom w:val="none" w:sz="0" w:space="0" w:color="auto"/>
            <w:right w:val="none" w:sz="0" w:space="0" w:color="auto"/>
          </w:divBdr>
        </w:div>
        <w:div w:id="961880219">
          <w:marLeft w:val="0"/>
          <w:marRight w:val="0"/>
          <w:marTop w:val="0"/>
          <w:marBottom w:val="0"/>
          <w:divBdr>
            <w:top w:val="none" w:sz="0" w:space="0" w:color="auto"/>
            <w:left w:val="none" w:sz="0" w:space="0" w:color="auto"/>
            <w:bottom w:val="none" w:sz="0" w:space="0" w:color="auto"/>
            <w:right w:val="none" w:sz="0" w:space="0" w:color="auto"/>
          </w:divBdr>
        </w:div>
        <w:div w:id="1708136493">
          <w:marLeft w:val="0"/>
          <w:marRight w:val="0"/>
          <w:marTop w:val="0"/>
          <w:marBottom w:val="0"/>
          <w:divBdr>
            <w:top w:val="none" w:sz="0" w:space="0" w:color="auto"/>
            <w:left w:val="none" w:sz="0" w:space="0" w:color="auto"/>
            <w:bottom w:val="none" w:sz="0" w:space="0" w:color="auto"/>
            <w:right w:val="none" w:sz="0" w:space="0" w:color="auto"/>
          </w:divBdr>
        </w:div>
        <w:div w:id="362172306">
          <w:marLeft w:val="0"/>
          <w:marRight w:val="0"/>
          <w:marTop w:val="0"/>
          <w:marBottom w:val="0"/>
          <w:divBdr>
            <w:top w:val="none" w:sz="0" w:space="0" w:color="auto"/>
            <w:left w:val="none" w:sz="0" w:space="0" w:color="auto"/>
            <w:bottom w:val="none" w:sz="0" w:space="0" w:color="auto"/>
            <w:right w:val="none" w:sz="0" w:space="0" w:color="auto"/>
          </w:divBdr>
        </w:div>
        <w:div w:id="1092360504">
          <w:marLeft w:val="0"/>
          <w:marRight w:val="0"/>
          <w:marTop w:val="0"/>
          <w:marBottom w:val="0"/>
          <w:divBdr>
            <w:top w:val="none" w:sz="0" w:space="0" w:color="auto"/>
            <w:left w:val="none" w:sz="0" w:space="0" w:color="auto"/>
            <w:bottom w:val="none" w:sz="0" w:space="0" w:color="auto"/>
            <w:right w:val="none" w:sz="0" w:space="0" w:color="auto"/>
          </w:divBdr>
        </w:div>
        <w:div w:id="8876097">
          <w:marLeft w:val="0"/>
          <w:marRight w:val="0"/>
          <w:marTop w:val="0"/>
          <w:marBottom w:val="0"/>
          <w:divBdr>
            <w:top w:val="none" w:sz="0" w:space="0" w:color="auto"/>
            <w:left w:val="none" w:sz="0" w:space="0" w:color="auto"/>
            <w:bottom w:val="none" w:sz="0" w:space="0" w:color="auto"/>
            <w:right w:val="none" w:sz="0" w:space="0" w:color="auto"/>
          </w:divBdr>
        </w:div>
        <w:div w:id="530192134">
          <w:marLeft w:val="0"/>
          <w:marRight w:val="0"/>
          <w:marTop w:val="0"/>
          <w:marBottom w:val="0"/>
          <w:divBdr>
            <w:top w:val="none" w:sz="0" w:space="0" w:color="auto"/>
            <w:left w:val="none" w:sz="0" w:space="0" w:color="auto"/>
            <w:bottom w:val="none" w:sz="0" w:space="0" w:color="auto"/>
            <w:right w:val="none" w:sz="0" w:space="0" w:color="auto"/>
          </w:divBdr>
        </w:div>
        <w:div w:id="1192062982">
          <w:marLeft w:val="0"/>
          <w:marRight w:val="0"/>
          <w:marTop w:val="0"/>
          <w:marBottom w:val="0"/>
          <w:divBdr>
            <w:top w:val="none" w:sz="0" w:space="0" w:color="auto"/>
            <w:left w:val="none" w:sz="0" w:space="0" w:color="auto"/>
            <w:bottom w:val="none" w:sz="0" w:space="0" w:color="auto"/>
            <w:right w:val="none" w:sz="0" w:space="0" w:color="auto"/>
          </w:divBdr>
        </w:div>
        <w:div w:id="1011562274">
          <w:marLeft w:val="0"/>
          <w:marRight w:val="0"/>
          <w:marTop w:val="0"/>
          <w:marBottom w:val="0"/>
          <w:divBdr>
            <w:top w:val="none" w:sz="0" w:space="0" w:color="auto"/>
            <w:left w:val="none" w:sz="0" w:space="0" w:color="auto"/>
            <w:bottom w:val="none" w:sz="0" w:space="0" w:color="auto"/>
            <w:right w:val="none" w:sz="0" w:space="0" w:color="auto"/>
          </w:divBdr>
        </w:div>
        <w:div w:id="696277025">
          <w:marLeft w:val="0"/>
          <w:marRight w:val="0"/>
          <w:marTop w:val="0"/>
          <w:marBottom w:val="0"/>
          <w:divBdr>
            <w:top w:val="none" w:sz="0" w:space="0" w:color="auto"/>
            <w:left w:val="none" w:sz="0" w:space="0" w:color="auto"/>
            <w:bottom w:val="none" w:sz="0" w:space="0" w:color="auto"/>
            <w:right w:val="none" w:sz="0" w:space="0" w:color="auto"/>
          </w:divBdr>
        </w:div>
      </w:divsChild>
    </w:div>
    <w:div w:id="485240331">
      <w:bodyDiv w:val="1"/>
      <w:marLeft w:val="0"/>
      <w:marRight w:val="0"/>
      <w:marTop w:val="0"/>
      <w:marBottom w:val="0"/>
      <w:divBdr>
        <w:top w:val="none" w:sz="0" w:space="0" w:color="auto"/>
        <w:left w:val="none" w:sz="0" w:space="0" w:color="auto"/>
        <w:bottom w:val="none" w:sz="0" w:space="0" w:color="auto"/>
        <w:right w:val="none" w:sz="0" w:space="0" w:color="auto"/>
      </w:divBdr>
      <w:divsChild>
        <w:div w:id="1929727622">
          <w:marLeft w:val="0"/>
          <w:marRight w:val="0"/>
          <w:marTop w:val="0"/>
          <w:marBottom w:val="0"/>
          <w:divBdr>
            <w:top w:val="none" w:sz="0" w:space="0" w:color="auto"/>
            <w:left w:val="none" w:sz="0" w:space="0" w:color="auto"/>
            <w:bottom w:val="none" w:sz="0" w:space="0" w:color="auto"/>
            <w:right w:val="none" w:sz="0" w:space="0" w:color="auto"/>
          </w:divBdr>
        </w:div>
      </w:divsChild>
    </w:div>
    <w:div w:id="934748067">
      <w:bodyDiv w:val="1"/>
      <w:marLeft w:val="0"/>
      <w:marRight w:val="0"/>
      <w:marTop w:val="0"/>
      <w:marBottom w:val="0"/>
      <w:divBdr>
        <w:top w:val="none" w:sz="0" w:space="0" w:color="auto"/>
        <w:left w:val="none" w:sz="0" w:space="0" w:color="auto"/>
        <w:bottom w:val="none" w:sz="0" w:space="0" w:color="auto"/>
        <w:right w:val="none" w:sz="0" w:space="0" w:color="auto"/>
      </w:divBdr>
      <w:divsChild>
        <w:div w:id="712846361">
          <w:marLeft w:val="0"/>
          <w:marRight w:val="0"/>
          <w:marTop w:val="0"/>
          <w:marBottom w:val="0"/>
          <w:divBdr>
            <w:top w:val="none" w:sz="0" w:space="0" w:color="auto"/>
            <w:left w:val="none" w:sz="0" w:space="0" w:color="auto"/>
            <w:bottom w:val="none" w:sz="0" w:space="0" w:color="auto"/>
            <w:right w:val="none" w:sz="0" w:space="0" w:color="auto"/>
          </w:divBdr>
        </w:div>
        <w:div w:id="1306473727">
          <w:marLeft w:val="0"/>
          <w:marRight w:val="0"/>
          <w:marTop w:val="0"/>
          <w:marBottom w:val="0"/>
          <w:divBdr>
            <w:top w:val="none" w:sz="0" w:space="0" w:color="auto"/>
            <w:left w:val="none" w:sz="0" w:space="0" w:color="auto"/>
            <w:bottom w:val="none" w:sz="0" w:space="0" w:color="auto"/>
            <w:right w:val="none" w:sz="0" w:space="0" w:color="auto"/>
          </w:divBdr>
        </w:div>
        <w:div w:id="1088233813">
          <w:marLeft w:val="0"/>
          <w:marRight w:val="0"/>
          <w:marTop w:val="0"/>
          <w:marBottom w:val="0"/>
          <w:divBdr>
            <w:top w:val="none" w:sz="0" w:space="0" w:color="auto"/>
            <w:left w:val="none" w:sz="0" w:space="0" w:color="auto"/>
            <w:bottom w:val="none" w:sz="0" w:space="0" w:color="auto"/>
            <w:right w:val="none" w:sz="0" w:space="0" w:color="auto"/>
          </w:divBdr>
        </w:div>
        <w:div w:id="1499348406">
          <w:marLeft w:val="0"/>
          <w:marRight w:val="0"/>
          <w:marTop w:val="0"/>
          <w:marBottom w:val="0"/>
          <w:divBdr>
            <w:top w:val="none" w:sz="0" w:space="0" w:color="auto"/>
            <w:left w:val="none" w:sz="0" w:space="0" w:color="auto"/>
            <w:bottom w:val="none" w:sz="0" w:space="0" w:color="auto"/>
            <w:right w:val="none" w:sz="0" w:space="0" w:color="auto"/>
          </w:divBdr>
        </w:div>
        <w:div w:id="2002466327">
          <w:marLeft w:val="0"/>
          <w:marRight w:val="0"/>
          <w:marTop w:val="0"/>
          <w:marBottom w:val="0"/>
          <w:divBdr>
            <w:top w:val="none" w:sz="0" w:space="0" w:color="auto"/>
            <w:left w:val="none" w:sz="0" w:space="0" w:color="auto"/>
            <w:bottom w:val="none" w:sz="0" w:space="0" w:color="auto"/>
            <w:right w:val="none" w:sz="0" w:space="0" w:color="auto"/>
          </w:divBdr>
        </w:div>
        <w:div w:id="816843796">
          <w:marLeft w:val="0"/>
          <w:marRight w:val="0"/>
          <w:marTop w:val="0"/>
          <w:marBottom w:val="0"/>
          <w:divBdr>
            <w:top w:val="none" w:sz="0" w:space="0" w:color="auto"/>
            <w:left w:val="none" w:sz="0" w:space="0" w:color="auto"/>
            <w:bottom w:val="none" w:sz="0" w:space="0" w:color="auto"/>
            <w:right w:val="none" w:sz="0" w:space="0" w:color="auto"/>
          </w:divBdr>
        </w:div>
        <w:div w:id="2035423977">
          <w:marLeft w:val="0"/>
          <w:marRight w:val="0"/>
          <w:marTop w:val="0"/>
          <w:marBottom w:val="0"/>
          <w:divBdr>
            <w:top w:val="none" w:sz="0" w:space="0" w:color="auto"/>
            <w:left w:val="none" w:sz="0" w:space="0" w:color="auto"/>
            <w:bottom w:val="none" w:sz="0" w:space="0" w:color="auto"/>
            <w:right w:val="none" w:sz="0" w:space="0" w:color="auto"/>
          </w:divBdr>
        </w:div>
        <w:div w:id="1779566595">
          <w:marLeft w:val="0"/>
          <w:marRight w:val="0"/>
          <w:marTop w:val="0"/>
          <w:marBottom w:val="0"/>
          <w:divBdr>
            <w:top w:val="none" w:sz="0" w:space="0" w:color="auto"/>
            <w:left w:val="none" w:sz="0" w:space="0" w:color="auto"/>
            <w:bottom w:val="none" w:sz="0" w:space="0" w:color="auto"/>
            <w:right w:val="none" w:sz="0" w:space="0" w:color="auto"/>
          </w:divBdr>
        </w:div>
        <w:div w:id="1561208564">
          <w:marLeft w:val="0"/>
          <w:marRight w:val="0"/>
          <w:marTop w:val="0"/>
          <w:marBottom w:val="0"/>
          <w:divBdr>
            <w:top w:val="none" w:sz="0" w:space="0" w:color="auto"/>
            <w:left w:val="none" w:sz="0" w:space="0" w:color="auto"/>
            <w:bottom w:val="none" w:sz="0" w:space="0" w:color="auto"/>
            <w:right w:val="none" w:sz="0" w:space="0" w:color="auto"/>
          </w:divBdr>
        </w:div>
        <w:div w:id="1927958551">
          <w:marLeft w:val="0"/>
          <w:marRight w:val="0"/>
          <w:marTop w:val="0"/>
          <w:marBottom w:val="0"/>
          <w:divBdr>
            <w:top w:val="none" w:sz="0" w:space="0" w:color="auto"/>
            <w:left w:val="none" w:sz="0" w:space="0" w:color="auto"/>
            <w:bottom w:val="none" w:sz="0" w:space="0" w:color="auto"/>
            <w:right w:val="none" w:sz="0" w:space="0" w:color="auto"/>
          </w:divBdr>
        </w:div>
        <w:div w:id="560143106">
          <w:marLeft w:val="0"/>
          <w:marRight w:val="0"/>
          <w:marTop w:val="0"/>
          <w:marBottom w:val="0"/>
          <w:divBdr>
            <w:top w:val="none" w:sz="0" w:space="0" w:color="auto"/>
            <w:left w:val="none" w:sz="0" w:space="0" w:color="auto"/>
            <w:bottom w:val="none" w:sz="0" w:space="0" w:color="auto"/>
            <w:right w:val="none" w:sz="0" w:space="0" w:color="auto"/>
          </w:divBdr>
        </w:div>
        <w:div w:id="789932427">
          <w:marLeft w:val="0"/>
          <w:marRight w:val="0"/>
          <w:marTop w:val="0"/>
          <w:marBottom w:val="0"/>
          <w:divBdr>
            <w:top w:val="none" w:sz="0" w:space="0" w:color="auto"/>
            <w:left w:val="none" w:sz="0" w:space="0" w:color="auto"/>
            <w:bottom w:val="none" w:sz="0" w:space="0" w:color="auto"/>
            <w:right w:val="none" w:sz="0" w:space="0" w:color="auto"/>
          </w:divBdr>
        </w:div>
        <w:div w:id="724373099">
          <w:marLeft w:val="0"/>
          <w:marRight w:val="0"/>
          <w:marTop w:val="0"/>
          <w:marBottom w:val="0"/>
          <w:divBdr>
            <w:top w:val="none" w:sz="0" w:space="0" w:color="auto"/>
            <w:left w:val="none" w:sz="0" w:space="0" w:color="auto"/>
            <w:bottom w:val="none" w:sz="0" w:space="0" w:color="auto"/>
            <w:right w:val="none" w:sz="0" w:space="0" w:color="auto"/>
          </w:divBdr>
        </w:div>
        <w:div w:id="605842458">
          <w:marLeft w:val="0"/>
          <w:marRight w:val="0"/>
          <w:marTop w:val="0"/>
          <w:marBottom w:val="0"/>
          <w:divBdr>
            <w:top w:val="none" w:sz="0" w:space="0" w:color="auto"/>
            <w:left w:val="none" w:sz="0" w:space="0" w:color="auto"/>
            <w:bottom w:val="none" w:sz="0" w:space="0" w:color="auto"/>
            <w:right w:val="none" w:sz="0" w:space="0" w:color="auto"/>
          </w:divBdr>
        </w:div>
        <w:div w:id="1228106670">
          <w:marLeft w:val="0"/>
          <w:marRight w:val="0"/>
          <w:marTop w:val="0"/>
          <w:marBottom w:val="0"/>
          <w:divBdr>
            <w:top w:val="none" w:sz="0" w:space="0" w:color="auto"/>
            <w:left w:val="none" w:sz="0" w:space="0" w:color="auto"/>
            <w:bottom w:val="none" w:sz="0" w:space="0" w:color="auto"/>
            <w:right w:val="none" w:sz="0" w:space="0" w:color="auto"/>
          </w:divBdr>
        </w:div>
        <w:div w:id="169151150">
          <w:marLeft w:val="0"/>
          <w:marRight w:val="0"/>
          <w:marTop w:val="0"/>
          <w:marBottom w:val="0"/>
          <w:divBdr>
            <w:top w:val="none" w:sz="0" w:space="0" w:color="auto"/>
            <w:left w:val="none" w:sz="0" w:space="0" w:color="auto"/>
            <w:bottom w:val="none" w:sz="0" w:space="0" w:color="auto"/>
            <w:right w:val="none" w:sz="0" w:space="0" w:color="auto"/>
          </w:divBdr>
        </w:div>
        <w:div w:id="1281500121">
          <w:marLeft w:val="0"/>
          <w:marRight w:val="0"/>
          <w:marTop w:val="0"/>
          <w:marBottom w:val="0"/>
          <w:divBdr>
            <w:top w:val="none" w:sz="0" w:space="0" w:color="auto"/>
            <w:left w:val="none" w:sz="0" w:space="0" w:color="auto"/>
            <w:bottom w:val="none" w:sz="0" w:space="0" w:color="auto"/>
            <w:right w:val="none" w:sz="0" w:space="0" w:color="auto"/>
          </w:divBdr>
        </w:div>
        <w:div w:id="1070229562">
          <w:marLeft w:val="0"/>
          <w:marRight w:val="0"/>
          <w:marTop w:val="0"/>
          <w:marBottom w:val="0"/>
          <w:divBdr>
            <w:top w:val="none" w:sz="0" w:space="0" w:color="auto"/>
            <w:left w:val="none" w:sz="0" w:space="0" w:color="auto"/>
            <w:bottom w:val="none" w:sz="0" w:space="0" w:color="auto"/>
            <w:right w:val="none" w:sz="0" w:space="0" w:color="auto"/>
          </w:divBdr>
        </w:div>
        <w:div w:id="605776529">
          <w:marLeft w:val="0"/>
          <w:marRight w:val="0"/>
          <w:marTop w:val="0"/>
          <w:marBottom w:val="0"/>
          <w:divBdr>
            <w:top w:val="none" w:sz="0" w:space="0" w:color="auto"/>
            <w:left w:val="none" w:sz="0" w:space="0" w:color="auto"/>
            <w:bottom w:val="none" w:sz="0" w:space="0" w:color="auto"/>
            <w:right w:val="none" w:sz="0" w:space="0" w:color="auto"/>
          </w:divBdr>
        </w:div>
        <w:div w:id="1998537478">
          <w:marLeft w:val="0"/>
          <w:marRight w:val="0"/>
          <w:marTop w:val="0"/>
          <w:marBottom w:val="0"/>
          <w:divBdr>
            <w:top w:val="none" w:sz="0" w:space="0" w:color="auto"/>
            <w:left w:val="none" w:sz="0" w:space="0" w:color="auto"/>
            <w:bottom w:val="none" w:sz="0" w:space="0" w:color="auto"/>
            <w:right w:val="none" w:sz="0" w:space="0" w:color="auto"/>
          </w:divBdr>
        </w:div>
        <w:div w:id="1761558901">
          <w:marLeft w:val="0"/>
          <w:marRight w:val="0"/>
          <w:marTop w:val="0"/>
          <w:marBottom w:val="0"/>
          <w:divBdr>
            <w:top w:val="none" w:sz="0" w:space="0" w:color="auto"/>
            <w:left w:val="none" w:sz="0" w:space="0" w:color="auto"/>
            <w:bottom w:val="none" w:sz="0" w:space="0" w:color="auto"/>
            <w:right w:val="none" w:sz="0" w:space="0" w:color="auto"/>
          </w:divBdr>
        </w:div>
        <w:div w:id="1309357232">
          <w:marLeft w:val="0"/>
          <w:marRight w:val="0"/>
          <w:marTop w:val="0"/>
          <w:marBottom w:val="0"/>
          <w:divBdr>
            <w:top w:val="none" w:sz="0" w:space="0" w:color="auto"/>
            <w:left w:val="none" w:sz="0" w:space="0" w:color="auto"/>
            <w:bottom w:val="none" w:sz="0" w:space="0" w:color="auto"/>
            <w:right w:val="none" w:sz="0" w:space="0" w:color="auto"/>
          </w:divBdr>
        </w:div>
        <w:div w:id="1379625695">
          <w:marLeft w:val="0"/>
          <w:marRight w:val="0"/>
          <w:marTop w:val="0"/>
          <w:marBottom w:val="0"/>
          <w:divBdr>
            <w:top w:val="none" w:sz="0" w:space="0" w:color="auto"/>
            <w:left w:val="none" w:sz="0" w:space="0" w:color="auto"/>
            <w:bottom w:val="none" w:sz="0" w:space="0" w:color="auto"/>
            <w:right w:val="none" w:sz="0" w:space="0" w:color="auto"/>
          </w:divBdr>
        </w:div>
        <w:div w:id="538474670">
          <w:marLeft w:val="0"/>
          <w:marRight w:val="0"/>
          <w:marTop w:val="0"/>
          <w:marBottom w:val="0"/>
          <w:divBdr>
            <w:top w:val="none" w:sz="0" w:space="0" w:color="auto"/>
            <w:left w:val="none" w:sz="0" w:space="0" w:color="auto"/>
            <w:bottom w:val="none" w:sz="0" w:space="0" w:color="auto"/>
            <w:right w:val="none" w:sz="0" w:space="0" w:color="auto"/>
          </w:divBdr>
        </w:div>
        <w:div w:id="1422873932">
          <w:marLeft w:val="0"/>
          <w:marRight w:val="0"/>
          <w:marTop w:val="0"/>
          <w:marBottom w:val="0"/>
          <w:divBdr>
            <w:top w:val="none" w:sz="0" w:space="0" w:color="auto"/>
            <w:left w:val="none" w:sz="0" w:space="0" w:color="auto"/>
            <w:bottom w:val="none" w:sz="0" w:space="0" w:color="auto"/>
            <w:right w:val="none" w:sz="0" w:space="0" w:color="auto"/>
          </w:divBdr>
        </w:div>
        <w:div w:id="1395473639">
          <w:marLeft w:val="0"/>
          <w:marRight w:val="0"/>
          <w:marTop w:val="0"/>
          <w:marBottom w:val="0"/>
          <w:divBdr>
            <w:top w:val="none" w:sz="0" w:space="0" w:color="auto"/>
            <w:left w:val="none" w:sz="0" w:space="0" w:color="auto"/>
            <w:bottom w:val="none" w:sz="0" w:space="0" w:color="auto"/>
            <w:right w:val="none" w:sz="0" w:space="0" w:color="auto"/>
          </w:divBdr>
        </w:div>
        <w:div w:id="2099984808">
          <w:marLeft w:val="0"/>
          <w:marRight w:val="0"/>
          <w:marTop w:val="0"/>
          <w:marBottom w:val="0"/>
          <w:divBdr>
            <w:top w:val="none" w:sz="0" w:space="0" w:color="auto"/>
            <w:left w:val="none" w:sz="0" w:space="0" w:color="auto"/>
            <w:bottom w:val="none" w:sz="0" w:space="0" w:color="auto"/>
            <w:right w:val="none" w:sz="0" w:space="0" w:color="auto"/>
          </w:divBdr>
        </w:div>
        <w:div w:id="1932350376">
          <w:marLeft w:val="0"/>
          <w:marRight w:val="0"/>
          <w:marTop w:val="0"/>
          <w:marBottom w:val="0"/>
          <w:divBdr>
            <w:top w:val="none" w:sz="0" w:space="0" w:color="auto"/>
            <w:left w:val="none" w:sz="0" w:space="0" w:color="auto"/>
            <w:bottom w:val="none" w:sz="0" w:space="0" w:color="auto"/>
            <w:right w:val="none" w:sz="0" w:space="0" w:color="auto"/>
          </w:divBdr>
        </w:div>
        <w:div w:id="2140806688">
          <w:marLeft w:val="0"/>
          <w:marRight w:val="0"/>
          <w:marTop w:val="0"/>
          <w:marBottom w:val="0"/>
          <w:divBdr>
            <w:top w:val="none" w:sz="0" w:space="0" w:color="auto"/>
            <w:left w:val="none" w:sz="0" w:space="0" w:color="auto"/>
            <w:bottom w:val="none" w:sz="0" w:space="0" w:color="auto"/>
            <w:right w:val="none" w:sz="0" w:space="0" w:color="auto"/>
          </w:divBdr>
        </w:div>
      </w:divsChild>
    </w:div>
    <w:div w:id="1080717422">
      <w:bodyDiv w:val="1"/>
      <w:marLeft w:val="0"/>
      <w:marRight w:val="0"/>
      <w:marTop w:val="0"/>
      <w:marBottom w:val="0"/>
      <w:divBdr>
        <w:top w:val="none" w:sz="0" w:space="0" w:color="auto"/>
        <w:left w:val="none" w:sz="0" w:space="0" w:color="auto"/>
        <w:bottom w:val="none" w:sz="0" w:space="0" w:color="auto"/>
        <w:right w:val="none" w:sz="0" w:space="0" w:color="auto"/>
      </w:divBdr>
      <w:divsChild>
        <w:div w:id="2044862368">
          <w:marLeft w:val="0"/>
          <w:marRight w:val="0"/>
          <w:marTop w:val="0"/>
          <w:marBottom w:val="0"/>
          <w:divBdr>
            <w:top w:val="none" w:sz="0" w:space="0" w:color="auto"/>
            <w:left w:val="none" w:sz="0" w:space="0" w:color="auto"/>
            <w:bottom w:val="none" w:sz="0" w:space="0" w:color="auto"/>
            <w:right w:val="none" w:sz="0" w:space="0" w:color="auto"/>
          </w:divBdr>
        </w:div>
      </w:divsChild>
    </w:div>
    <w:div w:id="1187058880">
      <w:bodyDiv w:val="1"/>
      <w:marLeft w:val="0"/>
      <w:marRight w:val="0"/>
      <w:marTop w:val="0"/>
      <w:marBottom w:val="0"/>
      <w:divBdr>
        <w:top w:val="none" w:sz="0" w:space="0" w:color="auto"/>
        <w:left w:val="none" w:sz="0" w:space="0" w:color="auto"/>
        <w:bottom w:val="none" w:sz="0" w:space="0" w:color="auto"/>
        <w:right w:val="none" w:sz="0" w:space="0" w:color="auto"/>
      </w:divBdr>
      <w:divsChild>
        <w:div w:id="1082989252">
          <w:marLeft w:val="0"/>
          <w:marRight w:val="0"/>
          <w:marTop w:val="0"/>
          <w:marBottom w:val="0"/>
          <w:divBdr>
            <w:top w:val="none" w:sz="0" w:space="0" w:color="auto"/>
            <w:left w:val="none" w:sz="0" w:space="0" w:color="auto"/>
            <w:bottom w:val="none" w:sz="0" w:space="0" w:color="auto"/>
            <w:right w:val="none" w:sz="0" w:space="0" w:color="auto"/>
          </w:divBdr>
        </w:div>
        <w:div w:id="1856530849">
          <w:marLeft w:val="0"/>
          <w:marRight w:val="0"/>
          <w:marTop w:val="0"/>
          <w:marBottom w:val="0"/>
          <w:divBdr>
            <w:top w:val="none" w:sz="0" w:space="0" w:color="auto"/>
            <w:left w:val="none" w:sz="0" w:space="0" w:color="auto"/>
            <w:bottom w:val="none" w:sz="0" w:space="0" w:color="auto"/>
            <w:right w:val="none" w:sz="0" w:space="0" w:color="auto"/>
          </w:divBdr>
        </w:div>
        <w:div w:id="1968050377">
          <w:marLeft w:val="0"/>
          <w:marRight w:val="0"/>
          <w:marTop w:val="0"/>
          <w:marBottom w:val="0"/>
          <w:divBdr>
            <w:top w:val="none" w:sz="0" w:space="0" w:color="auto"/>
            <w:left w:val="none" w:sz="0" w:space="0" w:color="auto"/>
            <w:bottom w:val="none" w:sz="0" w:space="0" w:color="auto"/>
            <w:right w:val="none" w:sz="0" w:space="0" w:color="auto"/>
          </w:divBdr>
        </w:div>
        <w:div w:id="1765806659">
          <w:marLeft w:val="0"/>
          <w:marRight w:val="0"/>
          <w:marTop w:val="0"/>
          <w:marBottom w:val="0"/>
          <w:divBdr>
            <w:top w:val="none" w:sz="0" w:space="0" w:color="auto"/>
            <w:left w:val="none" w:sz="0" w:space="0" w:color="auto"/>
            <w:bottom w:val="none" w:sz="0" w:space="0" w:color="auto"/>
            <w:right w:val="none" w:sz="0" w:space="0" w:color="auto"/>
          </w:divBdr>
        </w:div>
        <w:div w:id="327100832">
          <w:marLeft w:val="0"/>
          <w:marRight w:val="0"/>
          <w:marTop w:val="0"/>
          <w:marBottom w:val="0"/>
          <w:divBdr>
            <w:top w:val="none" w:sz="0" w:space="0" w:color="auto"/>
            <w:left w:val="none" w:sz="0" w:space="0" w:color="auto"/>
            <w:bottom w:val="none" w:sz="0" w:space="0" w:color="auto"/>
            <w:right w:val="none" w:sz="0" w:space="0" w:color="auto"/>
          </w:divBdr>
        </w:div>
        <w:div w:id="1908833400">
          <w:marLeft w:val="0"/>
          <w:marRight w:val="0"/>
          <w:marTop w:val="0"/>
          <w:marBottom w:val="0"/>
          <w:divBdr>
            <w:top w:val="none" w:sz="0" w:space="0" w:color="auto"/>
            <w:left w:val="none" w:sz="0" w:space="0" w:color="auto"/>
            <w:bottom w:val="none" w:sz="0" w:space="0" w:color="auto"/>
            <w:right w:val="none" w:sz="0" w:space="0" w:color="auto"/>
          </w:divBdr>
        </w:div>
        <w:div w:id="843277872">
          <w:marLeft w:val="0"/>
          <w:marRight w:val="0"/>
          <w:marTop w:val="0"/>
          <w:marBottom w:val="0"/>
          <w:divBdr>
            <w:top w:val="none" w:sz="0" w:space="0" w:color="auto"/>
            <w:left w:val="none" w:sz="0" w:space="0" w:color="auto"/>
            <w:bottom w:val="none" w:sz="0" w:space="0" w:color="auto"/>
            <w:right w:val="none" w:sz="0" w:space="0" w:color="auto"/>
          </w:divBdr>
        </w:div>
        <w:div w:id="1877279239">
          <w:marLeft w:val="0"/>
          <w:marRight w:val="0"/>
          <w:marTop w:val="0"/>
          <w:marBottom w:val="0"/>
          <w:divBdr>
            <w:top w:val="none" w:sz="0" w:space="0" w:color="auto"/>
            <w:left w:val="none" w:sz="0" w:space="0" w:color="auto"/>
            <w:bottom w:val="none" w:sz="0" w:space="0" w:color="auto"/>
            <w:right w:val="none" w:sz="0" w:space="0" w:color="auto"/>
          </w:divBdr>
        </w:div>
        <w:div w:id="1494954414">
          <w:marLeft w:val="0"/>
          <w:marRight w:val="0"/>
          <w:marTop w:val="0"/>
          <w:marBottom w:val="0"/>
          <w:divBdr>
            <w:top w:val="none" w:sz="0" w:space="0" w:color="auto"/>
            <w:left w:val="none" w:sz="0" w:space="0" w:color="auto"/>
            <w:bottom w:val="none" w:sz="0" w:space="0" w:color="auto"/>
            <w:right w:val="none" w:sz="0" w:space="0" w:color="auto"/>
          </w:divBdr>
        </w:div>
        <w:div w:id="2086761459">
          <w:marLeft w:val="0"/>
          <w:marRight w:val="0"/>
          <w:marTop w:val="0"/>
          <w:marBottom w:val="0"/>
          <w:divBdr>
            <w:top w:val="none" w:sz="0" w:space="0" w:color="auto"/>
            <w:left w:val="none" w:sz="0" w:space="0" w:color="auto"/>
            <w:bottom w:val="none" w:sz="0" w:space="0" w:color="auto"/>
            <w:right w:val="none" w:sz="0" w:space="0" w:color="auto"/>
          </w:divBdr>
        </w:div>
        <w:div w:id="1640305820">
          <w:marLeft w:val="0"/>
          <w:marRight w:val="0"/>
          <w:marTop w:val="0"/>
          <w:marBottom w:val="0"/>
          <w:divBdr>
            <w:top w:val="none" w:sz="0" w:space="0" w:color="auto"/>
            <w:left w:val="none" w:sz="0" w:space="0" w:color="auto"/>
            <w:bottom w:val="none" w:sz="0" w:space="0" w:color="auto"/>
            <w:right w:val="none" w:sz="0" w:space="0" w:color="auto"/>
          </w:divBdr>
        </w:div>
        <w:div w:id="683437921">
          <w:marLeft w:val="0"/>
          <w:marRight w:val="0"/>
          <w:marTop w:val="0"/>
          <w:marBottom w:val="0"/>
          <w:divBdr>
            <w:top w:val="none" w:sz="0" w:space="0" w:color="auto"/>
            <w:left w:val="none" w:sz="0" w:space="0" w:color="auto"/>
            <w:bottom w:val="none" w:sz="0" w:space="0" w:color="auto"/>
            <w:right w:val="none" w:sz="0" w:space="0" w:color="auto"/>
          </w:divBdr>
        </w:div>
        <w:div w:id="2020043620">
          <w:marLeft w:val="0"/>
          <w:marRight w:val="0"/>
          <w:marTop w:val="0"/>
          <w:marBottom w:val="0"/>
          <w:divBdr>
            <w:top w:val="none" w:sz="0" w:space="0" w:color="auto"/>
            <w:left w:val="none" w:sz="0" w:space="0" w:color="auto"/>
            <w:bottom w:val="none" w:sz="0" w:space="0" w:color="auto"/>
            <w:right w:val="none" w:sz="0" w:space="0" w:color="auto"/>
          </w:divBdr>
        </w:div>
        <w:div w:id="191847039">
          <w:marLeft w:val="0"/>
          <w:marRight w:val="0"/>
          <w:marTop w:val="0"/>
          <w:marBottom w:val="0"/>
          <w:divBdr>
            <w:top w:val="none" w:sz="0" w:space="0" w:color="auto"/>
            <w:left w:val="none" w:sz="0" w:space="0" w:color="auto"/>
            <w:bottom w:val="none" w:sz="0" w:space="0" w:color="auto"/>
            <w:right w:val="none" w:sz="0" w:space="0" w:color="auto"/>
          </w:divBdr>
        </w:div>
        <w:div w:id="1843083651">
          <w:marLeft w:val="0"/>
          <w:marRight w:val="0"/>
          <w:marTop w:val="0"/>
          <w:marBottom w:val="0"/>
          <w:divBdr>
            <w:top w:val="none" w:sz="0" w:space="0" w:color="auto"/>
            <w:left w:val="none" w:sz="0" w:space="0" w:color="auto"/>
            <w:bottom w:val="none" w:sz="0" w:space="0" w:color="auto"/>
            <w:right w:val="none" w:sz="0" w:space="0" w:color="auto"/>
          </w:divBdr>
        </w:div>
        <w:div w:id="2062440096">
          <w:marLeft w:val="0"/>
          <w:marRight w:val="0"/>
          <w:marTop w:val="0"/>
          <w:marBottom w:val="0"/>
          <w:divBdr>
            <w:top w:val="none" w:sz="0" w:space="0" w:color="auto"/>
            <w:left w:val="none" w:sz="0" w:space="0" w:color="auto"/>
            <w:bottom w:val="none" w:sz="0" w:space="0" w:color="auto"/>
            <w:right w:val="none" w:sz="0" w:space="0" w:color="auto"/>
          </w:divBdr>
        </w:div>
        <w:div w:id="1785690690">
          <w:marLeft w:val="0"/>
          <w:marRight w:val="0"/>
          <w:marTop w:val="0"/>
          <w:marBottom w:val="0"/>
          <w:divBdr>
            <w:top w:val="none" w:sz="0" w:space="0" w:color="auto"/>
            <w:left w:val="none" w:sz="0" w:space="0" w:color="auto"/>
            <w:bottom w:val="none" w:sz="0" w:space="0" w:color="auto"/>
            <w:right w:val="none" w:sz="0" w:space="0" w:color="auto"/>
          </w:divBdr>
        </w:div>
        <w:div w:id="1608805377">
          <w:marLeft w:val="0"/>
          <w:marRight w:val="0"/>
          <w:marTop w:val="0"/>
          <w:marBottom w:val="0"/>
          <w:divBdr>
            <w:top w:val="none" w:sz="0" w:space="0" w:color="auto"/>
            <w:left w:val="none" w:sz="0" w:space="0" w:color="auto"/>
            <w:bottom w:val="none" w:sz="0" w:space="0" w:color="auto"/>
            <w:right w:val="none" w:sz="0" w:space="0" w:color="auto"/>
          </w:divBdr>
        </w:div>
        <w:div w:id="195126198">
          <w:marLeft w:val="0"/>
          <w:marRight w:val="0"/>
          <w:marTop w:val="0"/>
          <w:marBottom w:val="0"/>
          <w:divBdr>
            <w:top w:val="none" w:sz="0" w:space="0" w:color="auto"/>
            <w:left w:val="none" w:sz="0" w:space="0" w:color="auto"/>
            <w:bottom w:val="none" w:sz="0" w:space="0" w:color="auto"/>
            <w:right w:val="none" w:sz="0" w:space="0" w:color="auto"/>
          </w:divBdr>
        </w:div>
        <w:div w:id="1954436231">
          <w:marLeft w:val="0"/>
          <w:marRight w:val="0"/>
          <w:marTop w:val="0"/>
          <w:marBottom w:val="0"/>
          <w:divBdr>
            <w:top w:val="none" w:sz="0" w:space="0" w:color="auto"/>
            <w:left w:val="none" w:sz="0" w:space="0" w:color="auto"/>
            <w:bottom w:val="none" w:sz="0" w:space="0" w:color="auto"/>
            <w:right w:val="none" w:sz="0" w:space="0" w:color="auto"/>
          </w:divBdr>
        </w:div>
        <w:div w:id="1331064226">
          <w:marLeft w:val="0"/>
          <w:marRight w:val="0"/>
          <w:marTop w:val="0"/>
          <w:marBottom w:val="0"/>
          <w:divBdr>
            <w:top w:val="none" w:sz="0" w:space="0" w:color="auto"/>
            <w:left w:val="none" w:sz="0" w:space="0" w:color="auto"/>
            <w:bottom w:val="none" w:sz="0" w:space="0" w:color="auto"/>
            <w:right w:val="none" w:sz="0" w:space="0" w:color="auto"/>
          </w:divBdr>
        </w:div>
        <w:div w:id="261426349">
          <w:marLeft w:val="0"/>
          <w:marRight w:val="0"/>
          <w:marTop w:val="0"/>
          <w:marBottom w:val="0"/>
          <w:divBdr>
            <w:top w:val="none" w:sz="0" w:space="0" w:color="auto"/>
            <w:left w:val="none" w:sz="0" w:space="0" w:color="auto"/>
            <w:bottom w:val="none" w:sz="0" w:space="0" w:color="auto"/>
            <w:right w:val="none" w:sz="0" w:space="0" w:color="auto"/>
          </w:divBdr>
        </w:div>
        <w:div w:id="1213928965">
          <w:marLeft w:val="0"/>
          <w:marRight w:val="0"/>
          <w:marTop w:val="0"/>
          <w:marBottom w:val="0"/>
          <w:divBdr>
            <w:top w:val="none" w:sz="0" w:space="0" w:color="auto"/>
            <w:left w:val="none" w:sz="0" w:space="0" w:color="auto"/>
            <w:bottom w:val="none" w:sz="0" w:space="0" w:color="auto"/>
            <w:right w:val="none" w:sz="0" w:space="0" w:color="auto"/>
          </w:divBdr>
        </w:div>
        <w:div w:id="1217624809">
          <w:marLeft w:val="0"/>
          <w:marRight w:val="0"/>
          <w:marTop w:val="0"/>
          <w:marBottom w:val="0"/>
          <w:divBdr>
            <w:top w:val="none" w:sz="0" w:space="0" w:color="auto"/>
            <w:left w:val="none" w:sz="0" w:space="0" w:color="auto"/>
            <w:bottom w:val="none" w:sz="0" w:space="0" w:color="auto"/>
            <w:right w:val="none" w:sz="0" w:space="0" w:color="auto"/>
          </w:divBdr>
        </w:div>
        <w:div w:id="1750686615">
          <w:marLeft w:val="0"/>
          <w:marRight w:val="0"/>
          <w:marTop w:val="0"/>
          <w:marBottom w:val="0"/>
          <w:divBdr>
            <w:top w:val="none" w:sz="0" w:space="0" w:color="auto"/>
            <w:left w:val="none" w:sz="0" w:space="0" w:color="auto"/>
            <w:bottom w:val="none" w:sz="0" w:space="0" w:color="auto"/>
            <w:right w:val="none" w:sz="0" w:space="0" w:color="auto"/>
          </w:divBdr>
        </w:div>
        <w:div w:id="1116022727">
          <w:marLeft w:val="0"/>
          <w:marRight w:val="0"/>
          <w:marTop w:val="0"/>
          <w:marBottom w:val="0"/>
          <w:divBdr>
            <w:top w:val="none" w:sz="0" w:space="0" w:color="auto"/>
            <w:left w:val="none" w:sz="0" w:space="0" w:color="auto"/>
            <w:bottom w:val="none" w:sz="0" w:space="0" w:color="auto"/>
            <w:right w:val="none" w:sz="0" w:space="0" w:color="auto"/>
          </w:divBdr>
        </w:div>
        <w:div w:id="287274093">
          <w:marLeft w:val="0"/>
          <w:marRight w:val="0"/>
          <w:marTop w:val="0"/>
          <w:marBottom w:val="0"/>
          <w:divBdr>
            <w:top w:val="none" w:sz="0" w:space="0" w:color="auto"/>
            <w:left w:val="none" w:sz="0" w:space="0" w:color="auto"/>
            <w:bottom w:val="none" w:sz="0" w:space="0" w:color="auto"/>
            <w:right w:val="none" w:sz="0" w:space="0" w:color="auto"/>
          </w:divBdr>
        </w:div>
        <w:div w:id="689526853">
          <w:marLeft w:val="0"/>
          <w:marRight w:val="0"/>
          <w:marTop w:val="0"/>
          <w:marBottom w:val="0"/>
          <w:divBdr>
            <w:top w:val="none" w:sz="0" w:space="0" w:color="auto"/>
            <w:left w:val="none" w:sz="0" w:space="0" w:color="auto"/>
            <w:bottom w:val="none" w:sz="0" w:space="0" w:color="auto"/>
            <w:right w:val="none" w:sz="0" w:space="0" w:color="auto"/>
          </w:divBdr>
        </w:div>
        <w:div w:id="2116245172">
          <w:marLeft w:val="0"/>
          <w:marRight w:val="0"/>
          <w:marTop w:val="0"/>
          <w:marBottom w:val="0"/>
          <w:divBdr>
            <w:top w:val="none" w:sz="0" w:space="0" w:color="auto"/>
            <w:left w:val="none" w:sz="0" w:space="0" w:color="auto"/>
            <w:bottom w:val="none" w:sz="0" w:space="0" w:color="auto"/>
            <w:right w:val="none" w:sz="0" w:space="0" w:color="auto"/>
          </w:divBdr>
        </w:div>
        <w:div w:id="1730690915">
          <w:marLeft w:val="0"/>
          <w:marRight w:val="0"/>
          <w:marTop w:val="0"/>
          <w:marBottom w:val="0"/>
          <w:divBdr>
            <w:top w:val="none" w:sz="0" w:space="0" w:color="auto"/>
            <w:left w:val="none" w:sz="0" w:space="0" w:color="auto"/>
            <w:bottom w:val="none" w:sz="0" w:space="0" w:color="auto"/>
            <w:right w:val="none" w:sz="0" w:space="0" w:color="auto"/>
          </w:divBdr>
        </w:div>
        <w:div w:id="1257638609">
          <w:marLeft w:val="0"/>
          <w:marRight w:val="0"/>
          <w:marTop w:val="0"/>
          <w:marBottom w:val="0"/>
          <w:divBdr>
            <w:top w:val="none" w:sz="0" w:space="0" w:color="auto"/>
            <w:left w:val="none" w:sz="0" w:space="0" w:color="auto"/>
            <w:bottom w:val="none" w:sz="0" w:space="0" w:color="auto"/>
            <w:right w:val="none" w:sz="0" w:space="0" w:color="auto"/>
          </w:divBdr>
        </w:div>
        <w:div w:id="117728870">
          <w:marLeft w:val="0"/>
          <w:marRight w:val="0"/>
          <w:marTop w:val="0"/>
          <w:marBottom w:val="0"/>
          <w:divBdr>
            <w:top w:val="none" w:sz="0" w:space="0" w:color="auto"/>
            <w:left w:val="none" w:sz="0" w:space="0" w:color="auto"/>
            <w:bottom w:val="none" w:sz="0" w:space="0" w:color="auto"/>
            <w:right w:val="none" w:sz="0" w:space="0" w:color="auto"/>
          </w:divBdr>
        </w:div>
        <w:div w:id="211814050">
          <w:marLeft w:val="0"/>
          <w:marRight w:val="0"/>
          <w:marTop w:val="0"/>
          <w:marBottom w:val="0"/>
          <w:divBdr>
            <w:top w:val="none" w:sz="0" w:space="0" w:color="auto"/>
            <w:left w:val="none" w:sz="0" w:space="0" w:color="auto"/>
            <w:bottom w:val="none" w:sz="0" w:space="0" w:color="auto"/>
            <w:right w:val="none" w:sz="0" w:space="0" w:color="auto"/>
          </w:divBdr>
        </w:div>
        <w:div w:id="180125573">
          <w:marLeft w:val="0"/>
          <w:marRight w:val="0"/>
          <w:marTop w:val="0"/>
          <w:marBottom w:val="0"/>
          <w:divBdr>
            <w:top w:val="none" w:sz="0" w:space="0" w:color="auto"/>
            <w:left w:val="none" w:sz="0" w:space="0" w:color="auto"/>
            <w:bottom w:val="none" w:sz="0" w:space="0" w:color="auto"/>
            <w:right w:val="none" w:sz="0" w:space="0" w:color="auto"/>
          </w:divBdr>
        </w:div>
        <w:div w:id="1295940531">
          <w:marLeft w:val="0"/>
          <w:marRight w:val="0"/>
          <w:marTop w:val="0"/>
          <w:marBottom w:val="0"/>
          <w:divBdr>
            <w:top w:val="none" w:sz="0" w:space="0" w:color="auto"/>
            <w:left w:val="none" w:sz="0" w:space="0" w:color="auto"/>
            <w:bottom w:val="none" w:sz="0" w:space="0" w:color="auto"/>
            <w:right w:val="none" w:sz="0" w:space="0" w:color="auto"/>
          </w:divBdr>
        </w:div>
        <w:div w:id="1019507452">
          <w:marLeft w:val="0"/>
          <w:marRight w:val="0"/>
          <w:marTop w:val="0"/>
          <w:marBottom w:val="0"/>
          <w:divBdr>
            <w:top w:val="none" w:sz="0" w:space="0" w:color="auto"/>
            <w:left w:val="none" w:sz="0" w:space="0" w:color="auto"/>
            <w:bottom w:val="none" w:sz="0" w:space="0" w:color="auto"/>
            <w:right w:val="none" w:sz="0" w:space="0" w:color="auto"/>
          </w:divBdr>
        </w:div>
      </w:divsChild>
    </w:div>
    <w:div w:id="1424109319">
      <w:bodyDiv w:val="1"/>
      <w:marLeft w:val="0"/>
      <w:marRight w:val="0"/>
      <w:marTop w:val="0"/>
      <w:marBottom w:val="0"/>
      <w:divBdr>
        <w:top w:val="none" w:sz="0" w:space="0" w:color="auto"/>
        <w:left w:val="none" w:sz="0" w:space="0" w:color="auto"/>
        <w:bottom w:val="none" w:sz="0" w:space="0" w:color="auto"/>
        <w:right w:val="none" w:sz="0" w:space="0" w:color="auto"/>
      </w:divBdr>
    </w:div>
    <w:div w:id="1550607435">
      <w:bodyDiv w:val="1"/>
      <w:marLeft w:val="0"/>
      <w:marRight w:val="0"/>
      <w:marTop w:val="0"/>
      <w:marBottom w:val="0"/>
      <w:divBdr>
        <w:top w:val="none" w:sz="0" w:space="0" w:color="auto"/>
        <w:left w:val="none" w:sz="0" w:space="0" w:color="auto"/>
        <w:bottom w:val="none" w:sz="0" w:space="0" w:color="auto"/>
        <w:right w:val="none" w:sz="0" w:space="0" w:color="auto"/>
      </w:divBdr>
      <w:divsChild>
        <w:div w:id="376927957">
          <w:marLeft w:val="0"/>
          <w:marRight w:val="0"/>
          <w:marTop w:val="0"/>
          <w:marBottom w:val="0"/>
          <w:divBdr>
            <w:top w:val="none" w:sz="0" w:space="0" w:color="auto"/>
            <w:left w:val="none" w:sz="0" w:space="0" w:color="auto"/>
            <w:bottom w:val="none" w:sz="0" w:space="0" w:color="auto"/>
            <w:right w:val="none" w:sz="0" w:space="0" w:color="auto"/>
          </w:divBdr>
        </w:div>
        <w:div w:id="1996687943">
          <w:marLeft w:val="0"/>
          <w:marRight w:val="0"/>
          <w:marTop w:val="0"/>
          <w:marBottom w:val="0"/>
          <w:divBdr>
            <w:top w:val="none" w:sz="0" w:space="0" w:color="auto"/>
            <w:left w:val="none" w:sz="0" w:space="0" w:color="auto"/>
            <w:bottom w:val="none" w:sz="0" w:space="0" w:color="auto"/>
            <w:right w:val="none" w:sz="0" w:space="0" w:color="auto"/>
          </w:divBdr>
        </w:div>
        <w:div w:id="1221139097">
          <w:marLeft w:val="0"/>
          <w:marRight w:val="0"/>
          <w:marTop w:val="0"/>
          <w:marBottom w:val="0"/>
          <w:divBdr>
            <w:top w:val="none" w:sz="0" w:space="0" w:color="auto"/>
            <w:left w:val="none" w:sz="0" w:space="0" w:color="auto"/>
            <w:bottom w:val="none" w:sz="0" w:space="0" w:color="auto"/>
            <w:right w:val="none" w:sz="0" w:space="0" w:color="auto"/>
          </w:divBdr>
        </w:div>
        <w:div w:id="1880313231">
          <w:marLeft w:val="0"/>
          <w:marRight w:val="0"/>
          <w:marTop w:val="0"/>
          <w:marBottom w:val="0"/>
          <w:divBdr>
            <w:top w:val="none" w:sz="0" w:space="0" w:color="auto"/>
            <w:left w:val="none" w:sz="0" w:space="0" w:color="auto"/>
            <w:bottom w:val="none" w:sz="0" w:space="0" w:color="auto"/>
            <w:right w:val="none" w:sz="0" w:space="0" w:color="auto"/>
          </w:divBdr>
        </w:div>
        <w:div w:id="101997231">
          <w:marLeft w:val="0"/>
          <w:marRight w:val="0"/>
          <w:marTop w:val="0"/>
          <w:marBottom w:val="0"/>
          <w:divBdr>
            <w:top w:val="none" w:sz="0" w:space="0" w:color="auto"/>
            <w:left w:val="none" w:sz="0" w:space="0" w:color="auto"/>
            <w:bottom w:val="none" w:sz="0" w:space="0" w:color="auto"/>
            <w:right w:val="none" w:sz="0" w:space="0" w:color="auto"/>
          </w:divBdr>
        </w:div>
        <w:div w:id="334725076">
          <w:marLeft w:val="0"/>
          <w:marRight w:val="0"/>
          <w:marTop w:val="0"/>
          <w:marBottom w:val="0"/>
          <w:divBdr>
            <w:top w:val="none" w:sz="0" w:space="0" w:color="auto"/>
            <w:left w:val="none" w:sz="0" w:space="0" w:color="auto"/>
            <w:bottom w:val="none" w:sz="0" w:space="0" w:color="auto"/>
            <w:right w:val="none" w:sz="0" w:space="0" w:color="auto"/>
          </w:divBdr>
        </w:div>
        <w:div w:id="447546307">
          <w:marLeft w:val="0"/>
          <w:marRight w:val="0"/>
          <w:marTop w:val="0"/>
          <w:marBottom w:val="0"/>
          <w:divBdr>
            <w:top w:val="none" w:sz="0" w:space="0" w:color="auto"/>
            <w:left w:val="none" w:sz="0" w:space="0" w:color="auto"/>
            <w:bottom w:val="none" w:sz="0" w:space="0" w:color="auto"/>
            <w:right w:val="none" w:sz="0" w:space="0" w:color="auto"/>
          </w:divBdr>
        </w:div>
        <w:div w:id="1313024980">
          <w:marLeft w:val="0"/>
          <w:marRight w:val="0"/>
          <w:marTop w:val="0"/>
          <w:marBottom w:val="0"/>
          <w:divBdr>
            <w:top w:val="none" w:sz="0" w:space="0" w:color="auto"/>
            <w:left w:val="none" w:sz="0" w:space="0" w:color="auto"/>
            <w:bottom w:val="none" w:sz="0" w:space="0" w:color="auto"/>
            <w:right w:val="none" w:sz="0" w:space="0" w:color="auto"/>
          </w:divBdr>
        </w:div>
        <w:div w:id="1731658029">
          <w:marLeft w:val="0"/>
          <w:marRight w:val="0"/>
          <w:marTop w:val="0"/>
          <w:marBottom w:val="0"/>
          <w:divBdr>
            <w:top w:val="none" w:sz="0" w:space="0" w:color="auto"/>
            <w:left w:val="none" w:sz="0" w:space="0" w:color="auto"/>
            <w:bottom w:val="none" w:sz="0" w:space="0" w:color="auto"/>
            <w:right w:val="none" w:sz="0" w:space="0" w:color="auto"/>
          </w:divBdr>
        </w:div>
        <w:div w:id="696589292">
          <w:marLeft w:val="0"/>
          <w:marRight w:val="0"/>
          <w:marTop w:val="0"/>
          <w:marBottom w:val="0"/>
          <w:divBdr>
            <w:top w:val="none" w:sz="0" w:space="0" w:color="auto"/>
            <w:left w:val="none" w:sz="0" w:space="0" w:color="auto"/>
            <w:bottom w:val="none" w:sz="0" w:space="0" w:color="auto"/>
            <w:right w:val="none" w:sz="0" w:space="0" w:color="auto"/>
          </w:divBdr>
        </w:div>
        <w:div w:id="1072315715">
          <w:marLeft w:val="0"/>
          <w:marRight w:val="0"/>
          <w:marTop w:val="0"/>
          <w:marBottom w:val="0"/>
          <w:divBdr>
            <w:top w:val="none" w:sz="0" w:space="0" w:color="auto"/>
            <w:left w:val="none" w:sz="0" w:space="0" w:color="auto"/>
            <w:bottom w:val="none" w:sz="0" w:space="0" w:color="auto"/>
            <w:right w:val="none" w:sz="0" w:space="0" w:color="auto"/>
          </w:divBdr>
        </w:div>
        <w:div w:id="1380933451">
          <w:marLeft w:val="0"/>
          <w:marRight w:val="0"/>
          <w:marTop w:val="0"/>
          <w:marBottom w:val="0"/>
          <w:divBdr>
            <w:top w:val="none" w:sz="0" w:space="0" w:color="auto"/>
            <w:left w:val="none" w:sz="0" w:space="0" w:color="auto"/>
            <w:bottom w:val="none" w:sz="0" w:space="0" w:color="auto"/>
            <w:right w:val="none" w:sz="0" w:space="0" w:color="auto"/>
          </w:divBdr>
        </w:div>
        <w:div w:id="1670324966">
          <w:marLeft w:val="0"/>
          <w:marRight w:val="0"/>
          <w:marTop w:val="0"/>
          <w:marBottom w:val="0"/>
          <w:divBdr>
            <w:top w:val="none" w:sz="0" w:space="0" w:color="auto"/>
            <w:left w:val="none" w:sz="0" w:space="0" w:color="auto"/>
            <w:bottom w:val="none" w:sz="0" w:space="0" w:color="auto"/>
            <w:right w:val="none" w:sz="0" w:space="0" w:color="auto"/>
          </w:divBdr>
        </w:div>
        <w:div w:id="1621033722">
          <w:marLeft w:val="0"/>
          <w:marRight w:val="0"/>
          <w:marTop w:val="0"/>
          <w:marBottom w:val="0"/>
          <w:divBdr>
            <w:top w:val="none" w:sz="0" w:space="0" w:color="auto"/>
            <w:left w:val="none" w:sz="0" w:space="0" w:color="auto"/>
            <w:bottom w:val="none" w:sz="0" w:space="0" w:color="auto"/>
            <w:right w:val="none" w:sz="0" w:space="0" w:color="auto"/>
          </w:divBdr>
        </w:div>
        <w:div w:id="947657972">
          <w:marLeft w:val="0"/>
          <w:marRight w:val="0"/>
          <w:marTop w:val="0"/>
          <w:marBottom w:val="0"/>
          <w:divBdr>
            <w:top w:val="none" w:sz="0" w:space="0" w:color="auto"/>
            <w:left w:val="none" w:sz="0" w:space="0" w:color="auto"/>
            <w:bottom w:val="none" w:sz="0" w:space="0" w:color="auto"/>
            <w:right w:val="none" w:sz="0" w:space="0" w:color="auto"/>
          </w:divBdr>
        </w:div>
        <w:div w:id="1094285180">
          <w:marLeft w:val="0"/>
          <w:marRight w:val="0"/>
          <w:marTop w:val="0"/>
          <w:marBottom w:val="0"/>
          <w:divBdr>
            <w:top w:val="none" w:sz="0" w:space="0" w:color="auto"/>
            <w:left w:val="none" w:sz="0" w:space="0" w:color="auto"/>
            <w:bottom w:val="none" w:sz="0" w:space="0" w:color="auto"/>
            <w:right w:val="none" w:sz="0" w:space="0" w:color="auto"/>
          </w:divBdr>
        </w:div>
        <w:div w:id="1903369245">
          <w:marLeft w:val="0"/>
          <w:marRight w:val="0"/>
          <w:marTop w:val="0"/>
          <w:marBottom w:val="0"/>
          <w:divBdr>
            <w:top w:val="none" w:sz="0" w:space="0" w:color="auto"/>
            <w:left w:val="none" w:sz="0" w:space="0" w:color="auto"/>
            <w:bottom w:val="none" w:sz="0" w:space="0" w:color="auto"/>
            <w:right w:val="none" w:sz="0" w:space="0" w:color="auto"/>
          </w:divBdr>
        </w:div>
        <w:div w:id="119685662">
          <w:marLeft w:val="0"/>
          <w:marRight w:val="0"/>
          <w:marTop w:val="0"/>
          <w:marBottom w:val="0"/>
          <w:divBdr>
            <w:top w:val="none" w:sz="0" w:space="0" w:color="auto"/>
            <w:left w:val="none" w:sz="0" w:space="0" w:color="auto"/>
            <w:bottom w:val="none" w:sz="0" w:space="0" w:color="auto"/>
            <w:right w:val="none" w:sz="0" w:space="0" w:color="auto"/>
          </w:divBdr>
        </w:div>
        <w:div w:id="287321670">
          <w:marLeft w:val="0"/>
          <w:marRight w:val="0"/>
          <w:marTop w:val="0"/>
          <w:marBottom w:val="0"/>
          <w:divBdr>
            <w:top w:val="none" w:sz="0" w:space="0" w:color="auto"/>
            <w:left w:val="none" w:sz="0" w:space="0" w:color="auto"/>
            <w:bottom w:val="none" w:sz="0" w:space="0" w:color="auto"/>
            <w:right w:val="none" w:sz="0" w:space="0" w:color="auto"/>
          </w:divBdr>
        </w:div>
        <w:div w:id="1194921472">
          <w:marLeft w:val="0"/>
          <w:marRight w:val="0"/>
          <w:marTop w:val="0"/>
          <w:marBottom w:val="0"/>
          <w:divBdr>
            <w:top w:val="none" w:sz="0" w:space="0" w:color="auto"/>
            <w:left w:val="none" w:sz="0" w:space="0" w:color="auto"/>
            <w:bottom w:val="none" w:sz="0" w:space="0" w:color="auto"/>
            <w:right w:val="none" w:sz="0" w:space="0" w:color="auto"/>
          </w:divBdr>
        </w:div>
        <w:div w:id="466778872">
          <w:marLeft w:val="0"/>
          <w:marRight w:val="0"/>
          <w:marTop w:val="0"/>
          <w:marBottom w:val="0"/>
          <w:divBdr>
            <w:top w:val="none" w:sz="0" w:space="0" w:color="auto"/>
            <w:left w:val="none" w:sz="0" w:space="0" w:color="auto"/>
            <w:bottom w:val="none" w:sz="0" w:space="0" w:color="auto"/>
            <w:right w:val="none" w:sz="0" w:space="0" w:color="auto"/>
          </w:divBdr>
        </w:div>
        <w:div w:id="574508171">
          <w:marLeft w:val="0"/>
          <w:marRight w:val="0"/>
          <w:marTop w:val="0"/>
          <w:marBottom w:val="0"/>
          <w:divBdr>
            <w:top w:val="none" w:sz="0" w:space="0" w:color="auto"/>
            <w:left w:val="none" w:sz="0" w:space="0" w:color="auto"/>
            <w:bottom w:val="none" w:sz="0" w:space="0" w:color="auto"/>
            <w:right w:val="none" w:sz="0" w:space="0" w:color="auto"/>
          </w:divBdr>
        </w:div>
        <w:div w:id="339813135">
          <w:marLeft w:val="0"/>
          <w:marRight w:val="0"/>
          <w:marTop w:val="0"/>
          <w:marBottom w:val="0"/>
          <w:divBdr>
            <w:top w:val="none" w:sz="0" w:space="0" w:color="auto"/>
            <w:left w:val="none" w:sz="0" w:space="0" w:color="auto"/>
            <w:bottom w:val="none" w:sz="0" w:space="0" w:color="auto"/>
            <w:right w:val="none" w:sz="0" w:space="0" w:color="auto"/>
          </w:divBdr>
        </w:div>
        <w:div w:id="265693375">
          <w:marLeft w:val="0"/>
          <w:marRight w:val="0"/>
          <w:marTop w:val="0"/>
          <w:marBottom w:val="0"/>
          <w:divBdr>
            <w:top w:val="none" w:sz="0" w:space="0" w:color="auto"/>
            <w:left w:val="none" w:sz="0" w:space="0" w:color="auto"/>
            <w:bottom w:val="none" w:sz="0" w:space="0" w:color="auto"/>
            <w:right w:val="none" w:sz="0" w:space="0" w:color="auto"/>
          </w:divBdr>
        </w:div>
        <w:div w:id="1184785467">
          <w:marLeft w:val="0"/>
          <w:marRight w:val="0"/>
          <w:marTop w:val="0"/>
          <w:marBottom w:val="0"/>
          <w:divBdr>
            <w:top w:val="none" w:sz="0" w:space="0" w:color="auto"/>
            <w:left w:val="none" w:sz="0" w:space="0" w:color="auto"/>
            <w:bottom w:val="none" w:sz="0" w:space="0" w:color="auto"/>
            <w:right w:val="none" w:sz="0" w:space="0" w:color="auto"/>
          </w:divBdr>
        </w:div>
        <w:div w:id="1255286116">
          <w:marLeft w:val="0"/>
          <w:marRight w:val="0"/>
          <w:marTop w:val="0"/>
          <w:marBottom w:val="0"/>
          <w:divBdr>
            <w:top w:val="none" w:sz="0" w:space="0" w:color="auto"/>
            <w:left w:val="none" w:sz="0" w:space="0" w:color="auto"/>
            <w:bottom w:val="none" w:sz="0" w:space="0" w:color="auto"/>
            <w:right w:val="none" w:sz="0" w:space="0" w:color="auto"/>
          </w:divBdr>
        </w:div>
        <w:div w:id="2108579639">
          <w:marLeft w:val="0"/>
          <w:marRight w:val="0"/>
          <w:marTop w:val="0"/>
          <w:marBottom w:val="0"/>
          <w:divBdr>
            <w:top w:val="none" w:sz="0" w:space="0" w:color="auto"/>
            <w:left w:val="none" w:sz="0" w:space="0" w:color="auto"/>
            <w:bottom w:val="none" w:sz="0" w:space="0" w:color="auto"/>
            <w:right w:val="none" w:sz="0" w:space="0" w:color="auto"/>
          </w:divBdr>
        </w:div>
        <w:div w:id="1384255132">
          <w:marLeft w:val="0"/>
          <w:marRight w:val="0"/>
          <w:marTop w:val="0"/>
          <w:marBottom w:val="0"/>
          <w:divBdr>
            <w:top w:val="none" w:sz="0" w:space="0" w:color="auto"/>
            <w:left w:val="none" w:sz="0" w:space="0" w:color="auto"/>
            <w:bottom w:val="none" w:sz="0" w:space="0" w:color="auto"/>
            <w:right w:val="none" w:sz="0" w:space="0" w:color="auto"/>
          </w:divBdr>
        </w:div>
        <w:div w:id="300502402">
          <w:marLeft w:val="0"/>
          <w:marRight w:val="0"/>
          <w:marTop w:val="0"/>
          <w:marBottom w:val="0"/>
          <w:divBdr>
            <w:top w:val="none" w:sz="0" w:space="0" w:color="auto"/>
            <w:left w:val="none" w:sz="0" w:space="0" w:color="auto"/>
            <w:bottom w:val="none" w:sz="0" w:space="0" w:color="auto"/>
            <w:right w:val="none" w:sz="0" w:space="0" w:color="auto"/>
          </w:divBdr>
        </w:div>
        <w:div w:id="133257749">
          <w:marLeft w:val="0"/>
          <w:marRight w:val="0"/>
          <w:marTop w:val="0"/>
          <w:marBottom w:val="0"/>
          <w:divBdr>
            <w:top w:val="none" w:sz="0" w:space="0" w:color="auto"/>
            <w:left w:val="none" w:sz="0" w:space="0" w:color="auto"/>
            <w:bottom w:val="none" w:sz="0" w:space="0" w:color="auto"/>
            <w:right w:val="none" w:sz="0" w:space="0" w:color="auto"/>
          </w:divBdr>
        </w:div>
        <w:div w:id="1937246160">
          <w:marLeft w:val="0"/>
          <w:marRight w:val="0"/>
          <w:marTop w:val="0"/>
          <w:marBottom w:val="0"/>
          <w:divBdr>
            <w:top w:val="none" w:sz="0" w:space="0" w:color="auto"/>
            <w:left w:val="none" w:sz="0" w:space="0" w:color="auto"/>
            <w:bottom w:val="none" w:sz="0" w:space="0" w:color="auto"/>
            <w:right w:val="none" w:sz="0" w:space="0" w:color="auto"/>
          </w:divBdr>
        </w:div>
        <w:div w:id="1249925411">
          <w:marLeft w:val="0"/>
          <w:marRight w:val="0"/>
          <w:marTop w:val="0"/>
          <w:marBottom w:val="0"/>
          <w:divBdr>
            <w:top w:val="none" w:sz="0" w:space="0" w:color="auto"/>
            <w:left w:val="none" w:sz="0" w:space="0" w:color="auto"/>
            <w:bottom w:val="none" w:sz="0" w:space="0" w:color="auto"/>
            <w:right w:val="none" w:sz="0" w:space="0" w:color="auto"/>
          </w:divBdr>
        </w:div>
        <w:div w:id="848525958">
          <w:marLeft w:val="0"/>
          <w:marRight w:val="0"/>
          <w:marTop w:val="0"/>
          <w:marBottom w:val="0"/>
          <w:divBdr>
            <w:top w:val="none" w:sz="0" w:space="0" w:color="auto"/>
            <w:left w:val="none" w:sz="0" w:space="0" w:color="auto"/>
            <w:bottom w:val="none" w:sz="0" w:space="0" w:color="auto"/>
            <w:right w:val="none" w:sz="0" w:space="0" w:color="auto"/>
          </w:divBdr>
        </w:div>
        <w:div w:id="636953029">
          <w:marLeft w:val="0"/>
          <w:marRight w:val="0"/>
          <w:marTop w:val="0"/>
          <w:marBottom w:val="0"/>
          <w:divBdr>
            <w:top w:val="none" w:sz="0" w:space="0" w:color="auto"/>
            <w:left w:val="none" w:sz="0" w:space="0" w:color="auto"/>
            <w:bottom w:val="none" w:sz="0" w:space="0" w:color="auto"/>
            <w:right w:val="none" w:sz="0" w:space="0" w:color="auto"/>
          </w:divBdr>
        </w:div>
        <w:div w:id="156656288">
          <w:marLeft w:val="0"/>
          <w:marRight w:val="0"/>
          <w:marTop w:val="0"/>
          <w:marBottom w:val="0"/>
          <w:divBdr>
            <w:top w:val="none" w:sz="0" w:space="0" w:color="auto"/>
            <w:left w:val="none" w:sz="0" w:space="0" w:color="auto"/>
            <w:bottom w:val="none" w:sz="0" w:space="0" w:color="auto"/>
            <w:right w:val="none" w:sz="0" w:space="0" w:color="auto"/>
          </w:divBdr>
        </w:div>
        <w:div w:id="1239250457">
          <w:marLeft w:val="0"/>
          <w:marRight w:val="0"/>
          <w:marTop w:val="0"/>
          <w:marBottom w:val="0"/>
          <w:divBdr>
            <w:top w:val="none" w:sz="0" w:space="0" w:color="auto"/>
            <w:left w:val="none" w:sz="0" w:space="0" w:color="auto"/>
            <w:bottom w:val="none" w:sz="0" w:space="0" w:color="auto"/>
            <w:right w:val="none" w:sz="0" w:space="0" w:color="auto"/>
          </w:divBdr>
        </w:div>
        <w:div w:id="928273780">
          <w:marLeft w:val="0"/>
          <w:marRight w:val="0"/>
          <w:marTop w:val="0"/>
          <w:marBottom w:val="0"/>
          <w:divBdr>
            <w:top w:val="none" w:sz="0" w:space="0" w:color="auto"/>
            <w:left w:val="none" w:sz="0" w:space="0" w:color="auto"/>
            <w:bottom w:val="none" w:sz="0" w:space="0" w:color="auto"/>
            <w:right w:val="none" w:sz="0" w:space="0" w:color="auto"/>
          </w:divBdr>
        </w:div>
      </w:divsChild>
    </w:div>
    <w:div w:id="1914924406">
      <w:bodyDiv w:val="1"/>
      <w:marLeft w:val="0"/>
      <w:marRight w:val="0"/>
      <w:marTop w:val="0"/>
      <w:marBottom w:val="0"/>
      <w:divBdr>
        <w:top w:val="none" w:sz="0" w:space="0" w:color="auto"/>
        <w:left w:val="none" w:sz="0" w:space="0" w:color="auto"/>
        <w:bottom w:val="none" w:sz="0" w:space="0" w:color="auto"/>
        <w:right w:val="none" w:sz="0" w:space="0" w:color="auto"/>
      </w:divBdr>
      <w:divsChild>
        <w:div w:id="542906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5943</Words>
  <Characters>33879</Characters>
  <Application>Microsoft Office Word</Application>
  <DocSecurity>0</DocSecurity>
  <Lines>282</Lines>
  <Paragraphs>79</Paragraphs>
  <ScaleCrop>false</ScaleCrop>
  <Company>微软中国</Company>
  <LinksUpToDate>false</LinksUpToDate>
  <CharactersWithSpaces>39743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asdasd</dc:creator>
  <cp:lastModifiedBy>LS Ma</cp:lastModifiedBy>
  <cp:revision>2</cp:revision>
  <dcterms:created xsi:type="dcterms:W3CDTF">2014-05-28T17:28:00Z</dcterms:created>
  <dcterms:modified xsi:type="dcterms:W3CDTF">2014-05-28T17:28:00Z</dcterms:modified>
</cp:coreProperties>
</file>