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69219</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Laparoscopic duodenojejunostomy for malignant stenosis as a part of multimodal therapy: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Murakami T </w:t>
      </w:r>
      <w:r>
        <w:rPr>
          <w:rFonts w:ascii="Book Antiqua" w:hAnsi="Book Antiqua" w:eastAsia="Book Antiqua" w:cs="Book Antiqua"/>
          <w:i/>
          <w:iCs/>
          <w:color w:val="000000"/>
        </w:rPr>
        <w:t>et al</w:t>
      </w:r>
      <w:r>
        <w:rPr>
          <w:rFonts w:ascii="Book Antiqua" w:hAnsi="Book Antiqua" w:eastAsia="Book Antiqua" w:cs="Book Antiqua"/>
          <w:color w:val="000000"/>
        </w:rPr>
        <w:t>. Laparoscopic duodenojejunostomy for malignant stenosis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Teppei Murakami, Yugo Matsui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Teppei Murakami, Yugo Matsui, </w:t>
      </w:r>
      <w:r>
        <w:rPr>
          <w:rFonts w:ascii="Book Antiqua" w:hAnsi="Book Antiqua" w:eastAsia="Book Antiqua" w:cs="Book Antiqua"/>
          <w:color w:val="000000"/>
        </w:rPr>
        <w:t>Department of Surgery, Kobe City Hospital Organization Kobe City Center West Hospital, Kobe 653-0013, Hyogo, Japan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Murakami T wrote the manuscript; Matsui RY made the manuscript revision;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Teppei Murakami, MD, PhD, Doctor, </w:t>
      </w:r>
      <w:r>
        <w:rPr>
          <w:rFonts w:ascii="Book Antiqua" w:hAnsi="Book Antiqua" w:eastAsia="Book Antiqua" w:cs="Book Antiqua"/>
          <w:color w:val="000000"/>
        </w:rPr>
        <w:t>Department of Surgery, Kobe City Hospital Organization Kobe City Center West Hospital, 4-2 Ichibancho</w:t>
      </w:r>
      <w:r>
        <w:rPr>
          <w:rFonts w:ascii="Book Antiqua" w:hAnsi="Book Antiqua" w:eastAsia="宋体" w:cs="宋体"/>
          <w:color w:val="000000"/>
        </w:rPr>
        <w:t>　</w:t>
      </w:r>
      <w:r>
        <w:rPr>
          <w:rFonts w:ascii="Book Antiqua" w:hAnsi="Book Antiqua" w:eastAsia="Book Antiqua" w:cs="Book Antiqua"/>
          <w:color w:val="000000"/>
        </w:rPr>
        <w:t>Nagata-ku, Kobe 653-0013, Hyogo, Japan. manetorix@gmail.com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June 22,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August 28, 2021</w:t>
      </w:r>
    </w:p>
    <w:p>
      <w:pPr>
        <w:spacing w:line="360" w:lineRule="auto"/>
        <w:jc w:val="both"/>
        <w:rPr>
          <w:rFonts w:hint="eastAsia" w:ascii="Book Antiqua" w:hAnsi="Book Antiqua"/>
          <w:b w:val="0"/>
          <w:bCs w:val="0"/>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Laparoscopic duodenojejunostomy (LDJ) has become the standard surgical procedure for superior mesenteric artery syndrome due to its sufficient outcome in terms of safety and symptom relief. However, there are only a few reports about LDJ for malignant stenosis and its indication remains uncertain.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77-year-old woman with a history of pancreatic cancer (PC) treated with distal pancreatectomy with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 of the transverse colon 7 mo ago was admitted for recurrent vomiting. Imaging upon admission revealed marked distention of the duodenum and a tumor around the duodenojejunal flexure. She was diagnosed with malignant stenosis caused by local recurrence of PC. LDJ was performed with an uneventful postoperative course, followed by chemotherapy which gave her 10 mo overall survival.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We think that LDJ is a valuable method for unresectable malignant stenosis around the duodenojejunal flexure as a part of multimodal 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Duodenojejunostomy; Laparoscopic surgery; Malignant stenosis; Pancreatic cancer; Multimodal therapy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 xml:space="preserve">Murakami T, Matsui Y. Laparoscopic duodenojejunostomy for malignant stenosis as a part of multimodal therapy: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10(16): </w:t>
      </w:r>
      <w:r>
        <w:rPr>
          <w:rFonts w:hint="default" w:ascii="Book Antiqua" w:hAnsi="Book Antiqua" w:eastAsia="Book Antiqua" w:cs="Book Antiqua"/>
          <w:i w:val="0"/>
          <w:iCs w:val="0"/>
          <w:color w:val="000000"/>
          <w:kern w:val="0"/>
          <w:sz w:val="24"/>
          <w:szCs w:val="24"/>
          <w:u w:val="none"/>
          <w:lang w:val="en-US" w:eastAsia="zh-CN" w:bidi="ar"/>
        </w:rPr>
        <w:t>5324-5330</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5324</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5324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There are many reports on laparoscopic duodenojejunostomy (LDJ) for superior mesenteric artery syndrome, but rarely for malignant stenosis. In general, prognosis of patients with recurrent cancer is poor; however, development of new chemotherapeutic agents and new combination therapy improve their overall survival. Obstruction due to malignancy is often an obstacle for chemotherapy, and a safe and minimally invasive method would help enable a rapid induction. We think LDJ is a valuable method for patients with unresectable malignant stenosis around the duodenojejunal flexure.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Patients with recurrent or metastatic cancer have poor prognosis, and chemotherapy has a pivotal role in their survival</w:t>
      </w:r>
      <w:r>
        <w:rPr>
          <w:rFonts w:ascii="Book Antiqua" w:hAnsi="Book Antiqua" w:eastAsia="Book Antiqua" w:cs="Book Antiqua"/>
          <w:color w:val="000000"/>
          <w:vertAlign w:val="superscript"/>
        </w:rPr>
        <w:t>[1-3]</w:t>
      </w:r>
      <w:r>
        <w:rPr>
          <w:rFonts w:ascii="Book Antiqua" w:hAnsi="Book Antiqua" w:eastAsia="Book Antiqua" w:cs="Book Antiqua"/>
          <w:color w:val="000000"/>
        </w:rPr>
        <w:t>, especially in highly malignant disease such as pancreatic cancer (PC). When patients with unresectable malignancies require surgery for symptom relief, selection of a minimally invasive procedure allows faster recovery and thus quicker induction of chemotherapy.</w:t>
      </w:r>
    </w:p>
    <w:p>
      <w:pPr>
        <w:spacing w:line="360" w:lineRule="auto"/>
        <w:ind w:firstLine="240" w:firstLineChars="100"/>
        <w:jc w:val="both"/>
        <w:rPr>
          <w:rFonts w:ascii="Book Antiqua" w:hAnsi="Book Antiqua"/>
        </w:rPr>
      </w:pPr>
      <w:r>
        <w:rPr>
          <w:rFonts w:ascii="Book Antiqua" w:hAnsi="Book Antiqua" w:eastAsia="Book Antiqua" w:cs="Book Antiqua"/>
          <w:color w:val="000000"/>
        </w:rPr>
        <w:t>Laparoscopic duodenojejunostomy (LDJ) has become the standard surgical procedure for superior mesenteric artery syndrome (SMAS) due to its sufficient short- and long-term outcomes in terms of safety and symptom relief</w:t>
      </w:r>
      <w:r>
        <w:rPr>
          <w:rFonts w:ascii="Book Antiqua" w:hAnsi="Book Antiqua" w:eastAsia="Book Antiqua" w:cs="Book Antiqua"/>
          <w:color w:val="000000"/>
          <w:vertAlign w:val="superscript"/>
        </w:rPr>
        <w:t>[4,5]</w:t>
      </w:r>
      <w:r>
        <w:rPr>
          <w:rFonts w:ascii="Book Antiqua" w:hAnsi="Book Antiqua" w:eastAsia="Book Antiqua" w:cs="Book Antiqua"/>
          <w:color w:val="000000"/>
        </w:rPr>
        <w:t>. However, there are only a few reports about LDJ for malignant stenosis</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and its indication remains uncertain.</w:t>
      </w:r>
    </w:p>
    <w:p>
      <w:pPr>
        <w:spacing w:line="360" w:lineRule="auto"/>
        <w:ind w:firstLine="240" w:firstLineChars="100"/>
        <w:jc w:val="both"/>
        <w:rPr>
          <w:rFonts w:ascii="Book Antiqua" w:hAnsi="Book Antiqua"/>
        </w:rPr>
      </w:pPr>
      <w:r>
        <w:rPr>
          <w:rFonts w:ascii="Book Antiqua" w:hAnsi="Book Antiqua" w:eastAsia="Book Antiqua" w:cs="Book Antiqua"/>
          <w:color w:val="000000"/>
        </w:rPr>
        <w:t>We report a successful case of LDJ as palliative care in a patient with unresectable malignant stenosis around the duodenojejunal flexure caused by recurrent PC (rPC). The postoperative course was uneventful, and early food consumption and induction of chemotherapy were achieved. Hence, we think this method is valuable for the multimodal therapy of unresectable malignancies.</w:t>
      </w:r>
    </w:p>
    <w:p>
      <w:pPr>
        <w:spacing w:line="360" w:lineRule="auto"/>
        <w:ind w:firstLine="10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77-year-old woman presented with upper right abdominal distension and recurrent vomiting.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 xml:space="preserve">The patient had a history of PC treated with distal pancreatectomy with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 of the transverse colon 7 mo ago. She presented with upper right abdominal distension and recurrent vomiting since 1 d ago and was admitted to our institution as an emergency.</w:t>
      </w:r>
    </w:p>
    <w:p>
      <w:pPr>
        <w:spacing w:line="360" w:lineRule="auto"/>
        <w:ind w:firstLine="10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She underwent distal pancreatectomy with </w:t>
      </w:r>
      <w:r>
        <w:rPr>
          <w:rFonts w:ascii="Book Antiqua" w:hAnsi="Book Antiqua" w:eastAsia="Book Antiqua" w:cs="Book Antiqua"/>
          <w:i/>
          <w:iCs/>
          <w:color w:val="000000"/>
        </w:rPr>
        <w:t>en bloc</w:t>
      </w:r>
      <w:r>
        <w:rPr>
          <w:rFonts w:ascii="Book Antiqua" w:hAnsi="Book Antiqua" w:eastAsia="Book Antiqua" w:cs="Book Antiqua"/>
          <w:color w:val="000000"/>
        </w:rPr>
        <w:t xml:space="preserve"> resection of the transverse colon for PC.</w:t>
      </w:r>
    </w:p>
    <w:p>
      <w:pPr>
        <w:spacing w:line="360" w:lineRule="auto"/>
        <w:ind w:firstLine="10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had no specific family history.</w:t>
      </w:r>
    </w:p>
    <w:p>
      <w:pPr>
        <w:spacing w:line="360" w:lineRule="auto"/>
        <w:ind w:firstLine="10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Blood pressure 134/90 mmHg, heart rate 82 beats/min, respiration rate 12 breaths/min and body temperature 36.2 °C were noted upon arrival. The upper right abdomen was distended but soft and there was no abdominal pain.</w:t>
      </w:r>
    </w:p>
    <w:p>
      <w:pPr>
        <w:spacing w:line="360" w:lineRule="auto"/>
        <w:ind w:firstLine="10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Creatinine and blood urea nitrogen were elevated to 2.21 mg/dL (normal range: 0.65-1.1 mg/dL) and 28 mg/dL (normal range: 8-20 mg/dL), respectively. Tumor marker carbohydrate antigen 19-9 markedly increased to 6191 U/mL (normal range: 0-45 U/mL).</w:t>
      </w:r>
    </w:p>
    <w:p>
      <w:pPr>
        <w:spacing w:line="360" w:lineRule="auto"/>
        <w:ind w:firstLine="10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Computed tomography on admission revealed a soft tissue mass dorsal to the stomach and nearby duodenojejunal flexure. We found a dilated duodenum and collapsed jejunum (Figure 1). Upper gastrointestinal examination showed a dilated duodenum, limited extensibility of the stomach and no gastrografin passage through the duodenojejunal flexure (Figure 2A). Upper gastrointestinal endoscopy revealed stricture at the duodenojejunal flexure due to intraluminal stenosis but revealed no mucosal surface changes (Figure 2B), and a nasogastric tube was placed to decompress the stomach and duodenum (Figure 2C).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bookmarkStart w:id="0" w:name="OLE_LINK1"/>
      <w:r>
        <w:rPr>
          <w:rFonts w:ascii="Book Antiqua" w:hAnsi="Book Antiqua" w:eastAsia="Book Antiqua" w:cs="Book Antiqua"/>
          <w:color w:val="000000"/>
        </w:rPr>
        <w:t>Malignant stenosis of the duodenojejunal flexure caused by local recurrence of PC.</w:t>
      </w:r>
      <w:bookmarkEnd w:id="0"/>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Surgical intervention was essential for symptom relief and induction of chemotherapy. Gastrojejunal bypass was thought to be difficult due to the stiffness of the stomach, so we chose to perform DJ. A minimally invasive procedure was necessary for rapid recovery. LDJ was performed 9 d after admission. Decompression of the duodenum with nasogastric tube (Figure 2C) and correction of</w:t>
      </w:r>
      <w:r>
        <w:rPr>
          <w:rFonts w:ascii="Book Antiqua" w:hAnsi="Book Antiqua" w:eastAsia="宋体" w:cs="宋体"/>
          <w:color w:val="000000"/>
          <w:lang w:eastAsia="zh-CN"/>
        </w:rPr>
        <w:t xml:space="preserve"> </w:t>
      </w:r>
      <w:r>
        <w:rPr>
          <w:rFonts w:ascii="Book Antiqua" w:hAnsi="Book Antiqua" w:eastAsia="Book Antiqua" w:cs="Book Antiqua"/>
          <w:color w:val="000000"/>
        </w:rPr>
        <w:t>dehydration by total parenteral nutrition were performed preoperatively.</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The patient was placed in the open-leg supine position and a 4-port procedure (Figure 3A) was performed with the operator on the left side of the patient. Laparoscopic findings revealed a dilated duodenum, no gastric mobility and no peritoneal metastasis. With upward traction on the transverse colon, the second and third portions of the duodenum were exposed and mobilized (Figure 4A). We chose the third portion and jejunum about 30 cm anal to the Treitz ligament for anastomosis (Figure 4B and 4C). A side-to-side DJ was performed in an antiperistaltic manner using a stapling device (Signia with 45 mm </w:t>
      </w:r>
      <w:r>
        <w:rPr>
          <w:rFonts w:ascii="Book Antiqua" w:hAnsi="Book Antiqua" w:eastAsia="Book Antiqua" w:cs="Book Antiqua"/>
        </w:rPr>
        <w:t xml:space="preserve">purple reload; Covidien Japan, Tokyo, Japan) (Figure 4C). The common entry hole was closed with a continuous absorbable V-Loc suture (Covidien Japan) </w:t>
      </w:r>
      <w:r>
        <w:rPr>
          <w:rFonts w:ascii="Book Antiqua" w:hAnsi="Book Antiqua" w:eastAsia="Book Antiqua" w:cs="Book Antiqua"/>
          <w:color w:val="000000"/>
        </w:rPr>
        <w:t>(Figure 4D). The operating time was 90 min with trivial bleeding. No drain was placed. Intraoperative findings are summarized in Figure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Postoperative course was uneventful. Oral fluid intake and food consumption were started on postoperative day (POD) 2 and 7, respectively. Upper gastrointestinal examination on POD 5 showed good patency of the anastomosis (Figure 5). The patient was discharged on POD 9, followed by induction of outpatient chemotherapy </w:t>
      </w:r>
      <w:r>
        <w:rPr>
          <w:rFonts w:ascii="Book Antiqua" w:hAnsi="Book Antiqua" w:eastAsia="宋体" w:cs="宋体"/>
          <w:color w:val="000000"/>
          <w:lang w:eastAsia="zh-CN"/>
        </w:rPr>
        <w:t>(</w:t>
      </w:r>
      <w:r>
        <w:rPr>
          <w:rFonts w:ascii="Book Antiqua" w:hAnsi="Book Antiqua" w:eastAsia="Book Antiqua" w:cs="Book Antiqua"/>
          <w:color w:val="000000"/>
        </w:rPr>
        <w:t xml:space="preserve">nab-paclitaxel </w:t>
      </w:r>
      <w:r>
        <w:rPr>
          <w:rFonts w:ascii="Book Antiqua" w:hAnsi="Book Antiqua" w:eastAsia="宋体" w:cs="宋体"/>
          <w:color w:val="000000"/>
        </w:rPr>
        <w:t>+</w:t>
      </w:r>
      <w:r>
        <w:rPr>
          <w:rFonts w:ascii="Book Antiqua" w:hAnsi="Book Antiqua" w:eastAsia="宋体" w:cs="宋体"/>
          <w:color w:val="000000"/>
          <w:lang w:eastAsia="zh-CN"/>
        </w:rPr>
        <w:t xml:space="preserve"> </w:t>
      </w:r>
      <w:r>
        <w:rPr>
          <w:rFonts w:ascii="Book Antiqua" w:hAnsi="Book Antiqua" w:eastAsia="Book Antiqua" w:cs="Book Antiqua"/>
          <w:color w:val="000000"/>
        </w:rPr>
        <w:t>gemcitabine</w:t>
      </w:r>
      <w:r>
        <w:rPr>
          <w:rFonts w:ascii="Book Antiqua" w:hAnsi="Book Antiqua" w:eastAsia="宋体" w:cs="宋体"/>
          <w:color w:val="000000"/>
          <w:lang w:eastAsia="zh-CN"/>
        </w:rPr>
        <w:t xml:space="preserve">) </w:t>
      </w:r>
      <w:r>
        <w:rPr>
          <w:rFonts w:ascii="Book Antiqua" w:hAnsi="Book Antiqua" w:eastAsia="Book Antiqua" w:cs="Book Antiqua"/>
          <w:color w:val="000000"/>
        </w:rPr>
        <w:t>started on POD 30.</w:t>
      </w:r>
    </w:p>
    <w:p>
      <w:pPr>
        <w:spacing w:line="360" w:lineRule="auto"/>
        <w:ind w:firstLine="240" w:firstLineChars="100"/>
        <w:jc w:val="both"/>
        <w:rPr>
          <w:rFonts w:ascii="Book Antiqua" w:hAnsi="Book Antiqua"/>
        </w:rPr>
      </w:pPr>
      <w:r>
        <w:rPr>
          <w:rFonts w:ascii="Book Antiqua" w:hAnsi="Book Antiqua" w:eastAsia="Book Antiqua" w:cs="Book Antiqua"/>
          <w:color w:val="000000"/>
        </w:rPr>
        <w:t>Six months later, (7 mo after the operation), chemotherapy was terminated due to disease progression and the patient’s desire for best supportive care. Although she died of PC 10 mo after the operation, she could tolerate food consumption until just before her death.</w:t>
      </w:r>
    </w:p>
    <w:p>
      <w:pPr>
        <w:spacing w:line="360" w:lineRule="auto"/>
        <w:ind w:firstLine="10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 single-center case series of LDJ, although for SMAS</w:t>
      </w:r>
      <w:r>
        <w:rPr>
          <w:rFonts w:ascii="Book Antiqua" w:hAnsi="Book Antiqua" w:eastAsia="Book Antiqua" w:cs="Book Antiqua"/>
          <w:color w:val="000000"/>
          <w:vertAlign w:val="superscript"/>
        </w:rPr>
        <w:t>[4,5,7-11]</w:t>
      </w:r>
      <w:r>
        <w:rPr>
          <w:rFonts w:ascii="Book Antiqua" w:hAnsi="Book Antiqua" w:eastAsia="Book Antiqua" w:cs="Book Antiqua"/>
          <w:color w:val="000000"/>
        </w:rPr>
        <w:t>, showed no mortality, no anastomotic leaks, short length of stay and no recurrence of symptoms (Table 1). With such results, LDJ has been considered to be safe, efficacious and minimally invasive, and has become the standard surgical procedure for SMAS.</w:t>
      </w:r>
    </w:p>
    <w:p>
      <w:pPr>
        <w:spacing w:line="360" w:lineRule="auto"/>
        <w:ind w:firstLine="240" w:firstLineChars="100"/>
        <w:jc w:val="both"/>
        <w:rPr>
          <w:rFonts w:ascii="Book Antiqua" w:hAnsi="Book Antiqua"/>
        </w:rPr>
      </w:pPr>
      <w:r>
        <w:rPr>
          <w:rFonts w:ascii="Book Antiqua" w:hAnsi="Book Antiqua" w:eastAsia="Book Antiqua" w:cs="Book Antiqua"/>
          <w:color w:val="000000"/>
        </w:rPr>
        <w:t>Gastrojejunostomy (GJS) used to be performed for SMAS. However, GJS is no longer considered to be a suitable method for SMAS since it has been associated with insufficient duodenal decompression, peptic ulcer, bile gastritis and blind loop syndrome</w:t>
      </w:r>
      <w:r>
        <w:rPr>
          <w:rFonts w:ascii="Book Antiqua" w:hAnsi="Book Antiqua" w:eastAsia="Book Antiqua" w:cs="Book Antiqua"/>
          <w:color w:val="000000"/>
          <w:vertAlign w:val="superscript"/>
        </w:rPr>
        <w:t>[4,9,10]</w:t>
      </w:r>
      <w:r>
        <w:rPr>
          <w:rFonts w:ascii="Book Antiqua" w:hAnsi="Book Antiqua" w:eastAsia="Book Antiqua" w:cs="Book Antiqua"/>
          <w:color w:val="000000"/>
        </w:rPr>
        <w:t>. LDJ, in contrast, provides more sufficient duodenal decompression and a more natural and physiological route for food passage.</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obstruction site in our patient resembled that of SMAS since it was located in the duodenojejunal flexure, and so we thought that LDJ could be a suitable method. As mentioned before, stiffness of the stomach makes GJS a difficult choice. Fortunately, rapid symptom relief and induction of chemotherapy was achieved, thus the selection of LDJ over GJS was an acceptable decision.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Prognosis of rPC after initial curative resection is poor and similar to that of </w:t>
      </w:r>
      <w:r>
        <w:rPr>
          <w:rFonts w:ascii="Book Antiqua" w:hAnsi="Book Antiqua" w:eastAsia="Book Antiqua" w:cs="Book Antiqua"/>
          <w:i/>
          <w:iCs/>
          <w:color w:val="000000"/>
        </w:rPr>
        <w:t>de novo</w:t>
      </w:r>
      <w:r>
        <w:rPr>
          <w:rFonts w:ascii="Book Antiqua" w:hAnsi="Book Antiqua" w:eastAsia="Book Antiqua" w:cs="Book Antiqua"/>
          <w:color w:val="000000"/>
        </w:rPr>
        <w:t xml:space="preserve"> metastatic PC</w:t>
      </w:r>
      <w:r>
        <w:rPr>
          <w:rFonts w:ascii="Book Antiqua" w:hAnsi="Book Antiqua" w:eastAsia="Book Antiqua" w:cs="Book Antiqua"/>
          <w:color w:val="000000"/>
          <w:vertAlign w:val="superscript"/>
        </w:rPr>
        <w:t>[1-3]</w:t>
      </w:r>
      <w:r>
        <w:rPr>
          <w:rFonts w:ascii="Book Antiqua" w:hAnsi="Book Antiqua" w:eastAsia="Book Antiqua" w:cs="Book Antiqua"/>
          <w:color w:val="000000"/>
        </w:rPr>
        <w:t>. However, new anticancer agents and multiagent chemotherapy have improved overall survival (OS). The median OS for patients with rPC treated by chemotherapy is 10</w:t>
      </w:r>
      <w:r>
        <w:rPr>
          <w:rFonts w:hint="eastAsia" w:ascii="Book Antiqua" w:hAnsi="Book Antiqua" w:eastAsia="宋体" w:cs="宋体"/>
          <w:color w:val="000000"/>
          <w:lang w:eastAsia="zh-CN"/>
        </w:rPr>
        <w:t>-</w:t>
      </w:r>
      <w:r>
        <w:rPr>
          <w:rFonts w:ascii="Book Antiqua" w:hAnsi="Book Antiqua" w:eastAsia="Book Antiqua" w:cs="Book Antiqua"/>
          <w:color w:val="000000"/>
        </w:rPr>
        <w:t>14 mo compared to 3 mo without treatment</w:t>
      </w:r>
      <w:r>
        <w:rPr>
          <w:rFonts w:ascii="Book Antiqua" w:hAnsi="Book Antiqua" w:eastAsia="Book Antiqua" w:cs="Book Antiqua"/>
          <w:color w:val="000000"/>
          <w:vertAlign w:val="superscript"/>
        </w:rPr>
        <w:t>[3]</w:t>
      </w:r>
      <w:r>
        <w:rPr>
          <w:rFonts w:ascii="Book Antiqua" w:hAnsi="Book Antiqua" w:eastAsia="Book Antiqua" w:cs="Book Antiqua"/>
          <w:color w:val="000000"/>
        </w:rPr>
        <w:t>, indicating the significant role of chemotherapy in prolonging the survival of these patients. In terms of our patient, she gained 10 mo survival, comparable to previous reports.</w:t>
      </w:r>
    </w:p>
    <w:p>
      <w:pPr>
        <w:spacing w:line="360" w:lineRule="auto"/>
        <w:ind w:firstLine="240" w:firstLineChars="100"/>
        <w:jc w:val="both"/>
        <w:rPr>
          <w:rFonts w:ascii="Book Antiqua" w:hAnsi="Book Antiqua"/>
        </w:rPr>
      </w:pPr>
      <w:r>
        <w:rPr>
          <w:rFonts w:ascii="Book Antiqua" w:hAnsi="Book Antiqua" w:eastAsia="Book Antiqua" w:cs="Book Antiqua"/>
          <w:color w:val="000000"/>
        </w:rPr>
        <w:t>Improvement in quality of life (QOL) is also crucial in the multimodal therapy of cancer patients</w:t>
      </w:r>
      <w:r>
        <w:rPr>
          <w:rFonts w:ascii="Book Antiqua" w:hAnsi="Book Antiqua" w:eastAsia="Book Antiqua" w:cs="Book Antiqua"/>
          <w:color w:val="000000"/>
          <w:vertAlign w:val="superscript"/>
        </w:rPr>
        <w:t>[12-15]</w:t>
      </w:r>
      <w:r>
        <w:rPr>
          <w:rFonts w:ascii="Book Antiqua" w:hAnsi="Book Antiqua" w:eastAsia="Book Antiqua" w:cs="Book Antiqua"/>
          <w:color w:val="000000"/>
        </w:rPr>
        <w:t>. LDJ had a significant role in our patient by enabling oral food intake until the last few days of her life. High QOL is associated with better prognosis in patients receiving chemotherapy</w:t>
      </w:r>
      <w:r>
        <w:rPr>
          <w:rFonts w:ascii="Book Antiqua" w:hAnsi="Book Antiqua" w:eastAsia="Book Antiqua" w:cs="Book Antiqua"/>
          <w:color w:val="000000"/>
          <w:vertAlign w:val="superscript"/>
        </w:rPr>
        <w:t>[12-14]</w:t>
      </w:r>
      <w:r>
        <w:rPr>
          <w:rFonts w:ascii="Book Antiqua" w:hAnsi="Book Antiqua" w:eastAsia="Book Antiqua" w:cs="Book Antiqua"/>
          <w:color w:val="000000"/>
        </w:rPr>
        <w:t>, although psychological distress can interfere with treatment</w:t>
      </w:r>
      <w:r>
        <w:rPr>
          <w:rFonts w:ascii="Book Antiqua" w:hAnsi="Book Antiqua" w:eastAsia="Book Antiqua" w:cs="Book Antiqua"/>
          <w:color w:val="000000"/>
          <w:vertAlign w:val="superscript"/>
        </w:rPr>
        <w:t>[15]</w:t>
      </w:r>
      <w:r>
        <w:rPr>
          <w:rFonts w:ascii="Book Antiqua" w:hAnsi="Book Antiqua" w:eastAsia="Book Antiqua" w:cs="Book Antiqua"/>
          <w:color w:val="000000"/>
        </w:rPr>
        <w:t>. We also believe that improving QOL is particularly important for patients with poor prognostic disease, and the fact that symptom relief and ability to eat were maintained</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in our patient shows that LDJ can have a significant role in palliative care of patients with obstruction around the duodenojejunal flexure due to unresectable malignant diseases such as lymphoma, PC, gastrointestinal tumor and peritoneal dissemination.</w:t>
      </w:r>
    </w:p>
    <w:p>
      <w:pPr>
        <w:spacing w:line="360" w:lineRule="auto"/>
        <w:ind w:firstLine="240" w:firstLineChars="100"/>
        <w:jc w:val="both"/>
        <w:rPr>
          <w:rFonts w:ascii="Book Antiqua" w:hAnsi="Book Antiqua"/>
        </w:rPr>
      </w:pPr>
      <w:r>
        <w:rPr>
          <w:rFonts w:ascii="Book Antiqua" w:hAnsi="Book Antiqua" w:eastAsia="Book Antiqua" w:cs="Book Antiqua"/>
          <w:color w:val="000000"/>
        </w:rPr>
        <w:t>However, the indication for LDJ for unresectable malignancies remains uncertain since reports of LDJ performed on malignant stenosis are scarce</w:t>
      </w:r>
      <w:r>
        <w:rPr>
          <w:rFonts w:ascii="Book Antiqua" w:hAnsi="Book Antiqua" w:eastAsia="Book Antiqua" w:cs="Book Antiqua"/>
          <w:color w:val="000000"/>
          <w:vertAlign w:val="superscript"/>
        </w:rPr>
        <w:t>[6]</w:t>
      </w:r>
      <w:r>
        <w:rPr>
          <w:rFonts w:ascii="Book Antiqua" w:hAnsi="Book Antiqua" w:eastAsia="Book Antiqua" w:cs="Book Antiqua"/>
          <w:color w:val="000000"/>
        </w:rPr>
        <w:t>. LDJ is a method of palliative care, and so the absence of postoperative complications is crucial for prolonging survival of cancer patients by means of chemotherapy</w:t>
      </w:r>
      <w:r>
        <w:rPr>
          <w:rFonts w:ascii="Book Antiqua" w:hAnsi="Book Antiqua" w:eastAsia="Book Antiqua" w:cs="Book Antiqua"/>
          <w:color w:val="000000"/>
          <w:vertAlign w:val="superscript"/>
        </w:rPr>
        <w:t>[16,17]</w:t>
      </w:r>
      <w:r>
        <w:rPr>
          <w:rFonts w:ascii="Book Antiqua" w:hAnsi="Book Antiqua" w:eastAsia="Book Antiqua" w:cs="Book Antiqua"/>
          <w:color w:val="000000"/>
        </w:rPr>
        <w:t xml:space="preserve">. Preoperative management such as decompression of the duodenum with a nasogastric tube and correction of dehydration, electrolyte balances and nutrition are essential for avoiding complications such as anastomotic leakage. Chang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argues the importance of preoperative workup in LDJ for SMAS, and we think this can also apply for cancer patients as well.</w:t>
      </w:r>
    </w:p>
    <w:p>
      <w:pPr>
        <w:spacing w:line="360" w:lineRule="auto"/>
        <w:ind w:firstLine="240" w:firstLineChars="100"/>
        <w:jc w:val="both"/>
        <w:rPr>
          <w:rFonts w:ascii="Book Antiqua" w:hAnsi="Book Antiqua"/>
        </w:rPr>
      </w:pPr>
      <w:r>
        <w:rPr>
          <w:rFonts w:ascii="Book Antiqua" w:hAnsi="Book Antiqua" w:eastAsia="Book Antiqua" w:cs="Book Antiqua"/>
          <w:color w:val="000000"/>
        </w:rPr>
        <w:t>To our knowledge, this is the first report on the role of LDJ as a part of a multimodal therapy for unresectable cancer. Many anticancer agents expected to prolong survival have been developed to date</w:t>
      </w:r>
      <w:r>
        <w:rPr>
          <w:rFonts w:ascii="Book Antiqua" w:hAnsi="Book Antiqua" w:eastAsia="Book Antiqua" w:cs="Book Antiqua"/>
          <w:color w:val="000000"/>
          <w:vertAlign w:val="superscript"/>
        </w:rPr>
        <w:t>[18]</w:t>
      </w:r>
      <w:r>
        <w:rPr>
          <w:rFonts w:ascii="Book Antiqua" w:hAnsi="Book Antiqua" w:eastAsia="Book Antiqua" w:cs="Book Antiqua"/>
          <w:color w:val="000000"/>
        </w:rPr>
        <w:t>, and the role of minimally invasive surgery that preserve QOL will become increasingly significant. We expect more reports on cases of LDJ for malignant obstructions and hope that this procedure will be an acceptable treatment option for patients with unresectable malignant obstruction around the duodenojejunal flexure.</w:t>
      </w:r>
    </w:p>
    <w:p>
      <w:pPr>
        <w:spacing w:line="360" w:lineRule="auto"/>
        <w:ind w:firstLine="105"/>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LDJ is thought to be a valuable method of palliative care and as a part of multimodal therapy for patients with unresectable malignant stenosis around the duodenojejunal flexure. By preserving QOL, this procedure is expected to be a bridge to chemotherapy for unresectable malignancies.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Hajatdoost L</w:t>
      </w:r>
      <w:r>
        <w:rPr>
          <w:rFonts w:ascii="Book Antiqua" w:hAnsi="Book Antiqua" w:eastAsia="Book Antiqua" w:cs="Book Antiqua"/>
          <w:color w:val="000000"/>
        </w:rPr>
        <w:t xml:space="preserve">, Sedaghat K, Walker EJ, Thomas J, Kosari S. Chemotherapy in Pancreatic Cancer: A Systematic Review. </w:t>
      </w:r>
      <w:r>
        <w:rPr>
          <w:rFonts w:ascii="Book Antiqua" w:hAnsi="Book Antiqua" w:eastAsia="Book Antiqua" w:cs="Book Antiqua"/>
          <w:i/>
          <w:iCs/>
          <w:color w:val="000000"/>
        </w:rPr>
        <w:t>Medicina (Kaunas)</w:t>
      </w:r>
      <w:r>
        <w:rPr>
          <w:rFonts w:ascii="Book Antiqua" w:hAnsi="Book Antiqua" w:eastAsia="Book Antiqua" w:cs="Book Antiqua"/>
          <w:color w:val="000000"/>
        </w:rPr>
        <w:t xml:space="preserve"> 2018; </w:t>
      </w:r>
      <w:r>
        <w:rPr>
          <w:rFonts w:ascii="Book Antiqua" w:hAnsi="Book Antiqua" w:eastAsia="Book Antiqua" w:cs="Book Antiqua"/>
          <w:b/>
          <w:bCs/>
          <w:color w:val="000000"/>
        </w:rPr>
        <w:t>54</w:t>
      </w:r>
      <w:r>
        <w:rPr>
          <w:rFonts w:ascii="Book Antiqua" w:hAnsi="Book Antiqua" w:eastAsia="Book Antiqua" w:cs="Book Antiqua"/>
          <w:color w:val="000000"/>
        </w:rPr>
        <w:t xml:space="preserve"> [PMID: 30344279 DOI: 10.3390/medicina54030048]</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Mizrahi JD</w:t>
      </w:r>
      <w:r>
        <w:rPr>
          <w:rFonts w:ascii="Book Antiqua" w:hAnsi="Book Antiqua" w:eastAsia="Book Antiqua" w:cs="Book Antiqua"/>
          <w:color w:val="000000"/>
        </w:rPr>
        <w:t xml:space="preserve">, Surana R, Valle JW, Shroff RT. Pancreatic cancer.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2020; </w:t>
      </w:r>
      <w:r>
        <w:rPr>
          <w:rFonts w:ascii="Book Antiqua" w:hAnsi="Book Antiqua" w:eastAsia="Book Antiqua" w:cs="Book Antiqua"/>
          <w:b/>
          <w:bCs/>
          <w:color w:val="000000"/>
        </w:rPr>
        <w:t>395</w:t>
      </w:r>
      <w:r>
        <w:rPr>
          <w:rFonts w:ascii="Book Antiqua" w:hAnsi="Book Antiqua" w:eastAsia="Book Antiqua" w:cs="Book Antiqua"/>
          <w:color w:val="000000"/>
        </w:rPr>
        <w:t>: 2008-2020 [PMID: 32593337 DOI: 10.1016/S0140-6736(20)30974-0]</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Gbolahan OB</w:t>
      </w:r>
      <w:r>
        <w:rPr>
          <w:rFonts w:ascii="Book Antiqua" w:hAnsi="Book Antiqua" w:eastAsia="Book Antiqua" w:cs="Book Antiqua"/>
          <w:color w:val="000000"/>
        </w:rPr>
        <w:t xml:space="preserve">, Tong Y, Sehdev A, O’Neil B, Shahda S. Overall survival of patients with recurrent pancreatic cancer treated with systemic therapy: a retrospective study. </w:t>
      </w:r>
      <w:r>
        <w:rPr>
          <w:rFonts w:ascii="Book Antiqua" w:hAnsi="Book Antiqua" w:eastAsia="Book Antiqua" w:cs="Book Antiqua"/>
          <w:i/>
          <w:iCs/>
          <w:color w:val="000000"/>
        </w:rPr>
        <w:t>BMC Cancer</w:t>
      </w:r>
      <w:r>
        <w:rPr>
          <w:rFonts w:ascii="Book Antiqua" w:hAnsi="Book Antiqua" w:eastAsia="Book Antiqua" w:cs="Book Antiqua"/>
          <w:color w:val="000000"/>
        </w:rPr>
        <w:t xml:space="preserve"> 2019; </w:t>
      </w:r>
      <w:r>
        <w:rPr>
          <w:rFonts w:ascii="Book Antiqua" w:hAnsi="Book Antiqua" w:eastAsia="Book Antiqua" w:cs="Book Antiqua"/>
          <w:b/>
          <w:bCs/>
          <w:color w:val="000000"/>
        </w:rPr>
        <w:t>19</w:t>
      </w:r>
      <w:r>
        <w:rPr>
          <w:rFonts w:ascii="Book Antiqua" w:hAnsi="Book Antiqua" w:eastAsia="Book Antiqua" w:cs="Book Antiqua"/>
          <w:color w:val="000000"/>
        </w:rPr>
        <w:t>: 468 [PMID: 31101022 DOI: 10.1186/s12885-019-5630-4]</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Chang J</w:t>
      </w:r>
      <w:r>
        <w:rPr>
          <w:rFonts w:ascii="Book Antiqua" w:hAnsi="Book Antiqua" w:eastAsia="Book Antiqua" w:cs="Book Antiqua"/>
          <w:color w:val="000000"/>
        </w:rPr>
        <w:t xml:space="preserve">, Boules M, Rodriguez J, Walsh M, Rosenthal R, Kroh M. Laparoscopic duodenojejunostomy for superior mesenteric artery syndrome: intermediate follow-up results and a review of the literature.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2017; </w:t>
      </w:r>
      <w:r>
        <w:rPr>
          <w:rFonts w:ascii="Book Antiqua" w:hAnsi="Book Antiqua" w:eastAsia="Book Antiqua" w:cs="Book Antiqua"/>
          <w:b/>
          <w:bCs/>
          <w:color w:val="000000"/>
        </w:rPr>
        <w:t>31</w:t>
      </w:r>
      <w:r>
        <w:rPr>
          <w:rFonts w:ascii="Book Antiqua" w:hAnsi="Book Antiqua" w:eastAsia="Book Antiqua" w:cs="Book Antiqua"/>
          <w:color w:val="000000"/>
        </w:rPr>
        <w:t>: 1180-1185 [PMID: 27405482 DOI: 10.1007/s00464-016-5088-2]</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Jain N</w:t>
      </w:r>
      <w:r>
        <w:rPr>
          <w:rFonts w:ascii="Book Antiqua" w:hAnsi="Book Antiqua" w:eastAsia="Book Antiqua" w:cs="Book Antiqua"/>
          <w:color w:val="000000"/>
        </w:rPr>
        <w:t xml:space="preserve">, Chopde A, Soni B, Sharma B, Saini S, Mishra S, Mishra S, Gupta R, Bhojwani R. SMA syndrome: management perspective with laparoscopic duodenojejunostomy and long-term results.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2021; </w:t>
      </w:r>
      <w:r>
        <w:rPr>
          <w:rFonts w:ascii="Book Antiqua" w:hAnsi="Book Antiqua" w:eastAsia="Book Antiqua" w:cs="Book Antiqua"/>
          <w:b/>
          <w:bCs/>
          <w:color w:val="000000"/>
        </w:rPr>
        <w:t>35</w:t>
      </w:r>
      <w:r>
        <w:rPr>
          <w:rFonts w:ascii="Book Antiqua" w:hAnsi="Book Antiqua" w:eastAsia="Book Antiqua" w:cs="Book Antiqua"/>
          <w:color w:val="000000"/>
        </w:rPr>
        <w:t>: 2029-2038 [PMID: 32342220 DOI: 10.1007/s00464-020-07598-1]</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Cyriac J</w:t>
      </w:r>
      <w:r>
        <w:rPr>
          <w:rFonts w:ascii="Book Antiqua" w:hAnsi="Book Antiqua" w:eastAsia="Book Antiqua" w:cs="Book Antiqua"/>
          <w:color w:val="000000"/>
        </w:rPr>
        <w:t xml:space="preserve">, Klein L. A laparoscopic duodenojejunostomy for a duodenal obstruction from lymphoma.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2007; </w:t>
      </w:r>
      <w:r>
        <w:rPr>
          <w:rFonts w:ascii="Book Antiqua" w:hAnsi="Book Antiqua" w:eastAsia="Book Antiqua" w:cs="Book Antiqua"/>
          <w:b/>
          <w:bCs/>
          <w:color w:val="000000"/>
        </w:rPr>
        <w:t>21</w:t>
      </w:r>
      <w:r>
        <w:rPr>
          <w:rFonts w:ascii="Book Antiqua" w:hAnsi="Book Antiqua" w:eastAsia="Book Antiqua" w:cs="Book Antiqua"/>
          <w:color w:val="000000"/>
        </w:rPr>
        <w:t>: 324 [PMID: 17195042 DOI: 10.1007/s00464-005-0874-2]</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Richardson WS</w:t>
      </w:r>
      <w:r>
        <w:rPr>
          <w:rFonts w:ascii="Book Antiqua" w:hAnsi="Book Antiqua" w:eastAsia="Book Antiqua" w:cs="Book Antiqua"/>
          <w:color w:val="000000"/>
        </w:rPr>
        <w:t xml:space="preserve">, Surowiec WJ. Laparoscopic repair of superior mesenteric artery syndrome. </w:t>
      </w:r>
      <w:r>
        <w:rPr>
          <w:rFonts w:ascii="Book Antiqua" w:hAnsi="Book Antiqua" w:eastAsia="Book Antiqua" w:cs="Book Antiqua"/>
          <w:i/>
          <w:iCs/>
          <w:color w:val="000000"/>
        </w:rPr>
        <w:t>Am J Surg</w:t>
      </w:r>
      <w:r>
        <w:rPr>
          <w:rFonts w:ascii="Book Antiqua" w:hAnsi="Book Antiqua" w:eastAsia="Book Antiqua" w:cs="Book Antiqua"/>
          <w:color w:val="000000"/>
        </w:rPr>
        <w:t xml:space="preserve"> 2001; </w:t>
      </w:r>
      <w:r>
        <w:rPr>
          <w:rFonts w:ascii="Book Antiqua" w:hAnsi="Book Antiqua" w:eastAsia="Book Antiqua" w:cs="Book Antiqua"/>
          <w:b/>
          <w:bCs/>
          <w:color w:val="000000"/>
        </w:rPr>
        <w:t>181</w:t>
      </w:r>
      <w:r>
        <w:rPr>
          <w:rFonts w:ascii="Book Antiqua" w:hAnsi="Book Antiqua" w:eastAsia="Book Antiqua" w:cs="Book Antiqua"/>
          <w:color w:val="000000"/>
        </w:rPr>
        <w:t>: 377-378 [PMID: 11438278 DOI: 10.1016/s0002-9610(01)00571-2]</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Kim IY</w:t>
      </w:r>
      <w:r>
        <w:rPr>
          <w:rFonts w:ascii="Book Antiqua" w:hAnsi="Book Antiqua" w:eastAsia="Book Antiqua" w:cs="Book Antiqua"/>
          <w:color w:val="000000"/>
        </w:rPr>
        <w:t xml:space="preserve">, Cho NC, Kim DS, Rhoe BS. Laparoscopic duodenojejunostomy for management of superior mesenteric artery syndrome: two cases report and a review of the literature. </w:t>
      </w:r>
      <w:r>
        <w:rPr>
          <w:rFonts w:ascii="Book Antiqua" w:hAnsi="Book Antiqua" w:eastAsia="Book Antiqua" w:cs="Book Antiqua"/>
          <w:i/>
          <w:iCs/>
          <w:color w:val="000000"/>
        </w:rPr>
        <w:t>Yonsei Med J</w:t>
      </w:r>
      <w:r>
        <w:rPr>
          <w:rFonts w:ascii="Book Antiqua" w:hAnsi="Book Antiqua" w:eastAsia="Book Antiqua" w:cs="Book Antiqua"/>
          <w:color w:val="000000"/>
        </w:rPr>
        <w:t xml:space="preserve"> 2003; </w:t>
      </w:r>
      <w:r>
        <w:rPr>
          <w:rFonts w:ascii="Book Antiqua" w:hAnsi="Book Antiqua" w:eastAsia="Book Antiqua" w:cs="Book Antiqua"/>
          <w:b/>
          <w:bCs/>
          <w:color w:val="000000"/>
        </w:rPr>
        <w:t>44</w:t>
      </w:r>
      <w:r>
        <w:rPr>
          <w:rFonts w:ascii="Book Antiqua" w:hAnsi="Book Antiqua" w:eastAsia="Book Antiqua" w:cs="Book Antiqua"/>
          <w:color w:val="000000"/>
        </w:rPr>
        <w:t>: 526-529 [PMID: 12833593 DOI: 10.3349/ymj.2003.44.3.526]</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Munene G</w:t>
      </w:r>
      <w:r>
        <w:rPr>
          <w:rFonts w:ascii="Book Antiqua" w:hAnsi="Book Antiqua" w:eastAsia="Book Antiqua" w:cs="Book Antiqua"/>
          <w:color w:val="000000"/>
        </w:rPr>
        <w:t xml:space="preserve">, Knab M, Parag B. Laparoscopic duodenojejunostomy for superior mesenteric artery syndrome. </w:t>
      </w:r>
      <w:r>
        <w:rPr>
          <w:rFonts w:ascii="Book Antiqua" w:hAnsi="Book Antiqua" w:eastAsia="Book Antiqua" w:cs="Book Antiqua"/>
          <w:i/>
          <w:iCs/>
          <w:color w:val="000000"/>
        </w:rPr>
        <w:t>Am Surg</w:t>
      </w:r>
      <w:r>
        <w:rPr>
          <w:rFonts w:ascii="Book Antiqua" w:hAnsi="Book Antiqua" w:eastAsia="Book Antiqua" w:cs="Book Antiqua"/>
          <w:color w:val="000000"/>
        </w:rPr>
        <w:t xml:space="preserve"> 2010; </w:t>
      </w:r>
      <w:r>
        <w:rPr>
          <w:rFonts w:ascii="Book Antiqua" w:hAnsi="Book Antiqua" w:eastAsia="Book Antiqua" w:cs="Book Antiqua"/>
          <w:b/>
          <w:bCs/>
          <w:color w:val="000000"/>
        </w:rPr>
        <w:t>76</w:t>
      </w:r>
      <w:r>
        <w:rPr>
          <w:rFonts w:ascii="Book Antiqua" w:hAnsi="Book Antiqua" w:eastAsia="Book Antiqua" w:cs="Book Antiqua"/>
          <w:color w:val="000000"/>
        </w:rPr>
        <w:t>: 321-324 [PMID: 20349665]</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Sun Z</w:t>
      </w:r>
      <w:r>
        <w:rPr>
          <w:rFonts w:ascii="Book Antiqua" w:hAnsi="Book Antiqua" w:eastAsia="Book Antiqua" w:cs="Book Antiqua"/>
          <w:color w:val="000000"/>
        </w:rPr>
        <w:t xml:space="preserve">, Rodriguez J, McMichael J, Walsh RM, Chalikonda S, Rosenthal RJ, Kroh MD, El-Hayek K. Minimally invasive duodenojejunostomy for superior mesenteric artery syndrome: a case series and review of the literature. </w:t>
      </w:r>
      <w:r>
        <w:rPr>
          <w:rFonts w:ascii="Book Antiqua" w:hAnsi="Book Antiqua" w:eastAsia="Book Antiqua" w:cs="Book Antiqua"/>
          <w:i/>
          <w:iCs/>
          <w:color w:val="000000"/>
        </w:rPr>
        <w:t>Surg Endosc</w:t>
      </w:r>
      <w:r>
        <w:rPr>
          <w:rFonts w:ascii="Book Antiqua" w:hAnsi="Book Antiqua" w:eastAsia="Book Antiqua" w:cs="Book Antiqua"/>
          <w:color w:val="000000"/>
        </w:rPr>
        <w:t xml:space="preserve"> 2015; </w:t>
      </w:r>
      <w:r>
        <w:rPr>
          <w:rFonts w:ascii="Book Antiqua" w:hAnsi="Book Antiqua" w:eastAsia="Book Antiqua" w:cs="Book Antiqua"/>
          <w:b/>
          <w:bCs/>
          <w:color w:val="000000"/>
        </w:rPr>
        <w:t>29</w:t>
      </w:r>
      <w:r>
        <w:rPr>
          <w:rFonts w:ascii="Book Antiqua" w:hAnsi="Book Antiqua" w:eastAsia="Book Antiqua" w:cs="Book Antiqua"/>
          <w:color w:val="000000"/>
        </w:rPr>
        <w:t>: 1137-1144 [PMID: 25701058 DOI: 10.1007/s00464-014-3775-4]</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Kirby GC</w:t>
      </w:r>
      <w:r>
        <w:rPr>
          <w:rFonts w:ascii="Book Antiqua" w:hAnsi="Book Antiqua" w:eastAsia="Book Antiqua" w:cs="Book Antiqua"/>
          <w:color w:val="000000"/>
        </w:rPr>
        <w:t xml:space="preserve">, Faulconer ER, Robinson SJ, Perry A, Downing R. Superior mesenteric artery syndrome: a single centre experience of laparoscopic duodenojejunostomy as the operation of choice. </w:t>
      </w:r>
      <w:r>
        <w:rPr>
          <w:rFonts w:ascii="Book Antiqua" w:hAnsi="Book Antiqua" w:eastAsia="Book Antiqua" w:cs="Book Antiqua"/>
          <w:i/>
          <w:iCs/>
          <w:color w:val="000000"/>
        </w:rPr>
        <w:t>Ann R Coll Surg Engl</w:t>
      </w:r>
      <w:r>
        <w:rPr>
          <w:rFonts w:ascii="Book Antiqua" w:hAnsi="Book Antiqua" w:eastAsia="Book Antiqua" w:cs="Book Antiqua"/>
          <w:color w:val="000000"/>
        </w:rPr>
        <w:t xml:space="preserve"> 2017; </w:t>
      </w:r>
      <w:r>
        <w:rPr>
          <w:rFonts w:ascii="Book Antiqua" w:hAnsi="Book Antiqua" w:eastAsia="Book Antiqua" w:cs="Book Antiqua"/>
          <w:b/>
          <w:bCs/>
          <w:color w:val="000000"/>
        </w:rPr>
        <w:t>99</w:t>
      </w:r>
      <w:r>
        <w:rPr>
          <w:rFonts w:ascii="Book Antiqua" w:hAnsi="Book Antiqua" w:eastAsia="Book Antiqua" w:cs="Book Antiqua"/>
          <w:color w:val="000000"/>
        </w:rPr>
        <w:t>: 472-475 [PMID: 28660836 DOI: 10.1308/rcsann.2017.0063]</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Shibayama K,</w:t>
      </w:r>
      <w:r>
        <w:rPr>
          <w:rFonts w:ascii="Book Antiqua" w:hAnsi="Book Antiqua" w:eastAsia="Book Antiqua" w:cs="Book Antiqua"/>
          <w:color w:val="000000"/>
        </w:rPr>
        <w:t xml:space="preserve"> Kawaguchi Y, Otsuka T, Koga F, Nakashita S, Oza N, Ureshino N, Sadashima E, Kurobe K, Kosugi T, Shinchi K. Quality of Life During Chemotherapy in Japanese Patients with Unresectable Advanced Pancreatic Cancer. </w:t>
      </w:r>
      <w:r>
        <w:rPr>
          <w:rFonts w:ascii="Book Antiqua" w:hAnsi="Book Antiqua" w:eastAsia="Book Antiqua" w:cs="Book Antiqua"/>
          <w:i/>
          <w:iCs/>
          <w:color w:val="000000"/>
        </w:rPr>
        <w:t>Asian J Human Services</w:t>
      </w:r>
      <w:r>
        <w:rPr>
          <w:rFonts w:ascii="Book Antiqua" w:hAnsi="Book Antiqua" w:eastAsia="Book Antiqua" w:cs="Book Antiqua"/>
          <w:color w:val="000000"/>
        </w:rPr>
        <w:t xml:space="preserve"> 2020; </w:t>
      </w:r>
      <w:r>
        <w:rPr>
          <w:rFonts w:ascii="Book Antiqua" w:hAnsi="Book Antiqua" w:eastAsia="Book Antiqua" w:cs="Book Antiqua"/>
          <w:b/>
          <w:bCs/>
          <w:color w:val="000000"/>
        </w:rPr>
        <w:t>19</w:t>
      </w:r>
      <w:r>
        <w:rPr>
          <w:rFonts w:ascii="Book Antiqua" w:hAnsi="Book Antiqua" w:eastAsia="Book Antiqua" w:cs="Book Antiqua"/>
          <w:color w:val="000000"/>
        </w:rPr>
        <w:t>: 42-54 [DOI: 10.14391/ajhs.19.42]</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Gourgou-Bourgade S</w:t>
      </w:r>
      <w:r>
        <w:rPr>
          <w:rFonts w:ascii="Book Antiqua" w:hAnsi="Book Antiqua" w:eastAsia="Book Antiqua" w:cs="Book Antiqua"/>
          <w:color w:val="000000"/>
        </w:rPr>
        <w:t xml:space="preserve">, Bascoul-Mollevi C, Desseigne F, Ychou M, Bouché O, Guimbaud R, Bécouarn Y, Adenis A, Raoul JL, Boige V, Bérille J, Conroy T. Impact of FOLFIRINOX compared with gemcitabine on quality of life in patients with metastatic pancreatic cancer: results from the PRODIGE 4/ACCORD 11 randomized trial. </w:t>
      </w:r>
      <w:r>
        <w:rPr>
          <w:rFonts w:ascii="Book Antiqua" w:hAnsi="Book Antiqua" w:eastAsia="Book Antiqua" w:cs="Book Antiqua"/>
          <w:i/>
          <w:iCs/>
          <w:color w:val="000000"/>
        </w:rPr>
        <w:t>J Clin Oncol</w:t>
      </w:r>
      <w:r>
        <w:rPr>
          <w:rFonts w:ascii="Book Antiqua" w:hAnsi="Book Antiqua" w:eastAsia="Book Antiqua" w:cs="Book Antiqua"/>
          <w:color w:val="000000"/>
        </w:rPr>
        <w:t xml:space="preserve"> 2013; </w:t>
      </w:r>
      <w:r>
        <w:rPr>
          <w:rFonts w:ascii="Book Antiqua" w:hAnsi="Book Antiqua" w:eastAsia="Book Antiqua" w:cs="Book Antiqua"/>
          <w:b/>
          <w:bCs/>
          <w:color w:val="000000"/>
        </w:rPr>
        <w:t>31</w:t>
      </w:r>
      <w:r>
        <w:rPr>
          <w:rFonts w:ascii="Book Antiqua" w:hAnsi="Book Antiqua" w:eastAsia="Book Antiqua" w:cs="Book Antiqua"/>
          <w:color w:val="000000"/>
        </w:rPr>
        <w:t>: 23-29 [PMID: 23213101 DOI: 10.1200/JCO.2012.44.4869]</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Braun DP</w:t>
      </w:r>
      <w:r>
        <w:rPr>
          <w:rFonts w:ascii="Book Antiqua" w:hAnsi="Book Antiqua" w:eastAsia="Book Antiqua" w:cs="Book Antiqua"/>
          <w:color w:val="000000"/>
        </w:rPr>
        <w:t xml:space="preserve">, Gupta D, Staren ED. Longitudinal health-related quality of life assessment implications for prognosis in stage IV pancreatic cancer. </w:t>
      </w:r>
      <w:r>
        <w:rPr>
          <w:rFonts w:ascii="Book Antiqua" w:hAnsi="Book Antiqua" w:eastAsia="Book Antiqua" w:cs="Book Antiqua"/>
          <w:i/>
          <w:iCs/>
          <w:color w:val="000000"/>
        </w:rPr>
        <w:t>Pancreas</w:t>
      </w:r>
      <w:r>
        <w:rPr>
          <w:rFonts w:ascii="Book Antiqua" w:hAnsi="Book Antiqua" w:eastAsia="Book Antiqua" w:cs="Book Antiqua"/>
          <w:color w:val="000000"/>
        </w:rPr>
        <w:t xml:space="preserve"> 2013; </w:t>
      </w:r>
      <w:r>
        <w:rPr>
          <w:rFonts w:ascii="Book Antiqua" w:hAnsi="Book Antiqua" w:eastAsia="Book Antiqua" w:cs="Book Antiqua"/>
          <w:b/>
          <w:bCs/>
          <w:color w:val="000000"/>
        </w:rPr>
        <w:t>42</w:t>
      </w:r>
      <w:r>
        <w:rPr>
          <w:rFonts w:ascii="Book Antiqua" w:hAnsi="Book Antiqua" w:eastAsia="Book Antiqua" w:cs="Book Antiqua"/>
          <w:color w:val="000000"/>
        </w:rPr>
        <w:t>: 254-259 [PMID: 22850626 DOI: 10.1097/MPA.0b013e31825b9f56]</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Colleoni M</w:t>
      </w:r>
      <w:r>
        <w:rPr>
          <w:rFonts w:ascii="Book Antiqua" w:hAnsi="Book Antiqua" w:eastAsia="Book Antiqua" w:cs="Book Antiqua"/>
          <w:color w:val="000000"/>
        </w:rPr>
        <w:t xml:space="preserve">, Mandala M, Peruzzotti G, Robertson C, Bredart A, Goldhirsch A. Depression and degree of acceptance of adjuvant cytotoxic drugs.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2000; </w:t>
      </w:r>
      <w:r>
        <w:rPr>
          <w:rFonts w:ascii="Book Antiqua" w:hAnsi="Book Antiqua" w:eastAsia="Book Antiqua" w:cs="Book Antiqua"/>
          <w:b/>
          <w:bCs/>
          <w:color w:val="000000"/>
        </w:rPr>
        <w:t>356</w:t>
      </w:r>
      <w:r>
        <w:rPr>
          <w:rFonts w:ascii="Book Antiqua" w:hAnsi="Book Antiqua" w:eastAsia="Book Antiqua" w:cs="Book Antiqua"/>
          <w:color w:val="000000"/>
        </w:rPr>
        <w:t>: 1326-1327 [PMID: 11073026 DOI: 10.1016/S0140-6736(00)02821-X]</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Merkow RP</w:t>
      </w:r>
      <w:r>
        <w:rPr>
          <w:rFonts w:ascii="Book Antiqua" w:hAnsi="Book Antiqua" w:eastAsia="Book Antiqua" w:cs="Book Antiqua"/>
          <w:color w:val="000000"/>
        </w:rPr>
        <w:t xml:space="preserve">, Bentrem DJ, Mulcahy MF, Chung JW, Abbott DE, Kmiecik TE, Stewart AK, Winchester DP, Ko CY, Bilimoria KY. Effect of postoperative complications on adjuvant chemotherapy use for stage III colon cancer.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2013; </w:t>
      </w:r>
      <w:r>
        <w:rPr>
          <w:rFonts w:ascii="Book Antiqua" w:hAnsi="Book Antiqua" w:eastAsia="Book Antiqua" w:cs="Book Antiqua"/>
          <w:b/>
          <w:bCs/>
          <w:color w:val="000000"/>
        </w:rPr>
        <w:t>258</w:t>
      </w:r>
      <w:r>
        <w:rPr>
          <w:rFonts w:ascii="Book Antiqua" w:hAnsi="Book Antiqua" w:eastAsia="Book Antiqua" w:cs="Book Antiqua"/>
          <w:color w:val="000000"/>
        </w:rPr>
        <w:t>: 847-853 [PMID: 24169157 DOI: 10.1097/SLA.0000000000000312]</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Merkow RP</w:t>
      </w:r>
      <w:r>
        <w:rPr>
          <w:rFonts w:ascii="Book Antiqua" w:hAnsi="Book Antiqua" w:eastAsia="Book Antiqua" w:cs="Book Antiqua"/>
          <w:color w:val="000000"/>
        </w:rPr>
        <w:t xml:space="preserve">, Bilimoria KY, Tomlinson JS, Paruch JL, Fleming JB, Talamonti MS, Ko CY, Bentrem DJ. Postoperative complications reduce adjuvant chemotherapy use in resectable pancreatic cancer. </w:t>
      </w:r>
      <w:r>
        <w:rPr>
          <w:rFonts w:ascii="Book Antiqua" w:hAnsi="Book Antiqua" w:eastAsia="Book Antiqua" w:cs="Book Antiqua"/>
          <w:i/>
          <w:iCs/>
          <w:color w:val="000000"/>
        </w:rPr>
        <w:t>Ann Surg</w:t>
      </w:r>
      <w:r>
        <w:rPr>
          <w:rFonts w:ascii="Book Antiqua" w:hAnsi="Book Antiqua" w:eastAsia="Book Antiqua" w:cs="Book Antiqua"/>
          <w:color w:val="000000"/>
        </w:rPr>
        <w:t xml:space="preserve"> 2014; </w:t>
      </w:r>
      <w:r>
        <w:rPr>
          <w:rFonts w:ascii="Book Antiqua" w:hAnsi="Book Antiqua" w:eastAsia="Book Antiqua" w:cs="Book Antiqua"/>
          <w:b/>
          <w:bCs/>
          <w:color w:val="000000"/>
        </w:rPr>
        <w:t>260</w:t>
      </w:r>
      <w:r>
        <w:rPr>
          <w:rFonts w:ascii="Book Antiqua" w:hAnsi="Book Antiqua" w:eastAsia="Book Antiqua" w:cs="Book Antiqua"/>
          <w:color w:val="000000"/>
        </w:rPr>
        <w:t>: 372-377 [PMID: 24374509 DOI: 10.1097/SLA.0000000000000378]</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Zhong L</w:t>
      </w:r>
      <w:r>
        <w:rPr>
          <w:rFonts w:ascii="Book Antiqua" w:hAnsi="Book Antiqua" w:eastAsia="Book Antiqua" w:cs="Book Antiqua"/>
          <w:color w:val="000000"/>
        </w:rPr>
        <w:t xml:space="preserve">, Li Y, Xiong L, Wang W, Wu M, Yuan T, Yang W, Tian C, Miao Z, Wang T, Yang S. Small molecules in targeted cancer therapy: advances, challenges, and future perspectives. </w:t>
      </w:r>
      <w:r>
        <w:rPr>
          <w:rFonts w:ascii="Book Antiqua" w:hAnsi="Book Antiqua" w:eastAsia="Book Antiqua" w:cs="Book Antiqua"/>
          <w:i/>
          <w:iCs/>
          <w:color w:val="000000"/>
        </w:rPr>
        <w:t>Signal Transduct Target Ther</w:t>
      </w:r>
      <w:r>
        <w:rPr>
          <w:rFonts w:ascii="Book Antiqua" w:hAnsi="Book Antiqua" w:eastAsia="Book Antiqua" w:cs="Book Antiqua"/>
          <w:color w:val="000000"/>
        </w:rPr>
        <w:t xml:space="preserve"> 2021; </w:t>
      </w:r>
      <w:r>
        <w:rPr>
          <w:rFonts w:ascii="Book Antiqua" w:hAnsi="Book Antiqua" w:eastAsia="Book Antiqua" w:cs="Book Antiqua"/>
          <w:b/>
          <w:bCs/>
          <w:color w:val="000000"/>
        </w:rPr>
        <w:t>6</w:t>
      </w:r>
      <w:r>
        <w:rPr>
          <w:rFonts w:ascii="Book Antiqua" w:hAnsi="Book Antiqua" w:eastAsia="Book Antiqua" w:cs="Book Antiqua"/>
          <w:color w:val="000000"/>
        </w:rPr>
        <w:t>: 201 [PMID: 34054126 DOI: 10.1038/s41392-021-00572-w]</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 xml:space="preserve">Written informed consent was obtained from the patient for publication of this case report and accompanying images.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fldChar w:fldCharType="begin"/>
      </w:r>
      <w:r>
        <w:instrText xml:space="preserve"> HYPERLINK "https://creativecommons" </w:instrText>
      </w:r>
      <w:r>
        <w:fldChar w:fldCharType="separate"/>
      </w:r>
      <w:r>
        <w:rPr>
          <w:rStyle w:val="9"/>
          <w:rFonts w:ascii="Book Antiqua" w:hAnsi="Book Antiqua" w:eastAsia="Book Antiqua" w:cs="Book Antiqua"/>
        </w:rPr>
        <w:t>https://creativecommons</w:t>
      </w:r>
      <w:r>
        <w:rPr>
          <w:rStyle w:val="9"/>
          <w:rFonts w:ascii="Book Antiqua" w:hAnsi="Book Antiqua" w:eastAsia="Book Antiqua" w:cs="Book Antiqua"/>
        </w:rPr>
        <w:fldChar w:fldCharType="end"/>
      </w:r>
      <w:r>
        <w:rPr>
          <w:rFonts w:ascii="Book Antiqua" w:hAnsi="Book Antiqua" w:eastAsia="Book Antiqua" w:cs="Book Antiqua"/>
          <w:color w:val="000000"/>
        </w:rPr>
        <w:t>.org/Licenses/by-nc/4.0/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Provenance and peer review: </w:t>
      </w:r>
      <w:r>
        <w:rPr>
          <w:rFonts w:ascii="Book Antiqua" w:hAnsi="Book Antiqua" w:eastAsia="Book Antiqua" w:cs="Book Antiqua"/>
          <w:bCs/>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bCs/>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June 22,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August 19, 2021</w:t>
      </w:r>
    </w:p>
    <w:p>
      <w:pPr>
        <w:spacing w:line="360" w:lineRule="auto"/>
        <w:jc w:val="both"/>
        <w:rPr>
          <w:rFonts w:hint="eastAsia" w:ascii="Book Antiqua" w:hAnsi="Book Antiqua"/>
          <w:b w:val="0"/>
          <w:bCs w:val="0"/>
          <w:lang w:eastAsia="zh-CN"/>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Surgery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Japan</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D,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Cianci P,</w:t>
      </w:r>
      <w:r>
        <w:t xml:space="preserve"> </w:t>
      </w:r>
      <w:r>
        <w:rPr>
          <w:rFonts w:ascii="Book Antiqua" w:hAnsi="Book Antiqua" w:eastAsia="Book Antiqua" w:cs="Book Antiqua"/>
          <w:color w:val="000000"/>
        </w:rPr>
        <w:t>Italy; Cianci P,</w:t>
      </w:r>
      <w:r>
        <w:t xml:space="preserve"> </w:t>
      </w:r>
      <w:r>
        <w:rPr>
          <w:rFonts w:ascii="Book Antiqua" w:hAnsi="Book Antiqua" w:eastAsia="Book Antiqua" w:cs="Book Antiqua"/>
          <w:color w:val="000000"/>
        </w:rPr>
        <w:t>Italy; Scurtu RR, Romania</w:t>
      </w:r>
      <w:r>
        <w:rPr>
          <w:rFonts w:ascii="Book Antiqua" w:hAnsi="Book Antiqua" w:eastAsia="Book Antiqua" w:cs="Book Antiqua"/>
          <w:b/>
          <w:color w:val="000000"/>
        </w:rPr>
        <w:t xml:space="preserve"> S-Editor: </w:t>
      </w:r>
      <w:r>
        <w:rPr>
          <w:rFonts w:ascii="Book Antiqua" w:hAnsi="Book Antiqua" w:eastAsia="Book Antiqua" w:cs="Book Antiqua"/>
          <w:color w:val="000000"/>
        </w:rPr>
        <w:t>Chang KL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Kerr C </w:t>
      </w:r>
      <w:r>
        <w:rPr>
          <w:rFonts w:ascii="Book Antiqua" w:hAnsi="Book Antiqua" w:eastAsia="Book Antiqua" w:cs="Book Antiqua"/>
          <w:b/>
          <w:color w:val="000000"/>
        </w:rPr>
        <w:t xml:space="preserve">P-Editor: </w:t>
      </w:r>
      <w:r>
        <w:rPr>
          <w:rFonts w:hint="eastAsia" w:ascii="Book Antiqua" w:hAnsi="Book Antiqua" w:eastAsia="Book Antiqua" w:cs="Book Antiqua"/>
          <w:b w:val="0"/>
          <w:bCs/>
          <w:color w:val="000000"/>
        </w:rPr>
        <w:t>Chang KL</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1695" cy="1645920"/>
            <wp:effectExtent l="0" t="0" r="1905" b="0"/>
            <wp:docPr id="11" name="图片 11" descr="WJCC-10-532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0-5324-g001"/>
                    <pic:cNvPicPr>
                      <a:picLocks noChangeAspect="1"/>
                    </pic:cNvPicPr>
                  </pic:nvPicPr>
                  <pic:blipFill>
                    <a:blip r:embed="rId5"/>
                    <a:stretch>
                      <a:fillRect/>
                    </a:stretch>
                  </pic:blipFill>
                  <pic:spPr>
                    <a:xfrm>
                      <a:off x="0" y="0"/>
                      <a:ext cx="5941695" cy="164592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1 Computed tomography on admission. </w:t>
      </w:r>
      <w:r>
        <w:rPr>
          <w:rFonts w:ascii="Book Antiqua" w:hAnsi="Book Antiqua" w:eastAsia="Book Antiqua" w:cs="Book Antiqua"/>
          <w:color w:val="000000"/>
        </w:rPr>
        <w:t xml:space="preserve">A and C: Horizontal section; B: Coronal section. Computed tomography revealed a soft tissue mass dorsal to the stomach (C: white dotted line) and nearby duodenojejunal flexure (A and B: white arrow head). Dilated duodenum (d) and collapsed jejunum (A and B: white arrow) was found. </w:t>
      </w:r>
      <w:bookmarkStart w:id="1" w:name="_Hlk94260076"/>
      <w:r>
        <w:rPr>
          <w:rFonts w:ascii="Book Antiqua" w:hAnsi="Book Antiqua" w:eastAsia="Book Antiqua" w:cs="Book Antiqua"/>
          <w:color w:val="000000"/>
        </w:rPr>
        <w:t>g: Stomach; d: Duodenum</w:t>
      </w:r>
      <w:bookmarkEnd w:id="1"/>
      <w:r>
        <w:rPr>
          <w:rFonts w:ascii="Book Antiqua" w:hAnsi="Book Antiqua" w:eastAsia="Book Antiqua" w:cs="Book Antiqua"/>
          <w:color w:val="000000"/>
        </w:rPr>
        <w:t>; p: Pancreas.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hint="eastAsia" w:ascii="Book Antiqua" w:hAnsi="Book Antiqua" w:eastAsiaTheme="minorEastAsia"/>
          <w:lang w:eastAsia="zh-CN"/>
        </w:rPr>
        <w:drawing>
          <wp:inline distT="0" distB="0" distL="114300" distR="114300">
            <wp:extent cx="5739130" cy="1700530"/>
            <wp:effectExtent l="0" t="0" r="6350" b="6350"/>
            <wp:docPr id="10" name="图片 10" descr="WJCC-10-532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5324-g002"/>
                    <pic:cNvPicPr>
                      <a:picLocks noChangeAspect="1"/>
                    </pic:cNvPicPr>
                  </pic:nvPicPr>
                  <pic:blipFill>
                    <a:blip r:embed="rId6"/>
                    <a:stretch>
                      <a:fillRect/>
                    </a:stretch>
                  </pic:blipFill>
                  <pic:spPr>
                    <a:xfrm>
                      <a:off x="0" y="0"/>
                      <a:ext cx="5739130" cy="1700530"/>
                    </a:xfrm>
                    <a:prstGeom prst="rect">
                      <a:avLst/>
                    </a:prstGeom>
                  </pic:spPr>
                </pic:pic>
              </a:graphicData>
            </a:graphic>
          </wp:inline>
        </w:drawing>
      </w:r>
      <w:bookmarkStart w:id="2" w:name="_GoBack"/>
      <w:bookmarkEnd w:id="2"/>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Figure 2 Preoperative upper gastrointestinal investigation and upper gastrointestinal endoscopy.</w:t>
      </w:r>
      <w:r>
        <w:rPr>
          <w:rFonts w:ascii="Book Antiqua" w:hAnsi="Book Antiqua" w:eastAsia="Book Antiqua" w:cs="Book Antiqua"/>
          <w:color w:val="000000"/>
        </w:rPr>
        <w:t xml:space="preserve"> A: Upper gastrointestinal investigation showed a dilated duodenum (d), stomach lacking extensibility (g) and no gastrografin passage through the duodenojejunal flexure (white arrow); B: Upper gastrointestinal endoscopy could not pass through the duodenojejunal flexure due to intraluminal stenosis (white arrow) but revealed no mucosal surface change; C: A nasogastric tube was placed to decompress the stomach and duodenum. g: Stomach; d: Duodenum.</w:t>
      </w:r>
    </w:p>
    <w:p>
      <w:pPr>
        <w:spacing w:line="360" w:lineRule="auto"/>
        <w:jc w:val="both"/>
        <w:rPr>
          <w:rFonts w:ascii="Book Antiqua" w:hAnsi="Book Antiqua"/>
        </w:rPr>
      </w:pPr>
      <w:r>
        <w:rPr>
          <w:rFonts w:hint="eastAsia" w:ascii="Book Antiqua" w:hAnsi="Book Antiqua" w:eastAsiaTheme="minorEastAsia"/>
          <w:lang w:eastAsia="zh-CN"/>
        </w:rPr>
        <w:drawing>
          <wp:inline distT="0" distB="0" distL="114300" distR="114300">
            <wp:extent cx="4358640" cy="2322830"/>
            <wp:effectExtent l="0" t="0" r="0" b="8890"/>
            <wp:docPr id="9" name="图片 9" descr="WJCC-10-532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5324-g003"/>
                    <pic:cNvPicPr>
                      <a:picLocks noChangeAspect="1"/>
                    </pic:cNvPicPr>
                  </pic:nvPicPr>
                  <pic:blipFill>
                    <a:blip r:embed="rId7"/>
                    <a:stretch>
                      <a:fillRect/>
                    </a:stretch>
                  </pic:blipFill>
                  <pic:spPr>
                    <a:xfrm>
                      <a:off x="0" y="0"/>
                      <a:ext cx="4358640" cy="232283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 xml:space="preserve">Figure 3 Schematic illustration. </w:t>
      </w:r>
      <w:r>
        <w:rPr>
          <w:rFonts w:ascii="Book Antiqua" w:hAnsi="Book Antiqua" w:eastAsia="Book Antiqua" w:cs="Book Antiqua"/>
          <w:color w:val="000000"/>
        </w:rPr>
        <w:t>A: Port placement; B: Anatomy of anastomosis in laparoscopic duodenojejunostomy.</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hint="eastAsia" w:ascii="Book Antiqua" w:hAnsi="Book Antiqua" w:eastAsiaTheme="minorEastAsia"/>
          <w:lang w:eastAsia="zh-CN"/>
        </w:rPr>
        <w:drawing>
          <wp:inline distT="0" distB="0" distL="114300" distR="114300">
            <wp:extent cx="5586730" cy="3797935"/>
            <wp:effectExtent l="0" t="0" r="6350" b="12065"/>
            <wp:docPr id="8" name="图片 8" descr="WJCC-10-532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5324-g004"/>
                    <pic:cNvPicPr>
                      <a:picLocks noChangeAspect="1"/>
                    </pic:cNvPicPr>
                  </pic:nvPicPr>
                  <pic:blipFill>
                    <a:blip r:embed="rId8"/>
                    <a:stretch>
                      <a:fillRect/>
                    </a:stretch>
                  </pic:blipFill>
                  <pic:spPr>
                    <a:xfrm>
                      <a:off x="0" y="0"/>
                      <a:ext cx="5586730" cy="3797935"/>
                    </a:xfrm>
                    <a:prstGeom prst="rect">
                      <a:avLst/>
                    </a:prstGeom>
                  </pic:spPr>
                </pic:pic>
              </a:graphicData>
            </a:graphic>
          </wp:inline>
        </w:drawing>
      </w:r>
    </w:p>
    <w:p>
      <w:pPr>
        <w:spacing w:line="360" w:lineRule="auto"/>
        <w:jc w:val="both"/>
        <w:rPr>
          <w:rFonts w:ascii="Book Antiqua" w:hAnsi="Book Antiqua"/>
          <w:color w:val="FF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4 Images of duodenojejunostomy. </w:t>
      </w:r>
      <w:r>
        <w:rPr>
          <w:rFonts w:ascii="Book Antiqua" w:hAnsi="Book Antiqua" w:eastAsia="Book Antiqua" w:cs="Book Antiqua"/>
          <w:color w:val="000000"/>
        </w:rPr>
        <w:t xml:space="preserve">A: The second and third portions of the duodenum </w:t>
      </w:r>
      <w:r>
        <w:rPr>
          <w:rFonts w:ascii="Book Antiqua" w:hAnsi="Book Antiqua" w:eastAsia="Book Antiqua" w:cs="Book Antiqua"/>
        </w:rPr>
        <w:t xml:space="preserve">(d) were exposed and mobilized; B: Enterotomy was created in the third potion of the duodenum (d) and jejunum (j) about 30 cm anal to the Treitz ligament for anastomosis; </w:t>
      </w:r>
      <w:r>
        <w:rPr>
          <w:rFonts w:ascii="Book Antiqua" w:hAnsi="Book Antiqua" w:eastAsia="Book Antiqua" w:cs="Book Antiqua"/>
          <w:color w:val="000000"/>
        </w:rPr>
        <w:t xml:space="preserve">C: A side-to-side duodenojejunostomy was performed in the manner of antiperistalsis using 45-mm stapling device; D: The common entry hole was closed with a continuous suture. </w:t>
      </w:r>
      <w:r>
        <w:rPr>
          <w:rFonts w:ascii="Book Antiqua" w:hAnsi="Book Antiqua" w:eastAsia="Book Antiqua" w:cs="Book Antiqua"/>
        </w:rPr>
        <w:t>g: Stomach; j: Jejunum.</w:t>
      </w:r>
    </w:p>
    <w:p>
      <w:pPr>
        <w:spacing w:line="360" w:lineRule="auto"/>
        <w:jc w:val="both"/>
        <w:rPr>
          <w:rFonts w:ascii="Book Antiqua" w:hAnsi="Book Antiqua"/>
        </w:rPr>
      </w:pPr>
      <w:r>
        <w:rPr>
          <w:rFonts w:hint="eastAsia" w:ascii="Book Antiqua" w:hAnsi="Book Antiqua" w:eastAsiaTheme="minorEastAsia"/>
          <w:lang w:eastAsia="zh-CN"/>
        </w:rPr>
        <w:drawing>
          <wp:inline distT="0" distB="0" distL="114300" distR="114300">
            <wp:extent cx="2727960" cy="3163570"/>
            <wp:effectExtent l="0" t="0" r="0" b="6350"/>
            <wp:docPr id="7" name="图片 7" descr="WJCC-10-5324-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5324-g005"/>
                    <pic:cNvPicPr>
                      <a:picLocks noChangeAspect="1"/>
                    </pic:cNvPicPr>
                  </pic:nvPicPr>
                  <pic:blipFill>
                    <a:blip r:embed="rId9"/>
                    <a:stretch>
                      <a:fillRect/>
                    </a:stretch>
                  </pic:blipFill>
                  <pic:spPr>
                    <a:xfrm>
                      <a:off x="0" y="0"/>
                      <a:ext cx="2727960" cy="316357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 xml:space="preserve">Figure 5 Upper gastrointestinal investigation after laparoscopic duodenojejunostomy. </w:t>
      </w:r>
      <w:r>
        <w:rPr>
          <w:rFonts w:ascii="Book Antiqua" w:hAnsi="Book Antiqua" w:eastAsia="Book Antiqua" w:cs="Book Antiqua"/>
          <w:color w:val="000000"/>
        </w:rPr>
        <w:t>Gastrografin passed from the duodenum into the jejunum through the anastomosis.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Book Antiqua" w:cs="Book Antiqua"/>
          <w:b/>
          <w:bCs/>
          <w:color w:val="FF0000"/>
        </w:rPr>
      </w:pPr>
      <w:r>
        <w:rPr>
          <w:rFonts w:ascii="Book Antiqua" w:hAnsi="Book Antiqua" w:eastAsia="Book Antiqua" w:cs="Book Antiqua"/>
          <w:b/>
          <w:bCs/>
        </w:rPr>
        <w:t>Table 1 Short-term outcomes in recent case-series studies of laparoscopic duodenojejunostomy for superior mesenteric artery syndrome</w:t>
      </w:r>
    </w:p>
    <w:tbl>
      <w:tblPr>
        <w:tblStyle w:val="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6"/>
        <w:gridCol w:w="1867"/>
        <w:gridCol w:w="1917"/>
        <w:gridCol w:w="2490"/>
        <w:gridCol w:w="2111"/>
        <w:gridCol w:w="2866"/>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7" w:hRule="atLeast"/>
        </w:trPr>
        <w:tc>
          <w:tcPr>
            <w:tcW w:w="0" w:type="auto"/>
            <w:tcBorders>
              <w:top w:val="single" w:color="auto" w:sz="8" w:space="0"/>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Year</w:t>
            </w:r>
          </w:p>
        </w:tc>
        <w:tc>
          <w:tcPr>
            <w:tcW w:w="0" w:type="auto"/>
            <w:tcBorders>
              <w:top w:val="single" w:color="auto" w:sz="8" w:space="0"/>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Author</w:t>
            </w:r>
          </w:p>
        </w:tc>
        <w:tc>
          <w:tcPr>
            <w:tcW w:w="0" w:type="auto"/>
            <w:tcBorders>
              <w:top w:val="single" w:color="auto" w:sz="8" w:space="0"/>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Number of Patients</w:t>
            </w:r>
          </w:p>
        </w:tc>
        <w:tc>
          <w:tcPr>
            <w:tcW w:w="0" w:type="auto"/>
            <w:tcBorders>
              <w:top w:val="single" w:color="auto" w:sz="8" w:space="0"/>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Mean operation time (min)</w:t>
            </w:r>
          </w:p>
        </w:tc>
        <w:tc>
          <w:tcPr>
            <w:tcW w:w="0" w:type="auto"/>
            <w:tcBorders>
              <w:top w:val="single" w:color="auto" w:sz="8" w:space="0"/>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Mean length of stay (d)</w:t>
            </w:r>
          </w:p>
        </w:tc>
        <w:tc>
          <w:tcPr>
            <w:tcW w:w="0" w:type="auto"/>
            <w:tcBorders>
              <w:top w:val="single" w:color="auto" w:sz="8" w:space="0"/>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Complication number of cases</w:t>
            </w:r>
          </w:p>
        </w:tc>
        <w:tc>
          <w:tcPr>
            <w:tcW w:w="0" w:type="auto"/>
            <w:tcBorders>
              <w:top w:val="single" w:color="auto" w:sz="8" w:space="0"/>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Mortality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0" w:hRule="atLeast"/>
        </w:trPr>
        <w:tc>
          <w:tcPr>
            <w:tcW w:w="0" w:type="auto"/>
            <w:tcBorders>
              <w:top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2001</w:t>
            </w:r>
          </w:p>
        </w:tc>
        <w:tc>
          <w:tcPr>
            <w:tcW w:w="0" w:type="auto"/>
            <w:tcBorders>
              <w:top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vertAlign w:val="superscript"/>
              </w:rPr>
            </w:pPr>
            <w:r>
              <w:rPr>
                <w:rFonts w:ascii="Book Antiqua" w:hAnsi="Book Antiqua" w:eastAsia="等线" w:cs="Calibri"/>
                <w:color w:val="000000"/>
              </w:rPr>
              <w:t xml:space="preserve">Richardson </w:t>
            </w:r>
            <w:r>
              <w:rPr>
                <w:rFonts w:ascii="Book Antiqua" w:hAnsi="Book Antiqua" w:eastAsia="等线" w:cs="Calibri"/>
                <w:i/>
                <w:iCs/>
                <w:color w:val="000000"/>
              </w:rPr>
              <w:t>et al</w:t>
            </w:r>
            <w:r>
              <w:rPr>
                <w:rFonts w:ascii="Book Antiqua" w:hAnsi="Book Antiqua" w:eastAsia="等线" w:cs="Calibri"/>
                <w:color w:val="000000"/>
                <w:vertAlign w:val="superscript"/>
              </w:rPr>
              <w:t>[7]</w:t>
            </w:r>
          </w:p>
        </w:tc>
        <w:tc>
          <w:tcPr>
            <w:tcW w:w="0" w:type="auto"/>
            <w:tcBorders>
              <w:top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w:t>
            </w:r>
          </w:p>
        </w:tc>
        <w:tc>
          <w:tcPr>
            <w:tcW w:w="0" w:type="auto"/>
            <w:tcBorders>
              <w:top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113</w:t>
            </w:r>
          </w:p>
        </w:tc>
        <w:tc>
          <w:tcPr>
            <w:tcW w:w="0" w:type="auto"/>
            <w:tcBorders>
              <w:top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3</w:t>
            </w:r>
          </w:p>
        </w:tc>
        <w:tc>
          <w:tcPr>
            <w:tcW w:w="0" w:type="auto"/>
            <w:tcBorders>
              <w:top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c>
          <w:tcPr>
            <w:tcW w:w="0" w:type="auto"/>
            <w:tcBorders>
              <w:top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2003</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vertAlign w:val="superscript"/>
              </w:rPr>
            </w:pPr>
            <w:r>
              <w:rPr>
                <w:rFonts w:ascii="Book Antiqua" w:hAnsi="Book Antiqua" w:eastAsia="等线" w:cs="Calibri"/>
                <w:color w:val="000000"/>
              </w:rPr>
              <w:t xml:space="preserve">Kim </w:t>
            </w:r>
            <w:r>
              <w:rPr>
                <w:rFonts w:ascii="Book Antiqua" w:hAnsi="Book Antiqua" w:eastAsia="等线" w:cs="Calibri"/>
                <w:i/>
                <w:iCs/>
                <w:color w:val="000000"/>
              </w:rPr>
              <w:t>et al</w:t>
            </w:r>
            <w:r>
              <w:rPr>
                <w:rFonts w:ascii="Book Antiqua" w:hAnsi="Book Antiqua" w:eastAsia="等线" w:cs="Calibri"/>
                <w:color w:val="000000"/>
                <w:vertAlign w:val="superscript"/>
              </w:rPr>
              <w:t>[8]</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173</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5.5</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87" w:hRule="atLeast"/>
        </w:trPr>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2010</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vertAlign w:val="superscript"/>
              </w:rPr>
            </w:pPr>
            <w:r>
              <w:rPr>
                <w:rFonts w:ascii="Book Antiqua" w:hAnsi="Book Antiqua" w:eastAsia="等线" w:cs="Calibri"/>
                <w:color w:val="000000"/>
              </w:rPr>
              <w:t>Munene</w:t>
            </w:r>
            <w:r>
              <w:rPr>
                <w:rFonts w:ascii="Book Antiqua" w:hAnsi="Book Antiqua" w:eastAsia="等线" w:cs="Calibri"/>
                <w:i/>
                <w:iCs/>
                <w:color w:val="000000"/>
              </w:rPr>
              <w:t xml:space="preserve"> et al</w:t>
            </w:r>
            <w:r>
              <w:rPr>
                <w:rFonts w:ascii="Book Antiqua" w:hAnsi="Book Antiqua" w:eastAsia="等线" w:cs="Calibri"/>
                <w:color w:val="000000"/>
                <w:vertAlign w:val="superscript"/>
              </w:rPr>
              <w:t>[9]</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13</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121</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4.5</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Trocar site bleeding (1)</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2015</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vertAlign w:val="superscript"/>
              </w:rPr>
            </w:pPr>
            <w:r>
              <w:rPr>
                <w:rFonts w:ascii="Book Antiqua" w:hAnsi="Book Antiqua" w:eastAsia="等线" w:cs="Calibri"/>
                <w:color w:val="000000"/>
              </w:rPr>
              <w:t xml:space="preserve">Sun </w:t>
            </w:r>
            <w:r>
              <w:rPr>
                <w:rFonts w:ascii="Book Antiqua" w:hAnsi="Book Antiqua" w:eastAsia="等线" w:cs="Calibri"/>
                <w:i/>
                <w:iCs/>
                <w:color w:val="000000"/>
              </w:rPr>
              <w:t>et al</w:t>
            </w:r>
            <w:r>
              <w:rPr>
                <w:rFonts w:ascii="Book Antiqua" w:hAnsi="Book Antiqua" w:eastAsia="等线" w:cs="Calibri"/>
                <w:color w:val="000000"/>
                <w:vertAlign w:val="superscript"/>
              </w:rPr>
              <w:t>[10]</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14</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119</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5.5</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 xml:space="preserve">Dumping syndrome (1) </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Abdominal abscess (1)</w:t>
            </w:r>
          </w:p>
        </w:tc>
        <w:tc>
          <w:tcPr>
            <w:tcW w:w="0" w:type="auto"/>
          </w:tcPr>
          <w:p>
            <w:pPr>
              <w:widowControl w:val="0"/>
              <w:autoSpaceDE w:val="0"/>
              <w:autoSpaceDN w:val="0"/>
              <w:adjustRightInd w:val="0"/>
              <w:snapToGrid w:val="0"/>
              <w:spacing w:line="360" w:lineRule="auto"/>
              <w:jc w:val="both"/>
              <w:rPr>
                <w:rFonts w:ascii="Book Antiqua" w:hAnsi="Book Antiqua" w:eastAsia="等线" w:cs="Arial"/>
                <w:color w:val="00000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2017</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vertAlign w:val="superscript"/>
              </w:rPr>
            </w:pPr>
            <w:r>
              <w:rPr>
                <w:rFonts w:ascii="Book Antiqua" w:hAnsi="Book Antiqua" w:eastAsia="等线" w:cs="Calibri"/>
                <w:color w:val="000000"/>
              </w:rPr>
              <w:t xml:space="preserve">Chang </w:t>
            </w:r>
            <w:r>
              <w:rPr>
                <w:rFonts w:ascii="Book Antiqua" w:hAnsi="Book Antiqua" w:eastAsia="等线" w:cs="Calibri"/>
                <w:i/>
                <w:iCs/>
                <w:color w:val="000000"/>
              </w:rPr>
              <w:t>et al</w:t>
            </w:r>
            <w:r>
              <w:rPr>
                <w:rFonts w:ascii="Book Antiqua" w:hAnsi="Book Antiqua" w:eastAsia="等线" w:cs="Calibri"/>
                <w:color w:val="000000"/>
                <w:vertAlign w:val="superscript"/>
              </w:rPr>
              <w:t>[4]</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18</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144</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5</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 xml:space="preserve">Ileus (3) </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rPr>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2017</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vertAlign w:val="superscript"/>
              </w:rPr>
            </w:pPr>
            <w:r>
              <w:rPr>
                <w:rFonts w:ascii="Book Antiqua" w:hAnsi="Book Antiqua" w:eastAsia="等线" w:cs="Calibri"/>
                <w:color w:val="000000"/>
              </w:rPr>
              <w:t xml:space="preserve">Kirby </w:t>
            </w:r>
            <w:r>
              <w:rPr>
                <w:rFonts w:ascii="Book Antiqua" w:hAnsi="Book Antiqua" w:eastAsia="等线" w:cs="Calibri"/>
                <w:i/>
                <w:iCs/>
                <w:color w:val="000000"/>
              </w:rPr>
              <w:t>et al</w:t>
            </w:r>
            <w:r>
              <w:rPr>
                <w:rFonts w:ascii="Book Antiqua" w:hAnsi="Book Antiqua" w:eastAsia="等线" w:cs="Calibri"/>
                <w:color w:val="000000"/>
                <w:vertAlign w:val="superscript"/>
              </w:rPr>
              <w:t>[11]</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3</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lang w:eastAsia="zh-CN"/>
              </w:rPr>
            </w:pPr>
            <w:r>
              <w:rPr>
                <w:rFonts w:hint="eastAsia" w:ascii="Book Antiqua" w:hAnsi="Book Antiqua" w:eastAsia="等线" w:cs="Calibri"/>
                <w:color w:val="000000"/>
                <w:lang w:eastAsia="zh-CN"/>
              </w:rPr>
              <w:t>N</w:t>
            </w:r>
            <w:r>
              <w:rPr>
                <w:rFonts w:ascii="Book Antiqua" w:hAnsi="Book Antiqua" w:eastAsia="等线" w:cs="Calibri"/>
                <w:color w:val="000000"/>
                <w:lang w:eastAsia="zh-CN"/>
              </w:rPr>
              <w:t>/A</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4.3</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2021</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vertAlign w:val="superscript"/>
              </w:rPr>
            </w:pPr>
            <w:r>
              <w:rPr>
                <w:rFonts w:ascii="Book Antiqua" w:hAnsi="Book Antiqua" w:eastAsia="等线" w:cs="Calibri"/>
                <w:color w:val="000000"/>
              </w:rPr>
              <w:t xml:space="preserve">Jain </w:t>
            </w:r>
            <w:r>
              <w:rPr>
                <w:rFonts w:ascii="Book Antiqua" w:hAnsi="Book Antiqua" w:eastAsia="等线" w:cs="Calibri"/>
                <w:i/>
                <w:iCs/>
                <w:color w:val="000000"/>
              </w:rPr>
              <w:t>et al</w:t>
            </w:r>
            <w:r>
              <w:rPr>
                <w:rFonts w:ascii="Book Antiqua" w:hAnsi="Book Antiqua" w:eastAsia="等线" w:cs="Calibri"/>
                <w:color w:val="000000"/>
                <w:vertAlign w:val="superscript"/>
              </w:rPr>
              <w:t>[5]</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22</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75</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7.3</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Delayed gastric emptying (4)</w:t>
            </w:r>
          </w:p>
        </w:tc>
        <w:tc>
          <w:tcPr>
            <w:tcW w:w="0" w:type="auto"/>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None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0" w:type="auto"/>
            <w:tcBorders>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Borders>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Borders>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Borders>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Borders>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p>
        </w:tc>
        <w:tc>
          <w:tcPr>
            <w:tcW w:w="0" w:type="auto"/>
            <w:tcBorders>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Calibri"/>
                <w:color w:val="000000"/>
              </w:rPr>
            </w:pPr>
            <w:r>
              <w:rPr>
                <w:rFonts w:ascii="Book Antiqua" w:hAnsi="Book Antiqua" w:eastAsia="等线" w:cs="Calibri"/>
                <w:color w:val="000000"/>
              </w:rPr>
              <w:t>Ileus (1)</w:t>
            </w:r>
          </w:p>
        </w:tc>
        <w:tc>
          <w:tcPr>
            <w:tcW w:w="0" w:type="auto"/>
            <w:tcBorders>
              <w:bottom w:val="single" w:color="auto" w:sz="8" w:space="0"/>
            </w:tcBorders>
          </w:tcPr>
          <w:p>
            <w:pPr>
              <w:widowControl w:val="0"/>
              <w:autoSpaceDE w:val="0"/>
              <w:autoSpaceDN w:val="0"/>
              <w:adjustRightInd w:val="0"/>
              <w:snapToGrid w:val="0"/>
              <w:spacing w:line="360" w:lineRule="auto"/>
              <w:jc w:val="both"/>
              <w:rPr>
                <w:rFonts w:ascii="Book Antiqua" w:hAnsi="Book Antiqua" w:eastAsia="等线" w:cs="Arial"/>
                <w:color w:val="000000"/>
              </w:rPr>
            </w:pPr>
          </w:p>
        </w:tc>
      </w:tr>
    </w:tbl>
    <w:p>
      <w:pPr>
        <w:spacing w:line="360" w:lineRule="auto"/>
        <w:jc w:val="both"/>
        <w:rPr>
          <w:rFonts w:ascii="Book Antiqua" w:hAnsi="Book Antiqua"/>
          <w:lang w:eastAsia="zh-CN"/>
        </w:rPr>
        <w:sectPr>
          <w:pgSz w:w="15840" w:h="12240" w:orient="landscape"/>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p>
    <w:pPr>
      <w:pStyle w:val="3"/>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543EF"/>
    <w:rsid w:val="000E30C1"/>
    <w:rsid w:val="00102419"/>
    <w:rsid w:val="00105E78"/>
    <w:rsid w:val="00181943"/>
    <w:rsid w:val="00184B5A"/>
    <w:rsid w:val="00274290"/>
    <w:rsid w:val="002912EF"/>
    <w:rsid w:val="002C6C63"/>
    <w:rsid w:val="002F4A68"/>
    <w:rsid w:val="002F599D"/>
    <w:rsid w:val="00300979"/>
    <w:rsid w:val="00301CC1"/>
    <w:rsid w:val="003C4FD1"/>
    <w:rsid w:val="003D47A7"/>
    <w:rsid w:val="003D570B"/>
    <w:rsid w:val="00460CA2"/>
    <w:rsid w:val="004B561C"/>
    <w:rsid w:val="004E2D4B"/>
    <w:rsid w:val="00551963"/>
    <w:rsid w:val="00593AFA"/>
    <w:rsid w:val="005C3AF1"/>
    <w:rsid w:val="00647430"/>
    <w:rsid w:val="006D32AD"/>
    <w:rsid w:val="006E4908"/>
    <w:rsid w:val="00720D87"/>
    <w:rsid w:val="0072409C"/>
    <w:rsid w:val="007E21AD"/>
    <w:rsid w:val="008956E9"/>
    <w:rsid w:val="008B07C5"/>
    <w:rsid w:val="00922161"/>
    <w:rsid w:val="0093732E"/>
    <w:rsid w:val="009857F8"/>
    <w:rsid w:val="009F0109"/>
    <w:rsid w:val="00A23261"/>
    <w:rsid w:val="00A34C40"/>
    <w:rsid w:val="00A561AC"/>
    <w:rsid w:val="00A77B3E"/>
    <w:rsid w:val="00A92CF0"/>
    <w:rsid w:val="00AD02A1"/>
    <w:rsid w:val="00AE0173"/>
    <w:rsid w:val="00B14AE4"/>
    <w:rsid w:val="00B74905"/>
    <w:rsid w:val="00BC36C6"/>
    <w:rsid w:val="00BE1532"/>
    <w:rsid w:val="00C00DEF"/>
    <w:rsid w:val="00C20557"/>
    <w:rsid w:val="00C30DDC"/>
    <w:rsid w:val="00C5518F"/>
    <w:rsid w:val="00CA2A55"/>
    <w:rsid w:val="00CB1BBF"/>
    <w:rsid w:val="00D16CDC"/>
    <w:rsid w:val="00D531A8"/>
    <w:rsid w:val="00D9528A"/>
    <w:rsid w:val="00DC2F6E"/>
    <w:rsid w:val="00E42A90"/>
    <w:rsid w:val="00F139AA"/>
    <w:rsid w:val="00F8507B"/>
    <w:rsid w:val="3D5060F5"/>
    <w:rsid w:val="41B80887"/>
    <w:rsid w:val="65CE0532"/>
    <w:rsid w:val="71140698"/>
    <w:rsid w:val="77D541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footer"/>
    <w:basedOn w:val="1"/>
    <w:link w:val="12"/>
    <w:unhideWhenUsed/>
    <w:uiPriority w:val="99"/>
    <w:pPr>
      <w:tabs>
        <w:tab w:val="center" w:pos="4153"/>
        <w:tab w:val="right" w:pos="8306"/>
      </w:tabs>
      <w:snapToGrid w:val="0"/>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4"/>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0"/>
    <w:rPr>
      <w:color w:val="0000FF" w:themeColor="hyperlink"/>
      <w:u w:val="single"/>
      <w14:textFill>
        <w14:solidFill>
          <w14:schemeClr w14:val="hlink"/>
        </w14:solidFill>
      </w14:textFill>
    </w:rPr>
  </w:style>
  <w:style w:type="character" w:styleId="10">
    <w:name w:val="annotation reference"/>
    <w:basedOn w:val="8"/>
    <w:semiHidden/>
    <w:unhideWhenUsed/>
    <w:qFormat/>
    <w:uiPriority w:val="0"/>
    <w:rPr>
      <w:sz w:val="21"/>
      <w:szCs w:val="21"/>
    </w:rPr>
  </w:style>
  <w:style w:type="character" w:customStyle="1" w:styleId="11">
    <w:name w:val="页眉 字符"/>
    <w:basedOn w:val="8"/>
    <w:link w:val="4"/>
    <w:qFormat/>
    <w:uiPriority w:val="0"/>
    <w:rPr>
      <w:sz w:val="18"/>
      <w:szCs w:val="18"/>
    </w:rPr>
  </w:style>
  <w:style w:type="character" w:customStyle="1" w:styleId="12">
    <w:name w:val="页脚 字符"/>
    <w:basedOn w:val="8"/>
    <w:link w:val="3"/>
    <w:qFormat/>
    <w:uiPriority w:val="99"/>
    <w:rPr>
      <w:sz w:val="18"/>
      <w:szCs w:val="18"/>
    </w:rPr>
  </w:style>
  <w:style w:type="character" w:customStyle="1" w:styleId="13">
    <w:name w:val="批注文字 字符"/>
    <w:basedOn w:val="8"/>
    <w:link w:val="2"/>
    <w:semiHidden/>
    <w:qFormat/>
    <w:uiPriority w:val="0"/>
    <w:rPr>
      <w:sz w:val="24"/>
      <w:szCs w:val="24"/>
    </w:rPr>
  </w:style>
  <w:style w:type="character" w:customStyle="1" w:styleId="14">
    <w:name w:val="批注主题 字符"/>
    <w:basedOn w:val="13"/>
    <w:link w:val="5"/>
    <w:semiHidden/>
    <w:qFormat/>
    <w:uiPriority w:val="0"/>
    <w:rPr>
      <w:b/>
      <w:bCs/>
      <w:sz w:val="24"/>
      <w:szCs w:val="24"/>
    </w:rPr>
  </w:style>
  <w:style w:type="table" w:customStyle="1" w:styleId="15">
    <w:name w:val="Grid Table Light"/>
    <w:basedOn w:val="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EBD78-4034-4D49-9F7E-6E28107F5386}">
  <ds:schemaRefs/>
</ds:datastoreItem>
</file>

<file path=docProps/app.xml><?xml version="1.0" encoding="utf-8"?>
<Properties xmlns="http://schemas.openxmlformats.org/officeDocument/2006/extended-properties" xmlns:vt="http://schemas.openxmlformats.org/officeDocument/2006/docPropsVTypes">
  <Template>Normal.dotm</Template>
  <Pages>19</Pages>
  <Words>2958</Words>
  <Characters>17387</Characters>
  <Lines>141</Lines>
  <Paragraphs>39</Paragraphs>
  <TotalTime>0</TotalTime>
  <ScaleCrop>false</ScaleCrop>
  <LinksUpToDate>false</LinksUpToDate>
  <CharactersWithSpaces>20176</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2022-04-02T05:10:00Z</dcterms:created>
  <dc:creator>pc</dc:creator>
  <cp:lastModifiedBy>晓晨</cp:lastModifiedBy>
  <dcterms:modified xsi:type="dcterms:W3CDTF">2022-06-02T14:37:52Z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EA321A42220F4EF1942739F6C7843EE9</vt:lpwstr>
  </property>
</Properties>
</file>