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D322" w14:textId="77777777" w:rsidR="00A77B3E" w:rsidRPr="00DB66A3" w:rsidRDefault="00A34B5F">
      <w:pPr>
        <w:spacing w:line="360" w:lineRule="auto"/>
        <w:jc w:val="both"/>
      </w:pPr>
      <w:r w:rsidRPr="00DB66A3">
        <w:rPr>
          <w:rFonts w:ascii="Book Antiqua" w:eastAsia="Book Antiqua" w:hAnsi="Book Antiqua" w:cs="Book Antiqua"/>
          <w:b/>
          <w:color w:val="000000"/>
        </w:rPr>
        <w:t xml:space="preserve">Name of Journal: </w:t>
      </w:r>
      <w:r w:rsidRPr="00DB66A3">
        <w:rPr>
          <w:rFonts w:ascii="Book Antiqua" w:eastAsia="Book Antiqua" w:hAnsi="Book Antiqua" w:cs="Book Antiqua"/>
          <w:i/>
          <w:color w:val="000000"/>
        </w:rPr>
        <w:t>World Journal of Clinical Cases</w:t>
      </w:r>
    </w:p>
    <w:p w14:paraId="006B790D" w14:textId="77777777" w:rsidR="00A77B3E" w:rsidRPr="00DB66A3" w:rsidRDefault="00A34B5F">
      <w:pPr>
        <w:spacing w:line="360" w:lineRule="auto"/>
        <w:jc w:val="both"/>
      </w:pPr>
      <w:r w:rsidRPr="00DB66A3">
        <w:rPr>
          <w:rFonts w:ascii="Book Antiqua" w:eastAsia="Book Antiqua" w:hAnsi="Book Antiqua" w:cs="Book Antiqua"/>
          <w:b/>
          <w:color w:val="000000"/>
        </w:rPr>
        <w:t xml:space="preserve">Manuscript NO: </w:t>
      </w:r>
      <w:r w:rsidRPr="00DB66A3">
        <w:rPr>
          <w:rFonts w:ascii="Book Antiqua" w:eastAsia="Book Antiqua" w:hAnsi="Book Antiqua" w:cs="Book Antiqua"/>
          <w:color w:val="000000"/>
        </w:rPr>
        <w:t>69482</w:t>
      </w:r>
    </w:p>
    <w:p w14:paraId="360F95F4" w14:textId="77777777" w:rsidR="00A77B3E" w:rsidRPr="00DB66A3" w:rsidRDefault="00A34B5F">
      <w:pPr>
        <w:spacing w:line="360" w:lineRule="auto"/>
        <w:jc w:val="both"/>
      </w:pPr>
      <w:r w:rsidRPr="00DB66A3">
        <w:rPr>
          <w:rFonts w:ascii="Book Antiqua" w:eastAsia="Book Antiqua" w:hAnsi="Book Antiqua" w:cs="Book Antiqua"/>
          <w:b/>
          <w:color w:val="000000"/>
        </w:rPr>
        <w:t xml:space="preserve">Manuscript Type: </w:t>
      </w:r>
      <w:r w:rsidRPr="00DB66A3">
        <w:rPr>
          <w:rFonts w:ascii="Book Antiqua" w:eastAsia="Book Antiqua" w:hAnsi="Book Antiqua" w:cs="Book Antiqua"/>
          <w:color w:val="000000"/>
        </w:rPr>
        <w:t>CASE REPORT</w:t>
      </w:r>
    </w:p>
    <w:p w14:paraId="0EF88E42" w14:textId="77777777" w:rsidR="00A77B3E" w:rsidRPr="00DB66A3" w:rsidRDefault="00A77B3E">
      <w:pPr>
        <w:spacing w:line="360" w:lineRule="auto"/>
        <w:jc w:val="both"/>
      </w:pPr>
    </w:p>
    <w:p w14:paraId="70762608" w14:textId="54F2A01B" w:rsidR="00A77B3E" w:rsidRPr="00DB66A3" w:rsidRDefault="00404528">
      <w:pPr>
        <w:spacing w:line="360" w:lineRule="auto"/>
        <w:jc w:val="both"/>
      </w:pPr>
      <w:bookmarkStart w:id="0" w:name="_Hlk81921707"/>
      <w:r w:rsidRPr="00DB66A3">
        <w:rPr>
          <w:rFonts w:ascii="Book Antiqua" w:eastAsia="Book Antiqua" w:hAnsi="Book Antiqua" w:cs="Book Antiqua"/>
          <w:b/>
          <w:bCs/>
          <w:color w:val="000000"/>
        </w:rPr>
        <w:t>R</w:t>
      </w:r>
      <w:r w:rsidR="00C37B64" w:rsidRPr="00DB66A3">
        <w:rPr>
          <w:rFonts w:ascii="Book Antiqua" w:eastAsia="Book Antiqua" w:hAnsi="Book Antiqua" w:cs="Book Antiqua"/>
          <w:b/>
          <w:bCs/>
          <w:color w:val="000000"/>
        </w:rPr>
        <w:t>are mutation</w:t>
      </w:r>
      <w:r w:rsidR="00A34B5F" w:rsidRPr="00DB66A3">
        <w:rPr>
          <w:rFonts w:ascii="Book Antiqua" w:eastAsia="Book Antiqua" w:hAnsi="Book Antiqua" w:cs="Book Antiqua"/>
          <w:b/>
          <w:bCs/>
          <w:color w:val="000000"/>
        </w:rPr>
        <w:t xml:space="preserve"> in </w:t>
      </w:r>
      <w:r w:rsidR="00A34B5F" w:rsidRPr="00DB66A3">
        <w:rPr>
          <w:rFonts w:ascii="Book Antiqua" w:eastAsia="Book Antiqua" w:hAnsi="Book Antiqua" w:cs="Book Antiqua"/>
          <w:b/>
          <w:bCs/>
          <w:i/>
          <w:iCs/>
          <w:color w:val="000000"/>
        </w:rPr>
        <w:t>MKRN3</w:t>
      </w:r>
      <w:r w:rsidR="00A34B5F" w:rsidRPr="00DB66A3">
        <w:rPr>
          <w:rFonts w:ascii="Book Antiqua" w:eastAsia="Book Antiqua" w:hAnsi="Book Antiqua" w:cs="Book Antiqua"/>
          <w:b/>
          <w:bCs/>
          <w:color w:val="000000"/>
        </w:rPr>
        <w:t xml:space="preserve"> in </w:t>
      </w:r>
      <w:r w:rsidR="00C37B64" w:rsidRPr="00DB66A3">
        <w:rPr>
          <w:rFonts w:ascii="Book Antiqua" w:eastAsia="Book Antiqua" w:hAnsi="Book Antiqua" w:cs="Book Antiqua"/>
          <w:b/>
          <w:bCs/>
          <w:color w:val="000000"/>
        </w:rPr>
        <w:t>two twin sisters with central precocious puberty</w:t>
      </w:r>
      <w:r w:rsidR="00A34B5F" w:rsidRPr="00DB66A3">
        <w:rPr>
          <w:rFonts w:ascii="Book Antiqua" w:eastAsia="Book Antiqua" w:hAnsi="Book Antiqua" w:cs="Book Antiqua"/>
          <w:b/>
          <w:bCs/>
          <w:color w:val="000000"/>
        </w:rPr>
        <w:t xml:space="preserve">: </w:t>
      </w:r>
      <w:r w:rsidR="00C37B64" w:rsidRPr="00DB66A3">
        <w:rPr>
          <w:rFonts w:ascii="Book Antiqua" w:eastAsia="Book Antiqua" w:hAnsi="Book Antiqua" w:cs="Book Antiqua"/>
          <w:b/>
          <w:bCs/>
          <w:color w:val="000000"/>
        </w:rPr>
        <w:t>Two</w:t>
      </w:r>
      <w:r w:rsidR="00A34B5F" w:rsidRPr="00DB66A3">
        <w:rPr>
          <w:rFonts w:ascii="Book Antiqua" w:eastAsia="Book Antiqua" w:hAnsi="Book Antiqua" w:cs="Book Antiqua"/>
          <w:b/>
          <w:bCs/>
          <w:color w:val="000000"/>
        </w:rPr>
        <w:t xml:space="preserve"> </w:t>
      </w:r>
      <w:r w:rsidR="00C37B64" w:rsidRPr="00DB66A3">
        <w:rPr>
          <w:rFonts w:ascii="Book Antiqua" w:eastAsia="Book Antiqua" w:hAnsi="Book Antiqua" w:cs="Book Antiqua"/>
          <w:b/>
          <w:bCs/>
          <w:color w:val="000000"/>
        </w:rPr>
        <w:t>case reports</w:t>
      </w:r>
    </w:p>
    <w:bookmarkEnd w:id="0"/>
    <w:p w14:paraId="7F9DF99D" w14:textId="77777777" w:rsidR="00A77B3E" w:rsidRPr="00DB66A3" w:rsidRDefault="00A77B3E">
      <w:pPr>
        <w:spacing w:line="360" w:lineRule="auto"/>
        <w:jc w:val="both"/>
      </w:pPr>
    </w:p>
    <w:p w14:paraId="6A7DEDD9" w14:textId="648C6399" w:rsidR="00A77B3E" w:rsidRPr="00DB66A3" w:rsidRDefault="00C37B64">
      <w:pPr>
        <w:spacing w:line="360" w:lineRule="auto"/>
        <w:jc w:val="both"/>
      </w:pPr>
      <w:r w:rsidRPr="00DB66A3">
        <w:rPr>
          <w:rFonts w:ascii="Book Antiqua" w:eastAsia="Book Antiqua" w:hAnsi="Book Antiqua" w:cs="Book Antiqua"/>
          <w:color w:val="000000"/>
        </w:rPr>
        <w:t xml:space="preserve">Jiang LQ </w:t>
      </w:r>
      <w:r w:rsidRPr="00DB66A3">
        <w:rPr>
          <w:rFonts w:ascii="Book Antiqua" w:eastAsia="Book Antiqua" w:hAnsi="Book Antiqua" w:cs="Book Antiqua"/>
          <w:i/>
          <w:iCs/>
          <w:color w:val="000000"/>
        </w:rPr>
        <w:t>et al</w:t>
      </w:r>
      <w:r w:rsidRPr="00DB66A3">
        <w:rPr>
          <w:rFonts w:ascii="Book Antiqua" w:eastAsia="Book Antiqua" w:hAnsi="Book Antiqua" w:cs="Book Antiqua"/>
          <w:color w:val="000000"/>
        </w:rPr>
        <w:t xml:space="preserve">. </w:t>
      </w:r>
      <w:r w:rsidR="00A34B5F" w:rsidRPr="00DB66A3">
        <w:rPr>
          <w:rFonts w:ascii="Book Antiqua" w:eastAsia="Book Antiqua" w:hAnsi="Book Antiqua" w:cs="Book Antiqua"/>
          <w:color w:val="000000"/>
        </w:rPr>
        <w:t xml:space="preserve">Mutation in </w:t>
      </w:r>
      <w:r w:rsidR="00A34B5F" w:rsidRPr="00DB66A3">
        <w:rPr>
          <w:rFonts w:ascii="Book Antiqua" w:eastAsia="Book Antiqua" w:hAnsi="Book Antiqua" w:cs="Book Antiqua"/>
          <w:i/>
          <w:iCs/>
          <w:color w:val="000000"/>
        </w:rPr>
        <w:t>MKRN3</w:t>
      </w:r>
      <w:r w:rsidR="00A34B5F" w:rsidRPr="00DB66A3">
        <w:rPr>
          <w:rFonts w:ascii="Book Antiqua" w:eastAsia="Book Antiqua" w:hAnsi="Book Antiqua" w:cs="Book Antiqua"/>
          <w:color w:val="000000"/>
        </w:rPr>
        <w:t xml:space="preserve"> in</w:t>
      </w:r>
      <w:r w:rsidRPr="00DB66A3">
        <w:rPr>
          <w:rFonts w:ascii="Book Antiqua" w:eastAsia="Book Antiqua" w:hAnsi="Book Antiqua" w:cs="Book Antiqua"/>
          <w:color w:val="000000"/>
        </w:rPr>
        <w:t xml:space="preserve"> twin sisters</w:t>
      </w:r>
    </w:p>
    <w:p w14:paraId="7C1A9ABC" w14:textId="77777777" w:rsidR="00A77B3E" w:rsidRPr="00DB66A3" w:rsidRDefault="00A77B3E">
      <w:pPr>
        <w:spacing w:line="360" w:lineRule="auto"/>
        <w:jc w:val="both"/>
      </w:pPr>
    </w:p>
    <w:p w14:paraId="23AF16A2" w14:textId="77777777" w:rsidR="00A77B3E" w:rsidRPr="00DB66A3" w:rsidRDefault="00A34B5F">
      <w:pPr>
        <w:spacing w:line="360" w:lineRule="auto"/>
        <w:jc w:val="both"/>
      </w:pPr>
      <w:r w:rsidRPr="00DB66A3">
        <w:rPr>
          <w:rFonts w:ascii="Book Antiqua" w:eastAsia="Book Antiqua" w:hAnsi="Book Antiqua" w:cs="Book Antiqua"/>
          <w:color w:val="000000"/>
        </w:rPr>
        <w:t>Li-Qiong Jiang, Yan-Qiong Zhou, Ke Yuan, Jian-Fang Zhu, Yan-Lan Fang, Chun-Lin Wang</w:t>
      </w:r>
    </w:p>
    <w:p w14:paraId="0F0413E7" w14:textId="77777777" w:rsidR="00A77B3E" w:rsidRPr="00DB66A3" w:rsidRDefault="00A77B3E">
      <w:pPr>
        <w:spacing w:line="360" w:lineRule="auto"/>
        <w:jc w:val="both"/>
      </w:pPr>
    </w:p>
    <w:p w14:paraId="2A7C5099" w14:textId="77777777" w:rsidR="00A77B3E" w:rsidRPr="00DB66A3" w:rsidRDefault="00A34B5F">
      <w:pPr>
        <w:spacing w:line="360" w:lineRule="auto"/>
        <w:jc w:val="both"/>
      </w:pPr>
      <w:r w:rsidRPr="00DB66A3">
        <w:rPr>
          <w:rFonts w:ascii="Book Antiqua" w:eastAsia="Book Antiqua" w:hAnsi="Book Antiqua" w:cs="Book Antiqua"/>
          <w:b/>
          <w:bCs/>
          <w:color w:val="000000"/>
        </w:rPr>
        <w:t xml:space="preserve">Li-Qiong Jiang, Yan-Qiong Zhou, Ke Yuan, Jian-Fang Zhu, Yan-Lan Fang, Chun-Lin Wang, </w:t>
      </w:r>
      <w:r w:rsidRPr="00DB66A3">
        <w:rPr>
          <w:rFonts w:ascii="Book Antiqua" w:eastAsia="Book Antiqua" w:hAnsi="Book Antiqua" w:cs="Book Antiqua"/>
          <w:color w:val="000000"/>
        </w:rPr>
        <w:t>Department of Pediatrics, The First Affiliated Hospital, Zhejiang University School of Medicine, Hangzhou 310003, Zhejiang Province, China</w:t>
      </w:r>
    </w:p>
    <w:p w14:paraId="7E2CC296" w14:textId="77777777" w:rsidR="00A77B3E" w:rsidRPr="00DB66A3" w:rsidRDefault="00A77B3E">
      <w:pPr>
        <w:spacing w:line="360" w:lineRule="auto"/>
        <w:jc w:val="both"/>
      </w:pPr>
    </w:p>
    <w:p w14:paraId="1631FFDD" w14:textId="00C063F7" w:rsidR="00A77B3E" w:rsidRPr="00DB66A3" w:rsidRDefault="00A34B5F">
      <w:pPr>
        <w:spacing w:line="360" w:lineRule="auto"/>
        <w:jc w:val="both"/>
      </w:pPr>
      <w:r w:rsidRPr="00DB66A3">
        <w:rPr>
          <w:rFonts w:ascii="Book Antiqua" w:eastAsia="Book Antiqua" w:hAnsi="Book Antiqua" w:cs="Book Antiqua"/>
          <w:b/>
          <w:bCs/>
          <w:color w:val="000000"/>
          <w:szCs w:val="22"/>
        </w:rPr>
        <w:t xml:space="preserve">Author contributions: </w:t>
      </w:r>
      <w:r w:rsidRPr="00DB66A3">
        <w:rPr>
          <w:rFonts w:ascii="Book Antiqua" w:eastAsia="Book Antiqua" w:hAnsi="Book Antiqua" w:cs="Book Antiqua"/>
          <w:color w:val="000000"/>
        </w:rPr>
        <w:t>Jiang LQ and Wang CL conceived and designed the study; Jiang LQ, Zhou YQ, Yuan K performed the experiments; Jiang LQ and Zhou YQ provided clinical research; Jiang LQ wrote the paper; Ji</w:t>
      </w:r>
      <w:r w:rsidR="00C37B64" w:rsidRPr="00DB66A3">
        <w:rPr>
          <w:rFonts w:ascii="Book Antiqua" w:eastAsia="Book Antiqua" w:hAnsi="Book Antiqua" w:cs="Book Antiqua"/>
          <w:color w:val="000000"/>
        </w:rPr>
        <w:t>a</w:t>
      </w:r>
      <w:r w:rsidRPr="00DB66A3">
        <w:rPr>
          <w:rFonts w:ascii="Book Antiqua" w:eastAsia="Book Antiqua" w:hAnsi="Book Antiqua" w:cs="Book Antiqua"/>
          <w:color w:val="000000"/>
        </w:rPr>
        <w:t xml:space="preserve">ng LQ, Yuan K, Zhu JF, Fang YL and Wang CL reviewed and edited the manuscript; </w:t>
      </w:r>
      <w:r w:rsidR="003B5E75" w:rsidRPr="00DB66A3">
        <w:rPr>
          <w:rFonts w:ascii="Book Antiqua" w:eastAsia="Book Antiqua" w:hAnsi="Book Antiqua" w:cs="Book Antiqua"/>
          <w:color w:val="000000"/>
        </w:rPr>
        <w:t xml:space="preserve">and </w:t>
      </w:r>
      <w:r w:rsidRPr="00DB66A3">
        <w:rPr>
          <w:rFonts w:ascii="Book Antiqua" w:eastAsia="Book Antiqua" w:hAnsi="Book Antiqua" w:cs="Book Antiqua"/>
          <w:color w:val="000000"/>
        </w:rPr>
        <w:t>all authors read and approved the manuscript.</w:t>
      </w:r>
    </w:p>
    <w:p w14:paraId="17316F12" w14:textId="77777777" w:rsidR="00A77B3E" w:rsidRPr="00DB66A3" w:rsidRDefault="00A77B3E">
      <w:pPr>
        <w:spacing w:line="360" w:lineRule="auto"/>
        <w:jc w:val="both"/>
      </w:pPr>
    </w:p>
    <w:p w14:paraId="5E7EB857" w14:textId="4E44B4C6" w:rsidR="00A77B3E" w:rsidRPr="00DB66A3" w:rsidRDefault="00A34B5F">
      <w:pPr>
        <w:spacing w:line="360" w:lineRule="auto"/>
        <w:jc w:val="both"/>
      </w:pPr>
      <w:r w:rsidRPr="00DB66A3">
        <w:rPr>
          <w:rFonts w:ascii="Book Antiqua" w:eastAsia="Book Antiqua" w:hAnsi="Book Antiqua" w:cs="Book Antiqua"/>
          <w:b/>
          <w:bCs/>
          <w:color w:val="000000"/>
        </w:rPr>
        <w:t xml:space="preserve">Supported by </w:t>
      </w:r>
      <w:r w:rsidRPr="00DB66A3">
        <w:rPr>
          <w:rFonts w:ascii="Book Antiqua" w:eastAsia="Book Antiqua" w:hAnsi="Book Antiqua" w:cs="Book Antiqua"/>
          <w:color w:val="000000"/>
        </w:rPr>
        <w:t>the key Research and Development Program of Zhejiang Province (</w:t>
      </w:r>
      <w:r w:rsidR="00C37B64" w:rsidRPr="00DB66A3">
        <w:rPr>
          <w:rFonts w:ascii="Book Antiqua" w:eastAsia="Book Antiqua" w:hAnsi="Book Antiqua" w:cs="Book Antiqua"/>
          <w:color w:val="000000"/>
        </w:rPr>
        <w:t xml:space="preserve">No. </w:t>
      </w:r>
      <w:r w:rsidRPr="00DB66A3">
        <w:rPr>
          <w:rFonts w:ascii="Book Antiqua" w:eastAsia="Book Antiqua" w:hAnsi="Book Antiqua" w:cs="Book Antiqua"/>
          <w:color w:val="000000"/>
        </w:rPr>
        <w:t>2020C03121).</w:t>
      </w:r>
    </w:p>
    <w:p w14:paraId="3E72C14A" w14:textId="77777777" w:rsidR="00A77B3E" w:rsidRPr="00DB66A3" w:rsidRDefault="00A77B3E">
      <w:pPr>
        <w:spacing w:line="360" w:lineRule="auto"/>
        <w:jc w:val="both"/>
      </w:pPr>
    </w:p>
    <w:p w14:paraId="536E0BFF" w14:textId="77777777" w:rsidR="00A77B3E" w:rsidRPr="00DB66A3" w:rsidRDefault="00A34B5F">
      <w:pPr>
        <w:spacing w:line="360" w:lineRule="auto"/>
        <w:jc w:val="both"/>
      </w:pPr>
      <w:r w:rsidRPr="00DB66A3">
        <w:rPr>
          <w:rFonts w:ascii="Book Antiqua" w:eastAsia="Book Antiqua" w:hAnsi="Book Antiqua" w:cs="Book Antiqua"/>
          <w:b/>
          <w:bCs/>
          <w:color w:val="000000"/>
        </w:rPr>
        <w:t xml:space="preserve">Corresponding author: Chun-Lin Wang, MD, PhD, Chief Doctor, </w:t>
      </w:r>
      <w:r w:rsidRPr="00DB66A3">
        <w:rPr>
          <w:rFonts w:ascii="Book Antiqua" w:eastAsia="Book Antiqua" w:hAnsi="Book Antiqua" w:cs="Book Antiqua"/>
          <w:color w:val="000000"/>
        </w:rPr>
        <w:t>Department of Pediatrics, The First Affiliated Hospital, Zhejiang University School of Medicine, No. 79 Qingchun Road, Hangzhou 310003, Zhejiang Province, China. hzwangcl@zju.edu.cn</w:t>
      </w:r>
    </w:p>
    <w:p w14:paraId="3FCF26DB" w14:textId="77777777" w:rsidR="00A77B3E" w:rsidRPr="00DB66A3" w:rsidRDefault="00A77B3E">
      <w:pPr>
        <w:spacing w:line="360" w:lineRule="auto"/>
        <w:jc w:val="both"/>
      </w:pPr>
    </w:p>
    <w:p w14:paraId="091264A5" w14:textId="77777777" w:rsidR="00A77B3E" w:rsidRPr="00DB66A3" w:rsidRDefault="00A34B5F">
      <w:pPr>
        <w:spacing w:line="360" w:lineRule="auto"/>
        <w:jc w:val="both"/>
      </w:pPr>
      <w:r w:rsidRPr="00DB66A3">
        <w:rPr>
          <w:rFonts w:ascii="Book Antiqua" w:eastAsia="Book Antiqua" w:hAnsi="Book Antiqua" w:cs="Book Antiqua"/>
          <w:b/>
          <w:bCs/>
          <w:color w:val="000000"/>
        </w:rPr>
        <w:t xml:space="preserve">Received: </w:t>
      </w:r>
      <w:r w:rsidRPr="00DB66A3">
        <w:rPr>
          <w:rFonts w:ascii="Book Antiqua" w:eastAsia="Book Antiqua" w:hAnsi="Book Antiqua" w:cs="Book Antiqua"/>
          <w:color w:val="000000"/>
        </w:rPr>
        <w:t>July 1, 2021</w:t>
      </w:r>
    </w:p>
    <w:p w14:paraId="21ABD38D" w14:textId="77777777" w:rsidR="00A77B3E" w:rsidRPr="00DB66A3" w:rsidRDefault="00A34B5F">
      <w:pPr>
        <w:spacing w:line="360" w:lineRule="auto"/>
        <w:jc w:val="both"/>
      </w:pPr>
      <w:r w:rsidRPr="00DB66A3">
        <w:rPr>
          <w:rFonts w:ascii="Book Antiqua" w:eastAsia="Book Antiqua" w:hAnsi="Book Antiqua" w:cs="Book Antiqua"/>
          <w:b/>
          <w:bCs/>
          <w:color w:val="000000"/>
        </w:rPr>
        <w:lastRenderedPageBreak/>
        <w:t xml:space="preserve">Revised: </w:t>
      </w:r>
      <w:r w:rsidRPr="00DB66A3">
        <w:rPr>
          <w:rFonts w:ascii="Book Antiqua" w:eastAsia="Book Antiqua" w:hAnsi="Book Antiqua" w:cs="Book Antiqua"/>
          <w:color w:val="000000"/>
        </w:rPr>
        <w:t>July 21, 2021</w:t>
      </w:r>
    </w:p>
    <w:p w14:paraId="57DF983F" w14:textId="60232CC8" w:rsidR="00A77B3E" w:rsidRPr="00DB66A3" w:rsidRDefault="00A34B5F">
      <w:pPr>
        <w:spacing w:line="360" w:lineRule="auto"/>
        <w:jc w:val="both"/>
      </w:pPr>
      <w:r w:rsidRPr="00DB66A3">
        <w:rPr>
          <w:rFonts w:ascii="Book Antiqua" w:eastAsia="Book Antiqua" w:hAnsi="Book Antiqua" w:cs="Book Antiqua"/>
          <w:b/>
          <w:bCs/>
          <w:color w:val="000000"/>
        </w:rPr>
        <w:t xml:space="preserve">Accepted: </w:t>
      </w:r>
      <w:r w:rsidR="00556362" w:rsidRPr="00DB66A3">
        <w:rPr>
          <w:rFonts w:ascii="Book Antiqua" w:eastAsia="Book Antiqua" w:hAnsi="Book Antiqua" w:cs="Book Antiqua"/>
          <w:color w:val="000000"/>
        </w:rPr>
        <w:t>September 10, 2021</w:t>
      </w:r>
    </w:p>
    <w:p w14:paraId="37E0826D" w14:textId="48AC9E09" w:rsidR="00A77B3E" w:rsidRPr="00DB66A3" w:rsidRDefault="00A34B5F">
      <w:pPr>
        <w:spacing w:line="360" w:lineRule="auto"/>
        <w:jc w:val="both"/>
        <w:rPr>
          <w:lang w:eastAsia="zh-CN"/>
        </w:rPr>
      </w:pPr>
      <w:r w:rsidRPr="00DB66A3">
        <w:rPr>
          <w:rFonts w:ascii="Book Antiqua" w:eastAsia="Book Antiqua" w:hAnsi="Book Antiqua" w:cs="Book Antiqua"/>
          <w:b/>
          <w:bCs/>
          <w:color w:val="000000"/>
        </w:rPr>
        <w:t xml:space="preserve">Published online: </w:t>
      </w:r>
      <w:r w:rsidR="00486506" w:rsidRPr="00DB66A3">
        <w:rPr>
          <w:rFonts w:ascii="Book Antiqua" w:hAnsi="Book Antiqua"/>
          <w:color w:val="000000"/>
          <w:shd w:val="clear" w:color="auto" w:fill="CAEACE"/>
        </w:rPr>
        <w:t>November 16</w:t>
      </w:r>
      <w:r w:rsidR="00486506" w:rsidRPr="00DB66A3">
        <w:rPr>
          <w:rFonts w:ascii="Book Antiqua" w:hAnsi="Book Antiqua" w:hint="eastAsia"/>
          <w:color w:val="000000"/>
          <w:shd w:val="clear" w:color="auto" w:fill="CAEACE"/>
          <w:lang w:eastAsia="zh-CN"/>
        </w:rPr>
        <w:t>, 2021</w:t>
      </w:r>
    </w:p>
    <w:p w14:paraId="42CB3541" w14:textId="77777777" w:rsidR="00C37B64" w:rsidRPr="00DB66A3" w:rsidRDefault="00C37B64">
      <w:pPr>
        <w:spacing w:line="360" w:lineRule="auto"/>
        <w:jc w:val="both"/>
        <w:rPr>
          <w:rFonts w:ascii="Book Antiqua" w:eastAsia="Book Antiqua" w:hAnsi="Book Antiqua" w:cs="Book Antiqua"/>
          <w:b/>
          <w:color w:val="000000"/>
        </w:rPr>
      </w:pPr>
    </w:p>
    <w:p w14:paraId="674ADB59" w14:textId="3CD7EDD1" w:rsidR="00A77B3E" w:rsidRPr="00DB66A3" w:rsidRDefault="00A34B5F">
      <w:pPr>
        <w:spacing w:line="360" w:lineRule="auto"/>
        <w:jc w:val="both"/>
      </w:pPr>
      <w:r w:rsidRPr="00DB66A3">
        <w:rPr>
          <w:rFonts w:ascii="Book Antiqua" w:eastAsia="Book Antiqua" w:hAnsi="Book Antiqua" w:cs="Book Antiqua"/>
          <w:b/>
          <w:color w:val="000000"/>
        </w:rPr>
        <w:t>Abstract</w:t>
      </w:r>
    </w:p>
    <w:p w14:paraId="3DCDD86C" w14:textId="77777777" w:rsidR="00A77B3E" w:rsidRPr="00DB66A3" w:rsidRDefault="00A34B5F">
      <w:pPr>
        <w:spacing w:line="360" w:lineRule="auto"/>
        <w:jc w:val="both"/>
      </w:pPr>
      <w:r w:rsidRPr="00DB66A3">
        <w:rPr>
          <w:rFonts w:ascii="Book Antiqua" w:eastAsia="Book Antiqua" w:hAnsi="Book Antiqua" w:cs="Book Antiqua"/>
          <w:color w:val="000000"/>
        </w:rPr>
        <w:t>BACKGROUND</w:t>
      </w:r>
    </w:p>
    <w:p w14:paraId="1CF48113" w14:textId="7F50AD21" w:rsidR="00A77B3E" w:rsidRPr="00DB66A3" w:rsidRDefault="00A34B5F">
      <w:pPr>
        <w:spacing w:line="360" w:lineRule="auto"/>
        <w:jc w:val="both"/>
      </w:pPr>
      <w:r w:rsidRPr="00DB66A3">
        <w:rPr>
          <w:rFonts w:ascii="Book Antiqua" w:eastAsia="Book Antiqua" w:hAnsi="Book Antiqua" w:cs="Book Antiqua"/>
          <w:color w:val="000000"/>
        </w:rPr>
        <w:t>Caused by premature activation of the hypothalamic</w:t>
      </w:r>
      <w:r w:rsidR="00C37B64" w:rsidRPr="00DB66A3">
        <w:rPr>
          <w:rFonts w:ascii="Book Antiqua" w:eastAsia="Book Antiqua" w:hAnsi="Book Antiqua" w:cs="Book Antiqua"/>
          <w:color w:val="000000"/>
        </w:rPr>
        <w:t>-</w:t>
      </w:r>
      <w:r w:rsidRPr="00DB66A3">
        <w:rPr>
          <w:rFonts w:ascii="Book Antiqua" w:eastAsia="Book Antiqua" w:hAnsi="Book Antiqua" w:cs="Book Antiqua"/>
          <w:color w:val="000000"/>
        </w:rPr>
        <w:t>pituitary</w:t>
      </w:r>
      <w:r w:rsidR="00C37B64" w:rsidRPr="00DB66A3">
        <w:rPr>
          <w:rFonts w:ascii="Book Antiqua" w:eastAsia="Book Antiqua" w:hAnsi="Book Antiqua" w:cs="Book Antiqua"/>
          <w:color w:val="000000"/>
        </w:rPr>
        <w:t>-</w:t>
      </w:r>
      <w:r w:rsidRPr="00DB66A3">
        <w:rPr>
          <w:rFonts w:ascii="Book Antiqua" w:eastAsia="Book Antiqua" w:hAnsi="Book Antiqua" w:cs="Book Antiqua"/>
          <w:color w:val="000000"/>
        </w:rPr>
        <w:t xml:space="preserve">gonadal axis, there is increasing incidence of </w:t>
      </w:r>
      <w:bookmarkStart w:id="1" w:name="_Hlk81921732"/>
      <w:r w:rsidRPr="00DB66A3">
        <w:rPr>
          <w:rFonts w:ascii="Book Antiqua" w:eastAsia="Book Antiqua" w:hAnsi="Book Antiqua" w:cs="Book Antiqua"/>
          <w:color w:val="000000"/>
        </w:rPr>
        <w:t>central precocious puberty</w:t>
      </w:r>
      <w:bookmarkEnd w:id="1"/>
      <w:r w:rsidRPr="00DB66A3">
        <w:rPr>
          <w:rFonts w:ascii="Book Antiqua" w:eastAsia="Book Antiqua" w:hAnsi="Book Antiqua" w:cs="Book Antiqua"/>
          <w:color w:val="000000"/>
        </w:rPr>
        <w:t xml:space="preserve"> (CPP), especially in girls. Makorin ring finger protein 3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a maternal imprinted gene with a highly conserved sequence, is the most common genetic etiology associated with CPP. Approximately 50 different mutations in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have been found in CPP.</w:t>
      </w:r>
    </w:p>
    <w:p w14:paraId="6B088792" w14:textId="77777777" w:rsidR="00A77B3E" w:rsidRPr="00DB66A3" w:rsidRDefault="00A77B3E">
      <w:pPr>
        <w:spacing w:line="360" w:lineRule="auto"/>
        <w:jc w:val="both"/>
      </w:pPr>
    </w:p>
    <w:p w14:paraId="4145EBCB" w14:textId="77777777" w:rsidR="00A77B3E" w:rsidRPr="00DB66A3" w:rsidRDefault="00A34B5F">
      <w:pPr>
        <w:spacing w:line="360" w:lineRule="auto"/>
        <w:jc w:val="both"/>
      </w:pPr>
      <w:r w:rsidRPr="00DB66A3">
        <w:rPr>
          <w:rFonts w:ascii="Book Antiqua" w:eastAsia="Book Antiqua" w:hAnsi="Book Antiqua" w:cs="Book Antiqua"/>
          <w:color w:val="000000"/>
        </w:rPr>
        <w:t>CASE SUMMARY</w:t>
      </w:r>
    </w:p>
    <w:p w14:paraId="3273990C" w14:textId="2C5D8A76" w:rsidR="00A77B3E" w:rsidRPr="00DB66A3" w:rsidRDefault="00A34B5F">
      <w:pPr>
        <w:spacing w:line="360" w:lineRule="auto"/>
        <w:jc w:val="both"/>
      </w:pPr>
      <w:r w:rsidRPr="00DB66A3">
        <w:rPr>
          <w:rFonts w:ascii="Book Antiqua" w:eastAsia="Book Antiqua" w:hAnsi="Book Antiqua" w:cs="Book Antiqua"/>
          <w:color w:val="000000"/>
        </w:rPr>
        <w:t>This case report involves identical twin sisters presenting with premature thelarche at the age of 6 years. The left hand bone age of both patients revealed advanced age (9 years). Pelvic B ultrasound indicated enlargement of the ovaries. Luteinizing hormone</w:t>
      </w:r>
      <w:r w:rsidR="00381112" w:rsidRPr="00DB66A3">
        <w:rPr>
          <w:rFonts w:ascii="Book Antiqua" w:eastAsia="Book Antiqua" w:hAnsi="Book Antiqua" w:cs="Book Antiqua"/>
          <w:color w:val="000000"/>
        </w:rPr>
        <w:t xml:space="preserve"> (LH)</w:t>
      </w:r>
      <w:r w:rsidRPr="00DB66A3">
        <w:rPr>
          <w:rFonts w:ascii="Book Antiqua" w:eastAsia="Book Antiqua" w:hAnsi="Book Antiqua" w:cs="Book Antiqua"/>
          <w:color w:val="000000"/>
        </w:rPr>
        <w:t xml:space="preserve"> releasing hormone testing confirmed CPP. Whole</w:t>
      </w:r>
      <w:r w:rsidR="00C37B64" w:rsidRPr="00DB66A3">
        <w:rPr>
          <w:rFonts w:ascii="Book Antiqua" w:eastAsia="Book Antiqua" w:hAnsi="Book Antiqua" w:cs="Book Antiqua"/>
          <w:color w:val="000000"/>
        </w:rPr>
        <w:t>-</w:t>
      </w:r>
      <w:r w:rsidRPr="00DB66A3">
        <w:rPr>
          <w:rFonts w:ascii="Book Antiqua" w:eastAsia="Book Antiqua" w:hAnsi="Book Antiqua" w:cs="Book Antiqua"/>
          <w:color w:val="000000"/>
        </w:rPr>
        <w:t>exome sequencing detected the c.841C</w:t>
      </w:r>
      <w:r w:rsidR="00C37B64"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&gt;</w:t>
      </w:r>
      <w:r w:rsidR="00C37B64"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 xml:space="preserve">T mutation in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leading to a single base substitution, in the twins. This mutation was inherited from the father and paternal grandmother. After 3 mo of treatment with a gonadotropin</w:t>
      </w:r>
      <w:r w:rsidR="00C37B64" w:rsidRPr="00DB66A3">
        <w:rPr>
          <w:rFonts w:ascii="Book Antiqua" w:eastAsia="Book Antiqua" w:hAnsi="Book Antiqua" w:cs="Book Antiqua"/>
          <w:color w:val="000000"/>
        </w:rPr>
        <w:t>-</w:t>
      </w:r>
      <w:r w:rsidRPr="00DB66A3">
        <w:rPr>
          <w:rFonts w:ascii="Book Antiqua" w:eastAsia="Book Antiqua" w:hAnsi="Book Antiqua" w:cs="Book Antiqua"/>
          <w:color w:val="000000"/>
        </w:rPr>
        <w:t xml:space="preserve">releasing hormone analog, levels of </w:t>
      </w:r>
      <w:r w:rsidR="00381112" w:rsidRPr="00DB66A3">
        <w:rPr>
          <w:rFonts w:ascii="Book Antiqua" w:eastAsia="Book Antiqua" w:hAnsi="Book Antiqua" w:cs="Book Antiqua"/>
          <w:color w:val="000000"/>
        </w:rPr>
        <w:t>LH</w:t>
      </w:r>
      <w:r w:rsidRPr="00DB66A3">
        <w:rPr>
          <w:rFonts w:ascii="Book Antiqua" w:eastAsia="Book Antiqua" w:hAnsi="Book Antiqua" w:cs="Book Antiqua"/>
          <w:color w:val="000000"/>
        </w:rPr>
        <w:t>, follicle-stimulating hormone, and estradiol in the proband’s sister returned to normal levels.</w:t>
      </w:r>
    </w:p>
    <w:p w14:paraId="17C33415" w14:textId="77777777" w:rsidR="00A77B3E" w:rsidRPr="00DB66A3" w:rsidRDefault="00A77B3E">
      <w:pPr>
        <w:spacing w:line="360" w:lineRule="auto"/>
        <w:jc w:val="both"/>
      </w:pPr>
    </w:p>
    <w:p w14:paraId="36B1D17C" w14:textId="77777777" w:rsidR="00A77B3E" w:rsidRPr="00DB66A3" w:rsidRDefault="00A34B5F">
      <w:pPr>
        <w:spacing w:line="360" w:lineRule="auto"/>
        <w:jc w:val="both"/>
      </w:pPr>
      <w:r w:rsidRPr="00DB66A3">
        <w:rPr>
          <w:rFonts w:ascii="Book Antiqua" w:eastAsia="Book Antiqua" w:hAnsi="Book Antiqua" w:cs="Book Antiqua"/>
          <w:color w:val="000000"/>
        </w:rPr>
        <w:t>CONCLUSION</w:t>
      </w:r>
    </w:p>
    <w:p w14:paraId="5EBE634D" w14:textId="6EA2E1C9" w:rsidR="00A77B3E" w:rsidRPr="00DB66A3" w:rsidRDefault="00A34B5F">
      <w:pPr>
        <w:spacing w:line="360" w:lineRule="auto"/>
        <w:jc w:val="both"/>
      </w:pPr>
      <w:r w:rsidRPr="00DB66A3">
        <w:rPr>
          <w:rFonts w:ascii="Book Antiqua" w:eastAsia="Book Antiqua" w:hAnsi="Book Antiqua" w:cs="Book Antiqua"/>
          <w:color w:val="000000"/>
        </w:rPr>
        <w:t>Here, we report a rare mutation (c.841C</w:t>
      </w:r>
      <w:r w:rsidR="00C37B64"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&gt;</w:t>
      </w:r>
      <w:r w:rsidR="00C37B64"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 xml:space="preserve">T) in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in identical twin sisters with CPP.</w:t>
      </w:r>
    </w:p>
    <w:p w14:paraId="48F47855" w14:textId="77777777" w:rsidR="00A77B3E" w:rsidRPr="00DB66A3" w:rsidRDefault="00A77B3E">
      <w:pPr>
        <w:spacing w:line="360" w:lineRule="auto"/>
        <w:jc w:val="both"/>
      </w:pPr>
    </w:p>
    <w:p w14:paraId="65B93C47" w14:textId="4DEB86FF" w:rsidR="00A77B3E" w:rsidRPr="00DB66A3" w:rsidRDefault="00A34B5F">
      <w:pPr>
        <w:spacing w:line="360" w:lineRule="auto"/>
        <w:jc w:val="both"/>
      </w:pPr>
      <w:r w:rsidRPr="00DB66A3">
        <w:rPr>
          <w:rFonts w:ascii="Book Antiqua" w:eastAsia="Book Antiqua" w:hAnsi="Book Antiqua" w:cs="Book Antiqua"/>
          <w:b/>
          <w:bCs/>
          <w:color w:val="000000"/>
          <w:szCs w:val="21"/>
        </w:rPr>
        <w:t xml:space="preserve">Key Words: </w:t>
      </w:r>
      <w:r w:rsidRPr="00DB66A3">
        <w:rPr>
          <w:rFonts w:ascii="Book Antiqua" w:eastAsia="Book Antiqua" w:hAnsi="Book Antiqua" w:cs="Book Antiqua"/>
          <w:color w:val="000000"/>
        </w:rPr>
        <w:t xml:space="preserve">Central </w:t>
      </w:r>
      <w:r w:rsidR="00D42D43" w:rsidRPr="00DB66A3">
        <w:rPr>
          <w:rFonts w:ascii="Book Antiqua" w:eastAsia="Book Antiqua" w:hAnsi="Book Antiqua" w:cs="Book Antiqua"/>
          <w:color w:val="000000"/>
        </w:rPr>
        <w:t>p</w:t>
      </w:r>
      <w:r w:rsidRPr="00DB66A3">
        <w:rPr>
          <w:rFonts w:ascii="Book Antiqua" w:eastAsia="Book Antiqua" w:hAnsi="Book Antiqua" w:cs="Book Antiqua"/>
          <w:color w:val="000000"/>
        </w:rPr>
        <w:t xml:space="preserve">recocious </w:t>
      </w:r>
      <w:r w:rsidR="00D42D43" w:rsidRPr="00DB66A3">
        <w:rPr>
          <w:rFonts w:ascii="Book Antiqua" w:eastAsia="Book Antiqua" w:hAnsi="Book Antiqua" w:cs="Book Antiqua"/>
          <w:color w:val="000000"/>
        </w:rPr>
        <w:t>p</w:t>
      </w:r>
      <w:r w:rsidRPr="00DB66A3">
        <w:rPr>
          <w:rFonts w:ascii="Book Antiqua" w:eastAsia="Book Antiqua" w:hAnsi="Book Antiqua" w:cs="Book Antiqua"/>
          <w:color w:val="000000"/>
        </w:rPr>
        <w:t xml:space="preserve">uberty;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Mutation; Case report </w:t>
      </w:r>
    </w:p>
    <w:p w14:paraId="0B1CA562" w14:textId="77777777" w:rsidR="00EC7BBB" w:rsidRPr="00DB66A3" w:rsidRDefault="00EC7BBB" w:rsidP="00EC7BBB">
      <w:pPr>
        <w:spacing w:line="360" w:lineRule="auto"/>
        <w:jc w:val="both"/>
        <w:rPr>
          <w:lang w:eastAsia="zh-CN"/>
        </w:rPr>
      </w:pPr>
    </w:p>
    <w:p w14:paraId="650165AF" w14:textId="77777777" w:rsidR="00EC7BBB" w:rsidRPr="00DB66A3" w:rsidRDefault="00EC7BBB" w:rsidP="00EC7BBB">
      <w:pPr>
        <w:spacing w:line="360" w:lineRule="auto"/>
        <w:jc w:val="both"/>
        <w:rPr>
          <w:rFonts w:ascii="Book Antiqua" w:eastAsia="Book Antiqua" w:hAnsi="Book Antiqua" w:cs="Book Antiqua"/>
          <w:color w:val="000000"/>
        </w:rPr>
      </w:pPr>
      <w:r w:rsidRPr="00DB66A3">
        <w:rPr>
          <w:rFonts w:ascii="Book Antiqua" w:eastAsia="Book Antiqua" w:hAnsi="Book Antiqua" w:cs="Book Antiqua" w:hint="eastAsia"/>
          <w:b/>
          <w:color w:val="000000"/>
        </w:rPr>
        <w:lastRenderedPageBreak/>
        <w:t>©</w:t>
      </w:r>
      <w:r w:rsidRPr="00DB66A3">
        <w:rPr>
          <w:rFonts w:ascii="Book Antiqua" w:eastAsia="Book Antiqua" w:hAnsi="Book Antiqua" w:cs="Book Antiqua"/>
          <w:b/>
          <w:color w:val="000000"/>
        </w:rPr>
        <w:t>The</w:t>
      </w:r>
      <w:r w:rsidRPr="00DB66A3">
        <w:rPr>
          <w:rFonts w:ascii="Book Antiqua" w:eastAsia="Book Antiqua" w:hAnsi="Book Antiqua" w:cs="Book Antiqua"/>
          <w:color w:val="000000"/>
        </w:rPr>
        <w:t xml:space="preserve"> </w:t>
      </w:r>
      <w:r w:rsidRPr="00DB66A3">
        <w:rPr>
          <w:rFonts w:ascii="Book Antiqua" w:eastAsia="Book Antiqua" w:hAnsi="Book Antiqua" w:cs="Book Antiqua"/>
          <w:b/>
          <w:color w:val="000000"/>
        </w:rPr>
        <w:t xml:space="preserve">Author(s) 2021. </w:t>
      </w:r>
      <w:r w:rsidRPr="00DB66A3">
        <w:rPr>
          <w:rFonts w:ascii="Book Antiqua" w:eastAsia="Book Antiqua" w:hAnsi="Book Antiqua" w:cs="Book Antiqua"/>
          <w:color w:val="000000"/>
        </w:rPr>
        <w:t xml:space="preserve">Published by Baishideng Publishing Group Inc. All rights reserved. </w:t>
      </w:r>
    </w:p>
    <w:p w14:paraId="01A6D68D" w14:textId="77777777" w:rsidR="00EC7BBB" w:rsidRPr="00DB66A3" w:rsidRDefault="00EC7BBB" w:rsidP="00EC7BBB">
      <w:pPr>
        <w:spacing w:line="360" w:lineRule="auto"/>
        <w:jc w:val="both"/>
        <w:rPr>
          <w:lang w:eastAsia="zh-CN"/>
        </w:rPr>
      </w:pPr>
    </w:p>
    <w:p w14:paraId="4B26F76A" w14:textId="56E54B1F" w:rsidR="00EB1495" w:rsidRDefault="00EC7BBB" w:rsidP="00EC7BBB">
      <w:pPr>
        <w:spacing w:line="360" w:lineRule="auto"/>
        <w:jc w:val="both"/>
        <w:rPr>
          <w:rFonts w:ascii="Book Antiqua" w:eastAsia="Book Antiqua" w:hAnsi="Book Antiqua" w:cs="Book Antiqua"/>
          <w:color w:val="000000"/>
        </w:rPr>
      </w:pPr>
      <w:r w:rsidRPr="00DB66A3">
        <w:rPr>
          <w:rFonts w:ascii="Book Antiqua" w:hAnsi="Book Antiqua" w:cs="Book Antiqua" w:hint="eastAsia"/>
          <w:b/>
          <w:color w:val="000000"/>
          <w:lang w:eastAsia="zh-CN"/>
        </w:rPr>
        <w:t>Citation:</w:t>
      </w:r>
      <w:r w:rsidRPr="00DB66A3">
        <w:rPr>
          <w:rFonts w:ascii="Book Antiqua" w:hAnsi="Book Antiqua" w:cs="Book Antiqua" w:hint="eastAsia"/>
          <w:color w:val="000000"/>
          <w:lang w:eastAsia="zh-CN"/>
        </w:rPr>
        <w:t xml:space="preserve"> </w:t>
      </w:r>
      <w:r w:rsidR="00A34B5F" w:rsidRPr="00DB66A3">
        <w:rPr>
          <w:rFonts w:ascii="Book Antiqua" w:eastAsia="Book Antiqua" w:hAnsi="Book Antiqua" w:cs="Book Antiqua"/>
          <w:color w:val="000000"/>
        </w:rPr>
        <w:t xml:space="preserve">Jiang LQ, Zhou YQ, Yuan K, Zhu JF, Fang YL, Wang CL. </w:t>
      </w:r>
      <w:r w:rsidR="00404528" w:rsidRPr="00DB66A3">
        <w:rPr>
          <w:rFonts w:ascii="Book Antiqua" w:eastAsia="Book Antiqua" w:hAnsi="Book Antiqua" w:cs="Book Antiqua"/>
          <w:color w:val="000000"/>
        </w:rPr>
        <w:t>R</w:t>
      </w:r>
      <w:r w:rsidR="00C37B64" w:rsidRPr="00DB66A3">
        <w:rPr>
          <w:rFonts w:ascii="Book Antiqua" w:eastAsia="Book Antiqua" w:hAnsi="Book Antiqua" w:cs="Book Antiqua"/>
          <w:color w:val="000000"/>
        </w:rPr>
        <w:t xml:space="preserve">are mutation in </w:t>
      </w:r>
      <w:r w:rsidR="00C37B64" w:rsidRPr="00DB66A3">
        <w:rPr>
          <w:rFonts w:ascii="Book Antiqua" w:eastAsia="Book Antiqua" w:hAnsi="Book Antiqua" w:cs="Book Antiqua"/>
          <w:i/>
          <w:iCs/>
          <w:color w:val="000000"/>
        </w:rPr>
        <w:t>MKRN3</w:t>
      </w:r>
      <w:r w:rsidR="00C37B64" w:rsidRPr="00DB66A3">
        <w:rPr>
          <w:rFonts w:ascii="Book Antiqua" w:eastAsia="Book Antiqua" w:hAnsi="Book Antiqua" w:cs="Book Antiqua"/>
          <w:color w:val="000000"/>
        </w:rPr>
        <w:t xml:space="preserve"> in two twin sisters with central precocious puberty: Two case reports</w:t>
      </w:r>
      <w:r w:rsidR="00A34B5F" w:rsidRPr="00DB66A3">
        <w:rPr>
          <w:rFonts w:ascii="Book Antiqua" w:eastAsia="Book Antiqua" w:hAnsi="Book Antiqua" w:cs="Book Antiqua"/>
          <w:color w:val="000000"/>
        </w:rPr>
        <w:t xml:space="preserve">. </w:t>
      </w:r>
      <w:r w:rsidR="00A34B5F" w:rsidRPr="00DB66A3">
        <w:rPr>
          <w:rFonts w:ascii="Book Antiqua" w:eastAsia="Book Antiqua" w:hAnsi="Book Antiqua" w:cs="Book Antiqua"/>
          <w:i/>
          <w:iCs/>
          <w:color w:val="000000"/>
        </w:rPr>
        <w:t>World J Clin Cases</w:t>
      </w:r>
      <w:r w:rsidR="00A34B5F" w:rsidRPr="00DB66A3">
        <w:rPr>
          <w:rFonts w:ascii="Book Antiqua" w:eastAsia="Book Antiqua" w:hAnsi="Book Antiqua" w:cs="Book Antiqua"/>
          <w:color w:val="000000"/>
        </w:rPr>
        <w:t xml:space="preserve"> 2021;</w:t>
      </w:r>
      <w:r w:rsidR="003D1FDE" w:rsidRPr="00DB66A3">
        <w:rPr>
          <w:rFonts w:ascii="Book Antiqua" w:eastAsia="Book Antiqua" w:hAnsi="Book Antiqua" w:cs="Book Antiqua"/>
          <w:color w:val="000000"/>
        </w:rPr>
        <w:t xml:space="preserve"> 9(32): </w:t>
      </w:r>
      <w:r w:rsidR="00EB1495">
        <w:rPr>
          <w:rFonts w:ascii="Book Antiqua" w:hAnsi="Book Antiqua" w:hint="eastAsia"/>
        </w:rPr>
        <w:t>1</w:t>
      </w:r>
      <w:r w:rsidR="00EB1495">
        <w:rPr>
          <w:rFonts w:ascii="Book Antiqua" w:hAnsi="Book Antiqua"/>
        </w:rPr>
        <w:t>0018</w:t>
      </w:r>
      <w:r w:rsidR="00EB1495">
        <w:rPr>
          <w:rFonts w:ascii="Book Antiqua" w:hAnsi="Book Antiqua" w:hint="eastAsia"/>
          <w:lang w:eastAsia="zh-CN"/>
        </w:rPr>
        <w:t>-</w:t>
      </w:r>
      <w:r w:rsidR="00EB1495">
        <w:rPr>
          <w:rFonts w:ascii="Book Antiqua" w:hAnsi="Book Antiqua"/>
        </w:rPr>
        <w:t>10023</w:t>
      </w:r>
    </w:p>
    <w:p w14:paraId="47E6BD2F" w14:textId="76820CB4" w:rsidR="00EB1495" w:rsidRDefault="003D1FDE" w:rsidP="00EC7BBB">
      <w:pPr>
        <w:spacing w:line="360" w:lineRule="auto"/>
        <w:jc w:val="both"/>
        <w:rPr>
          <w:rFonts w:ascii="Book Antiqua" w:eastAsia="Book Antiqua" w:hAnsi="Book Antiqua" w:cs="Book Antiqua"/>
          <w:color w:val="000000"/>
        </w:rPr>
      </w:pPr>
      <w:r w:rsidRPr="00DB66A3">
        <w:rPr>
          <w:rFonts w:ascii="Book Antiqua" w:eastAsia="Book Antiqua" w:hAnsi="Book Antiqua" w:cs="Book Antiqua"/>
          <w:color w:val="000000"/>
        </w:rPr>
        <w:t>URL: https://www.wjgnet.com/2307-8960/full/v9/i32/</w:t>
      </w:r>
      <w:r w:rsidR="00C13C4D">
        <w:rPr>
          <w:rFonts w:ascii="Book Antiqua" w:hAnsi="Book Antiqua" w:hint="eastAsia"/>
        </w:rPr>
        <w:t>1</w:t>
      </w:r>
      <w:r w:rsidR="00C13C4D">
        <w:rPr>
          <w:rFonts w:ascii="Book Antiqua" w:hAnsi="Book Antiqua"/>
        </w:rPr>
        <w:t>0018</w:t>
      </w:r>
      <w:r w:rsidRPr="00DB66A3">
        <w:rPr>
          <w:rFonts w:ascii="Book Antiqua" w:eastAsia="Book Antiqua" w:hAnsi="Book Antiqua" w:cs="Book Antiqua"/>
          <w:color w:val="000000"/>
        </w:rPr>
        <w:t xml:space="preserve">.htm  </w:t>
      </w:r>
    </w:p>
    <w:p w14:paraId="56C8F18D" w14:textId="7B12C36C" w:rsidR="00A77B3E" w:rsidRPr="00DB66A3" w:rsidRDefault="003D1FDE" w:rsidP="00EC7BBB">
      <w:pPr>
        <w:spacing w:line="360" w:lineRule="auto"/>
        <w:jc w:val="both"/>
      </w:pPr>
      <w:r w:rsidRPr="00DB66A3">
        <w:rPr>
          <w:rFonts w:ascii="Book Antiqua" w:eastAsia="Book Antiqua" w:hAnsi="Book Antiqua" w:cs="Book Antiqua"/>
          <w:color w:val="000000"/>
        </w:rPr>
        <w:t>DOI: https://dx.doi.org/10.12998/wjcc.v9.i32.</w:t>
      </w:r>
      <w:r w:rsidR="00C13C4D">
        <w:rPr>
          <w:rFonts w:ascii="Book Antiqua" w:hAnsi="Book Antiqua" w:hint="eastAsia"/>
        </w:rPr>
        <w:t>1</w:t>
      </w:r>
      <w:r w:rsidR="00C13C4D">
        <w:rPr>
          <w:rFonts w:ascii="Book Antiqua" w:hAnsi="Book Antiqua"/>
        </w:rPr>
        <w:t>0018</w:t>
      </w:r>
    </w:p>
    <w:p w14:paraId="75E799E4" w14:textId="77777777" w:rsidR="00A77B3E" w:rsidRPr="00DB66A3" w:rsidRDefault="00A77B3E">
      <w:pPr>
        <w:spacing w:line="360" w:lineRule="auto"/>
        <w:jc w:val="both"/>
      </w:pPr>
    </w:p>
    <w:p w14:paraId="5107C0B4" w14:textId="46CA231C" w:rsidR="00A77B3E" w:rsidRPr="00DB66A3" w:rsidRDefault="00A34B5F">
      <w:pPr>
        <w:spacing w:line="360" w:lineRule="auto"/>
        <w:jc w:val="both"/>
      </w:pPr>
      <w:r w:rsidRPr="00DB66A3">
        <w:rPr>
          <w:rFonts w:ascii="Book Antiqua" w:eastAsia="Book Antiqua" w:hAnsi="Book Antiqua" w:cs="Book Antiqua"/>
          <w:b/>
          <w:bCs/>
          <w:color w:val="000000"/>
          <w:szCs w:val="21"/>
        </w:rPr>
        <w:t xml:space="preserve">Core Tip: </w:t>
      </w:r>
      <w:r w:rsidRPr="00DB66A3">
        <w:rPr>
          <w:rFonts w:ascii="Book Antiqua" w:eastAsia="Book Antiqua" w:hAnsi="Book Antiqua" w:cs="Book Antiqua"/>
          <w:color w:val="000000"/>
        </w:rPr>
        <w:t xml:space="preserve">This report discusses the diagnosis and treatment of </w:t>
      </w:r>
      <w:r w:rsidR="00C37B64" w:rsidRPr="00DB66A3">
        <w:rPr>
          <w:rFonts w:ascii="Book Antiqua" w:eastAsia="Book Antiqua" w:hAnsi="Book Antiqua" w:cs="Book Antiqua"/>
          <w:color w:val="000000"/>
        </w:rPr>
        <w:t>central precocious puberty</w:t>
      </w:r>
      <w:r w:rsidRPr="00DB66A3">
        <w:rPr>
          <w:rFonts w:ascii="Book Antiqua" w:eastAsia="Book Antiqua" w:hAnsi="Book Antiqua" w:cs="Book Antiqua"/>
          <w:color w:val="000000"/>
        </w:rPr>
        <w:t xml:space="preserve"> caused by a new Makorin ring finger protein 3 gene mutation and includes a detailed clinical and laboratory analysis of the pathogenic principle, which provided the diagnosis and led to the treatment of central precocious puberty.</w:t>
      </w:r>
    </w:p>
    <w:p w14:paraId="3178A36A" w14:textId="77777777" w:rsidR="00A77B3E" w:rsidRPr="00DB66A3" w:rsidRDefault="00A77B3E">
      <w:pPr>
        <w:spacing w:line="360" w:lineRule="auto"/>
        <w:jc w:val="both"/>
      </w:pPr>
    </w:p>
    <w:p w14:paraId="7C21F42B" w14:textId="77777777" w:rsidR="00A77B3E" w:rsidRPr="00DB66A3" w:rsidRDefault="00A34B5F">
      <w:pPr>
        <w:spacing w:line="360" w:lineRule="auto"/>
        <w:jc w:val="both"/>
      </w:pPr>
      <w:r w:rsidRPr="00DB66A3">
        <w:rPr>
          <w:rFonts w:ascii="Book Antiqua" w:eastAsia="Book Antiqua" w:hAnsi="Book Antiqua" w:cs="Book Antiqua"/>
          <w:b/>
          <w:caps/>
          <w:color w:val="000000"/>
          <w:u w:val="single"/>
        </w:rPr>
        <w:t>INTRODUCTION</w:t>
      </w:r>
    </w:p>
    <w:p w14:paraId="3DA10D95" w14:textId="5D1B08E4" w:rsidR="00A77B3E" w:rsidRPr="00DB66A3" w:rsidRDefault="00A34B5F">
      <w:pPr>
        <w:spacing w:line="360" w:lineRule="auto"/>
        <w:jc w:val="both"/>
      </w:pPr>
      <w:r w:rsidRPr="00DB66A3">
        <w:rPr>
          <w:rFonts w:ascii="Book Antiqua" w:eastAsia="Book Antiqua" w:hAnsi="Book Antiqua" w:cs="Book Antiqua"/>
          <w:color w:val="000000"/>
        </w:rPr>
        <w:t xml:space="preserve">Precocious puberty is defined by the development of breast enlargement before the age of 8 years or menarche before the age of 10 years in girls and testicular enlargement (≥ 4 mL) before the age of 9 years in boys. Central precocious puberty (CPP) is a specific type of precocious puberty that results from premature activation of the hypothalamic-pituitary-gonadal </w:t>
      </w:r>
      <w:r w:rsidR="00C37B64" w:rsidRPr="00DB66A3">
        <w:rPr>
          <w:rFonts w:ascii="Book Antiqua" w:eastAsia="Book Antiqua" w:hAnsi="Book Antiqua" w:cs="Book Antiqua"/>
          <w:color w:val="000000"/>
        </w:rPr>
        <w:t xml:space="preserve">(HPG) </w:t>
      </w:r>
      <w:r w:rsidRPr="00DB66A3">
        <w:rPr>
          <w:rFonts w:ascii="Book Antiqua" w:eastAsia="Book Antiqua" w:hAnsi="Book Antiqua" w:cs="Book Antiqua"/>
          <w:color w:val="000000"/>
        </w:rPr>
        <w:t>axis</w:t>
      </w:r>
      <w:r w:rsidRPr="00DB66A3">
        <w:rPr>
          <w:rFonts w:ascii="Book Antiqua" w:eastAsia="Book Antiqua" w:hAnsi="Book Antiqua" w:cs="Book Antiqua"/>
          <w:color w:val="000000"/>
          <w:vertAlign w:val="superscript"/>
        </w:rPr>
        <w:t>[1]</w:t>
      </w:r>
      <w:r w:rsidRPr="00DB66A3">
        <w:rPr>
          <w:rFonts w:ascii="Book Antiqua" w:eastAsia="Book Antiqua" w:hAnsi="Book Antiqua" w:cs="Book Antiqua"/>
          <w:color w:val="000000"/>
        </w:rPr>
        <w:t>. CPP has critical short</w:t>
      </w:r>
      <w:r w:rsidR="00C37B64" w:rsidRPr="00DB66A3">
        <w:rPr>
          <w:rFonts w:ascii="Book Antiqua" w:eastAsia="Book Antiqua" w:hAnsi="Book Antiqua" w:cs="Book Antiqua"/>
          <w:color w:val="000000"/>
        </w:rPr>
        <w:t>-</w:t>
      </w:r>
      <w:r w:rsidRPr="00DB66A3">
        <w:rPr>
          <w:rFonts w:ascii="Book Antiqua" w:eastAsia="Book Antiqua" w:hAnsi="Book Antiqua" w:cs="Book Antiqua"/>
          <w:color w:val="000000"/>
        </w:rPr>
        <w:t>term and long</w:t>
      </w:r>
      <w:r w:rsidR="00C37B64" w:rsidRPr="00DB66A3">
        <w:rPr>
          <w:rFonts w:ascii="Book Antiqua" w:eastAsia="Book Antiqua" w:hAnsi="Book Antiqua" w:cs="Book Antiqua"/>
          <w:color w:val="000000"/>
        </w:rPr>
        <w:t>-</w:t>
      </w:r>
      <w:r w:rsidRPr="00DB66A3">
        <w:rPr>
          <w:rFonts w:ascii="Book Antiqua" w:eastAsia="Book Antiqua" w:hAnsi="Book Antiqua" w:cs="Book Antiqua"/>
          <w:color w:val="000000"/>
        </w:rPr>
        <w:t>term impacts on children, including increased risks of psychosocial stress, short stature, obesity, cardiovascular disease, and type 2 diabetes in adulthood</w:t>
      </w:r>
      <w:r w:rsidRPr="00DB66A3">
        <w:rPr>
          <w:rFonts w:ascii="Book Antiqua" w:eastAsia="Book Antiqua" w:hAnsi="Book Antiqua" w:cs="Book Antiqua"/>
          <w:color w:val="000000"/>
          <w:vertAlign w:val="superscript"/>
        </w:rPr>
        <w:t>[1]</w:t>
      </w:r>
      <w:r w:rsidRPr="00DB66A3">
        <w:rPr>
          <w:rFonts w:ascii="Book Antiqua" w:eastAsia="Book Antiqua" w:hAnsi="Book Antiqua" w:cs="Book Antiqua"/>
          <w:color w:val="000000"/>
        </w:rPr>
        <w:t>. The incidence of CPP is greater in girls than in boys, though the mechanism underlying this difference is not yet understood</w:t>
      </w:r>
      <w:r w:rsidRPr="00DB66A3">
        <w:rPr>
          <w:rFonts w:ascii="Book Antiqua" w:eastAsia="Book Antiqua" w:hAnsi="Book Antiqua" w:cs="Book Antiqua"/>
          <w:color w:val="000000"/>
          <w:vertAlign w:val="superscript"/>
        </w:rPr>
        <w:t>[2]</w:t>
      </w:r>
      <w:r w:rsidRPr="00DB66A3">
        <w:rPr>
          <w:rFonts w:ascii="Book Antiqua" w:eastAsia="Book Antiqua" w:hAnsi="Book Antiqua" w:cs="Book Antiqua"/>
          <w:color w:val="000000"/>
        </w:rPr>
        <w:t>. Boys with CPP are more likely to have specific pathological factors, such as thalamic hamartoma. In contrast, 90% of cases of CPP in girls are idiopathic</w:t>
      </w:r>
      <w:r w:rsidRPr="00DB66A3">
        <w:rPr>
          <w:rFonts w:ascii="Book Antiqua" w:eastAsia="Book Antiqua" w:hAnsi="Book Antiqua" w:cs="Book Antiqua"/>
          <w:color w:val="000000"/>
          <w:vertAlign w:val="superscript"/>
        </w:rPr>
        <w:t>[3]</w:t>
      </w:r>
      <w:r w:rsidRPr="00DB66A3">
        <w:rPr>
          <w:rFonts w:ascii="Book Antiqua" w:eastAsia="Book Antiqua" w:hAnsi="Book Antiqua" w:cs="Book Antiqua"/>
          <w:color w:val="000000"/>
        </w:rPr>
        <w:t>.</w:t>
      </w:r>
    </w:p>
    <w:p w14:paraId="6692DF9F" w14:textId="4B69B2B1" w:rsidR="00A77B3E" w:rsidRPr="00DB66A3" w:rsidRDefault="00A34B5F" w:rsidP="00381112">
      <w:pPr>
        <w:spacing w:line="360" w:lineRule="auto"/>
        <w:ind w:firstLineChars="100" w:firstLine="240"/>
        <w:jc w:val="both"/>
      </w:pPr>
      <w:r w:rsidRPr="00DB66A3">
        <w:rPr>
          <w:rFonts w:ascii="Book Antiqua" w:eastAsia="Book Antiqua" w:hAnsi="Book Antiqua" w:cs="Book Antiqua"/>
          <w:color w:val="000000"/>
        </w:rPr>
        <w:t>Genetic testing of children diagnosed with CPP has led to the identification of several pathogenic genes. Multiple genes, including makorin ring finger protein 3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kisspeptin (</w:t>
      </w:r>
      <w:r w:rsidRPr="00DB66A3">
        <w:rPr>
          <w:rFonts w:ascii="Book Antiqua" w:eastAsia="Book Antiqua" w:hAnsi="Book Antiqua" w:cs="Book Antiqua"/>
          <w:i/>
          <w:iCs/>
          <w:color w:val="000000"/>
        </w:rPr>
        <w:t xml:space="preserve">KISS1), </w:t>
      </w:r>
      <w:r w:rsidRPr="00DB66A3">
        <w:rPr>
          <w:rFonts w:ascii="Book Antiqua" w:eastAsia="Book Antiqua" w:hAnsi="Book Antiqua" w:cs="Book Antiqua"/>
          <w:color w:val="000000"/>
        </w:rPr>
        <w:t xml:space="preserve">kisspeptin receptor </w:t>
      </w:r>
      <w:r w:rsidRPr="00DB66A3">
        <w:rPr>
          <w:rFonts w:ascii="Book Antiqua" w:eastAsia="Book Antiqua" w:hAnsi="Book Antiqua" w:cs="Book Antiqua"/>
          <w:i/>
          <w:iCs/>
          <w:color w:val="000000"/>
        </w:rPr>
        <w:t>(KISS1R),</w:t>
      </w:r>
      <w:r w:rsidRPr="00DB66A3">
        <w:rPr>
          <w:rFonts w:ascii="Book Antiqua" w:eastAsia="Book Antiqua" w:hAnsi="Book Antiqua" w:cs="Book Antiqua"/>
          <w:color w:val="000000"/>
        </w:rPr>
        <w:t xml:space="preserve"> and</w:t>
      </w:r>
      <w:r w:rsidRPr="00DB66A3">
        <w:rPr>
          <w:rFonts w:ascii="Book Antiqua" w:eastAsia="Book Antiqua" w:hAnsi="Book Antiqua" w:cs="Book Antiqua"/>
          <w:i/>
          <w:iCs/>
          <w:color w:val="000000"/>
        </w:rPr>
        <w:t xml:space="preserve"> </w:t>
      </w:r>
      <w:r w:rsidRPr="00DB66A3">
        <w:rPr>
          <w:rFonts w:ascii="Book Antiqua" w:eastAsia="Book Antiqua" w:hAnsi="Book Antiqua" w:cs="Book Antiqua"/>
          <w:color w:val="000000"/>
        </w:rPr>
        <w:t xml:space="preserve">delta-like homolog 1 </w:t>
      </w:r>
      <w:r w:rsidRPr="00DB66A3">
        <w:rPr>
          <w:rFonts w:ascii="Book Antiqua" w:eastAsia="Book Antiqua" w:hAnsi="Book Antiqua" w:cs="Book Antiqua"/>
          <w:i/>
          <w:iCs/>
          <w:color w:val="000000"/>
        </w:rPr>
        <w:t>(DLK1)</w:t>
      </w:r>
      <w:r w:rsidRPr="00DB66A3">
        <w:rPr>
          <w:rFonts w:ascii="Book Antiqua" w:eastAsia="Book Antiqua" w:hAnsi="Book Antiqua" w:cs="Book Antiqua"/>
          <w:color w:val="000000"/>
        </w:rPr>
        <w:t>, are associated with CPP. Loss</w:t>
      </w:r>
      <w:r w:rsidR="00381112" w:rsidRPr="00DB66A3">
        <w:rPr>
          <w:rFonts w:ascii="Book Antiqua" w:eastAsia="Book Antiqua" w:hAnsi="Book Antiqua" w:cs="Book Antiqua"/>
          <w:color w:val="000000"/>
        </w:rPr>
        <w:t>-</w:t>
      </w:r>
      <w:r w:rsidRPr="00DB66A3">
        <w:rPr>
          <w:rFonts w:ascii="Book Antiqua" w:eastAsia="Book Antiqua" w:hAnsi="Book Antiqua" w:cs="Book Antiqua"/>
          <w:color w:val="000000"/>
        </w:rPr>
        <w:t>of</w:t>
      </w:r>
      <w:r w:rsidR="00381112" w:rsidRPr="00DB66A3">
        <w:rPr>
          <w:rFonts w:ascii="Book Antiqua" w:eastAsia="Book Antiqua" w:hAnsi="Book Antiqua" w:cs="Book Antiqua"/>
          <w:color w:val="000000"/>
        </w:rPr>
        <w:t>-</w:t>
      </w:r>
      <w:r w:rsidRPr="00DB66A3">
        <w:rPr>
          <w:rFonts w:ascii="Book Antiqua" w:eastAsia="Book Antiqua" w:hAnsi="Book Antiqua" w:cs="Book Antiqua"/>
          <w:color w:val="000000"/>
        </w:rPr>
        <w:t xml:space="preserve">function mutations in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are the most common </w:t>
      </w:r>
      <w:r w:rsidRPr="00DB66A3">
        <w:rPr>
          <w:rFonts w:ascii="Book Antiqua" w:eastAsia="Book Antiqua" w:hAnsi="Book Antiqua" w:cs="Book Antiqua"/>
          <w:color w:val="000000"/>
        </w:rPr>
        <w:lastRenderedPageBreak/>
        <w:t>genetic etiology contributing to CPP</w:t>
      </w:r>
      <w:r w:rsidRPr="00DB66A3">
        <w:rPr>
          <w:rFonts w:ascii="Book Antiqua" w:eastAsia="Book Antiqua" w:hAnsi="Book Antiqua" w:cs="Book Antiqua"/>
          <w:color w:val="000000"/>
          <w:vertAlign w:val="superscript"/>
        </w:rPr>
        <w:t>[4]</w:t>
      </w:r>
      <w:r w:rsidRPr="00DB66A3">
        <w:rPr>
          <w:rFonts w:ascii="Book Antiqua" w:eastAsia="Book Antiqua" w:hAnsi="Book Antiqua" w:cs="Book Antiqua"/>
          <w:color w:val="000000"/>
        </w:rPr>
        <w:t xml:space="preserve">, and 115 cases of familial and sporadic CPP involving more than 20 different loss-of-function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mutations were reported from 2013 to 2019</w:t>
      </w:r>
      <w:r w:rsidRPr="00DB66A3">
        <w:rPr>
          <w:rFonts w:ascii="Book Antiqua" w:eastAsia="Book Antiqua" w:hAnsi="Book Antiqua" w:cs="Book Antiqua"/>
          <w:color w:val="000000"/>
          <w:vertAlign w:val="superscript"/>
        </w:rPr>
        <w:t>[5]</w:t>
      </w:r>
      <w:r w:rsidRPr="00DB66A3">
        <w:rPr>
          <w:rFonts w:ascii="Book Antiqua" w:eastAsia="Book Antiqua" w:hAnsi="Book Antiqua" w:cs="Book Antiqua"/>
          <w:color w:val="000000"/>
        </w:rPr>
        <w:t>.</w:t>
      </w:r>
    </w:p>
    <w:p w14:paraId="2B99D671" w14:textId="77777777" w:rsidR="00A77B3E" w:rsidRPr="00DB66A3" w:rsidRDefault="00A34B5F" w:rsidP="00381112">
      <w:pPr>
        <w:spacing w:line="360" w:lineRule="auto"/>
        <w:ind w:firstLineChars="100" w:firstLine="240"/>
        <w:jc w:val="both"/>
      </w:pPr>
      <w:r w:rsidRPr="00DB66A3">
        <w:rPr>
          <w:rFonts w:ascii="Book Antiqua" w:eastAsia="Book Antiqua" w:hAnsi="Book Antiqua" w:cs="Book Antiqua"/>
          <w:color w:val="000000"/>
        </w:rPr>
        <w:t xml:space="preserve">Herein, we report a rare mutation in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causing CPP in twin sisters. This is the first report of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gene mutation in identical twins.</w:t>
      </w:r>
    </w:p>
    <w:p w14:paraId="47C4744F" w14:textId="77777777" w:rsidR="00A77B3E" w:rsidRPr="00DB66A3" w:rsidRDefault="00A77B3E">
      <w:pPr>
        <w:spacing w:line="360" w:lineRule="auto"/>
        <w:jc w:val="both"/>
      </w:pPr>
    </w:p>
    <w:p w14:paraId="56AECA92" w14:textId="77777777" w:rsidR="00A77B3E" w:rsidRPr="00DB66A3" w:rsidRDefault="00A34B5F">
      <w:pPr>
        <w:spacing w:line="360" w:lineRule="auto"/>
        <w:jc w:val="both"/>
      </w:pPr>
      <w:r w:rsidRPr="00DB66A3">
        <w:rPr>
          <w:rFonts w:ascii="Book Antiqua" w:eastAsia="Book Antiqua" w:hAnsi="Book Antiqua" w:cs="Book Antiqua"/>
          <w:b/>
          <w:caps/>
          <w:color w:val="000000"/>
          <w:u w:val="single"/>
        </w:rPr>
        <w:t>CASE PRESENTATION</w:t>
      </w:r>
    </w:p>
    <w:p w14:paraId="0A9E3502" w14:textId="77777777" w:rsidR="00A77B3E" w:rsidRPr="00DB66A3" w:rsidRDefault="00A34B5F">
      <w:pPr>
        <w:spacing w:line="360" w:lineRule="auto"/>
        <w:jc w:val="both"/>
      </w:pPr>
      <w:r w:rsidRPr="00DB66A3">
        <w:rPr>
          <w:rFonts w:ascii="Book Antiqua" w:eastAsia="Book Antiqua" w:hAnsi="Book Antiqua" w:cs="Book Antiqua"/>
          <w:b/>
          <w:i/>
          <w:color w:val="000000"/>
        </w:rPr>
        <w:t>Chief complaints</w:t>
      </w:r>
    </w:p>
    <w:p w14:paraId="72644BC4" w14:textId="77777777" w:rsidR="00A77B3E" w:rsidRPr="00DB66A3" w:rsidRDefault="00A34B5F">
      <w:pPr>
        <w:spacing w:line="360" w:lineRule="auto"/>
        <w:jc w:val="both"/>
      </w:pPr>
      <w:r w:rsidRPr="00DB66A3">
        <w:rPr>
          <w:rFonts w:ascii="Book Antiqua" w:eastAsia="Book Antiqua" w:hAnsi="Book Antiqua" w:cs="Book Antiqua"/>
          <w:color w:val="000000"/>
        </w:rPr>
        <w:t>Patient A: A Chinese girl was referred to our hospital for premature thelarche at the age of 6 years and 9 mo.</w:t>
      </w:r>
    </w:p>
    <w:p w14:paraId="0CBB8755" w14:textId="77777777" w:rsidR="00A77B3E" w:rsidRPr="00DB66A3" w:rsidRDefault="00A34B5F" w:rsidP="00381112">
      <w:pPr>
        <w:spacing w:line="360" w:lineRule="auto"/>
        <w:ind w:firstLineChars="100" w:firstLine="240"/>
        <w:jc w:val="both"/>
      </w:pPr>
      <w:r w:rsidRPr="00DB66A3">
        <w:rPr>
          <w:rFonts w:ascii="Book Antiqua" w:eastAsia="Book Antiqua" w:hAnsi="Book Antiqua" w:cs="Book Antiqua"/>
          <w:color w:val="000000"/>
        </w:rPr>
        <w:t>Patient B: The identical twin elder sister of patient A was previously examined at the age of 6 years and 7 mo for premature thelarche in another hospital. Premature thelarche appeared when the patient was 6 years and 4 mo old.</w:t>
      </w:r>
    </w:p>
    <w:p w14:paraId="1143755D" w14:textId="77777777" w:rsidR="00A77B3E" w:rsidRPr="00DB66A3" w:rsidRDefault="00A77B3E">
      <w:pPr>
        <w:spacing w:line="360" w:lineRule="auto"/>
        <w:jc w:val="both"/>
      </w:pPr>
    </w:p>
    <w:p w14:paraId="63FA2E13" w14:textId="77777777" w:rsidR="00A77B3E" w:rsidRPr="00DB66A3" w:rsidRDefault="00A34B5F">
      <w:pPr>
        <w:spacing w:line="360" w:lineRule="auto"/>
        <w:jc w:val="both"/>
      </w:pPr>
      <w:r w:rsidRPr="00DB66A3">
        <w:rPr>
          <w:rFonts w:ascii="Book Antiqua" w:eastAsia="Book Antiqua" w:hAnsi="Book Antiqua" w:cs="Book Antiqua"/>
          <w:b/>
          <w:i/>
          <w:color w:val="000000"/>
        </w:rPr>
        <w:t>History of present illness</w:t>
      </w:r>
    </w:p>
    <w:p w14:paraId="0FC67F13" w14:textId="77777777" w:rsidR="00A77B3E" w:rsidRPr="00DB66A3" w:rsidRDefault="00A34B5F">
      <w:pPr>
        <w:spacing w:line="360" w:lineRule="auto"/>
        <w:jc w:val="both"/>
      </w:pPr>
      <w:r w:rsidRPr="00DB66A3">
        <w:rPr>
          <w:rFonts w:ascii="Book Antiqua" w:eastAsia="Book Antiqua" w:hAnsi="Book Antiqua" w:cs="Book Antiqua"/>
          <w:color w:val="000000"/>
        </w:rPr>
        <w:t>At the age of 6 years and 3 mo, patient A showed breast development and progressive enlargement; at the age of 6 years and 4 mo, patient B showed breast development and progressive enlargement. Similar to patient A, no other obvious discomfort, misuse of contraceptives, or other abnormal performance was reported.</w:t>
      </w:r>
    </w:p>
    <w:p w14:paraId="4D05AC28" w14:textId="77777777" w:rsidR="00A77B3E" w:rsidRPr="00DB66A3" w:rsidRDefault="00A77B3E">
      <w:pPr>
        <w:spacing w:line="360" w:lineRule="auto"/>
        <w:jc w:val="both"/>
      </w:pPr>
    </w:p>
    <w:p w14:paraId="6DAA5378" w14:textId="77777777" w:rsidR="00A77B3E" w:rsidRPr="00DB66A3" w:rsidRDefault="00A34B5F">
      <w:pPr>
        <w:spacing w:line="360" w:lineRule="auto"/>
        <w:jc w:val="both"/>
      </w:pPr>
      <w:r w:rsidRPr="00DB66A3">
        <w:rPr>
          <w:rFonts w:ascii="Book Antiqua" w:eastAsia="Book Antiqua" w:hAnsi="Book Antiqua" w:cs="Book Antiqua"/>
          <w:b/>
          <w:i/>
          <w:color w:val="000000"/>
        </w:rPr>
        <w:t>History of past illness</w:t>
      </w:r>
    </w:p>
    <w:p w14:paraId="3A5113BC" w14:textId="77777777" w:rsidR="00A77B3E" w:rsidRPr="00DB66A3" w:rsidRDefault="00A34B5F">
      <w:pPr>
        <w:spacing w:line="360" w:lineRule="auto"/>
        <w:jc w:val="both"/>
      </w:pPr>
      <w:r w:rsidRPr="00DB66A3">
        <w:rPr>
          <w:rFonts w:ascii="Book Antiqua" w:eastAsia="Book Antiqua" w:hAnsi="Book Antiqua" w:cs="Book Antiqua"/>
          <w:color w:val="000000"/>
        </w:rPr>
        <w:t>The girls were born at full term weighing 2400 g and 2690 g and with a length of 48 cm (both twins). Neither patient had a history of a significant medical illness. The patients' diet was normal. The growth and development of the children prior to thelarche were similar to those of Han girls of their age.</w:t>
      </w:r>
    </w:p>
    <w:p w14:paraId="536EF7ED" w14:textId="77777777" w:rsidR="00A77B3E" w:rsidRPr="00DB66A3" w:rsidRDefault="00A77B3E">
      <w:pPr>
        <w:spacing w:line="360" w:lineRule="auto"/>
        <w:jc w:val="both"/>
      </w:pPr>
    </w:p>
    <w:p w14:paraId="632A16C3" w14:textId="77777777" w:rsidR="00A77B3E" w:rsidRPr="00DB66A3" w:rsidRDefault="00A34B5F">
      <w:pPr>
        <w:spacing w:line="360" w:lineRule="auto"/>
        <w:jc w:val="both"/>
      </w:pPr>
      <w:r w:rsidRPr="00DB66A3">
        <w:rPr>
          <w:rFonts w:ascii="Book Antiqua" w:eastAsia="Book Antiqua" w:hAnsi="Book Antiqua" w:cs="Book Antiqua"/>
          <w:b/>
          <w:i/>
          <w:color w:val="000000"/>
        </w:rPr>
        <w:t>Personal and family history</w:t>
      </w:r>
    </w:p>
    <w:p w14:paraId="60B8249C" w14:textId="77777777" w:rsidR="00A77B3E" w:rsidRPr="00DB66A3" w:rsidRDefault="00A34B5F">
      <w:pPr>
        <w:spacing w:line="360" w:lineRule="auto"/>
        <w:jc w:val="both"/>
      </w:pPr>
      <w:r w:rsidRPr="00DB66A3">
        <w:rPr>
          <w:rFonts w:ascii="Book Antiqua" w:eastAsia="Book Antiqua" w:hAnsi="Book Antiqua" w:cs="Book Antiqua"/>
          <w:color w:val="000000"/>
        </w:rPr>
        <w:t xml:space="preserve">The patients were twin daughters of Han Chinese nonconsanguineous parents. There was no family history of immunodeficiency or recurrent infection. The parents had no </w:t>
      </w:r>
      <w:r w:rsidRPr="00DB66A3">
        <w:rPr>
          <w:rFonts w:ascii="Book Antiqua" w:eastAsia="Book Antiqua" w:hAnsi="Book Antiqua" w:cs="Book Antiqua"/>
          <w:color w:val="000000"/>
        </w:rPr>
        <w:lastRenderedPageBreak/>
        <w:t>genetic diseases. The menarche age of the mother and pubertal development of the father were normal. The father had a height of 170 cm (-0.4 SDS) and the mother 162 cm (0.3 SDS).</w:t>
      </w:r>
    </w:p>
    <w:p w14:paraId="1361527C" w14:textId="77777777" w:rsidR="00A77B3E" w:rsidRPr="00DB66A3" w:rsidRDefault="00A77B3E">
      <w:pPr>
        <w:spacing w:line="360" w:lineRule="auto"/>
        <w:jc w:val="both"/>
      </w:pPr>
    </w:p>
    <w:p w14:paraId="17A62269" w14:textId="77777777" w:rsidR="00A77B3E" w:rsidRPr="00DB66A3" w:rsidRDefault="00A34B5F">
      <w:pPr>
        <w:spacing w:line="360" w:lineRule="auto"/>
        <w:jc w:val="both"/>
      </w:pPr>
      <w:r w:rsidRPr="00DB66A3">
        <w:rPr>
          <w:rFonts w:ascii="Book Antiqua" w:eastAsia="Book Antiqua" w:hAnsi="Book Antiqua" w:cs="Book Antiqua"/>
          <w:b/>
          <w:i/>
          <w:color w:val="000000"/>
        </w:rPr>
        <w:t>Physical examination</w:t>
      </w:r>
    </w:p>
    <w:p w14:paraId="5B82D4EF" w14:textId="77777777" w:rsidR="00A77B3E" w:rsidRPr="00DB66A3" w:rsidRDefault="00A34B5F">
      <w:pPr>
        <w:spacing w:line="360" w:lineRule="auto"/>
        <w:jc w:val="both"/>
      </w:pPr>
      <w:r w:rsidRPr="00DB66A3">
        <w:rPr>
          <w:rFonts w:ascii="Book Antiqua" w:eastAsia="Book Antiqua" w:hAnsi="Book Antiqua" w:cs="Book Antiqua"/>
          <w:color w:val="000000"/>
        </w:rPr>
        <w:t>Patient A had a height of 119.6 cm (0.04 SDS) and weighed 23 kg: Tanner stage 2 in the breasts and Tanner stage 1 in pubic hair, with no axillary hair. The height of patient B was 122.6 cm (0.8 SDS), and her body weight was 26.7 kg; she showed breast Tanner stage 2, pubic hair stage 1, and no axillary hair.</w:t>
      </w:r>
    </w:p>
    <w:p w14:paraId="452FB6E8" w14:textId="77777777" w:rsidR="00A77B3E" w:rsidRPr="00DB66A3" w:rsidRDefault="00A77B3E">
      <w:pPr>
        <w:spacing w:line="360" w:lineRule="auto"/>
        <w:jc w:val="both"/>
      </w:pPr>
    </w:p>
    <w:p w14:paraId="5288B334" w14:textId="77777777" w:rsidR="00A77B3E" w:rsidRPr="00DB66A3" w:rsidRDefault="00A34B5F">
      <w:pPr>
        <w:spacing w:line="360" w:lineRule="auto"/>
        <w:jc w:val="both"/>
      </w:pPr>
      <w:r w:rsidRPr="00DB66A3">
        <w:rPr>
          <w:rFonts w:ascii="Book Antiqua" w:eastAsia="Book Antiqua" w:hAnsi="Book Antiqua" w:cs="Book Antiqua"/>
          <w:b/>
          <w:i/>
          <w:color w:val="000000"/>
        </w:rPr>
        <w:t>Laboratory examinations</w:t>
      </w:r>
    </w:p>
    <w:p w14:paraId="614FB252" w14:textId="564184C1" w:rsidR="00A77B3E" w:rsidRPr="00DB66A3" w:rsidRDefault="00A34B5F">
      <w:pPr>
        <w:spacing w:line="360" w:lineRule="auto"/>
        <w:jc w:val="both"/>
      </w:pPr>
      <w:r w:rsidRPr="00DB66A3">
        <w:rPr>
          <w:rFonts w:ascii="Book Antiqua" w:eastAsia="Book Antiqua" w:hAnsi="Book Antiqua" w:cs="Book Antiqua"/>
          <w:color w:val="000000"/>
        </w:rPr>
        <w:t>The luteinizing hormone releasing hormone (LHRH) stimulation test for patient A indicated CPP (early stage); the peak luteinizing hormone (LH) value was 4.71 mIU/mL, the peak follicle</w:t>
      </w:r>
      <w:r w:rsidR="00381112" w:rsidRPr="00DB66A3">
        <w:rPr>
          <w:rFonts w:ascii="Book Antiqua" w:eastAsia="Book Antiqua" w:hAnsi="Book Antiqua" w:cs="Book Antiqua"/>
          <w:color w:val="000000"/>
        </w:rPr>
        <w:t>-</w:t>
      </w:r>
      <w:r w:rsidRPr="00DB66A3">
        <w:rPr>
          <w:rFonts w:ascii="Book Antiqua" w:eastAsia="Book Antiqua" w:hAnsi="Book Antiqua" w:cs="Book Antiqua"/>
          <w:color w:val="000000"/>
        </w:rPr>
        <w:t>stimulating hormone (FSH) value was 16.48 mIU/mL, and the LH/FSH ratio value was 0.29. Laboratory results together with the typical clinical manifestations indicated CPP. The LHRH stimulation test of patient B revealed a peak LH value of 15.81 mIU/mL (Table 1).</w:t>
      </w:r>
    </w:p>
    <w:p w14:paraId="4978EB39" w14:textId="77777777" w:rsidR="00A77B3E" w:rsidRPr="00DB66A3" w:rsidRDefault="00A77B3E">
      <w:pPr>
        <w:spacing w:line="360" w:lineRule="auto"/>
        <w:jc w:val="both"/>
      </w:pPr>
    </w:p>
    <w:p w14:paraId="3EE4D814" w14:textId="77777777" w:rsidR="00A77B3E" w:rsidRPr="00DB66A3" w:rsidRDefault="00A34B5F">
      <w:pPr>
        <w:spacing w:line="360" w:lineRule="auto"/>
        <w:jc w:val="both"/>
      </w:pPr>
      <w:r w:rsidRPr="00DB66A3">
        <w:rPr>
          <w:rFonts w:ascii="Book Antiqua" w:eastAsia="Book Antiqua" w:hAnsi="Book Antiqua" w:cs="Book Antiqua"/>
          <w:b/>
          <w:i/>
          <w:color w:val="000000"/>
        </w:rPr>
        <w:t>Imaging examinations</w:t>
      </w:r>
    </w:p>
    <w:p w14:paraId="6C424018" w14:textId="2E6830A2" w:rsidR="00A77B3E" w:rsidRPr="00DB66A3" w:rsidRDefault="00A34B5F">
      <w:pPr>
        <w:spacing w:line="360" w:lineRule="auto"/>
        <w:jc w:val="both"/>
      </w:pPr>
      <w:r w:rsidRPr="00DB66A3">
        <w:rPr>
          <w:rFonts w:ascii="Book Antiqua" w:eastAsia="Book Antiqua" w:hAnsi="Book Antiqua" w:cs="Book Antiqua"/>
          <w:color w:val="000000"/>
        </w:rPr>
        <w:t xml:space="preserve">The left hand bone age of patient A was 9 years. Pelvic ultrasound of patient A revealed enlargement of the ovary; the volume of the left ovary was 1.2 </w:t>
      </w:r>
      <w:bookmarkStart w:id="2" w:name="_Hlk81922080"/>
      <w:r w:rsidRPr="00DB66A3">
        <w:rPr>
          <w:rFonts w:ascii="Book Antiqua" w:eastAsia="Book Antiqua" w:hAnsi="Book Antiqua" w:cs="Book Antiqua"/>
          <w:color w:val="000000"/>
        </w:rPr>
        <w:t>mL</w:t>
      </w:r>
      <w:bookmarkEnd w:id="2"/>
      <w:r w:rsidRPr="00DB66A3">
        <w:rPr>
          <w:rFonts w:ascii="Book Antiqua" w:eastAsia="Book Antiqua" w:hAnsi="Book Antiqua" w:cs="Book Antiqua"/>
          <w:color w:val="000000"/>
        </w:rPr>
        <w:t>, while the volume of the right ovary was 1.7</w:t>
      </w:r>
      <w:r w:rsidR="00381112" w:rsidRPr="00DB66A3">
        <w:rPr>
          <w:rFonts w:ascii="Book Antiqua" w:eastAsia="Book Antiqua" w:hAnsi="Book Antiqua" w:cs="Book Antiqua"/>
          <w:color w:val="000000"/>
        </w:rPr>
        <w:t xml:space="preserve"> mL</w:t>
      </w:r>
      <w:r w:rsidRPr="00DB66A3">
        <w:rPr>
          <w:rFonts w:ascii="Book Antiqua" w:eastAsia="Book Antiqua" w:hAnsi="Book Antiqua" w:cs="Book Antiqua"/>
          <w:color w:val="000000"/>
        </w:rPr>
        <w:t>. Pelvic ultrasound of patient B revealed larger ovaries than in patient A; the volume of the left ovary was 2 mL, and the volume of the right ovary was 3.8 mL. The left hand bone age of patient B was 9 years.</w:t>
      </w:r>
    </w:p>
    <w:p w14:paraId="44A1C7D6" w14:textId="77777777" w:rsidR="00A77B3E" w:rsidRPr="00DB66A3" w:rsidRDefault="00A77B3E">
      <w:pPr>
        <w:spacing w:line="360" w:lineRule="auto"/>
        <w:jc w:val="both"/>
      </w:pPr>
    </w:p>
    <w:p w14:paraId="0D7C44F9" w14:textId="77777777" w:rsidR="00A77B3E" w:rsidRPr="00DB66A3" w:rsidRDefault="00A34B5F">
      <w:pPr>
        <w:spacing w:line="360" w:lineRule="auto"/>
        <w:jc w:val="both"/>
      </w:pPr>
      <w:r w:rsidRPr="00DB66A3">
        <w:rPr>
          <w:rFonts w:ascii="Book Antiqua" w:eastAsia="Book Antiqua" w:hAnsi="Book Antiqua" w:cs="Book Antiqua"/>
          <w:b/>
          <w:bCs/>
          <w:i/>
          <w:iCs/>
          <w:color w:val="000000"/>
        </w:rPr>
        <w:t>Further diagnostic work-up</w:t>
      </w:r>
    </w:p>
    <w:p w14:paraId="736EAAF8" w14:textId="1B8925C4" w:rsidR="00A77B3E" w:rsidRPr="00DB66A3" w:rsidRDefault="00A34B5F">
      <w:pPr>
        <w:spacing w:line="360" w:lineRule="auto"/>
        <w:jc w:val="both"/>
      </w:pPr>
      <w:r w:rsidRPr="00DB66A3">
        <w:rPr>
          <w:rFonts w:ascii="Book Antiqua" w:eastAsia="Book Antiqua" w:hAnsi="Book Antiqua" w:cs="Book Antiqua"/>
          <w:color w:val="000000"/>
        </w:rPr>
        <w:t>We performed trio</w:t>
      </w:r>
      <w:r w:rsidR="00381112" w:rsidRPr="00DB66A3">
        <w:rPr>
          <w:rFonts w:ascii="Book Antiqua" w:eastAsia="Book Antiqua" w:hAnsi="Book Antiqua" w:cs="Book Antiqua"/>
          <w:color w:val="000000"/>
        </w:rPr>
        <w:t>-</w:t>
      </w:r>
      <w:r w:rsidRPr="00DB66A3">
        <w:rPr>
          <w:rFonts w:ascii="Book Antiqua" w:eastAsia="Book Antiqua" w:hAnsi="Book Antiqua" w:cs="Book Antiqua"/>
          <w:color w:val="000000"/>
        </w:rPr>
        <w:t>whole</w:t>
      </w:r>
      <w:r w:rsidR="00381112" w:rsidRPr="00DB66A3">
        <w:rPr>
          <w:rFonts w:ascii="Book Antiqua" w:eastAsia="Book Antiqua" w:hAnsi="Book Antiqua" w:cs="Book Antiqua"/>
          <w:color w:val="000000"/>
        </w:rPr>
        <w:t>-</w:t>
      </w:r>
      <w:r w:rsidRPr="00DB66A3">
        <w:rPr>
          <w:rFonts w:ascii="Book Antiqua" w:eastAsia="Book Antiqua" w:hAnsi="Book Antiqua" w:cs="Book Antiqua"/>
          <w:color w:val="000000"/>
        </w:rPr>
        <w:t xml:space="preserve">exome sequencing on genomic DNA extracted from peripheral blood of the twins and their parents. The sequencing results revealed a rare mutation in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in the twins resulting in the substitution of a single base (c.841C</w:t>
      </w:r>
      <w:r w:rsidR="00381112"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&gt;</w:t>
      </w:r>
      <w:r w:rsidR="00381112"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lastRenderedPageBreak/>
        <w:t xml:space="preserve">T). The father was heterozygous for the mutation, whereas the mother carried wild-type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We obtained blood samples from the grandparents, and DNA was extracted and subjected to reverse transcription polymerase chain reaction amplification. We then performed direct sequencing of the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target site in the proband’s cDNA, which showed that the mutation was inherited from the paternal grandmother, who had normal development (Figures 1</w:t>
      </w:r>
      <w:r w:rsidR="00381112" w:rsidRPr="00DB66A3">
        <w:rPr>
          <w:rFonts w:ascii="Book Antiqua" w:eastAsia="Book Antiqua" w:hAnsi="Book Antiqua" w:cs="Book Antiqua"/>
          <w:color w:val="000000"/>
        </w:rPr>
        <w:t xml:space="preserve"> and</w:t>
      </w:r>
      <w:r w:rsidRPr="00DB66A3">
        <w:rPr>
          <w:rFonts w:ascii="Book Antiqua" w:eastAsia="Book Antiqua" w:hAnsi="Book Antiqua" w:cs="Book Antiqua"/>
          <w:color w:val="000000"/>
        </w:rPr>
        <w:t xml:space="preserve"> 2).</w:t>
      </w:r>
    </w:p>
    <w:p w14:paraId="77A1D3DE" w14:textId="77777777" w:rsidR="00A77B3E" w:rsidRPr="00DB66A3" w:rsidRDefault="00A77B3E">
      <w:pPr>
        <w:spacing w:line="360" w:lineRule="auto"/>
        <w:jc w:val="both"/>
      </w:pPr>
    </w:p>
    <w:p w14:paraId="1649DB85" w14:textId="77777777" w:rsidR="00A77B3E" w:rsidRPr="00DB66A3" w:rsidRDefault="00A34B5F">
      <w:pPr>
        <w:spacing w:line="360" w:lineRule="auto"/>
        <w:jc w:val="both"/>
      </w:pPr>
      <w:r w:rsidRPr="00DB66A3">
        <w:rPr>
          <w:rFonts w:ascii="Book Antiqua" w:eastAsia="Book Antiqua" w:hAnsi="Book Antiqua" w:cs="Book Antiqua"/>
          <w:b/>
          <w:caps/>
          <w:color w:val="000000"/>
          <w:u w:val="single"/>
        </w:rPr>
        <w:t>FINAL DIAGNOSIS</w:t>
      </w:r>
    </w:p>
    <w:p w14:paraId="2A773823" w14:textId="359593CB" w:rsidR="00A77B3E" w:rsidRPr="00DB66A3" w:rsidRDefault="00A34B5F">
      <w:pPr>
        <w:spacing w:line="360" w:lineRule="auto"/>
        <w:jc w:val="both"/>
      </w:pPr>
      <w:r w:rsidRPr="00DB66A3">
        <w:rPr>
          <w:rFonts w:ascii="Book Antiqua" w:eastAsia="Book Antiqua" w:hAnsi="Book Antiqua" w:cs="Book Antiqua"/>
          <w:color w:val="000000"/>
        </w:rPr>
        <w:t>Central precocious puberty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c.841C</w:t>
      </w:r>
      <w:r w:rsidR="00381112"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&gt;</w:t>
      </w:r>
      <w:r w:rsidR="00381112"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T).</w:t>
      </w:r>
    </w:p>
    <w:p w14:paraId="3AB160BF" w14:textId="77777777" w:rsidR="00A77B3E" w:rsidRPr="00DB66A3" w:rsidRDefault="00A77B3E">
      <w:pPr>
        <w:spacing w:line="360" w:lineRule="auto"/>
        <w:jc w:val="both"/>
      </w:pPr>
    </w:p>
    <w:p w14:paraId="41D9448C" w14:textId="77777777" w:rsidR="00A77B3E" w:rsidRPr="00DB66A3" w:rsidRDefault="00A34B5F">
      <w:pPr>
        <w:spacing w:line="360" w:lineRule="auto"/>
        <w:jc w:val="both"/>
      </w:pPr>
      <w:r w:rsidRPr="00DB66A3">
        <w:rPr>
          <w:rFonts w:ascii="Book Antiqua" w:eastAsia="Book Antiqua" w:hAnsi="Book Antiqua" w:cs="Book Antiqua"/>
          <w:b/>
          <w:caps/>
          <w:color w:val="000000"/>
          <w:u w:val="single"/>
        </w:rPr>
        <w:t>TREATMENT</w:t>
      </w:r>
    </w:p>
    <w:p w14:paraId="47277B70" w14:textId="77777777" w:rsidR="00A77B3E" w:rsidRPr="00DB66A3" w:rsidRDefault="00A34B5F">
      <w:pPr>
        <w:spacing w:line="360" w:lineRule="auto"/>
        <w:jc w:val="both"/>
      </w:pPr>
      <w:r w:rsidRPr="00DB66A3">
        <w:rPr>
          <w:rFonts w:ascii="Book Antiqua" w:eastAsia="Book Antiqua" w:hAnsi="Book Antiqua" w:cs="Book Antiqua"/>
          <w:color w:val="000000"/>
        </w:rPr>
        <w:t>Gonadotropin-releasing hormone (GnRH) analog (3.75 mg every 4 wk, subcutaneous route).</w:t>
      </w:r>
    </w:p>
    <w:p w14:paraId="50B74397" w14:textId="77777777" w:rsidR="00A77B3E" w:rsidRPr="00DB66A3" w:rsidRDefault="00A77B3E">
      <w:pPr>
        <w:spacing w:line="360" w:lineRule="auto"/>
        <w:jc w:val="both"/>
      </w:pPr>
    </w:p>
    <w:p w14:paraId="21A8D1C6" w14:textId="77777777" w:rsidR="00A77B3E" w:rsidRPr="00DB66A3" w:rsidRDefault="00A34B5F">
      <w:pPr>
        <w:spacing w:line="360" w:lineRule="auto"/>
        <w:jc w:val="both"/>
      </w:pPr>
      <w:r w:rsidRPr="00DB66A3">
        <w:rPr>
          <w:rFonts w:ascii="Book Antiqua" w:eastAsia="Book Antiqua" w:hAnsi="Book Antiqua" w:cs="Book Antiqua"/>
          <w:b/>
          <w:caps/>
          <w:color w:val="000000"/>
          <w:u w:val="single"/>
        </w:rPr>
        <w:t>OUTCOME AND FOLLOW-UP</w:t>
      </w:r>
    </w:p>
    <w:p w14:paraId="64844B34" w14:textId="77777777" w:rsidR="00A77B3E" w:rsidRPr="00DB66A3" w:rsidRDefault="00A34B5F">
      <w:pPr>
        <w:spacing w:line="360" w:lineRule="auto"/>
        <w:jc w:val="both"/>
      </w:pPr>
      <w:r w:rsidRPr="00DB66A3">
        <w:rPr>
          <w:rFonts w:ascii="Book Antiqua" w:eastAsia="Book Antiqua" w:hAnsi="Book Antiqua" w:cs="Book Antiqua"/>
          <w:color w:val="000000"/>
        </w:rPr>
        <w:t>After 3 mo of treatment, levels of LH, FSH and estradiol (E2) decreased to normal levels.</w:t>
      </w:r>
    </w:p>
    <w:p w14:paraId="42460586" w14:textId="77777777" w:rsidR="00A77B3E" w:rsidRPr="00DB66A3" w:rsidRDefault="00A77B3E">
      <w:pPr>
        <w:spacing w:line="360" w:lineRule="auto"/>
        <w:jc w:val="both"/>
      </w:pPr>
    </w:p>
    <w:p w14:paraId="134EB448" w14:textId="77777777" w:rsidR="00A77B3E" w:rsidRPr="00DB66A3" w:rsidRDefault="00A34B5F">
      <w:pPr>
        <w:spacing w:line="360" w:lineRule="auto"/>
        <w:jc w:val="both"/>
      </w:pPr>
      <w:r w:rsidRPr="00DB66A3">
        <w:rPr>
          <w:rFonts w:ascii="Book Antiqua" w:eastAsia="Book Antiqua" w:hAnsi="Book Antiqua" w:cs="Book Antiqua"/>
          <w:b/>
          <w:caps/>
          <w:color w:val="000000"/>
          <w:u w:val="single"/>
        </w:rPr>
        <w:t>DISCUSSION</w:t>
      </w:r>
    </w:p>
    <w:p w14:paraId="4D66F663" w14:textId="4929AE8E" w:rsidR="00A77B3E" w:rsidRPr="00DB66A3" w:rsidRDefault="00A34B5F">
      <w:pPr>
        <w:spacing w:line="360" w:lineRule="auto"/>
        <w:jc w:val="both"/>
      </w:pP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is an intronless gene located in the Prader</w:t>
      </w:r>
      <w:r w:rsidR="00381112" w:rsidRPr="00DB66A3">
        <w:rPr>
          <w:rFonts w:ascii="Book Antiqua" w:eastAsia="Book Antiqua" w:hAnsi="Book Antiqua" w:cs="Book Antiqua"/>
          <w:color w:val="000000"/>
        </w:rPr>
        <w:t>-</w:t>
      </w:r>
      <w:r w:rsidRPr="00DB66A3">
        <w:rPr>
          <w:rFonts w:ascii="Book Antiqua" w:eastAsia="Book Antiqua" w:hAnsi="Book Antiqua" w:cs="Book Antiqua"/>
          <w:color w:val="000000"/>
        </w:rPr>
        <w:t>Willi syndrome region on chromosome 15q11.2. Based on whole</w:t>
      </w:r>
      <w:r w:rsidR="00381112" w:rsidRPr="00DB66A3">
        <w:rPr>
          <w:rFonts w:ascii="Book Antiqua" w:eastAsia="Book Antiqua" w:hAnsi="Book Antiqua" w:cs="Book Antiqua"/>
          <w:color w:val="000000"/>
        </w:rPr>
        <w:t>-</w:t>
      </w:r>
      <w:r w:rsidRPr="00DB66A3">
        <w:rPr>
          <w:rFonts w:ascii="Book Antiqua" w:eastAsia="Book Antiqua" w:hAnsi="Book Antiqua" w:cs="Book Antiqua"/>
          <w:color w:val="000000"/>
        </w:rPr>
        <w:t xml:space="preserve">exome sequencing of 40 members from 15 families diagnosed with CPP, </w:t>
      </w:r>
      <w:r w:rsidR="00381112" w:rsidRPr="00DB66A3">
        <w:rPr>
          <w:rFonts w:ascii="Book Antiqua" w:eastAsia="Book Antiqua" w:hAnsi="Book Antiqua" w:cs="Book Antiqua"/>
          <w:color w:val="000000"/>
        </w:rPr>
        <w:t>Abreu</w:t>
      </w:r>
      <w:r w:rsidRPr="00DB66A3">
        <w:rPr>
          <w:rFonts w:ascii="Book Antiqua" w:eastAsia="Book Antiqua" w:hAnsi="Book Antiqua" w:cs="Book Antiqua"/>
          <w:color w:val="000000"/>
        </w:rPr>
        <w:t xml:space="preserve"> </w:t>
      </w:r>
      <w:r w:rsidRPr="00DB66A3">
        <w:rPr>
          <w:rFonts w:ascii="Book Antiqua" w:eastAsia="Book Antiqua" w:hAnsi="Book Antiqua" w:cs="Book Antiqua"/>
          <w:i/>
          <w:iCs/>
          <w:color w:val="000000"/>
        </w:rPr>
        <w:t>et al</w:t>
      </w:r>
      <w:r w:rsidR="00381112" w:rsidRPr="00DB66A3">
        <w:rPr>
          <w:rFonts w:ascii="Book Antiqua" w:eastAsia="Book Antiqua" w:hAnsi="Book Antiqua" w:cs="Book Antiqua"/>
          <w:color w:val="000000"/>
          <w:vertAlign w:val="superscript"/>
        </w:rPr>
        <w:t>[</w:t>
      </w:r>
      <w:r w:rsidR="008F0C18" w:rsidRPr="00DB66A3">
        <w:rPr>
          <w:rFonts w:ascii="Book Antiqua" w:eastAsia="Book Antiqua" w:hAnsi="Book Antiqua" w:cs="Book Antiqua"/>
          <w:color w:val="000000"/>
          <w:vertAlign w:val="superscript"/>
        </w:rPr>
        <w:t>6</w:t>
      </w:r>
      <w:r w:rsidR="00381112" w:rsidRPr="00DB66A3">
        <w:rPr>
          <w:rFonts w:ascii="Book Antiqua" w:eastAsia="Book Antiqua" w:hAnsi="Book Antiqua" w:cs="Book Antiqua"/>
          <w:color w:val="000000"/>
          <w:vertAlign w:val="superscript"/>
        </w:rPr>
        <w:t>]</w:t>
      </w:r>
      <w:r w:rsidRPr="00DB66A3">
        <w:rPr>
          <w:rFonts w:ascii="Book Antiqua" w:eastAsia="Book Antiqua" w:hAnsi="Book Antiqua" w:cs="Book Antiqua"/>
          <w:color w:val="000000"/>
        </w:rPr>
        <w:t xml:space="preserve"> confirmed in 2013 that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mutation is associated with CPP.</w:t>
      </w:r>
    </w:p>
    <w:p w14:paraId="020711B4" w14:textId="7E75B31A" w:rsidR="00A77B3E" w:rsidRPr="00DB66A3" w:rsidRDefault="00A34B5F" w:rsidP="00381112">
      <w:pPr>
        <w:spacing w:line="360" w:lineRule="auto"/>
        <w:ind w:firstLineChars="100" w:firstLine="240"/>
        <w:jc w:val="both"/>
      </w:pP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is a maternally imprinted or silenced gene and is expressed only from the paternal allele. MKRN3 is a member of the Makorin family of proteins that contain special zinc</w:t>
      </w:r>
      <w:r w:rsidR="00381112" w:rsidRPr="00DB66A3">
        <w:rPr>
          <w:rFonts w:ascii="Book Antiqua" w:eastAsia="Book Antiqua" w:hAnsi="Book Antiqua" w:cs="Book Antiqua"/>
          <w:color w:val="000000"/>
        </w:rPr>
        <w:t>-</w:t>
      </w:r>
      <w:r w:rsidRPr="00DB66A3">
        <w:rPr>
          <w:rFonts w:ascii="Book Antiqua" w:eastAsia="Book Antiqua" w:hAnsi="Book Antiqua" w:cs="Book Antiqua"/>
          <w:color w:val="000000"/>
        </w:rPr>
        <w:t>finger motifs and have a highly conserved structure among multiple species</w:t>
      </w:r>
      <w:r w:rsidRPr="00DB66A3">
        <w:rPr>
          <w:rFonts w:ascii="Book Antiqua" w:eastAsia="Book Antiqua" w:hAnsi="Book Antiqua" w:cs="Book Antiqua"/>
          <w:color w:val="000000"/>
          <w:vertAlign w:val="superscript"/>
        </w:rPr>
        <w:t>[6]</w:t>
      </w:r>
      <w:r w:rsidRPr="00DB66A3">
        <w:rPr>
          <w:rFonts w:ascii="Book Antiqua" w:eastAsia="Book Antiqua" w:hAnsi="Book Antiqua" w:cs="Book Antiqua"/>
          <w:color w:val="000000"/>
        </w:rPr>
        <w:t>. MKRN family proteins MKRN1</w:t>
      </w:r>
      <w:r w:rsidR="00381112" w:rsidRPr="00DB66A3">
        <w:rPr>
          <w:rFonts w:ascii="Book Antiqua" w:eastAsia="Book Antiqua" w:hAnsi="Book Antiqua" w:cs="Book Antiqua"/>
          <w:color w:val="000000"/>
        </w:rPr>
        <w:t>-</w:t>
      </w:r>
      <w:r w:rsidRPr="00DB66A3">
        <w:rPr>
          <w:rFonts w:ascii="Book Antiqua" w:eastAsia="Book Antiqua" w:hAnsi="Book Antiqua" w:cs="Book Antiqua"/>
          <w:color w:val="000000"/>
        </w:rPr>
        <w:t>4 contain three CH3 zinc</w:t>
      </w:r>
      <w:r w:rsidR="00381112" w:rsidRPr="00DB66A3">
        <w:rPr>
          <w:rFonts w:ascii="Book Antiqua" w:eastAsia="Book Antiqua" w:hAnsi="Book Antiqua" w:cs="Book Antiqua"/>
          <w:color w:val="000000"/>
        </w:rPr>
        <w:t>-</w:t>
      </w:r>
      <w:r w:rsidRPr="00DB66A3">
        <w:rPr>
          <w:rFonts w:ascii="Book Antiqua" w:eastAsia="Book Antiqua" w:hAnsi="Book Antiqua" w:cs="Book Antiqua"/>
          <w:color w:val="000000"/>
        </w:rPr>
        <w:t>finger motifs, a characteristic RING finger domain (C2HC4 motif), and a CH motif that is rich in Cys-His. The C3H motifs are associated with RNA binding activity. The RING finger motif is present in many E3 ubiquitin ligases and is responsible for ubiquitin</w:t>
      </w:r>
      <w:r w:rsidR="00381112" w:rsidRPr="00DB66A3">
        <w:rPr>
          <w:rFonts w:ascii="Book Antiqua" w:eastAsia="Book Antiqua" w:hAnsi="Book Antiqua" w:cs="Book Antiqua"/>
          <w:color w:val="000000"/>
        </w:rPr>
        <w:t>-</w:t>
      </w:r>
      <w:r w:rsidRPr="00DB66A3">
        <w:rPr>
          <w:rFonts w:ascii="Book Antiqua" w:eastAsia="Book Antiqua" w:hAnsi="Book Antiqua" w:cs="Book Antiqua"/>
          <w:color w:val="000000"/>
        </w:rPr>
        <w:t>ligase activity</w:t>
      </w:r>
      <w:r w:rsidRPr="00DB66A3">
        <w:rPr>
          <w:rFonts w:ascii="Book Antiqua" w:eastAsia="Book Antiqua" w:hAnsi="Book Antiqua" w:cs="Book Antiqua"/>
          <w:color w:val="000000"/>
          <w:vertAlign w:val="superscript"/>
        </w:rPr>
        <w:t>[5]</w:t>
      </w:r>
      <w:r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lastRenderedPageBreak/>
        <w:t xml:space="preserve">As with other Makorin family members, the transcript levels of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in several species are maximal during the very first developmental stages and sharply decrease over time. Previous studies showed that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transcripts progressively decrease in the mouse hypothalamus during the first two postnatal weeks</w:t>
      </w:r>
      <w:r w:rsidRPr="00DB66A3">
        <w:rPr>
          <w:rFonts w:ascii="Book Antiqua" w:eastAsia="Book Antiqua" w:hAnsi="Book Antiqua" w:cs="Book Antiqua"/>
          <w:color w:val="000000"/>
          <w:vertAlign w:val="superscript"/>
        </w:rPr>
        <w:t>[</w:t>
      </w:r>
      <w:r w:rsidR="004C205A" w:rsidRPr="00DB66A3">
        <w:rPr>
          <w:rFonts w:ascii="Book Antiqua" w:eastAsia="Book Antiqua" w:hAnsi="Book Antiqua" w:cs="Book Antiqua"/>
          <w:color w:val="000000"/>
          <w:vertAlign w:val="superscript"/>
        </w:rPr>
        <w:t>5</w:t>
      </w:r>
      <w:r w:rsidRPr="00DB66A3">
        <w:rPr>
          <w:rFonts w:ascii="Book Antiqua" w:eastAsia="Book Antiqua" w:hAnsi="Book Antiqua" w:cs="Book Antiqua"/>
          <w:color w:val="000000"/>
          <w:vertAlign w:val="superscript"/>
        </w:rPr>
        <w:t>]</w:t>
      </w:r>
      <w:r w:rsidRPr="00DB66A3">
        <w:rPr>
          <w:rFonts w:ascii="Book Antiqua" w:eastAsia="Book Antiqua" w:hAnsi="Book Antiqua" w:cs="Book Antiqua"/>
          <w:color w:val="000000"/>
        </w:rPr>
        <w:t xml:space="preserve">. This was further verified by reports of lower serum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levels in girls with CPP than in healthy girls</w:t>
      </w:r>
      <w:r w:rsidRPr="00DB66A3">
        <w:rPr>
          <w:rFonts w:ascii="Book Antiqua" w:eastAsia="Book Antiqua" w:hAnsi="Book Antiqua" w:cs="Book Antiqua"/>
          <w:color w:val="000000"/>
          <w:vertAlign w:val="superscript"/>
        </w:rPr>
        <w:t>[4</w:t>
      </w:r>
      <w:r w:rsidR="00381112" w:rsidRPr="00DB66A3">
        <w:rPr>
          <w:rFonts w:ascii="Book Antiqua" w:eastAsia="Book Antiqua" w:hAnsi="Book Antiqua" w:cs="Book Antiqua"/>
          <w:color w:val="000000"/>
          <w:vertAlign w:val="superscript"/>
        </w:rPr>
        <w:t>-</w:t>
      </w:r>
      <w:r w:rsidRPr="00DB66A3">
        <w:rPr>
          <w:rFonts w:ascii="Book Antiqua" w:eastAsia="Book Antiqua" w:hAnsi="Book Antiqua" w:cs="Book Antiqua"/>
          <w:color w:val="000000"/>
          <w:vertAlign w:val="superscript"/>
        </w:rPr>
        <w:t>6]</w:t>
      </w:r>
      <w:r w:rsidRPr="00DB66A3">
        <w:rPr>
          <w:rFonts w:ascii="Book Antiqua" w:eastAsia="Book Antiqua" w:hAnsi="Book Antiqua" w:cs="Book Antiqua"/>
          <w:color w:val="000000"/>
        </w:rPr>
        <w:t>.</w:t>
      </w:r>
    </w:p>
    <w:p w14:paraId="643EE2C8" w14:textId="6808B821" w:rsidR="00A77B3E" w:rsidRPr="00DB66A3" w:rsidRDefault="00A34B5F" w:rsidP="00381112">
      <w:pPr>
        <w:spacing w:line="360" w:lineRule="auto"/>
        <w:ind w:firstLineChars="100" w:firstLine="240"/>
        <w:jc w:val="both"/>
      </w:pPr>
      <w:r w:rsidRPr="00DB66A3">
        <w:rPr>
          <w:rFonts w:ascii="Book Antiqua" w:eastAsia="Book Antiqua" w:hAnsi="Book Antiqua" w:cs="Book Antiqua"/>
          <w:color w:val="000000"/>
        </w:rPr>
        <w:t>CPP is caused by premature activation of the HPG axis and an increase in the amplitude and frequency of GnRH pulses. GnRH is produced in the hypothalamus and regulated by kisspeptin/neurokinin B/dynorphin (KNDy) neurons, which are critical in pulse generation, steroid negative feedback, puberty and other functions. Previous human genetic studies have demonstrated the crucial role of kisspeptin and neurokinin B in stimulating GnRH secretion; dynorphin restrains secretion of GnRH</w:t>
      </w:r>
      <w:r w:rsidRPr="00DB66A3">
        <w:rPr>
          <w:rFonts w:ascii="Book Antiqua" w:eastAsia="Book Antiqua" w:hAnsi="Book Antiqua" w:cs="Book Antiqua"/>
          <w:color w:val="000000"/>
          <w:vertAlign w:val="superscript"/>
        </w:rPr>
        <w:t>[</w:t>
      </w:r>
      <w:r w:rsidR="00427013" w:rsidRPr="00DB66A3">
        <w:rPr>
          <w:rFonts w:ascii="Book Antiqua" w:eastAsia="Book Antiqua" w:hAnsi="Book Antiqua" w:cs="Book Antiqua"/>
          <w:color w:val="000000"/>
          <w:vertAlign w:val="superscript"/>
        </w:rPr>
        <w:t>7</w:t>
      </w:r>
      <w:r w:rsidRPr="00DB66A3">
        <w:rPr>
          <w:rFonts w:ascii="Book Antiqua" w:eastAsia="Book Antiqua" w:hAnsi="Book Antiqua" w:cs="Book Antiqua"/>
          <w:color w:val="000000"/>
          <w:vertAlign w:val="superscript"/>
        </w:rPr>
        <w:t>,</w:t>
      </w:r>
      <w:r w:rsidR="00427013" w:rsidRPr="00DB66A3">
        <w:rPr>
          <w:rFonts w:ascii="Book Antiqua" w:eastAsia="Book Antiqua" w:hAnsi="Book Antiqua" w:cs="Book Antiqua"/>
          <w:color w:val="000000"/>
          <w:vertAlign w:val="superscript"/>
        </w:rPr>
        <w:t>8</w:t>
      </w:r>
      <w:r w:rsidRPr="00DB66A3">
        <w:rPr>
          <w:rFonts w:ascii="Book Antiqua" w:eastAsia="Book Antiqua" w:hAnsi="Book Antiqua" w:cs="Book Antiqua"/>
          <w:color w:val="000000"/>
          <w:vertAlign w:val="superscript"/>
        </w:rPr>
        <w:t>]</w:t>
      </w:r>
      <w:r w:rsidRPr="00DB66A3">
        <w:rPr>
          <w:rFonts w:ascii="Book Antiqua" w:eastAsia="Book Antiqua" w:hAnsi="Book Antiqua" w:cs="Book Antiqua"/>
          <w:color w:val="000000"/>
        </w:rPr>
        <w:t xml:space="preserve">. One study reported that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selectively inhibits the promoter activity of the </w:t>
      </w:r>
      <w:r w:rsidRPr="00DB66A3">
        <w:rPr>
          <w:rFonts w:ascii="Book Antiqua" w:eastAsia="Book Antiqua" w:hAnsi="Book Antiqua" w:cs="Book Antiqua"/>
          <w:i/>
          <w:iCs/>
          <w:color w:val="000000"/>
        </w:rPr>
        <w:t>KISS1</w:t>
      </w:r>
      <w:r w:rsidRPr="00DB66A3">
        <w:rPr>
          <w:rFonts w:ascii="Book Antiqua" w:eastAsia="Book Antiqua" w:hAnsi="Book Antiqua" w:cs="Book Antiqua"/>
          <w:color w:val="000000"/>
        </w:rPr>
        <w:t xml:space="preserve"> and </w:t>
      </w:r>
      <w:r w:rsidRPr="00DB66A3">
        <w:rPr>
          <w:rFonts w:ascii="Book Antiqua" w:eastAsia="Book Antiqua" w:hAnsi="Book Antiqua" w:cs="Book Antiqua"/>
          <w:i/>
          <w:iCs/>
          <w:color w:val="000000"/>
        </w:rPr>
        <w:t>TAC3</w:t>
      </w:r>
      <w:r w:rsidRPr="00DB66A3">
        <w:rPr>
          <w:rFonts w:ascii="Book Antiqua" w:eastAsia="Book Antiqua" w:hAnsi="Book Antiqua" w:cs="Book Antiqua"/>
          <w:color w:val="000000"/>
        </w:rPr>
        <w:t xml:space="preserve"> genes, which encode kisspeptin and tachykinin-3, in the arcuate nucleus independent of its RING finger domain</w:t>
      </w:r>
      <w:r w:rsidRPr="00DB66A3">
        <w:rPr>
          <w:rFonts w:ascii="Book Antiqua" w:eastAsia="Book Antiqua" w:hAnsi="Book Antiqua" w:cs="Book Antiqua"/>
          <w:color w:val="000000"/>
          <w:vertAlign w:val="superscript"/>
        </w:rPr>
        <w:t>[</w:t>
      </w:r>
      <w:r w:rsidR="00427013" w:rsidRPr="00DB66A3">
        <w:rPr>
          <w:rFonts w:ascii="Book Antiqua" w:eastAsia="Book Antiqua" w:hAnsi="Book Antiqua" w:cs="Book Antiqua"/>
          <w:color w:val="000000"/>
          <w:vertAlign w:val="superscript"/>
        </w:rPr>
        <w:t>8</w:t>
      </w:r>
      <w:r w:rsidRPr="00DB66A3">
        <w:rPr>
          <w:rFonts w:ascii="Book Antiqua" w:eastAsia="Book Antiqua" w:hAnsi="Book Antiqua" w:cs="Book Antiqua"/>
          <w:color w:val="000000"/>
          <w:vertAlign w:val="superscript"/>
        </w:rPr>
        <w:t>]</w:t>
      </w:r>
      <w:r w:rsidRPr="00DB66A3">
        <w:rPr>
          <w:rFonts w:ascii="Book Antiqua" w:eastAsia="Book Antiqua" w:hAnsi="Book Antiqua" w:cs="Book Antiqua"/>
          <w:color w:val="000000"/>
        </w:rPr>
        <w:t>. Liu</w:t>
      </w:r>
      <w:r w:rsidR="008F0C18" w:rsidRPr="00DB66A3">
        <w:rPr>
          <w:rFonts w:ascii="Book Antiqua" w:eastAsia="Book Antiqua" w:hAnsi="Book Antiqua" w:cs="Book Antiqua"/>
          <w:color w:val="000000"/>
        </w:rPr>
        <w:t xml:space="preserve"> </w:t>
      </w:r>
      <w:r w:rsidR="008F0C18" w:rsidRPr="00DB66A3">
        <w:rPr>
          <w:rFonts w:ascii="Book Antiqua" w:eastAsia="Book Antiqua" w:hAnsi="Book Antiqua" w:cs="Book Antiqua"/>
          <w:i/>
          <w:iCs/>
          <w:color w:val="000000"/>
        </w:rPr>
        <w:t>et al</w:t>
      </w:r>
      <w:r w:rsidR="008F0C18" w:rsidRPr="00DB66A3">
        <w:rPr>
          <w:rFonts w:ascii="Book Antiqua" w:eastAsia="Book Antiqua" w:hAnsi="Book Antiqua" w:cs="Book Antiqua"/>
          <w:color w:val="000000"/>
          <w:vertAlign w:val="superscript"/>
        </w:rPr>
        <w:t>[</w:t>
      </w:r>
      <w:r w:rsidR="00427013" w:rsidRPr="00DB66A3">
        <w:rPr>
          <w:rFonts w:ascii="Book Antiqua" w:eastAsia="Book Antiqua" w:hAnsi="Book Antiqua" w:cs="Book Antiqua"/>
          <w:color w:val="000000"/>
          <w:vertAlign w:val="superscript"/>
        </w:rPr>
        <w:t>9</w:t>
      </w:r>
      <w:r w:rsidR="008F0C18" w:rsidRPr="00DB66A3">
        <w:rPr>
          <w:rFonts w:ascii="Book Antiqua" w:eastAsia="Book Antiqua" w:hAnsi="Book Antiqua" w:cs="Book Antiqua"/>
          <w:color w:val="000000"/>
          <w:vertAlign w:val="superscript"/>
        </w:rPr>
        <w:t>]</w:t>
      </w:r>
      <w:r w:rsidRPr="00DB66A3">
        <w:rPr>
          <w:rFonts w:ascii="Book Antiqua" w:eastAsia="Book Antiqua" w:hAnsi="Book Antiqua" w:cs="Book Antiqua"/>
          <w:color w:val="000000"/>
        </w:rPr>
        <w:t xml:space="preserve"> found that the RING domain of MKRN3 interacts with Nptx1, one of the earliest activated extracellular signals responding upon GnRH neuron induction when puberty begins, leading to polyubiquitination and suppression of Nptx1 activity during the initiation of puberty. Both </w:t>
      </w:r>
      <w:r w:rsidRPr="00DB66A3">
        <w:rPr>
          <w:rFonts w:ascii="Book Antiqua" w:eastAsia="Book Antiqua" w:hAnsi="Book Antiqua" w:cs="Book Antiqua"/>
          <w:i/>
          <w:iCs/>
          <w:color w:val="000000"/>
        </w:rPr>
        <w:t>in vivo</w:t>
      </w:r>
      <w:r w:rsidRPr="00DB66A3">
        <w:rPr>
          <w:rFonts w:ascii="Book Antiqua" w:eastAsia="Book Antiqua" w:hAnsi="Book Antiqua" w:cs="Book Antiqua"/>
          <w:color w:val="000000"/>
        </w:rPr>
        <w:t xml:space="preserve"> and </w:t>
      </w:r>
      <w:r w:rsidRPr="00DB66A3">
        <w:rPr>
          <w:rFonts w:ascii="Book Antiqua" w:eastAsia="Book Antiqua" w:hAnsi="Book Antiqua" w:cs="Book Antiqua"/>
          <w:i/>
          <w:iCs/>
          <w:color w:val="000000"/>
        </w:rPr>
        <w:t>in vitro</w:t>
      </w:r>
      <w:r w:rsidRPr="00DB66A3">
        <w:rPr>
          <w:rFonts w:ascii="Book Antiqua" w:eastAsia="Book Antiqua" w:hAnsi="Book Antiqua" w:cs="Book Antiqua"/>
          <w:color w:val="000000"/>
        </w:rPr>
        <w:t xml:space="preserve"> experiments have shown that microRNA-30 targets the 3’</w:t>
      </w:r>
      <w:r w:rsidR="008F0C18" w:rsidRPr="00DB66A3">
        <w:rPr>
          <w:rFonts w:ascii="Book Antiqua" w:eastAsia="Book Antiqua" w:hAnsi="Book Antiqua" w:cs="Book Antiqua"/>
          <w:color w:val="000000"/>
        </w:rPr>
        <w:t>-</w:t>
      </w:r>
      <w:r w:rsidRPr="00DB66A3">
        <w:rPr>
          <w:rFonts w:ascii="Book Antiqua" w:eastAsia="Book Antiqua" w:hAnsi="Book Antiqua" w:cs="Book Antiqua"/>
          <w:color w:val="000000"/>
        </w:rPr>
        <w:t xml:space="preserve">untranslated region of the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mRNA to control pubertal initiation. Injection of microRNA</w:t>
      </w:r>
      <w:r w:rsidR="008F0C18" w:rsidRPr="00DB66A3">
        <w:rPr>
          <w:rFonts w:ascii="Book Antiqua" w:eastAsia="Book Antiqua" w:hAnsi="Book Antiqua" w:cs="Book Antiqua"/>
          <w:color w:val="000000"/>
        </w:rPr>
        <w:t>-</w:t>
      </w:r>
      <w:r w:rsidRPr="00DB66A3">
        <w:rPr>
          <w:rFonts w:ascii="Book Antiqua" w:eastAsia="Book Antiqua" w:hAnsi="Book Antiqua" w:cs="Book Antiqua"/>
          <w:color w:val="000000"/>
        </w:rPr>
        <w:t xml:space="preserve">30 inhibitors during prepuberty reverses downregulation of the hypothalamic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protein and delays the onset of female puberty</w:t>
      </w:r>
      <w:r w:rsidRPr="00DB66A3">
        <w:rPr>
          <w:rFonts w:ascii="Book Antiqua" w:eastAsia="Book Antiqua" w:hAnsi="Book Antiqua" w:cs="Book Antiqua"/>
          <w:color w:val="000000"/>
          <w:vertAlign w:val="superscript"/>
        </w:rPr>
        <w:t>[1</w:t>
      </w:r>
      <w:r w:rsidR="00427013" w:rsidRPr="00DB66A3">
        <w:rPr>
          <w:rFonts w:ascii="Book Antiqua" w:eastAsia="Book Antiqua" w:hAnsi="Book Antiqua" w:cs="Book Antiqua"/>
          <w:color w:val="000000"/>
          <w:vertAlign w:val="superscript"/>
        </w:rPr>
        <w:t>0</w:t>
      </w:r>
      <w:r w:rsidRPr="00DB66A3">
        <w:rPr>
          <w:rFonts w:ascii="Book Antiqua" w:eastAsia="Book Antiqua" w:hAnsi="Book Antiqua" w:cs="Book Antiqua"/>
          <w:color w:val="000000"/>
          <w:vertAlign w:val="superscript"/>
        </w:rPr>
        <w:t>]</w:t>
      </w:r>
      <w:r w:rsidRPr="00DB66A3">
        <w:rPr>
          <w:rFonts w:ascii="Book Antiqua" w:eastAsia="Book Antiqua" w:hAnsi="Book Antiqua" w:cs="Book Antiqua"/>
          <w:color w:val="000000"/>
        </w:rPr>
        <w:t>. Therefore, MKRN3 is extremely essential in the initiation of puberty, and this mechanism likely underlies its association with CPP.</w:t>
      </w:r>
    </w:p>
    <w:p w14:paraId="5B8EFBEE" w14:textId="7EC8A767" w:rsidR="00A77B3E" w:rsidRPr="00DB66A3" w:rsidRDefault="00A34B5F" w:rsidP="008F0C18">
      <w:pPr>
        <w:spacing w:line="360" w:lineRule="auto"/>
        <w:ind w:firstLineChars="100" w:firstLine="240"/>
        <w:jc w:val="both"/>
      </w:pPr>
      <w:r w:rsidRPr="00DB66A3">
        <w:rPr>
          <w:rFonts w:ascii="Book Antiqua" w:eastAsia="Book Antiqua" w:hAnsi="Book Antiqua" w:cs="Book Antiqua"/>
          <w:color w:val="000000"/>
        </w:rPr>
        <w:t xml:space="preserve">We identified a rare missense mutation in </w:t>
      </w:r>
      <w:r w:rsidRPr="00DB66A3">
        <w:rPr>
          <w:rFonts w:ascii="Book Antiqua" w:eastAsia="Book Antiqua" w:hAnsi="Book Antiqua" w:cs="Book Antiqua"/>
          <w:i/>
          <w:iCs/>
          <w:color w:val="000000"/>
        </w:rPr>
        <w:t xml:space="preserve">MKRN3 </w:t>
      </w:r>
      <w:r w:rsidRPr="00DB66A3">
        <w:rPr>
          <w:rFonts w:ascii="Book Antiqua" w:eastAsia="Book Antiqua" w:hAnsi="Book Antiqua" w:cs="Book Antiqua"/>
          <w:color w:val="000000"/>
        </w:rPr>
        <w:t>(c.841C</w:t>
      </w:r>
      <w:r w:rsidR="008F0C18"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&gt;</w:t>
      </w:r>
      <w:r w:rsidR="008F0C18"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T) in a 6 year and 9 mo-old girl with CPP with a twin sister who also showed premature thelarche. Whole</w:t>
      </w:r>
      <w:r w:rsidR="008F0C18" w:rsidRPr="00DB66A3">
        <w:rPr>
          <w:rFonts w:ascii="Book Antiqua" w:eastAsia="Book Antiqua" w:hAnsi="Book Antiqua" w:cs="Book Antiqua"/>
          <w:color w:val="000000"/>
        </w:rPr>
        <w:t>-</w:t>
      </w:r>
      <w:r w:rsidRPr="00DB66A3">
        <w:rPr>
          <w:rFonts w:ascii="Book Antiqua" w:eastAsia="Book Antiqua" w:hAnsi="Book Antiqua" w:cs="Book Antiqua"/>
          <w:color w:val="000000"/>
        </w:rPr>
        <w:t>exome sequencing revealed that the mutation was inherited from the father, whose pubertal development was normal. The c.841C &gt;</w:t>
      </w:r>
      <w:r w:rsidR="008F0C18"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 xml:space="preserve">T mutation is located in the CH motif and results in a single amino acid change in the MKRN3 protein. Thus far, 50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mutations associated with CPP have been reported, including 14 frameshift mutations, </w:t>
      </w:r>
      <w:r w:rsidRPr="00DB66A3">
        <w:rPr>
          <w:rFonts w:ascii="Book Antiqua" w:eastAsia="Book Antiqua" w:hAnsi="Book Antiqua" w:cs="Book Antiqua"/>
          <w:color w:val="000000"/>
        </w:rPr>
        <w:lastRenderedPageBreak/>
        <w:t>27 missense mutations, 4 nonsense mutations and 5 variants in upstream promoter or regulatory regions</w:t>
      </w:r>
      <w:r w:rsidRPr="00DB66A3">
        <w:rPr>
          <w:rFonts w:ascii="Book Antiqua" w:eastAsia="Book Antiqua" w:hAnsi="Book Antiqua" w:cs="Book Antiqua"/>
          <w:color w:val="000000"/>
          <w:vertAlign w:val="superscript"/>
        </w:rPr>
        <w:t>[3,5]</w:t>
      </w:r>
      <w:r w:rsidRPr="00DB66A3">
        <w:rPr>
          <w:rFonts w:ascii="Book Antiqua" w:eastAsia="Book Antiqua" w:hAnsi="Book Antiqua" w:cs="Book Antiqua"/>
          <w:color w:val="000000"/>
        </w:rPr>
        <w:t>. The current case is only the second report of the c.841C</w:t>
      </w:r>
      <w:r w:rsidR="008F0C18"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&gt;</w:t>
      </w:r>
      <w:r w:rsidR="008F0C18"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 xml:space="preserve">T mutation in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vertAlign w:val="superscript"/>
        </w:rPr>
        <w:t>[1</w:t>
      </w:r>
      <w:r w:rsidR="00427013" w:rsidRPr="00DB66A3">
        <w:rPr>
          <w:rFonts w:ascii="Book Antiqua" w:eastAsia="Book Antiqua" w:hAnsi="Book Antiqua" w:cs="Book Antiqua"/>
          <w:color w:val="000000"/>
          <w:vertAlign w:val="superscript"/>
        </w:rPr>
        <w:t>1</w:t>
      </w:r>
      <w:r w:rsidRPr="00DB66A3">
        <w:rPr>
          <w:rFonts w:ascii="Book Antiqua" w:eastAsia="Book Antiqua" w:hAnsi="Book Antiqua" w:cs="Book Antiqua"/>
          <w:color w:val="000000"/>
          <w:vertAlign w:val="superscript"/>
        </w:rPr>
        <w:t>]</w:t>
      </w:r>
      <w:r w:rsidRPr="00DB66A3">
        <w:rPr>
          <w:rFonts w:ascii="Book Antiqua" w:eastAsia="Book Antiqua" w:hAnsi="Book Antiqua" w:cs="Book Antiqua"/>
          <w:color w:val="000000"/>
        </w:rPr>
        <w:t xml:space="preserve">. Notably, this is also the first case of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mutation in twin sisters. It is worth noting that mutations in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are more common in patients from Western countries than in those from Asian countries</w:t>
      </w:r>
      <w:r w:rsidRPr="00DB66A3">
        <w:rPr>
          <w:rFonts w:ascii="Book Antiqua" w:eastAsia="Book Antiqua" w:hAnsi="Book Antiqua" w:cs="Book Antiqua"/>
          <w:color w:val="000000"/>
          <w:vertAlign w:val="superscript"/>
        </w:rPr>
        <w:t>[3]</w:t>
      </w:r>
      <w:r w:rsidRPr="00DB66A3">
        <w:rPr>
          <w:rFonts w:ascii="Book Antiqua" w:eastAsia="Book Antiqua" w:hAnsi="Book Antiqua" w:cs="Book Antiqua"/>
          <w:color w:val="000000"/>
        </w:rPr>
        <w:t>, which may result from genetic differences in ethnic</w:t>
      </w:r>
      <w:r w:rsidR="008F0C18"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groups or the less frequent use of gene testing among children with CPP in Asian countries.</w:t>
      </w:r>
    </w:p>
    <w:p w14:paraId="1763D22C" w14:textId="75E2CAD5" w:rsidR="00A77B3E" w:rsidRPr="00DB66A3" w:rsidRDefault="00A34B5F" w:rsidP="008F0C18">
      <w:pPr>
        <w:spacing w:line="360" w:lineRule="auto"/>
        <w:ind w:firstLineChars="100" w:firstLine="240"/>
        <w:jc w:val="both"/>
      </w:pPr>
      <w:r w:rsidRPr="00DB66A3">
        <w:rPr>
          <w:rFonts w:ascii="Book Antiqua" w:eastAsia="Book Antiqua" w:hAnsi="Book Antiqua" w:cs="Book Antiqua"/>
          <w:color w:val="000000"/>
        </w:rPr>
        <w:t>A systematic review and meta</w:t>
      </w:r>
      <w:r w:rsidR="008F0C18" w:rsidRPr="00DB66A3">
        <w:rPr>
          <w:rFonts w:ascii="Book Antiqua" w:eastAsia="Book Antiqua" w:hAnsi="Book Antiqua" w:cs="Book Antiqua"/>
          <w:color w:val="000000"/>
        </w:rPr>
        <w:t>-</w:t>
      </w:r>
      <w:r w:rsidRPr="00DB66A3">
        <w:rPr>
          <w:rFonts w:ascii="Book Antiqua" w:eastAsia="Book Antiqua" w:hAnsi="Book Antiqua" w:cs="Book Antiqua"/>
          <w:color w:val="000000"/>
        </w:rPr>
        <w:t xml:space="preserve">analysis of the clinical features of patients with CPP carrying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mutations showed that </w:t>
      </w:r>
      <w:r w:rsidRPr="00DB66A3">
        <w:rPr>
          <w:rFonts w:ascii="Book Antiqua" w:eastAsia="Book Antiqua" w:hAnsi="Book Antiqua" w:cs="Book Antiqua"/>
          <w:i/>
          <w:iCs/>
          <w:color w:val="000000"/>
        </w:rPr>
        <w:t>MKRN3</w:t>
      </w:r>
      <w:r w:rsidR="008F0C18"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mutations are associated with non</w:t>
      </w:r>
      <w:r w:rsidR="008F0C18" w:rsidRPr="00DB66A3">
        <w:rPr>
          <w:rFonts w:ascii="Book Antiqua" w:eastAsia="Book Antiqua" w:hAnsi="Book Antiqua" w:cs="Book Antiqua"/>
          <w:color w:val="000000"/>
        </w:rPr>
        <w:t>-</w:t>
      </w:r>
      <w:r w:rsidRPr="00DB66A3">
        <w:rPr>
          <w:rFonts w:ascii="Book Antiqua" w:eastAsia="Book Antiqua" w:hAnsi="Book Antiqua" w:cs="Book Antiqua"/>
          <w:color w:val="000000"/>
        </w:rPr>
        <w:t>syndromic CPP. Girls are more severely affected by CPP than boys and often experience pubertal initiation at an early age, with higher basal FSH levels</w:t>
      </w:r>
      <w:r w:rsidRPr="00DB66A3">
        <w:rPr>
          <w:rFonts w:ascii="Book Antiqua" w:eastAsia="Book Antiqua" w:hAnsi="Book Antiqua" w:cs="Book Antiqua"/>
          <w:color w:val="000000"/>
          <w:vertAlign w:val="superscript"/>
        </w:rPr>
        <w:t>[1</w:t>
      </w:r>
      <w:r w:rsidR="00427013" w:rsidRPr="00DB66A3">
        <w:rPr>
          <w:rFonts w:ascii="Book Antiqua" w:eastAsia="Book Antiqua" w:hAnsi="Book Antiqua" w:cs="Book Antiqua"/>
          <w:color w:val="000000"/>
          <w:vertAlign w:val="superscript"/>
        </w:rPr>
        <w:t>2</w:t>
      </w:r>
      <w:r w:rsidRPr="00DB66A3">
        <w:rPr>
          <w:rFonts w:ascii="Book Antiqua" w:eastAsia="Book Antiqua" w:hAnsi="Book Antiqua" w:cs="Book Antiqua"/>
          <w:color w:val="000000"/>
          <w:vertAlign w:val="superscript"/>
        </w:rPr>
        <w:t>]</w:t>
      </w:r>
      <w:r w:rsidRPr="00DB66A3">
        <w:rPr>
          <w:rFonts w:ascii="Book Antiqua" w:eastAsia="Book Antiqua" w:hAnsi="Book Antiqua" w:cs="Book Antiqua"/>
          <w:color w:val="000000"/>
        </w:rPr>
        <w:t>. However, no studies have investigated associations between genotypes and clinical phenotypes of CPP.</w:t>
      </w:r>
    </w:p>
    <w:p w14:paraId="6B82AD5C" w14:textId="577DF669" w:rsidR="00A77B3E" w:rsidRPr="00DB66A3" w:rsidRDefault="00A34B5F" w:rsidP="008F0C18">
      <w:pPr>
        <w:spacing w:line="360" w:lineRule="auto"/>
        <w:ind w:firstLineChars="100" w:firstLine="240"/>
        <w:jc w:val="both"/>
      </w:pPr>
      <w:r w:rsidRPr="00DB66A3">
        <w:rPr>
          <w:rFonts w:ascii="Book Antiqua" w:eastAsia="Book Antiqua" w:hAnsi="Book Antiqua" w:cs="Book Antiqua"/>
          <w:color w:val="000000"/>
        </w:rPr>
        <w:t>Long-acting GnRH analogs are considered the gold standard treatment of CPP, and this treatment is typically administered by intramuscular injection or subcutaneous implantation</w:t>
      </w:r>
      <w:r w:rsidRPr="00DB66A3">
        <w:rPr>
          <w:rFonts w:ascii="Book Antiqua" w:eastAsia="Book Antiqua" w:hAnsi="Book Antiqua" w:cs="Book Antiqua"/>
          <w:color w:val="000000"/>
          <w:vertAlign w:val="superscript"/>
        </w:rPr>
        <w:t>[1]</w:t>
      </w:r>
      <w:r w:rsidRPr="00DB66A3">
        <w:rPr>
          <w:rFonts w:ascii="Book Antiqua" w:eastAsia="Book Antiqua" w:hAnsi="Book Antiqua" w:cs="Book Antiqua"/>
          <w:color w:val="000000"/>
        </w:rPr>
        <w:t xml:space="preserve">. Whether GnRH is effective for CPP patients with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mutation has not been completely determined. A retrospective study revealed no significant differences in mean LH or target height between CPP patients with or without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mutations after GnRH treatment</w:t>
      </w:r>
      <w:r w:rsidRPr="00DB66A3">
        <w:rPr>
          <w:rFonts w:ascii="Book Antiqua" w:eastAsia="Book Antiqua" w:hAnsi="Book Antiqua" w:cs="Book Antiqua"/>
          <w:color w:val="000000"/>
          <w:vertAlign w:val="superscript"/>
        </w:rPr>
        <w:t>[1</w:t>
      </w:r>
      <w:r w:rsidR="00427013" w:rsidRPr="00DB66A3">
        <w:rPr>
          <w:rFonts w:ascii="Book Antiqua" w:eastAsia="Book Antiqua" w:hAnsi="Book Antiqua" w:cs="Book Antiqua"/>
          <w:color w:val="000000"/>
          <w:vertAlign w:val="superscript"/>
        </w:rPr>
        <w:t>3</w:t>
      </w:r>
      <w:r w:rsidRPr="00DB66A3">
        <w:rPr>
          <w:rFonts w:ascii="Book Antiqua" w:eastAsia="Book Antiqua" w:hAnsi="Book Antiqua" w:cs="Book Antiqua"/>
          <w:color w:val="000000"/>
          <w:vertAlign w:val="superscript"/>
        </w:rPr>
        <w:t>]</w:t>
      </w:r>
      <w:r w:rsidRPr="00DB66A3">
        <w:rPr>
          <w:rFonts w:ascii="Book Antiqua" w:eastAsia="Book Antiqua" w:hAnsi="Book Antiqua" w:cs="Book Antiqua"/>
          <w:color w:val="000000"/>
        </w:rPr>
        <w:t xml:space="preserve">. In our study, after patient B was treated with three doses of GnRH analog (3.75 mg every 4 wk), LH, FSH and E2 decreased to normal levels, without any progression of puberty signs, suggesting that the GnRH analog is effective in the treatment of CPP patients with </w:t>
      </w: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mutation.</w:t>
      </w:r>
    </w:p>
    <w:p w14:paraId="0F41984A" w14:textId="77777777" w:rsidR="00A77B3E" w:rsidRPr="00DB66A3" w:rsidRDefault="00A77B3E">
      <w:pPr>
        <w:spacing w:line="360" w:lineRule="auto"/>
        <w:jc w:val="both"/>
      </w:pPr>
    </w:p>
    <w:p w14:paraId="627BF7B8" w14:textId="77777777" w:rsidR="00A77B3E" w:rsidRPr="00DB66A3" w:rsidRDefault="00A34B5F">
      <w:pPr>
        <w:spacing w:line="360" w:lineRule="auto"/>
        <w:jc w:val="both"/>
      </w:pPr>
      <w:r w:rsidRPr="00DB66A3">
        <w:rPr>
          <w:rFonts w:ascii="Book Antiqua" w:eastAsia="Book Antiqua" w:hAnsi="Book Antiqua" w:cs="Book Antiqua"/>
          <w:b/>
          <w:caps/>
          <w:color w:val="000000"/>
          <w:u w:val="single"/>
        </w:rPr>
        <w:t>CONCLUSION</w:t>
      </w:r>
    </w:p>
    <w:p w14:paraId="48DB2775" w14:textId="23741B89" w:rsidR="00A77B3E" w:rsidRPr="00DB66A3" w:rsidRDefault="00A34B5F">
      <w:pPr>
        <w:spacing w:line="360" w:lineRule="auto"/>
        <w:jc w:val="both"/>
      </w:pPr>
      <w:r w:rsidRPr="00DB66A3">
        <w:rPr>
          <w:rFonts w:ascii="Book Antiqua" w:eastAsia="Book Antiqua" w:hAnsi="Book Antiqua" w:cs="Book Antiqua"/>
          <w:i/>
          <w:iCs/>
          <w:color w:val="000000"/>
        </w:rPr>
        <w:t>MKRN3</w:t>
      </w:r>
      <w:r w:rsidRPr="00DB66A3">
        <w:rPr>
          <w:rFonts w:ascii="Book Antiqua" w:eastAsia="Book Antiqua" w:hAnsi="Book Antiqua" w:cs="Book Antiqua"/>
          <w:color w:val="000000"/>
        </w:rPr>
        <w:t xml:space="preserve"> mutation is the most frequent genetic etiology of CPP. Here, we report twin sisters who presented premature thelarche and were diagnosed with CPP with a rare mutation in </w:t>
      </w:r>
      <w:r w:rsidRPr="00DB66A3">
        <w:rPr>
          <w:rFonts w:ascii="Book Antiqua" w:eastAsia="Book Antiqua" w:hAnsi="Book Antiqua" w:cs="Book Antiqua"/>
          <w:i/>
          <w:iCs/>
          <w:color w:val="000000"/>
        </w:rPr>
        <w:t xml:space="preserve">MKRN3 </w:t>
      </w:r>
      <w:r w:rsidRPr="00DB66A3">
        <w:rPr>
          <w:rFonts w:ascii="Book Antiqua" w:eastAsia="Book Antiqua" w:hAnsi="Book Antiqua" w:cs="Book Antiqua"/>
          <w:color w:val="000000"/>
        </w:rPr>
        <w:t>(c.841C</w:t>
      </w:r>
      <w:r w:rsidR="008F0C18"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&gt;</w:t>
      </w:r>
      <w:r w:rsidR="008F0C18" w:rsidRPr="00DB66A3">
        <w:rPr>
          <w:rFonts w:ascii="Book Antiqua" w:eastAsia="Book Antiqua" w:hAnsi="Book Antiqua" w:cs="Book Antiqua"/>
          <w:color w:val="000000"/>
        </w:rPr>
        <w:t xml:space="preserve"> </w:t>
      </w:r>
      <w:r w:rsidRPr="00DB66A3">
        <w:rPr>
          <w:rFonts w:ascii="Book Antiqua" w:eastAsia="Book Antiqua" w:hAnsi="Book Antiqua" w:cs="Book Antiqua"/>
          <w:color w:val="000000"/>
        </w:rPr>
        <w:t>T).</w:t>
      </w:r>
    </w:p>
    <w:p w14:paraId="1A8596A3" w14:textId="77777777" w:rsidR="00A77B3E" w:rsidRPr="00DB66A3" w:rsidRDefault="00A77B3E">
      <w:pPr>
        <w:spacing w:line="360" w:lineRule="auto"/>
        <w:jc w:val="both"/>
      </w:pPr>
    </w:p>
    <w:p w14:paraId="11F0AA9B" w14:textId="77777777" w:rsidR="00A77B3E" w:rsidRPr="00DB66A3" w:rsidRDefault="00A34B5F">
      <w:pPr>
        <w:spacing w:line="360" w:lineRule="auto"/>
        <w:jc w:val="both"/>
      </w:pPr>
      <w:r w:rsidRPr="00DB66A3">
        <w:rPr>
          <w:rFonts w:ascii="Book Antiqua" w:eastAsia="Book Antiqua" w:hAnsi="Book Antiqua" w:cs="Book Antiqua"/>
          <w:b/>
          <w:caps/>
          <w:color w:val="000000"/>
          <w:u w:val="single"/>
        </w:rPr>
        <w:t>ACKNOWLEDGEMENTS</w:t>
      </w:r>
    </w:p>
    <w:p w14:paraId="58CDC969" w14:textId="77777777" w:rsidR="00A77B3E" w:rsidRPr="00DB66A3" w:rsidRDefault="00A34B5F">
      <w:pPr>
        <w:spacing w:line="360" w:lineRule="auto"/>
        <w:jc w:val="both"/>
      </w:pPr>
      <w:r w:rsidRPr="00DB66A3">
        <w:rPr>
          <w:rFonts w:ascii="Book Antiqua" w:eastAsia="Book Antiqua" w:hAnsi="Book Antiqua" w:cs="Book Antiqua"/>
          <w:color w:val="000000"/>
        </w:rPr>
        <w:lastRenderedPageBreak/>
        <w:t xml:space="preserve">The authors would like to thank the probands and their family for agreeing to participate in this research. </w:t>
      </w:r>
    </w:p>
    <w:p w14:paraId="69B49776" w14:textId="77777777" w:rsidR="00A77B3E" w:rsidRPr="00DB66A3" w:rsidRDefault="00A77B3E">
      <w:pPr>
        <w:spacing w:line="360" w:lineRule="auto"/>
        <w:jc w:val="both"/>
      </w:pPr>
    </w:p>
    <w:p w14:paraId="50236D4C" w14:textId="77777777" w:rsidR="00A77B3E" w:rsidRPr="00DB66A3" w:rsidRDefault="00A34B5F">
      <w:pPr>
        <w:spacing w:line="360" w:lineRule="auto"/>
        <w:jc w:val="both"/>
      </w:pPr>
      <w:r w:rsidRPr="00DB66A3">
        <w:rPr>
          <w:rFonts w:ascii="Book Antiqua" w:eastAsia="Book Antiqua" w:hAnsi="Book Antiqua" w:cs="Book Antiqua"/>
          <w:b/>
          <w:color w:val="000000"/>
        </w:rPr>
        <w:t>REFERENCES</w:t>
      </w:r>
    </w:p>
    <w:p w14:paraId="1AE2D71C" w14:textId="77777777" w:rsidR="004C205A" w:rsidRPr="00DB66A3" w:rsidRDefault="004C205A" w:rsidP="004C205A">
      <w:pPr>
        <w:spacing w:line="360" w:lineRule="auto"/>
        <w:jc w:val="both"/>
        <w:rPr>
          <w:rFonts w:ascii="Book Antiqua" w:hAnsi="Book Antiqua"/>
        </w:rPr>
      </w:pPr>
      <w:r w:rsidRPr="00DB66A3">
        <w:rPr>
          <w:rFonts w:ascii="Book Antiqua" w:hAnsi="Book Antiqua"/>
        </w:rPr>
        <w:t xml:space="preserve">1 </w:t>
      </w:r>
      <w:r w:rsidRPr="00DB66A3">
        <w:rPr>
          <w:rFonts w:ascii="Book Antiqua" w:hAnsi="Book Antiqua"/>
          <w:b/>
          <w:bCs/>
        </w:rPr>
        <w:t>Latronico AC</w:t>
      </w:r>
      <w:r w:rsidRPr="00DB66A3">
        <w:rPr>
          <w:rFonts w:ascii="Book Antiqua" w:hAnsi="Book Antiqua"/>
        </w:rPr>
        <w:t xml:space="preserve">, Brito VN, Carel JC. Causes, diagnosis, and treatment of central precocious puberty. </w:t>
      </w:r>
      <w:r w:rsidRPr="00DB66A3">
        <w:rPr>
          <w:rFonts w:ascii="Book Antiqua" w:hAnsi="Book Antiqua"/>
          <w:i/>
          <w:iCs/>
        </w:rPr>
        <w:t>Lancet Diabetes Endocrinol</w:t>
      </w:r>
      <w:r w:rsidRPr="00DB66A3">
        <w:rPr>
          <w:rFonts w:ascii="Book Antiqua" w:hAnsi="Book Antiqua"/>
        </w:rPr>
        <w:t xml:space="preserve"> 2016; </w:t>
      </w:r>
      <w:r w:rsidRPr="00DB66A3">
        <w:rPr>
          <w:rFonts w:ascii="Book Antiqua" w:hAnsi="Book Antiqua"/>
          <w:b/>
          <w:bCs/>
        </w:rPr>
        <w:t>4</w:t>
      </w:r>
      <w:r w:rsidRPr="00DB66A3">
        <w:rPr>
          <w:rFonts w:ascii="Book Antiqua" w:hAnsi="Book Antiqua"/>
        </w:rPr>
        <w:t>: 265-274 [PMID: 26852255 DOI: 10.1016/S2213-8587(15)00380-0]</w:t>
      </w:r>
    </w:p>
    <w:p w14:paraId="0B62FA6F" w14:textId="77777777" w:rsidR="004C205A" w:rsidRPr="00DB66A3" w:rsidRDefault="004C205A" w:rsidP="004C205A">
      <w:pPr>
        <w:spacing w:line="360" w:lineRule="auto"/>
        <w:jc w:val="both"/>
        <w:rPr>
          <w:rFonts w:ascii="Book Antiqua" w:hAnsi="Book Antiqua"/>
        </w:rPr>
      </w:pPr>
      <w:r w:rsidRPr="00DB66A3">
        <w:rPr>
          <w:rFonts w:ascii="Book Antiqua" w:hAnsi="Book Antiqua"/>
        </w:rPr>
        <w:t xml:space="preserve">2 </w:t>
      </w:r>
      <w:r w:rsidRPr="00DB66A3">
        <w:rPr>
          <w:rFonts w:ascii="Book Antiqua" w:hAnsi="Book Antiqua"/>
          <w:b/>
          <w:bCs/>
        </w:rPr>
        <w:t>Yoo JH</w:t>
      </w:r>
      <w:r w:rsidRPr="00DB66A3">
        <w:rPr>
          <w:rFonts w:ascii="Book Antiqua" w:hAnsi="Book Antiqua"/>
        </w:rPr>
        <w:t xml:space="preserve">. Effects of early menarche on physical and psychosocial health problems in adolescent girls and adult women. </w:t>
      </w:r>
      <w:r w:rsidRPr="00DB66A3">
        <w:rPr>
          <w:rFonts w:ascii="Book Antiqua" w:hAnsi="Book Antiqua"/>
          <w:i/>
          <w:iCs/>
        </w:rPr>
        <w:t>Korean J Pediatr</w:t>
      </w:r>
      <w:r w:rsidRPr="00DB66A3">
        <w:rPr>
          <w:rFonts w:ascii="Book Antiqua" w:hAnsi="Book Antiqua"/>
        </w:rPr>
        <w:t xml:space="preserve"> 2016; </w:t>
      </w:r>
      <w:r w:rsidRPr="00DB66A3">
        <w:rPr>
          <w:rFonts w:ascii="Book Antiqua" w:hAnsi="Book Antiqua"/>
          <w:b/>
          <w:bCs/>
        </w:rPr>
        <w:t>59</w:t>
      </w:r>
      <w:r w:rsidRPr="00DB66A3">
        <w:rPr>
          <w:rFonts w:ascii="Book Antiqua" w:hAnsi="Book Antiqua"/>
        </w:rPr>
        <w:t>: 355-361 [PMID: 27721839 DOI: 10.3345/kjp.2016.59.9.355]</w:t>
      </w:r>
    </w:p>
    <w:p w14:paraId="6F2E1CB5" w14:textId="77777777" w:rsidR="004C205A" w:rsidRPr="00DB66A3" w:rsidRDefault="004C205A" w:rsidP="004C205A">
      <w:pPr>
        <w:spacing w:line="360" w:lineRule="auto"/>
        <w:jc w:val="both"/>
        <w:rPr>
          <w:rFonts w:ascii="Book Antiqua" w:hAnsi="Book Antiqua"/>
        </w:rPr>
      </w:pPr>
      <w:r w:rsidRPr="00DB66A3">
        <w:rPr>
          <w:rFonts w:ascii="Book Antiqua" w:hAnsi="Book Antiqua"/>
        </w:rPr>
        <w:t xml:space="preserve">3 </w:t>
      </w:r>
      <w:r w:rsidRPr="00DB66A3">
        <w:rPr>
          <w:rFonts w:ascii="Book Antiqua" w:hAnsi="Book Antiqua"/>
          <w:b/>
          <w:bCs/>
        </w:rPr>
        <w:t>Liu M</w:t>
      </w:r>
      <w:r w:rsidRPr="00DB66A3">
        <w:rPr>
          <w:rFonts w:ascii="Book Antiqua" w:hAnsi="Book Antiqua"/>
        </w:rPr>
        <w:t xml:space="preserve">, Fan L, Gong CX. A novel heterozygous MKRN3 nonsense mutation in a Chinese girl with idiopathic central precocious puberty: A case report. </w:t>
      </w:r>
      <w:r w:rsidRPr="00DB66A3">
        <w:rPr>
          <w:rFonts w:ascii="Book Antiqua" w:hAnsi="Book Antiqua"/>
          <w:i/>
          <w:iCs/>
        </w:rPr>
        <w:t>Medicine (Baltimore)</w:t>
      </w:r>
      <w:r w:rsidRPr="00DB66A3">
        <w:rPr>
          <w:rFonts w:ascii="Book Antiqua" w:hAnsi="Book Antiqua"/>
        </w:rPr>
        <w:t xml:space="preserve"> 2020; </w:t>
      </w:r>
      <w:r w:rsidRPr="00DB66A3">
        <w:rPr>
          <w:rFonts w:ascii="Book Antiqua" w:hAnsi="Book Antiqua"/>
          <w:b/>
          <w:bCs/>
        </w:rPr>
        <w:t>99</w:t>
      </w:r>
      <w:r w:rsidRPr="00DB66A3">
        <w:rPr>
          <w:rFonts w:ascii="Book Antiqua" w:hAnsi="Book Antiqua"/>
        </w:rPr>
        <w:t>: e22295 [PMID: 32957387 DOI: 10.1097/MD.0000000000022295]</w:t>
      </w:r>
    </w:p>
    <w:p w14:paraId="57104849" w14:textId="77777777" w:rsidR="004C205A" w:rsidRPr="00DB66A3" w:rsidRDefault="004C205A" w:rsidP="004C205A">
      <w:pPr>
        <w:spacing w:line="360" w:lineRule="auto"/>
        <w:jc w:val="both"/>
        <w:rPr>
          <w:rFonts w:ascii="Book Antiqua" w:hAnsi="Book Antiqua"/>
        </w:rPr>
      </w:pPr>
      <w:r w:rsidRPr="00DB66A3">
        <w:rPr>
          <w:rFonts w:ascii="Book Antiqua" w:hAnsi="Book Antiqua"/>
        </w:rPr>
        <w:t xml:space="preserve">4 </w:t>
      </w:r>
      <w:r w:rsidRPr="00DB66A3">
        <w:rPr>
          <w:rFonts w:ascii="Book Antiqua" w:hAnsi="Book Antiqua"/>
          <w:b/>
          <w:bCs/>
        </w:rPr>
        <w:t>Roberts SA</w:t>
      </w:r>
      <w:r w:rsidRPr="00DB66A3">
        <w:rPr>
          <w:rFonts w:ascii="Book Antiqua" w:hAnsi="Book Antiqua"/>
        </w:rPr>
        <w:t xml:space="preserve">, Kaiser UB. GENETICS IN ENDOCRINOLOGY: Genetic etiologies of central precocious puberty and the role of imprinted genes. </w:t>
      </w:r>
      <w:r w:rsidRPr="00DB66A3">
        <w:rPr>
          <w:rFonts w:ascii="Book Antiqua" w:hAnsi="Book Antiqua"/>
          <w:i/>
          <w:iCs/>
        </w:rPr>
        <w:t>Eur J Endocrinol</w:t>
      </w:r>
      <w:r w:rsidRPr="00DB66A3">
        <w:rPr>
          <w:rFonts w:ascii="Book Antiqua" w:hAnsi="Book Antiqua"/>
        </w:rPr>
        <w:t xml:space="preserve"> 2020; </w:t>
      </w:r>
      <w:r w:rsidRPr="00DB66A3">
        <w:rPr>
          <w:rFonts w:ascii="Book Antiqua" w:hAnsi="Book Antiqua"/>
          <w:b/>
          <w:bCs/>
        </w:rPr>
        <w:t>183</w:t>
      </w:r>
      <w:r w:rsidRPr="00DB66A3">
        <w:rPr>
          <w:rFonts w:ascii="Book Antiqua" w:hAnsi="Book Antiqua"/>
        </w:rPr>
        <w:t>: R107-R117 [PMID: 32698138 DOI: 10.1530/EJE-20-0103]</w:t>
      </w:r>
    </w:p>
    <w:p w14:paraId="26B1EE2A" w14:textId="77777777" w:rsidR="004C205A" w:rsidRPr="00DB66A3" w:rsidRDefault="004C205A" w:rsidP="004C205A">
      <w:pPr>
        <w:spacing w:line="360" w:lineRule="auto"/>
        <w:jc w:val="both"/>
        <w:rPr>
          <w:rFonts w:ascii="Book Antiqua" w:hAnsi="Book Antiqua"/>
        </w:rPr>
      </w:pPr>
      <w:r w:rsidRPr="00DB66A3">
        <w:rPr>
          <w:rFonts w:ascii="Book Antiqua" w:hAnsi="Book Antiqua"/>
        </w:rPr>
        <w:t xml:space="preserve">5 </w:t>
      </w:r>
      <w:r w:rsidRPr="00DB66A3">
        <w:rPr>
          <w:rFonts w:ascii="Book Antiqua" w:hAnsi="Book Antiqua"/>
          <w:b/>
          <w:bCs/>
        </w:rPr>
        <w:t>Maione L</w:t>
      </w:r>
      <w:r w:rsidRPr="00DB66A3">
        <w:rPr>
          <w:rFonts w:ascii="Book Antiqua" w:hAnsi="Book Antiqua"/>
        </w:rPr>
        <w:t xml:space="preserve">, Naulé L, Kaiser UB. Makorin RING finger protein 3 and central precocious puberty. </w:t>
      </w:r>
      <w:r w:rsidRPr="00DB66A3">
        <w:rPr>
          <w:rFonts w:ascii="Book Antiqua" w:hAnsi="Book Antiqua"/>
          <w:i/>
          <w:iCs/>
        </w:rPr>
        <w:t>Curr Opin Endocr Metab Res</w:t>
      </w:r>
      <w:r w:rsidRPr="00DB66A3">
        <w:rPr>
          <w:rFonts w:ascii="Book Antiqua" w:hAnsi="Book Antiqua"/>
        </w:rPr>
        <w:t xml:space="preserve"> 2020; </w:t>
      </w:r>
      <w:r w:rsidRPr="00DB66A3">
        <w:rPr>
          <w:rFonts w:ascii="Book Antiqua" w:hAnsi="Book Antiqua"/>
          <w:b/>
          <w:bCs/>
        </w:rPr>
        <w:t>14</w:t>
      </w:r>
      <w:r w:rsidRPr="00DB66A3">
        <w:rPr>
          <w:rFonts w:ascii="Book Antiqua" w:hAnsi="Book Antiqua"/>
        </w:rPr>
        <w:t>: 152-159 [PMID: 32984644 DOI: 10.1016/j.coemr.2020.08.003]</w:t>
      </w:r>
    </w:p>
    <w:p w14:paraId="130A8C57" w14:textId="77777777" w:rsidR="004C205A" w:rsidRPr="00DB66A3" w:rsidRDefault="004C205A" w:rsidP="004C205A">
      <w:pPr>
        <w:spacing w:line="360" w:lineRule="auto"/>
        <w:jc w:val="both"/>
        <w:rPr>
          <w:rFonts w:ascii="Book Antiqua" w:hAnsi="Book Antiqua"/>
        </w:rPr>
      </w:pPr>
      <w:r w:rsidRPr="00DB66A3">
        <w:rPr>
          <w:rFonts w:ascii="Book Antiqua" w:hAnsi="Book Antiqua"/>
        </w:rPr>
        <w:t xml:space="preserve">6 </w:t>
      </w:r>
      <w:r w:rsidRPr="00DB66A3">
        <w:rPr>
          <w:rFonts w:ascii="Book Antiqua" w:hAnsi="Book Antiqua"/>
          <w:b/>
          <w:bCs/>
        </w:rPr>
        <w:t>Abreu AP</w:t>
      </w:r>
      <w:r w:rsidRPr="00DB66A3">
        <w:rPr>
          <w:rFonts w:ascii="Book Antiqua" w:hAnsi="Book Antiqua"/>
        </w:rPr>
        <w:t xml:space="preserve">, Dauber A, Macedo DB, Noel SD, Brito VN, Gill JC, Cukier P, Thompson IR, Navarro VM, Gagliardi PC, Rodrigues T, Kochi C, Longui CA, Beckers D, de Zegher F, Montenegro LR, Mendonca BB, Carroll RS, Hirschhorn JN, Latronico AC, Kaiser UB. Central precocious puberty caused by mutations in the imprinted gene MKRN3. </w:t>
      </w:r>
      <w:r w:rsidRPr="00DB66A3">
        <w:rPr>
          <w:rFonts w:ascii="Book Antiqua" w:hAnsi="Book Antiqua"/>
          <w:i/>
          <w:iCs/>
        </w:rPr>
        <w:t>N Engl J Med</w:t>
      </w:r>
      <w:r w:rsidRPr="00DB66A3">
        <w:rPr>
          <w:rFonts w:ascii="Book Antiqua" w:hAnsi="Book Antiqua"/>
        </w:rPr>
        <w:t xml:space="preserve"> 2013; </w:t>
      </w:r>
      <w:r w:rsidRPr="00DB66A3">
        <w:rPr>
          <w:rFonts w:ascii="Book Antiqua" w:hAnsi="Book Antiqua"/>
          <w:b/>
          <w:bCs/>
        </w:rPr>
        <w:t>368</w:t>
      </w:r>
      <w:r w:rsidRPr="00DB66A3">
        <w:rPr>
          <w:rFonts w:ascii="Book Antiqua" w:hAnsi="Book Antiqua"/>
        </w:rPr>
        <w:t>: 2467-2475 [PMID: 23738509 DOI: 10.1056/NEJMoa1302160]</w:t>
      </w:r>
    </w:p>
    <w:p w14:paraId="16B6993C" w14:textId="77777777" w:rsidR="004C205A" w:rsidRPr="00DB66A3" w:rsidRDefault="004C205A" w:rsidP="004C205A">
      <w:pPr>
        <w:spacing w:line="360" w:lineRule="auto"/>
        <w:jc w:val="both"/>
        <w:rPr>
          <w:rFonts w:ascii="Book Antiqua" w:hAnsi="Book Antiqua"/>
        </w:rPr>
      </w:pPr>
      <w:r w:rsidRPr="00DB66A3">
        <w:rPr>
          <w:rFonts w:ascii="Book Antiqua" w:hAnsi="Book Antiqua"/>
        </w:rPr>
        <w:t xml:space="preserve">7 </w:t>
      </w:r>
      <w:r w:rsidRPr="00DB66A3">
        <w:rPr>
          <w:rFonts w:ascii="Book Antiqua" w:hAnsi="Book Antiqua"/>
          <w:b/>
          <w:bCs/>
        </w:rPr>
        <w:t>Moore AM</w:t>
      </w:r>
      <w:r w:rsidRPr="00DB66A3">
        <w:rPr>
          <w:rFonts w:ascii="Book Antiqua" w:hAnsi="Book Antiqua"/>
        </w:rPr>
        <w:t xml:space="preserve">, Coolen LM, Porter DT, Goodman RL, Lehman MN. KNDy Cells Revisited. </w:t>
      </w:r>
      <w:r w:rsidRPr="00DB66A3">
        <w:rPr>
          <w:rFonts w:ascii="Book Antiqua" w:hAnsi="Book Antiqua"/>
          <w:i/>
          <w:iCs/>
        </w:rPr>
        <w:t>Endocrinology</w:t>
      </w:r>
      <w:r w:rsidRPr="00DB66A3">
        <w:rPr>
          <w:rFonts w:ascii="Book Antiqua" w:hAnsi="Book Antiqua"/>
        </w:rPr>
        <w:t xml:space="preserve"> 2018; </w:t>
      </w:r>
      <w:r w:rsidRPr="00DB66A3">
        <w:rPr>
          <w:rFonts w:ascii="Book Antiqua" w:hAnsi="Book Antiqua"/>
          <w:b/>
          <w:bCs/>
        </w:rPr>
        <w:t>159</w:t>
      </w:r>
      <w:r w:rsidRPr="00DB66A3">
        <w:rPr>
          <w:rFonts w:ascii="Book Antiqua" w:hAnsi="Book Antiqua"/>
        </w:rPr>
        <w:t>: 3219-3234 [PMID: 30010844 DOI: 10.1210/en.2018-00389]</w:t>
      </w:r>
    </w:p>
    <w:p w14:paraId="76214C0A" w14:textId="77777777" w:rsidR="004C205A" w:rsidRPr="00DB66A3" w:rsidRDefault="004C205A" w:rsidP="004C205A">
      <w:pPr>
        <w:spacing w:line="360" w:lineRule="auto"/>
        <w:jc w:val="both"/>
        <w:rPr>
          <w:rFonts w:ascii="Book Antiqua" w:hAnsi="Book Antiqua"/>
        </w:rPr>
      </w:pPr>
      <w:r w:rsidRPr="00DB66A3">
        <w:rPr>
          <w:rFonts w:ascii="Book Antiqua" w:hAnsi="Book Antiqua"/>
        </w:rPr>
        <w:t xml:space="preserve">8 </w:t>
      </w:r>
      <w:r w:rsidRPr="00DB66A3">
        <w:rPr>
          <w:rFonts w:ascii="Book Antiqua" w:hAnsi="Book Antiqua"/>
          <w:b/>
          <w:bCs/>
        </w:rPr>
        <w:t>Abreu AP</w:t>
      </w:r>
      <w:r w:rsidRPr="00DB66A3">
        <w:rPr>
          <w:rFonts w:ascii="Book Antiqua" w:hAnsi="Book Antiqua"/>
        </w:rPr>
        <w:t xml:space="preserve">, Toro CA, Song YB, Navarro VM, Bosch MA, Eren A, Liang JN, Carroll RS, Latronico AC, Rønnekleiv OK, Aylwin CF, Lomniczi A, Ojeda S, Kaiser UB. MKRN3 </w:t>
      </w:r>
      <w:r w:rsidRPr="00DB66A3">
        <w:rPr>
          <w:rFonts w:ascii="Book Antiqua" w:hAnsi="Book Antiqua"/>
        </w:rPr>
        <w:lastRenderedPageBreak/>
        <w:t xml:space="preserve">inhibits the reproductive axis through actions in kisspeptin-expressing neurons. </w:t>
      </w:r>
      <w:r w:rsidRPr="00DB66A3">
        <w:rPr>
          <w:rFonts w:ascii="Book Antiqua" w:hAnsi="Book Antiqua"/>
          <w:i/>
          <w:iCs/>
        </w:rPr>
        <w:t>J Clin Invest</w:t>
      </w:r>
      <w:r w:rsidRPr="00DB66A3">
        <w:rPr>
          <w:rFonts w:ascii="Book Antiqua" w:hAnsi="Book Antiqua"/>
        </w:rPr>
        <w:t xml:space="preserve"> 2020; </w:t>
      </w:r>
      <w:r w:rsidRPr="00DB66A3">
        <w:rPr>
          <w:rFonts w:ascii="Book Antiqua" w:hAnsi="Book Antiqua"/>
          <w:b/>
          <w:bCs/>
        </w:rPr>
        <w:t>130</w:t>
      </w:r>
      <w:r w:rsidRPr="00DB66A3">
        <w:rPr>
          <w:rFonts w:ascii="Book Antiqua" w:hAnsi="Book Antiqua"/>
        </w:rPr>
        <w:t>: 4486-4500 [PMID: 32407292 DOI: 10.1172/JCI136564]</w:t>
      </w:r>
    </w:p>
    <w:p w14:paraId="766F1324" w14:textId="77777777" w:rsidR="004C205A" w:rsidRPr="00DB66A3" w:rsidRDefault="004C205A" w:rsidP="004C205A">
      <w:pPr>
        <w:spacing w:line="360" w:lineRule="auto"/>
        <w:jc w:val="both"/>
        <w:rPr>
          <w:rFonts w:ascii="Book Antiqua" w:hAnsi="Book Antiqua"/>
        </w:rPr>
      </w:pPr>
      <w:r w:rsidRPr="00DB66A3">
        <w:rPr>
          <w:rFonts w:ascii="Book Antiqua" w:hAnsi="Book Antiqua"/>
        </w:rPr>
        <w:t xml:space="preserve">9 </w:t>
      </w:r>
      <w:r w:rsidRPr="00DB66A3">
        <w:rPr>
          <w:rFonts w:ascii="Book Antiqua" w:hAnsi="Book Antiqua"/>
          <w:b/>
          <w:bCs/>
        </w:rPr>
        <w:t>Liu H</w:t>
      </w:r>
      <w:r w:rsidRPr="00DB66A3">
        <w:rPr>
          <w:rFonts w:ascii="Book Antiqua" w:hAnsi="Book Antiqua"/>
        </w:rPr>
        <w:t xml:space="preserve">, Kong X, Chen F. Mkrn3 functions as a novel ubiquitin E3 ligase to inhibit Nptx1 during puberty initiation. </w:t>
      </w:r>
      <w:r w:rsidRPr="00DB66A3">
        <w:rPr>
          <w:rFonts w:ascii="Book Antiqua" w:hAnsi="Book Antiqua"/>
          <w:i/>
          <w:iCs/>
        </w:rPr>
        <w:t>Oncotarget</w:t>
      </w:r>
      <w:r w:rsidRPr="00DB66A3">
        <w:rPr>
          <w:rFonts w:ascii="Book Antiqua" w:hAnsi="Book Antiqua"/>
        </w:rPr>
        <w:t xml:space="preserve"> 2017; </w:t>
      </w:r>
      <w:r w:rsidRPr="00DB66A3">
        <w:rPr>
          <w:rFonts w:ascii="Book Antiqua" w:hAnsi="Book Antiqua"/>
          <w:b/>
          <w:bCs/>
        </w:rPr>
        <w:t>8</w:t>
      </w:r>
      <w:r w:rsidRPr="00DB66A3">
        <w:rPr>
          <w:rFonts w:ascii="Book Antiqua" w:hAnsi="Book Antiqua"/>
        </w:rPr>
        <w:t>: 85102-85109 [PMID: 29156706 DOI: 10.18632/oncotarget.19347]</w:t>
      </w:r>
    </w:p>
    <w:p w14:paraId="1E3E417E" w14:textId="77777777" w:rsidR="004C205A" w:rsidRPr="00DB66A3" w:rsidRDefault="004C205A" w:rsidP="004C205A">
      <w:pPr>
        <w:spacing w:line="360" w:lineRule="auto"/>
        <w:jc w:val="both"/>
        <w:rPr>
          <w:rFonts w:ascii="Book Antiqua" w:hAnsi="Book Antiqua"/>
        </w:rPr>
      </w:pPr>
      <w:r w:rsidRPr="00DB66A3">
        <w:rPr>
          <w:rFonts w:ascii="Book Antiqua" w:hAnsi="Book Antiqua"/>
        </w:rPr>
        <w:t xml:space="preserve">10 </w:t>
      </w:r>
      <w:r w:rsidRPr="00DB66A3">
        <w:rPr>
          <w:rFonts w:ascii="Book Antiqua" w:hAnsi="Book Antiqua"/>
          <w:b/>
          <w:bCs/>
        </w:rPr>
        <w:t>Heras V</w:t>
      </w:r>
      <w:r w:rsidRPr="00DB66A3">
        <w:rPr>
          <w:rFonts w:ascii="Book Antiqua" w:hAnsi="Book Antiqua"/>
        </w:rPr>
        <w:t xml:space="preserve">, Sangiao-Alvarellos S, Manfredi-Lozano M, Sanchez-Tapia MJ, Ruiz-Pino F, Roa J, Lara-Chica M, Morrugares-Carmona R, Jouy N, Abreu AP, Prevot V, Belsham D, Vazquez MJ, Calzado MA, Pinilla L, Gaytan F, Latronico AC, Kaiser UB, Castellano JM, Tena-Sempere M. Hypothalamic miR-30 regulates puberty onset via repression of the puberty-suppressing factor, Mkrn3. </w:t>
      </w:r>
      <w:r w:rsidRPr="00DB66A3">
        <w:rPr>
          <w:rFonts w:ascii="Book Antiqua" w:hAnsi="Book Antiqua"/>
          <w:i/>
          <w:iCs/>
        </w:rPr>
        <w:t>PLoS Biol</w:t>
      </w:r>
      <w:r w:rsidRPr="00DB66A3">
        <w:rPr>
          <w:rFonts w:ascii="Book Antiqua" w:hAnsi="Book Antiqua"/>
        </w:rPr>
        <w:t xml:space="preserve"> 2019; </w:t>
      </w:r>
      <w:r w:rsidRPr="00DB66A3">
        <w:rPr>
          <w:rFonts w:ascii="Book Antiqua" w:hAnsi="Book Antiqua"/>
          <w:b/>
          <w:bCs/>
        </w:rPr>
        <w:t>17</w:t>
      </w:r>
      <w:r w:rsidRPr="00DB66A3">
        <w:rPr>
          <w:rFonts w:ascii="Book Antiqua" w:hAnsi="Book Antiqua"/>
        </w:rPr>
        <w:t>: e3000532 [PMID: 31697675 DOI: 10.1371/journal.pbio.3000532]</w:t>
      </w:r>
    </w:p>
    <w:p w14:paraId="55634A86" w14:textId="77777777" w:rsidR="004C205A" w:rsidRPr="00DB66A3" w:rsidRDefault="004C205A" w:rsidP="004C205A">
      <w:pPr>
        <w:spacing w:line="360" w:lineRule="auto"/>
        <w:jc w:val="both"/>
        <w:rPr>
          <w:rFonts w:ascii="Book Antiqua" w:hAnsi="Book Antiqua"/>
        </w:rPr>
      </w:pPr>
      <w:r w:rsidRPr="00DB66A3">
        <w:rPr>
          <w:rFonts w:ascii="Book Antiqua" w:hAnsi="Book Antiqua"/>
        </w:rPr>
        <w:t xml:space="preserve">11 </w:t>
      </w:r>
      <w:r w:rsidRPr="00DB66A3">
        <w:rPr>
          <w:rFonts w:ascii="Book Antiqua" w:hAnsi="Book Antiqua"/>
          <w:b/>
          <w:bCs/>
        </w:rPr>
        <w:t>Lee HS</w:t>
      </w:r>
      <w:r w:rsidRPr="00DB66A3">
        <w:rPr>
          <w:rFonts w:ascii="Book Antiqua" w:hAnsi="Book Antiqua"/>
        </w:rPr>
        <w:t xml:space="preserve">, Jin HS, Shim YS, Jeong HR, Kwon E, Choi V, Kim MC, Chung IS, Jeong SY, Hwang JS. Low Frequency of MKRN3 Mutations in Central Precocious Puberty Among Korean Girls. </w:t>
      </w:r>
      <w:r w:rsidRPr="00DB66A3">
        <w:rPr>
          <w:rFonts w:ascii="Book Antiqua" w:hAnsi="Book Antiqua"/>
          <w:i/>
          <w:iCs/>
        </w:rPr>
        <w:t>Horm Metab Res</w:t>
      </w:r>
      <w:r w:rsidRPr="00DB66A3">
        <w:rPr>
          <w:rFonts w:ascii="Book Antiqua" w:hAnsi="Book Antiqua"/>
        </w:rPr>
        <w:t xml:space="preserve"> 2016; </w:t>
      </w:r>
      <w:r w:rsidRPr="00DB66A3">
        <w:rPr>
          <w:rFonts w:ascii="Book Antiqua" w:hAnsi="Book Antiqua"/>
          <w:b/>
          <w:bCs/>
        </w:rPr>
        <w:t>48</w:t>
      </w:r>
      <w:r w:rsidRPr="00DB66A3">
        <w:rPr>
          <w:rFonts w:ascii="Book Antiqua" w:hAnsi="Book Antiqua"/>
        </w:rPr>
        <w:t>: 118-122 [PMID: 25938887 DOI: 10.1055/s-0035-1548938]</w:t>
      </w:r>
    </w:p>
    <w:p w14:paraId="5D2EE905" w14:textId="77777777" w:rsidR="004C205A" w:rsidRPr="00DB66A3" w:rsidRDefault="004C205A" w:rsidP="004C205A">
      <w:pPr>
        <w:spacing w:line="360" w:lineRule="auto"/>
        <w:jc w:val="both"/>
        <w:rPr>
          <w:rFonts w:ascii="Book Antiqua" w:hAnsi="Book Antiqua"/>
        </w:rPr>
      </w:pPr>
      <w:r w:rsidRPr="00DB66A3">
        <w:rPr>
          <w:rFonts w:ascii="Book Antiqua" w:hAnsi="Book Antiqua"/>
        </w:rPr>
        <w:t xml:space="preserve">12 </w:t>
      </w:r>
      <w:r w:rsidRPr="00DB66A3">
        <w:rPr>
          <w:rFonts w:ascii="Book Antiqua" w:hAnsi="Book Antiqua"/>
          <w:b/>
          <w:bCs/>
        </w:rPr>
        <w:t>Valadares LP</w:t>
      </w:r>
      <w:r w:rsidRPr="00DB66A3">
        <w:rPr>
          <w:rFonts w:ascii="Book Antiqua" w:hAnsi="Book Antiqua"/>
        </w:rPr>
        <w:t xml:space="preserve">, Meireles CG, De Toledo IP, Santarem de Oliveira R, Gonçalves de Castro LC, Abreu AP, Carroll RS, Latronico AC, Kaiser UB, Guerra ENS, Lofrano-Porto A. </w:t>
      </w:r>
      <w:r w:rsidRPr="00DB66A3">
        <w:rPr>
          <w:rFonts w:ascii="Book Antiqua" w:hAnsi="Book Antiqua"/>
          <w:i/>
          <w:iCs/>
        </w:rPr>
        <w:t>MKRN3</w:t>
      </w:r>
      <w:r w:rsidRPr="00DB66A3">
        <w:rPr>
          <w:rFonts w:ascii="Book Antiqua" w:hAnsi="Book Antiqua"/>
        </w:rPr>
        <w:t xml:space="preserve"> Mutations in Central Precocious Puberty: A Systematic Review and Meta-Analysis. </w:t>
      </w:r>
      <w:r w:rsidRPr="00DB66A3">
        <w:rPr>
          <w:rFonts w:ascii="Book Antiqua" w:hAnsi="Book Antiqua"/>
          <w:i/>
          <w:iCs/>
        </w:rPr>
        <w:t>J Endocr Soc</w:t>
      </w:r>
      <w:r w:rsidRPr="00DB66A3">
        <w:rPr>
          <w:rFonts w:ascii="Book Antiqua" w:hAnsi="Book Antiqua"/>
        </w:rPr>
        <w:t xml:space="preserve"> 2019; </w:t>
      </w:r>
      <w:r w:rsidRPr="00DB66A3">
        <w:rPr>
          <w:rFonts w:ascii="Book Antiqua" w:hAnsi="Book Antiqua"/>
          <w:b/>
          <w:bCs/>
        </w:rPr>
        <w:t>3</w:t>
      </w:r>
      <w:r w:rsidRPr="00DB66A3">
        <w:rPr>
          <w:rFonts w:ascii="Book Antiqua" w:hAnsi="Book Antiqua"/>
        </w:rPr>
        <w:t>: 979-995 [PMID: 31041429 DOI: 10.1210/js.2019-00041]</w:t>
      </w:r>
    </w:p>
    <w:p w14:paraId="6BAE45B2" w14:textId="77777777" w:rsidR="004C205A" w:rsidRPr="00DB66A3" w:rsidRDefault="004C205A" w:rsidP="004C205A">
      <w:pPr>
        <w:spacing w:line="360" w:lineRule="auto"/>
        <w:jc w:val="both"/>
        <w:rPr>
          <w:rFonts w:ascii="Book Antiqua" w:hAnsi="Book Antiqua"/>
        </w:rPr>
      </w:pPr>
      <w:r w:rsidRPr="00DB66A3">
        <w:rPr>
          <w:rFonts w:ascii="Book Antiqua" w:hAnsi="Book Antiqua"/>
        </w:rPr>
        <w:t xml:space="preserve">13 </w:t>
      </w:r>
      <w:r w:rsidRPr="00DB66A3">
        <w:rPr>
          <w:rFonts w:ascii="Book Antiqua" w:hAnsi="Book Antiqua"/>
          <w:b/>
          <w:bCs/>
        </w:rPr>
        <w:t>Ramos CO</w:t>
      </w:r>
      <w:r w:rsidRPr="00DB66A3">
        <w:rPr>
          <w:rFonts w:ascii="Book Antiqua" w:hAnsi="Book Antiqua"/>
        </w:rPr>
        <w:t xml:space="preserve">, Macedo DB, Canton APM, Cunha-Silva M, Antonini SRR, Stecchini MF, Seraphim CE, Rodrigues T, Mendonca BB, Latronico AC, Brito VN. Outcomes of Patients with Central Precocious Puberty Due to Loss-of-Function Mutations in the MKRN3 Gene after Treatment with Gonadotropin-Releasing Hormone Analog. </w:t>
      </w:r>
      <w:r w:rsidRPr="00DB66A3">
        <w:rPr>
          <w:rFonts w:ascii="Book Antiqua" w:hAnsi="Book Antiqua"/>
          <w:i/>
          <w:iCs/>
        </w:rPr>
        <w:t>Neuroendocrinology</w:t>
      </w:r>
      <w:r w:rsidRPr="00DB66A3">
        <w:rPr>
          <w:rFonts w:ascii="Book Antiqua" w:hAnsi="Book Antiqua"/>
        </w:rPr>
        <w:t xml:space="preserve"> 2020; </w:t>
      </w:r>
      <w:r w:rsidRPr="00DB66A3">
        <w:rPr>
          <w:rFonts w:ascii="Book Antiqua" w:hAnsi="Book Antiqua"/>
          <w:b/>
          <w:bCs/>
        </w:rPr>
        <w:t>110</w:t>
      </w:r>
      <w:r w:rsidRPr="00DB66A3">
        <w:rPr>
          <w:rFonts w:ascii="Book Antiqua" w:hAnsi="Book Antiqua"/>
        </w:rPr>
        <w:t>: 705-713 [PMID: 31671431 DOI: 10.1159/000504446]</w:t>
      </w:r>
    </w:p>
    <w:p w14:paraId="07EFE53C" w14:textId="77777777" w:rsidR="00A77B3E" w:rsidRPr="00DB66A3" w:rsidRDefault="00A77B3E">
      <w:pPr>
        <w:spacing w:line="360" w:lineRule="auto"/>
        <w:jc w:val="both"/>
        <w:sectPr w:rsidR="00A77B3E" w:rsidRPr="00DB66A3">
          <w:footerReference w:type="default" r:id="rId6"/>
          <w:pgSz w:w="12240" w:h="15840"/>
          <w:pgMar w:top="1440" w:right="1440" w:bottom="1440" w:left="1440" w:header="720" w:footer="720" w:gutter="0"/>
          <w:cols w:space="720"/>
          <w:docGrid w:linePitch="360"/>
        </w:sectPr>
      </w:pPr>
    </w:p>
    <w:p w14:paraId="1939D22A" w14:textId="77777777" w:rsidR="00A77B3E" w:rsidRPr="00DB66A3" w:rsidRDefault="00A34B5F">
      <w:pPr>
        <w:spacing w:line="360" w:lineRule="auto"/>
        <w:jc w:val="both"/>
      </w:pPr>
      <w:r w:rsidRPr="00DB66A3">
        <w:rPr>
          <w:rFonts w:ascii="Book Antiqua" w:eastAsia="Book Antiqua" w:hAnsi="Book Antiqua" w:cs="Book Antiqua"/>
          <w:b/>
          <w:color w:val="000000"/>
        </w:rPr>
        <w:lastRenderedPageBreak/>
        <w:t>Footnotes</w:t>
      </w:r>
    </w:p>
    <w:p w14:paraId="5A4064E8" w14:textId="77777777" w:rsidR="00A77B3E" w:rsidRPr="00DB66A3" w:rsidRDefault="00A34B5F">
      <w:pPr>
        <w:spacing w:line="360" w:lineRule="auto"/>
        <w:jc w:val="both"/>
      </w:pPr>
      <w:r w:rsidRPr="00DB66A3">
        <w:rPr>
          <w:rFonts w:ascii="Book Antiqua" w:eastAsia="Book Antiqua" w:hAnsi="Book Antiqua" w:cs="Book Antiqua"/>
          <w:b/>
          <w:bCs/>
          <w:color w:val="000000"/>
        </w:rPr>
        <w:t xml:space="preserve">Informed consent statement: </w:t>
      </w:r>
      <w:r w:rsidRPr="00DB66A3">
        <w:rPr>
          <w:rFonts w:ascii="Book Antiqua" w:eastAsia="Book Antiqua" w:hAnsi="Book Antiqua" w:cs="Book Antiqua"/>
          <w:color w:val="000000"/>
        </w:rPr>
        <w:t>Informed written consent was obtained from the patient for publication of this report and any accompanying images.</w:t>
      </w:r>
    </w:p>
    <w:p w14:paraId="736BF557" w14:textId="77777777" w:rsidR="00A77B3E" w:rsidRPr="00DB66A3" w:rsidRDefault="00A77B3E">
      <w:pPr>
        <w:spacing w:line="360" w:lineRule="auto"/>
        <w:jc w:val="both"/>
      </w:pPr>
    </w:p>
    <w:p w14:paraId="0FAFFB60" w14:textId="77777777" w:rsidR="00A77B3E" w:rsidRPr="00DB66A3" w:rsidRDefault="00A34B5F">
      <w:pPr>
        <w:spacing w:line="360" w:lineRule="auto"/>
        <w:jc w:val="both"/>
      </w:pPr>
      <w:r w:rsidRPr="00DB66A3">
        <w:rPr>
          <w:rFonts w:ascii="Book Antiqua" w:eastAsia="Book Antiqua" w:hAnsi="Book Antiqua" w:cs="Book Antiqua"/>
          <w:b/>
          <w:bCs/>
          <w:color w:val="000000"/>
        </w:rPr>
        <w:t xml:space="preserve">Conflict-of-interest statement: </w:t>
      </w:r>
      <w:r w:rsidRPr="00DB66A3">
        <w:rPr>
          <w:rFonts w:ascii="Book Antiqua" w:eastAsia="Book Antiqua" w:hAnsi="Book Antiqua" w:cs="Book Antiqua"/>
          <w:color w:val="000000"/>
        </w:rPr>
        <w:t>The authors declare that they have no conflicts of interest related to this manuscript.</w:t>
      </w:r>
    </w:p>
    <w:p w14:paraId="6D4B5396" w14:textId="77777777" w:rsidR="00A77B3E" w:rsidRPr="00DB66A3" w:rsidRDefault="00A77B3E">
      <w:pPr>
        <w:spacing w:line="360" w:lineRule="auto"/>
        <w:jc w:val="both"/>
      </w:pPr>
    </w:p>
    <w:p w14:paraId="7DD286CB" w14:textId="77777777" w:rsidR="00A77B3E" w:rsidRPr="00DB66A3" w:rsidRDefault="00A34B5F">
      <w:pPr>
        <w:spacing w:line="360" w:lineRule="auto"/>
        <w:jc w:val="both"/>
      </w:pPr>
      <w:r w:rsidRPr="00DB66A3">
        <w:rPr>
          <w:rFonts w:ascii="Book Antiqua" w:eastAsia="Book Antiqua" w:hAnsi="Book Antiqua" w:cs="Book Antiqua"/>
          <w:b/>
          <w:bCs/>
          <w:color w:val="000000"/>
          <w:szCs w:val="21"/>
        </w:rPr>
        <w:t xml:space="preserve">CARE Checklist (2016) statement: </w:t>
      </w:r>
      <w:r w:rsidRPr="00DB66A3">
        <w:rPr>
          <w:rFonts w:ascii="Book Antiqua" w:eastAsia="Book Antiqua" w:hAnsi="Book Antiqua" w:cs="Book Antiqua"/>
          <w:color w:val="000000"/>
        </w:rPr>
        <w:t>The authors have read the CARE Checklist (2016), and the manuscript was prepared and revised according to the CARE Checklist (2016).</w:t>
      </w:r>
    </w:p>
    <w:p w14:paraId="108A09C4" w14:textId="77777777" w:rsidR="00A77B3E" w:rsidRPr="00DB66A3" w:rsidRDefault="00A77B3E">
      <w:pPr>
        <w:spacing w:line="360" w:lineRule="auto"/>
        <w:jc w:val="both"/>
      </w:pPr>
    </w:p>
    <w:p w14:paraId="1AA56CF6" w14:textId="77777777" w:rsidR="00A77B3E" w:rsidRPr="00DB66A3" w:rsidRDefault="00A34B5F">
      <w:pPr>
        <w:spacing w:line="360" w:lineRule="auto"/>
        <w:jc w:val="both"/>
      </w:pPr>
      <w:r w:rsidRPr="00DB66A3">
        <w:rPr>
          <w:rFonts w:ascii="Book Antiqua" w:eastAsia="Book Antiqua" w:hAnsi="Book Antiqua" w:cs="Book Antiqua"/>
          <w:b/>
          <w:bCs/>
          <w:color w:val="000000"/>
        </w:rPr>
        <w:t xml:space="preserve">Open-Access: </w:t>
      </w:r>
      <w:r w:rsidRPr="00DB66A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51DB27" w14:textId="77777777" w:rsidR="00A77B3E" w:rsidRPr="00DB66A3" w:rsidRDefault="00A77B3E">
      <w:pPr>
        <w:spacing w:line="360" w:lineRule="auto"/>
        <w:jc w:val="both"/>
      </w:pPr>
    </w:p>
    <w:p w14:paraId="7A515370" w14:textId="378DDAD4" w:rsidR="00A77B3E" w:rsidRPr="00DB66A3" w:rsidRDefault="00A34B5F">
      <w:pPr>
        <w:spacing w:line="360" w:lineRule="auto"/>
        <w:jc w:val="both"/>
      </w:pPr>
      <w:r w:rsidRPr="00DB66A3">
        <w:rPr>
          <w:rFonts w:ascii="Book Antiqua" w:eastAsia="Book Antiqua" w:hAnsi="Book Antiqua" w:cs="Book Antiqua"/>
          <w:b/>
          <w:color w:val="000000"/>
        </w:rPr>
        <w:t xml:space="preserve">Manuscript source: </w:t>
      </w:r>
      <w:r w:rsidRPr="00DB66A3">
        <w:rPr>
          <w:rFonts w:ascii="Book Antiqua" w:eastAsia="Book Antiqua" w:hAnsi="Book Antiqua" w:cs="Book Antiqua"/>
          <w:color w:val="000000"/>
        </w:rPr>
        <w:t xml:space="preserve">Unsolicited </w:t>
      </w:r>
      <w:r w:rsidR="008F0C18" w:rsidRPr="00DB66A3">
        <w:rPr>
          <w:rFonts w:ascii="Book Antiqua" w:eastAsia="Book Antiqua" w:hAnsi="Book Antiqua" w:cs="Book Antiqua"/>
          <w:color w:val="000000"/>
        </w:rPr>
        <w:t>m</w:t>
      </w:r>
      <w:r w:rsidRPr="00DB66A3">
        <w:rPr>
          <w:rFonts w:ascii="Book Antiqua" w:eastAsia="Book Antiqua" w:hAnsi="Book Antiqua" w:cs="Book Antiqua"/>
          <w:color w:val="000000"/>
        </w:rPr>
        <w:t>anuscript</w:t>
      </w:r>
    </w:p>
    <w:p w14:paraId="1CFADB96" w14:textId="77777777" w:rsidR="00A77B3E" w:rsidRPr="00DB66A3" w:rsidRDefault="00A77B3E">
      <w:pPr>
        <w:spacing w:line="360" w:lineRule="auto"/>
        <w:jc w:val="both"/>
      </w:pPr>
    </w:p>
    <w:p w14:paraId="5EC6D28C" w14:textId="77777777" w:rsidR="00A77B3E" w:rsidRPr="00DB66A3" w:rsidRDefault="00A34B5F">
      <w:pPr>
        <w:spacing w:line="360" w:lineRule="auto"/>
        <w:jc w:val="both"/>
      </w:pPr>
      <w:r w:rsidRPr="00DB66A3">
        <w:rPr>
          <w:rFonts w:ascii="Book Antiqua" w:eastAsia="Book Antiqua" w:hAnsi="Book Antiqua" w:cs="Book Antiqua"/>
          <w:b/>
          <w:color w:val="000000"/>
        </w:rPr>
        <w:t xml:space="preserve">Peer-review started: </w:t>
      </w:r>
      <w:r w:rsidRPr="00DB66A3">
        <w:rPr>
          <w:rFonts w:ascii="Book Antiqua" w:eastAsia="Book Antiqua" w:hAnsi="Book Antiqua" w:cs="Book Antiqua"/>
          <w:color w:val="000000"/>
        </w:rPr>
        <w:t>July 1, 2021</w:t>
      </w:r>
    </w:p>
    <w:p w14:paraId="0C882286" w14:textId="77777777" w:rsidR="00A77B3E" w:rsidRPr="00DB66A3" w:rsidRDefault="00A34B5F">
      <w:pPr>
        <w:spacing w:line="360" w:lineRule="auto"/>
        <w:jc w:val="both"/>
      </w:pPr>
      <w:r w:rsidRPr="00DB66A3">
        <w:rPr>
          <w:rFonts w:ascii="Book Antiqua" w:eastAsia="Book Antiqua" w:hAnsi="Book Antiqua" w:cs="Book Antiqua"/>
          <w:b/>
          <w:color w:val="000000"/>
        </w:rPr>
        <w:t xml:space="preserve">First decision: </w:t>
      </w:r>
      <w:r w:rsidRPr="00DB66A3">
        <w:rPr>
          <w:rFonts w:ascii="Book Antiqua" w:eastAsia="Book Antiqua" w:hAnsi="Book Antiqua" w:cs="Book Antiqua"/>
          <w:color w:val="000000"/>
        </w:rPr>
        <w:t>July 16, 2021</w:t>
      </w:r>
    </w:p>
    <w:p w14:paraId="5DA1241A" w14:textId="486B4191" w:rsidR="00A77B3E" w:rsidRPr="00DB66A3" w:rsidRDefault="00A34B5F">
      <w:pPr>
        <w:spacing w:line="360" w:lineRule="auto"/>
        <w:jc w:val="both"/>
      </w:pPr>
      <w:r w:rsidRPr="00DB66A3">
        <w:rPr>
          <w:rFonts w:ascii="Book Antiqua" w:eastAsia="Book Antiqua" w:hAnsi="Book Antiqua" w:cs="Book Antiqua"/>
          <w:b/>
          <w:color w:val="000000"/>
        </w:rPr>
        <w:t xml:space="preserve">Article in press: </w:t>
      </w:r>
      <w:r w:rsidR="00E3790E" w:rsidRPr="00DB66A3">
        <w:rPr>
          <w:rFonts w:ascii="Book Antiqua" w:eastAsia="Book Antiqua" w:hAnsi="Book Antiqua" w:cs="Book Antiqua"/>
          <w:color w:val="000000"/>
        </w:rPr>
        <w:t>September 10, 2021</w:t>
      </w:r>
    </w:p>
    <w:p w14:paraId="09F2E6D8" w14:textId="77777777" w:rsidR="00A77B3E" w:rsidRPr="00DB66A3" w:rsidRDefault="00A77B3E">
      <w:pPr>
        <w:spacing w:line="360" w:lineRule="auto"/>
        <w:jc w:val="both"/>
      </w:pPr>
    </w:p>
    <w:p w14:paraId="468EA770" w14:textId="3D30383C" w:rsidR="00A77B3E" w:rsidRPr="00DB66A3" w:rsidRDefault="00A34B5F">
      <w:pPr>
        <w:spacing w:line="360" w:lineRule="auto"/>
        <w:jc w:val="both"/>
      </w:pPr>
      <w:r w:rsidRPr="00DB66A3">
        <w:rPr>
          <w:rFonts w:ascii="Book Antiqua" w:eastAsia="Book Antiqua" w:hAnsi="Book Antiqua" w:cs="Book Antiqua"/>
          <w:b/>
          <w:color w:val="000000"/>
        </w:rPr>
        <w:t xml:space="preserve">Specialty type: </w:t>
      </w:r>
      <w:r w:rsidR="008F0C18" w:rsidRPr="00DB66A3">
        <w:rPr>
          <w:rFonts w:ascii="Book Antiqua" w:eastAsia="Book Antiqua" w:hAnsi="Book Antiqua" w:cs="Book Antiqua"/>
          <w:color w:val="000000"/>
        </w:rPr>
        <w:t>Medicine, research and experimental</w:t>
      </w:r>
    </w:p>
    <w:p w14:paraId="69BA4BA7" w14:textId="77777777" w:rsidR="00A77B3E" w:rsidRPr="00DB66A3" w:rsidRDefault="00A34B5F">
      <w:pPr>
        <w:spacing w:line="360" w:lineRule="auto"/>
        <w:jc w:val="both"/>
      </w:pPr>
      <w:r w:rsidRPr="00DB66A3">
        <w:rPr>
          <w:rFonts w:ascii="Book Antiqua" w:eastAsia="Book Antiqua" w:hAnsi="Book Antiqua" w:cs="Book Antiqua"/>
          <w:b/>
          <w:color w:val="000000"/>
        </w:rPr>
        <w:t xml:space="preserve">Country/Territory of origin: </w:t>
      </w:r>
      <w:r w:rsidRPr="00DB66A3">
        <w:rPr>
          <w:rFonts w:ascii="Book Antiqua" w:eastAsia="Book Antiqua" w:hAnsi="Book Antiqua" w:cs="Book Antiqua"/>
          <w:color w:val="000000"/>
        </w:rPr>
        <w:t>China</w:t>
      </w:r>
    </w:p>
    <w:p w14:paraId="2AF528F3" w14:textId="77777777" w:rsidR="00A77B3E" w:rsidRPr="00DB66A3" w:rsidRDefault="00A34B5F">
      <w:pPr>
        <w:spacing w:line="360" w:lineRule="auto"/>
        <w:jc w:val="both"/>
      </w:pPr>
      <w:r w:rsidRPr="00DB66A3">
        <w:rPr>
          <w:rFonts w:ascii="Book Antiqua" w:eastAsia="Book Antiqua" w:hAnsi="Book Antiqua" w:cs="Book Antiqua"/>
          <w:b/>
          <w:color w:val="000000"/>
        </w:rPr>
        <w:t>Peer-review report’s scientific quality classification</w:t>
      </w:r>
    </w:p>
    <w:p w14:paraId="1A30BF9B" w14:textId="77777777" w:rsidR="00A77B3E" w:rsidRPr="00DB66A3" w:rsidRDefault="00A34B5F">
      <w:pPr>
        <w:spacing w:line="360" w:lineRule="auto"/>
        <w:jc w:val="both"/>
      </w:pPr>
      <w:r w:rsidRPr="00DB66A3">
        <w:rPr>
          <w:rFonts w:ascii="Book Antiqua" w:eastAsia="Book Antiqua" w:hAnsi="Book Antiqua" w:cs="Book Antiqua"/>
          <w:color w:val="000000"/>
        </w:rPr>
        <w:t>Grade A (Excellent): 0</w:t>
      </w:r>
    </w:p>
    <w:p w14:paraId="5B33622B" w14:textId="77777777" w:rsidR="00A77B3E" w:rsidRPr="00DB66A3" w:rsidRDefault="00A34B5F">
      <w:pPr>
        <w:spacing w:line="360" w:lineRule="auto"/>
        <w:jc w:val="both"/>
      </w:pPr>
      <w:r w:rsidRPr="00DB66A3">
        <w:rPr>
          <w:rFonts w:ascii="Book Antiqua" w:eastAsia="Book Antiqua" w:hAnsi="Book Antiqua" w:cs="Book Antiqua"/>
          <w:color w:val="000000"/>
        </w:rPr>
        <w:t>Grade B (Very good): B, B</w:t>
      </w:r>
    </w:p>
    <w:p w14:paraId="5D49E2B0" w14:textId="77777777" w:rsidR="00A77B3E" w:rsidRPr="00DB66A3" w:rsidRDefault="00A34B5F">
      <w:pPr>
        <w:spacing w:line="360" w:lineRule="auto"/>
        <w:jc w:val="both"/>
      </w:pPr>
      <w:r w:rsidRPr="00DB66A3">
        <w:rPr>
          <w:rFonts w:ascii="Book Antiqua" w:eastAsia="Book Antiqua" w:hAnsi="Book Antiqua" w:cs="Book Antiqua"/>
          <w:color w:val="000000"/>
        </w:rPr>
        <w:lastRenderedPageBreak/>
        <w:t>Grade C (Good): 0</w:t>
      </w:r>
    </w:p>
    <w:p w14:paraId="768A5652" w14:textId="77777777" w:rsidR="00A77B3E" w:rsidRPr="00DB66A3" w:rsidRDefault="00A34B5F">
      <w:pPr>
        <w:spacing w:line="360" w:lineRule="auto"/>
        <w:jc w:val="both"/>
      </w:pPr>
      <w:r w:rsidRPr="00DB66A3">
        <w:rPr>
          <w:rFonts w:ascii="Book Antiqua" w:eastAsia="Book Antiqua" w:hAnsi="Book Antiqua" w:cs="Book Antiqua"/>
          <w:color w:val="000000"/>
        </w:rPr>
        <w:t>Grade D (Fair): 0</w:t>
      </w:r>
    </w:p>
    <w:p w14:paraId="341E8692" w14:textId="77777777" w:rsidR="00A77B3E" w:rsidRPr="00DB66A3" w:rsidRDefault="00A34B5F">
      <w:pPr>
        <w:spacing w:line="360" w:lineRule="auto"/>
        <w:jc w:val="both"/>
      </w:pPr>
      <w:r w:rsidRPr="00DB66A3">
        <w:rPr>
          <w:rFonts w:ascii="Book Antiqua" w:eastAsia="Book Antiqua" w:hAnsi="Book Antiqua" w:cs="Book Antiqua"/>
          <w:color w:val="000000"/>
        </w:rPr>
        <w:t>Grade E (Poor): 0</w:t>
      </w:r>
    </w:p>
    <w:p w14:paraId="121D4F68" w14:textId="77777777" w:rsidR="00A77B3E" w:rsidRPr="00DB66A3" w:rsidRDefault="00A77B3E">
      <w:pPr>
        <w:spacing w:line="360" w:lineRule="auto"/>
        <w:jc w:val="both"/>
      </w:pPr>
    </w:p>
    <w:p w14:paraId="3380CE76" w14:textId="53B1804D" w:rsidR="00A77B3E" w:rsidRPr="00DB66A3" w:rsidRDefault="00A34B5F">
      <w:pPr>
        <w:spacing w:line="360" w:lineRule="auto"/>
        <w:jc w:val="both"/>
        <w:rPr>
          <w:rFonts w:ascii="Book Antiqua" w:hAnsi="Book Antiqua" w:cs="Book Antiqua"/>
          <w:color w:val="000000"/>
          <w:lang w:eastAsia="zh-CN"/>
        </w:rPr>
      </w:pPr>
      <w:r w:rsidRPr="00DB66A3">
        <w:rPr>
          <w:rFonts w:ascii="Book Antiqua" w:eastAsia="Book Antiqua" w:hAnsi="Book Antiqua" w:cs="Book Antiqua"/>
          <w:b/>
          <w:color w:val="000000"/>
        </w:rPr>
        <w:t xml:space="preserve">P-Reviewer: </w:t>
      </w:r>
      <w:r w:rsidRPr="00DB66A3">
        <w:rPr>
          <w:rFonts w:ascii="Book Antiqua" w:eastAsia="Book Antiqua" w:hAnsi="Book Antiqua" w:cs="Book Antiqua"/>
          <w:color w:val="000000"/>
        </w:rPr>
        <w:t>Abubakar MS, Cimen SG</w:t>
      </w:r>
      <w:r w:rsidRPr="00DB66A3">
        <w:rPr>
          <w:rFonts w:ascii="Book Antiqua" w:eastAsia="Book Antiqua" w:hAnsi="Book Antiqua" w:cs="Book Antiqua"/>
          <w:b/>
          <w:color w:val="000000"/>
        </w:rPr>
        <w:t xml:space="preserve"> S-Editor: </w:t>
      </w:r>
      <w:r w:rsidRPr="00DB66A3">
        <w:rPr>
          <w:rFonts w:ascii="Book Antiqua" w:eastAsia="Book Antiqua" w:hAnsi="Book Antiqua" w:cs="Book Antiqua"/>
          <w:color w:val="000000"/>
        </w:rPr>
        <w:t>Wang JJ</w:t>
      </w:r>
      <w:r w:rsidR="008F0C18" w:rsidRPr="00DB66A3">
        <w:rPr>
          <w:rFonts w:ascii="Book Antiqua" w:eastAsia="Book Antiqua" w:hAnsi="Book Antiqua" w:cs="Book Antiqua"/>
          <w:color w:val="000000"/>
        </w:rPr>
        <w:t xml:space="preserve"> (Online Science Editor)</w:t>
      </w:r>
      <w:r w:rsidRPr="00DB66A3">
        <w:rPr>
          <w:rFonts w:ascii="Book Antiqua" w:eastAsia="Book Antiqua" w:hAnsi="Book Antiqua" w:cs="Book Antiqua"/>
          <w:b/>
          <w:color w:val="000000"/>
        </w:rPr>
        <w:t xml:space="preserve"> L-Editor:</w:t>
      </w:r>
      <w:r w:rsidR="00265095" w:rsidRPr="00DB66A3">
        <w:rPr>
          <w:rFonts w:ascii="Book Antiqua" w:hAnsi="Book Antiqua" w:cs="Book Antiqua" w:hint="eastAsia"/>
          <w:b/>
          <w:color w:val="000000"/>
          <w:lang w:eastAsia="zh-CN"/>
        </w:rPr>
        <w:t xml:space="preserve"> A</w:t>
      </w:r>
      <w:r w:rsidRPr="00DB66A3">
        <w:rPr>
          <w:rFonts w:ascii="Book Antiqua" w:eastAsia="Book Antiqua" w:hAnsi="Book Antiqua" w:cs="Book Antiqua"/>
          <w:b/>
          <w:color w:val="000000"/>
        </w:rPr>
        <w:t xml:space="preserve"> </w:t>
      </w:r>
      <w:r w:rsidR="008F0C18" w:rsidRPr="00DB66A3">
        <w:rPr>
          <w:rFonts w:ascii="Book Antiqua" w:eastAsia="Book Antiqua" w:hAnsi="Book Antiqua" w:cs="Book Antiqua"/>
          <w:b/>
          <w:color w:val="000000"/>
        </w:rPr>
        <w:t xml:space="preserve"> </w:t>
      </w:r>
      <w:r w:rsidRPr="00DB66A3">
        <w:rPr>
          <w:rFonts w:ascii="Book Antiqua" w:eastAsia="Book Antiqua" w:hAnsi="Book Antiqua" w:cs="Book Antiqua"/>
          <w:b/>
          <w:color w:val="000000"/>
        </w:rPr>
        <w:t>P-Editor:</w:t>
      </w:r>
      <w:r w:rsidR="00265095" w:rsidRPr="00DB66A3">
        <w:rPr>
          <w:rFonts w:ascii="Book Antiqua" w:hAnsi="Book Antiqua" w:cs="Book Antiqua" w:hint="eastAsia"/>
          <w:b/>
          <w:color w:val="000000"/>
          <w:lang w:eastAsia="zh-CN"/>
        </w:rPr>
        <w:t xml:space="preserve"> </w:t>
      </w:r>
      <w:r w:rsidR="00265095" w:rsidRPr="00DB66A3">
        <w:rPr>
          <w:rFonts w:ascii="Book Antiqua" w:hAnsi="Book Antiqua" w:cs="Book Antiqua" w:hint="eastAsia"/>
          <w:color w:val="000000"/>
          <w:lang w:eastAsia="zh-CN"/>
        </w:rPr>
        <w:t>Ma YJ</w:t>
      </w:r>
    </w:p>
    <w:p w14:paraId="677E39D1" w14:textId="77777777" w:rsidR="008F0C18" w:rsidRPr="00DB66A3" w:rsidRDefault="008F0C18">
      <w:pPr>
        <w:spacing w:line="360" w:lineRule="auto"/>
        <w:jc w:val="both"/>
        <w:rPr>
          <w:rFonts w:ascii="Book Antiqua" w:eastAsia="Book Antiqua" w:hAnsi="Book Antiqua" w:cs="Book Antiqua"/>
          <w:b/>
          <w:color w:val="000000"/>
        </w:rPr>
      </w:pPr>
    </w:p>
    <w:p w14:paraId="74B45FB5" w14:textId="77777777" w:rsidR="00A77B3E" w:rsidRPr="00DB66A3" w:rsidRDefault="00A34B5F">
      <w:pPr>
        <w:spacing w:line="360" w:lineRule="auto"/>
        <w:jc w:val="both"/>
      </w:pPr>
      <w:r w:rsidRPr="00DB66A3">
        <w:rPr>
          <w:rFonts w:ascii="Book Antiqua" w:eastAsia="Book Antiqua" w:hAnsi="Book Antiqua" w:cs="Book Antiqua"/>
          <w:b/>
          <w:color w:val="000000"/>
        </w:rPr>
        <w:t>Figure Legends</w:t>
      </w:r>
    </w:p>
    <w:p w14:paraId="358FB06D" w14:textId="02B1D850" w:rsidR="008F0C18" w:rsidRPr="00DB66A3" w:rsidRDefault="00A00B2A">
      <w:pPr>
        <w:spacing w:line="360" w:lineRule="auto"/>
        <w:jc w:val="both"/>
        <w:rPr>
          <w:rFonts w:ascii="Book Antiqua" w:eastAsia="Book Antiqua" w:hAnsi="Book Antiqua" w:cs="Book Antiqua"/>
          <w:b/>
          <w:bCs/>
          <w:color w:val="000000"/>
        </w:rPr>
      </w:pPr>
      <w:r w:rsidRPr="00DB66A3">
        <w:rPr>
          <w:noProof/>
          <w:lang w:eastAsia="zh-CN"/>
        </w:rPr>
        <w:drawing>
          <wp:inline distT="0" distB="0" distL="0" distR="0" wp14:anchorId="7BC437BF" wp14:editId="319B8D8E">
            <wp:extent cx="5082980" cy="3703641"/>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82980" cy="3703641"/>
                    </a:xfrm>
                    <a:prstGeom prst="rect">
                      <a:avLst/>
                    </a:prstGeom>
                  </pic:spPr>
                </pic:pic>
              </a:graphicData>
            </a:graphic>
          </wp:inline>
        </w:drawing>
      </w:r>
    </w:p>
    <w:p w14:paraId="46C88B0E" w14:textId="5E04B1B3" w:rsidR="00A00B2A" w:rsidRPr="00DB66A3" w:rsidRDefault="00A34B5F">
      <w:pPr>
        <w:spacing w:line="360" w:lineRule="auto"/>
        <w:jc w:val="both"/>
        <w:rPr>
          <w:rFonts w:ascii="Book Antiqua" w:eastAsia="Book Antiqua" w:hAnsi="Book Antiqua" w:cs="Book Antiqua"/>
          <w:color w:val="000000"/>
        </w:rPr>
      </w:pPr>
      <w:r w:rsidRPr="00DB66A3">
        <w:rPr>
          <w:rFonts w:ascii="Book Antiqua" w:eastAsia="Book Antiqua" w:hAnsi="Book Antiqua" w:cs="Book Antiqua"/>
          <w:b/>
          <w:bCs/>
          <w:color w:val="000000"/>
        </w:rPr>
        <w:t xml:space="preserve">Figure 1 Pedigrees of the investigated case with </w:t>
      </w:r>
      <w:r w:rsidRPr="00DB66A3">
        <w:rPr>
          <w:rFonts w:ascii="Book Antiqua" w:eastAsia="Book Antiqua" w:hAnsi="Book Antiqua" w:cs="Book Antiqua"/>
          <w:b/>
          <w:bCs/>
          <w:i/>
          <w:iCs/>
          <w:color w:val="000000"/>
        </w:rPr>
        <w:t>MKRN3</w:t>
      </w:r>
      <w:r w:rsidRPr="00DB66A3">
        <w:rPr>
          <w:rFonts w:ascii="Book Antiqua" w:eastAsia="Book Antiqua" w:hAnsi="Book Antiqua" w:cs="Book Antiqua"/>
          <w:b/>
          <w:bCs/>
          <w:color w:val="000000"/>
        </w:rPr>
        <w:t xml:space="preserve"> mutation. </w:t>
      </w:r>
      <w:r w:rsidRPr="00DB66A3">
        <w:rPr>
          <w:rFonts w:ascii="Book Antiqua" w:eastAsia="Book Antiqua" w:hAnsi="Book Antiqua" w:cs="Book Antiqua"/>
          <w:color w:val="000000"/>
        </w:rPr>
        <w:t>Square indicates male family member, circles indicate female members, the black symbol indicates clinically affected family member, the symbol with black circle indicates unaffected carrier, arrow indicates the proband, the arrow indicates the profound in this family.</w:t>
      </w:r>
    </w:p>
    <w:p w14:paraId="0361E7C2" w14:textId="17895C70" w:rsidR="00A77B3E" w:rsidRPr="00DB66A3" w:rsidRDefault="00A00B2A">
      <w:pPr>
        <w:spacing w:line="360" w:lineRule="auto"/>
        <w:jc w:val="both"/>
      </w:pPr>
      <w:r w:rsidRPr="00DB66A3">
        <w:rPr>
          <w:rFonts w:ascii="Book Antiqua" w:eastAsia="Book Antiqua" w:hAnsi="Book Antiqua" w:cs="Book Antiqua"/>
          <w:color w:val="000000"/>
        </w:rPr>
        <w:br w:type="page"/>
      </w:r>
      <w:r w:rsidRPr="00DB66A3">
        <w:rPr>
          <w:noProof/>
          <w:lang w:eastAsia="zh-CN"/>
        </w:rPr>
        <w:lastRenderedPageBreak/>
        <w:drawing>
          <wp:inline distT="0" distB="0" distL="0" distR="0" wp14:anchorId="0BABEBFD" wp14:editId="2E60A6E2">
            <wp:extent cx="5943600" cy="34715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71545"/>
                    </a:xfrm>
                    <a:prstGeom prst="rect">
                      <a:avLst/>
                    </a:prstGeom>
                  </pic:spPr>
                </pic:pic>
              </a:graphicData>
            </a:graphic>
          </wp:inline>
        </w:drawing>
      </w:r>
    </w:p>
    <w:p w14:paraId="168B6BEF" w14:textId="221AF222" w:rsidR="00A00B2A" w:rsidRPr="00DB66A3" w:rsidRDefault="00A34B5F">
      <w:pPr>
        <w:spacing w:line="360" w:lineRule="auto"/>
        <w:jc w:val="both"/>
        <w:rPr>
          <w:rFonts w:ascii="Book Antiqua" w:eastAsia="Book Antiqua" w:hAnsi="Book Antiqua" w:cs="Book Antiqua"/>
          <w:color w:val="000000"/>
        </w:rPr>
      </w:pPr>
      <w:r w:rsidRPr="00DB66A3">
        <w:rPr>
          <w:rFonts w:ascii="Book Antiqua" w:eastAsia="Book Antiqua" w:hAnsi="Book Antiqua" w:cs="Book Antiqua"/>
          <w:b/>
          <w:bCs/>
          <w:color w:val="000000"/>
        </w:rPr>
        <w:t>Figure 2</w:t>
      </w:r>
      <w:r w:rsidR="00A00B2A" w:rsidRPr="00DB66A3">
        <w:rPr>
          <w:rFonts w:ascii="Book Antiqua" w:eastAsia="Book Antiqua" w:hAnsi="Book Antiqua" w:cs="Book Antiqua"/>
          <w:b/>
          <w:bCs/>
          <w:color w:val="000000"/>
        </w:rPr>
        <w:t xml:space="preserve"> </w:t>
      </w:r>
      <w:r w:rsidRPr="00DB66A3">
        <w:rPr>
          <w:rFonts w:ascii="Book Antiqua" w:eastAsia="Book Antiqua" w:hAnsi="Book Antiqua" w:cs="Book Antiqua"/>
          <w:b/>
          <w:bCs/>
          <w:color w:val="000000"/>
        </w:rPr>
        <w:t>Whole-exome sequencing showing the novel heterozygous mutation (c.841 C &gt;</w:t>
      </w:r>
      <w:r w:rsidR="00A00B2A" w:rsidRPr="00DB66A3">
        <w:rPr>
          <w:rFonts w:ascii="Book Antiqua" w:eastAsia="Book Antiqua" w:hAnsi="Book Antiqua" w:cs="Book Antiqua"/>
          <w:b/>
          <w:bCs/>
          <w:color w:val="000000"/>
        </w:rPr>
        <w:t xml:space="preserve"> </w:t>
      </w:r>
      <w:r w:rsidRPr="00DB66A3">
        <w:rPr>
          <w:rFonts w:ascii="Book Antiqua" w:eastAsia="Book Antiqua" w:hAnsi="Book Antiqua" w:cs="Book Antiqua"/>
          <w:b/>
          <w:bCs/>
          <w:color w:val="000000"/>
        </w:rPr>
        <w:t xml:space="preserve">T) in </w:t>
      </w:r>
      <w:r w:rsidRPr="00DB66A3">
        <w:rPr>
          <w:rFonts w:ascii="Book Antiqua" w:eastAsia="Book Antiqua" w:hAnsi="Book Antiqua" w:cs="Book Antiqua"/>
          <w:b/>
          <w:bCs/>
          <w:i/>
          <w:iCs/>
          <w:color w:val="000000"/>
        </w:rPr>
        <w:t>MKRN3</w:t>
      </w:r>
      <w:r w:rsidRPr="00DB66A3">
        <w:rPr>
          <w:rFonts w:ascii="Book Antiqua" w:eastAsia="Book Antiqua" w:hAnsi="Book Antiqua" w:cs="Book Antiqua"/>
          <w:b/>
          <w:bCs/>
          <w:color w:val="000000"/>
        </w:rPr>
        <w:t xml:space="preserve"> detected in the profound.</w:t>
      </w:r>
      <w:r w:rsidRPr="00DB66A3">
        <w:rPr>
          <w:rFonts w:ascii="Book Antiqua" w:eastAsia="Book Antiqua" w:hAnsi="Book Antiqua" w:cs="Book Antiqua"/>
          <w:color w:val="000000"/>
        </w:rPr>
        <w:t xml:space="preserve"> The same mutation was covered in A’s twin sister, her father and grandmother, but not A’s mother.</w:t>
      </w:r>
    </w:p>
    <w:p w14:paraId="573D20EE" w14:textId="77777777" w:rsidR="00A00B2A" w:rsidRPr="00DB66A3" w:rsidRDefault="00A00B2A" w:rsidP="00A00B2A">
      <w:pPr>
        <w:spacing w:line="360" w:lineRule="auto"/>
        <w:jc w:val="both"/>
        <w:rPr>
          <w:rFonts w:ascii="Book Antiqua" w:hAnsi="Book Antiqua"/>
          <w:b/>
          <w:bCs/>
        </w:rPr>
      </w:pPr>
      <w:r w:rsidRPr="00DB66A3">
        <w:rPr>
          <w:rFonts w:ascii="Book Antiqua" w:eastAsia="Book Antiqua" w:hAnsi="Book Antiqua" w:cs="Book Antiqua"/>
          <w:color w:val="000000"/>
        </w:rPr>
        <w:br w:type="page"/>
      </w:r>
      <w:r w:rsidRPr="00DB66A3">
        <w:rPr>
          <w:rFonts w:ascii="Book Antiqua" w:hAnsi="Book Antiqua"/>
          <w:b/>
          <w:bCs/>
        </w:rPr>
        <w:lastRenderedPageBreak/>
        <w:t>Table 1 Summary of the clinical data of the two patients</w:t>
      </w:r>
    </w:p>
    <w:tbl>
      <w:tblPr>
        <w:tblStyle w:val="a3"/>
        <w:tblW w:w="1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3923"/>
        <w:gridCol w:w="3924"/>
      </w:tblGrid>
      <w:tr w:rsidR="00A00B2A" w:rsidRPr="00DB66A3" w14:paraId="431249B2" w14:textId="77777777" w:rsidTr="003B551B">
        <w:trPr>
          <w:trHeight w:val="340"/>
        </w:trPr>
        <w:tc>
          <w:tcPr>
            <w:tcW w:w="4104" w:type="dxa"/>
            <w:tcBorders>
              <w:top w:val="single" w:sz="4" w:space="0" w:color="auto"/>
              <w:bottom w:val="single" w:sz="4" w:space="0" w:color="auto"/>
            </w:tcBorders>
          </w:tcPr>
          <w:p w14:paraId="5F251E9B" w14:textId="77777777" w:rsidR="00A00B2A" w:rsidRPr="00DB66A3" w:rsidRDefault="00A00B2A" w:rsidP="003B551B">
            <w:pPr>
              <w:spacing w:line="360" w:lineRule="auto"/>
              <w:jc w:val="both"/>
              <w:rPr>
                <w:rFonts w:ascii="Book Antiqua" w:hAnsi="Book Antiqua"/>
                <w:b/>
              </w:rPr>
            </w:pPr>
          </w:p>
        </w:tc>
        <w:tc>
          <w:tcPr>
            <w:tcW w:w="3923" w:type="dxa"/>
            <w:tcBorders>
              <w:top w:val="single" w:sz="4" w:space="0" w:color="auto"/>
              <w:bottom w:val="single" w:sz="4" w:space="0" w:color="auto"/>
            </w:tcBorders>
          </w:tcPr>
          <w:p w14:paraId="2E13F97A" w14:textId="77777777" w:rsidR="00A00B2A" w:rsidRPr="00DB66A3" w:rsidRDefault="00A00B2A" w:rsidP="003B551B">
            <w:pPr>
              <w:spacing w:line="360" w:lineRule="auto"/>
              <w:jc w:val="both"/>
              <w:rPr>
                <w:rFonts w:ascii="Book Antiqua" w:hAnsi="Book Antiqua"/>
                <w:b/>
              </w:rPr>
            </w:pPr>
            <w:r w:rsidRPr="00DB66A3">
              <w:rPr>
                <w:rFonts w:ascii="Book Antiqua" w:hAnsi="Book Antiqua"/>
                <w:b/>
              </w:rPr>
              <w:t>Patient A</w:t>
            </w:r>
          </w:p>
        </w:tc>
        <w:tc>
          <w:tcPr>
            <w:tcW w:w="3924" w:type="dxa"/>
            <w:tcBorders>
              <w:top w:val="single" w:sz="4" w:space="0" w:color="auto"/>
              <w:bottom w:val="single" w:sz="4" w:space="0" w:color="auto"/>
            </w:tcBorders>
          </w:tcPr>
          <w:p w14:paraId="4F5676A4" w14:textId="77777777" w:rsidR="00A00B2A" w:rsidRPr="00DB66A3" w:rsidRDefault="00A00B2A" w:rsidP="003B551B">
            <w:pPr>
              <w:spacing w:line="360" w:lineRule="auto"/>
              <w:jc w:val="both"/>
              <w:rPr>
                <w:rFonts w:ascii="Book Antiqua" w:hAnsi="Book Antiqua"/>
                <w:b/>
              </w:rPr>
            </w:pPr>
            <w:r w:rsidRPr="00DB66A3">
              <w:rPr>
                <w:rFonts w:ascii="Book Antiqua" w:hAnsi="Book Antiqua"/>
                <w:b/>
              </w:rPr>
              <w:t>Patient B</w:t>
            </w:r>
          </w:p>
        </w:tc>
      </w:tr>
      <w:tr w:rsidR="00A00B2A" w:rsidRPr="00DB66A3" w14:paraId="510894A4" w14:textId="77777777" w:rsidTr="003B551B">
        <w:trPr>
          <w:trHeight w:val="381"/>
        </w:trPr>
        <w:tc>
          <w:tcPr>
            <w:tcW w:w="4104" w:type="dxa"/>
            <w:tcBorders>
              <w:top w:val="single" w:sz="4" w:space="0" w:color="auto"/>
            </w:tcBorders>
          </w:tcPr>
          <w:p w14:paraId="2FA1FC85" w14:textId="77777777" w:rsidR="00A00B2A" w:rsidRPr="00DB66A3" w:rsidRDefault="00A00B2A" w:rsidP="003B551B">
            <w:pPr>
              <w:spacing w:line="360" w:lineRule="auto"/>
              <w:jc w:val="both"/>
              <w:rPr>
                <w:rFonts w:ascii="Book Antiqua" w:hAnsi="Book Antiqua"/>
              </w:rPr>
            </w:pPr>
            <w:r w:rsidRPr="00DB66A3">
              <w:rPr>
                <w:rFonts w:ascii="Book Antiqua" w:hAnsi="Book Antiqua"/>
              </w:rPr>
              <w:t>Age at onset (yr)</w:t>
            </w:r>
          </w:p>
        </w:tc>
        <w:tc>
          <w:tcPr>
            <w:tcW w:w="3923" w:type="dxa"/>
            <w:tcBorders>
              <w:top w:val="single" w:sz="4" w:space="0" w:color="auto"/>
            </w:tcBorders>
          </w:tcPr>
          <w:p w14:paraId="74613F66" w14:textId="77777777" w:rsidR="00A00B2A" w:rsidRPr="00DB66A3" w:rsidRDefault="00A00B2A" w:rsidP="003B551B">
            <w:pPr>
              <w:spacing w:line="360" w:lineRule="auto"/>
              <w:jc w:val="both"/>
              <w:rPr>
                <w:rFonts w:ascii="Book Antiqua" w:hAnsi="Book Antiqua"/>
              </w:rPr>
            </w:pPr>
            <w:r w:rsidRPr="00DB66A3">
              <w:rPr>
                <w:rFonts w:ascii="Book Antiqua" w:hAnsi="Book Antiqua"/>
              </w:rPr>
              <w:t>6.25</w:t>
            </w:r>
          </w:p>
        </w:tc>
        <w:tc>
          <w:tcPr>
            <w:tcW w:w="3924" w:type="dxa"/>
            <w:tcBorders>
              <w:top w:val="single" w:sz="4" w:space="0" w:color="auto"/>
            </w:tcBorders>
          </w:tcPr>
          <w:p w14:paraId="51CA1807" w14:textId="77777777" w:rsidR="00A00B2A" w:rsidRPr="00DB66A3" w:rsidRDefault="00A00B2A" w:rsidP="003B551B">
            <w:pPr>
              <w:spacing w:line="360" w:lineRule="auto"/>
              <w:jc w:val="both"/>
              <w:rPr>
                <w:rFonts w:ascii="Book Antiqua" w:hAnsi="Book Antiqua"/>
              </w:rPr>
            </w:pPr>
            <w:r w:rsidRPr="00DB66A3">
              <w:rPr>
                <w:rFonts w:ascii="Book Antiqua" w:hAnsi="Book Antiqua"/>
              </w:rPr>
              <w:t>6.33</w:t>
            </w:r>
          </w:p>
        </w:tc>
      </w:tr>
      <w:tr w:rsidR="00A00B2A" w:rsidRPr="00DB66A3" w14:paraId="0FA9ACBD" w14:textId="77777777" w:rsidTr="003B551B">
        <w:trPr>
          <w:trHeight w:val="381"/>
        </w:trPr>
        <w:tc>
          <w:tcPr>
            <w:tcW w:w="4104" w:type="dxa"/>
          </w:tcPr>
          <w:p w14:paraId="513B3816" w14:textId="77777777" w:rsidR="00A00B2A" w:rsidRPr="00DB66A3" w:rsidRDefault="00A00B2A" w:rsidP="003B551B">
            <w:pPr>
              <w:spacing w:line="360" w:lineRule="auto"/>
              <w:jc w:val="both"/>
              <w:rPr>
                <w:rFonts w:ascii="Book Antiqua" w:hAnsi="Book Antiqua"/>
              </w:rPr>
            </w:pPr>
            <w:r w:rsidRPr="00DB66A3">
              <w:rPr>
                <w:rFonts w:ascii="Book Antiqua" w:hAnsi="Book Antiqua"/>
              </w:rPr>
              <w:t>Age at referral (yr)</w:t>
            </w:r>
          </w:p>
        </w:tc>
        <w:tc>
          <w:tcPr>
            <w:tcW w:w="3923" w:type="dxa"/>
          </w:tcPr>
          <w:p w14:paraId="67E37C08" w14:textId="77777777" w:rsidR="00A00B2A" w:rsidRPr="00DB66A3" w:rsidRDefault="00A00B2A" w:rsidP="003B551B">
            <w:pPr>
              <w:spacing w:line="360" w:lineRule="auto"/>
              <w:jc w:val="both"/>
              <w:rPr>
                <w:rFonts w:ascii="Book Antiqua" w:hAnsi="Book Antiqua"/>
              </w:rPr>
            </w:pPr>
            <w:r w:rsidRPr="00DB66A3">
              <w:rPr>
                <w:rFonts w:ascii="Book Antiqua" w:hAnsi="Book Antiqua"/>
              </w:rPr>
              <w:t>6.66</w:t>
            </w:r>
          </w:p>
        </w:tc>
        <w:tc>
          <w:tcPr>
            <w:tcW w:w="3924" w:type="dxa"/>
          </w:tcPr>
          <w:p w14:paraId="1D1A2928" w14:textId="77777777" w:rsidR="00A00B2A" w:rsidRPr="00DB66A3" w:rsidRDefault="00A00B2A" w:rsidP="003B551B">
            <w:pPr>
              <w:spacing w:line="360" w:lineRule="auto"/>
              <w:jc w:val="both"/>
              <w:rPr>
                <w:rFonts w:ascii="Book Antiqua" w:hAnsi="Book Antiqua"/>
              </w:rPr>
            </w:pPr>
            <w:r w:rsidRPr="00DB66A3">
              <w:rPr>
                <w:rFonts w:ascii="Book Antiqua" w:hAnsi="Book Antiqua"/>
              </w:rPr>
              <w:t>6.5</w:t>
            </w:r>
          </w:p>
        </w:tc>
      </w:tr>
      <w:tr w:rsidR="00A00B2A" w:rsidRPr="00DB66A3" w14:paraId="39013E49" w14:textId="77777777" w:rsidTr="003B551B">
        <w:trPr>
          <w:trHeight w:val="381"/>
        </w:trPr>
        <w:tc>
          <w:tcPr>
            <w:tcW w:w="4104" w:type="dxa"/>
          </w:tcPr>
          <w:p w14:paraId="7B5493E4" w14:textId="77777777" w:rsidR="00A00B2A" w:rsidRPr="00DB66A3" w:rsidRDefault="00A00B2A" w:rsidP="003B551B">
            <w:pPr>
              <w:spacing w:line="360" w:lineRule="auto"/>
              <w:jc w:val="both"/>
              <w:rPr>
                <w:rFonts w:ascii="Book Antiqua" w:hAnsi="Book Antiqua"/>
              </w:rPr>
            </w:pPr>
            <w:r w:rsidRPr="00DB66A3">
              <w:rPr>
                <w:rFonts w:ascii="Book Antiqua" w:hAnsi="Book Antiqua"/>
              </w:rPr>
              <w:t>Weight (kg)</w:t>
            </w:r>
          </w:p>
        </w:tc>
        <w:tc>
          <w:tcPr>
            <w:tcW w:w="3923" w:type="dxa"/>
          </w:tcPr>
          <w:p w14:paraId="76BA8BBC" w14:textId="77777777" w:rsidR="00A00B2A" w:rsidRPr="00DB66A3" w:rsidRDefault="00A00B2A" w:rsidP="003B551B">
            <w:pPr>
              <w:spacing w:line="360" w:lineRule="auto"/>
              <w:jc w:val="both"/>
              <w:rPr>
                <w:rFonts w:ascii="Book Antiqua" w:hAnsi="Book Antiqua"/>
              </w:rPr>
            </w:pPr>
            <w:r w:rsidRPr="00DB66A3">
              <w:rPr>
                <w:rFonts w:ascii="Book Antiqua" w:hAnsi="Book Antiqua"/>
              </w:rPr>
              <w:t>23</w:t>
            </w:r>
          </w:p>
        </w:tc>
        <w:tc>
          <w:tcPr>
            <w:tcW w:w="3924" w:type="dxa"/>
          </w:tcPr>
          <w:p w14:paraId="6D8F9984" w14:textId="77777777" w:rsidR="00A00B2A" w:rsidRPr="00DB66A3" w:rsidRDefault="00A00B2A" w:rsidP="003B551B">
            <w:pPr>
              <w:spacing w:line="360" w:lineRule="auto"/>
              <w:jc w:val="both"/>
              <w:rPr>
                <w:rFonts w:ascii="Book Antiqua" w:hAnsi="Book Antiqua"/>
              </w:rPr>
            </w:pPr>
            <w:r w:rsidRPr="00DB66A3">
              <w:rPr>
                <w:rFonts w:ascii="Book Antiqua" w:hAnsi="Book Antiqua"/>
              </w:rPr>
              <w:t>26.7</w:t>
            </w:r>
          </w:p>
        </w:tc>
      </w:tr>
      <w:tr w:rsidR="00A00B2A" w:rsidRPr="00DB66A3" w14:paraId="0863E847" w14:textId="77777777" w:rsidTr="003B551B">
        <w:trPr>
          <w:trHeight w:val="381"/>
        </w:trPr>
        <w:tc>
          <w:tcPr>
            <w:tcW w:w="4104" w:type="dxa"/>
          </w:tcPr>
          <w:p w14:paraId="7FBF4E8F" w14:textId="77777777" w:rsidR="00A00B2A" w:rsidRPr="00DB66A3" w:rsidRDefault="00A00B2A" w:rsidP="003B551B">
            <w:pPr>
              <w:spacing w:line="360" w:lineRule="auto"/>
              <w:jc w:val="both"/>
              <w:rPr>
                <w:rFonts w:ascii="Book Antiqua" w:hAnsi="Book Antiqua"/>
              </w:rPr>
            </w:pPr>
            <w:r w:rsidRPr="00DB66A3">
              <w:rPr>
                <w:rFonts w:ascii="Book Antiqua" w:hAnsi="Book Antiqua"/>
              </w:rPr>
              <w:t>Height (cm)</w:t>
            </w:r>
          </w:p>
        </w:tc>
        <w:tc>
          <w:tcPr>
            <w:tcW w:w="3923" w:type="dxa"/>
          </w:tcPr>
          <w:p w14:paraId="6935AE32" w14:textId="77777777" w:rsidR="00A00B2A" w:rsidRPr="00DB66A3" w:rsidRDefault="00A00B2A" w:rsidP="003B551B">
            <w:pPr>
              <w:spacing w:line="360" w:lineRule="auto"/>
              <w:jc w:val="both"/>
              <w:rPr>
                <w:rFonts w:ascii="Book Antiqua" w:hAnsi="Book Antiqua"/>
              </w:rPr>
            </w:pPr>
            <w:r w:rsidRPr="00DB66A3">
              <w:rPr>
                <w:rFonts w:ascii="Book Antiqua" w:hAnsi="Book Antiqua"/>
              </w:rPr>
              <w:t>119.6</w:t>
            </w:r>
          </w:p>
        </w:tc>
        <w:tc>
          <w:tcPr>
            <w:tcW w:w="3924" w:type="dxa"/>
          </w:tcPr>
          <w:p w14:paraId="4B68A3E2" w14:textId="77777777" w:rsidR="00A00B2A" w:rsidRPr="00DB66A3" w:rsidRDefault="00A00B2A" w:rsidP="003B551B">
            <w:pPr>
              <w:spacing w:line="360" w:lineRule="auto"/>
              <w:jc w:val="both"/>
              <w:rPr>
                <w:rFonts w:ascii="Book Antiqua" w:hAnsi="Book Antiqua"/>
              </w:rPr>
            </w:pPr>
            <w:r w:rsidRPr="00DB66A3">
              <w:rPr>
                <w:rFonts w:ascii="Book Antiqua" w:hAnsi="Book Antiqua"/>
              </w:rPr>
              <w:t>122.6</w:t>
            </w:r>
          </w:p>
        </w:tc>
      </w:tr>
      <w:tr w:rsidR="00A00B2A" w:rsidRPr="00DB66A3" w14:paraId="4FC2789C" w14:textId="77777777" w:rsidTr="003B551B">
        <w:trPr>
          <w:trHeight w:val="381"/>
        </w:trPr>
        <w:tc>
          <w:tcPr>
            <w:tcW w:w="4104" w:type="dxa"/>
          </w:tcPr>
          <w:p w14:paraId="7BD290BB" w14:textId="77777777" w:rsidR="00A00B2A" w:rsidRPr="00DB66A3" w:rsidRDefault="00A00B2A" w:rsidP="003B551B">
            <w:pPr>
              <w:spacing w:line="360" w:lineRule="auto"/>
              <w:jc w:val="both"/>
              <w:rPr>
                <w:rFonts w:ascii="Book Antiqua" w:hAnsi="Book Antiqua"/>
              </w:rPr>
            </w:pPr>
            <w:r w:rsidRPr="00DB66A3">
              <w:rPr>
                <w:rFonts w:ascii="Book Antiqua" w:hAnsi="Book Antiqua"/>
              </w:rPr>
              <w:t>Bone age (yr)</w:t>
            </w:r>
          </w:p>
        </w:tc>
        <w:tc>
          <w:tcPr>
            <w:tcW w:w="3923" w:type="dxa"/>
          </w:tcPr>
          <w:p w14:paraId="580744D4" w14:textId="3A8C7194" w:rsidR="00A00B2A" w:rsidRPr="00DB66A3" w:rsidRDefault="008169B9" w:rsidP="003B551B">
            <w:pPr>
              <w:spacing w:line="360" w:lineRule="auto"/>
              <w:jc w:val="both"/>
              <w:rPr>
                <w:rFonts w:ascii="Book Antiqua" w:hAnsi="Book Antiqua"/>
              </w:rPr>
            </w:pPr>
            <w:r w:rsidRPr="00DB66A3">
              <w:rPr>
                <w:rFonts w:ascii="Book Antiqua" w:hAnsi="Book Antiqua" w:hint="eastAsia"/>
              </w:rPr>
              <w:t>9</w:t>
            </w:r>
          </w:p>
        </w:tc>
        <w:tc>
          <w:tcPr>
            <w:tcW w:w="3924" w:type="dxa"/>
          </w:tcPr>
          <w:p w14:paraId="29E84C43" w14:textId="1E93E743" w:rsidR="00A00B2A" w:rsidRPr="00DB66A3" w:rsidRDefault="008169B9" w:rsidP="003B551B">
            <w:pPr>
              <w:spacing w:line="360" w:lineRule="auto"/>
              <w:jc w:val="both"/>
              <w:rPr>
                <w:rFonts w:ascii="Book Antiqua" w:hAnsi="Book Antiqua"/>
              </w:rPr>
            </w:pPr>
            <w:r w:rsidRPr="00DB66A3">
              <w:rPr>
                <w:rFonts w:ascii="Book Antiqua" w:hAnsi="Book Antiqua" w:hint="eastAsia"/>
              </w:rPr>
              <w:t>9</w:t>
            </w:r>
          </w:p>
        </w:tc>
      </w:tr>
      <w:tr w:rsidR="00A00B2A" w:rsidRPr="00DB66A3" w14:paraId="4EFC7DFC" w14:textId="77777777" w:rsidTr="003B551B">
        <w:trPr>
          <w:trHeight w:val="381"/>
        </w:trPr>
        <w:tc>
          <w:tcPr>
            <w:tcW w:w="4104" w:type="dxa"/>
          </w:tcPr>
          <w:p w14:paraId="7299E371" w14:textId="77777777" w:rsidR="00A00B2A" w:rsidRPr="00DB66A3" w:rsidRDefault="00A00B2A" w:rsidP="003B551B">
            <w:pPr>
              <w:spacing w:line="360" w:lineRule="auto"/>
              <w:jc w:val="both"/>
              <w:rPr>
                <w:rFonts w:ascii="Book Antiqua" w:hAnsi="Book Antiqua"/>
              </w:rPr>
            </w:pPr>
            <w:r w:rsidRPr="00DB66A3">
              <w:rPr>
                <w:rFonts w:ascii="Book Antiqua" w:hAnsi="Book Antiqua"/>
              </w:rPr>
              <w:t>Tanner stage</w:t>
            </w:r>
          </w:p>
        </w:tc>
        <w:tc>
          <w:tcPr>
            <w:tcW w:w="3923" w:type="dxa"/>
          </w:tcPr>
          <w:p w14:paraId="14B76009" w14:textId="77777777" w:rsidR="00A00B2A" w:rsidRPr="00DB66A3" w:rsidRDefault="00A00B2A" w:rsidP="003B551B">
            <w:pPr>
              <w:spacing w:line="360" w:lineRule="auto"/>
              <w:jc w:val="both"/>
              <w:rPr>
                <w:rFonts w:ascii="Book Antiqua" w:hAnsi="Book Antiqua"/>
              </w:rPr>
            </w:pPr>
            <w:r w:rsidRPr="00DB66A3">
              <w:rPr>
                <w:rFonts w:ascii="Book Antiqua" w:hAnsi="Book Antiqua"/>
              </w:rPr>
              <w:t>B2</w:t>
            </w:r>
          </w:p>
        </w:tc>
        <w:tc>
          <w:tcPr>
            <w:tcW w:w="3924" w:type="dxa"/>
          </w:tcPr>
          <w:p w14:paraId="59EC0805" w14:textId="77777777" w:rsidR="00A00B2A" w:rsidRPr="00DB66A3" w:rsidRDefault="00A00B2A" w:rsidP="003B551B">
            <w:pPr>
              <w:spacing w:line="360" w:lineRule="auto"/>
              <w:jc w:val="both"/>
              <w:rPr>
                <w:rFonts w:ascii="Book Antiqua" w:hAnsi="Book Antiqua"/>
              </w:rPr>
            </w:pPr>
            <w:r w:rsidRPr="00DB66A3">
              <w:rPr>
                <w:rFonts w:ascii="Book Antiqua" w:hAnsi="Book Antiqua"/>
              </w:rPr>
              <w:t>B2</w:t>
            </w:r>
          </w:p>
        </w:tc>
      </w:tr>
      <w:tr w:rsidR="00A00B2A" w:rsidRPr="00DB66A3" w14:paraId="38DB87C6" w14:textId="77777777" w:rsidTr="003B551B">
        <w:trPr>
          <w:trHeight w:val="381"/>
        </w:trPr>
        <w:tc>
          <w:tcPr>
            <w:tcW w:w="4104" w:type="dxa"/>
          </w:tcPr>
          <w:p w14:paraId="477A020A" w14:textId="77777777" w:rsidR="00A00B2A" w:rsidRPr="00DB66A3" w:rsidRDefault="00A00B2A" w:rsidP="003B551B">
            <w:pPr>
              <w:spacing w:line="360" w:lineRule="auto"/>
              <w:jc w:val="both"/>
              <w:rPr>
                <w:rFonts w:ascii="Book Antiqua" w:hAnsi="Book Antiqua"/>
              </w:rPr>
            </w:pPr>
            <w:r w:rsidRPr="00DB66A3">
              <w:rPr>
                <w:rFonts w:ascii="Book Antiqua" w:hAnsi="Book Antiqua"/>
              </w:rPr>
              <w:t>Pubarche stage</w:t>
            </w:r>
          </w:p>
        </w:tc>
        <w:tc>
          <w:tcPr>
            <w:tcW w:w="3923" w:type="dxa"/>
          </w:tcPr>
          <w:p w14:paraId="2EAD1D24" w14:textId="77777777" w:rsidR="00A00B2A" w:rsidRPr="00DB66A3" w:rsidRDefault="00A00B2A" w:rsidP="003B551B">
            <w:pPr>
              <w:spacing w:line="360" w:lineRule="auto"/>
              <w:jc w:val="both"/>
              <w:rPr>
                <w:rFonts w:ascii="Book Antiqua" w:hAnsi="Book Antiqua"/>
              </w:rPr>
            </w:pPr>
            <w:r w:rsidRPr="00DB66A3">
              <w:rPr>
                <w:rFonts w:ascii="Book Antiqua" w:hAnsi="Book Antiqua"/>
              </w:rPr>
              <w:t>PH1</w:t>
            </w:r>
          </w:p>
        </w:tc>
        <w:tc>
          <w:tcPr>
            <w:tcW w:w="3924" w:type="dxa"/>
          </w:tcPr>
          <w:p w14:paraId="4243A9F2" w14:textId="77777777" w:rsidR="00A00B2A" w:rsidRPr="00DB66A3" w:rsidRDefault="00A00B2A" w:rsidP="003B551B">
            <w:pPr>
              <w:spacing w:line="360" w:lineRule="auto"/>
              <w:jc w:val="both"/>
              <w:rPr>
                <w:rFonts w:ascii="Book Antiqua" w:hAnsi="Book Antiqua"/>
              </w:rPr>
            </w:pPr>
            <w:r w:rsidRPr="00DB66A3">
              <w:rPr>
                <w:rFonts w:ascii="Book Antiqua" w:hAnsi="Book Antiqua"/>
              </w:rPr>
              <w:t>PH1</w:t>
            </w:r>
          </w:p>
        </w:tc>
      </w:tr>
      <w:tr w:rsidR="00A00B2A" w:rsidRPr="00DB66A3" w14:paraId="69DE12FC" w14:textId="77777777" w:rsidTr="003B551B">
        <w:trPr>
          <w:trHeight w:val="381"/>
        </w:trPr>
        <w:tc>
          <w:tcPr>
            <w:tcW w:w="4104" w:type="dxa"/>
          </w:tcPr>
          <w:p w14:paraId="58F48F1E" w14:textId="77777777" w:rsidR="00A00B2A" w:rsidRPr="00DB66A3" w:rsidRDefault="00A00B2A" w:rsidP="003B551B">
            <w:pPr>
              <w:spacing w:line="360" w:lineRule="auto"/>
              <w:jc w:val="both"/>
              <w:rPr>
                <w:rFonts w:ascii="Book Antiqua" w:hAnsi="Book Antiqua"/>
              </w:rPr>
            </w:pPr>
            <w:r w:rsidRPr="00DB66A3">
              <w:rPr>
                <w:rFonts w:ascii="Book Antiqua" w:hAnsi="Book Antiqua"/>
              </w:rPr>
              <w:t>Basal LH (mIU/mL)</w:t>
            </w:r>
          </w:p>
        </w:tc>
        <w:tc>
          <w:tcPr>
            <w:tcW w:w="3923" w:type="dxa"/>
          </w:tcPr>
          <w:p w14:paraId="39236A16" w14:textId="77777777" w:rsidR="00A00B2A" w:rsidRPr="00DB66A3" w:rsidRDefault="00A00B2A" w:rsidP="003B551B">
            <w:pPr>
              <w:spacing w:line="360" w:lineRule="auto"/>
              <w:jc w:val="both"/>
              <w:rPr>
                <w:rFonts w:ascii="Book Antiqua" w:hAnsi="Book Antiqua"/>
              </w:rPr>
            </w:pPr>
            <w:r w:rsidRPr="00DB66A3">
              <w:rPr>
                <w:rFonts w:ascii="Book Antiqua" w:hAnsi="Book Antiqua"/>
              </w:rPr>
              <w:t>0.13</w:t>
            </w:r>
          </w:p>
        </w:tc>
        <w:tc>
          <w:tcPr>
            <w:tcW w:w="3924" w:type="dxa"/>
          </w:tcPr>
          <w:p w14:paraId="1EA98EF5" w14:textId="77777777" w:rsidR="00A00B2A" w:rsidRPr="00DB66A3" w:rsidRDefault="00A00B2A" w:rsidP="003B551B">
            <w:pPr>
              <w:spacing w:line="360" w:lineRule="auto"/>
              <w:jc w:val="both"/>
              <w:rPr>
                <w:rFonts w:ascii="Book Antiqua" w:hAnsi="Book Antiqua"/>
              </w:rPr>
            </w:pPr>
            <w:r w:rsidRPr="00DB66A3">
              <w:rPr>
                <w:rFonts w:ascii="Book Antiqua" w:hAnsi="Book Antiqua"/>
              </w:rPr>
              <w:t>N/A</w:t>
            </w:r>
          </w:p>
        </w:tc>
      </w:tr>
      <w:tr w:rsidR="00A00B2A" w:rsidRPr="00DB66A3" w14:paraId="1AD3FC43" w14:textId="77777777" w:rsidTr="003B551B">
        <w:trPr>
          <w:trHeight w:val="381"/>
        </w:trPr>
        <w:tc>
          <w:tcPr>
            <w:tcW w:w="4104" w:type="dxa"/>
          </w:tcPr>
          <w:p w14:paraId="078B406A" w14:textId="77777777" w:rsidR="00A00B2A" w:rsidRPr="00DB66A3" w:rsidRDefault="00A00B2A" w:rsidP="003B551B">
            <w:pPr>
              <w:spacing w:line="360" w:lineRule="auto"/>
              <w:jc w:val="both"/>
              <w:rPr>
                <w:rFonts w:ascii="Book Antiqua" w:hAnsi="Book Antiqua"/>
              </w:rPr>
            </w:pPr>
            <w:r w:rsidRPr="00DB66A3">
              <w:rPr>
                <w:rFonts w:ascii="Book Antiqua" w:hAnsi="Book Antiqua"/>
              </w:rPr>
              <w:t>Peak LH (mIU/mL)</w:t>
            </w:r>
          </w:p>
        </w:tc>
        <w:tc>
          <w:tcPr>
            <w:tcW w:w="3923" w:type="dxa"/>
          </w:tcPr>
          <w:p w14:paraId="0432E772" w14:textId="77777777" w:rsidR="00A00B2A" w:rsidRPr="00DB66A3" w:rsidRDefault="00A00B2A" w:rsidP="003B551B">
            <w:pPr>
              <w:spacing w:line="360" w:lineRule="auto"/>
              <w:jc w:val="both"/>
              <w:rPr>
                <w:rFonts w:ascii="Book Antiqua" w:hAnsi="Book Antiqua"/>
              </w:rPr>
            </w:pPr>
            <w:r w:rsidRPr="00DB66A3">
              <w:rPr>
                <w:rFonts w:ascii="Book Antiqua" w:hAnsi="Book Antiqua"/>
              </w:rPr>
              <w:t>4.71</w:t>
            </w:r>
          </w:p>
        </w:tc>
        <w:tc>
          <w:tcPr>
            <w:tcW w:w="3924" w:type="dxa"/>
          </w:tcPr>
          <w:p w14:paraId="2FE5B816" w14:textId="77777777" w:rsidR="00A00B2A" w:rsidRPr="00DB66A3" w:rsidRDefault="00A00B2A" w:rsidP="003B551B">
            <w:pPr>
              <w:spacing w:line="360" w:lineRule="auto"/>
              <w:jc w:val="both"/>
              <w:rPr>
                <w:rFonts w:ascii="Book Antiqua" w:hAnsi="Book Antiqua"/>
              </w:rPr>
            </w:pPr>
            <w:r w:rsidRPr="00DB66A3">
              <w:rPr>
                <w:rFonts w:ascii="Book Antiqua" w:hAnsi="Book Antiqua"/>
              </w:rPr>
              <w:t>15.81</w:t>
            </w:r>
          </w:p>
        </w:tc>
      </w:tr>
      <w:tr w:rsidR="00A00B2A" w:rsidRPr="00DB66A3" w14:paraId="647591D7" w14:textId="77777777" w:rsidTr="003B551B">
        <w:trPr>
          <w:trHeight w:val="381"/>
        </w:trPr>
        <w:tc>
          <w:tcPr>
            <w:tcW w:w="4104" w:type="dxa"/>
          </w:tcPr>
          <w:p w14:paraId="518148C4" w14:textId="77777777" w:rsidR="00A00B2A" w:rsidRPr="00DB66A3" w:rsidRDefault="00A00B2A" w:rsidP="003B551B">
            <w:pPr>
              <w:spacing w:line="360" w:lineRule="auto"/>
              <w:jc w:val="both"/>
              <w:rPr>
                <w:rFonts w:ascii="Book Antiqua" w:hAnsi="Book Antiqua"/>
              </w:rPr>
            </w:pPr>
            <w:r w:rsidRPr="00DB66A3">
              <w:rPr>
                <w:rFonts w:ascii="Book Antiqua" w:hAnsi="Book Antiqua"/>
              </w:rPr>
              <w:t>Basal FSH (mIU/mL)</w:t>
            </w:r>
          </w:p>
        </w:tc>
        <w:tc>
          <w:tcPr>
            <w:tcW w:w="3923" w:type="dxa"/>
          </w:tcPr>
          <w:p w14:paraId="67D16A68" w14:textId="77777777" w:rsidR="00A00B2A" w:rsidRPr="00DB66A3" w:rsidRDefault="00A00B2A" w:rsidP="003B551B">
            <w:pPr>
              <w:spacing w:line="360" w:lineRule="auto"/>
              <w:jc w:val="both"/>
              <w:rPr>
                <w:rFonts w:ascii="Book Antiqua" w:hAnsi="Book Antiqua"/>
              </w:rPr>
            </w:pPr>
            <w:r w:rsidRPr="00DB66A3">
              <w:rPr>
                <w:rFonts w:ascii="Book Antiqua" w:hAnsi="Book Antiqua"/>
              </w:rPr>
              <w:t>2.71</w:t>
            </w:r>
          </w:p>
        </w:tc>
        <w:tc>
          <w:tcPr>
            <w:tcW w:w="3924" w:type="dxa"/>
          </w:tcPr>
          <w:p w14:paraId="67EC0480" w14:textId="77777777" w:rsidR="00A00B2A" w:rsidRPr="00DB66A3" w:rsidRDefault="00A00B2A" w:rsidP="003B551B">
            <w:pPr>
              <w:spacing w:line="360" w:lineRule="auto"/>
              <w:jc w:val="both"/>
              <w:rPr>
                <w:rFonts w:ascii="Book Antiqua" w:hAnsi="Book Antiqua"/>
              </w:rPr>
            </w:pPr>
            <w:r w:rsidRPr="00DB66A3">
              <w:rPr>
                <w:rFonts w:ascii="Book Antiqua" w:hAnsi="Book Antiqua"/>
              </w:rPr>
              <w:t>N/A</w:t>
            </w:r>
          </w:p>
        </w:tc>
      </w:tr>
      <w:tr w:rsidR="00A00B2A" w:rsidRPr="00DB66A3" w14:paraId="35F745A1" w14:textId="77777777" w:rsidTr="003B551B">
        <w:trPr>
          <w:trHeight w:val="381"/>
        </w:trPr>
        <w:tc>
          <w:tcPr>
            <w:tcW w:w="4104" w:type="dxa"/>
          </w:tcPr>
          <w:p w14:paraId="0D68E22A" w14:textId="77777777" w:rsidR="00A00B2A" w:rsidRPr="00DB66A3" w:rsidRDefault="00A00B2A" w:rsidP="003B551B">
            <w:pPr>
              <w:spacing w:line="360" w:lineRule="auto"/>
              <w:jc w:val="both"/>
              <w:rPr>
                <w:rFonts w:ascii="Book Antiqua" w:hAnsi="Book Antiqua"/>
              </w:rPr>
            </w:pPr>
            <w:r w:rsidRPr="00DB66A3">
              <w:rPr>
                <w:rFonts w:ascii="Book Antiqua" w:hAnsi="Book Antiqua"/>
              </w:rPr>
              <w:t>Peak FSH (mIU/mL)</w:t>
            </w:r>
          </w:p>
        </w:tc>
        <w:tc>
          <w:tcPr>
            <w:tcW w:w="3923" w:type="dxa"/>
          </w:tcPr>
          <w:p w14:paraId="0BB91ECE" w14:textId="77777777" w:rsidR="00A00B2A" w:rsidRPr="00DB66A3" w:rsidRDefault="00A00B2A" w:rsidP="003B551B">
            <w:pPr>
              <w:spacing w:line="360" w:lineRule="auto"/>
              <w:jc w:val="both"/>
              <w:rPr>
                <w:rFonts w:ascii="Book Antiqua" w:hAnsi="Book Antiqua"/>
              </w:rPr>
            </w:pPr>
            <w:r w:rsidRPr="00DB66A3">
              <w:rPr>
                <w:rFonts w:ascii="Book Antiqua" w:hAnsi="Book Antiqua"/>
              </w:rPr>
              <w:t>16.48</w:t>
            </w:r>
          </w:p>
        </w:tc>
        <w:tc>
          <w:tcPr>
            <w:tcW w:w="3924" w:type="dxa"/>
          </w:tcPr>
          <w:p w14:paraId="57DF8B7E" w14:textId="77777777" w:rsidR="00A00B2A" w:rsidRPr="00DB66A3" w:rsidRDefault="00A00B2A" w:rsidP="003B551B">
            <w:pPr>
              <w:spacing w:line="360" w:lineRule="auto"/>
              <w:jc w:val="both"/>
              <w:rPr>
                <w:rFonts w:ascii="Book Antiqua" w:hAnsi="Book Antiqua"/>
              </w:rPr>
            </w:pPr>
            <w:r w:rsidRPr="00DB66A3">
              <w:rPr>
                <w:rFonts w:ascii="Book Antiqua" w:hAnsi="Book Antiqua"/>
              </w:rPr>
              <w:t>N/A</w:t>
            </w:r>
          </w:p>
        </w:tc>
      </w:tr>
      <w:tr w:rsidR="00A00B2A" w:rsidRPr="00DB66A3" w14:paraId="503BFF1E" w14:textId="77777777" w:rsidTr="003B551B">
        <w:trPr>
          <w:trHeight w:val="381"/>
        </w:trPr>
        <w:tc>
          <w:tcPr>
            <w:tcW w:w="4104" w:type="dxa"/>
          </w:tcPr>
          <w:p w14:paraId="6A36F7B2" w14:textId="77777777" w:rsidR="00A00B2A" w:rsidRPr="00DB66A3" w:rsidRDefault="00A00B2A" w:rsidP="003B551B">
            <w:pPr>
              <w:spacing w:line="360" w:lineRule="auto"/>
              <w:jc w:val="both"/>
              <w:rPr>
                <w:rFonts w:ascii="Book Antiqua" w:hAnsi="Book Antiqua"/>
              </w:rPr>
            </w:pPr>
            <w:r w:rsidRPr="00DB66A3">
              <w:rPr>
                <w:rFonts w:ascii="Book Antiqua" w:hAnsi="Book Antiqua"/>
              </w:rPr>
              <w:t>Estradiol(pg/ml)</w:t>
            </w:r>
          </w:p>
        </w:tc>
        <w:tc>
          <w:tcPr>
            <w:tcW w:w="3923" w:type="dxa"/>
          </w:tcPr>
          <w:p w14:paraId="59C94912" w14:textId="77777777" w:rsidR="00A00B2A" w:rsidRPr="00DB66A3" w:rsidRDefault="00A00B2A" w:rsidP="003B551B">
            <w:pPr>
              <w:spacing w:line="360" w:lineRule="auto"/>
              <w:jc w:val="both"/>
              <w:rPr>
                <w:rFonts w:ascii="Book Antiqua" w:hAnsi="Book Antiqua"/>
              </w:rPr>
            </w:pPr>
            <w:r w:rsidRPr="00DB66A3">
              <w:rPr>
                <w:rFonts w:ascii="Book Antiqua" w:hAnsi="Book Antiqua"/>
              </w:rPr>
              <w:t>25.26</w:t>
            </w:r>
          </w:p>
        </w:tc>
        <w:tc>
          <w:tcPr>
            <w:tcW w:w="3924" w:type="dxa"/>
          </w:tcPr>
          <w:p w14:paraId="1A05167A" w14:textId="77777777" w:rsidR="00A00B2A" w:rsidRPr="00DB66A3" w:rsidRDefault="00A00B2A" w:rsidP="003B551B">
            <w:pPr>
              <w:spacing w:line="360" w:lineRule="auto"/>
              <w:jc w:val="both"/>
              <w:rPr>
                <w:rFonts w:ascii="Book Antiqua" w:hAnsi="Book Antiqua"/>
              </w:rPr>
            </w:pPr>
            <w:r w:rsidRPr="00DB66A3">
              <w:rPr>
                <w:rFonts w:ascii="Book Antiqua" w:hAnsi="Book Antiqua"/>
              </w:rPr>
              <w:t>N/A</w:t>
            </w:r>
          </w:p>
        </w:tc>
      </w:tr>
      <w:tr w:rsidR="00A00B2A" w:rsidRPr="00DB66A3" w14:paraId="58E80D71" w14:textId="77777777" w:rsidTr="003B551B">
        <w:trPr>
          <w:trHeight w:val="381"/>
        </w:trPr>
        <w:tc>
          <w:tcPr>
            <w:tcW w:w="4104" w:type="dxa"/>
          </w:tcPr>
          <w:p w14:paraId="28B6EF9A" w14:textId="77777777" w:rsidR="00A00B2A" w:rsidRPr="00DB66A3" w:rsidRDefault="00A00B2A" w:rsidP="003B551B">
            <w:pPr>
              <w:spacing w:line="360" w:lineRule="auto"/>
              <w:jc w:val="both"/>
              <w:rPr>
                <w:rFonts w:ascii="Book Antiqua" w:hAnsi="Book Antiqua"/>
              </w:rPr>
            </w:pPr>
            <w:r w:rsidRPr="00DB66A3">
              <w:rPr>
                <w:rFonts w:ascii="Book Antiqua" w:hAnsi="Book Antiqua"/>
              </w:rPr>
              <w:t>Peak LH/FSH</w:t>
            </w:r>
          </w:p>
        </w:tc>
        <w:tc>
          <w:tcPr>
            <w:tcW w:w="3923" w:type="dxa"/>
          </w:tcPr>
          <w:p w14:paraId="0D12A849" w14:textId="77777777" w:rsidR="00A00B2A" w:rsidRPr="00DB66A3" w:rsidRDefault="00A00B2A" w:rsidP="003B551B">
            <w:pPr>
              <w:spacing w:line="360" w:lineRule="auto"/>
              <w:jc w:val="both"/>
              <w:rPr>
                <w:rFonts w:ascii="Book Antiqua" w:hAnsi="Book Antiqua"/>
              </w:rPr>
            </w:pPr>
            <w:r w:rsidRPr="00DB66A3">
              <w:rPr>
                <w:rFonts w:ascii="Book Antiqua" w:hAnsi="Book Antiqua"/>
              </w:rPr>
              <w:t>0.29</w:t>
            </w:r>
          </w:p>
        </w:tc>
        <w:tc>
          <w:tcPr>
            <w:tcW w:w="3924" w:type="dxa"/>
          </w:tcPr>
          <w:p w14:paraId="1FCEBAFC" w14:textId="77777777" w:rsidR="00A00B2A" w:rsidRPr="00DB66A3" w:rsidRDefault="00A00B2A" w:rsidP="003B551B">
            <w:pPr>
              <w:spacing w:line="360" w:lineRule="auto"/>
              <w:jc w:val="both"/>
              <w:rPr>
                <w:rFonts w:ascii="Book Antiqua" w:hAnsi="Book Antiqua"/>
              </w:rPr>
            </w:pPr>
            <w:r w:rsidRPr="00DB66A3">
              <w:rPr>
                <w:rFonts w:ascii="Book Antiqua" w:hAnsi="Book Antiqua"/>
              </w:rPr>
              <w:t>N/A</w:t>
            </w:r>
          </w:p>
        </w:tc>
      </w:tr>
      <w:tr w:rsidR="00A00B2A" w:rsidRPr="00DB66A3" w14:paraId="4C36B95E" w14:textId="77777777" w:rsidTr="003B551B">
        <w:trPr>
          <w:trHeight w:val="381"/>
        </w:trPr>
        <w:tc>
          <w:tcPr>
            <w:tcW w:w="4104" w:type="dxa"/>
          </w:tcPr>
          <w:p w14:paraId="59589538" w14:textId="77777777" w:rsidR="00A00B2A" w:rsidRPr="00DB66A3" w:rsidRDefault="00A00B2A" w:rsidP="003B551B">
            <w:pPr>
              <w:spacing w:line="360" w:lineRule="auto"/>
              <w:jc w:val="both"/>
              <w:rPr>
                <w:rFonts w:ascii="Book Antiqua" w:hAnsi="Book Antiqua"/>
              </w:rPr>
            </w:pPr>
            <w:r w:rsidRPr="00DB66A3">
              <w:rPr>
                <w:rFonts w:ascii="Book Antiqua" w:hAnsi="Book Antiqua"/>
              </w:rPr>
              <w:t>Uterine (mL)</w:t>
            </w:r>
          </w:p>
        </w:tc>
        <w:tc>
          <w:tcPr>
            <w:tcW w:w="3923" w:type="dxa"/>
          </w:tcPr>
          <w:p w14:paraId="36617823" w14:textId="77777777" w:rsidR="00A00B2A" w:rsidRPr="00DB66A3" w:rsidRDefault="00A00B2A" w:rsidP="003B551B">
            <w:pPr>
              <w:spacing w:line="360" w:lineRule="auto"/>
              <w:jc w:val="both"/>
              <w:rPr>
                <w:rFonts w:ascii="Book Antiqua" w:hAnsi="Book Antiqua"/>
              </w:rPr>
            </w:pPr>
            <w:r w:rsidRPr="00DB66A3">
              <w:rPr>
                <w:rFonts w:ascii="Book Antiqua" w:hAnsi="Book Antiqua"/>
              </w:rPr>
              <w:t>2.9</w:t>
            </w:r>
          </w:p>
        </w:tc>
        <w:tc>
          <w:tcPr>
            <w:tcW w:w="3924" w:type="dxa"/>
          </w:tcPr>
          <w:p w14:paraId="544A94AE" w14:textId="77777777" w:rsidR="00A00B2A" w:rsidRPr="00DB66A3" w:rsidRDefault="00A00B2A" w:rsidP="003B551B">
            <w:pPr>
              <w:spacing w:line="360" w:lineRule="auto"/>
              <w:jc w:val="both"/>
              <w:rPr>
                <w:rFonts w:ascii="Book Antiqua" w:hAnsi="Book Antiqua"/>
              </w:rPr>
            </w:pPr>
            <w:r w:rsidRPr="00DB66A3">
              <w:rPr>
                <w:rFonts w:ascii="Book Antiqua" w:hAnsi="Book Antiqua"/>
              </w:rPr>
              <w:t>5.3</w:t>
            </w:r>
          </w:p>
        </w:tc>
      </w:tr>
      <w:tr w:rsidR="00A00B2A" w:rsidRPr="00DB66A3" w14:paraId="1A147746" w14:textId="77777777" w:rsidTr="003B551B">
        <w:trPr>
          <w:trHeight w:val="381"/>
        </w:trPr>
        <w:tc>
          <w:tcPr>
            <w:tcW w:w="4104" w:type="dxa"/>
          </w:tcPr>
          <w:p w14:paraId="6A722309" w14:textId="77777777" w:rsidR="00A00B2A" w:rsidRPr="00DB66A3" w:rsidRDefault="00A00B2A" w:rsidP="003B551B">
            <w:pPr>
              <w:spacing w:line="360" w:lineRule="auto"/>
              <w:jc w:val="both"/>
              <w:rPr>
                <w:rFonts w:ascii="Book Antiqua" w:hAnsi="Book Antiqua"/>
              </w:rPr>
            </w:pPr>
            <w:r w:rsidRPr="00DB66A3">
              <w:rPr>
                <w:rFonts w:ascii="Book Antiqua" w:hAnsi="Book Antiqua"/>
              </w:rPr>
              <w:t>Left Ovary (mL)</w:t>
            </w:r>
          </w:p>
        </w:tc>
        <w:tc>
          <w:tcPr>
            <w:tcW w:w="3923" w:type="dxa"/>
          </w:tcPr>
          <w:p w14:paraId="37B712F2" w14:textId="77777777" w:rsidR="00A00B2A" w:rsidRPr="00DB66A3" w:rsidRDefault="00A00B2A" w:rsidP="003B551B">
            <w:pPr>
              <w:spacing w:line="360" w:lineRule="auto"/>
              <w:jc w:val="both"/>
              <w:rPr>
                <w:rFonts w:ascii="Book Antiqua" w:hAnsi="Book Antiqua"/>
              </w:rPr>
            </w:pPr>
            <w:r w:rsidRPr="00DB66A3">
              <w:rPr>
                <w:rFonts w:ascii="Book Antiqua" w:hAnsi="Book Antiqua"/>
              </w:rPr>
              <w:t>1.2</w:t>
            </w:r>
          </w:p>
        </w:tc>
        <w:tc>
          <w:tcPr>
            <w:tcW w:w="3924" w:type="dxa"/>
          </w:tcPr>
          <w:p w14:paraId="055E9F5D" w14:textId="77777777" w:rsidR="00A00B2A" w:rsidRPr="00DB66A3" w:rsidRDefault="00A00B2A" w:rsidP="003B551B">
            <w:pPr>
              <w:spacing w:line="360" w:lineRule="auto"/>
              <w:jc w:val="both"/>
              <w:rPr>
                <w:rFonts w:ascii="Book Antiqua" w:hAnsi="Book Antiqua"/>
              </w:rPr>
            </w:pPr>
            <w:r w:rsidRPr="00DB66A3">
              <w:rPr>
                <w:rFonts w:ascii="Book Antiqua" w:hAnsi="Book Antiqua"/>
              </w:rPr>
              <w:t>1.9</w:t>
            </w:r>
          </w:p>
        </w:tc>
      </w:tr>
      <w:tr w:rsidR="00A00B2A" w:rsidRPr="00DB66A3" w14:paraId="329FB929" w14:textId="77777777" w:rsidTr="003B551B">
        <w:trPr>
          <w:trHeight w:val="381"/>
        </w:trPr>
        <w:tc>
          <w:tcPr>
            <w:tcW w:w="4104" w:type="dxa"/>
          </w:tcPr>
          <w:p w14:paraId="1E306CA8" w14:textId="77777777" w:rsidR="00A00B2A" w:rsidRPr="00DB66A3" w:rsidRDefault="00A00B2A" w:rsidP="003B551B">
            <w:pPr>
              <w:spacing w:line="360" w:lineRule="auto"/>
              <w:jc w:val="both"/>
              <w:rPr>
                <w:rFonts w:ascii="Book Antiqua" w:hAnsi="Book Antiqua"/>
              </w:rPr>
            </w:pPr>
            <w:r w:rsidRPr="00DB66A3">
              <w:rPr>
                <w:rFonts w:ascii="Book Antiqua" w:hAnsi="Book Antiqua"/>
              </w:rPr>
              <w:t>Right Ovary (mL)</w:t>
            </w:r>
          </w:p>
        </w:tc>
        <w:tc>
          <w:tcPr>
            <w:tcW w:w="3923" w:type="dxa"/>
          </w:tcPr>
          <w:p w14:paraId="42C533A9" w14:textId="77777777" w:rsidR="00A00B2A" w:rsidRPr="00DB66A3" w:rsidRDefault="00A00B2A" w:rsidP="003B551B">
            <w:pPr>
              <w:spacing w:line="360" w:lineRule="auto"/>
              <w:jc w:val="both"/>
              <w:rPr>
                <w:rFonts w:ascii="Book Antiqua" w:hAnsi="Book Antiqua"/>
              </w:rPr>
            </w:pPr>
            <w:r w:rsidRPr="00DB66A3">
              <w:rPr>
                <w:rFonts w:ascii="Book Antiqua" w:hAnsi="Book Antiqua"/>
              </w:rPr>
              <w:t>1.7</w:t>
            </w:r>
          </w:p>
        </w:tc>
        <w:tc>
          <w:tcPr>
            <w:tcW w:w="3924" w:type="dxa"/>
          </w:tcPr>
          <w:p w14:paraId="225BB0F0" w14:textId="77777777" w:rsidR="00A00B2A" w:rsidRPr="00DB66A3" w:rsidRDefault="00A00B2A" w:rsidP="003B551B">
            <w:pPr>
              <w:spacing w:line="360" w:lineRule="auto"/>
              <w:jc w:val="both"/>
              <w:rPr>
                <w:rFonts w:ascii="Book Antiqua" w:hAnsi="Book Antiqua"/>
              </w:rPr>
            </w:pPr>
            <w:r w:rsidRPr="00DB66A3">
              <w:rPr>
                <w:rFonts w:ascii="Book Antiqua" w:hAnsi="Book Antiqua"/>
              </w:rPr>
              <w:t>1.8</w:t>
            </w:r>
          </w:p>
        </w:tc>
      </w:tr>
      <w:tr w:rsidR="00A00B2A" w:rsidRPr="00A962FB" w14:paraId="4FD260BE" w14:textId="77777777" w:rsidTr="003B551B">
        <w:trPr>
          <w:trHeight w:val="381"/>
        </w:trPr>
        <w:tc>
          <w:tcPr>
            <w:tcW w:w="4104" w:type="dxa"/>
            <w:tcBorders>
              <w:bottom w:val="single" w:sz="4" w:space="0" w:color="auto"/>
            </w:tcBorders>
          </w:tcPr>
          <w:p w14:paraId="348F28CC" w14:textId="77777777" w:rsidR="00A00B2A" w:rsidRPr="00DB66A3" w:rsidRDefault="00A00B2A" w:rsidP="003B551B">
            <w:pPr>
              <w:spacing w:line="360" w:lineRule="auto"/>
              <w:jc w:val="both"/>
              <w:rPr>
                <w:rFonts w:ascii="Book Antiqua" w:hAnsi="Book Antiqua"/>
              </w:rPr>
            </w:pPr>
            <w:r w:rsidRPr="00DB66A3">
              <w:rPr>
                <w:rFonts w:ascii="Book Antiqua" w:hAnsi="Book Antiqua"/>
              </w:rPr>
              <w:t>Brain magnetic resonance imaging</w:t>
            </w:r>
          </w:p>
        </w:tc>
        <w:tc>
          <w:tcPr>
            <w:tcW w:w="3923" w:type="dxa"/>
            <w:tcBorders>
              <w:bottom w:val="single" w:sz="4" w:space="0" w:color="auto"/>
            </w:tcBorders>
          </w:tcPr>
          <w:p w14:paraId="731CD7D9" w14:textId="77777777" w:rsidR="00A00B2A" w:rsidRPr="00DB66A3" w:rsidRDefault="00A00B2A" w:rsidP="003B551B">
            <w:pPr>
              <w:spacing w:line="360" w:lineRule="auto"/>
              <w:jc w:val="both"/>
              <w:rPr>
                <w:rFonts w:ascii="Book Antiqua" w:hAnsi="Book Antiqua"/>
              </w:rPr>
            </w:pPr>
            <w:r w:rsidRPr="00DB66A3">
              <w:rPr>
                <w:rFonts w:ascii="Book Antiqua" w:hAnsi="Book Antiqua"/>
              </w:rPr>
              <w:t>Normal</w:t>
            </w:r>
          </w:p>
        </w:tc>
        <w:tc>
          <w:tcPr>
            <w:tcW w:w="3924" w:type="dxa"/>
            <w:tcBorders>
              <w:bottom w:val="single" w:sz="4" w:space="0" w:color="auto"/>
            </w:tcBorders>
          </w:tcPr>
          <w:p w14:paraId="34919373" w14:textId="77777777" w:rsidR="00A00B2A" w:rsidRPr="00A962FB" w:rsidRDefault="00A00B2A" w:rsidP="003B551B">
            <w:pPr>
              <w:spacing w:line="360" w:lineRule="auto"/>
              <w:jc w:val="both"/>
              <w:rPr>
                <w:rFonts w:ascii="Book Antiqua" w:hAnsi="Book Antiqua"/>
              </w:rPr>
            </w:pPr>
            <w:r w:rsidRPr="00DB66A3">
              <w:rPr>
                <w:rFonts w:ascii="Book Antiqua" w:hAnsi="Book Antiqua"/>
              </w:rPr>
              <w:t>Normal</w:t>
            </w:r>
          </w:p>
        </w:tc>
      </w:tr>
    </w:tbl>
    <w:p w14:paraId="0579861E" w14:textId="640F6092" w:rsidR="007409B8" w:rsidRDefault="007409B8">
      <w:pPr>
        <w:spacing w:line="360" w:lineRule="auto"/>
        <w:jc w:val="both"/>
      </w:pPr>
    </w:p>
    <w:p w14:paraId="3CF8BA6C" w14:textId="77777777" w:rsidR="007409B8" w:rsidRDefault="007409B8">
      <w:r>
        <w:br w:type="page"/>
      </w:r>
    </w:p>
    <w:p w14:paraId="2D14A4F7" w14:textId="77777777" w:rsidR="007409B8" w:rsidRDefault="007409B8" w:rsidP="007409B8">
      <w:pPr>
        <w:jc w:val="center"/>
        <w:rPr>
          <w:rFonts w:ascii="Book Antiqua" w:hAnsi="Book Antiqua"/>
          <w:lang w:eastAsia="zh-CN"/>
        </w:rPr>
      </w:pPr>
    </w:p>
    <w:p w14:paraId="0C096882" w14:textId="77777777" w:rsidR="007409B8" w:rsidRDefault="007409B8" w:rsidP="007409B8">
      <w:pPr>
        <w:jc w:val="center"/>
        <w:rPr>
          <w:rFonts w:ascii="Book Antiqua" w:hAnsi="Book Antiqua"/>
          <w:lang w:eastAsia="zh-CN"/>
        </w:rPr>
      </w:pPr>
    </w:p>
    <w:p w14:paraId="5FFAEF5C" w14:textId="77777777" w:rsidR="007409B8" w:rsidRDefault="007409B8" w:rsidP="007409B8">
      <w:pPr>
        <w:jc w:val="center"/>
        <w:rPr>
          <w:rFonts w:ascii="Book Antiqua" w:hAnsi="Book Antiqua"/>
          <w:lang w:eastAsia="zh-CN"/>
        </w:rPr>
      </w:pPr>
    </w:p>
    <w:p w14:paraId="38BD75BD" w14:textId="77777777" w:rsidR="007409B8" w:rsidRDefault="007409B8" w:rsidP="007409B8">
      <w:pPr>
        <w:jc w:val="center"/>
        <w:rPr>
          <w:rFonts w:ascii="Book Antiqua" w:hAnsi="Book Antiqua"/>
          <w:lang w:eastAsia="zh-CN"/>
        </w:rPr>
      </w:pPr>
    </w:p>
    <w:p w14:paraId="575A9AEA" w14:textId="77777777" w:rsidR="007409B8" w:rsidRDefault="007409B8" w:rsidP="007409B8">
      <w:pPr>
        <w:jc w:val="center"/>
        <w:rPr>
          <w:rFonts w:ascii="Book Antiqua" w:hAnsi="Book Antiqua"/>
          <w:lang w:eastAsia="zh-CN"/>
        </w:rPr>
      </w:pPr>
    </w:p>
    <w:p w14:paraId="49F5F93F" w14:textId="77777777" w:rsidR="007409B8" w:rsidRDefault="007409B8" w:rsidP="007409B8">
      <w:pPr>
        <w:jc w:val="center"/>
        <w:rPr>
          <w:rFonts w:ascii="Book Antiqua" w:hAnsi="Book Antiqua"/>
          <w:lang w:eastAsia="zh-CN"/>
        </w:rPr>
      </w:pPr>
      <w:r>
        <w:rPr>
          <w:rFonts w:ascii="Book Antiqua" w:hAnsi="Book Antiqua"/>
          <w:noProof/>
          <w:lang w:eastAsia="zh-CN"/>
        </w:rPr>
        <w:drawing>
          <wp:inline distT="0" distB="0" distL="0" distR="0" wp14:anchorId="2F1ED10A" wp14:editId="4C4647B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67B17C" w14:textId="77777777" w:rsidR="007409B8" w:rsidRDefault="007409B8" w:rsidP="007409B8">
      <w:pPr>
        <w:jc w:val="center"/>
        <w:rPr>
          <w:rFonts w:ascii="Book Antiqua" w:hAnsi="Book Antiqua"/>
          <w:lang w:eastAsia="zh-CN"/>
        </w:rPr>
      </w:pPr>
    </w:p>
    <w:p w14:paraId="3110ECD1" w14:textId="77777777" w:rsidR="007409B8" w:rsidRPr="00763D22" w:rsidRDefault="007409B8" w:rsidP="007409B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159D0AF" w14:textId="77777777" w:rsidR="007409B8" w:rsidRPr="00763D22" w:rsidRDefault="007409B8" w:rsidP="007409B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DA7C3B6" w14:textId="77777777" w:rsidR="007409B8" w:rsidRPr="00763D22" w:rsidRDefault="007409B8" w:rsidP="007409B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80BD397" w14:textId="77777777" w:rsidR="007409B8" w:rsidRPr="00763D22" w:rsidRDefault="007409B8" w:rsidP="007409B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8C123B9" w14:textId="77777777" w:rsidR="007409B8" w:rsidRPr="00763D22" w:rsidRDefault="007409B8" w:rsidP="007409B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48417D7" w14:textId="77777777" w:rsidR="007409B8" w:rsidRPr="00763D22" w:rsidRDefault="007409B8" w:rsidP="007409B8">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A9396AF" w14:textId="77777777" w:rsidR="007409B8" w:rsidRDefault="007409B8" w:rsidP="007409B8">
      <w:pPr>
        <w:jc w:val="center"/>
        <w:rPr>
          <w:rFonts w:ascii="Book Antiqua" w:hAnsi="Book Antiqua"/>
          <w:lang w:eastAsia="zh-CN"/>
        </w:rPr>
      </w:pPr>
    </w:p>
    <w:p w14:paraId="5B08698D" w14:textId="77777777" w:rsidR="007409B8" w:rsidRDefault="007409B8" w:rsidP="007409B8">
      <w:pPr>
        <w:jc w:val="center"/>
        <w:rPr>
          <w:rFonts w:ascii="Book Antiqua" w:hAnsi="Book Antiqua"/>
          <w:lang w:eastAsia="zh-CN"/>
        </w:rPr>
      </w:pPr>
    </w:p>
    <w:p w14:paraId="6CC625FB" w14:textId="77777777" w:rsidR="007409B8" w:rsidRDefault="007409B8" w:rsidP="007409B8">
      <w:pPr>
        <w:jc w:val="center"/>
        <w:rPr>
          <w:rFonts w:ascii="Book Antiqua" w:hAnsi="Book Antiqua"/>
          <w:lang w:eastAsia="zh-CN"/>
        </w:rPr>
      </w:pPr>
    </w:p>
    <w:p w14:paraId="08ABED45" w14:textId="77777777" w:rsidR="007409B8" w:rsidRDefault="007409B8" w:rsidP="007409B8">
      <w:pPr>
        <w:jc w:val="center"/>
        <w:rPr>
          <w:rFonts w:ascii="Book Antiqua" w:hAnsi="Book Antiqua"/>
          <w:lang w:eastAsia="zh-CN"/>
        </w:rPr>
      </w:pPr>
      <w:r>
        <w:rPr>
          <w:rFonts w:ascii="Book Antiqua" w:hAnsi="Book Antiqua"/>
          <w:noProof/>
          <w:lang w:eastAsia="zh-CN"/>
        </w:rPr>
        <w:drawing>
          <wp:inline distT="0" distB="0" distL="0" distR="0" wp14:anchorId="3F3B3F6E" wp14:editId="5EFD3F0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BA36E0" w14:textId="77777777" w:rsidR="007409B8" w:rsidRDefault="007409B8" w:rsidP="007409B8">
      <w:pPr>
        <w:jc w:val="center"/>
        <w:rPr>
          <w:rFonts w:ascii="Book Antiqua" w:hAnsi="Book Antiqua"/>
          <w:lang w:eastAsia="zh-CN"/>
        </w:rPr>
      </w:pPr>
    </w:p>
    <w:p w14:paraId="70D7FBCD" w14:textId="77777777" w:rsidR="007409B8" w:rsidRDefault="007409B8" w:rsidP="007409B8">
      <w:pPr>
        <w:jc w:val="center"/>
        <w:rPr>
          <w:rFonts w:ascii="Book Antiqua" w:hAnsi="Book Antiqua"/>
          <w:lang w:eastAsia="zh-CN"/>
        </w:rPr>
      </w:pPr>
    </w:p>
    <w:p w14:paraId="28E3CBCE" w14:textId="77777777" w:rsidR="007409B8" w:rsidRDefault="007409B8" w:rsidP="007409B8">
      <w:pPr>
        <w:jc w:val="center"/>
        <w:rPr>
          <w:rFonts w:ascii="Book Antiqua" w:hAnsi="Book Antiqua"/>
          <w:lang w:eastAsia="zh-CN"/>
        </w:rPr>
      </w:pPr>
    </w:p>
    <w:p w14:paraId="460E59B4" w14:textId="77777777" w:rsidR="007409B8" w:rsidRDefault="007409B8" w:rsidP="007409B8">
      <w:pPr>
        <w:jc w:val="center"/>
        <w:rPr>
          <w:rFonts w:ascii="Book Antiqua" w:hAnsi="Book Antiqua"/>
          <w:lang w:eastAsia="zh-CN"/>
        </w:rPr>
      </w:pPr>
    </w:p>
    <w:p w14:paraId="2F942D40" w14:textId="77777777" w:rsidR="007409B8" w:rsidRDefault="007409B8" w:rsidP="007409B8">
      <w:pPr>
        <w:jc w:val="center"/>
        <w:rPr>
          <w:rFonts w:ascii="Book Antiqua" w:hAnsi="Book Antiqua"/>
          <w:lang w:eastAsia="zh-CN"/>
        </w:rPr>
      </w:pPr>
    </w:p>
    <w:p w14:paraId="6298C870" w14:textId="77777777" w:rsidR="007409B8" w:rsidRDefault="007409B8" w:rsidP="007409B8">
      <w:pPr>
        <w:jc w:val="center"/>
        <w:rPr>
          <w:rFonts w:ascii="Book Antiqua" w:hAnsi="Book Antiqua"/>
          <w:lang w:eastAsia="zh-CN"/>
        </w:rPr>
      </w:pPr>
    </w:p>
    <w:p w14:paraId="1A4E68E0" w14:textId="77777777" w:rsidR="007409B8" w:rsidRDefault="007409B8" w:rsidP="007409B8">
      <w:pPr>
        <w:jc w:val="center"/>
        <w:rPr>
          <w:rFonts w:ascii="Book Antiqua" w:hAnsi="Book Antiqua"/>
          <w:lang w:eastAsia="zh-CN"/>
        </w:rPr>
      </w:pPr>
    </w:p>
    <w:p w14:paraId="4D1A1A56" w14:textId="77777777" w:rsidR="007409B8" w:rsidRDefault="007409B8" w:rsidP="007409B8">
      <w:pPr>
        <w:jc w:val="center"/>
        <w:rPr>
          <w:rFonts w:ascii="Book Antiqua" w:hAnsi="Book Antiqua"/>
          <w:lang w:eastAsia="zh-CN"/>
        </w:rPr>
      </w:pPr>
    </w:p>
    <w:p w14:paraId="7D714196" w14:textId="77777777" w:rsidR="007409B8" w:rsidRDefault="007409B8" w:rsidP="007409B8">
      <w:pPr>
        <w:jc w:val="center"/>
        <w:rPr>
          <w:rFonts w:ascii="Book Antiqua" w:hAnsi="Book Antiqua"/>
          <w:lang w:eastAsia="zh-CN"/>
        </w:rPr>
      </w:pPr>
    </w:p>
    <w:p w14:paraId="7CEE0A5B" w14:textId="77777777" w:rsidR="007409B8" w:rsidRPr="00763D22" w:rsidRDefault="007409B8" w:rsidP="007409B8">
      <w:pPr>
        <w:jc w:val="right"/>
        <w:rPr>
          <w:rFonts w:ascii="Book Antiqua" w:hAnsi="Book Antiqua"/>
          <w:color w:val="000000" w:themeColor="text1"/>
          <w:lang w:eastAsia="zh-CN"/>
        </w:rPr>
      </w:pPr>
    </w:p>
    <w:p w14:paraId="65EA2EB9" w14:textId="5310306E" w:rsidR="00A77B3E" w:rsidRDefault="007409B8" w:rsidP="002D044D">
      <w:pPr>
        <w:spacing w:line="360" w:lineRule="auto"/>
        <w:jc w:val="center"/>
      </w:pPr>
      <w:r w:rsidRPr="00763D22">
        <w:rPr>
          <w:rFonts w:ascii="Book Antiqua" w:eastAsia="BookAntiqua-Bold" w:hAnsi="Book Antiqua" w:cs="BookAntiqua-Bold"/>
          <w:b/>
          <w:bCs/>
          <w:color w:val="000000" w:themeColor="text1"/>
        </w:rPr>
        <w:t>© 2021 Baishideng Publishing Group Inc. All rights reserved.</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3930" w14:textId="77777777" w:rsidR="00012704" w:rsidRDefault="00012704" w:rsidP="00A00B2A">
      <w:r>
        <w:separator/>
      </w:r>
    </w:p>
  </w:endnote>
  <w:endnote w:type="continuationSeparator" w:id="0">
    <w:p w14:paraId="48F191A8" w14:textId="77777777" w:rsidR="00012704" w:rsidRDefault="00012704" w:rsidP="00A0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9C2C" w14:textId="77777777" w:rsidR="00A00B2A" w:rsidRPr="00A00B2A" w:rsidRDefault="00A00B2A" w:rsidP="00A00B2A">
    <w:pPr>
      <w:pStyle w:val="a6"/>
      <w:jc w:val="right"/>
      <w:rPr>
        <w:rFonts w:ascii="Book Antiqua" w:hAnsi="Book Antiqua"/>
        <w:color w:val="000000" w:themeColor="text1"/>
        <w:sz w:val="24"/>
        <w:szCs w:val="24"/>
      </w:rPr>
    </w:pPr>
    <w:r>
      <w:rPr>
        <w:color w:val="4F81BD" w:themeColor="accent1"/>
        <w:lang w:val="zh-CN" w:eastAsia="zh-CN"/>
      </w:rPr>
      <w:t xml:space="preserve"> </w:t>
    </w:r>
    <w:r w:rsidRPr="00A00B2A">
      <w:rPr>
        <w:rFonts w:ascii="Book Antiqua" w:hAnsi="Book Antiqua"/>
        <w:color w:val="000000" w:themeColor="text1"/>
        <w:sz w:val="24"/>
        <w:szCs w:val="24"/>
      </w:rPr>
      <w:fldChar w:fldCharType="begin"/>
    </w:r>
    <w:r w:rsidRPr="00A00B2A">
      <w:rPr>
        <w:rFonts w:ascii="Book Antiqua" w:hAnsi="Book Antiqua"/>
        <w:color w:val="000000" w:themeColor="text1"/>
        <w:sz w:val="24"/>
        <w:szCs w:val="24"/>
      </w:rPr>
      <w:instrText>PAGE  \* Arabic  \* MERGEFORMAT</w:instrText>
    </w:r>
    <w:r w:rsidRPr="00A00B2A">
      <w:rPr>
        <w:rFonts w:ascii="Book Antiqua" w:hAnsi="Book Antiqua"/>
        <w:color w:val="000000" w:themeColor="text1"/>
        <w:sz w:val="24"/>
        <w:szCs w:val="24"/>
      </w:rPr>
      <w:fldChar w:fldCharType="separate"/>
    </w:r>
    <w:r w:rsidR="008169B9" w:rsidRPr="008169B9">
      <w:rPr>
        <w:rFonts w:ascii="Book Antiqua" w:hAnsi="Book Antiqua"/>
        <w:noProof/>
        <w:color w:val="000000" w:themeColor="text1"/>
        <w:sz w:val="24"/>
        <w:szCs w:val="24"/>
        <w:lang w:val="zh-CN" w:eastAsia="zh-CN"/>
      </w:rPr>
      <w:t>14</w:t>
    </w:r>
    <w:r w:rsidRPr="00A00B2A">
      <w:rPr>
        <w:rFonts w:ascii="Book Antiqua" w:hAnsi="Book Antiqua"/>
        <w:color w:val="000000" w:themeColor="text1"/>
        <w:sz w:val="24"/>
        <w:szCs w:val="24"/>
      </w:rPr>
      <w:fldChar w:fldCharType="end"/>
    </w:r>
    <w:r w:rsidRPr="00A00B2A">
      <w:rPr>
        <w:rFonts w:ascii="Book Antiqua" w:hAnsi="Book Antiqua"/>
        <w:color w:val="000000" w:themeColor="text1"/>
        <w:sz w:val="24"/>
        <w:szCs w:val="24"/>
        <w:lang w:val="zh-CN" w:eastAsia="zh-CN"/>
      </w:rPr>
      <w:t xml:space="preserve"> / </w:t>
    </w:r>
    <w:r w:rsidRPr="00A00B2A">
      <w:rPr>
        <w:rFonts w:ascii="Book Antiqua" w:hAnsi="Book Antiqua"/>
        <w:color w:val="000000" w:themeColor="text1"/>
        <w:sz w:val="24"/>
        <w:szCs w:val="24"/>
      </w:rPr>
      <w:fldChar w:fldCharType="begin"/>
    </w:r>
    <w:r w:rsidRPr="00A00B2A">
      <w:rPr>
        <w:rFonts w:ascii="Book Antiqua" w:hAnsi="Book Antiqua"/>
        <w:color w:val="000000" w:themeColor="text1"/>
        <w:sz w:val="24"/>
        <w:szCs w:val="24"/>
      </w:rPr>
      <w:instrText>NUMPAGES  \* Arabic  \* MERGEFORMAT</w:instrText>
    </w:r>
    <w:r w:rsidRPr="00A00B2A">
      <w:rPr>
        <w:rFonts w:ascii="Book Antiqua" w:hAnsi="Book Antiqua"/>
        <w:color w:val="000000" w:themeColor="text1"/>
        <w:sz w:val="24"/>
        <w:szCs w:val="24"/>
      </w:rPr>
      <w:fldChar w:fldCharType="separate"/>
    </w:r>
    <w:r w:rsidR="008169B9" w:rsidRPr="008169B9">
      <w:rPr>
        <w:rFonts w:ascii="Book Antiqua" w:hAnsi="Book Antiqua"/>
        <w:noProof/>
        <w:color w:val="000000" w:themeColor="text1"/>
        <w:sz w:val="24"/>
        <w:szCs w:val="24"/>
        <w:lang w:val="zh-CN" w:eastAsia="zh-CN"/>
      </w:rPr>
      <w:t>14</w:t>
    </w:r>
    <w:r w:rsidRPr="00A00B2A">
      <w:rPr>
        <w:rFonts w:ascii="Book Antiqua" w:hAnsi="Book Antiqua"/>
        <w:color w:val="000000" w:themeColor="text1"/>
        <w:sz w:val="24"/>
        <w:szCs w:val="24"/>
      </w:rPr>
      <w:fldChar w:fldCharType="end"/>
    </w:r>
  </w:p>
  <w:p w14:paraId="307F3F65" w14:textId="77777777" w:rsidR="00A00B2A" w:rsidRDefault="00A00B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8B832" w14:textId="77777777" w:rsidR="00012704" w:rsidRDefault="00012704" w:rsidP="00A00B2A">
      <w:r>
        <w:separator/>
      </w:r>
    </w:p>
  </w:footnote>
  <w:footnote w:type="continuationSeparator" w:id="0">
    <w:p w14:paraId="576F61B7" w14:textId="77777777" w:rsidR="00012704" w:rsidRDefault="00012704" w:rsidP="00A00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2704"/>
    <w:rsid w:val="00265095"/>
    <w:rsid w:val="002D044D"/>
    <w:rsid w:val="00342F39"/>
    <w:rsid w:val="00381009"/>
    <w:rsid w:val="00381112"/>
    <w:rsid w:val="003B5E75"/>
    <w:rsid w:val="003D1FDE"/>
    <w:rsid w:val="00404528"/>
    <w:rsid w:val="00427013"/>
    <w:rsid w:val="00486506"/>
    <w:rsid w:val="004C205A"/>
    <w:rsid w:val="004E4141"/>
    <w:rsid w:val="00527CA4"/>
    <w:rsid w:val="00556362"/>
    <w:rsid w:val="00575D4C"/>
    <w:rsid w:val="007409B8"/>
    <w:rsid w:val="00745333"/>
    <w:rsid w:val="008169B9"/>
    <w:rsid w:val="00846C98"/>
    <w:rsid w:val="0089380E"/>
    <w:rsid w:val="008E1582"/>
    <w:rsid w:val="008F0C18"/>
    <w:rsid w:val="00935723"/>
    <w:rsid w:val="00941E64"/>
    <w:rsid w:val="00A00B2A"/>
    <w:rsid w:val="00A34B5F"/>
    <w:rsid w:val="00A77B3E"/>
    <w:rsid w:val="00BB2442"/>
    <w:rsid w:val="00C0574D"/>
    <w:rsid w:val="00C12711"/>
    <w:rsid w:val="00C13C4D"/>
    <w:rsid w:val="00C37B64"/>
    <w:rsid w:val="00CA2A55"/>
    <w:rsid w:val="00D42D43"/>
    <w:rsid w:val="00DB66A3"/>
    <w:rsid w:val="00E3790E"/>
    <w:rsid w:val="00EB1495"/>
    <w:rsid w:val="00EC7BBB"/>
    <w:rsid w:val="00F33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EE1B4"/>
  <w15:docId w15:val="{FD05ACE8-4D5B-47C8-8A3B-741A6C90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B2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00B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00B2A"/>
    <w:rPr>
      <w:sz w:val="18"/>
      <w:szCs w:val="18"/>
    </w:rPr>
  </w:style>
  <w:style w:type="paragraph" w:styleId="a6">
    <w:name w:val="footer"/>
    <w:basedOn w:val="a"/>
    <w:link w:val="a7"/>
    <w:uiPriority w:val="99"/>
    <w:unhideWhenUsed/>
    <w:rsid w:val="00A00B2A"/>
    <w:pPr>
      <w:tabs>
        <w:tab w:val="center" w:pos="4153"/>
        <w:tab w:val="right" w:pos="8306"/>
      </w:tabs>
      <w:snapToGrid w:val="0"/>
    </w:pPr>
    <w:rPr>
      <w:sz w:val="18"/>
      <w:szCs w:val="18"/>
    </w:rPr>
  </w:style>
  <w:style w:type="character" w:customStyle="1" w:styleId="a7">
    <w:name w:val="页脚 字符"/>
    <w:basedOn w:val="a0"/>
    <w:link w:val="a6"/>
    <w:uiPriority w:val="99"/>
    <w:rsid w:val="00A00B2A"/>
    <w:rPr>
      <w:sz w:val="18"/>
      <w:szCs w:val="18"/>
    </w:rPr>
  </w:style>
  <w:style w:type="paragraph" w:styleId="a8">
    <w:name w:val="Balloon Text"/>
    <w:basedOn w:val="a"/>
    <w:link w:val="a9"/>
    <w:rsid w:val="00E3790E"/>
    <w:rPr>
      <w:sz w:val="18"/>
      <w:szCs w:val="18"/>
    </w:rPr>
  </w:style>
  <w:style w:type="character" w:customStyle="1" w:styleId="a9">
    <w:name w:val="批注框文本 字符"/>
    <w:basedOn w:val="a0"/>
    <w:link w:val="a8"/>
    <w:rsid w:val="00E379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3010</Words>
  <Characters>17159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18</cp:revision>
  <dcterms:created xsi:type="dcterms:W3CDTF">2021-09-10T08:42:00Z</dcterms:created>
  <dcterms:modified xsi:type="dcterms:W3CDTF">2021-11-04T08:46:00Z</dcterms:modified>
</cp:coreProperties>
</file>