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7D21" w14:textId="77777777" w:rsidR="00A77B3E" w:rsidRDefault="00B20F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8D18A8" w14:textId="77777777" w:rsidR="00A77B3E" w:rsidRDefault="00B20F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70075</w:t>
      </w:r>
    </w:p>
    <w:p w14:paraId="48F7AB50" w14:textId="77777777" w:rsidR="00A77B3E" w:rsidRDefault="00B20F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0740470" w14:textId="77777777" w:rsidR="00A77B3E" w:rsidRDefault="00A77B3E">
      <w:pPr>
        <w:spacing w:line="360" w:lineRule="auto"/>
        <w:jc w:val="both"/>
      </w:pPr>
    </w:p>
    <w:p w14:paraId="5DDB1780" w14:textId="357F2CC2" w:rsidR="00A77B3E" w:rsidRDefault="00B20FD0">
      <w:pPr>
        <w:spacing w:line="360" w:lineRule="auto"/>
        <w:jc w:val="both"/>
      </w:pPr>
      <w:proofErr w:type="spellStart"/>
      <w:r>
        <w:rPr>
          <w:rFonts w:ascii="Book Antiqua" w:eastAsia="Book Antiqua" w:hAnsi="Book Antiqua" w:cs="Book Antiqua"/>
          <w:b/>
          <w:color w:val="000000"/>
        </w:rPr>
        <w:t>Posthepatectomy</w:t>
      </w:r>
      <w:proofErr w:type="spellEnd"/>
      <w:r>
        <w:rPr>
          <w:rFonts w:ascii="Book Antiqua" w:eastAsia="Book Antiqua" w:hAnsi="Book Antiqua" w:cs="Book Antiqua"/>
          <w:b/>
          <w:color w:val="000000"/>
        </w:rPr>
        <w:t xml:space="preserve"> jaundice induced by paroxysmal nocturnal hemoglobinuria: </w:t>
      </w:r>
      <w:r w:rsidR="00715DC7">
        <w:rPr>
          <w:rFonts w:ascii="Book Antiqua" w:eastAsia="Book Antiqua" w:hAnsi="Book Antiqua" w:cs="Book Antiqua"/>
          <w:b/>
          <w:color w:val="000000"/>
        </w:rPr>
        <w:t>A</w:t>
      </w:r>
      <w:r>
        <w:rPr>
          <w:rFonts w:ascii="Book Antiqua" w:eastAsia="Book Antiqua" w:hAnsi="Book Antiqua" w:cs="Book Antiqua"/>
          <w:b/>
          <w:color w:val="000000"/>
        </w:rPr>
        <w:t xml:space="preserve"> case report</w:t>
      </w:r>
    </w:p>
    <w:p w14:paraId="39216909" w14:textId="77777777" w:rsidR="00A77B3E" w:rsidRDefault="00A77B3E">
      <w:pPr>
        <w:spacing w:line="360" w:lineRule="auto"/>
        <w:jc w:val="both"/>
      </w:pPr>
    </w:p>
    <w:p w14:paraId="51C74873" w14:textId="2C32D1CF" w:rsidR="00A77B3E" w:rsidRDefault="000259AA">
      <w:pPr>
        <w:spacing w:line="360" w:lineRule="auto"/>
        <w:jc w:val="both"/>
      </w:pPr>
      <w:r>
        <w:rPr>
          <w:rFonts w:ascii="Book Antiqua" w:eastAsia="Book Antiqua" w:hAnsi="Book Antiqua" w:cs="Book Antiqua"/>
          <w:color w:val="000000"/>
        </w:rPr>
        <w:t xml:space="preserve">Liang HY </w:t>
      </w:r>
      <w:r w:rsidRPr="000259AA">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B20FD0">
        <w:rPr>
          <w:rFonts w:ascii="Book Antiqua" w:eastAsia="Book Antiqua" w:hAnsi="Book Antiqua" w:cs="Book Antiqua"/>
          <w:color w:val="000000"/>
        </w:rPr>
        <w:t>Posthepatectomy</w:t>
      </w:r>
      <w:proofErr w:type="spellEnd"/>
      <w:r w:rsidR="00B20FD0">
        <w:rPr>
          <w:rFonts w:ascii="Book Antiqua" w:eastAsia="Book Antiqua" w:hAnsi="Book Antiqua" w:cs="Book Antiqua"/>
          <w:color w:val="000000"/>
        </w:rPr>
        <w:t xml:space="preserve"> jaundice induced by PNH</w:t>
      </w:r>
    </w:p>
    <w:p w14:paraId="653336DF" w14:textId="77777777" w:rsidR="00A77B3E" w:rsidRDefault="00A77B3E">
      <w:pPr>
        <w:spacing w:line="360" w:lineRule="auto"/>
        <w:jc w:val="both"/>
      </w:pPr>
    </w:p>
    <w:p w14:paraId="78CCF3B5" w14:textId="5496E5BC" w:rsidR="00A77B3E" w:rsidRDefault="00B20FD0">
      <w:pPr>
        <w:spacing w:line="360" w:lineRule="auto"/>
        <w:jc w:val="both"/>
      </w:pPr>
      <w:r>
        <w:rPr>
          <w:rFonts w:ascii="Book Antiqua" w:eastAsia="Book Antiqua" w:hAnsi="Book Antiqua" w:cs="Book Antiqua"/>
          <w:color w:val="000000"/>
        </w:rPr>
        <w:t>Hong</w:t>
      </w:r>
      <w:r w:rsidR="00715DC7">
        <w:rPr>
          <w:rFonts w:ascii="Book Antiqua" w:eastAsia="Book Antiqua" w:hAnsi="Book Antiqua" w:cs="Book Antiqua"/>
          <w:color w:val="000000"/>
        </w:rPr>
        <w:t xml:space="preserve">-Yin </w:t>
      </w:r>
      <w:r>
        <w:rPr>
          <w:rFonts w:ascii="Book Antiqua" w:eastAsia="Book Antiqua" w:hAnsi="Book Antiqua" w:cs="Book Antiqua"/>
          <w:color w:val="000000"/>
        </w:rPr>
        <w:t>Liang, Xiao</w:t>
      </w:r>
      <w:r w:rsidR="00715DC7">
        <w:rPr>
          <w:rFonts w:ascii="Book Antiqua" w:eastAsia="Book Antiqua" w:hAnsi="Book Antiqua" w:cs="Book Antiqua"/>
          <w:color w:val="000000"/>
        </w:rPr>
        <w:t xml:space="preserve">-Dong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Guang</w:t>
      </w:r>
      <w:proofErr w:type="spellEnd"/>
      <w:r w:rsidR="00715DC7">
        <w:rPr>
          <w:rFonts w:ascii="Book Antiqua" w:eastAsia="Book Antiqua" w:hAnsi="Book Antiqua" w:cs="Book Antiqua"/>
          <w:color w:val="000000"/>
        </w:rPr>
        <w:t xml:space="preserve">-Xu </w:t>
      </w:r>
      <w:r>
        <w:rPr>
          <w:rFonts w:ascii="Book Antiqua" w:eastAsia="Book Antiqua" w:hAnsi="Book Antiqua" w:cs="Book Antiqua"/>
          <w:color w:val="000000"/>
        </w:rPr>
        <w:t>Jing, Meng Wang, Yang Yu, Jian</w:t>
      </w:r>
      <w:r w:rsidR="00715DC7">
        <w:rPr>
          <w:rFonts w:ascii="Book Antiqua" w:eastAsia="Book Antiqua" w:hAnsi="Book Antiqua" w:cs="Book Antiqua"/>
          <w:color w:val="000000"/>
        </w:rPr>
        <w:t xml:space="preserve">-Feng </w:t>
      </w:r>
      <w:r>
        <w:rPr>
          <w:rFonts w:ascii="Book Antiqua" w:eastAsia="Book Antiqua" w:hAnsi="Book Antiqua" w:cs="Book Antiqua"/>
          <w:color w:val="000000"/>
        </w:rPr>
        <w:t>Cui</w:t>
      </w:r>
    </w:p>
    <w:p w14:paraId="69AE59C4" w14:textId="77777777" w:rsidR="00A77B3E" w:rsidRDefault="00A77B3E">
      <w:pPr>
        <w:spacing w:line="360" w:lineRule="auto"/>
        <w:jc w:val="both"/>
      </w:pPr>
    </w:p>
    <w:p w14:paraId="60B6AD83" w14:textId="524834E5" w:rsidR="00A77B3E" w:rsidRDefault="00B20FD0">
      <w:pPr>
        <w:spacing w:line="360" w:lineRule="auto"/>
        <w:jc w:val="both"/>
      </w:pPr>
      <w:r>
        <w:rPr>
          <w:rFonts w:ascii="Book Antiqua" w:eastAsia="Book Antiqua" w:hAnsi="Book Antiqua" w:cs="Book Antiqua"/>
          <w:b/>
          <w:bCs/>
          <w:color w:val="000000"/>
        </w:rPr>
        <w:t>Hong</w:t>
      </w:r>
      <w:r w:rsidR="00715DC7">
        <w:rPr>
          <w:rFonts w:ascii="Book Antiqua" w:eastAsia="Book Antiqua" w:hAnsi="Book Antiqua" w:cs="Book Antiqua"/>
          <w:b/>
          <w:bCs/>
          <w:color w:val="000000"/>
        </w:rPr>
        <w:t xml:space="preserve">-Yin </w:t>
      </w:r>
      <w:r>
        <w:rPr>
          <w:rFonts w:ascii="Book Antiqua" w:eastAsia="Book Antiqua" w:hAnsi="Book Antiqua" w:cs="Book Antiqua"/>
          <w:b/>
          <w:bCs/>
          <w:color w:val="000000"/>
        </w:rPr>
        <w:t>Liang, Xiao</w:t>
      </w:r>
      <w:r w:rsidR="00715DC7">
        <w:rPr>
          <w:rFonts w:ascii="Book Antiqua" w:eastAsia="Book Antiqua" w:hAnsi="Book Antiqua" w:cs="Book Antiqua"/>
          <w:b/>
          <w:bCs/>
          <w:color w:val="000000"/>
        </w:rPr>
        <w:t xml:space="preserve">-Dong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sidR="00715DC7">
        <w:rPr>
          <w:rFonts w:ascii="Book Antiqua" w:eastAsia="Book Antiqua" w:hAnsi="Book Antiqua" w:cs="Book Antiqua"/>
          <w:b/>
          <w:bCs/>
          <w:color w:val="000000"/>
        </w:rPr>
        <w:t xml:space="preserve">Jian-Feng Cui, </w:t>
      </w:r>
      <w:r>
        <w:rPr>
          <w:rFonts w:ascii="Book Antiqua" w:eastAsia="Book Antiqua" w:hAnsi="Book Antiqua" w:cs="Book Antiqua"/>
          <w:color w:val="000000"/>
        </w:rPr>
        <w:t xml:space="preserve">Department of General Surgery, General Hospital of Western Theater Command, Chengdu 410000, </w:t>
      </w:r>
      <w:r w:rsidR="00715DC7">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5B2B575A" w14:textId="77777777" w:rsidR="00A77B3E" w:rsidRDefault="00A77B3E">
      <w:pPr>
        <w:spacing w:line="360" w:lineRule="auto"/>
        <w:jc w:val="both"/>
      </w:pPr>
    </w:p>
    <w:p w14:paraId="28C2EC97" w14:textId="1EE10F05" w:rsidR="00A77B3E" w:rsidRDefault="00B20FD0">
      <w:pPr>
        <w:spacing w:line="360" w:lineRule="auto"/>
        <w:jc w:val="both"/>
      </w:pPr>
      <w:proofErr w:type="spellStart"/>
      <w:r>
        <w:rPr>
          <w:rFonts w:ascii="Book Antiqua" w:eastAsia="Book Antiqua" w:hAnsi="Book Antiqua" w:cs="Book Antiqua"/>
          <w:b/>
          <w:bCs/>
          <w:color w:val="000000"/>
        </w:rPr>
        <w:t>Guang</w:t>
      </w:r>
      <w:proofErr w:type="spellEnd"/>
      <w:r w:rsidR="00715DC7">
        <w:rPr>
          <w:rFonts w:ascii="Book Antiqua" w:eastAsia="Book Antiqua" w:hAnsi="Book Antiqua" w:cs="Book Antiqua"/>
          <w:b/>
          <w:bCs/>
          <w:color w:val="000000"/>
        </w:rPr>
        <w:t xml:space="preserve">-Xu </w:t>
      </w:r>
      <w:r>
        <w:rPr>
          <w:rFonts w:ascii="Book Antiqua" w:eastAsia="Book Antiqua" w:hAnsi="Book Antiqua" w:cs="Book Antiqua"/>
          <w:b/>
          <w:bCs/>
          <w:color w:val="000000"/>
        </w:rPr>
        <w:t xml:space="preserve">Jing, </w:t>
      </w:r>
      <w:r>
        <w:rPr>
          <w:rFonts w:ascii="Book Antiqua" w:eastAsia="Book Antiqua" w:hAnsi="Book Antiqua" w:cs="Book Antiqua"/>
          <w:color w:val="000000"/>
        </w:rPr>
        <w:t xml:space="preserve">The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410000, </w:t>
      </w:r>
      <w:r w:rsidR="00715DC7">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58FB2EFA" w14:textId="77777777" w:rsidR="00A77B3E" w:rsidRDefault="00A77B3E">
      <w:pPr>
        <w:spacing w:line="360" w:lineRule="auto"/>
        <w:jc w:val="both"/>
      </w:pPr>
    </w:p>
    <w:p w14:paraId="374609A8" w14:textId="39ABFE82" w:rsidR="00A77B3E" w:rsidRDefault="00B20FD0">
      <w:pPr>
        <w:spacing w:line="360" w:lineRule="auto"/>
        <w:jc w:val="both"/>
      </w:pPr>
      <w:r>
        <w:rPr>
          <w:rFonts w:ascii="Book Antiqua" w:eastAsia="Book Antiqua" w:hAnsi="Book Antiqua" w:cs="Book Antiqua"/>
          <w:b/>
          <w:bCs/>
          <w:color w:val="000000"/>
        </w:rPr>
        <w:t xml:space="preserve">Meng Wang, </w:t>
      </w:r>
      <w:r>
        <w:rPr>
          <w:rFonts w:ascii="Book Antiqua" w:eastAsia="Book Antiqua" w:hAnsi="Book Antiqua" w:cs="Book Antiqua"/>
          <w:color w:val="000000"/>
        </w:rPr>
        <w:t xml:space="preserve">Department of Traditional Chinese Medicine, General Hospital of Western Theater Command, Chengdu 410000, </w:t>
      </w:r>
      <w:r w:rsidR="00715DC7">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14ED4DE5" w14:textId="77777777" w:rsidR="00A77B3E" w:rsidRDefault="00A77B3E">
      <w:pPr>
        <w:spacing w:line="360" w:lineRule="auto"/>
        <w:jc w:val="both"/>
      </w:pPr>
    </w:p>
    <w:p w14:paraId="6ED21830" w14:textId="04A3E7E1" w:rsidR="00A77B3E" w:rsidRDefault="00B20FD0">
      <w:pPr>
        <w:spacing w:line="360" w:lineRule="auto"/>
        <w:jc w:val="both"/>
      </w:pPr>
      <w:r>
        <w:rPr>
          <w:rFonts w:ascii="Book Antiqua" w:eastAsia="Book Antiqua" w:hAnsi="Book Antiqua" w:cs="Book Antiqua"/>
          <w:b/>
          <w:bCs/>
          <w:color w:val="000000"/>
        </w:rPr>
        <w:t xml:space="preserve">Yang Yu, </w:t>
      </w:r>
      <w:r>
        <w:rPr>
          <w:rFonts w:ascii="Book Antiqua" w:eastAsia="Book Antiqua" w:hAnsi="Book Antiqua" w:cs="Book Antiqua"/>
          <w:color w:val="000000"/>
        </w:rPr>
        <w:t xml:space="preserve">Department of Medical Examination, General Hospital of Western Theater Command, Chengdu 410000, </w:t>
      </w:r>
      <w:r w:rsidR="00715DC7">
        <w:rPr>
          <w:rFonts w:ascii="Book Antiqua" w:eastAsia="Book Antiqua" w:hAnsi="Book Antiqua" w:cs="Book Antiqua"/>
          <w:color w:val="000000"/>
        </w:rPr>
        <w:t xml:space="preserve">Sichuan Province, </w:t>
      </w:r>
      <w:r>
        <w:rPr>
          <w:rFonts w:ascii="Book Antiqua" w:eastAsia="Book Antiqua" w:hAnsi="Book Antiqua" w:cs="Book Antiqua"/>
          <w:color w:val="000000"/>
        </w:rPr>
        <w:t>China</w:t>
      </w:r>
    </w:p>
    <w:p w14:paraId="35ECAFB8" w14:textId="77777777" w:rsidR="00A77B3E" w:rsidRDefault="00A77B3E">
      <w:pPr>
        <w:spacing w:line="360" w:lineRule="auto"/>
        <w:jc w:val="both"/>
      </w:pPr>
    </w:p>
    <w:p w14:paraId="541E0514" w14:textId="77777777" w:rsidR="00A77B3E" w:rsidRDefault="00B20FD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Liang HY wrote the manuscript;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XD, Wang M, and Yu Y collected the data and drew the diagram; Jiang GX contributed to citations and references; Cui JF contributed to the discussion and revision; all authors issued final approval for the version to be submitted.</w:t>
      </w:r>
    </w:p>
    <w:p w14:paraId="1EB5A4F0" w14:textId="77777777" w:rsidR="00A77B3E" w:rsidRDefault="00A77B3E">
      <w:pPr>
        <w:spacing w:line="360" w:lineRule="auto"/>
        <w:jc w:val="both"/>
      </w:pPr>
    </w:p>
    <w:p w14:paraId="39854868" w14:textId="302FD26C" w:rsidR="00A77B3E" w:rsidRDefault="00B20FD0">
      <w:pPr>
        <w:spacing w:line="360" w:lineRule="auto"/>
        <w:jc w:val="both"/>
      </w:pPr>
      <w:r>
        <w:rPr>
          <w:rFonts w:ascii="Book Antiqua" w:eastAsia="Book Antiqua" w:hAnsi="Book Antiqua" w:cs="Book Antiqua"/>
          <w:b/>
          <w:bCs/>
          <w:color w:val="000000"/>
        </w:rPr>
        <w:lastRenderedPageBreak/>
        <w:t>Corresponding author: Jian</w:t>
      </w:r>
      <w:r w:rsidR="00D87FFD">
        <w:rPr>
          <w:rFonts w:ascii="Book Antiqua" w:eastAsia="Book Antiqua" w:hAnsi="Book Antiqua" w:cs="Book Antiqua"/>
          <w:b/>
          <w:bCs/>
          <w:color w:val="000000"/>
        </w:rPr>
        <w:t xml:space="preserve">-Feng </w:t>
      </w:r>
      <w:r>
        <w:rPr>
          <w:rFonts w:ascii="Book Antiqua" w:eastAsia="Book Antiqua" w:hAnsi="Book Antiqua" w:cs="Book Antiqua"/>
          <w:b/>
          <w:bCs/>
          <w:color w:val="000000"/>
        </w:rPr>
        <w:t xml:space="preserve">Cui, MD, Professor, </w:t>
      </w:r>
      <w:r>
        <w:rPr>
          <w:rFonts w:ascii="Book Antiqua" w:eastAsia="Book Antiqua" w:hAnsi="Book Antiqua" w:cs="Book Antiqua"/>
          <w:color w:val="000000"/>
        </w:rPr>
        <w:t>Department of General Surgery, General Hospital of Western Theater Command, No.</w:t>
      </w:r>
      <w:r w:rsidR="00D87FFD">
        <w:rPr>
          <w:rFonts w:ascii="Book Antiqua" w:eastAsia="Book Antiqua" w:hAnsi="Book Antiqua" w:cs="Book Antiqua"/>
          <w:color w:val="000000"/>
        </w:rPr>
        <w:t xml:space="preserve"> </w:t>
      </w:r>
      <w:r>
        <w:rPr>
          <w:rFonts w:ascii="Book Antiqua" w:eastAsia="Book Antiqua" w:hAnsi="Book Antiqua" w:cs="Book Antiqua"/>
          <w:color w:val="000000"/>
        </w:rPr>
        <w:t xml:space="preserve">260 </w:t>
      </w:r>
      <w:proofErr w:type="spellStart"/>
      <w:r>
        <w:rPr>
          <w:rFonts w:ascii="Book Antiqua" w:eastAsia="Book Antiqua" w:hAnsi="Book Antiqua" w:cs="Book Antiqua"/>
          <w:color w:val="000000"/>
        </w:rPr>
        <w:t>Rongdu</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Jinniu</w:t>
      </w:r>
      <w:proofErr w:type="spellEnd"/>
      <w:r>
        <w:rPr>
          <w:rFonts w:ascii="Book Antiqua" w:eastAsia="Book Antiqua" w:hAnsi="Book Antiqua" w:cs="Book Antiqua"/>
          <w:color w:val="000000"/>
        </w:rPr>
        <w:t xml:space="preserve"> District, Chengdu 410000, </w:t>
      </w:r>
      <w:r w:rsidR="00D87FFD">
        <w:rPr>
          <w:rFonts w:ascii="Book Antiqua" w:eastAsia="Book Antiqua" w:hAnsi="Book Antiqua" w:cs="Book Antiqua"/>
          <w:color w:val="000000"/>
        </w:rPr>
        <w:t>Sichuan Province,</w:t>
      </w:r>
      <w:r>
        <w:rPr>
          <w:rFonts w:ascii="Book Antiqua" w:eastAsia="Book Antiqua" w:hAnsi="Book Antiqua" w:cs="Book Antiqua"/>
          <w:color w:val="000000"/>
        </w:rPr>
        <w:t xml:space="preserve"> China. cjfabear@126.com</w:t>
      </w:r>
    </w:p>
    <w:p w14:paraId="4937809E" w14:textId="77777777" w:rsidR="00A77B3E" w:rsidRDefault="00A77B3E">
      <w:pPr>
        <w:spacing w:line="360" w:lineRule="auto"/>
        <w:jc w:val="both"/>
      </w:pPr>
    </w:p>
    <w:p w14:paraId="714E0822" w14:textId="77777777" w:rsidR="00A77B3E" w:rsidRDefault="00B20F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2021</w:t>
      </w:r>
    </w:p>
    <w:p w14:paraId="599AFF47" w14:textId="79602F0A" w:rsidR="00A77B3E" w:rsidRPr="002858B3" w:rsidRDefault="00B20FD0">
      <w:pPr>
        <w:spacing w:line="360" w:lineRule="auto"/>
        <w:jc w:val="both"/>
      </w:pPr>
      <w:r>
        <w:rPr>
          <w:rFonts w:ascii="Book Antiqua" w:eastAsia="Book Antiqua" w:hAnsi="Book Antiqua" w:cs="Book Antiqua"/>
          <w:b/>
          <w:bCs/>
          <w:color w:val="000000"/>
        </w:rPr>
        <w:t xml:space="preserve">Revised: </w:t>
      </w:r>
      <w:r w:rsidR="002858B3" w:rsidRPr="002858B3">
        <w:rPr>
          <w:rFonts w:ascii="Book Antiqua" w:eastAsia="Book Antiqua" w:hAnsi="Book Antiqua" w:cs="Book Antiqua"/>
          <w:color w:val="000000"/>
        </w:rPr>
        <w:t>September 8, 2021</w:t>
      </w:r>
    </w:p>
    <w:p w14:paraId="2A403B9C" w14:textId="40BB1CDD" w:rsidR="00A77B3E" w:rsidRDefault="00B20FD0">
      <w:pPr>
        <w:spacing w:line="360" w:lineRule="auto"/>
        <w:jc w:val="both"/>
      </w:pPr>
      <w:r>
        <w:rPr>
          <w:rFonts w:ascii="Book Antiqua" w:eastAsia="Book Antiqua" w:hAnsi="Book Antiqua" w:cs="Book Antiqua"/>
          <w:b/>
          <w:bCs/>
          <w:color w:val="000000"/>
        </w:rPr>
        <w:t xml:space="preserve">Accepted: </w:t>
      </w:r>
      <w:r w:rsidR="00D2654F">
        <w:rPr>
          <w:rFonts w:ascii="Book Antiqua" w:hAnsi="Book Antiqua"/>
          <w:color w:val="000000" w:themeColor="text1"/>
        </w:rPr>
        <w:t>September 22, 2021</w:t>
      </w:r>
    </w:p>
    <w:p w14:paraId="7D3B89F6" w14:textId="77777777" w:rsidR="00A77B3E" w:rsidRDefault="00B20FD0">
      <w:pPr>
        <w:spacing w:line="360" w:lineRule="auto"/>
        <w:jc w:val="both"/>
      </w:pPr>
      <w:r>
        <w:rPr>
          <w:rFonts w:ascii="Book Antiqua" w:eastAsia="Book Antiqua" w:hAnsi="Book Antiqua" w:cs="Book Antiqua"/>
          <w:b/>
          <w:bCs/>
          <w:color w:val="000000"/>
        </w:rPr>
        <w:t xml:space="preserve">Published online: </w:t>
      </w:r>
    </w:p>
    <w:p w14:paraId="0306657E" w14:textId="77777777" w:rsidR="002858B3" w:rsidRDefault="002858B3">
      <w:pPr>
        <w:spacing w:line="360" w:lineRule="auto"/>
        <w:jc w:val="both"/>
        <w:rPr>
          <w:rFonts w:ascii="Book Antiqua" w:eastAsia="Book Antiqua" w:hAnsi="Book Antiqua" w:cs="Book Antiqua"/>
          <w:b/>
          <w:color w:val="000000"/>
        </w:rPr>
      </w:pPr>
    </w:p>
    <w:p w14:paraId="1AD364F3" w14:textId="77777777" w:rsidR="002858B3" w:rsidRDefault="002858B3">
      <w:pPr>
        <w:spacing w:line="360" w:lineRule="auto"/>
        <w:jc w:val="both"/>
        <w:rPr>
          <w:rFonts w:ascii="Book Antiqua" w:eastAsia="Book Antiqua" w:hAnsi="Book Antiqua" w:cs="Book Antiqua"/>
          <w:b/>
          <w:color w:val="000000"/>
        </w:rPr>
      </w:pPr>
    </w:p>
    <w:p w14:paraId="63C337D5" w14:textId="277050AB" w:rsidR="00A77B3E" w:rsidRDefault="00B20FD0">
      <w:pPr>
        <w:spacing w:line="360" w:lineRule="auto"/>
        <w:jc w:val="both"/>
      </w:pPr>
      <w:r>
        <w:rPr>
          <w:rFonts w:ascii="Book Antiqua" w:eastAsia="Book Antiqua" w:hAnsi="Book Antiqua" w:cs="Book Antiqua"/>
          <w:b/>
          <w:color w:val="000000"/>
        </w:rPr>
        <w:t>Abstract</w:t>
      </w:r>
    </w:p>
    <w:p w14:paraId="5341DDBD" w14:textId="77777777" w:rsidR="00A77B3E" w:rsidRDefault="00B20FD0">
      <w:pPr>
        <w:spacing w:line="360" w:lineRule="auto"/>
        <w:jc w:val="both"/>
      </w:pPr>
      <w:r>
        <w:rPr>
          <w:rFonts w:ascii="Book Antiqua" w:eastAsia="Book Antiqua" w:hAnsi="Book Antiqua" w:cs="Book Antiqua"/>
          <w:color w:val="000000"/>
        </w:rPr>
        <w:t>BACKGROUND</w:t>
      </w:r>
    </w:p>
    <w:p w14:paraId="20E48310" w14:textId="327D39CA" w:rsidR="00A77B3E" w:rsidRDefault="00B20FD0" w:rsidP="00CA2E27">
      <w:pPr>
        <w:spacing w:line="360" w:lineRule="auto"/>
        <w:jc w:val="both"/>
      </w:pPr>
      <w:r>
        <w:rPr>
          <w:rFonts w:ascii="Book Antiqua" w:eastAsia="Book Antiqua" w:hAnsi="Book Antiqua" w:cs="Book Antiqua"/>
          <w:color w:val="000000"/>
          <w:szCs w:val="21"/>
        </w:rPr>
        <w:t xml:space="preserve">Jaundice is a major manifestation of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liver failure, a feared complication after hepatic resection. Herein, we report a case of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jaundice that was not caused by liver failure but by </w:t>
      </w:r>
      <w:r w:rsidR="005D032F">
        <w:rPr>
          <w:rFonts w:ascii="Book Antiqua" w:eastAsia="Book Antiqua" w:hAnsi="Book Antiqua" w:cs="Book Antiqua"/>
          <w:color w:val="000000"/>
          <w:szCs w:val="21"/>
        </w:rPr>
        <w:t>paroxysmal nocturnal hemoglobinuria (PNH)</w:t>
      </w:r>
      <w:r>
        <w:rPr>
          <w:rFonts w:ascii="Book Antiqua" w:eastAsia="Book Antiqua" w:hAnsi="Book Antiqua" w:cs="Book Antiqua"/>
          <w:color w:val="000000"/>
          <w:szCs w:val="21"/>
        </w:rPr>
        <w:t>-induced hemolysis.</w:t>
      </w:r>
    </w:p>
    <w:p w14:paraId="7984C9C3" w14:textId="77777777" w:rsidR="00A77B3E" w:rsidRDefault="00A77B3E" w:rsidP="00CA2E27">
      <w:pPr>
        <w:spacing w:line="360" w:lineRule="auto"/>
        <w:jc w:val="both"/>
      </w:pPr>
    </w:p>
    <w:p w14:paraId="763D2C95" w14:textId="77777777" w:rsidR="00A77B3E" w:rsidRDefault="00B20FD0">
      <w:pPr>
        <w:spacing w:line="360" w:lineRule="auto"/>
        <w:jc w:val="both"/>
      </w:pPr>
      <w:r>
        <w:rPr>
          <w:rFonts w:ascii="Book Antiqua" w:eastAsia="Book Antiqua" w:hAnsi="Book Antiqua" w:cs="Book Antiqua"/>
          <w:color w:val="000000"/>
        </w:rPr>
        <w:t>CASE SUMMARY</w:t>
      </w:r>
    </w:p>
    <w:p w14:paraId="05DCC1CE" w14:textId="1C188FFB" w:rsidR="00A77B3E" w:rsidRDefault="00B20FD0" w:rsidP="00CA2E27">
      <w:pPr>
        <w:spacing w:line="360" w:lineRule="auto"/>
        <w:jc w:val="both"/>
      </w:pPr>
      <w:r>
        <w:rPr>
          <w:rFonts w:ascii="Book Antiqua" w:eastAsia="Book Antiqua" w:hAnsi="Book Antiqua" w:cs="Book Antiqua"/>
          <w:color w:val="000000"/>
          <w:szCs w:val="21"/>
        </w:rPr>
        <w:t xml:space="preserve">A 56-year-old woman underwent right hepatectomy and biliary tract exploration surgery due to hepatic duct stones. Prior to surgery, the patient was mildly anemic. The direct antiglobulin test was negative. A bone marrow biopsy showed mild histiocyte hyperplasia. After surgery, the patient suffered a progressive increase in serum bilirubin. Meanwhile, the patient developed hemolytic symptoms after blood transfusion. She was ultimately diagnosed with </w:t>
      </w:r>
      <w:r w:rsidR="005D032F">
        <w:rPr>
          <w:rFonts w:ascii="Book Antiqua" w:eastAsia="Book Antiqua" w:hAnsi="Book Antiqua" w:cs="Book Antiqua"/>
          <w:color w:val="000000"/>
          <w:szCs w:val="21"/>
        </w:rPr>
        <w:t>PNH</w:t>
      </w:r>
      <w:r>
        <w:rPr>
          <w:rFonts w:ascii="Book Antiqua" w:eastAsia="Book Antiqua" w:hAnsi="Book Antiqua" w:cs="Book Antiqua"/>
          <w:color w:val="000000"/>
          <w:szCs w:val="21"/>
        </w:rPr>
        <w:t xml:space="preserve">. </w:t>
      </w:r>
      <w:r w:rsidR="005D032F">
        <w:rPr>
          <w:rFonts w:ascii="Book Antiqua" w:eastAsia="Book Antiqua" w:hAnsi="Book Antiqua" w:cs="Book Antiqua"/>
          <w:color w:val="000000"/>
          <w:szCs w:val="21"/>
        </w:rPr>
        <w:t>PNH</w:t>
      </w:r>
      <w:r>
        <w:rPr>
          <w:rFonts w:ascii="Book Antiqua" w:eastAsia="Book Antiqua" w:hAnsi="Book Antiqua" w:cs="Book Antiqua"/>
          <w:color w:val="000000"/>
          <w:szCs w:val="21"/>
        </w:rPr>
        <w:t xml:space="preserve"> is a rare bone marrow failure disorder that manifests as complement-dependent intravascular hemolysis with varying severity. After steroid treatment, the patient</w:t>
      </w:r>
      <w:r w:rsidR="00CA2E27">
        <w:rPr>
          <w:rFonts w:ascii="Book Antiqua" w:eastAsia="Book Antiqua" w:hAnsi="Book Antiqua" w:cs="Book Antiqua"/>
          <w:color w:val="000000"/>
          <w:szCs w:val="21"/>
        </w:rPr>
        <w:t>’</w:t>
      </w:r>
      <w:r>
        <w:rPr>
          <w:rFonts w:ascii="Book Antiqua" w:eastAsia="Book Antiqua" w:hAnsi="Book Antiqua" w:cs="Book Antiqua"/>
          <w:color w:val="000000"/>
          <w:szCs w:val="21"/>
        </w:rPr>
        <w:t>s jaundice gradually decreased, and the patient was discharged on the 35</w:t>
      </w:r>
      <w:r w:rsidRPr="00CA2E27">
        <w:rPr>
          <w:rFonts w:ascii="Book Antiqua" w:eastAsia="Book Antiqua" w:hAnsi="Book Antiqua" w:cs="Book Antiqua"/>
          <w:color w:val="000000"/>
          <w:szCs w:val="21"/>
          <w:vertAlign w:val="superscript"/>
        </w:rPr>
        <w:t>th</w:t>
      </w:r>
      <w:r w:rsidR="00CA2E2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 day.</w:t>
      </w:r>
    </w:p>
    <w:p w14:paraId="501DF753" w14:textId="77777777" w:rsidR="00CA2E27" w:rsidRDefault="00CA2E27" w:rsidP="00CA2E27">
      <w:pPr>
        <w:spacing w:line="360" w:lineRule="auto"/>
        <w:jc w:val="both"/>
      </w:pPr>
    </w:p>
    <w:p w14:paraId="0103BE3A" w14:textId="77777777" w:rsidR="00A77B3E" w:rsidRDefault="00B20FD0">
      <w:pPr>
        <w:spacing w:line="360" w:lineRule="auto"/>
        <w:jc w:val="both"/>
      </w:pPr>
      <w:r>
        <w:rPr>
          <w:rFonts w:ascii="Book Antiqua" w:eastAsia="Book Antiqua" w:hAnsi="Book Antiqua" w:cs="Book Antiqua"/>
          <w:color w:val="000000"/>
        </w:rPr>
        <w:t>CONCLUSION</w:t>
      </w:r>
    </w:p>
    <w:p w14:paraId="07A56801" w14:textId="77777777" w:rsidR="00A77B3E" w:rsidRDefault="00B20FD0" w:rsidP="00CA2E27">
      <w:pPr>
        <w:spacing w:line="360" w:lineRule="auto"/>
        <w:jc w:val="both"/>
      </w:pPr>
      <w:r>
        <w:rPr>
          <w:rFonts w:ascii="Book Antiqua" w:eastAsia="Book Antiqua" w:hAnsi="Book Antiqua" w:cs="Book Antiqua"/>
          <w:color w:val="000000"/>
          <w:szCs w:val="21"/>
        </w:rPr>
        <w:lastRenderedPageBreak/>
        <w:t xml:space="preserve">PNH-induced hemolysis is a rare cause of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jaundice. It should be suspected in patients having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hyperbilirubinemia without other signs of liver failure. Steroid therapy can be considered for the treatment of PNH in such cases.</w:t>
      </w:r>
    </w:p>
    <w:p w14:paraId="6F9392ED" w14:textId="77777777" w:rsidR="00A77B3E" w:rsidRDefault="00A77B3E">
      <w:pPr>
        <w:spacing w:line="360" w:lineRule="auto"/>
        <w:ind w:firstLine="420"/>
        <w:jc w:val="both"/>
      </w:pPr>
    </w:p>
    <w:p w14:paraId="0B788C05" w14:textId="10CBC128" w:rsidR="00A77B3E" w:rsidRDefault="00B20F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Jaundice; </w:t>
      </w:r>
      <w:r w:rsidR="002229D1">
        <w:rPr>
          <w:rFonts w:ascii="Book Antiqua" w:eastAsia="Book Antiqua" w:hAnsi="Book Antiqua" w:cs="Book Antiqua"/>
          <w:color w:val="000000"/>
        </w:rPr>
        <w:t>Hepatectomy</w:t>
      </w:r>
      <w:r>
        <w:rPr>
          <w:rFonts w:ascii="Book Antiqua" w:eastAsia="Book Antiqua" w:hAnsi="Book Antiqua" w:cs="Book Antiqua"/>
          <w:color w:val="000000"/>
        </w:rPr>
        <w:t xml:space="preserve">; </w:t>
      </w:r>
      <w:r w:rsidR="002229D1">
        <w:rPr>
          <w:rFonts w:ascii="Book Antiqua" w:eastAsia="Book Antiqua" w:hAnsi="Book Antiqua" w:cs="Book Antiqua"/>
          <w:color w:val="000000"/>
        </w:rPr>
        <w:t xml:space="preserve">Paroxysmal </w:t>
      </w:r>
      <w:r>
        <w:rPr>
          <w:rFonts w:ascii="Book Antiqua" w:eastAsia="Book Antiqua" w:hAnsi="Book Antiqua" w:cs="Book Antiqua"/>
          <w:color w:val="000000"/>
        </w:rPr>
        <w:t xml:space="preserve">nocturnal hemoglobinuria; </w:t>
      </w:r>
      <w:r w:rsidR="002229D1">
        <w:rPr>
          <w:rFonts w:ascii="Book Antiqua" w:eastAsia="Book Antiqua" w:hAnsi="Book Antiqua" w:cs="Book Antiqua"/>
          <w:color w:val="000000"/>
        </w:rPr>
        <w:t xml:space="preserve">Case </w:t>
      </w:r>
      <w:r>
        <w:rPr>
          <w:rFonts w:ascii="Book Antiqua" w:eastAsia="Book Antiqua" w:hAnsi="Book Antiqua" w:cs="Book Antiqua"/>
          <w:color w:val="000000"/>
        </w:rPr>
        <w:t>report</w:t>
      </w:r>
    </w:p>
    <w:p w14:paraId="2AA045B4" w14:textId="77777777" w:rsidR="00A77B3E" w:rsidRDefault="00A77B3E">
      <w:pPr>
        <w:spacing w:line="360" w:lineRule="auto"/>
        <w:jc w:val="both"/>
      </w:pPr>
    </w:p>
    <w:p w14:paraId="619ED278" w14:textId="1BD8449D" w:rsidR="00A77B3E" w:rsidRDefault="00B20FD0">
      <w:pPr>
        <w:spacing w:line="360" w:lineRule="auto"/>
        <w:jc w:val="both"/>
      </w:pPr>
      <w:r>
        <w:rPr>
          <w:rFonts w:ascii="Book Antiqua" w:eastAsia="Book Antiqua" w:hAnsi="Book Antiqua" w:cs="Book Antiqua"/>
          <w:color w:val="000000"/>
        </w:rPr>
        <w:t>Liang H</w:t>
      </w:r>
      <w:r w:rsidR="002229D1">
        <w:rPr>
          <w:rFonts w:ascii="Book Antiqua" w:eastAsia="Book Antiqua" w:hAnsi="Book Antiqua" w:cs="Book Antiqua"/>
          <w:color w:val="000000"/>
        </w:rPr>
        <w:t>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w:t>
      </w:r>
      <w:r w:rsidR="002229D1">
        <w:rPr>
          <w:rFonts w:ascii="Book Antiqua" w:eastAsia="Book Antiqua" w:hAnsi="Book Antiqua" w:cs="Book Antiqua"/>
          <w:color w:val="000000"/>
        </w:rPr>
        <w:t>D</w:t>
      </w:r>
      <w:r>
        <w:rPr>
          <w:rFonts w:ascii="Book Antiqua" w:eastAsia="Book Antiqua" w:hAnsi="Book Antiqua" w:cs="Book Antiqua"/>
          <w:color w:val="000000"/>
        </w:rPr>
        <w:t>, Jing G</w:t>
      </w:r>
      <w:r w:rsidR="002229D1">
        <w:rPr>
          <w:rFonts w:ascii="Book Antiqua" w:eastAsia="Book Antiqua" w:hAnsi="Book Antiqua" w:cs="Book Antiqua"/>
          <w:color w:val="000000"/>
        </w:rPr>
        <w:t>X</w:t>
      </w:r>
      <w:r>
        <w:rPr>
          <w:rFonts w:ascii="Book Antiqua" w:eastAsia="Book Antiqua" w:hAnsi="Book Antiqua" w:cs="Book Antiqua"/>
          <w:color w:val="000000"/>
        </w:rPr>
        <w:t>, Wang M, Yu Y, Cui J</w:t>
      </w:r>
      <w:r w:rsidR="002229D1">
        <w:rPr>
          <w:rFonts w:ascii="Book Antiqua" w:eastAsia="Book Antiqua" w:hAnsi="Book Antiqua" w:cs="Book Antiqua"/>
          <w:color w:val="000000"/>
        </w:rPr>
        <w: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jaundice induced by paroxysmal nocturnal hemoglobinuria: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4FD3BC2" w14:textId="77777777" w:rsidR="00A77B3E" w:rsidRDefault="00A77B3E">
      <w:pPr>
        <w:spacing w:line="360" w:lineRule="auto"/>
        <w:jc w:val="both"/>
      </w:pPr>
    </w:p>
    <w:p w14:paraId="21EA461D" w14:textId="77777777" w:rsidR="00A77B3E" w:rsidRDefault="00B20FD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zCs w:val="21"/>
        </w:rPr>
        <w:t xml:space="preserve">We report a case of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jaundice that was not caused by liver failure but by paroxysmal nocturnal hemoglobinuria-induced hemolysis. After confirming the diagnosis, the patient received steroid therapy, and the jaundice gradually improved.</w:t>
      </w:r>
    </w:p>
    <w:p w14:paraId="339088B3" w14:textId="52CD0ECE" w:rsidR="00A77B3E" w:rsidRDefault="00A77B3E">
      <w:pPr>
        <w:spacing w:line="360" w:lineRule="auto"/>
        <w:jc w:val="both"/>
      </w:pPr>
    </w:p>
    <w:p w14:paraId="1FBDD186" w14:textId="77777777" w:rsidR="002229D1" w:rsidRDefault="002229D1">
      <w:pPr>
        <w:spacing w:line="360" w:lineRule="auto"/>
        <w:jc w:val="both"/>
      </w:pPr>
    </w:p>
    <w:p w14:paraId="4AD8FD6A" w14:textId="77777777" w:rsidR="00A77B3E" w:rsidRDefault="00B20FD0">
      <w:pPr>
        <w:spacing w:line="360" w:lineRule="auto"/>
        <w:jc w:val="both"/>
      </w:pPr>
      <w:r>
        <w:rPr>
          <w:rFonts w:ascii="Book Antiqua" w:eastAsia="Book Antiqua" w:hAnsi="Book Antiqua" w:cs="Book Antiqua"/>
          <w:b/>
          <w:caps/>
          <w:color w:val="000000"/>
          <w:u w:val="single"/>
        </w:rPr>
        <w:t>INTRODUCTION</w:t>
      </w:r>
    </w:p>
    <w:p w14:paraId="017EA2CE" w14:textId="499F459C" w:rsidR="00A77B3E" w:rsidRDefault="00B20FD0" w:rsidP="002229D1">
      <w:pPr>
        <w:spacing w:line="360" w:lineRule="auto"/>
        <w:jc w:val="both"/>
      </w:pPr>
      <w:r>
        <w:rPr>
          <w:rFonts w:ascii="Book Antiqua" w:eastAsia="Book Antiqua" w:hAnsi="Book Antiqua" w:cs="Book Antiqua"/>
          <w:color w:val="000000"/>
        </w:rPr>
        <w:t xml:space="preserve">Although the safety of liver resection has improved with advanced operative techniques and perioperative management,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liver failure (PHLF) remains a challenge for patients undergoing hepatectomy and a concern of hepatic </w:t>
      </w:r>
      <w:proofErr w:type="gramStart"/>
      <w:r>
        <w:rPr>
          <w:rFonts w:ascii="Book Antiqua" w:eastAsia="Book Antiqua" w:hAnsi="Book Antiqua" w:cs="Book Antiqua"/>
          <w:color w:val="000000"/>
        </w:rPr>
        <w:t>surgeons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2229D1">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hyperbilirubinemia and an increased international normalized ratio (INR) are the major manifestations of PHLF according to the definition of the International Study Group of Liver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Herein, we report a case of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jaundice that was not caused by PHLF but by paroxysmal nocturnal hemoglobinuria (PNH)-induced hemolysis. There have been no previous reports of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jaundice caused by PNH.</w:t>
      </w:r>
    </w:p>
    <w:p w14:paraId="72385D66" w14:textId="77777777" w:rsidR="00A77B3E" w:rsidRDefault="00A77B3E" w:rsidP="002229D1">
      <w:pPr>
        <w:spacing w:line="360" w:lineRule="auto"/>
        <w:jc w:val="both"/>
      </w:pPr>
    </w:p>
    <w:p w14:paraId="77640478" w14:textId="77777777" w:rsidR="00A77B3E" w:rsidRDefault="00B20FD0">
      <w:pPr>
        <w:spacing w:line="360" w:lineRule="auto"/>
        <w:jc w:val="both"/>
      </w:pPr>
      <w:r>
        <w:rPr>
          <w:rFonts w:ascii="Book Antiqua" w:eastAsia="Book Antiqua" w:hAnsi="Book Antiqua" w:cs="Book Antiqua"/>
          <w:b/>
          <w:caps/>
          <w:color w:val="000000"/>
          <w:u w:val="single"/>
        </w:rPr>
        <w:t>CASE PRESENTATION</w:t>
      </w:r>
    </w:p>
    <w:p w14:paraId="530C630F" w14:textId="77777777" w:rsidR="00A77B3E" w:rsidRDefault="00B20FD0">
      <w:pPr>
        <w:spacing w:line="360" w:lineRule="auto"/>
        <w:jc w:val="both"/>
      </w:pPr>
      <w:r>
        <w:rPr>
          <w:rFonts w:ascii="Book Antiqua" w:eastAsia="Book Antiqua" w:hAnsi="Book Antiqua" w:cs="Book Antiqua"/>
          <w:b/>
          <w:i/>
          <w:color w:val="000000"/>
        </w:rPr>
        <w:lastRenderedPageBreak/>
        <w:t>Chief complaints</w:t>
      </w:r>
    </w:p>
    <w:p w14:paraId="1D410CD8" w14:textId="77777777" w:rsidR="00A77B3E" w:rsidRDefault="00B20FD0" w:rsidP="002229D1">
      <w:pPr>
        <w:spacing w:line="360" w:lineRule="auto"/>
        <w:jc w:val="both"/>
      </w:pPr>
      <w:r>
        <w:rPr>
          <w:rFonts w:ascii="Book Antiqua" w:eastAsia="Book Antiqua" w:hAnsi="Book Antiqua" w:cs="Book Antiqua"/>
          <w:color w:val="000000"/>
          <w:szCs w:val="21"/>
        </w:rPr>
        <w:t>The subject was a 56-year-old female with a chief complaint of abdominal pain and fever.</w:t>
      </w:r>
    </w:p>
    <w:p w14:paraId="63967E80" w14:textId="77777777" w:rsidR="00A77B3E" w:rsidRDefault="00A77B3E" w:rsidP="002229D1">
      <w:pPr>
        <w:spacing w:line="360" w:lineRule="auto"/>
        <w:jc w:val="both"/>
      </w:pPr>
    </w:p>
    <w:p w14:paraId="1F7FF202" w14:textId="77777777" w:rsidR="00A77B3E" w:rsidRDefault="00B20FD0">
      <w:pPr>
        <w:spacing w:line="360" w:lineRule="auto"/>
        <w:jc w:val="both"/>
      </w:pPr>
      <w:r>
        <w:rPr>
          <w:rFonts w:ascii="Book Antiqua" w:eastAsia="Book Antiqua" w:hAnsi="Book Antiqua" w:cs="Book Antiqua"/>
          <w:b/>
          <w:i/>
          <w:color w:val="000000"/>
        </w:rPr>
        <w:t>History of present illness</w:t>
      </w:r>
    </w:p>
    <w:p w14:paraId="0A73F3B9" w14:textId="77777777" w:rsidR="00A77B3E" w:rsidRDefault="00B20FD0" w:rsidP="002229D1">
      <w:pPr>
        <w:spacing w:line="360" w:lineRule="auto"/>
        <w:jc w:val="both"/>
      </w:pPr>
      <w:r>
        <w:rPr>
          <w:rFonts w:ascii="Book Antiqua" w:eastAsia="Book Antiqua" w:hAnsi="Book Antiqua" w:cs="Book Antiqua"/>
          <w:color w:val="000000"/>
          <w:szCs w:val="21"/>
        </w:rPr>
        <w:t xml:space="preserve">Ten days before admission, the patient visited a local hospital for acute right upper quadrant abdominal pain. The pain was moderate, tolerable, and persistent. Additionally, the patient suffered from fever, with a temperature of up to 39 degrees Celsius. She did not complain of vomiting or diarrhea. An abdominal ultrasound revealed bile duct stones. After </w:t>
      </w:r>
      <w:proofErr w:type="spellStart"/>
      <w:r>
        <w:rPr>
          <w:rFonts w:ascii="Book Antiqua" w:eastAsia="Book Antiqua" w:hAnsi="Book Antiqua" w:cs="Book Antiqua"/>
          <w:color w:val="000000"/>
          <w:szCs w:val="21"/>
        </w:rPr>
        <w:t>cefoperazone</w:t>
      </w:r>
      <w:proofErr w:type="spellEnd"/>
      <w:r>
        <w:rPr>
          <w:rFonts w:ascii="Book Antiqua" w:eastAsia="Book Antiqua" w:hAnsi="Book Antiqua" w:cs="Book Antiqua"/>
          <w:color w:val="000000"/>
          <w:szCs w:val="21"/>
        </w:rPr>
        <w:t xml:space="preserve"> anti-infection treatment, the patient’s symptoms were relieved, and the patient was transferred to our hospital.</w:t>
      </w:r>
    </w:p>
    <w:p w14:paraId="1D59AE24" w14:textId="77777777" w:rsidR="00A77B3E" w:rsidRDefault="00A77B3E" w:rsidP="002229D1">
      <w:pPr>
        <w:spacing w:line="360" w:lineRule="auto"/>
        <w:jc w:val="both"/>
      </w:pPr>
    </w:p>
    <w:p w14:paraId="147A5BD2" w14:textId="77777777" w:rsidR="00A77B3E" w:rsidRDefault="00B20FD0">
      <w:pPr>
        <w:spacing w:line="360" w:lineRule="auto"/>
        <w:jc w:val="both"/>
      </w:pPr>
      <w:r>
        <w:rPr>
          <w:rFonts w:ascii="Book Antiqua" w:eastAsia="Book Antiqua" w:hAnsi="Book Antiqua" w:cs="Book Antiqua"/>
          <w:b/>
          <w:i/>
          <w:color w:val="000000"/>
        </w:rPr>
        <w:t>History of past illness</w:t>
      </w:r>
    </w:p>
    <w:p w14:paraId="3521385E" w14:textId="77777777" w:rsidR="00A77B3E" w:rsidRDefault="00B20FD0" w:rsidP="002229D1">
      <w:pPr>
        <w:spacing w:line="360" w:lineRule="auto"/>
        <w:jc w:val="both"/>
      </w:pPr>
      <w:r>
        <w:rPr>
          <w:rFonts w:ascii="Book Antiqua" w:eastAsia="Book Antiqua" w:hAnsi="Book Antiqua" w:cs="Book Antiqua"/>
          <w:color w:val="000000"/>
          <w:szCs w:val="21"/>
        </w:rPr>
        <w:t>The patient had undergone cholecystectomy for gallbladder stones 20 years prior to presentation at our hospital.</w:t>
      </w:r>
    </w:p>
    <w:p w14:paraId="567C4703" w14:textId="77777777" w:rsidR="00A77B3E" w:rsidRDefault="00A77B3E" w:rsidP="002229D1">
      <w:pPr>
        <w:spacing w:line="360" w:lineRule="auto"/>
        <w:jc w:val="both"/>
      </w:pPr>
    </w:p>
    <w:p w14:paraId="78BD2843" w14:textId="77777777" w:rsidR="00A77B3E" w:rsidRDefault="00B20FD0">
      <w:pPr>
        <w:spacing w:line="360" w:lineRule="auto"/>
        <w:jc w:val="both"/>
      </w:pPr>
      <w:r>
        <w:rPr>
          <w:rFonts w:ascii="Book Antiqua" w:eastAsia="Book Antiqua" w:hAnsi="Book Antiqua" w:cs="Book Antiqua"/>
          <w:b/>
          <w:i/>
          <w:color w:val="000000"/>
        </w:rPr>
        <w:t>Personal and family history</w:t>
      </w:r>
    </w:p>
    <w:p w14:paraId="0BBE7AF1" w14:textId="77777777" w:rsidR="00A77B3E" w:rsidRDefault="00B20FD0" w:rsidP="002229D1">
      <w:pPr>
        <w:spacing w:line="360" w:lineRule="auto"/>
        <w:jc w:val="both"/>
      </w:pPr>
      <w:r>
        <w:rPr>
          <w:rFonts w:ascii="Book Antiqua" w:eastAsia="Book Antiqua" w:hAnsi="Book Antiqua" w:cs="Book Antiqua"/>
          <w:color w:val="000000"/>
          <w:szCs w:val="21"/>
        </w:rPr>
        <w:t>The patient had a previous history of mild anemia and did not have a remarkable family medical history.</w:t>
      </w:r>
    </w:p>
    <w:p w14:paraId="257F38E8" w14:textId="77777777" w:rsidR="00A77B3E" w:rsidRDefault="00A77B3E" w:rsidP="002229D1">
      <w:pPr>
        <w:spacing w:line="360" w:lineRule="auto"/>
        <w:jc w:val="both"/>
      </w:pPr>
    </w:p>
    <w:p w14:paraId="1CB6EF74" w14:textId="77777777" w:rsidR="00A77B3E" w:rsidRDefault="00B20FD0">
      <w:pPr>
        <w:spacing w:line="360" w:lineRule="auto"/>
        <w:jc w:val="both"/>
      </w:pPr>
      <w:r>
        <w:rPr>
          <w:rFonts w:ascii="Book Antiqua" w:eastAsia="Book Antiqua" w:hAnsi="Book Antiqua" w:cs="Book Antiqua"/>
          <w:b/>
          <w:i/>
          <w:color w:val="000000"/>
        </w:rPr>
        <w:t>Physical examination</w:t>
      </w:r>
    </w:p>
    <w:p w14:paraId="310D0072" w14:textId="77777777" w:rsidR="00A77B3E" w:rsidRDefault="00B20FD0" w:rsidP="002229D1">
      <w:pPr>
        <w:spacing w:line="360" w:lineRule="auto"/>
        <w:jc w:val="both"/>
      </w:pPr>
      <w:r>
        <w:rPr>
          <w:rFonts w:ascii="Book Antiqua" w:eastAsia="Book Antiqua" w:hAnsi="Book Antiqua" w:cs="Book Antiqua"/>
          <w:color w:val="000000"/>
          <w:szCs w:val="21"/>
        </w:rPr>
        <w:t>On physical examination, the patient was conscious and cooperative. The abdominal region was flat and soft.</w:t>
      </w:r>
    </w:p>
    <w:p w14:paraId="5AD6DDF1" w14:textId="77777777" w:rsidR="00A77B3E" w:rsidRDefault="00A77B3E" w:rsidP="002229D1">
      <w:pPr>
        <w:spacing w:line="360" w:lineRule="auto"/>
        <w:jc w:val="both"/>
      </w:pPr>
    </w:p>
    <w:p w14:paraId="000D602A" w14:textId="77777777" w:rsidR="00A77B3E" w:rsidRDefault="00B20FD0">
      <w:pPr>
        <w:spacing w:line="360" w:lineRule="auto"/>
        <w:jc w:val="both"/>
      </w:pPr>
      <w:r>
        <w:rPr>
          <w:rFonts w:ascii="Book Antiqua" w:eastAsia="Book Antiqua" w:hAnsi="Book Antiqua" w:cs="Book Antiqua"/>
          <w:b/>
          <w:i/>
          <w:color w:val="000000"/>
        </w:rPr>
        <w:t>Laboratory examinations</w:t>
      </w:r>
    </w:p>
    <w:p w14:paraId="1C2ED72B" w14:textId="79BC4D66" w:rsidR="00A77B3E" w:rsidRDefault="00B20FD0" w:rsidP="002229D1">
      <w:pPr>
        <w:spacing w:line="360" w:lineRule="auto"/>
        <w:jc w:val="both"/>
      </w:pPr>
      <w:r>
        <w:rPr>
          <w:rFonts w:ascii="Book Antiqua" w:eastAsia="Book Antiqua" w:hAnsi="Book Antiqua" w:cs="Book Antiqua"/>
          <w:color w:val="000000"/>
          <w:szCs w:val="21"/>
        </w:rPr>
        <w:t xml:space="preserve">The patient’s preoperative laboratory examinations were only mildly abnormal: </w:t>
      </w:r>
      <w:r w:rsidR="002229D1">
        <w:rPr>
          <w:rFonts w:ascii="Book Antiqua" w:eastAsia="Book Antiqua" w:hAnsi="Book Antiqua" w:cs="Book Antiqua"/>
          <w:color w:val="000000"/>
          <w:szCs w:val="21"/>
        </w:rPr>
        <w:t xml:space="preserve">Hemoglobin (Hgb) </w:t>
      </w:r>
      <w:r>
        <w:rPr>
          <w:rFonts w:ascii="Book Antiqua" w:eastAsia="Book Antiqua" w:hAnsi="Book Antiqua" w:cs="Book Antiqua"/>
          <w:color w:val="000000"/>
          <w:szCs w:val="21"/>
        </w:rPr>
        <w:t>91 g/L, white blood cell count, 9800/</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platelet count, 107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/L; total bilirubin (TBIL), 58.6 µmol/L; direct bilirubin (DBIL), 35.3 µmol/L; aspartate aminotransferase (AST), 33.5 U/L; albumin, 38.7 g/L; C-reactive protein, 32.4 mg/dL; </w:t>
      </w:r>
      <w:r>
        <w:rPr>
          <w:rFonts w:ascii="Book Antiqua" w:eastAsia="Book Antiqua" w:hAnsi="Book Antiqua" w:cs="Book Antiqua"/>
          <w:color w:val="000000"/>
          <w:szCs w:val="21"/>
        </w:rPr>
        <w:lastRenderedPageBreak/>
        <w:t>prothrombin time, 10.8 s; INR, 0.98; indocyanine green retention rate at 15 min, 5.5%. The result of direct antiglobulin test was negative, and bone marrow biopsy showed mild histiocyte hyperplasia.</w:t>
      </w:r>
    </w:p>
    <w:p w14:paraId="4C015108" w14:textId="77777777" w:rsidR="00A77B3E" w:rsidRDefault="00A77B3E" w:rsidP="002229D1">
      <w:pPr>
        <w:spacing w:line="360" w:lineRule="auto"/>
        <w:jc w:val="both"/>
      </w:pPr>
    </w:p>
    <w:p w14:paraId="698E8129" w14:textId="77777777" w:rsidR="00A77B3E" w:rsidRDefault="00B20FD0">
      <w:pPr>
        <w:spacing w:line="360" w:lineRule="auto"/>
        <w:jc w:val="both"/>
      </w:pPr>
      <w:r>
        <w:rPr>
          <w:rFonts w:ascii="Book Antiqua" w:eastAsia="Book Antiqua" w:hAnsi="Book Antiqua" w:cs="Book Antiqua"/>
          <w:b/>
          <w:i/>
          <w:color w:val="000000"/>
        </w:rPr>
        <w:t>Imaging examinations</w:t>
      </w:r>
    </w:p>
    <w:p w14:paraId="1AFDF942" w14:textId="179BD5DC" w:rsidR="00A77B3E" w:rsidRDefault="002229D1" w:rsidP="002229D1">
      <w:pPr>
        <w:spacing w:line="360" w:lineRule="auto"/>
        <w:jc w:val="both"/>
      </w:pPr>
      <w:r w:rsidRPr="002229D1">
        <w:rPr>
          <w:rFonts w:ascii="Book Antiqua" w:eastAsia="Book Antiqua" w:hAnsi="Book Antiqua" w:cs="Book Antiqua"/>
          <w:color w:val="000000"/>
          <w:szCs w:val="21"/>
        </w:rPr>
        <w:t xml:space="preserve">Magnetic resonance imaging </w:t>
      </w:r>
      <w:r w:rsidR="00B20FD0">
        <w:rPr>
          <w:rFonts w:ascii="Book Antiqua" w:eastAsia="Book Antiqua" w:hAnsi="Book Antiqua" w:cs="Book Antiqua"/>
          <w:color w:val="000000"/>
          <w:szCs w:val="21"/>
        </w:rPr>
        <w:t>revealed right intrahepatic bile duct stones and common bile duct stones (Figure 1). The future liver remnant was 49%.</w:t>
      </w:r>
    </w:p>
    <w:p w14:paraId="1C501A04" w14:textId="77777777" w:rsidR="00A77B3E" w:rsidRDefault="00A77B3E" w:rsidP="002229D1">
      <w:pPr>
        <w:spacing w:line="360" w:lineRule="auto"/>
        <w:jc w:val="both"/>
      </w:pPr>
    </w:p>
    <w:p w14:paraId="4802D868" w14:textId="77777777" w:rsidR="00A77B3E" w:rsidRDefault="00B20FD0">
      <w:pPr>
        <w:spacing w:line="360" w:lineRule="auto"/>
        <w:jc w:val="both"/>
      </w:pPr>
      <w:r>
        <w:rPr>
          <w:rFonts w:ascii="Book Antiqua" w:eastAsia="Book Antiqua" w:hAnsi="Book Antiqua" w:cs="Book Antiqua"/>
          <w:b/>
          <w:caps/>
          <w:color w:val="000000"/>
          <w:u w:val="single"/>
        </w:rPr>
        <w:t>FINAL DIAGNOSIS</w:t>
      </w:r>
    </w:p>
    <w:p w14:paraId="3034D62A" w14:textId="77777777" w:rsidR="00A77B3E" w:rsidRDefault="00B20FD0" w:rsidP="002229D1">
      <w:pPr>
        <w:spacing w:line="360" w:lineRule="auto"/>
        <w:jc w:val="both"/>
      </w:pPr>
      <w:r>
        <w:rPr>
          <w:rFonts w:ascii="Book Antiqua" w:eastAsia="Book Antiqua" w:hAnsi="Book Antiqua" w:cs="Book Antiqua"/>
          <w:color w:val="000000"/>
          <w:szCs w:val="21"/>
        </w:rPr>
        <w:t>The patient was diagnosed with hepatolithiasis and choledocholithiasis. After surgery, she was diagnosed to have PNH induced hemolysis causing postoperative jaundice.</w:t>
      </w:r>
    </w:p>
    <w:p w14:paraId="7608CE90" w14:textId="77777777" w:rsidR="00A77B3E" w:rsidRDefault="00A77B3E" w:rsidP="002229D1">
      <w:pPr>
        <w:spacing w:line="360" w:lineRule="auto"/>
        <w:jc w:val="both"/>
      </w:pPr>
    </w:p>
    <w:p w14:paraId="4AE96B30" w14:textId="77777777" w:rsidR="00A77B3E" w:rsidRDefault="00B20FD0">
      <w:pPr>
        <w:spacing w:line="360" w:lineRule="auto"/>
        <w:jc w:val="both"/>
      </w:pPr>
      <w:r>
        <w:rPr>
          <w:rFonts w:ascii="Book Antiqua" w:eastAsia="Book Antiqua" w:hAnsi="Book Antiqua" w:cs="Book Antiqua"/>
          <w:b/>
          <w:caps/>
          <w:color w:val="000000"/>
          <w:u w:val="single"/>
        </w:rPr>
        <w:t>TREATMENT</w:t>
      </w:r>
    </w:p>
    <w:p w14:paraId="0D686C41" w14:textId="77777777" w:rsidR="002229D1" w:rsidRDefault="00B20FD0" w:rsidP="002229D1">
      <w:pPr>
        <w:spacing w:line="360" w:lineRule="auto"/>
        <w:jc w:val="both"/>
      </w:pPr>
      <w:r>
        <w:rPr>
          <w:rFonts w:ascii="Book Antiqua" w:eastAsia="Book Antiqua" w:hAnsi="Book Antiqua" w:cs="Book Antiqua"/>
          <w:color w:val="000000"/>
          <w:szCs w:val="21"/>
        </w:rPr>
        <w:t>Open surgery was performed after the preoperative examinations were completed. Intraoperative ultrasonography reconfirmed that the right intrahepatic bile duct was extensively dilated with stones. The common bile duct was approximately 1.4</w:t>
      </w:r>
      <w:r w:rsidR="002229D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cm. Eventually, right hepatectomy and biliary tract exploration with intraoperative </w:t>
      </w:r>
      <w:proofErr w:type="spellStart"/>
      <w:r>
        <w:rPr>
          <w:rFonts w:ascii="Book Antiqua" w:eastAsia="Book Antiqua" w:hAnsi="Book Antiqua" w:cs="Book Antiqua"/>
          <w:color w:val="000000"/>
          <w:szCs w:val="21"/>
        </w:rPr>
        <w:t>choledochoscopic</w:t>
      </w:r>
      <w:proofErr w:type="spellEnd"/>
      <w:r>
        <w:rPr>
          <w:rFonts w:ascii="Book Antiqua" w:eastAsia="Book Antiqua" w:hAnsi="Book Antiqua" w:cs="Book Antiqua"/>
          <w:color w:val="000000"/>
          <w:szCs w:val="21"/>
        </w:rPr>
        <w:t xml:space="preserve"> lithotripsy, without hepaticojejunostomy, were conducted. The operation proceeded successfully without a requirement for blood transfusion. The operating time was 250 min, and the estimated blood loss was less than 100 </w:t>
      </w:r>
      <w:proofErr w:type="spellStart"/>
      <w:r>
        <w:rPr>
          <w:rFonts w:ascii="Book Antiqua" w:eastAsia="Book Antiqua" w:hAnsi="Book Antiqua" w:cs="Book Antiqua"/>
          <w:color w:val="000000"/>
          <w:szCs w:val="21"/>
        </w:rPr>
        <w:t>mL.</w:t>
      </w:r>
      <w:proofErr w:type="spellEnd"/>
    </w:p>
    <w:p w14:paraId="0043A99A" w14:textId="77777777" w:rsidR="002229D1" w:rsidRDefault="00B20FD0" w:rsidP="002229D1">
      <w:pPr>
        <w:spacing w:line="360" w:lineRule="auto"/>
        <w:ind w:firstLineChars="100" w:firstLine="240"/>
        <w:jc w:val="both"/>
      </w:pPr>
      <w:r>
        <w:rPr>
          <w:rFonts w:ascii="Book Antiqua" w:eastAsia="Book Antiqua" w:hAnsi="Book Antiqua" w:cs="Book Antiqua"/>
          <w:color w:val="000000"/>
          <w:szCs w:val="21"/>
        </w:rPr>
        <w:t>An artificial liver support system was required on the 8th and 11th postoperative days due to hyperbilirubinemia. The patient received a blood transfusion (erythrocyte suspensions, 3 U; and plasma, 400 mL) because of a decrease in Hgb to 65 g/L on the 12</w:t>
      </w:r>
      <w:r w:rsidRPr="002229D1">
        <w:rPr>
          <w:rFonts w:ascii="Book Antiqua" w:eastAsia="Book Antiqua" w:hAnsi="Book Antiqua" w:cs="Book Antiqua"/>
          <w:color w:val="000000"/>
          <w:szCs w:val="21"/>
          <w:vertAlign w:val="superscript"/>
        </w:rPr>
        <w:t>th</w:t>
      </w:r>
      <w:r w:rsidR="002229D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postoperative day.</w:t>
      </w:r>
    </w:p>
    <w:p w14:paraId="406E4227" w14:textId="77728ACC" w:rsidR="00A77B3E" w:rsidRDefault="00B20FD0" w:rsidP="002229D1">
      <w:pPr>
        <w:spacing w:line="360" w:lineRule="auto"/>
        <w:ind w:firstLineChars="100" w:firstLine="240"/>
        <w:jc w:val="both"/>
      </w:pPr>
      <w:r>
        <w:rPr>
          <w:rFonts w:ascii="Book Antiqua" w:eastAsia="Book Antiqua" w:hAnsi="Book Antiqua" w:cs="Book Antiqua"/>
          <w:color w:val="000000"/>
          <w:szCs w:val="21"/>
        </w:rPr>
        <w:t xml:space="preserve">The patient was treated with steroids after the diagnosis of postoperative jaundice caused by PNH induced hemolysis was made. The treatment protocol is shown in Figure 2. On postoperative day 14, the patient started steroid treatment with methylprednisolone at a dose of 2.0 mg/kg/d. The patient's jaundice gradually stabilized. The dose of methylprednisolone was reduced to 1.5 mg/kg/d after 1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1.0 </w:t>
      </w:r>
      <w:r>
        <w:rPr>
          <w:rFonts w:ascii="Book Antiqua" w:eastAsia="Book Antiqua" w:hAnsi="Book Antiqua" w:cs="Book Antiqua"/>
          <w:color w:val="000000"/>
          <w:szCs w:val="21"/>
        </w:rPr>
        <w:lastRenderedPageBreak/>
        <w:t xml:space="preserve">mg/kg/d after 2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0.75 mg/kg/d after 3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and 0.5 mg/kg/d after 4 wk. The dose of 0.5 mg/kg/d was maintained for 4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and 0.25 mg/kg/d was maintained for an additional 4 wk.</w:t>
      </w:r>
    </w:p>
    <w:p w14:paraId="60ECB286" w14:textId="77777777" w:rsidR="00A77B3E" w:rsidRDefault="00A77B3E" w:rsidP="002229D1">
      <w:pPr>
        <w:spacing w:line="360" w:lineRule="auto"/>
        <w:jc w:val="both"/>
      </w:pPr>
    </w:p>
    <w:p w14:paraId="7389AF25" w14:textId="77777777" w:rsidR="00A77B3E" w:rsidRDefault="00B20FD0">
      <w:pPr>
        <w:spacing w:line="360" w:lineRule="auto"/>
        <w:jc w:val="both"/>
      </w:pPr>
      <w:r>
        <w:rPr>
          <w:rFonts w:ascii="Book Antiqua" w:eastAsia="Book Antiqua" w:hAnsi="Book Antiqua" w:cs="Book Antiqua"/>
          <w:b/>
          <w:caps/>
          <w:color w:val="000000"/>
          <w:u w:val="single"/>
        </w:rPr>
        <w:t>OUTCOME AND FOLLOW-UP</w:t>
      </w:r>
    </w:p>
    <w:p w14:paraId="7684AE73" w14:textId="77777777" w:rsidR="002229D1" w:rsidRDefault="00B20FD0" w:rsidP="002229D1">
      <w:pPr>
        <w:spacing w:line="360" w:lineRule="auto"/>
        <w:jc w:val="both"/>
      </w:pPr>
      <w:r>
        <w:rPr>
          <w:rFonts w:ascii="Book Antiqua" w:eastAsia="Book Antiqua" w:hAnsi="Book Antiqua" w:cs="Book Antiqua"/>
          <w:color w:val="000000"/>
          <w:szCs w:val="21"/>
        </w:rPr>
        <w:t>After surgery, the patient suffered a progressive increase in serum bilirubin (Figure 3A). Paradoxically, the AST and INR were mildly elevated postoperatively and declined gradually (Figure 3B). Postoperative ultrasound did not reveal intra- or extrahepatic bile duct dilatation. These results did not resemble the typical presentation of PHLF. During this time, the patient presented with low back pain and hemoglobinuria after the blood transfusion. Hemolytic screening was subsequently implemented. The direct antiglobulin test was repeated, and the result was still negative. The serum-free Hgb was elevated to 117 mg/L. The results of the glucose-6-phosphate dehydrogenase test and erythrocyte osmotic fragility test were negative. The flow cytometry analysis showed that CD59 was absent on the 27% of erythrocytes surface. Flow cytometry to detect populations of CD55 or CD59 deficient blood cells is firmly established as the method of choice for the diagnosis and monitoring of PNH. Thus, this patient's postoperative hyperbilirubinemia was confirmed to be caused by PNH-induced hemolysis.</w:t>
      </w:r>
    </w:p>
    <w:p w14:paraId="1DC36948" w14:textId="0B73E599" w:rsidR="00A77B3E" w:rsidRDefault="00B20FD0" w:rsidP="002229D1">
      <w:pPr>
        <w:spacing w:line="360" w:lineRule="auto"/>
        <w:ind w:firstLineChars="100" w:firstLine="240"/>
        <w:jc w:val="both"/>
      </w:pPr>
      <w:r>
        <w:rPr>
          <w:rFonts w:ascii="Book Antiqua" w:eastAsia="Book Antiqua" w:hAnsi="Book Antiqua" w:cs="Book Antiqua"/>
          <w:color w:val="000000"/>
          <w:szCs w:val="21"/>
        </w:rPr>
        <w:t>The patient's jaundice gradually improved after steroid treatment (Figure 4). The patient was discharged on the 35</w:t>
      </w:r>
      <w:r w:rsidRPr="002229D1">
        <w:rPr>
          <w:rFonts w:ascii="Book Antiqua" w:eastAsia="Book Antiqua" w:hAnsi="Book Antiqua" w:cs="Book Antiqua"/>
          <w:color w:val="000000"/>
          <w:szCs w:val="21"/>
          <w:vertAlign w:val="superscript"/>
        </w:rPr>
        <w:t>th</w:t>
      </w:r>
      <w:r w:rsidR="002229D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postoperative day. At discharge, the TBIL of the patient had decreased to 198.3 µmol/L. When followed up at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after surgery, the patient's Hgb was 85 g/L, and TBIL was 48.3 µmol/L.</w:t>
      </w:r>
    </w:p>
    <w:p w14:paraId="6CAABB6E" w14:textId="77777777" w:rsidR="00A77B3E" w:rsidRDefault="00A77B3E" w:rsidP="002229D1">
      <w:pPr>
        <w:spacing w:line="360" w:lineRule="auto"/>
        <w:jc w:val="both"/>
      </w:pPr>
    </w:p>
    <w:p w14:paraId="6CE567B7" w14:textId="77777777" w:rsidR="00A77B3E" w:rsidRDefault="00B20FD0">
      <w:pPr>
        <w:spacing w:line="360" w:lineRule="auto"/>
        <w:jc w:val="both"/>
      </w:pPr>
      <w:r>
        <w:rPr>
          <w:rFonts w:ascii="Book Antiqua" w:eastAsia="Book Antiqua" w:hAnsi="Book Antiqua" w:cs="Book Antiqua"/>
          <w:b/>
          <w:caps/>
          <w:color w:val="000000"/>
          <w:u w:val="single"/>
        </w:rPr>
        <w:t>DISCUSSION</w:t>
      </w:r>
    </w:p>
    <w:p w14:paraId="64EC7EB5" w14:textId="77777777" w:rsidR="004B65C1" w:rsidRDefault="00B20FD0" w:rsidP="004B65C1">
      <w:pPr>
        <w:spacing w:line="360" w:lineRule="auto"/>
        <w:jc w:val="both"/>
      </w:pPr>
      <w:r>
        <w:rPr>
          <w:rFonts w:ascii="Book Antiqua" w:eastAsia="Book Antiqua" w:hAnsi="Book Antiqua" w:cs="Book Antiqua"/>
          <w:color w:val="000000"/>
          <w:szCs w:val="21"/>
        </w:rPr>
        <w:t xml:space="preserve">PNH is a rare and acquired hematopoietic stem cell disorder that is characterized by the destruction of blood cells </w:t>
      </w:r>
      <w:r>
        <w:rPr>
          <w:rFonts w:ascii="Book Antiqua" w:eastAsia="Book Antiqua" w:hAnsi="Book Antiqua" w:cs="Book Antiqua"/>
          <w:i/>
          <w:iCs/>
          <w:color w:val="000000"/>
          <w:szCs w:val="21"/>
        </w:rPr>
        <w:t>via</w:t>
      </w:r>
      <w:r>
        <w:rPr>
          <w:rFonts w:ascii="Book Antiqua" w:eastAsia="Book Antiqua" w:hAnsi="Book Antiqua" w:cs="Book Antiqua"/>
          <w:color w:val="000000"/>
        </w:rPr>
        <w:t xml:space="preserve"> the complement system due to a deficiency of glycosylphosphatidylinositol-anchored proteins (GPI-APs), such as CD55 and CD59, on the blood cell surface, resulting in symptoms such as hemoglobinuria</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For the </w:t>
      </w:r>
      <w:r>
        <w:rPr>
          <w:rFonts w:ascii="Book Antiqua" w:eastAsia="Book Antiqua" w:hAnsi="Book Antiqua" w:cs="Book Antiqua"/>
          <w:color w:val="000000"/>
        </w:rPr>
        <w:lastRenderedPageBreak/>
        <w:t xml:space="preserve">diagnosis of PNH, flow cytometry is recommended to identify a deficiency of GPI-APs in peripheral blood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r>
        <w:rPr>
          <w:rFonts w:ascii="Book Antiqua" w:eastAsia="Book Antiqua" w:hAnsi="Book Antiqua" w:cs="Book Antiqua"/>
          <w:color w:val="000000"/>
          <w:szCs w:val="21"/>
        </w:rPr>
        <w:t>In this patient, CD59 absence on the surface of 27% of erythrocytes was an important factor in the diagnosis of PHN</w:t>
      </w:r>
      <w:r>
        <w:rPr>
          <w:rFonts w:ascii="Book Antiqua" w:eastAsia="Book Antiqua" w:hAnsi="Book Antiqua" w:cs="Book Antiqua"/>
          <w:color w:val="000000"/>
        </w:rPr>
        <w:t xml:space="preserve">. In terms of treatment, complement inhibition therapy in the form of eculizumab has improved treatment prospects for PNH patients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However, high costs and access difficulties have limited the utilization of eculizumab in China, and steroid therapy is still the preferred treatment to control hemolytic attacks in PNH patients</w:t>
      </w:r>
      <w:r>
        <w:rPr>
          <w:rFonts w:ascii="Book Antiqua" w:eastAsia="Book Antiqua" w:hAnsi="Book Antiqua" w:cs="Book Antiqua"/>
          <w:color w:val="000000"/>
          <w:vertAlign w:val="superscript"/>
        </w:rPr>
        <w:t>[8]</w:t>
      </w:r>
      <w:r>
        <w:rPr>
          <w:rFonts w:ascii="Book Antiqua" w:eastAsia="Book Antiqua" w:hAnsi="Book Antiqua" w:cs="Book Antiqua"/>
          <w:color w:val="000000"/>
        </w:rPr>
        <w:t>. In this case, the patient's hyperbilirubinemia was relieved after the administration of methylprednisolone, and the treatment achieved relatively favorable outcomes.</w:t>
      </w:r>
    </w:p>
    <w:p w14:paraId="4710AC2A" w14:textId="77777777" w:rsidR="004B65C1" w:rsidRDefault="00B20FD0" w:rsidP="004B65C1">
      <w:pPr>
        <w:spacing w:line="360" w:lineRule="auto"/>
        <w:ind w:firstLineChars="100" w:firstLine="240"/>
        <w:jc w:val="both"/>
      </w:pPr>
      <w:r>
        <w:rPr>
          <w:rFonts w:ascii="Book Antiqua" w:eastAsia="Book Antiqua" w:hAnsi="Book Antiqua" w:cs="Book Antiqua"/>
          <w:color w:val="000000"/>
          <w:szCs w:val="21"/>
        </w:rPr>
        <w:t>There were several points that deserve our attention in this case.</w:t>
      </w:r>
    </w:p>
    <w:p w14:paraId="62E42E27" w14:textId="77777777" w:rsidR="004B65C1" w:rsidRDefault="00B20FD0" w:rsidP="004B65C1">
      <w:pPr>
        <w:spacing w:line="360" w:lineRule="auto"/>
        <w:ind w:firstLineChars="100" w:firstLine="240"/>
        <w:jc w:val="both"/>
      </w:pPr>
      <w:r>
        <w:rPr>
          <w:rFonts w:ascii="Book Antiqua" w:eastAsia="Book Antiqua" w:hAnsi="Book Antiqua" w:cs="Book Antiqua"/>
          <w:color w:val="000000"/>
        </w:rPr>
        <w:t>First, the severity of hemolysis varies in PNH patients. There are some PNH patients with insidious onset that have no characteristic manifestations</w:t>
      </w:r>
      <w:r>
        <w:rPr>
          <w:rFonts w:ascii="Book Antiqua" w:eastAsia="Book Antiqua" w:hAnsi="Book Antiqua" w:cs="Book Antiqua"/>
          <w:color w:val="000000"/>
          <w:vertAlign w:val="superscript"/>
        </w:rPr>
        <w:t>[9]</w:t>
      </w:r>
      <w:r>
        <w:rPr>
          <w:rFonts w:ascii="Book Antiqua" w:eastAsia="Book Antiqua" w:hAnsi="Book Antiqua" w:cs="Book Antiqua"/>
          <w:color w:val="000000"/>
        </w:rPr>
        <w:t>. This patient only presented with mild anemia and elevated bilirubin preoperatively, which is also common in patients with bile duct stones. Moreover, the preoperative bone marrow biopsy showed no significant abnormalities. The patient was not diagnosed with PNH until hemolytic symptoms developed after blood transfusion.</w:t>
      </w:r>
    </w:p>
    <w:p w14:paraId="51B39DF5" w14:textId="77777777" w:rsidR="00D7171A" w:rsidRDefault="00B20FD0" w:rsidP="00D7171A">
      <w:pPr>
        <w:spacing w:line="360" w:lineRule="auto"/>
        <w:ind w:firstLineChars="100" w:firstLine="240"/>
        <w:jc w:val="both"/>
      </w:pPr>
      <w:r>
        <w:rPr>
          <w:rFonts w:ascii="Book Antiqua" w:eastAsia="Book Antiqua" w:hAnsi="Book Antiqua" w:cs="Book Antiqua"/>
          <w:color w:val="000000"/>
        </w:rPr>
        <w:t>Second, in this patient, it is possible that transfusion of plasma, rather than erythrocyte suspension, aggravated the patient</w:t>
      </w:r>
      <w:r w:rsidR="004B65C1">
        <w:rPr>
          <w:rFonts w:ascii="Book Antiqua" w:eastAsia="Book Antiqua" w:hAnsi="Book Antiqua" w:cs="Book Antiqua"/>
          <w:color w:val="000000"/>
        </w:rPr>
        <w:t>’</w:t>
      </w:r>
      <w:r>
        <w:rPr>
          <w:rFonts w:ascii="Book Antiqua" w:eastAsia="Book Antiqua" w:hAnsi="Book Antiqua" w:cs="Book Antiqua"/>
          <w:color w:val="000000"/>
        </w:rPr>
        <w:t>s hemolysis. PNH may induce complement-dependent intravascular hemolysis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Plasma transfusion might replenish the depleted complement, thus exacerbating the occurrence of hemolysis in PNH erythrocytes. Although the use of washed red blood cells for transfusion in PNH patients has been recommended previously, recent studies have found that transfusion of homozygous red blood cells does not significantly increase the occurrence of hemolysis in PNH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B93BD86" w14:textId="77777777" w:rsidR="00D7171A" w:rsidRDefault="00B20FD0" w:rsidP="00D7171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Third, it has been reported that chronic hemolysis may lead to increased bilirubin excretion, resulting in an increased incidence of hepatobiliary </w:t>
      </w:r>
      <w:proofErr w:type="gramStart"/>
      <w:r>
        <w:rPr>
          <w:rFonts w:ascii="Book Antiqua" w:eastAsia="Book Antiqua" w:hAnsi="Book Antiqua" w:cs="Book Antiqua"/>
          <w:color w:val="000000"/>
        </w:rPr>
        <w:t>stones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Therefore, theoretically, PNH patients have a higher chance of hepatobiliary stones. There have been reports of cholecystectomy in patients with PNH</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but there have been no reports of hepatectomy in patients with PNH. Surgery may be one of the clinical </w:t>
      </w:r>
      <w:r>
        <w:rPr>
          <w:rFonts w:ascii="Book Antiqua" w:eastAsia="Book Antiqua" w:hAnsi="Book Antiqua" w:cs="Book Antiqua"/>
          <w:color w:val="000000"/>
        </w:rPr>
        <w:lastRenderedPageBreak/>
        <w:t>conditions that triggers PNH-induced hemolysis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Perisurgical</w:t>
      </w:r>
      <w:proofErr w:type="spellEnd"/>
      <w:r>
        <w:rPr>
          <w:rFonts w:ascii="Book Antiqua" w:eastAsia="Book Antiqua" w:hAnsi="Book Antiqua" w:cs="Book Antiqua"/>
          <w:color w:val="000000"/>
        </w:rPr>
        <w:t xml:space="preserve"> induction of eculizumab has been reported in a patient with PNH to inhibit surgery-triggered </w:t>
      </w:r>
      <w:proofErr w:type="gramStart"/>
      <w:r>
        <w:rPr>
          <w:rFonts w:ascii="Book Antiqua" w:eastAsia="Book Antiqua" w:hAnsi="Book Antiqua" w:cs="Book Antiqua"/>
          <w:color w:val="000000"/>
        </w:rPr>
        <w:t>hemolysis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w:t>
      </w:r>
    </w:p>
    <w:p w14:paraId="0B6B3286" w14:textId="7C4B64E1" w:rsidR="00A77B3E" w:rsidRDefault="00B20FD0" w:rsidP="00D7171A">
      <w:pPr>
        <w:spacing w:line="360" w:lineRule="auto"/>
        <w:ind w:firstLineChars="100" w:firstLine="240"/>
        <w:jc w:val="both"/>
      </w:pPr>
      <w:r>
        <w:rPr>
          <w:rFonts w:ascii="Book Antiqua" w:eastAsia="Book Antiqua" w:hAnsi="Book Antiqua" w:cs="Book Antiqua"/>
          <w:color w:val="000000"/>
        </w:rPr>
        <w:t>Last, the jaundice caused by hemolysis typically features elevated indirect bilirubin (IBIL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However, the postoperative DBIL elevation was more significant in this patient. The liver is the main metabolic site for bilirubin. The IBIL produced by hemolysis is transported to hepatocytes and combined with glucuronide to form DBIL, which is subsequently excreted into the bile ducts</w:t>
      </w:r>
      <w:r>
        <w:rPr>
          <w:rFonts w:ascii="Book Antiqua" w:eastAsia="Book Antiqua" w:hAnsi="Book Antiqua" w:cs="Book Antiqua"/>
          <w:color w:val="000000"/>
          <w:vertAlign w:val="superscript"/>
        </w:rPr>
        <w:t>[17]</w:t>
      </w:r>
      <w:r>
        <w:rPr>
          <w:rFonts w:ascii="Book Antiqua" w:eastAsia="Book Antiqua" w:hAnsi="Book Antiqua" w:cs="Book Antiqua"/>
          <w:color w:val="000000"/>
        </w:rPr>
        <w:t>. Right hemicolectomy may lead to a reduction in liver size and a decrease in the liver</w:t>
      </w:r>
      <w:r w:rsidR="00276157">
        <w:rPr>
          <w:rFonts w:ascii="Book Antiqua" w:eastAsia="Book Antiqua" w:hAnsi="Book Antiqua" w:cs="Book Antiqua"/>
          <w:color w:val="000000"/>
        </w:rPr>
        <w:t>’</w:t>
      </w:r>
      <w:r>
        <w:rPr>
          <w:rFonts w:ascii="Book Antiqua" w:eastAsia="Book Antiqua" w:hAnsi="Book Antiqua" w:cs="Book Antiqua"/>
          <w:color w:val="000000"/>
        </w:rPr>
        <w:t>s ability to metabolize and excrete bilirubin. In the event of increased IBIL production from hemolysis, it is possible that the residual hepatic capacity to metabolize DBIL is greater than the hepatic capacity to excrete DBIL. This has not been reported in previous reports and may need to be validated in further animal experiments.</w:t>
      </w:r>
    </w:p>
    <w:p w14:paraId="2A7DE9F4" w14:textId="77777777" w:rsidR="00A77B3E" w:rsidRDefault="00A77B3E">
      <w:pPr>
        <w:spacing w:line="360" w:lineRule="auto"/>
        <w:jc w:val="both"/>
      </w:pPr>
    </w:p>
    <w:p w14:paraId="3B84F85D" w14:textId="77777777" w:rsidR="00A77B3E" w:rsidRDefault="00B20FD0">
      <w:pPr>
        <w:spacing w:line="360" w:lineRule="auto"/>
        <w:jc w:val="both"/>
      </w:pPr>
      <w:r>
        <w:rPr>
          <w:rFonts w:ascii="Book Antiqua" w:eastAsia="Book Antiqua" w:hAnsi="Book Antiqua" w:cs="Book Antiqua"/>
          <w:b/>
          <w:caps/>
          <w:color w:val="000000"/>
          <w:u w:val="single"/>
        </w:rPr>
        <w:t>CONCLUSION</w:t>
      </w:r>
    </w:p>
    <w:p w14:paraId="7738EB40" w14:textId="77777777" w:rsidR="00A77B3E" w:rsidRDefault="00B20FD0" w:rsidP="00D7171A">
      <w:pPr>
        <w:spacing w:line="360" w:lineRule="auto"/>
        <w:jc w:val="both"/>
      </w:pPr>
      <w:r>
        <w:rPr>
          <w:rFonts w:ascii="Book Antiqua" w:eastAsia="Book Antiqua" w:hAnsi="Book Antiqua" w:cs="Book Antiqua"/>
          <w:color w:val="000000"/>
          <w:szCs w:val="21"/>
        </w:rPr>
        <w:t xml:space="preserve">PNH-induced hemolysis is a rare cause of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jaundice. It should be suspected in patients having </w:t>
      </w:r>
      <w:proofErr w:type="spellStart"/>
      <w:r>
        <w:rPr>
          <w:rFonts w:ascii="Book Antiqua" w:eastAsia="Book Antiqua" w:hAnsi="Book Antiqua" w:cs="Book Antiqua"/>
          <w:color w:val="000000"/>
          <w:szCs w:val="21"/>
        </w:rPr>
        <w:t>posthepatectomy</w:t>
      </w:r>
      <w:proofErr w:type="spellEnd"/>
      <w:r>
        <w:rPr>
          <w:rFonts w:ascii="Book Antiqua" w:eastAsia="Book Antiqua" w:hAnsi="Book Antiqua" w:cs="Book Antiqua"/>
          <w:color w:val="000000"/>
          <w:szCs w:val="21"/>
        </w:rPr>
        <w:t xml:space="preserve"> hyperbilirubinemia without other signs of liver failure. Steroid therapy can be considered for the treatment of PNH in such cases.</w:t>
      </w:r>
    </w:p>
    <w:p w14:paraId="5DA5E824" w14:textId="77777777" w:rsidR="00A77B3E" w:rsidRDefault="00A77B3E" w:rsidP="00D7171A">
      <w:pPr>
        <w:spacing w:line="360" w:lineRule="auto"/>
        <w:jc w:val="both"/>
      </w:pPr>
    </w:p>
    <w:p w14:paraId="40C78A84" w14:textId="77777777" w:rsidR="00A77B3E" w:rsidRDefault="00B20FD0" w:rsidP="00D7171A">
      <w:pPr>
        <w:spacing w:line="360" w:lineRule="auto"/>
        <w:jc w:val="both"/>
      </w:pPr>
      <w:r>
        <w:rPr>
          <w:rFonts w:ascii="Book Antiqua" w:eastAsia="Book Antiqua" w:hAnsi="Book Antiqua" w:cs="Book Antiqua"/>
          <w:b/>
          <w:color w:val="000000"/>
        </w:rPr>
        <w:t>REFERENCES</w:t>
      </w:r>
    </w:p>
    <w:p w14:paraId="4219B0D6" w14:textId="77777777" w:rsidR="00A77B3E" w:rsidRDefault="00B20FD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Søreide</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Deshpande R. Post hepatectomy liver failure (PHLF) - Recent advances in prevention and clinical management.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216-224 [PMID: 32943278 DOI: 10.1016/j.ejso.2020.09.001]</w:t>
      </w:r>
    </w:p>
    <w:p w14:paraId="6EA1D523" w14:textId="77777777" w:rsidR="00A77B3E" w:rsidRDefault="00B20FD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Rahbari</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Garden OJ, Padbury R, Brooke-Smith M, Crawford M, Adam R, Koch M, Makuuchi M,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Christophi</w:t>
      </w:r>
      <w:proofErr w:type="spellEnd"/>
      <w:r>
        <w:rPr>
          <w:rFonts w:ascii="Book Antiqua" w:eastAsia="Book Antiqua" w:hAnsi="Book Antiqua" w:cs="Book Antiqua"/>
          <w:color w:val="000000"/>
        </w:rPr>
        <w:t xml:space="preserve"> C, Banting S, </w:t>
      </w:r>
      <w:proofErr w:type="spellStart"/>
      <w:r>
        <w:rPr>
          <w:rFonts w:ascii="Book Antiqua" w:eastAsia="Book Antiqua" w:hAnsi="Book Antiqua" w:cs="Book Antiqua"/>
          <w:color w:val="000000"/>
        </w:rPr>
        <w:t>Usatoff</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Maddern</w:t>
      </w:r>
      <w:proofErr w:type="spellEnd"/>
      <w:r>
        <w:rPr>
          <w:rFonts w:ascii="Book Antiqua" w:eastAsia="Book Antiqua" w:hAnsi="Book Antiqua" w:cs="Book Antiqua"/>
          <w:color w:val="000000"/>
        </w:rPr>
        <w:t xml:space="preserve"> G, Hugh TJ,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Greig P, Rees M, Yokoyama Y, Fan ST,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Figueras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Weitz J. </w:t>
      </w:r>
      <w:proofErr w:type="spellStart"/>
      <w:r>
        <w:rPr>
          <w:rFonts w:ascii="Book Antiqua" w:eastAsia="Book Antiqua" w:hAnsi="Book Antiqua" w:cs="Book Antiqua"/>
          <w:color w:val="000000"/>
        </w:rPr>
        <w:t>Posthepatectomy</w:t>
      </w:r>
      <w:proofErr w:type="spellEnd"/>
      <w:r>
        <w:rPr>
          <w:rFonts w:ascii="Book Antiqua" w:eastAsia="Book Antiqua" w:hAnsi="Book Antiqua" w:cs="Book Antiqua"/>
          <w:color w:val="000000"/>
        </w:rPr>
        <w:t xml:space="preserve"> liver failure: a definition and </w:t>
      </w:r>
      <w:r>
        <w:rPr>
          <w:rFonts w:ascii="Book Antiqua" w:eastAsia="Book Antiqua" w:hAnsi="Book Antiqua" w:cs="Book Antiqua"/>
          <w:color w:val="000000"/>
        </w:rPr>
        <w:lastRenderedPageBreak/>
        <w:t xml:space="preserve">grading by the International Study Group of Liver Surgery (ISGLS).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149</w:t>
      </w:r>
      <w:r>
        <w:rPr>
          <w:rFonts w:ascii="Book Antiqua" w:eastAsia="Book Antiqua" w:hAnsi="Book Antiqua" w:cs="Book Antiqua"/>
          <w:color w:val="000000"/>
        </w:rPr>
        <w:t>: 713-724 [PMID: 21236455 DOI: 10.1016/j.surg.2010.10.001]</w:t>
      </w:r>
    </w:p>
    <w:p w14:paraId="517A7FEC" w14:textId="77777777" w:rsidR="00A77B3E" w:rsidRDefault="00B20FD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Devalet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Mullier</w:t>
      </w:r>
      <w:proofErr w:type="spellEnd"/>
      <w:r>
        <w:rPr>
          <w:rFonts w:ascii="Book Antiqua" w:eastAsia="Book Antiqua" w:hAnsi="Book Antiqua" w:cs="Book Antiqua"/>
          <w:color w:val="000000"/>
        </w:rPr>
        <w:t xml:space="preserve"> F, Chatelain B, </w:t>
      </w:r>
      <w:proofErr w:type="spellStart"/>
      <w:r>
        <w:rPr>
          <w:rFonts w:ascii="Book Antiqua" w:eastAsia="Book Antiqua" w:hAnsi="Book Antiqua" w:cs="Book Antiqua"/>
          <w:color w:val="000000"/>
        </w:rPr>
        <w:t>Dogné</w:t>
      </w:r>
      <w:proofErr w:type="spellEnd"/>
      <w:r>
        <w:rPr>
          <w:rFonts w:ascii="Book Antiqua" w:eastAsia="Book Antiqua" w:hAnsi="Book Antiqua" w:cs="Book Antiqua"/>
          <w:color w:val="000000"/>
        </w:rPr>
        <w:t xml:space="preserve"> JM, Chatelain C. Pathophysiology, diagnosis, and treatment of paroxysmal nocturnal hemoglobinuria: a review.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95</w:t>
      </w:r>
      <w:r>
        <w:rPr>
          <w:rFonts w:ascii="Book Antiqua" w:eastAsia="Book Antiqua" w:hAnsi="Book Antiqua" w:cs="Book Antiqua"/>
          <w:color w:val="000000"/>
        </w:rPr>
        <w:t>: 190-198 [PMID: 25753400 DOI: 10.1111/ejh.12543]</w:t>
      </w:r>
    </w:p>
    <w:p w14:paraId="638A6343" w14:textId="77777777" w:rsidR="00A77B3E" w:rsidRDefault="00B20F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Parker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Omine</w:t>
      </w:r>
      <w:proofErr w:type="spellEnd"/>
      <w:r>
        <w:rPr>
          <w:rFonts w:ascii="Book Antiqua" w:eastAsia="Book Antiqua" w:hAnsi="Book Antiqua" w:cs="Book Antiqua"/>
          <w:color w:val="000000"/>
        </w:rPr>
        <w:t xml:space="preserve"> M, Richards S, Nishimura J, </w:t>
      </w:r>
      <w:proofErr w:type="spellStart"/>
      <w:r>
        <w:rPr>
          <w:rFonts w:ascii="Book Antiqua" w:eastAsia="Book Antiqua" w:hAnsi="Book Antiqua" w:cs="Book Antiqua"/>
          <w:color w:val="000000"/>
        </w:rPr>
        <w:t>Bessler</w:t>
      </w:r>
      <w:proofErr w:type="spellEnd"/>
      <w:r>
        <w:rPr>
          <w:rFonts w:ascii="Book Antiqua" w:eastAsia="Book Antiqua" w:hAnsi="Book Antiqua" w:cs="Book Antiqua"/>
          <w:color w:val="000000"/>
        </w:rPr>
        <w:t xml:space="preserve"> M, Ware R, Hillmen P, </w:t>
      </w:r>
      <w:proofErr w:type="spellStart"/>
      <w:r>
        <w:rPr>
          <w:rFonts w:ascii="Book Antiqua" w:eastAsia="Book Antiqua" w:hAnsi="Book Antiqua" w:cs="Book Antiqua"/>
          <w:color w:val="000000"/>
        </w:rPr>
        <w:t>Luzzatto</w:t>
      </w:r>
      <w:proofErr w:type="spellEnd"/>
      <w:r>
        <w:rPr>
          <w:rFonts w:ascii="Book Antiqua" w:eastAsia="Book Antiqua" w:hAnsi="Book Antiqua" w:cs="Book Antiqua"/>
          <w:color w:val="000000"/>
        </w:rPr>
        <w:t xml:space="preserve"> L, Young N, Kinoshita T, </w:t>
      </w:r>
      <w:proofErr w:type="spellStart"/>
      <w:r>
        <w:rPr>
          <w:rFonts w:ascii="Book Antiqua" w:eastAsia="Book Antiqua" w:hAnsi="Book Antiqua" w:cs="Book Antiqua"/>
          <w:color w:val="000000"/>
        </w:rPr>
        <w:t>Rosse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Socié</w:t>
      </w:r>
      <w:proofErr w:type="spellEnd"/>
      <w:r>
        <w:rPr>
          <w:rFonts w:ascii="Book Antiqua" w:eastAsia="Book Antiqua" w:hAnsi="Book Antiqua" w:cs="Book Antiqua"/>
          <w:color w:val="000000"/>
        </w:rPr>
        <w:t xml:space="preserve"> G; International PNH Interest Group. Diagnosis and management of paroxysmal nocturnal hemoglobinuria.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106</w:t>
      </w:r>
      <w:r>
        <w:rPr>
          <w:rFonts w:ascii="Book Antiqua" w:eastAsia="Book Antiqua" w:hAnsi="Book Antiqua" w:cs="Book Antiqua"/>
          <w:color w:val="000000"/>
        </w:rPr>
        <w:t>: 3699-3709 [PMID: 16051736 DOI: 10.1182/blood-2005-04-1717]</w:t>
      </w:r>
    </w:p>
    <w:p w14:paraId="4F0EFC12" w14:textId="77777777" w:rsidR="00A77B3E" w:rsidRDefault="00B20F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Parker CJ</w:t>
      </w:r>
      <w:r>
        <w:rPr>
          <w:rFonts w:ascii="Book Antiqua" w:eastAsia="Book Antiqua" w:hAnsi="Book Antiqua" w:cs="Book Antiqua"/>
          <w:color w:val="000000"/>
        </w:rPr>
        <w:t xml:space="preserve">. Update on the diagnosis and management of paroxysmal nocturnal hemoglobinuria.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208-216 [PMID: 27913482 DOI: 10.1182/asheducation-2016.1.208]</w:t>
      </w:r>
    </w:p>
    <w:p w14:paraId="0CE92C9D" w14:textId="77777777" w:rsidR="00A77B3E" w:rsidRDefault="00B20F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Hillmen P</w:t>
      </w:r>
      <w:r>
        <w:rPr>
          <w:rFonts w:ascii="Book Antiqua" w:eastAsia="Book Antiqua" w:hAnsi="Book Antiqua" w:cs="Book Antiqua"/>
          <w:color w:val="000000"/>
        </w:rPr>
        <w:t xml:space="preserve">, Young NS, Schubert J, Brodsky RA, </w:t>
      </w:r>
      <w:proofErr w:type="spellStart"/>
      <w:r>
        <w:rPr>
          <w:rFonts w:ascii="Book Antiqua" w:eastAsia="Book Antiqua" w:hAnsi="Book Antiqua" w:cs="Book Antiqua"/>
          <w:color w:val="000000"/>
        </w:rPr>
        <w:t>Socié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Röth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Elebute</w:t>
      </w:r>
      <w:proofErr w:type="spellEnd"/>
      <w:r>
        <w:rPr>
          <w:rFonts w:ascii="Book Antiqua" w:eastAsia="Book Antiqua" w:hAnsi="Book Antiqua" w:cs="Book Antiqua"/>
          <w:color w:val="000000"/>
        </w:rPr>
        <w:t xml:space="preserve"> MO, Nakamura R, Browne P, </w:t>
      </w:r>
      <w:proofErr w:type="spellStart"/>
      <w:r>
        <w:rPr>
          <w:rFonts w:ascii="Book Antiqua" w:eastAsia="Book Antiqua" w:hAnsi="Book Antiqua" w:cs="Book Antiqua"/>
          <w:color w:val="000000"/>
        </w:rPr>
        <w:t>Risitano</w:t>
      </w:r>
      <w:proofErr w:type="spellEnd"/>
      <w:r>
        <w:rPr>
          <w:rFonts w:ascii="Book Antiqua" w:eastAsia="Book Antiqua" w:hAnsi="Book Antiqua" w:cs="Book Antiqua"/>
          <w:color w:val="000000"/>
        </w:rPr>
        <w:t xml:space="preserve"> AM, Hill A, </w:t>
      </w:r>
      <w:proofErr w:type="spellStart"/>
      <w:r>
        <w:rPr>
          <w:rFonts w:ascii="Book Antiqua" w:eastAsia="Book Antiqua" w:hAnsi="Book Antiqua" w:cs="Book Antiqua"/>
          <w:color w:val="000000"/>
        </w:rPr>
        <w:t>Schrezenmeier</w:t>
      </w:r>
      <w:proofErr w:type="spellEnd"/>
      <w:r>
        <w:rPr>
          <w:rFonts w:ascii="Book Antiqua" w:eastAsia="Book Antiqua" w:hAnsi="Book Antiqua" w:cs="Book Antiqua"/>
          <w:color w:val="000000"/>
        </w:rPr>
        <w:t xml:space="preserve"> H, Fu CL,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J, Rollins SA, </w:t>
      </w:r>
      <w:proofErr w:type="spellStart"/>
      <w:r>
        <w:rPr>
          <w:rFonts w:ascii="Book Antiqua" w:eastAsia="Book Antiqua" w:hAnsi="Book Antiqua" w:cs="Book Antiqua"/>
          <w:color w:val="000000"/>
        </w:rPr>
        <w:t>Mojcik</w:t>
      </w:r>
      <w:proofErr w:type="spellEnd"/>
      <w:r>
        <w:rPr>
          <w:rFonts w:ascii="Book Antiqua" w:eastAsia="Book Antiqua" w:hAnsi="Book Antiqua" w:cs="Book Antiqua"/>
          <w:color w:val="000000"/>
        </w:rPr>
        <w:t xml:space="preserve"> CF, Rother RP, </w:t>
      </w:r>
      <w:proofErr w:type="spellStart"/>
      <w:r>
        <w:rPr>
          <w:rFonts w:ascii="Book Antiqua" w:eastAsia="Book Antiqua" w:hAnsi="Book Antiqua" w:cs="Book Antiqua"/>
          <w:color w:val="000000"/>
        </w:rPr>
        <w:t>Luzzatto</w:t>
      </w:r>
      <w:proofErr w:type="spellEnd"/>
      <w:r>
        <w:rPr>
          <w:rFonts w:ascii="Book Antiqua" w:eastAsia="Book Antiqua" w:hAnsi="Book Antiqua" w:cs="Book Antiqua"/>
          <w:color w:val="000000"/>
        </w:rPr>
        <w:t xml:space="preserve"> L. The complement inhibitor eculizumab in paroxysmal nocturnal hemoglobinuria.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1233-1243 [PMID: 16990386 DOI: 10.1056/NEJMoa061648]</w:t>
      </w:r>
    </w:p>
    <w:p w14:paraId="68612FFD" w14:textId="77777777" w:rsidR="00A77B3E" w:rsidRDefault="00B20FD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Loschi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Porcher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Barraco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Terriou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Mohty</w:t>
      </w:r>
      <w:proofErr w:type="spellEnd"/>
      <w:r>
        <w:rPr>
          <w:rFonts w:ascii="Book Antiqua" w:eastAsia="Book Antiqua" w:hAnsi="Book Antiqua" w:cs="Book Antiqua"/>
          <w:color w:val="000000"/>
        </w:rPr>
        <w:t xml:space="preserve"> M, de Guibert S, </w:t>
      </w:r>
      <w:proofErr w:type="spellStart"/>
      <w:r>
        <w:rPr>
          <w:rFonts w:ascii="Book Antiqua" w:eastAsia="Book Antiqua" w:hAnsi="Book Antiqua" w:cs="Book Antiqua"/>
          <w:color w:val="000000"/>
        </w:rPr>
        <w:t>Mahe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Lemal</w:t>
      </w:r>
      <w:proofErr w:type="spellEnd"/>
      <w:r>
        <w:rPr>
          <w:rFonts w:ascii="Book Antiqua" w:eastAsia="Book Antiqua" w:hAnsi="Book Antiqua" w:cs="Book Antiqua"/>
          <w:color w:val="000000"/>
        </w:rPr>
        <w:t xml:space="preserve"> R, Dumas PY, Etienne G, Jardin F, Royer B, </w:t>
      </w:r>
      <w:proofErr w:type="spellStart"/>
      <w:r>
        <w:rPr>
          <w:rFonts w:ascii="Book Antiqua" w:eastAsia="Book Antiqua" w:hAnsi="Book Antiqua" w:cs="Book Antiqua"/>
          <w:color w:val="000000"/>
        </w:rPr>
        <w:t>Bordessoule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Rohrlich</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Fornecker</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Salanoubat</w:t>
      </w:r>
      <w:proofErr w:type="spellEnd"/>
      <w:r>
        <w:rPr>
          <w:rFonts w:ascii="Book Antiqua" w:eastAsia="Book Antiqua" w:hAnsi="Book Antiqua" w:cs="Book Antiqua"/>
          <w:color w:val="000000"/>
        </w:rPr>
        <w:t xml:space="preserve"> C, Maury S, Cahn JY, Vincent L, </w:t>
      </w:r>
      <w:proofErr w:type="spellStart"/>
      <w:r>
        <w:rPr>
          <w:rFonts w:ascii="Book Antiqua" w:eastAsia="Book Antiqua" w:hAnsi="Book Antiqua" w:cs="Book Antiqua"/>
          <w:color w:val="000000"/>
        </w:rPr>
        <w:t>Sene</w:t>
      </w:r>
      <w:proofErr w:type="spellEnd"/>
      <w:r>
        <w:rPr>
          <w:rFonts w:ascii="Book Antiqua" w:eastAsia="Book Antiqua" w:hAnsi="Book Antiqua" w:cs="Book Antiqua"/>
          <w:color w:val="000000"/>
        </w:rPr>
        <w:t xml:space="preserve"> T, Rigaudeau S, Nguyen S, </w:t>
      </w:r>
      <w:proofErr w:type="spellStart"/>
      <w:r>
        <w:rPr>
          <w:rFonts w:ascii="Book Antiqua" w:eastAsia="Book Antiqua" w:hAnsi="Book Antiqua" w:cs="Book Antiqua"/>
          <w:color w:val="000000"/>
        </w:rPr>
        <w:t>Lepretre</w:t>
      </w:r>
      <w:proofErr w:type="spellEnd"/>
      <w:r>
        <w:rPr>
          <w:rFonts w:ascii="Book Antiqua" w:eastAsia="Book Antiqua" w:hAnsi="Book Antiqua" w:cs="Book Antiqua"/>
          <w:color w:val="000000"/>
        </w:rPr>
        <w:t xml:space="preserve"> AC, Mary JY, </w:t>
      </w:r>
      <w:proofErr w:type="spellStart"/>
      <w:r>
        <w:rPr>
          <w:rFonts w:ascii="Book Antiqua" w:eastAsia="Book Antiqua" w:hAnsi="Book Antiqua" w:cs="Book Antiqua"/>
          <w:color w:val="000000"/>
        </w:rPr>
        <w:t>Corront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Socie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Peffault</w:t>
      </w:r>
      <w:proofErr w:type="spellEnd"/>
      <w:r>
        <w:rPr>
          <w:rFonts w:ascii="Book Antiqua" w:eastAsia="Book Antiqua" w:hAnsi="Book Antiqua" w:cs="Book Antiqua"/>
          <w:color w:val="000000"/>
        </w:rPr>
        <w:t xml:space="preserve"> de Latour R. Impact of eculizumab treatment on paroxysmal nocturnal hemoglobinuria: a treatment </w:t>
      </w:r>
      <w:r>
        <w:rPr>
          <w:rFonts w:ascii="Book Antiqua" w:eastAsia="Book Antiqua" w:hAnsi="Book Antiqua" w:cs="Book Antiqua"/>
          <w:i/>
          <w:iCs/>
          <w:color w:val="000000"/>
        </w:rPr>
        <w:t>vs</w:t>
      </w:r>
      <w:r>
        <w:rPr>
          <w:rFonts w:ascii="Book Antiqua" w:eastAsia="Book Antiqua" w:hAnsi="Book Antiqua" w:cs="Book Antiqua"/>
          <w:color w:val="000000"/>
        </w:rPr>
        <w:t xml:space="preserve"> no-treatment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366-370 [PMID: 26689746 DOI: 10.1002/ajh.24278]</w:t>
      </w:r>
    </w:p>
    <w:p w14:paraId="737AFC83" w14:textId="77777777" w:rsidR="00A77B3E" w:rsidRDefault="00B20FD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Fu R</w:t>
      </w:r>
      <w:r>
        <w:rPr>
          <w:rFonts w:ascii="Book Antiqua" w:eastAsia="Book Antiqua" w:hAnsi="Book Antiqua" w:cs="Book Antiqua"/>
          <w:color w:val="000000"/>
        </w:rPr>
        <w:t xml:space="preserve">, Li L, Li L, Liu H, Zhang T, Ding S, Wang G, Song J, Wang H, Xing L, Guan J, Shao Z. Analysis of clinical characteristics of 92 patients with paroxysmal nocturnal hemoglobinuria: A single institution experience in China.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e23008 [PMID: 31502726 DOI: 10.1002/jcla.23008]</w:t>
      </w:r>
    </w:p>
    <w:p w14:paraId="5036143E" w14:textId="77777777" w:rsidR="00A77B3E" w:rsidRDefault="00B20FD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Brodsky RA</w:t>
      </w:r>
      <w:r>
        <w:rPr>
          <w:rFonts w:ascii="Book Antiqua" w:eastAsia="Book Antiqua" w:hAnsi="Book Antiqua" w:cs="Book Antiqua"/>
          <w:color w:val="000000"/>
        </w:rPr>
        <w:t xml:space="preserve">. Paroxysmal nocturnal hemoglobinuria.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2804-2811 [PMID: 25237200 DOI: 10.1182/blood-2014-02-522128]</w:t>
      </w:r>
    </w:p>
    <w:p w14:paraId="45B362AB" w14:textId="77777777" w:rsidR="00A77B3E" w:rsidRDefault="00B20FD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Merrill SA</w:t>
      </w:r>
      <w:r>
        <w:rPr>
          <w:rFonts w:ascii="Book Antiqua" w:eastAsia="Book Antiqua" w:hAnsi="Book Antiqua" w:cs="Book Antiqua"/>
          <w:color w:val="000000"/>
        </w:rPr>
        <w:t xml:space="preserve">, Brodsky RA. Complement-driven anemia: more than just paroxysmal nocturnal hemoglobinuria.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371-376 [PMID: 30504334 DOI: 10.1182/asheducation-2018.1.371]</w:t>
      </w:r>
    </w:p>
    <w:p w14:paraId="0DDD134A" w14:textId="77777777" w:rsidR="00A77B3E" w:rsidRDefault="00B20FD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Brecher</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Taswell</w:t>
      </w:r>
      <w:proofErr w:type="spellEnd"/>
      <w:r>
        <w:rPr>
          <w:rFonts w:ascii="Book Antiqua" w:eastAsia="Book Antiqua" w:hAnsi="Book Antiqua" w:cs="Book Antiqua"/>
          <w:color w:val="000000"/>
        </w:rPr>
        <w:t xml:space="preserve"> HF. Paroxysmal nocturnal hemoglobinuria and the transfusion of washed red cells. A myth revisited.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1989; </w:t>
      </w:r>
      <w:r>
        <w:rPr>
          <w:rFonts w:ascii="Book Antiqua" w:eastAsia="Book Antiqua" w:hAnsi="Book Antiqua" w:cs="Book Antiqua"/>
          <w:b/>
          <w:bCs/>
          <w:color w:val="000000"/>
        </w:rPr>
        <w:t>29</w:t>
      </w:r>
      <w:r>
        <w:rPr>
          <w:rFonts w:ascii="Book Antiqua" w:eastAsia="Book Antiqua" w:hAnsi="Book Antiqua" w:cs="Book Antiqua"/>
          <w:color w:val="000000"/>
        </w:rPr>
        <w:t>: 681-685 [PMID: 2799892 DOI: 10.1046/j.1537-2995.1989.29890020439.x]</w:t>
      </w:r>
    </w:p>
    <w:p w14:paraId="7539B733" w14:textId="77777777" w:rsidR="00A77B3E" w:rsidRDefault="00B20F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Ebert EC</w:t>
      </w:r>
      <w:r>
        <w:rPr>
          <w:rFonts w:ascii="Book Antiqua" w:eastAsia="Book Antiqua" w:hAnsi="Book Antiqua" w:cs="Book Antiqua"/>
          <w:color w:val="000000"/>
        </w:rPr>
        <w:t xml:space="preserve">, Nagar M, </w:t>
      </w:r>
      <w:proofErr w:type="spellStart"/>
      <w:r>
        <w:rPr>
          <w:rFonts w:ascii="Book Antiqua" w:eastAsia="Book Antiqua" w:hAnsi="Book Antiqua" w:cs="Book Antiqua"/>
          <w:color w:val="000000"/>
        </w:rPr>
        <w:t>Hagspiel</w:t>
      </w:r>
      <w:proofErr w:type="spellEnd"/>
      <w:r>
        <w:rPr>
          <w:rFonts w:ascii="Book Antiqua" w:eastAsia="Book Antiqua" w:hAnsi="Book Antiqua" w:cs="Book Antiqua"/>
          <w:color w:val="000000"/>
        </w:rPr>
        <w:t xml:space="preserve"> KD. Gastrointestinal and hepatic complications of sickle cell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483-9; quiz e70 [PMID: 20215064 DOI: 10.1016/j.cgh.2010.02.016]</w:t>
      </w:r>
    </w:p>
    <w:p w14:paraId="42361E02" w14:textId="77777777" w:rsidR="00A77B3E" w:rsidRDefault="00B20F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Ando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A, Yoshizawa S,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M, Iwabuchi T, Ito Y, </w:t>
      </w:r>
      <w:proofErr w:type="spellStart"/>
      <w:r>
        <w:rPr>
          <w:rFonts w:ascii="Book Antiqua" w:eastAsia="Book Antiqua" w:hAnsi="Book Antiqua" w:cs="Book Antiqua"/>
          <w:color w:val="000000"/>
        </w:rPr>
        <w:t>Ohyashiki</w:t>
      </w:r>
      <w:proofErr w:type="spellEnd"/>
      <w:r>
        <w:rPr>
          <w:rFonts w:ascii="Book Antiqua" w:eastAsia="Book Antiqua" w:hAnsi="Book Antiqua" w:cs="Book Antiqua"/>
          <w:color w:val="000000"/>
        </w:rPr>
        <w:t xml:space="preserve"> K. Successful cholecystectomy in a patient with aplastic anemia-paroxysmal nocturnal hemoglobinuria during eculizumab treatment.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1987-1988 [PMID: 22739575 DOI: 10.1007/s00277-012-1514-2]</w:t>
      </w:r>
    </w:p>
    <w:p w14:paraId="3129FD95" w14:textId="77777777" w:rsidR="00A77B3E" w:rsidRDefault="00B20F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Kurita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Obara</w:t>
      </w:r>
      <w:proofErr w:type="spellEnd"/>
      <w:r>
        <w:rPr>
          <w:rFonts w:ascii="Book Antiqua" w:eastAsia="Book Antiqua" w:hAnsi="Book Antiqua" w:cs="Book Antiqua"/>
          <w:color w:val="000000"/>
        </w:rPr>
        <w:t xml:space="preserve"> N, Fukuda K, </w:t>
      </w:r>
      <w:proofErr w:type="spellStart"/>
      <w:r>
        <w:rPr>
          <w:rFonts w:ascii="Book Antiqua" w:eastAsia="Book Antiqua" w:hAnsi="Book Antiqua" w:cs="Book Antiqua"/>
          <w:color w:val="000000"/>
        </w:rPr>
        <w:t>Nishikii</w:t>
      </w:r>
      <w:proofErr w:type="spellEnd"/>
      <w:r>
        <w:rPr>
          <w:rFonts w:ascii="Book Antiqua" w:eastAsia="Book Antiqua" w:hAnsi="Book Antiqua" w:cs="Book Antiqua"/>
          <w:color w:val="000000"/>
        </w:rPr>
        <w:t xml:space="preserve"> H, Sato S, </w:t>
      </w:r>
      <w:proofErr w:type="spellStart"/>
      <w:r>
        <w:rPr>
          <w:rFonts w:ascii="Book Antiqua" w:eastAsia="Book Antiqua" w:hAnsi="Book Antiqua" w:cs="Book Antiqua"/>
          <w:color w:val="000000"/>
        </w:rPr>
        <w:t>Inagawa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Owada</w:t>
      </w:r>
      <w:proofErr w:type="spellEnd"/>
      <w:r>
        <w:rPr>
          <w:rFonts w:ascii="Book Antiqua" w:eastAsia="Book Antiqua" w:hAnsi="Book Antiqua" w:cs="Book Antiqua"/>
          <w:color w:val="000000"/>
        </w:rPr>
        <w:t xml:space="preserve"> Y, Ninomiya H, Chiba S. </w:t>
      </w:r>
      <w:proofErr w:type="spellStart"/>
      <w:r>
        <w:rPr>
          <w:rFonts w:ascii="Book Antiqua" w:eastAsia="Book Antiqua" w:hAnsi="Book Antiqua" w:cs="Book Antiqua"/>
          <w:color w:val="000000"/>
        </w:rPr>
        <w:t>Perisurgical</w:t>
      </w:r>
      <w:proofErr w:type="spellEnd"/>
      <w:r>
        <w:rPr>
          <w:rFonts w:ascii="Book Antiqua" w:eastAsia="Book Antiqua" w:hAnsi="Book Antiqua" w:cs="Book Antiqua"/>
          <w:color w:val="000000"/>
        </w:rPr>
        <w:t xml:space="preserve"> induction of eculizumab in a patient with paroxysmal nocturnal hemoglobinuria: its inhibition of surgery-triggered hemolysis and the consequence of subsequent discontinuation.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Coagul</w:t>
      </w:r>
      <w:proofErr w:type="spellEnd"/>
      <w:r>
        <w:rPr>
          <w:rFonts w:ascii="Book Antiqua" w:eastAsia="Book Antiqua" w:hAnsi="Book Antiqua" w:cs="Book Antiqua"/>
          <w:i/>
          <w:iCs/>
          <w:color w:val="000000"/>
        </w:rPr>
        <w:t xml:space="preserve"> Fibrinolysis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658-662 [PMID: 23917586 DOI: 10.1097/MBC.0b013e328360d057]</w:t>
      </w:r>
    </w:p>
    <w:p w14:paraId="32F20237" w14:textId="77777777" w:rsidR="00A77B3E" w:rsidRDefault="00B20F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Parker CJ</w:t>
      </w:r>
      <w:r>
        <w:rPr>
          <w:rFonts w:ascii="Book Antiqua" w:eastAsia="Book Antiqua" w:hAnsi="Book Antiqua" w:cs="Book Antiqua"/>
          <w:color w:val="000000"/>
        </w:rPr>
        <w:t xml:space="preserve">. Management of paroxysmal nocturnal hemoglobinuria in the era of complement inhibitory therapy.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21-29 [PMID: 22160008 DOI: 10.1182/asheducation-2011.1.21]</w:t>
      </w:r>
    </w:p>
    <w:p w14:paraId="094BBD98" w14:textId="77777777" w:rsidR="00A77B3E" w:rsidRDefault="00B20F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Rifkind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Nagababu</w:t>
      </w:r>
      <w:proofErr w:type="spellEnd"/>
      <w:r>
        <w:rPr>
          <w:rFonts w:ascii="Book Antiqua" w:eastAsia="Book Antiqua" w:hAnsi="Book Antiqua" w:cs="Book Antiqua"/>
          <w:color w:val="000000"/>
        </w:rPr>
        <w:t xml:space="preserve"> E. Hemoglobin redox reactions and red blood cell aging.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2274-2283 [PMID: 23025272 DOI: 10.1089/ars.2012.4867]</w:t>
      </w:r>
    </w:p>
    <w:p w14:paraId="39B519E1" w14:textId="3F7E99D0" w:rsidR="00A77B3E" w:rsidRDefault="00B20FD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Kosmachevskaya</w:t>
      </w:r>
      <w:proofErr w:type="spellEnd"/>
      <w:r>
        <w:rPr>
          <w:rFonts w:ascii="Book Antiqua" w:eastAsia="Book Antiqua" w:hAnsi="Book Antiqua" w:cs="Book Antiqua"/>
          <w:b/>
          <w:bCs/>
          <w:color w:val="000000"/>
        </w:rPr>
        <w:t xml:space="preserve"> OV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Topunov</w:t>
      </w:r>
      <w:proofErr w:type="spellEnd"/>
      <w:r>
        <w:rPr>
          <w:rFonts w:ascii="Book Antiqua" w:eastAsia="Book Antiqua" w:hAnsi="Book Antiqua" w:cs="Book Antiqua"/>
          <w:color w:val="000000"/>
        </w:rPr>
        <w:t xml:space="preserve"> AF. Alternate and Additional Functions of Erythrocyte Hemoglobin. </w:t>
      </w:r>
      <w:r>
        <w:rPr>
          <w:rFonts w:ascii="Book Antiqua" w:eastAsia="Book Antiqua" w:hAnsi="Book Antiqua" w:cs="Book Antiqua"/>
          <w:i/>
          <w:iCs/>
          <w:color w:val="000000"/>
        </w:rPr>
        <w:t>Biochemistry (</w:t>
      </w:r>
      <w:proofErr w:type="spellStart"/>
      <w:r>
        <w:rPr>
          <w:rFonts w:ascii="Book Antiqua" w:eastAsia="Book Antiqua" w:hAnsi="Book Antiqua" w:cs="Book Antiqua"/>
          <w:i/>
          <w:iCs/>
          <w:color w:val="000000"/>
        </w:rPr>
        <w:t>Mosc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xml:space="preserve">: 1575-1593 [PMID: 30878032 DOI: </w:t>
      </w:r>
      <w:r w:rsidR="000B13ED" w:rsidRPr="000B13ED">
        <w:rPr>
          <w:rFonts w:ascii="Book Antiqua" w:eastAsia="Book Antiqua" w:hAnsi="Book Antiqua" w:cs="Book Antiqua"/>
          <w:color w:val="000000"/>
        </w:rPr>
        <w:t>10.1134/S0006297918120155</w:t>
      </w:r>
      <w:r>
        <w:rPr>
          <w:rFonts w:ascii="Book Antiqua" w:eastAsia="Book Antiqua" w:hAnsi="Book Antiqua" w:cs="Book Antiqua"/>
          <w:color w:val="000000"/>
        </w:rPr>
        <w:t>]</w:t>
      </w:r>
    </w:p>
    <w:p w14:paraId="73AEA6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2DCDF5" w14:textId="77777777" w:rsidR="00A77B3E" w:rsidRDefault="00B20FD0">
      <w:pPr>
        <w:spacing w:line="360" w:lineRule="auto"/>
        <w:jc w:val="both"/>
      </w:pPr>
      <w:r>
        <w:rPr>
          <w:rFonts w:ascii="Book Antiqua" w:eastAsia="Book Antiqua" w:hAnsi="Book Antiqua" w:cs="Book Antiqua"/>
          <w:b/>
          <w:color w:val="000000"/>
        </w:rPr>
        <w:lastRenderedPageBreak/>
        <w:t>Footnotes</w:t>
      </w:r>
    </w:p>
    <w:p w14:paraId="0E42F3AB" w14:textId="77777777" w:rsidR="00A77B3E" w:rsidRDefault="00B20FD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398A9B6C" w14:textId="77777777" w:rsidR="00A77B3E" w:rsidRDefault="00A77B3E">
      <w:pPr>
        <w:spacing w:line="360" w:lineRule="auto"/>
        <w:jc w:val="both"/>
      </w:pPr>
    </w:p>
    <w:p w14:paraId="15794FD6" w14:textId="77777777" w:rsidR="00A77B3E" w:rsidRDefault="00B20FD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The authors declare that they have no conflict of interest.</w:t>
      </w:r>
    </w:p>
    <w:p w14:paraId="69F870CC" w14:textId="77777777" w:rsidR="00A77B3E" w:rsidRDefault="00A77B3E">
      <w:pPr>
        <w:spacing w:line="360" w:lineRule="auto"/>
        <w:jc w:val="both"/>
      </w:pPr>
    </w:p>
    <w:p w14:paraId="7B0C3AD1" w14:textId="77777777" w:rsidR="00A77B3E" w:rsidRDefault="00B20FD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p>
    <w:p w14:paraId="1F3955AB" w14:textId="77777777" w:rsidR="00A77B3E" w:rsidRDefault="00A77B3E">
      <w:pPr>
        <w:spacing w:line="360" w:lineRule="auto"/>
        <w:jc w:val="both"/>
      </w:pPr>
    </w:p>
    <w:p w14:paraId="759850C4" w14:textId="77777777" w:rsidR="00A77B3E" w:rsidRDefault="00B20F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5F72A0" w14:textId="77777777" w:rsidR="00A77B3E" w:rsidRDefault="00A77B3E">
      <w:pPr>
        <w:spacing w:line="360" w:lineRule="auto"/>
        <w:jc w:val="both"/>
      </w:pPr>
    </w:p>
    <w:p w14:paraId="3BBD550B" w14:textId="4B449473" w:rsidR="00A77B3E" w:rsidRDefault="00B20F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F16E5">
        <w:rPr>
          <w:rFonts w:ascii="Book Antiqua" w:eastAsia="Book Antiqua" w:hAnsi="Book Antiqua" w:cs="Book Antiqua"/>
          <w:color w:val="000000"/>
        </w:rPr>
        <w:t>manuscript</w:t>
      </w:r>
    </w:p>
    <w:p w14:paraId="697456A5" w14:textId="77777777" w:rsidR="00A77B3E" w:rsidRDefault="00A77B3E">
      <w:pPr>
        <w:spacing w:line="360" w:lineRule="auto"/>
        <w:jc w:val="both"/>
      </w:pPr>
    </w:p>
    <w:p w14:paraId="2F2CD501" w14:textId="77777777" w:rsidR="00A77B3E" w:rsidRDefault="00B20F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2021</w:t>
      </w:r>
    </w:p>
    <w:p w14:paraId="65F451C4" w14:textId="77777777" w:rsidR="00A77B3E" w:rsidRDefault="00B20F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 2021</w:t>
      </w:r>
    </w:p>
    <w:p w14:paraId="68F1B434" w14:textId="77777777" w:rsidR="00A77B3E" w:rsidRDefault="00B20FD0">
      <w:pPr>
        <w:spacing w:line="360" w:lineRule="auto"/>
        <w:jc w:val="both"/>
      </w:pPr>
      <w:r>
        <w:rPr>
          <w:rFonts w:ascii="Book Antiqua" w:eastAsia="Book Antiqua" w:hAnsi="Book Antiqua" w:cs="Book Antiqua"/>
          <w:b/>
          <w:color w:val="000000"/>
        </w:rPr>
        <w:t xml:space="preserve">Article in press: </w:t>
      </w:r>
    </w:p>
    <w:p w14:paraId="1B9B0D3A" w14:textId="77777777" w:rsidR="00A77B3E" w:rsidRDefault="00A77B3E">
      <w:pPr>
        <w:spacing w:line="360" w:lineRule="auto"/>
        <w:jc w:val="both"/>
      </w:pPr>
    </w:p>
    <w:p w14:paraId="265737D9" w14:textId="77777777" w:rsidR="00A77B3E" w:rsidRDefault="00B20F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B064822" w14:textId="77777777" w:rsidR="00A77B3E" w:rsidRDefault="00B20F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0A4B6B" w14:textId="77777777" w:rsidR="00A77B3E" w:rsidRDefault="00B20FD0">
      <w:pPr>
        <w:spacing w:line="360" w:lineRule="auto"/>
        <w:jc w:val="both"/>
      </w:pPr>
      <w:r>
        <w:rPr>
          <w:rFonts w:ascii="Book Antiqua" w:eastAsia="Book Antiqua" w:hAnsi="Book Antiqua" w:cs="Book Antiqua"/>
          <w:b/>
          <w:color w:val="000000"/>
        </w:rPr>
        <w:t>Peer-review report’s scientific quality classification</w:t>
      </w:r>
    </w:p>
    <w:p w14:paraId="14FC2682" w14:textId="77777777" w:rsidR="00A77B3E" w:rsidRDefault="00B20FD0">
      <w:pPr>
        <w:spacing w:line="360" w:lineRule="auto"/>
        <w:jc w:val="both"/>
      </w:pPr>
      <w:r>
        <w:rPr>
          <w:rFonts w:ascii="Book Antiqua" w:eastAsia="Book Antiqua" w:hAnsi="Book Antiqua" w:cs="Book Antiqua"/>
          <w:color w:val="000000"/>
        </w:rPr>
        <w:t>Grade A (Excellent): 0</w:t>
      </w:r>
    </w:p>
    <w:p w14:paraId="285E0C84" w14:textId="77777777" w:rsidR="00A77B3E" w:rsidRDefault="00B20FD0">
      <w:pPr>
        <w:spacing w:line="360" w:lineRule="auto"/>
        <w:jc w:val="both"/>
      </w:pPr>
      <w:r>
        <w:rPr>
          <w:rFonts w:ascii="Book Antiqua" w:eastAsia="Book Antiqua" w:hAnsi="Book Antiqua" w:cs="Book Antiqua"/>
          <w:color w:val="000000"/>
        </w:rPr>
        <w:t>Grade B (Very good): 0</w:t>
      </w:r>
    </w:p>
    <w:p w14:paraId="3B12DBC6" w14:textId="77777777" w:rsidR="00A77B3E" w:rsidRDefault="00B20FD0">
      <w:pPr>
        <w:spacing w:line="360" w:lineRule="auto"/>
        <w:jc w:val="both"/>
      </w:pPr>
      <w:r>
        <w:rPr>
          <w:rFonts w:ascii="Book Antiqua" w:eastAsia="Book Antiqua" w:hAnsi="Book Antiqua" w:cs="Book Antiqua"/>
          <w:color w:val="000000"/>
        </w:rPr>
        <w:t>Grade C (Good): C</w:t>
      </w:r>
    </w:p>
    <w:p w14:paraId="5D862121" w14:textId="77777777" w:rsidR="00A77B3E" w:rsidRDefault="00B20FD0">
      <w:pPr>
        <w:spacing w:line="360" w:lineRule="auto"/>
        <w:jc w:val="both"/>
      </w:pPr>
      <w:r>
        <w:rPr>
          <w:rFonts w:ascii="Book Antiqua" w:eastAsia="Book Antiqua" w:hAnsi="Book Antiqua" w:cs="Book Antiqua"/>
          <w:color w:val="000000"/>
        </w:rPr>
        <w:lastRenderedPageBreak/>
        <w:t>Grade D (Fair): 0</w:t>
      </w:r>
    </w:p>
    <w:p w14:paraId="7DB1E5E5" w14:textId="77777777" w:rsidR="00A77B3E" w:rsidRDefault="00B20FD0">
      <w:pPr>
        <w:spacing w:line="360" w:lineRule="auto"/>
        <w:jc w:val="both"/>
      </w:pPr>
      <w:r>
        <w:rPr>
          <w:rFonts w:ascii="Book Antiqua" w:eastAsia="Book Antiqua" w:hAnsi="Book Antiqua" w:cs="Book Antiqua"/>
          <w:color w:val="000000"/>
        </w:rPr>
        <w:t>Grade E (Poor): 0</w:t>
      </w:r>
    </w:p>
    <w:p w14:paraId="2CCD8C83" w14:textId="77777777" w:rsidR="00A77B3E" w:rsidRDefault="00A77B3E">
      <w:pPr>
        <w:spacing w:line="360" w:lineRule="auto"/>
        <w:jc w:val="both"/>
      </w:pPr>
    </w:p>
    <w:p w14:paraId="04C62249" w14:textId="5880BC4A" w:rsidR="00A77B3E" w:rsidRDefault="00B20F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Kamiyama</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sidR="006F16E5">
        <w:rPr>
          <w:rFonts w:ascii="Book Antiqua" w:eastAsia="Book Antiqua" w:hAnsi="Book Antiqua" w:cs="Book Antiqua"/>
          <w:color w:val="000000"/>
        </w:rPr>
        <w:t>Wang JL</w:t>
      </w:r>
      <w:r>
        <w:rPr>
          <w:rFonts w:ascii="Book Antiqua" w:eastAsia="Book Antiqua" w:hAnsi="Book Antiqua" w:cs="Book Antiqua"/>
          <w:b/>
          <w:color w:val="000000"/>
        </w:rPr>
        <w:t xml:space="preserve"> L-Editor: P-Editor: </w:t>
      </w:r>
    </w:p>
    <w:p w14:paraId="11523F53" w14:textId="77777777" w:rsidR="006F16E5" w:rsidRDefault="006F16E5">
      <w:pPr>
        <w:spacing w:line="360" w:lineRule="auto"/>
        <w:jc w:val="both"/>
        <w:rPr>
          <w:rFonts w:ascii="Book Antiqua" w:eastAsia="Book Antiqua" w:hAnsi="Book Antiqua" w:cs="Book Antiqua"/>
          <w:b/>
          <w:color w:val="000000"/>
        </w:rPr>
      </w:pPr>
    </w:p>
    <w:p w14:paraId="037AAA0D" w14:textId="77777777" w:rsidR="006F16E5" w:rsidRDefault="006F16E5">
      <w:pPr>
        <w:spacing w:line="360" w:lineRule="auto"/>
        <w:jc w:val="both"/>
        <w:rPr>
          <w:rFonts w:ascii="Book Antiqua" w:eastAsia="Book Antiqua" w:hAnsi="Book Antiqua" w:cs="Book Antiqua"/>
          <w:b/>
          <w:color w:val="000000"/>
        </w:rPr>
      </w:pPr>
    </w:p>
    <w:p w14:paraId="25F71628" w14:textId="1B541372" w:rsidR="00A77B3E" w:rsidRDefault="00B20FD0">
      <w:pPr>
        <w:spacing w:line="360" w:lineRule="auto"/>
        <w:jc w:val="both"/>
      </w:pPr>
      <w:r>
        <w:rPr>
          <w:rFonts w:ascii="Book Antiqua" w:eastAsia="Book Antiqua" w:hAnsi="Book Antiqua" w:cs="Book Antiqua"/>
          <w:b/>
          <w:color w:val="000000"/>
        </w:rPr>
        <w:t>Figure Legends</w:t>
      </w:r>
    </w:p>
    <w:p w14:paraId="02DFDC3B" w14:textId="77777777" w:rsidR="00E525CA" w:rsidRDefault="00E525CA">
      <w:pPr>
        <w:spacing w:line="360" w:lineRule="auto"/>
        <w:jc w:val="both"/>
        <w:rPr>
          <w:rFonts w:ascii="Book Antiqua" w:eastAsia="Book Antiqua" w:hAnsi="Book Antiqua" w:cs="Book Antiqua"/>
          <w:b/>
          <w:bCs/>
          <w:color w:val="000000"/>
          <w:szCs w:val="21"/>
        </w:rPr>
      </w:pPr>
      <w:r>
        <w:rPr>
          <w:noProof/>
        </w:rPr>
        <w:drawing>
          <wp:inline distT="0" distB="0" distL="0" distR="0" wp14:anchorId="4D3CA001" wp14:editId="7DB169A2">
            <wp:extent cx="5943600" cy="2347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47595"/>
                    </a:xfrm>
                    <a:prstGeom prst="rect">
                      <a:avLst/>
                    </a:prstGeom>
                  </pic:spPr>
                </pic:pic>
              </a:graphicData>
            </a:graphic>
          </wp:inline>
        </w:drawing>
      </w:r>
    </w:p>
    <w:p w14:paraId="1319CEBB" w14:textId="38152B0E" w:rsidR="00A77B3E" w:rsidRDefault="00B20FD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1 Preoperative magnetic resonance imaging of the patient</w:t>
      </w:r>
      <w:r>
        <w:rPr>
          <w:rFonts w:ascii="Book Antiqua" w:eastAsia="Book Antiqua" w:hAnsi="Book Antiqua" w:cs="Book Antiqua"/>
          <w:color w:val="000000"/>
          <w:szCs w:val="21"/>
        </w:rPr>
        <w:t>. A: Cross-section; B: Magnetic resonance cholangiopancreatography. The right intrahepatic bile duct stones and common bile duct stones are presented (arrows).</w:t>
      </w:r>
    </w:p>
    <w:p w14:paraId="1F217920" w14:textId="77777777" w:rsidR="00E525CA" w:rsidRDefault="00E525CA">
      <w:pPr>
        <w:spacing w:line="360" w:lineRule="auto"/>
        <w:jc w:val="both"/>
        <w:rPr>
          <w:rFonts w:ascii="Book Antiqua" w:eastAsia="Book Antiqua" w:hAnsi="Book Antiqua" w:cs="Book Antiqua"/>
          <w:color w:val="000000"/>
          <w:szCs w:val="21"/>
        </w:rPr>
      </w:pPr>
    </w:p>
    <w:p w14:paraId="51C26265" w14:textId="79C9B728" w:rsidR="00E525CA" w:rsidRDefault="00E525CA">
      <w:pPr>
        <w:spacing w:line="360" w:lineRule="auto"/>
        <w:jc w:val="both"/>
      </w:pPr>
      <w:r>
        <w:rPr>
          <w:noProof/>
        </w:rPr>
        <w:drawing>
          <wp:inline distT="0" distB="0" distL="0" distR="0" wp14:anchorId="4A846461" wp14:editId="2F0A4566">
            <wp:extent cx="5943600" cy="1376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76045"/>
                    </a:xfrm>
                    <a:prstGeom prst="rect">
                      <a:avLst/>
                    </a:prstGeom>
                  </pic:spPr>
                </pic:pic>
              </a:graphicData>
            </a:graphic>
          </wp:inline>
        </w:drawing>
      </w:r>
    </w:p>
    <w:p w14:paraId="601C9960" w14:textId="62308D93" w:rsidR="00A77B3E" w:rsidRDefault="00B20FD0">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Figure 2 The steroid treatment protocol of the patient during hospitalization.</w:t>
      </w:r>
    </w:p>
    <w:p w14:paraId="7BB42F25" w14:textId="77777777" w:rsidR="00E525CA" w:rsidRDefault="00E525CA">
      <w:pPr>
        <w:spacing w:line="360" w:lineRule="auto"/>
        <w:jc w:val="both"/>
      </w:pPr>
    </w:p>
    <w:p w14:paraId="499A732F" w14:textId="77777777" w:rsidR="00883F2B" w:rsidRDefault="00883F2B">
      <w:pPr>
        <w:spacing w:line="360" w:lineRule="auto"/>
        <w:jc w:val="both"/>
        <w:rPr>
          <w:rFonts w:ascii="Book Antiqua" w:eastAsia="Book Antiqua" w:hAnsi="Book Antiqua" w:cs="Book Antiqua"/>
          <w:b/>
          <w:bCs/>
          <w:color w:val="000000"/>
          <w:szCs w:val="21"/>
        </w:rPr>
      </w:pPr>
      <w:r>
        <w:rPr>
          <w:noProof/>
        </w:rPr>
        <w:lastRenderedPageBreak/>
        <w:drawing>
          <wp:inline distT="0" distB="0" distL="0" distR="0" wp14:anchorId="7B6651E5" wp14:editId="26FCFFAA">
            <wp:extent cx="5943600" cy="219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93290"/>
                    </a:xfrm>
                    <a:prstGeom prst="rect">
                      <a:avLst/>
                    </a:prstGeom>
                  </pic:spPr>
                </pic:pic>
              </a:graphicData>
            </a:graphic>
          </wp:inline>
        </w:drawing>
      </w:r>
    </w:p>
    <w:p w14:paraId="4434CF9E" w14:textId="54F61298" w:rsidR="00A77B3E" w:rsidRDefault="00B20FD0">
      <w:pPr>
        <w:spacing w:line="360" w:lineRule="auto"/>
        <w:jc w:val="both"/>
      </w:pPr>
      <w:r>
        <w:rPr>
          <w:rFonts w:ascii="Book Antiqua" w:eastAsia="Book Antiqua" w:hAnsi="Book Antiqua" w:cs="Book Antiqua"/>
          <w:b/>
          <w:bCs/>
          <w:color w:val="000000"/>
          <w:szCs w:val="21"/>
        </w:rPr>
        <w:t>Figure 3 Hematological indices of the patient during the first 14 postoperative days</w:t>
      </w:r>
      <w:r>
        <w:rPr>
          <w:rFonts w:ascii="Book Antiqua" w:eastAsia="Book Antiqua" w:hAnsi="Book Antiqua" w:cs="Book Antiqua"/>
          <w:color w:val="000000"/>
          <w:szCs w:val="21"/>
        </w:rPr>
        <w:t xml:space="preserve">. A: </w:t>
      </w:r>
      <w:r w:rsidR="00251EC0">
        <w:rPr>
          <w:rFonts w:ascii="Book Antiqua" w:eastAsia="Book Antiqua" w:hAnsi="Book Antiqua" w:cs="Book Antiqua"/>
          <w:color w:val="000000"/>
          <w:szCs w:val="21"/>
        </w:rPr>
        <w:t xml:space="preserve">Serum </w:t>
      </w:r>
      <w:r>
        <w:rPr>
          <w:rFonts w:ascii="Book Antiqua" w:eastAsia="Book Antiqua" w:hAnsi="Book Antiqua" w:cs="Book Antiqua"/>
          <w:color w:val="000000"/>
          <w:szCs w:val="21"/>
        </w:rPr>
        <w:t xml:space="preserve">bilirubin; B: </w:t>
      </w:r>
      <w:r w:rsidR="00251EC0">
        <w:rPr>
          <w:rFonts w:ascii="Book Antiqua" w:eastAsia="Book Antiqua" w:hAnsi="Book Antiqua" w:cs="Book Antiqua"/>
          <w:color w:val="000000"/>
          <w:szCs w:val="21"/>
        </w:rPr>
        <w:t xml:space="preserve">Aspartate aminotransferase </w:t>
      </w:r>
      <w:r>
        <w:rPr>
          <w:rFonts w:ascii="Book Antiqua" w:eastAsia="Book Antiqua" w:hAnsi="Book Antiqua" w:cs="Book Antiqua"/>
          <w:color w:val="000000"/>
          <w:szCs w:val="21"/>
        </w:rPr>
        <w:t xml:space="preserve">and </w:t>
      </w:r>
      <w:r w:rsidR="00251EC0">
        <w:rPr>
          <w:rFonts w:ascii="Book Antiqua" w:eastAsia="Book Antiqua" w:hAnsi="Book Antiqua" w:cs="Book Antiqua"/>
          <w:color w:val="000000"/>
          <w:szCs w:val="21"/>
        </w:rPr>
        <w:t>international normalized ratio</w:t>
      </w:r>
      <w:r>
        <w:rPr>
          <w:rFonts w:ascii="Book Antiqua" w:eastAsia="Book Antiqua" w:hAnsi="Book Antiqua" w:cs="Book Antiqua"/>
          <w:color w:val="000000"/>
          <w:szCs w:val="21"/>
        </w:rPr>
        <w:t>. TBIL: Total bilirubin; DBIL: Direct bilirubin; IBIL: Indirect bilirubin; AST: Aspartate aminotransferase; and INR: International normalized ratio.</w:t>
      </w:r>
    </w:p>
    <w:p w14:paraId="07D1D91F" w14:textId="77777777" w:rsidR="00883F2B" w:rsidRDefault="00883F2B">
      <w:pPr>
        <w:spacing w:line="360" w:lineRule="auto"/>
        <w:jc w:val="both"/>
        <w:rPr>
          <w:rFonts w:ascii="Book Antiqua" w:eastAsia="Book Antiqua" w:hAnsi="Book Antiqua" w:cs="Book Antiqua"/>
          <w:b/>
          <w:bCs/>
          <w:color w:val="000000"/>
          <w:szCs w:val="21"/>
        </w:rPr>
      </w:pPr>
      <w:r>
        <w:rPr>
          <w:noProof/>
        </w:rPr>
        <w:drawing>
          <wp:inline distT="0" distB="0" distL="0" distR="0" wp14:anchorId="525AF5CE" wp14:editId="37756A2A">
            <wp:extent cx="4405023" cy="29771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6234" cy="2991491"/>
                    </a:xfrm>
                    <a:prstGeom prst="rect">
                      <a:avLst/>
                    </a:prstGeom>
                  </pic:spPr>
                </pic:pic>
              </a:graphicData>
            </a:graphic>
          </wp:inline>
        </w:drawing>
      </w:r>
    </w:p>
    <w:p w14:paraId="390DAEC6" w14:textId="05546A6F" w:rsidR="00A77B3E" w:rsidRDefault="00B20FD0">
      <w:pPr>
        <w:spacing w:line="360" w:lineRule="auto"/>
        <w:jc w:val="both"/>
      </w:pPr>
      <w:r>
        <w:rPr>
          <w:rFonts w:ascii="Book Antiqua" w:eastAsia="Book Antiqua" w:hAnsi="Book Antiqua" w:cs="Book Antiqua"/>
          <w:b/>
          <w:bCs/>
          <w:color w:val="000000"/>
          <w:szCs w:val="21"/>
        </w:rPr>
        <w:t xml:space="preserve">Figure 4 Serum bilirubin of the patient on postoperative </w:t>
      </w:r>
      <w:r w:rsidR="00883F2B">
        <w:rPr>
          <w:rFonts w:ascii="Book Antiqua" w:eastAsia="Book Antiqua" w:hAnsi="Book Antiqua" w:cs="Book Antiqua"/>
          <w:b/>
          <w:bCs/>
          <w:color w:val="000000"/>
          <w:szCs w:val="21"/>
        </w:rPr>
        <w:t xml:space="preserve">days </w:t>
      </w:r>
      <w:r>
        <w:rPr>
          <w:rFonts w:ascii="Book Antiqua" w:eastAsia="Book Antiqua" w:hAnsi="Book Antiqua" w:cs="Book Antiqua"/>
          <w:b/>
          <w:bCs/>
          <w:color w:val="000000"/>
          <w:szCs w:val="21"/>
        </w:rPr>
        <w:t>14 to 42</w:t>
      </w:r>
      <w:r>
        <w:rPr>
          <w:rFonts w:ascii="Book Antiqua" w:eastAsia="Book Antiqua" w:hAnsi="Book Antiqua" w:cs="Book Antiqua"/>
          <w:color w:val="000000"/>
          <w:szCs w:val="21"/>
        </w:rPr>
        <w:t>. TBIL: Total bilirubin; DBIL: Direct bilirubin; IBIL: Indirect bilirubin.</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A4C4" w14:textId="77777777" w:rsidR="00054273" w:rsidRDefault="00054273" w:rsidP="002858B3">
      <w:r>
        <w:separator/>
      </w:r>
    </w:p>
  </w:endnote>
  <w:endnote w:type="continuationSeparator" w:id="0">
    <w:p w14:paraId="710430DE" w14:textId="77777777" w:rsidR="00054273" w:rsidRDefault="00054273" w:rsidP="0028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89230"/>
      <w:docPartObj>
        <w:docPartGallery w:val="Page Numbers (Bottom of Page)"/>
        <w:docPartUnique/>
      </w:docPartObj>
    </w:sdtPr>
    <w:sdtEndPr/>
    <w:sdtContent>
      <w:sdt>
        <w:sdtPr>
          <w:id w:val="-1769616900"/>
          <w:docPartObj>
            <w:docPartGallery w:val="Page Numbers (Top of Page)"/>
            <w:docPartUnique/>
          </w:docPartObj>
        </w:sdtPr>
        <w:sdtEndPr/>
        <w:sdtContent>
          <w:p w14:paraId="64C3C6D7" w14:textId="0D312A9F" w:rsidR="002858B3" w:rsidRDefault="002858B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2F0DCF4" w14:textId="77777777" w:rsidR="002858B3" w:rsidRDefault="00285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344D" w14:textId="77777777" w:rsidR="00054273" w:rsidRDefault="00054273" w:rsidP="002858B3">
      <w:r>
        <w:separator/>
      </w:r>
    </w:p>
  </w:footnote>
  <w:footnote w:type="continuationSeparator" w:id="0">
    <w:p w14:paraId="78AD986A" w14:textId="77777777" w:rsidR="00054273" w:rsidRDefault="00054273" w:rsidP="00285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AA"/>
    <w:rsid w:val="00054273"/>
    <w:rsid w:val="000B13ED"/>
    <w:rsid w:val="001B7CDC"/>
    <w:rsid w:val="002229D1"/>
    <w:rsid w:val="00251EC0"/>
    <w:rsid w:val="00276157"/>
    <w:rsid w:val="002858B3"/>
    <w:rsid w:val="004B65C1"/>
    <w:rsid w:val="005D032F"/>
    <w:rsid w:val="006F16E5"/>
    <w:rsid w:val="00715DC7"/>
    <w:rsid w:val="00883F2B"/>
    <w:rsid w:val="008E2CBB"/>
    <w:rsid w:val="00A77B3E"/>
    <w:rsid w:val="00AD28AE"/>
    <w:rsid w:val="00B20FD0"/>
    <w:rsid w:val="00CA2A55"/>
    <w:rsid w:val="00CA2E27"/>
    <w:rsid w:val="00D22D51"/>
    <w:rsid w:val="00D2654F"/>
    <w:rsid w:val="00D7171A"/>
    <w:rsid w:val="00D87FFD"/>
    <w:rsid w:val="00E23B48"/>
    <w:rsid w:val="00E5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88680"/>
  <w15:docId w15:val="{EB269123-A528-4FB5-9115-6D40B5BE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58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58B3"/>
    <w:rPr>
      <w:sz w:val="18"/>
      <w:szCs w:val="18"/>
    </w:rPr>
  </w:style>
  <w:style w:type="paragraph" w:styleId="a5">
    <w:name w:val="footer"/>
    <w:basedOn w:val="a"/>
    <w:link w:val="a6"/>
    <w:uiPriority w:val="99"/>
    <w:unhideWhenUsed/>
    <w:rsid w:val="002858B3"/>
    <w:pPr>
      <w:tabs>
        <w:tab w:val="center" w:pos="4153"/>
        <w:tab w:val="right" w:pos="8306"/>
      </w:tabs>
      <w:snapToGrid w:val="0"/>
    </w:pPr>
    <w:rPr>
      <w:sz w:val="18"/>
      <w:szCs w:val="18"/>
    </w:rPr>
  </w:style>
  <w:style w:type="character" w:customStyle="1" w:styleId="a6">
    <w:name w:val="页脚 字符"/>
    <w:basedOn w:val="a0"/>
    <w:link w:val="a5"/>
    <w:uiPriority w:val="99"/>
    <w:rsid w:val="002858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2021-09-23T06:18:00Z</dcterms:created>
  <dcterms:modified xsi:type="dcterms:W3CDTF">2021-09-23T06:18:00Z</dcterms:modified>
</cp:coreProperties>
</file>