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DA01" w14:textId="77777777" w:rsidR="00A77B3E" w:rsidRPr="00D374DF" w:rsidRDefault="00096DED">
      <w:pPr>
        <w:spacing w:line="360" w:lineRule="auto"/>
        <w:jc w:val="both"/>
      </w:pPr>
      <w:r w:rsidRPr="00D374DF">
        <w:rPr>
          <w:rFonts w:ascii="Book Antiqua" w:eastAsia="Book Antiqua" w:hAnsi="Book Antiqua" w:cs="Book Antiqua"/>
          <w:b/>
          <w:color w:val="000000"/>
        </w:rPr>
        <w:t xml:space="preserve">Name of Journal: </w:t>
      </w:r>
      <w:r w:rsidRPr="00D374DF">
        <w:rPr>
          <w:rFonts w:ascii="Book Antiqua" w:eastAsia="Book Antiqua" w:hAnsi="Book Antiqua" w:cs="Book Antiqua"/>
          <w:i/>
          <w:color w:val="000000"/>
        </w:rPr>
        <w:t>World Journal of Gastroenterology</w:t>
      </w:r>
    </w:p>
    <w:p w14:paraId="5EE258A4" w14:textId="77777777" w:rsidR="00A77B3E" w:rsidRPr="00D374DF" w:rsidRDefault="00096DED">
      <w:pPr>
        <w:spacing w:line="360" w:lineRule="auto"/>
        <w:jc w:val="both"/>
      </w:pPr>
      <w:r w:rsidRPr="00D374DF">
        <w:rPr>
          <w:rFonts w:ascii="Book Antiqua" w:eastAsia="Book Antiqua" w:hAnsi="Book Antiqua" w:cs="Book Antiqua"/>
          <w:b/>
          <w:color w:val="000000"/>
        </w:rPr>
        <w:t xml:space="preserve">Manuscript NO: </w:t>
      </w:r>
      <w:r w:rsidRPr="00D374DF">
        <w:rPr>
          <w:rFonts w:ascii="Book Antiqua" w:eastAsia="Book Antiqua" w:hAnsi="Book Antiqua" w:cs="Book Antiqua"/>
          <w:color w:val="000000"/>
        </w:rPr>
        <w:t>70519</w:t>
      </w:r>
    </w:p>
    <w:p w14:paraId="2C6F6438" w14:textId="77777777" w:rsidR="00A77B3E" w:rsidRPr="00D374DF" w:rsidRDefault="00096DED">
      <w:pPr>
        <w:spacing w:line="360" w:lineRule="auto"/>
        <w:jc w:val="both"/>
      </w:pPr>
      <w:r w:rsidRPr="00D374DF">
        <w:rPr>
          <w:rFonts w:ascii="Book Antiqua" w:eastAsia="Book Antiqua" w:hAnsi="Book Antiqua" w:cs="Book Antiqua"/>
          <w:b/>
          <w:color w:val="000000"/>
        </w:rPr>
        <w:t xml:space="preserve">Manuscript Type: </w:t>
      </w:r>
      <w:r w:rsidRPr="00D374DF">
        <w:rPr>
          <w:rFonts w:ascii="Book Antiqua" w:eastAsia="Book Antiqua" w:hAnsi="Book Antiqua" w:cs="Book Antiqua"/>
          <w:color w:val="000000"/>
        </w:rPr>
        <w:t>LETTER TO THE EDITOR</w:t>
      </w:r>
    </w:p>
    <w:p w14:paraId="48648D9D" w14:textId="77777777" w:rsidR="00A77B3E" w:rsidRPr="00D374DF" w:rsidRDefault="00A77B3E">
      <w:pPr>
        <w:spacing w:line="360" w:lineRule="auto"/>
        <w:jc w:val="both"/>
      </w:pPr>
    </w:p>
    <w:p w14:paraId="54998EA2" w14:textId="77777777" w:rsidR="00A77B3E" w:rsidRPr="00D374DF" w:rsidRDefault="00096DED">
      <w:pPr>
        <w:spacing w:line="360" w:lineRule="auto"/>
        <w:jc w:val="both"/>
      </w:pPr>
      <w:r w:rsidRPr="00D374DF">
        <w:rPr>
          <w:rFonts w:ascii="Book Antiqua" w:eastAsia="Book Antiqua" w:hAnsi="Book Antiqua" w:cs="Book Antiqua"/>
          <w:b/>
          <w:bCs/>
          <w:color w:val="000000"/>
        </w:rPr>
        <w:t>Gastrointestinal and hepatic involvement during COVID-19 pandemic: A focus on pediatric population and possible future implications</w:t>
      </w:r>
    </w:p>
    <w:p w14:paraId="2201CB73" w14:textId="77777777" w:rsidR="00A77B3E" w:rsidRPr="00D374DF" w:rsidRDefault="00A77B3E">
      <w:pPr>
        <w:spacing w:line="360" w:lineRule="auto"/>
        <w:jc w:val="both"/>
      </w:pPr>
    </w:p>
    <w:p w14:paraId="39E6B226" w14:textId="77777777" w:rsidR="00A77B3E" w:rsidRPr="00D374DF" w:rsidRDefault="00096DED">
      <w:pPr>
        <w:spacing w:line="360" w:lineRule="auto"/>
        <w:jc w:val="both"/>
      </w:pPr>
      <w:r w:rsidRPr="00D374DF">
        <w:rPr>
          <w:rFonts w:ascii="Book Antiqua" w:eastAsia="Book Antiqua" w:hAnsi="Book Antiqua" w:cs="Book Antiqua"/>
          <w:color w:val="000000"/>
        </w:rPr>
        <w:t xml:space="preserve">Sica R </w:t>
      </w:r>
      <w:r w:rsidRPr="00D374DF">
        <w:rPr>
          <w:rFonts w:ascii="Book Antiqua" w:eastAsia="Book Antiqua" w:hAnsi="Book Antiqua" w:cs="Book Antiqua"/>
          <w:i/>
          <w:iCs/>
          <w:color w:val="000000"/>
        </w:rPr>
        <w:t>et al</w:t>
      </w:r>
      <w:r w:rsidRPr="00D374DF">
        <w:rPr>
          <w:rFonts w:ascii="Book Antiqua" w:eastAsia="Book Antiqua" w:hAnsi="Book Antiqua" w:cs="Book Antiqua"/>
          <w:color w:val="000000"/>
        </w:rPr>
        <w:t>. GI involvement in COVID-19 and MIS-C</w:t>
      </w:r>
    </w:p>
    <w:p w14:paraId="624D3E8F" w14:textId="77777777" w:rsidR="00A77B3E" w:rsidRPr="00D374DF" w:rsidRDefault="00A77B3E">
      <w:pPr>
        <w:spacing w:line="360" w:lineRule="auto"/>
        <w:jc w:val="both"/>
      </w:pPr>
    </w:p>
    <w:p w14:paraId="4865DD39" w14:textId="77777777" w:rsidR="00A77B3E" w:rsidRPr="00D374DF" w:rsidRDefault="00096DED">
      <w:pPr>
        <w:spacing w:line="360" w:lineRule="auto"/>
        <w:jc w:val="both"/>
      </w:pPr>
      <w:r w:rsidRPr="00D374DF">
        <w:rPr>
          <w:rFonts w:ascii="Book Antiqua" w:eastAsia="Book Antiqua" w:hAnsi="Book Antiqua" w:cs="Book Antiqua"/>
          <w:color w:val="000000"/>
        </w:rPr>
        <w:t>Rossella Sica, Serena Pennoni, Laura Penta, Sara Riccioni, Giuseppe Di Cara, Alberto Verrotti</w:t>
      </w:r>
    </w:p>
    <w:p w14:paraId="06E4B56B" w14:textId="77777777" w:rsidR="00A77B3E" w:rsidRPr="00D374DF" w:rsidRDefault="00A77B3E">
      <w:pPr>
        <w:spacing w:line="360" w:lineRule="auto"/>
        <w:jc w:val="both"/>
      </w:pPr>
    </w:p>
    <w:p w14:paraId="0F1077F5" w14:textId="77777777" w:rsidR="00A77B3E" w:rsidRPr="00D374DF" w:rsidRDefault="00096DED">
      <w:pPr>
        <w:spacing w:line="360" w:lineRule="auto"/>
        <w:jc w:val="both"/>
      </w:pPr>
      <w:r w:rsidRPr="00D374DF">
        <w:rPr>
          <w:rFonts w:ascii="Book Antiqua" w:eastAsia="Book Antiqua" w:hAnsi="Book Antiqua" w:cs="Book Antiqua"/>
          <w:b/>
          <w:bCs/>
          <w:color w:val="000000"/>
        </w:rPr>
        <w:t xml:space="preserve">Rossella Sica, Serena Pennoni, Laura Penta, Sara Riccioni, Giuseppe Di Cara, Alberto Verrotti, </w:t>
      </w:r>
      <w:r w:rsidRPr="00D374DF">
        <w:rPr>
          <w:rFonts w:ascii="Book Antiqua" w:eastAsia="Book Antiqua" w:hAnsi="Book Antiqua" w:cs="Book Antiqua"/>
          <w:color w:val="000000"/>
        </w:rPr>
        <w:t>Department of Pediatrics, University of Perugia, Perugia 06132, PG, Italy</w:t>
      </w:r>
    </w:p>
    <w:p w14:paraId="05D69A52" w14:textId="77777777" w:rsidR="00A77B3E" w:rsidRPr="00D374DF" w:rsidRDefault="00A77B3E">
      <w:pPr>
        <w:spacing w:line="360" w:lineRule="auto"/>
        <w:jc w:val="both"/>
      </w:pPr>
    </w:p>
    <w:p w14:paraId="14EAE4A1" w14:textId="77777777" w:rsidR="00A77B3E" w:rsidRPr="00D374DF" w:rsidRDefault="00096DED">
      <w:pPr>
        <w:spacing w:line="360" w:lineRule="auto"/>
        <w:jc w:val="both"/>
      </w:pPr>
      <w:r w:rsidRPr="00D374DF">
        <w:rPr>
          <w:rFonts w:ascii="Book Antiqua" w:eastAsia="Book Antiqua" w:hAnsi="Book Antiqua" w:cs="Book Antiqua"/>
          <w:b/>
          <w:bCs/>
          <w:color w:val="000000"/>
        </w:rPr>
        <w:t xml:space="preserve">Author contributions: </w:t>
      </w:r>
      <w:r w:rsidRPr="00D374DF">
        <w:rPr>
          <w:rFonts w:ascii="Book Antiqua" w:eastAsia="Book Antiqua" w:hAnsi="Book Antiqua" w:cs="Book Antiqua"/>
          <w:color w:val="000000"/>
        </w:rPr>
        <w:t>Sica R drafted the manuscript; Sica R, Pennoni S, Penta L, Riccioni S, Di Cara G and Verrotti A edited and revised the manuscript</w:t>
      </w:r>
      <w:r w:rsidR="009644DF" w:rsidRPr="00D374DF">
        <w:rPr>
          <w:rFonts w:ascii="Book Antiqua" w:hAnsi="Book Antiqua" w:cs="Book Antiqua" w:hint="eastAsia"/>
          <w:color w:val="000000"/>
          <w:lang w:eastAsia="zh-CN"/>
        </w:rPr>
        <w:t>;</w:t>
      </w:r>
      <w:r w:rsidRPr="00D374DF">
        <w:rPr>
          <w:rFonts w:ascii="Book Antiqua" w:eastAsia="Book Antiqua" w:hAnsi="Book Antiqua" w:cs="Book Antiqua"/>
          <w:color w:val="000000"/>
        </w:rPr>
        <w:t xml:space="preserve"> Verrotti A supervised and approved the final version of the manuscript</w:t>
      </w:r>
      <w:r w:rsidR="009644DF" w:rsidRPr="00D374DF">
        <w:rPr>
          <w:rFonts w:ascii="Book Antiqua" w:hAnsi="Book Antiqua" w:cs="Book Antiqua" w:hint="eastAsia"/>
          <w:color w:val="000000"/>
          <w:lang w:eastAsia="zh-CN"/>
        </w:rPr>
        <w:t>; a</w:t>
      </w:r>
      <w:r w:rsidRPr="00D374DF">
        <w:rPr>
          <w:rFonts w:ascii="Book Antiqua" w:eastAsia="Book Antiqua" w:hAnsi="Book Antiqua" w:cs="Book Antiqua"/>
          <w:color w:val="000000"/>
        </w:rPr>
        <w:t>ll authors have read and agreed to the published version of the manuscript.</w:t>
      </w:r>
    </w:p>
    <w:p w14:paraId="1251A7BE" w14:textId="77777777" w:rsidR="00A77B3E" w:rsidRPr="00D374DF" w:rsidRDefault="00A77B3E">
      <w:pPr>
        <w:spacing w:line="360" w:lineRule="auto"/>
        <w:jc w:val="both"/>
      </w:pPr>
    </w:p>
    <w:p w14:paraId="619CE0CA" w14:textId="77777777" w:rsidR="00A77B3E" w:rsidRPr="00D374DF" w:rsidRDefault="00096DED">
      <w:pPr>
        <w:spacing w:line="360" w:lineRule="auto"/>
        <w:jc w:val="both"/>
      </w:pPr>
      <w:r w:rsidRPr="00D374DF">
        <w:rPr>
          <w:rFonts w:ascii="Book Antiqua" w:eastAsia="Book Antiqua" w:hAnsi="Book Antiqua" w:cs="Book Antiqua"/>
          <w:b/>
          <w:bCs/>
          <w:color w:val="000000"/>
        </w:rPr>
        <w:t xml:space="preserve">Corresponding author: Alberto Verrotti, MD, PhD, Chief Doctor, Professor, </w:t>
      </w:r>
      <w:r w:rsidRPr="00D374DF">
        <w:rPr>
          <w:rFonts w:ascii="Book Antiqua" w:eastAsia="Book Antiqua" w:hAnsi="Book Antiqua" w:cs="Book Antiqua"/>
          <w:color w:val="000000"/>
        </w:rPr>
        <w:t>Department of Pediatrics, University of Perugia, Piazza L Severi 1, Perugia 06132, PG, Italy. alberto.verrottidipianella@unipg.it</w:t>
      </w:r>
    </w:p>
    <w:p w14:paraId="5A688B22" w14:textId="77777777" w:rsidR="00A77B3E" w:rsidRPr="00D374DF" w:rsidRDefault="00A77B3E">
      <w:pPr>
        <w:spacing w:line="360" w:lineRule="auto"/>
        <w:jc w:val="both"/>
      </w:pPr>
    </w:p>
    <w:p w14:paraId="77AE8AD0" w14:textId="77777777" w:rsidR="00A77B3E" w:rsidRPr="00D374DF" w:rsidRDefault="00096DED">
      <w:pPr>
        <w:spacing w:line="360" w:lineRule="auto"/>
        <w:jc w:val="both"/>
      </w:pPr>
      <w:r w:rsidRPr="00D374DF">
        <w:rPr>
          <w:rFonts w:ascii="Book Antiqua" w:eastAsia="Book Antiqua" w:hAnsi="Book Antiqua" w:cs="Book Antiqua"/>
          <w:b/>
          <w:bCs/>
          <w:color w:val="000000"/>
        </w:rPr>
        <w:t xml:space="preserve">Received: </w:t>
      </w:r>
      <w:r w:rsidRPr="00D374DF">
        <w:rPr>
          <w:rFonts w:ascii="Book Antiqua" w:eastAsia="Book Antiqua" w:hAnsi="Book Antiqua" w:cs="Book Antiqua"/>
          <w:color w:val="000000"/>
        </w:rPr>
        <w:t>August 5, 2021</w:t>
      </w:r>
    </w:p>
    <w:p w14:paraId="7E104A3D" w14:textId="77777777" w:rsidR="00A77B3E" w:rsidRPr="00D374DF" w:rsidRDefault="00096DED">
      <w:pPr>
        <w:spacing w:line="360" w:lineRule="auto"/>
        <w:jc w:val="both"/>
      </w:pPr>
      <w:r w:rsidRPr="00D374DF">
        <w:rPr>
          <w:rFonts w:ascii="Book Antiqua" w:eastAsia="Book Antiqua" w:hAnsi="Book Antiqua" w:cs="Book Antiqua"/>
          <w:b/>
          <w:bCs/>
          <w:color w:val="000000"/>
        </w:rPr>
        <w:t xml:space="preserve">Revised: </w:t>
      </w:r>
      <w:r w:rsidRPr="00D374DF">
        <w:rPr>
          <w:rFonts w:ascii="Book Antiqua" w:eastAsia="Book Antiqua" w:hAnsi="Book Antiqua" w:cs="Book Antiqua"/>
          <w:color w:val="000000"/>
        </w:rPr>
        <w:t>August 30, 2021</w:t>
      </w:r>
    </w:p>
    <w:p w14:paraId="51FD0FF4" w14:textId="587A1464" w:rsidR="00A77B3E" w:rsidRPr="00D374DF" w:rsidRDefault="00096DED">
      <w:pPr>
        <w:spacing w:line="360" w:lineRule="auto"/>
        <w:jc w:val="both"/>
      </w:pPr>
      <w:r w:rsidRPr="00D374DF">
        <w:rPr>
          <w:rFonts w:ascii="Book Antiqua" w:eastAsia="Book Antiqua" w:hAnsi="Book Antiqua" w:cs="Book Antiqua"/>
          <w:b/>
          <w:bCs/>
          <w:color w:val="000000"/>
        </w:rPr>
        <w:t xml:space="preserve">Accepted: </w:t>
      </w:r>
      <w:r w:rsidR="00563D8F" w:rsidRPr="00D374DF">
        <w:rPr>
          <w:rFonts w:ascii="Book Antiqua" w:eastAsia="Book Antiqua" w:hAnsi="Book Antiqua" w:cs="Book Antiqua"/>
          <w:color w:val="000000"/>
        </w:rPr>
        <w:t>September 15, 2021</w:t>
      </w:r>
    </w:p>
    <w:p w14:paraId="7459DEFA" w14:textId="5B7FFAD6" w:rsidR="00A77B3E" w:rsidRPr="00D374DF" w:rsidRDefault="00096DED">
      <w:pPr>
        <w:spacing w:line="360" w:lineRule="auto"/>
        <w:jc w:val="both"/>
      </w:pPr>
      <w:r w:rsidRPr="00D374DF">
        <w:rPr>
          <w:rFonts w:ascii="Book Antiqua" w:eastAsia="Book Antiqua" w:hAnsi="Book Antiqua" w:cs="Book Antiqua"/>
          <w:b/>
          <w:bCs/>
          <w:color w:val="000000"/>
        </w:rPr>
        <w:t>Published online:</w:t>
      </w:r>
      <w:r w:rsidRPr="00D374DF">
        <w:rPr>
          <w:rFonts w:ascii="Book Antiqua" w:eastAsia="Book Antiqua" w:hAnsi="Book Antiqua" w:cs="Book Antiqua"/>
          <w:color w:val="000000"/>
        </w:rPr>
        <w:t xml:space="preserve"> </w:t>
      </w:r>
      <w:r w:rsidR="00B20BF3" w:rsidRPr="00D374DF">
        <w:rPr>
          <w:rFonts w:ascii="Book Antiqua" w:eastAsia="Book Antiqua" w:hAnsi="Book Antiqua" w:cs="Book Antiqua"/>
          <w:color w:val="000000"/>
        </w:rPr>
        <w:t>October 28, 2021</w:t>
      </w:r>
    </w:p>
    <w:p w14:paraId="36CC06C5" w14:textId="77777777" w:rsidR="00A77B3E" w:rsidRPr="00D374DF" w:rsidRDefault="00A77B3E">
      <w:pPr>
        <w:spacing w:line="360" w:lineRule="auto"/>
        <w:jc w:val="both"/>
        <w:sectPr w:rsidR="00A77B3E" w:rsidRPr="00D374DF">
          <w:footerReference w:type="default" r:id="rId6"/>
          <w:pgSz w:w="12240" w:h="15840"/>
          <w:pgMar w:top="1440" w:right="1440" w:bottom="1440" w:left="1440" w:header="720" w:footer="720" w:gutter="0"/>
          <w:cols w:space="720"/>
          <w:docGrid w:linePitch="360"/>
        </w:sectPr>
      </w:pPr>
    </w:p>
    <w:p w14:paraId="4C2C8769" w14:textId="77777777" w:rsidR="00A77B3E" w:rsidRPr="00D374DF" w:rsidRDefault="00096DED">
      <w:pPr>
        <w:spacing w:line="360" w:lineRule="auto"/>
        <w:jc w:val="both"/>
      </w:pPr>
      <w:r w:rsidRPr="00D374DF">
        <w:rPr>
          <w:rFonts w:ascii="Book Antiqua" w:eastAsia="Book Antiqua" w:hAnsi="Book Antiqua" w:cs="Book Antiqua"/>
          <w:b/>
          <w:color w:val="000000"/>
        </w:rPr>
        <w:lastRenderedPageBreak/>
        <w:t>Abstract</w:t>
      </w:r>
    </w:p>
    <w:p w14:paraId="6353AACC" w14:textId="77777777" w:rsidR="00A77B3E" w:rsidRPr="00D374DF" w:rsidRDefault="00096DED">
      <w:pPr>
        <w:spacing w:line="360" w:lineRule="auto"/>
        <w:jc w:val="both"/>
      </w:pPr>
      <w:r w:rsidRPr="00D374DF">
        <w:rPr>
          <w:rFonts w:ascii="Book Antiqua" w:eastAsia="Book Antiqua" w:hAnsi="Book Antiqua" w:cs="Book Antiqua"/>
          <w:color w:val="000000"/>
        </w:rPr>
        <w:t xml:space="preserve">Since the coronavirus disease 2019 (COVID-19) pandemic caused by severe acute respiratory syndrome coronavirus 2 (SARS-CoV-2) has rapidly spread worldwide, there is still limited knowledge about this condition and its natural history. Children have been relatively spared during COVID-19 pandemic but a novel syndrome known as </w:t>
      </w:r>
      <w:r w:rsidR="00F81FAC" w:rsidRPr="00D374DF">
        <w:rPr>
          <w:rFonts w:ascii="Book Antiqua" w:eastAsia="Book Antiqua" w:hAnsi="Book Antiqua" w:cs="Book Antiqua"/>
          <w:color w:val="000000"/>
        </w:rPr>
        <w:t>multisystem inflammatory syndr</w:t>
      </w:r>
      <w:r w:rsidRPr="00D374DF">
        <w:rPr>
          <w:rFonts w:ascii="Book Antiqua" w:eastAsia="Book Antiqua" w:hAnsi="Book Antiqua" w:cs="Book Antiqua"/>
          <w:color w:val="000000"/>
        </w:rPr>
        <w:t xml:space="preserve">ome (MIS-C) has emerged, following a SARS-CoV-2 infection in children and adolescents. This syndrome can lead to shock and multiple organ failure requiring intensive care. Although COVID-19 clinical research focuses on respiratory symptoms, extrapulmonary involvement such as gastrointestinal (GI) and hepatic manifestations should also be considered. In fact, GI and hepatic involvement play an important role among the most common presenting symptoms of both pediatric and adult COVID-19 and MIS-C. This involvement can not only be one of the most common presenting clinical features but also one of the </w:t>
      </w:r>
      <w:r w:rsidRPr="00D374DF">
        <w:rPr>
          <w:rFonts w:ascii="Book Antiqua" w:eastAsia="Book Antiqua" w:hAnsi="Book Antiqua" w:cs="Book Antiqua"/>
          <w:iCs/>
          <w:color w:val="000000"/>
        </w:rPr>
        <w:t>sequelae</w:t>
      </w:r>
      <w:r w:rsidRPr="00D374DF">
        <w:rPr>
          <w:rFonts w:ascii="Book Antiqua" w:eastAsia="Book Antiqua" w:hAnsi="Book Antiqua" w:cs="Book Antiqua"/>
          <w:color w:val="000000"/>
        </w:rPr>
        <w:t xml:space="preserve"> of these syndromes. Abdominal ultrasonography monitoring could be very useful to identify a potential involvement of the GI tract and liver. Moreover, long-term follow-up is needed and would be essential to define the long-term outcomes of these patients.</w:t>
      </w:r>
    </w:p>
    <w:p w14:paraId="1BCC4448" w14:textId="77777777" w:rsidR="00A77B3E" w:rsidRPr="00D374DF" w:rsidRDefault="00A77B3E">
      <w:pPr>
        <w:spacing w:line="360" w:lineRule="auto"/>
        <w:jc w:val="both"/>
      </w:pPr>
    </w:p>
    <w:p w14:paraId="06642E6A" w14:textId="77777777" w:rsidR="00A77B3E" w:rsidRPr="00D374DF" w:rsidRDefault="00096DED">
      <w:pPr>
        <w:spacing w:line="360" w:lineRule="auto"/>
        <w:jc w:val="both"/>
        <w:rPr>
          <w:lang w:eastAsia="zh-CN"/>
        </w:rPr>
      </w:pPr>
      <w:r w:rsidRPr="00D374DF">
        <w:rPr>
          <w:rFonts w:ascii="Book Antiqua" w:eastAsia="Book Antiqua" w:hAnsi="Book Antiqua" w:cs="Book Antiqua"/>
          <w:b/>
          <w:bCs/>
          <w:color w:val="000000"/>
        </w:rPr>
        <w:t xml:space="preserve">Key Words: </w:t>
      </w:r>
      <w:r w:rsidRPr="00D374DF">
        <w:rPr>
          <w:rFonts w:ascii="Book Antiqua" w:eastAsia="Book Antiqua" w:hAnsi="Book Antiqua" w:cs="Book Antiqua"/>
          <w:color w:val="000000"/>
        </w:rPr>
        <w:t>SARS-CoV-2; COVID-19; M</w:t>
      </w:r>
      <w:r w:rsidR="00F81FAC" w:rsidRPr="00D374DF">
        <w:rPr>
          <w:rFonts w:ascii="Book Antiqua" w:eastAsia="Book Antiqua" w:hAnsi="Book Antiqua" w:cs="Book Antiqua"/>
          <w:color w:val="000000"/>
        </w:rPr>
        <w:t>ultisystem inflammatory syndrome</w:t>
      </w:r>
      <w:r w:rsidRPr="00D374DF">
        <w:rPr>
          <w:rFonts w:ascii="Book Antiqua" w:eastAsia="Book Antiqua" w:hAnsi="Book Antiqua" w:cs="Book Antiqua"/>
          <w:color w:val="000000"/>
        </w:rPr>
        <w:t>; Gastrointestinal tract; Liver; Ultrasonography</w:t>
      </w:r>
    </w:p>
    <w:p w14:paraId="3697BCCA" w14:textId="77777777" w:rsidR="00881C5A" w:rsidRDefault="00881C5A" w:rsidP="00881C5A">
      <w:pPr>
        <w:spacing w:line="360" w:lineRule="auto"/>
        <w:jc w:val="both"/>
        <w:rPr>
          <w:lang w:eastAsia="zh-CN"/>
        </w:rPr>
      </w:pPr>
    </w:p>
    <w:p w14:paraId="76326A3F" w14:textId="77777777" w:rsidR="00881C5A" w:rsidRPr="00026CB8" w:rsidRDefault="00881C5A" w:rsidP="00881C5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722DD10" w14:textId="77777777" w:rsidR="00881C5A" w:rsidRPr="009C101B" w:rsidRDefault="00881C5A" w:rsidP="00881C5A">
      <w:pPr>
        <w:spacing w:line="360" w:lineRule="auto"/>
        <w:jc w:val="both"/>
        <w:rPr>
          <w:lang w:eastAsia="zh-CN"/>
        </w:rPr>
      </w:pPr>
    </w:p>
    <w:p w14:paraId="43EF3514" w14:textId="6234F0EB" w:rsidR="007D5A48" w:rsidRDefault="00881C5A" w:rsidP="00881C5A">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096DED" w:rsidRPr="00D374DF">
        <w:rPr>
          <w:rFonts w:ascii="Book Antiqua" w:eastAsia="Book Antiqua" w:hAnsi="Book Antiqua" w:cs="Book Antiqua"/>
          <w:color w:val="000000"/>
        </w:rPr>
        <w:t xml:space="preserve">Sica R, Pennoni S, Penta L, Riccioni S, Di Cara G, Verrotti A. Gastrointestinal and hepatic involvement during COVID-19 pandemic: A focus on pediatric population and possible future implications. </w:t>
      </w:r>
      <w:r w:rsidR="00096DED" w:rsidRPr="00D374DF">
        <w:rPr>
          <w:rFonts w:ascii="Book Antiqua" w:eastAsia="Book Antiqua" w:hAnsi="Book Antiqua" w:cs="Book Antiqua"/>
          <w:i/>
          <w:iCs/>
          <w:color w:val="000000"/>
        </w:rPr>
        <w:t>World J Gastroenterol</w:t>
      </w:r>
      <w:r w:rsidR="00096DED" w:rsidRPr="00D374DF">
        <w:rPr>
          <w:rFonts w:ascii="Book Antiqua" w:eastAsia="Book Antiqua" w:hAnsi="Book Antiqua" w:cs="Book Antiqua"/>
          <w:color w:val="000000"/>
        </w:rPr>
        <w:t xml:space="preserve"> 2021; </w:t>
      </w:r>
      <w:r w:rsidR="00D5206C" w:rsidRPr="00D374DF">
        <w:rPr>
          <w:rFonts w:ascii="Book Antiqua" w:eastAsia="Book Antiqua" w:hAnsi="Book Antiqua" w:cs="Book Antiqua"/>
          <w:color w:val="000000"/>
        </w:rPr>
        <w:t xml:space="preserve">27(40): </w:t>
      </w:r>
      <w:r w:rsidR="007D5A48" w:rsidRPr="00041EB8">
        <w:rPr>
          <w:rFonts w:ascii="Book Antiqua" w:hAnsi="Book Antiqua" w:hint="eastAsia"/>
          <w:color w:val="000000" w:themeColor="text1"/>
        </w:rPr>
        <w:t>7</w:t>
      </w:r>
      <w:r w:rsidR="007D5A48" w:rsidRPr="00041EB8">
        <w:rPr>
          <w:rFonts w:ascii="Book Antiqua" w:hAnsi="Book Antiqua"/>
          <w:color w:val="000000" w:themeColor="text1"/>
        </w:rPr>
        <w:t>000</w:t>
      </w:r>
      <w:r w:rsidR="007D5A48" w:rsidRPr="00041EB8">
        <w:rPr>
          <w:rFonts w:ascii="Book Antiqua" w:hAnsi="Book Antiqua" w:hint="eastAsia"/>
          <w:color w:val="000000" w:themeColor="text1"/>
          <w:lang w:eastAsia="zh-CN"/>
        </w:rPr>
        <w:t>-</w:t>
      </w:r>
      <w:r w:rsidR="007D5A48" w:rsidRPr="00041EB8">
        <w:rPr>
          <w:rFonts w:ascii="Book Antiqua" w:hAnsi="Book Antiqua"/>
          <w:color w:val="000000" w:themeColor="text1"/>
        </w:rPr>
        <w:t>7004</w:t>
      </w:r>
    </w:p>
    <w:p w14:paraId="46B52713" w14:textId="497BAFD2" w:rsidR="007D5A48" w:rsidRDefault="00D5206C" w:rsidP="00881C5A">
      <w:pPr>
        <w:spacing w:line="360" w:lineRule="auto"/>
        <w:jc w:val="both"/>
        <w:rPr>
          <w:rFonts w:ascii="Book Antiqua" w:eastAsia="Book Antiqua" w:hAnsi="Book Antiqua" w:cs="Book Antiqua"/>
          <w:color w:val="000000"/>
        </w:rPr>
      </w:pPr>
      <w:r w:rsidRPr="00D374DF">
        <w:rPr>
          <w:rFonts w:ascii="Book Antiqua" w:eastAsia="Book Antiqua" w:hAnsi="Book Antiqua" w:cs="Book Antiqua"/>
          <w:color w:val="000000"/>
        </w:rPr>
        <w:t>URL: https://www.wjgnet.com/1007-9327/full/v27/i40/</w:t>
      </w:r>
      <w:r w:rsidR="007D5A48" w:rsidRPr="00041EB8">
        <w:rPr>
          <w:rFonts w:ascii="Book Antiqua" w:hAnsi="Book Antiqua" w:hint="eastAsia"/>
          <w:color w:val="000000" w:themeColor="text1"/>
        </w:rPr>
        <w:t>7</w:t>
      </w:r>
      <w:r w:rsidR="007D5A48" w:rsidRPr="00041EB8">
        <w:rPr>
          <w:rFonts w:ascii="Book Antiqua" w:hAnsi="Book Antiqua"/>
          <w:color w:val="000000" w:themeColor="text1"/>
        </w:rPr>
        <w:t>000</w:t>
      </w:r>
      <w:r w:rsidRPr="00D374DF">
        <w:rPr>
          <w:rFonts w:ascii="Book Antiqua" w:eastAsia="Book Antiqua" w:hAnsi="Book Antiqua" w:cs="Book Antiqua"/>
          <w:color w:val="000000"/>
        </w:rPr>
        <w:t xml:space="preserve">.htm  </w:t>
      </w:r>
    </w:p>
    <w:p w14:paraId="7F2E55C4" w14:textId="234D8152" w:rsidR="00A77B3E" w:rsidRPr="00D374DF" w:rsidRDefault="00D5206C" w:rsidP="00881C5A">
      <w:pPr>
        <w:spacing w:line="360" w:lineRule="auto"/>
        <w:jc w:val="both"/>
      </w:pPr>
      <w:r w:rsidRPr="00D374DF">
        <w:rPr>
          <w:rFonts w:ascii="Book Antiqua" w:eastAsia="Book Antiqua" w:hAnsi="Book Antiqua" w:cs="Book Antiqua"/>
          <w:color w:val="000000"/>
        </w:rPr>
        <w:t>DOI: https://dx.doi.org/10.3748/wjg.v27.i40.</w:t>
      </w:r>
      <w:r w:rsidR="007D5A48" w:rsidRPr="00041EB8">
        <w:rPr>
          <w:rFonts w:ascii="Book Antiqua" w:hAnsi="Book Antiqua" w:hint="eastAsia"/>
          <w:color w:val="000000" w:themeColor="text1"/>
        </w:rPr>
        <w:t>7</w:t>
      </w:r>
      <w:r w:rsidR="007D5A48" w:rsidRPr="00041EB8">
        <w:rPr>
          <w:rFonts w:ascii="Book Antiqua" w:hAnsi="Book Antiqua"/>
          <w:color w:val="000000" w:themeColor="text1"/>
        </w:rPr>
        <w:t>000</w:t>
      </w:r>
    </w:p>
    <w:p w14:paraId="2F9D4B0C" w14:textId="77777777" w:rsidR="00A77B3E" w:rsidRPr="00D374DF" w:rsidRDefault="00A77B3E">
      <w:pPr>
        <w:spacing w:line="360" w:lineRule="auto"/>
        <w:jc w:val="both"/>
      </w:pPr>
    </w:p>
    <w:p w14:paraId="4054D52A" w14:textId="77777777" w:rsidR="00A77B3E" w:rsidRPr="00D374DF" w:rsidRDefault="00096DED">
      <w:pPr>
        <w:spacing w:line="360" w:lineRule="auto"/>
        <w:jc w:val="both"/>
      </w:pPr>
      <w:r w:rsidRPr="00D374DF">
        <w:rPr>
          <w:rFonts w:ascii="Book Antiqua" w:eastAsia="Book Antiqua" w:hAnsi="Book Antiqua" w:cs="Book Antiqua"/>
          <w:b/>
          <w:bCs/>
          <w:color w:val="000000"/>
        </w:rPr>
        <w:lastRenderedPageBreak/>
        <w:t xml:space="preserve">Core Tip: </w:t>
      </w:r>
      <w:r w:rsidRPr="00D374DF">
        <w:rPr>
          <w:rFonts w:ascii="Book Antiqua" w:eastAsia="Book Antiqua" w:hAnsi="Book Antiqua" w:cs="Book Antiqua"/>
          <w:color w:val="000000"/>
        </w:rPr>
        <w:t xml:space="preserve">Gastrointestinal and hepatic symptoms are a common clinical feature of the coronavirus disease 2019 (COVID-19). Moreover, a novel syndrome known as </w:t>
      </w:r>
      <w:r w:rsidR="00F81FAC" w:rsidRPr="00D374DF">
        <w:rPr>
          <w:rFonts w:ascii="Book Antiqua" w:eastAsia="Book Antiqua" w:hAnsi="Book Antiqua" w:cs="Book Antiqua"/>
          <w:color w:val="000000"/>
        </w:rPr>
        <w:t>multisystem inflammatory syndro</w:t>
      </w:r>
      <w:r w:rsidRPr="00D374DF">
        <w:rPr>
          <w:rFonts w:ascii="Book Antiqua" w:eastAsia="Book Antiqua" w:hAnsi="Book Antiqua" w:cs="Book Antiqua"/>
          <w:color w:val="000000"/>
        </w:rPr>
        <w:t>me (MIS-C) associated with COVID-19 in children and adolescents has emerged. Among the most common presenting symptoms of MIS-C, we found gastrointestinal and hepatic involvement. As gastrointestinal and hepatic involvement might play a major role in the clinical spectrum and possible sequelae of this novel condition, physicians should not underestimate these clinical manifestations. Therefore, abdominal ultrasonography monitoring and long-term follow-up could be useful to evaluate this potential damage and the possible outcome of these patients.</w:t>
      </w:r>
    </w:p>
    <w:p w14:paraId="118282E1" w14:textId="77777777" w:rsidR="00A77B3E" w:rsidRPr="00D374DF" w:rsidRDefault="00A77B3E">
      <w:pPr>
        <w:spacing w:line="360" w:lineRule="auto"/>
        <w:jc w:val="both"/>
      </w:pPr>
    </w:p>
    <w:p w14:paraId="56E3A450" w14:textId="77777777" w:rsidR="00A77B3E" w:rsidRPr="00D374DF" w:rsidRDefault="00096DED">
      <w:pPr>
        <w:spacing w:line="360" w:lineRule="auto"/>
        <w:jc w:val="both"/>
      </w:pPr>
      <w:r w:rsidRPr="00D374DF">
        <w:rPr>
          <w:rFonts w:ascii="Book Antiqua" w:eastAsia="Book Antiqua" w:hAnsi="Book Antiqua" w:cs="Book Antiqua"/>
          <w:b/>
          <w:caps/>
          <w:color w:val="000000"/>
          <w:u w:val="single"/>
        </w:rPr>
        <w:t>TO THE EDITOR</w:t>
      </w:r>
    </w:p>
    <w:p w14:paraId="76238234" w14:textId="77777777" w:rsidR="00A77B3E" w:rsidRPr="00D374DF" w:rsidRDefault="00096DED">
      <w:pPr>
        <w:spacing w:line="360" w:lineRule="auto"/>
        <w:jc w:val="both"/>
        <w:rPr>
          <w:lang w:eastAsia="zh-CN"/>
        </w:rPr>
      </w:pPr>
      <w:r w:rsidRPr="00D374DF">
        <w:rPr>
          <w:rFonts w:ascii="Book Antiqua" w:eastAsia="Book Antiqua" w:hAnsi="Book Antiqua" w:cs="Book Antiqua"/>
          <w:color w:val="000000"/>
        </w:rPr>
        <w:t>We read with great interest the review by Mohamed</w:t>
      </w:r>
      <w:r w:rsidR="00F81FAC" w:rsidRPr="00D374DF">
        <w:rPr>
          <w:rFonts w:ascii="Book Antiqua" w:hAnsi="Book Antiqua" w:cs="Book Antiqua" w:hint="eastAsia"/>
          <w:color w:val="000000"/>
          <w:lang w:eastAsia="zh-CN"/>
        </w:rPr>
        <w:t xml:space="preserve"> </w:t>
      </w:r>
      <w:r w:rsidRPr="00D374DF">
        <w:rPr>
          <w:rFonts w:ascii="Book Antiqua" w:eastAsia="Book Antiqua" w:hAnsi="Book Antiqua" w:cs="Book Antiqua"/>
          <w:i/>
          <w:iCs/>
          <w:color w:val="000000"/>
        </w:rPr>
        <w:t>et al</w:t>
      </w:r>
      <w:r w:rsidRPr="00D374DF">
        <w:rPr>
          <w:rFonts w:ascii="Book Antiqua" w:eastAsia="Book Antiqua" w:hAnsi="Book Antiqua" w:cs="Book Antiqua"/>
          <w:color w:val="000000"/>
          <w:vertAlign w:val="superscript"/>
        </w:rPr>
        <w:t>[1]</w:t>
      </w:r>
      <w:r w:rsidRPr="00D374DF">
        <w:rPr>
          <w:rFonts w:ascii="Book Antiqua" w:eastAsia="Book Antiqua" w:hAnsi="Book Antiqua" w:cs="Book Antiqua"/>
          <w:color w:val="000000"/>
        </w:rPr>
        <w:t xml:space="preserve"> about manifestations, mechanisms and management of the gastrointestinal (GI) and hepatic diseases during the coronavirus disease 2019 (COVID-19) pandemic. Although the large majority of concern about COVID-19 and its outcomes is centered on pulmonary manifestations and </w:t>
      </w:r>
      <w:r w:rsidRPr="00D374DF">
        <w:rPr>
          <w:rFonts w:ascii="Book Antiqua" w:eastAsia="Book Antiqua" w:hAnsi="Book Antiqua" w:cs="Book Antiqua"/>
          <w:iCs/>
          <w:color w:val="000000"/>
        </w:rPr>
        <w:t>sequelae</w:t>
      </w:r>
      <w:r w:rsidRPr="00D374DF">
        <w:rPr>
          <w:rFonts w:ascii="Book Antiqua" w:eastAsia="Book Antiqua" w:hAnsi="Book Antiqua" w:cs="Book Antiqua"/>
          <w:color w:val="000000"/>
        </w:rPr>
        <w:t xml:space="preserve">, we must be aware that GI and hepatic involvement could play a major role in the clinical spectrum of this novel disease as well as in virus transmission </w:t>
      </w:r>
      <w:r w:rsidRPr="00D374DF">
        <w:rPr>
          <w:rFonts w:ascii="Book Antiqua" w:eastAsia="Book Antiqua" w:hAnsi="Book Antiqua" w:cs="Book Antiqua"/>
          <w:i/>
          <w:iCs/>
          <w:color w:val="000000"/>
        </w:rPr>
        <w:t>via</w:t>
      </w:r>
      <w:r w:rsidRPr="00D374DF">
        <w:rPr>
          <w:rFonts w:ascii="Book Antiqua" w:eastAsia="Book Antiqua" w:hAnsi="Book Antiqua" w:cs="Book Antiqua"/>
          <w:color w:val="000000"/>
        </w:rPr>
        <w:t xml:space="preserve"> the fecal-oral route. Hence, we agree with the authors' purpose that physicians should not underestimate digestive symptoms during COVID-19. In fact, GI manifestations in COVID-19 patients, including diarrhea, nausea, vomiting, anorexia and abdominal pain are common features of the disease with diarrhea being the most common among these symptoms</w:t>
      </w:r>
      <w:r w:rsidR="00F81FAC" w:rsidRPr="00D374DF">
        <w:rPr>
          <w:rFonts w:ascii="Book Antiqua" w:eastAsia="Book Antiqua" w:hAnsi="Book Antiqua" w:cs="Book Antiqua"/>
          <w:color w:val="000000"/>
          <w:vertAlign w:val="superscript"/>
        </w:rPr>
        <w:t>[2,</w:t>
      </w:r>
      <w:r w:rsidRPr="00D374DF">
        <w:rPr>
          <w:rFonts w:ascii="Book Antiqua" w:eastAsia="Book Antiqua" w:hAnsi="Book Antiqua" w:cs="Book Antiqua"/>
          <w:color w:val="000000"/>
          <w:vertAlign w:val="superscript"/>
        </w:rPr>
        <w:t>3]</w:t>
      </w:r>
      <w:r w:rsidRPr="00D374DF">
        <w:rPr>
          <w:rFonts w:ascii="Book Antiqua" w:eastAsia="Book Antiqua" w:hAnsi="Book Antiqua" w:cs="Book Antiqua"/>
          <w:color w:val="000000"/>
        </w:rPr>
        <w:t>.</w:t>
      </w:r>
    </w:p>
    <w:p w14:paraId="4B46E95E" w14:textId="77777777" w:rsidR="00A77B3E" w:rsidRPr="00D374DF" w:rsidRDefault="00096DED" w:rsidP="00F81FAC">
      <w:pPr>
        <w:spacing w:line="360" w:lineRule="auto"/>
        <w:ind w:firstLineChars="100" w:firstLine="240"/>
        <w:jc w:val="both"/>
        <w:rPr>
          <w:lang w:eastAsia="zh-CN"/>
        </w:rPr>
      </w:pPr>
      <w:r w:rsidRPr="00D374DF">
        <w:rPr>
          <w:rFonts w:ascii="Book Antiqua" w:eastAsia="Book Antiqua" w:hAnsi="Book Antiqua" w:cs="Book Antiqua"/>
          <w:color w:val="000000"/>
        </w:rPr>
        <w:t>The pathophysiologic mechanism of GI and hepatic injury during COVID-19 is still debated. Mohamed</w:t>
      </w:r>
      <w:r w:rsidR="00F81FAC" w:rsidRPr="00D374DF">
        <w:rPr>
          <w:rFonts w:ascii="Book Antiqua" w:hAnsi="Book Antiqua" w:cs="Book Antiqua" w:hint="eastAsia"/>
          <w:color w:val="000000"/>
          <w:lang w:eastAsia="zh-CN"/>
        </w:rPr>
        <w:t xml:space="preserve"> </w:t>
      </w:r>
      <w:r w:rsidRPr="00D374DF">
        <w:rPr>
          <w:rFonts w:ascii="Book Antiqua" w:eastAsia="Book Antiqua" w:hAnsi="Book Antiqua" w:cs="Book Antiqua"/>
          <w:i/>
          <w:iCs/>
          <w:color w:val="000000"/>
        </w:rPr>
        <w:t>et al</w:t>
      </w:r>
      <w:r w:rsidR="00F81FAC" w:rsidRPr="00D374DF">
        <w:rPr>
          <w:rFonts w:ascii="Book Antiqua" w:eastAsia="Book Antiqua" w:hAnsi="Book Antiqua" w:cs="Book Antiqua"/>
          <w:color w:val="000000"/>
          <w:vertAlign w:val="superscript"/>
        </w:rPr>
        <w:t>[1]</w:t>
      </w:r>
      <w:r w:rsidRPr="00D374DF">
        <w:rPr>
          <w:rFonts w:ascii="Book Antiqua" w:eastAsia="Book Antiqua" w:hAnsi="Book Antiqua" w:cs="Book Antiqua"/>
          <w:color w:val="000000"/>
        </w:rPr>
        <w:t xml:space="preserve"> reported that GI damage might be due to direct infection of GI cells. We appreciate the great relevance the authors gave to </w:t>
      </w:r>
      <w:r w:rsidR="00F81FAC" w:rsidRPr="00D374DF">
        <w:rPr>
          <w:rFonts w:ascii="Book Antiqua" w:hAnsi="Book Antiqua" w:cs="Book Antiqua" w:hint="eastAsia"/>
          <w:color w:val="000000"/>
          <w:lang w:eastAsia="zh-CN"/>
        </w:rPr>
        <w:t>a</w:t>
      </w:r>
      <w:r w:rsidRPr="00D374DF">
        <w:rPr>
          <w:rFonts w:ascii="Book Antiqua" w:eastAsia="Book Antiqua" w:hAnsi="Book Antiqua" w:cs="Book Antiqua"/>
          <w:color w:val="000000"/>
        </w:rPr>
        <w:t>ngiotensin-converting enzyme 2 (ACE2) receptors’ expression over the small intestine cells, cholangiocytes and hepatocytes and the role it plays in severe acute respiratory syndrome coronavirus 2 (SARS-CoV-2) infection and in the pathophysiology of both GI and hepatic injury. Also, SARS-CoV-2 can induce cells expressing ACE2 to release inflammatory cytokines leading to a cytokine storm and multiple organ failure</w:t>
      </w:r>
      <w:r w:rsidRPr="00D374DF">
        <w:rPr>
          <w:rFonts w:ascii="Book Antiqua" w:eastAsia="Book Antiqua" w:hAnsi="Book Antiqua" w:cs="Book Antiqua"/>
          <w:color w:val="000000"/>
          <w:vertAlign w:val="superscript"/>
        </w:rPr>
        <w:t>[4]</w:t>
      </w:r>
      <w:r w:rsidRPr="00D374DF">
        <w:rPr>
          <w:rFonts w:ascii="Book Antiqua" w:eastAsia="Book Antiqua" w:hAnsi="Book Antiqua" w:cs="Book Antiqua"/>
          <w:color w:val="000000"/>
        </w:rPr>
        <w:t>. As Mohamed</w:t>
      </w:r>
      <w:r w:rsidR="00F81FAC" w:rsidRPr="00D374DF">
        <w:rPr>
          <w:rFonts w:ascii="Book Antiqua" w:hAnsi="Book Antiqua" w:cs="Book Antiqua" w:hint="eastAsia"/>
          <w:color w:val="000000"/>
          <w:lang w:eastAsia="zh-CN"/>
        </w:rPr>
        <w:t xml:space="preserve"> </w:t>
      </w:r>
      <w:r w:rsidRPr="00D374DF">
        <w:rPr>
          <w:rFonts w:ascii="Book Antiqua" w:eastAsia="Book Antiqua" w:hAnsi="Book Antiqua" w:cs="Book Antiqua"/>
          <w:i/>
          <w:iCs/>
          <w:color w:val="000000"/>
        </w:rPr>
        <w:t>et al</w:t>
      </w:r>
      <w:r w:rsidR="00F81FAC" w:rsidRPr="00D374DF">
        <w:rPr>
          <w:rFonts w:ascii="Book Antiqua" w:eastAsia="Book Antiqua" w:hAnsi="Book Antiqua" w:cs="Book Antiqua"/>
          <w:color w:val="000000"/>
          <w:vertAlign w:val="superscript"/>
        </w:rPr>
        <w:t>[1]</w:t>
      </w:r>
      <w:r w:rsidRPr="00D374DF">
        <w:rPr>
          <w:rFonts w:ascii="Book Antiqua" w:eastAsia="Book Antiqua" w:hAnsi="Book Antiqua" w:cs="Book Antiqua"/>
          <w:color w:val="000000"/>
        </w:rPr>
        <w:t xml:space="preserve"> well reported, </w:t>
      </w:r>
      <w:r w:rsidRPr="00D374DF">
        <w:rPr>
          <w:rFonts w:ascii="Book Antiqua" w:eastAsia="Book Antiqua" w:hAnsi="Book Antiqua" w:cs="Book Antiqua"/>
          <w:color w:val="000000"/>
        </w:rPr>
        <w:lastRenderedPageBreak/>
        <w:t xml:space="preserve">SARS-CoV-2 binding to ACE2 receptor can lower the critical receptor level, reducing the absorption of tryptophan on the lumen surface of intestinal epithelial cells. It is known that tryptophan is absorbed on the lumen surface of intestinal epithelial cells </w:t>
      </w:r>
      <w:r w:rsidRPr="00D374DF">
        <w:rPr>
          <w:rFonts w:ascii="Book Antiqua" w:eastAsia="Book Antiqua" w:hAnsi="Book Antiqua" w:cs="Book Antiqua"/>
          <w:i/>
          <w:iCs/>
          <w:color w:val="000000"/>
        </w:rPr>
        <w:t>via</w:t>
      </w:r>
      <w:r w:rsidRPr="00D374DF">
        <w:rPr>
          <w:rFonts w:ascii="Book Antiqua" w:eastAsia="Book Antiqua" w:hAnsi="Book Antiqua" w:cs="Book Antiqua"/>
          <w:color w:val="000000"/>
        </w:rPr>
        <w:t xml:space="preserve"> the B0AT1/ACE2 transport route inducing the mammalian target of rapamycin which controls the appearance of antimicrobial peptides influencing the components of gut flora. Therefore, the reduced absorption of tryptophan caused by SARS-CoV-2 can ultimately unbalance the gut flora resulting in diarrhea. The changings in the GI flora also stimulate the polarization of T helper 17 cells, and eventually, interleukin 17A induces the recruitment of neutrophils</w:t>
      </w:r>
      <w:r w:rsidRPr="00D374DF">
        <w:rPr>
          <w:rFonts w:ascii="Book Antiqua" w:eastAsia="Book Antiqua" w:hAnsi="Book Antiqua" w:cs="Book Antiqua"/>
          <w:color w:val="000000"/>
          <w:vertAlign w:val="superscript"/>
        </w:rPr>
        <w:t>[1]</w:t>
      </w:r>
      <w:r w:rsidRPr="00D374DF">
        <w:rPr>
          <w:rFonts w:ascii="Book Antiqua" w:eastAsia="Book Antiqua" w:hAnsi="Book Antiqua" w:cs="Book Antiqua"/>
          <w:color w:val="000000"/>
        </w:rPr>
        <w:t xml:space="preserve">. Moreover, changes in intestinal flora might affect the respiratory tract and </w:t>
      </w:r>
      <w:r w:rsidRPr="00D374DF">
        <w:rPr>
          <w:rFonts w:ascii="Book Antiqua" w:eastAsia="Book Antiqua" w:hAnsi="Book Antiqua" w:cs="Book Antiqua"/>
          <w:i/>
          <w:iCs/>
          <w:color w:val="000000"/>
        </w:rPr>
        <w:t>vice versa</w:t>
      </w:r>
      <w:r w:rsidRPr="00D374DF">
        <w:rPr>
          <w:rFonts w:ascii="Book Antiqua" w:eastAsia="Book Antiqua" w:hAnsi="Book Antiqua" w:cs="Book Antiqua"/>
          <w:color w:val="000000"/>
        </w:rPr>
        <w:t xml:space="preserve"> </w:t>
      </w:r>
      <w:r w:rsidRPr="00D374DF">
        <w:rPr>
          <w:rFonts w:ascii="Book Antiqua" w:eastAsia="Book Antiqua" w:hAnsi="Book Antiqua" w:cs="Book Antiqua"/>
          <w:i/>
          <w:iCs/>
          <w:color w:val="000000"/>
        </w:rPr>
        <w:t>via</w:t>
      </w:r>
      <w:r w:rsidRPr="00D374DF">
        <w:rPr>
          <w:rFonts w:ascii="Book Antiqua" w:eastAsia="Book Antiqua" w:hAnsi="Book Antiqua" w:cs="Book Antiqua"/>
          <w:color w:val="000000"/>
        </w:rPr>
        <w:t xml:space="preserve"> the gut-lung axis, subsequently enhancing the inflammatory and immune-mediated damage in the small intestine.</w:t>
      </w:r>
    </w:p>
    <w:p w14:paraId="7A73AB50" w14:textId="77777777" w:rsidR="00A77B3E" w:rsidRPr="00D374DF" w:rsidRDefault="00096DED" w:rsidP="00F81FAC">
      <w:pPr>
        <w:spacing w:line="360" w:lineRule="auto"/>
        <w:ind w:firstLineChars="100" w:firstLine="240"/>
        <w:jc w:val="both"/>
      </w:pPr>
      <w:r w:rsidRPr="00D374DF">
        <w:rPr>
          <w:rFonts w:ascii="Book Antiqua" w:eastAsia="Book Antiqua" w:hAnsi="Book Antiqua" w:cs="Book Antiqua"/>
          <w:color w:val="000000"/>
        </w:rPr>
        <w:t xml:space="preserve">A study by Pirola </w:t>
      </w:r>
      <w:r w:rsidR="00F81FAC" w:rsidRPr="00D374DF">
        <w:rPr>
          <w:rFonts w:ascii="Book Antiqua" w:hAnsi="Book Antiqua" w:cs="Book Antiqua" w:hint="eastAsia"/>
          <w:iCs/>
          <w:color w:val="000000"/>
          <w:lang w:eastAsia="zh-CN"/>
        </w:rPr>
        <w:t xml:space="preserve">and </w:t>
      </w:r>
      <w:r w:rsidR="00F81FAC" w:rsidRPr="00D374DF">
        <w:rPr>
          <w:rFonts w:ascii="Book Antiqua" w:eastAsia="Book Antiqua" w:hAnsi="Book Antiqua" w:cs="Book Antiqua"/>
          <w:color w:val="000000"/>
        </w:rPr>
        <w:t>Sookoian</w:t>
      </w:r>
      <w:r w:rsidR="00F81FAC" w:rsidRPr="00D374DF">
        <w:rPr>
          <w:rFonts w:ascii="Book Antiqua" w:eastAsia="Book Antiqua" w:hAnsi="Book Antiqua" w:cs="Book Antiqua"/>
          <w:color w:val="000000"/>
          <w:vertAlign w:val="superscript"/>
        </w:rPr>
        <w:t>[5]</w:t>
      </w:r>
      <w:r w:rsidRPr="00D374DF">
        <w:rPr>
          <w:rFonts w:ascii="Book Antiqua" w:eastAsia="Book Antiqua" w:hAnsi="Book Antiqua" w:cs="Book Antiqua"/>
          <w:color w:val="000000"/>
        </w:rPr>
        <w:t xml:space="preserve"> demonstrates that gene expression levels for ACE2 are highest in cholangiocytes compared to alveolar type 2 cells, followed in turn by sinusoidal endothelial cells and hepatocytes, thus supporting the possibility that SARS-CoV-2 may cause direct liver injury through a viral cytopathic effect. Nevertheless, GI mucosal damage and unbalance in the gut flora may lead to liver dysfunction through the gut-liver axis.</w:t>
      </w:r>
    </w:p>
    <w:p w14:paraId="4280190B" w14:textId="77777777" w:rsidR="00A77B3E" w:rsidRPr="00D374DF" w:rsidRDefault="00096DED" w:rsidP="00F81FAC">
      <w:pPr>
        <w:spacing w:line="360" w:lineRule="auto"/>
        <w:ind w:firstLineChars="100" w:firstLine="240"/>
        <w:jc w:val="both"/>
      </w:pPr>
      <w:r w:rsidRPr="00D374DF">
        <w:rPr>
          <w:rFonts w:ascii="Book Antiqua" w:eastAsia="Book Antiqua" w:hAnsi="Book Antiqua" w:cs="Book Antiqua"/>
          <w:color w:val="000000"/>
        </w:rPr>
        <w:t>However, we should not forget that GI tract symptoms and liver injury may also be due to cytokine storm, hypoxic-shock conditions due to acute respiratory distress syndrome and drug-induced injury</w:t>
      </w:r>
      <w:r w:rsidR="00F81FAC" w:rsidRPr="00D374DF">
        <w:rPr>
          <w:rFonts w:ascii="Book Antiqua" w:eastAsia="Book Antiqua" w:hAnsi="Book Antiqua" w:cs="Book Antiqua"/>
          <w:color w:val="000000"/>
          <w:vertAlign w:val="superscript"/>
        </w:rPr>
        <w:t>[6,</w:t>
      </w:r>
      <w:r w:rsidRPr="00D374DF">
        <w:rPr>
          <w:rFonts w:ascii="Book Antiqua" w:eastAsia="Book Antiqua" w:hAnsi="Book Antiqua" w:cs="Book Antiqua"/>
          <w:color w:val="000000"/>
          <w:vertAlign w:val="superscript"/>
        </w:rPr>
        <w:t>7]</w:t>
      </w:r>
      <w:r w:rsidRPr="00D374DF">
        <w:rPr>
          <w:rFonts w:ascii="Book Antiqua" w:eastAsia="Book Antiqua" w:hAnsi="Book Antiqua" w:cs="Book Antiqua"/>
          <w:color w:val="000000"/>
        </w:rPr>
        <w:t>.</w:t>
      </w:r>
    </w:p>
    <w:p w14:paraId="474D93F0" w14:textId="77777777" w:rsidR="00A77B3E" w:rsidRPr="00D374DF" w:rsidRDefault="00096DED" w:rsidP="00F81FAC">
      <w:pPr>
        <w:spacing w:line="360" w:lineRule="auto"/>
        <w:ind w:firstLineChars="100" w:firstLine="240"/>
        <w:jc w:val="both"/>
        <w:rPr>
          <w:lang w:eastAsia="zh-CN"/>
        </w:rPr>
      </w:pPr>
      <w:r w:rsidRPr="00D374DF">
        <w:rPr>
          <w:rFonts w:ascii="Book Antiqua" w:eastAsia="Book Antiqua" w:hAnsi="Book Antiqua" w:cs="Book Antiqua"/>
          <w:color w:val="000000"/>
        </w:rPr>
        <w:t>It is generally accepted that the existence of comorbidities in COVID-19 patients can dramatically increase the risk of poor outcome. Besides, the impact of the COVID-19 pandemic on preexisting GI, liver and pancreatic diseases is still under investigation. We appreciate the importance the authors gave to patients affected by inflammatory bowel diseases (IBD). Actually, these patients are more at risk for infectious diseases due to the immunosuppressive therapy they undergo. Thus, IBD patients may potentially be more at risk for SARS-CoV-2 infection and severe COVID-19. The prognostic value of the elevation of liver enzymes and indices of cholestasis reflecting hepatic injury and cholangiocellular damage respectively, is still debated.</w:t>
      </w:r>
      <w:r w:rsidR="00F81FAC" w:rsidRPr="00D374DF">
        <w:rPr>
          <w:rFonts w:ascii="Book Antiqua" w:hAnsi="Book Antiqua" w:cs="Book Antiqua" w:hint="eastAsia"/>
          <w:color w:val="000000"/>
          <w:lang w:eastAsia="zh-CN"/>
        </w:rPr>
        <w:t xml:space="preserve"> </w:t>
      </w:r>
      <w:r w:rsidRPr="00D374DF">
        <w:rPr>
          <w:rFonts w:ascii="Book Antiqua" w:eastAsia="Book Antiqua" w:hAnsi="Book Antiqua" w:cs="Book Antiqua"/>
          <w:color w:val="000000"/>
        </w:rPr>
        <w:t xml:space="preserve">Conversely, pre-existing chronic </w:t>
      </w:r>
      <w:r w:rsidRPr="00D374DF">
        <w:rPr>
          <w:rFonts w:ascii="Book Antiqua" w:eastAsia="Book Antiqua" w:hAnsi="Book Antiqua" w:cs="Book Antiqua"/>
          <w:color w:val="000000"/>
        </w:rPr>
        <w:lastRenderedPageBreak/>
        <w:t>liver diseases seem to be independent risk factors for poor outcome in COVID-19, and cirrhosis grade has been defined as a predictor of mortality in SARS-CoV-2 infected patients</w:t>
      </w:r>
      <w:r w:rsidRPr="00D374DF">
        <w:rPr>
          <w:rFonts w:ascii="Book Antiqua" w:eastAsia="Book Antiqua" w:hAnsi="Book Antiqua" w:cs="Book Antiqua"/>
          <w:color w:val="000000"/>
          <w:vertAlign w:val="superscript"/>
        </w:rPr>
        <w:t>[6]</w:t>
      </w:r>
      <w:r w:rsidRPr="00D374DF">
        <w:rPr>
          <w:rFonts w:ascii="Book Antiqua" w:eastAsia="Book Antiqua" w:hAnsi="Book Antiqua" w:cs="Book Antiqua"/>
          <w:color w:val="000000"/>
        </w:rPr>
        <w:t>.</w:t>
      </w:r>
    </w:p>
    <w:p w14:paraId="063128F8" w14:textId="77777777" w:rsidR="00A77B3E" w:rsidRPr="00D374DF" w:rsidRDefault="00096DED" w:rsidP="00F81FAC">
      <w:pPr>
        <w:spacing w:line="360" w:lineRule="auto"/>
        <w:ind w:firstLineChars="100" w:firstLine="240"/>
        <w:jc w:val="both"/>
        <w:rPr>
          <w:lang w:eastAsia="zh-CN"/>
        </w:rPr>
      </w:pPr>
      <w:r w:rsidRPr="00D374DF">
        <w:rPr>
          <w:rFonts w:ascii="Book Antiqua" w:eastAsia="Book Antiqua" w:hAnsi="Book Antiqua" w:cs="Book Antiqua"/>
          <w:color w:val="000000"/>
        </w:rPr>
        <w:t>We are thankful to the authors for their contribution to current literature and we would like to implement the authors' excellent work by reporting our experience with SARS-CoV-2 infection in the Pediatric population.</w:t>
      </w:r>
    </w:p>
    <w:p w14:paraId="26FD7036" w14:textId="77777777" w:rsidR="00A77B3E" w:rsidRPr="00D374DF" w:rsidRDefault="00096DED" w:rsidP="00F81FAC">
      <w:pPr>
        <w:spacing w:line="360" w:lineRule="auto"/>
        <w:ind w:firstLineChars="100" w:firstLine="240"/>
        <w:jc w:val="both"/>
      </w:pPr>
      <w:r w:rsidRPr="00D374DF">
        <w:rPr>
          <w:rFonts w:ascii="Book Antiqua" w:eastAsia="Book Antiqua" w:hAnsi="Book Antiqua" w:cs="Book Antiqua"/>
          <w:color w:val="000000"/>
        </w:rPr>
        <w:t>We would like to emphasize that COVID-19 in children and adolescents may often be asymptomatic or cause only mild symptoms. The most prevalent symptom of COVID-19 in children and adolescents is fever, followed by cough, upper respiratory tract symptoms, diarrhea and nausea/vomiting. In a multinational, multicenter cohort study, 22% of patients had GI symptoms and 7% of those had no respiratory symptoms</w:t>
      </w:r>
      <w:r w:rsidRPr="00D374DF">
        <w:rPr>
          <w:rFonts w:ascii="Book Antiqua" w:eastAsia="Book Antiqua" w:hAnsi="Book Antiqua" w:cs="Book Antiqua"/>
          <w:color w:val="000000"/>
          <w:vertAlign w:val="superscript"/>
        </w:rPr>
        <w:t>[8]</w:t>
      </w:r>
      <w:r w:rsidRPr="00D374DF">
        <w:rPr>
          <w:rFonts w:ascii="Book Antiqua" w:eastAsia="Book Antiqua" w:hAnsi="Book Antiqua" w:cs="Book Antiqua"/>
          <w:color w:val="000000"/>
        </w:rPr>
        <w:t>. Also, neurological manifestations must be considered as they might be a direct result of central nervous system viral invasion or post-infection immuno-mediated disease</w:t>
      </w:r>
      <w:r w:rsidRPr="00D374DF">
        <w:rPr>
          <w:rFonts w:ascii="Book Antiqua" w:eastAsia="Book Antiqua" w:hAnsi="Book Antiqua" w:cs="Book Antiqua"/>
          <w:color w:val="000000"/>
          <w:vertAlign w:val="superscript"/>
        </w:rPr>
        <w:t>[9]</w:t>
      </w:r>
      <w:r w:rsidRPr="00D374DF">
        <w:rPr>
          <w:rFonts w:ascii="Book Antiqua" w:eastAsia="Book Antiqua" w:hAnsi="Book Antiqua" w:cs="Book Antiqua"/>
          <w:color w:val="000000"/>
        </w:rPr>
        <w:t>.</w:t>
      </w:r>
      <w:r w:rsidRPr="00D374DF">
        <w:rPr>
          <w:rFonts w:ascii="Book Antiqua" w:eastAsia="Book Antiqua" w:hAnsi="Book Antiqua" w:cs="Book Antiqua"/>
          <w:color w:val="000000"/>
          <w:szCs w:val="22"/>
        </w:rPr>
        <w:t xml:space="preserve"> </w:t>
      </w:r>
      <w:r w:rsidRPr="00D374DF">
        <w:rPr>
          <w:rFonts w:ascii="Book Antiqua" w:eastAsia="Book Antiqua" w:hAnsi="Book Antiqua" w:cs="Book Antiqua"/>
          <w:color w:val="000000"/>
        </w:rPr>
        <w:t xml:space="preserve">Interestingly, in the latter half of April 2020 a previously unknown SARS-CoV-2-related clinical syndrome emerged. Initially this novel entity was named pediatric inflammatory multisystem syndrome temporally associated with </w:t>
      </w:r>
      <w:r w:rsidR="00F81FAC" w:rsidRPr="00D374DF">
        <w:rPr>
          <w:rFonts w:ascii="Book Antiqua" w:eastAsia="Book Antiqua" w:hAnsi="Book Antiqua" w:cs="Book Antiqua"/>
          <w:color w:val="000000"/>
        </w:rPr>
        <w:t>SARS-CoV-2</w:t>
      </w:r>
      <w:r w:rsidRPr="00D374DF">
        <w:rPr>
          <w:rFonts w:ascii="Book Antiqua" w:eastAsia="Book Antiqua" w:hAnsi="Book Antiqua" w:cs="Book Antiqua"/>
          <w:color w:val="000000"/>
        </w:rPr>
        <w:t xml:space="preserve"> (PIMS-TS) by the European Centre for Disease Prevention and Control and then </w:t>
      </w:r>
      <w:r w:rsidR="00F81FAC" w:rsidRPr="00D374DF">
        <w:rPr>
          <w:rFonts w:ascii="Book Antiqua" w:eastAsia="Book Antiqua" w:hAnsi="Book Antiqua" w:cs="Book Antiqua"/>
          <w:color w:val="000000"/>
        </w:rPr>
        <w:t>multisystem inflammatory syndro</w:t>
      </w:r>
      <w:r w:rsidRPr="00D374DF">
        <w:rPr>
          <w:rFonts w:ascii="Book Antiqua" w:eastAsia="Book Antiqua" w:hAnsi="Book Antiqua" w:cs="Book Antiqua"/>
          <w:color w:val="000000"/>
        </w:rPr>
        <w:t xml:space="preserve">me in </w:t>
      </w:r>
      <w:r w:rsidR="00F81FAC" w:rsidRPr="00D374DF">
        <w:rPr>
          <w:rFonts w:ascii="Book Antiqua" w:hAnsi="Book Antiqua" w:cs="Book Antiqua" w:hint="eastAsia"/>
          <w:color w:val="000000"/>
          <w:lang w:eastAsia="zh-CN"/>
        </w:rPr>
        <w:t>c</w:t>
      </w:r>
      <w:r w:rsidRPr="00D374DF">
        <w:rPr>
          <w:rFonts w:ascii="Book Antiqua" w:eastAsia="Book Antiqua" w:hAnsi="Book Antiqua" w:cs="Book Antiqua"/>
          <w:color w:val="000000"/>
        </w:rPr>
        <w:t>hildren (MIS-C) by the Centers for Disease Control and Prevention (CDC) in the U</w:t>
      </w:r>
      <w:r w:rsidR="00F81FAC" w:rsidRPr="00D374DF">
        <w:rPr>
          <w:rFonts w:ascii="Book Antiqua" w:hAnsi="Book Antiqua" w:cs="Book Antiqua" w:hint="eastAsia"/>
          <w:color w:val="000000"/>
          <w:lang w:eastAsia="zh-CN"/>
        </w:rPr>
        <w:t>nited States</w:t>
      </w:r>
      <w:r w:rsidRPr="00D374DF">
        <w:rPr>
          <w:rFonts w:ascii="Book Antiqua" w:eastAsia="Book Antiqua" w:hAnsi="Book Antiqua" w:cs="Book Antiqua"/>
          <w:color w:val="000000"/>
        </w:rPr>
        <w:t xml:space="preserve"> and by the World Health Organization.</w:t>
      </w:r>
      <w:r w:rsidR="00F81FAC" w:rsidRPr="00D374DF">
        <w:rPr>
          <w:rFonts w:ascii="Book Antiqua" w:hAnsi="Book Antiqua" w:cs="Book Antiqua" w:hint="eastAsia"/>
          <w:color w:val="000000"/>
          <w:lang w:eastAsia="zh-CN"/>
        </w:rPr>
        <w:t xml:space="preserve"> </w:t>
      </w:r>
      <w:r w:rsidRPr="00D374DF">
        <w:rPr>
          <w:rFonts w:ascii="Book Antiqua" w:eastAsia="Book Antiqua" w:hAnsi="Book Antiqua" w:cs="Book Antiqua"/>
          <w:color w:val="000000"/>
        </w:rPr>
        <w:t>This syndrome can lead to shock and multiple organ failure requiring a Pediatric Intensive Care Unit. Its features resemble those of known entities such as Kawasaki Disease, toxic shock syndrome, and macrophage activation syndrome.</w:t>
      </w:r>
      <w:r w:rsidR="00F81FAC" w:rsidRPr="00D374DF">
        <w:rPr>
          <w:rFonts w:ascii="Book Antiqua" w:hAnsi="Book Antiqua" w:cs="Book Antiqua" w:hint="eastAsia"/>
          <w:color w:val="000000"/>
          <w:lang w:eastAsia="zh-CN"/>
        </w:rPr>
        <w:t xml:space="preserve"> </w:t>
      </w:r>
      <w:r w:rsidRPr="00D374DF">
        <w:rPr>
          <w:rFonts w:ascii="Book Antiqua" w:eastAsia="Book Antiqua" w:hAnsi="Book Antiqua" w:cs="Book Antiqua"/>
          <w:color w:val="000000"/>
        </w:rPr>
        <w:t>The CDC issued a case definition of MIS-C specifying that the patient should be &lt; 21</w:t>
      </w:r>
      <w:r w:rsidR="00F81FAC" w:rsidRPr="00D374DF">
        <w:rPr>
          <w:rFonts w:ascii="Book Antiqua" w:hAnsi="Book Antiqua" w:cs="Book Antiqua" w:hint="eastAsia"/>
          <w:color w:val="000000"/>
          <w:lang w:eastAsia="zh-CN"/>
        </w:rPr>
        <w:t>-</w:t>
      </w:r>
      <w:r w:rsidRPr="00D374DF">
        <w:rPr>
          <w:rFonts w:ascii="Book Antiqua" w:eastAsia="Book Antiqua" w:hAnsi="Book Antiqua" w:cs="Book Antiqua"/>
          <w:color w:val="000000"/>
        </w:rPr>
        <w:t>year</w:t>
      </w:r>
      <w:r w:rsidR="00F81FAC" w:rsidRPr="00D374DF">
        <w:rPr>
          <w:rFonts w:ascii="Book Antiqua" w:hAnsi="Book Antiqua" w:cs="Book Antiqua" w:hint="eastAsia"/>
          <w:color w:val="000000"/>
          <w:lang w:eastAsia="zh-CN"/>
        </w:rPr>
        <w:t>-</w:t>
      </w:r>
      <w:r w:rsidRPr="00D374DF">
        <w:rPr>
          <w:rFonts w:ascii="Book Antiqua" w:eastAsia="Book Antiqua" w:hAnsi="Book Antiqua" w:cs="Book Antiqua"/>
          <w:color w:val="000000"/>
        </w:rPr>
        <w:t>old, have fever, laboratory evidence of inflammation, and evidence of a clinically severe illness requiring hospitalization, with multisystem (&gt;</w:t>
      </w:r>
      <w:r w:rsidR="00F81FAC" w:rsidRPr="00D374DF">
        <w:rPr>
          <w:rFonts w:ascii="Book Antiqua" w:hAnsi="Book Antiqua" w:cs="Book Antiqua" w:hint="eastAsia"/>
          <w:color w:val="000000"/>
          <w:lang w:eastAsia="zh-CN"/>
        </w:rPr>
        <w:t xml:space="preserve"> </w:t>
      </w:r>
      <w:r w:rsidRPr="00D374DF">
        <w:rPr>
          <w:rFonts w:ascii="Book Antiqua" w:eastAsia="Book Antiqua" w:hAnsi="Book Antiqua" w:cs="Book Antiqua"/>
          <w:color w:val="000000"/>
        </w:rPr>
        <w:t>2) organ involvement (cardiac, renal, respiratory, hematological, GI, dermatological, or neurological), in the absence of an alternative plausible diagnosis, and evidence of SARS-CoV-2 infection or exposure</w:t>
      </w:r>
      <w:r w:rsidRPr="00D374DF">
        <w:rPr>
          <w:rFonts w:ascii="Book Antiqua" w:eastAsia="Book Antiqua" w:hAnsi="Book Antiqua" w:cs="Book Antiqua"/>
          <w:color w:val="000000"/>
          <w:vertAlign w:val="superscript"/>
        </w:rPr>
        <w:t>[10]</w:t>
      </w:r>
      <w:r w:rsidRPr="00D374DF">
        <w:rPr>
          <w:rFonts w:ascii="Book Antiqua" w:eastAsia="Book Antiqua" w:hAnsi="Book Antiqua" w:cs="Book Antiqua"/>
          <w:color w:val="000000"/>
        </w:rPr>
        <w:t xml:space="preserve">. It was initially thought that this syndrome was specific of children, but recent reports have shown that it can also occur in adults. In a case series comparing children and adolescents with MIS-C </w:t>
      </w:r>
      <w:r w:rsidRPr="00D374DF">
        <w:rPr>
          <w:rFonts w:ascii="Book Antiqua" w:eastAsia="Book Antiqua" w:hAnsi="Book Antiqua" w:cs="Book Antiqua"/>
          <w:i/>
          <w:iCs/>
          <w:color w:val="000000"/>
        </w:rPr>
        <w:t>vs</w:t>
      </w:r>
      <w:r w:rsidRPr="00D374DF">
        <w:rPr>
          <w:rFonts w:ascii="Book Antiqua" w:eastAsia="Book Antiqua" w:hAnsi="Book Antiqua" w:cs="Book Antiqua"/>
          <w:color w:val="000000"/>
        </w:rPr>
        <w:t xml:space="preserve"> those with severe COVID-19, MIS-C </w:t>
      </w:r>
      <w:r w:rsidRPr="00D374DF">
        <w:rPr>
          <w:rFonts w:ascii="Book Antiqua" w:eastAsia="Book Antiqua" w:hAnsi="Book Antiqua" w:cs="Book Antiqua"/>
          <w:color w:val="000000"/>
        </w:rPr>
        <w:lastRenderedPageBreak/>
        <w:t>was distinguished by having a more severe cardiovascular and mucocutaneous involvement and a worse inflammation with a higher neutrophil/Leukocyte ratio, higher c-reactive protein level and lower thrombocytopenia compared to patients with COVID-19</w:t>
      </w:r>
      <w:r w:rsidRPr="00D374DF">
        <w:rPr>
          <w:rFonts w:ascii="Book Antiqua" w:eastAsia="Book Antiqua" w:hAnsi="Book Antiqua" w:cs="Book Antiqua"/>
          <w:color w:val="000000"/>
          <w:vertAlign w:val="superscript"/>
        </w:rPr>
        <w:t>[11]</w:t>
      </w:r>
      <w:r w:rsidR="00F81FAC" w:rsidRPr="00D374DF">
        <w:rPr>
          <w:rFonts w:ascii="Book Antiqua" w:eastAsia="Book Antiqua" w:hAnsi="Book Antiqua" w:cs="Book Antiqua"/>
          <w:color w:val="000000"/>
        </w:rPr>
        <w:t>.</w:t>
      </w:r>
    </w:p>
    <w:p w14:paraId="63C69158" w14:textId="77777777" w:rsidR="00A77B3E" w:rsidRPr="00D374DF" w:rsidRDefault="00096DED" w:rsidP="00F81FAC">
      <w:pPr>
        <w:spacing w:line="360" w:lineRule="auto"/>
        <w:ind w:firstLineChars="100" w:firstLine="240"/>
        <w:jc w:val="both"/>
      </w:pPr>
      <w:r w:rsidRPr="00D374DF">
        <w:rPr>
          <w:rFonts w:ascii="Book Antiqua" w:eastAsia="Book Antiqua" w:hAnsi="Book Antiqua" w:cs="Book Antiqua"/>
          <w:color w:val="000000"/>
        </w:rPr>
        <w:t>The pathophysiology of this syndrome is under intense investigation but so far it remains unclear. It is believed that this syndrome results from an abnormal immune response to the virus. Interestingly, among the most common presenting symptoms of MIS-C from reports worldwide we found GI involvement, including vomiting, abdominal pain, and/or diarrhea. Moreover, there are reports in literature reporting cases of MIS-C presenting with acute abdomen and pseudo appendicular syndrome with shock, clinical symptoms suggestive of appendicitis, functional intestinal obstruction and ischemic bowel lesions</w:t>
      </w:r>
      <w:r w:rsidR="00F81FAC" w:rsidRPr="00D374DF">
        <w:rPr>
          <w:rFonts w:ascii="Book Antiqua" w:eastAsia="Book Antiqua" w:hAnsi="Book Antiqua" w:cs="Book Antiqua"/>
          <w:color w:val="000000"/>
          <w:vertAlign w:val="superscript"/>
        </w:rPr>
        <w:t>[12,</w:t>
      </w:r>
      <w:r w:rsidRPr="00D374DF">
        <w:rPr>
          <w:rFonts w:ascii="Book Antiqua" w:eastAsia="Book Antiqua" w:hAnsi="Book Antiqua" w:cs="Book Antiqua"/>
          <w:color w:val="000000"/>
          <w:vertAlign w:val="superscript"/>
        </w:rPr>
        <w:t>13]</w:t>
      </w:r>
      <w:r w:rsidRPr="00D374DF">
        <w:rPr>
          <w:rFonts w:ascii="Book Antiqua" w:eastAsia="Book Antiqua" w:hAnsi="Book Antiqua" w:cs="Book Antiqua"/>
          <w:color w:val="000000"/>
        </w:rPr>
        <w:t>. Furthermore, abdominal imaging findings such as hepatomegaly, nephromegaly, gallbladder wall edema, ascites, intestinal inflammation and mesenteric lymphadenopathy are very common</w:t>
      </w:r>
      <w:r w:rsidRPr="00D374DF">
        <w:rPr>
          <w:rFonts w:ascii="Book Antiqua" w:eastAsia="Book Antiqua" w:hAnsi="Book Antiqua" w:cs="Book Antiqua"/>
          <w:color w:val="000000"/>
          <w:vertAlign w:val="superscript"/>
        </w:rPr>
        <w:t>[14]</w:t>
      </w:r>
      <w:r w:rsidRPr="00D374DF">
        <w:rPr>
          <w:rFonts w:ascii="Book Antiqua" w:eastAsia="Book Antiqua" w:hAnsi="Book Antiqua" w:cs="Book Antiqua"/>
          <w:color w:val="000000"/>
        </w:rPr>
        <w:t>. The role of SARS-CoV-2 in some of these clinical presentations seems more likely to be temporal rather than causative but it causes diagnostic and management dilemmas for treating physicians.</w:t>
      </w:r>
    </w:p>
    <w:p w14:paraId="53C2D2FB" w14:textId="77777777" w:rsidR="00A77B3E" w:rsidRPr="00D374DF" w:rsidRDefault="00096DED" w:rsidP="00F81FAC">
      <w:pPr>
        <w:spacing w:line="360" w:lineRule="auto"/>
        <w:ind w:firstLineChars="100" w:firstLine="240"/>
        <w:jc w:val="both"/>
      </w:pPr>
      <w:r w:rsidRPr="00D374DF">
        <w:rPr>
          <w:rFonts w:ascii="Book Antiqua" w:eastAsia="Book Antiqua" w:hAnsi="Book Antiqua" w:cs="Book Antiqua"/>
          <w:color w:val="000000"/>
        </w:rPr>
        <w:t>Regarding the experience of our Department of Pediatrics, we recently reported the case of a 14-year-old non-obese boy with MIS-C who presented with jaundiced skin, a diffusely painful abdomen and palpable hepatosplenomegaly. He was in a</w:t>
      </w:r>
      <w:r w:rsidRPr="00D374DF">
        <w:rPr>
          <w:rFonts w:ascii="Book Antiqua" w:eastAsia="Book Antiqua" w:hAnsi="Book Antiqua" w:cs="Book Antiqua"/>
          <w:color w:val="000000"/>
          <w:szCs w:val="22"/>
        </w:rPr>
        <w:t xml:space="preserve"> </w:t>
      </w:r>
      <w:r w:rsidRPr="00D374DF">
        <w:rPr>
          <w:rFonts w:ascii="Book Antiqua" w:eastAsia="Book Antiqua" w:hAnsi="Book Antiqua" w:cs="Book Antiqua"/>
          <w:color w:val="000000"/>
        </w:rPr>
        <w:t xml:space="preserve">condition of multiorgan failure with a compromised hemodynamic status with reduction of left ventricular ejection fraction and elevated values of alanine aminotransferase, aspartate aminotransferase and indices of cholestasis. Notably, our patient fully recovered from MIS-C, with an excellent cardiac and renal outcome but during the follow-up visit program he was diagnosed with a new onset hepatic steatosis. Therefore, we suggest that hepatic steatosis might be one of the </w:t>
      </w:r>
      <w:r w:rsidRPr="00D374DF">
        <w:rPr>
          <w:rFonts w:ascii="Book Antiqua" w:eastAsia="Book Antiqua" w:hAnsi="Book Antiqua" w:cs="Book Antiqua"/>
          <w:iCs/>
          <w:color w:val="000000"/>
        </w:rPr>
        <w:t>sequelae</w:t>
      </w:r>
      <w:r w:rsidRPr="00D374DF">
        <w:rPr>
          <w:rFonts w:ascii="Book Antiqua" w:eastAsia="Book Antiqua" w:hAnsi="Book Antiqua" w:cs="Book Antiqua"/>
          <w:color w:val="000000"/>
        </w:rPr>
        <w:t xml:space="preserve"> following SARS-CoV-2 infection, MIS-C or its treatment, mainly due to prolonged use of corticosteroids, probably through an inhibition of mitochondrial fatty acid oxidation</w:t>
      </w:r>
      <w:r w:rsidRPr="00D374DF">
        <w:rPr>
          <w:rFonts w:ascii="Book Antiqua" w:eastAsia="Book Antiqua" w:hAnsi="Book Antiqua" w:cs="Book Antiqua"/>
          <w:color w:val="000000"/>
          <w:vertAlign w:val="superscript"/>
        </w:rPr>
        <w:t>[15]</w:t>
      </w:r>
      <w:r w:rsidRPr="00D374DF">
        <w:rPr>
          <w:rFonts w:ascii="Book Antiqua" w:eastAsia="Book Antiqua" w:hAnsi="Book Antiqua" w:cs="Book Antiqua"/>
          <w:color w:val="000000"/>
        </w:rPr>
        <w:t>.</w:t>
      </w:r>
    </w:p>
    <w:p w14:paraId="7424C43E" w14:textId="77777777" w:rsidR="00A77B3E" w:rsidRPr="00D374DF" w:rsidRDefault="00096DED" w:rsidP="00F81FAC">
      <w:pPr>
        <w:spacing w:line="360" w:lineRule="auto"/>
        <w:ind w:firstLineChars="100" w:firstLine="240"/>
        <w:jc w:val="both"/>
      </w:pPr>
      <w:r w:rsidRPr="00D374DF">
        <w:rPr>
          <w:rFonts w:ascii="Book Antiqua" w:eastAsia="Book Antiqua" w:hAnsi="Book Antiqua" w:cs="Book Antiqua"/>
          <w:color w:val="000000"/>
        </w:rPr>
        <w:t xml:space="preserve">We fully agree with the authors’ suggestion that liver function should be monitored during COVID-19, particularly in more severe cases. Furthermore, we think that hepatic </w:t>
      </w:r>
      <w:r w:rsidRPr="00D374DF">
        <w:rPr>
          <w:rFonts w:ascii="Book Antiqua" w:eastAsia="Book Antiqua" w:hAnsi="Book Antiqua" w:cs="Book Antiqua"/>
          <w:color w:val="000000"/>
        </w:rPr>
        <w:lastRenderedPageBreak/>
        <w:t>involvement after COVID-19 and MIS-C could be underdiagnosed as few patients undergo abdominal ultrasonography monitoring. Diagnosis of hepatic steatosis is easily accessible through an abdominal ultrasound, which is a low-cost, non-invasive examination. To date, abdominal ultrasound monitoring for these patients is not supported by evidence but we suggest that it could be very useful to identify this potential damage early and evaluate the possible outcome of these patients.</w:t>
      </w:r>
    </w:p>
    <w:p w14:paraId="41896F4A" w14:textId="77777777" w:rsidR="00A77B3E" w:rsidRPr="00D374DF" w:rsidRDefault="00096DED" w:rsidP="00F81FAC">
      <w:pPr>
        <w:spacing w:line="360" w:lineRule="auto"/>
        <w:ind w:firstLineChars="100" w:firstLine="240"/>
        <w:jc w:val="both"/>
        <w:rPr>
          <w:lang w:eastAsia="zh-CN"/>
        </w:rPr>
      </w:pPr>
      <w:r w:rsidRPr="00D374DF">
        <w:rPr>
          <w:rFonts w:ascii="Book Antiqua" w:eastAsia="Book Antiqua" w:hAnsi="Book Antiqua" w:cs="Book Antiqua"/>
          <w:color w:val="000000"/>
        </w:rPr>
        <w:t>In conclusion, GI and hepatic involvement in COVID-19 and MIS-C should not be underestimated because potential damage could be underdiagnosed. Further studies and long-term follow ups are needed to completely understand the pathophysiology and possible implications that GI and hepatic involvement might have in COVID-19 and MIS-C.</w:t>
      </w:r>
    </w:p>
    <w:p w14:paraId="507F51F5" w14:textId="77777777" w:rsidR="00A77B3E" w:rsidRPr="00D374DF" w:rsidRDefault="00A77B3E">
      <w:pPr>
        <w:spacing w:line="360" w:lineRule="auto"/>
        <w:jc w:val="both"/>
      </w:pPr>
    </w:p>
    <w:p w14:paraId="3F78094F" w14:textId="77777777" w:rsidR="00A77B3E" w:rsidRPr="00D374DF" w:rsidRDefault="00096DED">
      <w:pPr>
        <w:spacing w:line="360" w:lineRule="auto"/>
        <w:jc w:val="both"/>
      </w:pPr>
      <w:r w:rsidRPr="00D374DF">
        <w:rPr>
          <w:rFonts w:ascii="Book Antiqua" w:eastAsia="Book Antiqua" w:hAnsi="Book Antiqua" w:cs="Book Antiqua"/>
          <w:b/>
          <w:color w:val="000000"/>
        </w:rPr>
        <w:t>REFERENCES</w:t>
      </w:r>
    </w:p>
    <w:p w14:paraId="7B09E55A" w14:textId="77777777" w:rsidR="00A77B3E" w:rsidRPr="00D374DF" w:rsidRDefault="00096DED">
      <w:pPr>
        <w:spacing w:line="360" w:lineRule="auto"/>
        <w:jc w:val="both"/>
      </w:pPr>
      <w:r w:rsidRPr="00D374DF">
        <w:rPr>
          <w:rFonts w:ascii="Book Antiqua" w:eastAsia="Book Antiqua" w:hAnsi="Book Antiqua" w:cs="Book Antiqua"/>
          <w:color w:val="000000"/>
        </w:rPr>
        <w:t xml:space="preserve">1 </w:t>
      </w:r>
      <w:r w:rsidRPr="00D374DF">
        <w:rPr>
          <w:rFonts w:ascii="Book Antiqua" w:eastAsia="Book Antiqua" w:hAnsi="Book Antiqua" w:cs="Book Antiqua"/>
          <w:b/>
          <w:bCs/>
          <w:color w:val="000000"/>
        </w:rPr>
        <w:t>Mohamed DZ</w:t>
      </w:r>
      <w:r w:rsidRPr="00D374DF">
        <w:rPr>
          <w:rFonts w:ascii="Book Antiqua" w:eastAsia="Book Antiqua" w:hAnsi="Book Antiqua" w:cs="Book Antiqua"/>
          <w:color w:val="000000"/>
        </w:rPr>
        <w:t xml:space="preserve">, Ghoneim ME, Abu-Risha SE, Abdelsalam RA, Farag MA. Gastrointestinal and hepatic diseases during the COVID-19 pandemic: Manifestations, mechanism and management. </w:t>
      </w:r>
      <w:r w:rsidRPr="00D374DF">
        <w:rPr>
          <w:rFonts w:ascii="Book Antiqua" w:eastAsia="Book Antiqua" w:hAnsi="Book Antiqua" w:cs="Book Antiqua"/>
          <w:i/>
          <w:iCs/>
          <w:color w:val="000000"/>
        </w:rPr>
        <w:t>World J Gastroenterol</w:t>
      </w:r>
      <w:r w:rsidRPr="00D374DF">
        <w:rPr>
          <w:rFonts w:ascii="Book Antiqua" w:eastAsia="Book Antiqua" w:hAnsi="Book Antiqua" w:cs="Book Antiqua"/>
          <w:color w:val="000000"/>
        </w:rPr>
        <w:t xml:space="preserve"> 2021; </w:t>
      </w:r>
      <w:r w:rsidRPr="00D374DF">
        <w:rPr>
          <w:rFonts w:ascii="Book Antiqua" w:eastAsia="Book Antiqua" w:hAnsi="Book Antiqua" w:cs="Book Antiqua"/>
          <w:b/>
          <w:bCs/>
          <w:color w:val="000000"/>
        </w:rPr>
        <w:t>27</w:t>
      </w:r>
      <w:r w:rsidRPr="00D374DF">
        <w:rPr>
          <w:rFonts w:ascii="Book Antiqua" w:eastAsia="Book Antiqua" w:hAnsi="Book Antiqua" w:cs="Book Antiqua"/>
          <w:color w:val="000000"/>
        </w:rPr>
        <w:t>: 4504-4535 [PMID: 34366621 DOI: 10.3748/wjg.v27.i28.4504]</w:t>
      </w:r>
    </w:p>
    <w:p w14:paraId="45B09CBD" w14:textId="77777777" w:rsidR="00A77B3E" w:rsidRPr="00D374DF" w:rsidRDefault="00096DED">
      <w:pPr>
        <w:spacing w:line="360" w:lineRule="auto"/>
        <w:jc w:val="both"/>
      </w:pPr>
      <w:r w:rsidRPr="00D374DF">
        <w:rPr>
          <w:rFonts w:ascii="Book Antiqua" w:eastAsia="Book Antiqua" w:hAnsi="Book Antiqua" w:cs="Book Antiqua"/>
          <w:color w:val="000000"/>
        </w:rPr>
        <w:t xml:space="preserve">2 </w:t>
      </w:r>
      <w:r w:rsidRPr="00D374DF">
        <w:rPr>
          <w:rFonts w:ascii="Book Antiqua" w:eastAsia="Book Antiqua" w:hAnsi="Book Antiqua" w:cs="Book Antiqua"/>
          <w:b/>
          <w:bCs/>
          <w:color w:val="000000"/>
        </w:rPr>
        <w:t>Wang D</w:t>
      </w:r>
      <w:r w:rsidRPr="00D374DF">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sidRPr="00D374DF">
        <w:rPr>
          <w:rFonts w:ascii="Book Antiqua" w:eastAsia="Book Antiqua" w:hAnsi="Book Antiqua" w:cs="Book Antiqua"/>
          <w:i/>
          <w:iCs/>
          <w:color w:val="000000"/>
        </w:rPr>
        <w:t>JAMA</w:t>
      </w:r>
      <w:r w:rsidRPr="00D374DF">
        <w:rPr>
          <w:rFonts w:ascii="Book Antiqua" w:eastAsia="Book Antiqua" w:hAnsi="Book Antiqua" w:cs="Book Antiqua"/>
          <w:color w:val="000000"/>
        </w:rPr>
        <w:t xml:space="preserve"> 2020; </w:t>
      </w:r>
      <w:r w:rsidRPr="00D374DF">
        <w:rPr>
          <w:rFonts w:ascii="Book Antiqua" w:eastAsia="Book Antiqua" w:hAnsi="Book Antiqua" w:cs="Book Antiqua"/>
          <w:b/>
          <w:bCs/>
          <w:color w:val="000000"/>
        </w:rPr>
        <w:t>323</w:t>
      </w:r>
      <w:r w:rsidRPr="00D374DF">
        <w:rPr>
          <w:rFonts w:ascii="Book Antiqua" w:eastAsia="Book Antiqua" w:hAnsi="Book Antiqua" w:cs="Book Antiqua"/>
          <w:color w:val="000000"/>
        </w:rPr>
        <w:t>: 1061-1069 [PMID: 32031570 DOI: 10.1001/jama.2020.1585]</w:t>
      </w:r>
    </w:p>
    <w:p w14:paraId="2379DFFE" w14:textId="77777777" w:rsidR="00A77B3E" w:rsidRPr="00D374DF" w:rsidRDefault="00096DED">
      <w:pPr>
        <w:spacing w:line="360" w:lineRule="auto"/>
        <w:jc w:val="both"/>
      </w:pPr>
      <w:r w:rsidRPr="00D374DF">
        <w:rPr>
          <w:rFonts w:ascii="Book Antiqua" w:eastAsia="Book Antiqua" w:hAnsi="Book Antiqua" w:cs="Book Antiqua"/>
          <w:color w:val="000000"/>
        </w:rPr>
        <w:t xml:space="preserve">3 </w:t>
      </w:r>
      <w:r w:rsidRPr="00D374DF">
        <w:rPr>
          <w:rFonts w:ascii="Book Antiqua" w:eastAsia="Book Antiqua" w:hAnsi="Book Antiqua" w:cs="Book Antiqua"/>
          <w:b/>
          <w:bCs/>
          <w:color w:val="000000"/>
        </w:rPr>
        <w:t>Huang C</w:t>
      </w:r>
      <w:r w:rsidRPr="00D374DF">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D374DF">
        <w:rPr>
          <w:rFonts w:ascii="Book Antiqua" w:eastAsia="Book Antiqua" w:hAnsi="Book Antiqua" w:cs="Book Antiqua"/>
          <w:i/>
          <w:iCs/>
          <w:color w:val="000000"/>
        </w:rPr>
        <w:t>Lancet</w:t>
      </w:r>
      <w:r w:rsidRPr="00D374DF">
        <w:rPr>
          <w:rFonts w:ascii="Book Antiqua" w:eastAsia="Book Antiqua" w:hAnsi="Book Antiqua" w:cs="Book Antiqua"/>
          <w:color w:val="000000"/>
        </w:rPr>
        <w:t xml:space="preserve"> 2020; </w:t>
      </w:r>
      <w:r w:rsidRPr="00D374DF">
        <w:rPr>
          <w:rFonts w:ascii="Book Antiqua" w:eastAsia="Book Antiqua" w:hAnsi="Book Antiqua" w:cs="Book Antiqua"/>
          <w:b/>
          <w:bCs/>
          <w:color w:val="000000"/>
        </w:rPr>
        <w:t>395</w:t>
      </w:r>
      <w:r w:rsidRPr="00D374DF">
        <w:rPr>
          <w:rFonts w:ascii="Book Antiqua" w:eastAsia="Book Antiqua" w:hAnsi="Book Antiqua" w:cs="Book Antiqua"/>
          <w:color w:val="000000"/>
        </w:rPr>
        <w:t>: 497-506 [PMID: 31986264 DOI: 10.1016/S0140-6736(20)30183-5]</w:t>
      </w:r>
    </w:p>
    <w:p w14:paraId="1592EB3E" w14:textId="77777777" w:rsidR="00A77B3E" w:rsidRPr="00D374DF" w:rsidRDefault="00096DED">
      <w:pPr>
        <w:spacing w:line="360" w:lineRule="auto"/>
        <w:jc w:val="both"/>
      </w:pPr>
      <w:r w:rsidRPr="00D374DF">
        <w:rPr>
          <w:rFonts w:ascii="Book Antiqua" w:eastAsia="Book Antiqua" w:hAnsi="Book Antiqua" w:cs="Book Antiqua"/>
          <w:color w:val="000000"/>
        </w:rPr>
        <w:t xml:space="preserve">4 </w:t>
      </w:r>
      <w:r w:rsidRPr="00D374DF">
        <w:rPr>
          <w:rFonts w:ascii="Book Antiqua" w:eastAsia="Book Antiqua" w:hAnsi="Book Antiqua" w:cs="Book Antiqua"/>
          <w:b/>
          <w:bCs/>
          <w:color w:val="000000"/>
        </w:rPr>
        <w:t>Gu J</w:t>
      </w:r>
      <w:r w:rsidRPr="00D374DF">
        <w:rPr>
          <w:rFonts w:ascii="Book Antiqua" w:eastAsia="Book Antiqua" w:hAnsi="Book Antiqua" w:cs="Book Antiqua"/>
          <w:color w:val="000000"/>
        </w:rPr>
        <w:t xml:space="preserve">, Korteweg C. Pathology and pathogenesis of severe acute respiratory syndrome. </w:t>
      </w:r>
      <w:r w:rsidRPr="00D374DF">
        <w:rPr>
          <w:rFonts w:ascii="Book Antiqua" w:eastAsia="Book Antiqua" w:hAnsi="Book Antiqua" w:cs="Book Antiqua"/>
          <w:i/>
          <w:iCs/>
          <w:color w:val="000000"/>
        </w:rPr>
        <w:t>Am J Pathol</w:t>
      </w:r>
      <w:r w:rsidRPr="00D374DF">
        <w:rPr>
          <w:rFonts w:ascii="Book Antiqua" w:eastAsia="Book Antiqua" w:hAnsi="Book Antiqua" w:cs="Book Antiqua"/>
          <w:color w:val="000000"/>
        </w:rPr>
        <w:t xml:space="preserve"> 2007; </w:t>
      </w:r>
      <w:r w:rsidRPr="00D374DF">
        <w:rPr>
          <w:rFonts w:ascii="Book Antiqua" w:eastAsia="Book Antiqua" w:hAnsi="Book Antiqua" w:cs="Book Antiqua"/>
          <w:b/>
          <w:bCs/>
          <w:color w:val="000000"/>
        </w:rPr>
        <w:t>170</w:t>
      </w:r>
      <w:r w:rsidRPr="00D374DF">
        <w:rPr>
          <w:rFonts w:ascii="Book Antiqua" w:eastAsia="Book Antiqua" w:hAnsi="Book Antiqua" w:cs="Book Antiqua"/>
          <w:color w:val="000000"/>
        </w:rPr>
        <w:t>: 1136-1147 [PMID: 17392154 DOI: 10.2353/ajpath.2007.061088]</w:t>
      </w:r>
    </w:p>
    <w:p w14:paraId="40576671" w14:textId="77777777" w:rsidR="00A77B3E" w:rsidRPr="00D374DF" w:rsidRDefault="00096DED">
      <w:pPr>
        <w:spacing w:line="360" w:lineRule="auto"/>
        <w:jc w:val="both"/>
      </w:pPr>
      <w:r w:rsidRPr="00D374DF">
        <w:rPr>
          <w:rFonts w:ascii="Book Antiqua" w:eastAsia="Book Antiqua" w:hAnsi="Book Antiqua" w:cs="Book Antiqua"/>
          <w:color w:val="000000"/>
        </w:rPr>
        <w:lastRenderedPageBreak/>
        <w:t xml:space="preserve">5 </w:t>
      </w:r>
      <w:r w:rsidRPr="00D374DF">
        <w:rPr>
          <w:rFonts w:ascii="Book Antiqua" w:eastAsia="Book Antiqua" w:hAnsi="Book Antiqua" w:cs="Book Antiqua"/>
          <w:b/>
          <w:bCs/>
          <w:color w:val="000000"/>
        </w:rPr>
        <w:t>Pirola CJ</w:t>
      </w:r>
      <w:r w:rsidRPr="00D374DF">
        <w:rPr>
          <w:rFonts w:ascii="Book Antiqua" w:eastAsia="Book Antiqua" w:hAnsi="Book Antiqua" w:cs="Book Antiqua"/>
          <w:color w:val="000000"/>
        </w:rPr>
        <w:t xml:space="preserve">, Sookoian S. SARS-CoV-2 virus and liver expression of host receptors: Putative mechanisms of liver involvement in COVID-19. </w:t>
      </w:r>
      <w:r w:rsidRPr="00D374DF">
        <w:rPr>
          <w:rFonts w:ascii="Book Antiqua" w:eastAsia="Book Antiqua" w:hAnsi="Book Antiqua" w:cs="Book Antiqua"/>
          <w:i/>
          <w:iCs/>
          <w:color w:val="000000"/>
        </w:rPr>
        <w:t>Liver Int</w:t>
      </w:r>
      <w:r w:rsidRPr="00D374DF">
        <w:rPr>
          <w:rFonts w:ascii="Book Antiqua" w:eastAsia="Book Antiqua" w:hAnsi="Book Antiqua" w:cs="Book Antiqua"/>
          <w:color w:val="000000"/>
        </w:rPr>
        <w:t xml:space="preserve"> 2020; </w:t>
      </w:r>
      <w:r w:rsidRPr="00D374DF">
        <w:rPr>
          <w:rFonts w:ascii="Book Antiqua" w:eastAsia="Book Antiqua" w:hAnsi="Book Antiqua" w:cs="Book Antiqua"/>
          <w:b/>
          <w:bCs/>
          <w:color w:val="000000"/>
        </w:rPr>
        <w:t>40</w:t>
      </w:r>
      <w:r w:rsidRPr="00D374DF">
        <w:rPr>
          <w:rFonts w:ascii="Book Antiqua" w:eastAsia="Book Antiqua" w:hAnsi="Book Antiqua" w:cs="Book Antiqua"/>
          <w:color w:val="000000"/>
        </w:rPr>
        <w:t>: 2038-2040 [PMID: 32352224 DOI: 10.1111/</w:t>
      </w:r>
      <w:r w:rsidR="009644DF" w:rsidRPr="00D374DF">
        <w:rPr>
          <w:rFonts w:ascii="Book Antiqua" w:hAnsi="Book Antiqua" w:cs="Book Antiqua" w:hint="eastAsia"/>
          <w:color w:val="000000"/>
          <w:lang w:eastAsia="zh-CN"/>
        </w:rPr>
        <w:t>l</w:t>
      </w:r>
      <w:r w:rsidRPr="00D374DF">
        <w:rPr>
          <w:rFonts w:ascii="Book Antiqua" w:eastAsia="Book Antiqua" w:hAnsi="Book Antiqua" w:cs="Book Antiqua"/>
          <w:color w:val="000000"/>
        </w:rPr>
        <w:t>iv.14500]</w:t>
      </w:r>
    </w:p>
    <w:p w14:paraId="7401CA60" w14:textId="77777777" w:rsidR="00A77B3E" w:rsidRPr="00D374DF" w:rsidRDefault="00096DED">
      <w:pPr>
        <w:spacing w:line="360" w:lineRule="auto"/>
        <w:jc w:val="both"/>
      </w:pPr>
      <w:r w:rsidRPr="00D374DF">
        <w:rPr>
          <w:rFonts w:ascii="Book Antiqua" w:eastAsia="Book Antiqua" w:hAnsi="Book Antiqua" w:cs="Book Antiqua"/>
          <w:color w:val="000000"/>
        </w:rPr>
        <w:t xml:space="preserve">6 </w:t>
      </w:r>
      <w:r w:rsidRPr="00D374DF">
        <w:rPr>
          <w:rFonts w:ascii="Book Antiqua" w:eastAsia="Book Antiqua" w:hAnsi="Book Antiqua" w:cs="Book Antiqua"/>
          <w:b/>
          <w:bCs/>
          <w:color w:val="000000"/>
        </w:rPr>
        <w:t>Nardo AD</w:t>
      </w:r>
      <w:r w:rsidRPr="00D374DF">
        <w:rPr>
          <w:rFonts w:ascii="Book Antiqua" w:eastAsia="Book Antiqua" w:hAnsi="Book Antiqua" w:cs="Book Antiqua"/>
          <w:color w:val="000000"/>
        </w:rPr>
        <w:t xml:space="preserve">, Schneeweiss-Gleixner M, Bakail M, Dixon ED, Lax SF, Trauner M. Pathophysiological mechanisms of liver injury in COVID-19. </w:t>
      </w:r>
      <w:r w:rsidRPr="00D374DF">
        <w:rPr>
          <w:rFonts w:ascii="Book Antiqua" w:eastAsia="Book Antiqua" w:hAnsi="Book Antiqua" w:cs="Book Antiqua"/>
          <w:i/>
          <w:iCs/>
          <w:color w:val="000000"/>
        </w:rPr>
        <w:t>Liver Int</w:t>
      </w:r>
      <w:r w:rsidRPr="00D374DF">
        <w:rPr>
          <w:rFonts w:ascii="Book Antiqua" w:eastAsia="Book Antiqua" w:hAnsi="Book Antiqua" w:cs="Book Antiqua"/>
          <w:color w:val="000000"/>
        </w:rPr>
        <w:t xml:space="preserve"> 2021; </w:t>
      </w:r>
      <w:r w:rsidRPr="00D374DF">
        <w:rPr>
          <w:rFonts w:ascii="Book Antiqua" w:eastAsia="Book Antiqua" w:hAnsi="Book Antiqua" w:cs="Book Antiqua"/>
          <w:b/>
          <w:bCs/>
          <w:color w:val="000000"/>
        </w:rPr>
        <w:t>41</w:t>
      </w:r>
      <w:r w:rsidRPr="00D374DF">
        <w:rPr>
          <w:rFonts w:ascii="Book Antiqua" w:eastAsia="Book Antiqua" w:hAnsi="Book Antiqua" w:cs="Book Antiqua"/>
          <w:color w:val="000000"/>
        </w:rPr>
        <w:t>: 20-32 [PMID: 33190346 DOI: 10.1111/</w:t>
      </w:r>
      <w:r w:rsidR="009644DF" w:rsidRPr="00D374DF">
        <w:rPr>
          <w:rFonts w:ascii="Book Antiqua" w:hAnsi="Book Antiqua" w:cs="Book Antiqua" w:hint="eastAsia"/>
          <w:color w:val="000000"/>
          <w:lang w:eastAsia="zh-CN"/>
        </w:rPr>
        <w:t>l</w:t>
      </w:r>
      <w:r w:rsidRPr="00D374DF">
        <w:rPr>
          <w:rFonts w:ascii="Book Antiqua" w:eastAsia="Book Antiqua" w:hAnsi="Book Antiqua" w:cs="Book Antiqua"/>
          <w:color w:val="000000"/>
        </w:rPr>
        <w:t>iv.14730]</w:t>
      </w:r>
    </w:p>
    <w:p w14:paraId="03BDB01A" w14:textId="77777777" w:rsidR="00A77B3E" w:rsidRPr="00D374DF" w:rsidRDefault="00096DED">
      <w:pPr>
        <w:spacing w:line="360" w:lineRule="auto"/>
        <w:jc w:val="both"/>
      </w:pPr>
      <w:r w:rsidRPr="00D374DF">
        <w:rPr>
          <w:rFonts w:ascii="Book Antiqua" w:eastAsia="Book Antiqua" w:hAnsi="Book Antiqua" w:cs="Book Antiqua"/>
          <w:color w:val="000000"/>
        </w:rPr>
        <w:t xml:space="preserve">7 </w:t>
      </w:r>
      <w:r w:rsidRPr="00D374DF">
        <w:rPr>
          <w:rFonts w:ascii="Book Antiqua" w:eastAsia="Book Antiqua" w:hAnsi="Book Antiqua" w:cs="Book Antiqua"/>
          <w:b/>
          <w:bCs/>
          <w:color w:val="000000"/>
        </w:rPr>
        <w:t>McDermott CV</w:t>
      </w:r>
      <w:r w:rsidRPr="00D374DF">
        <w:rPr>
          <w:rFonts w:ascii="Book Antiqua" w:eastAsia="Book Antiqua" w:hAnsi="Book Antiqua" w:cs="Book Antiqua"/>
          <w:color w:val="000000"/>
        </w:rPr>
        <w:t xml:space="preserve">, Cox EJ, Scanlan JM, Alicic RZ. COVID-19 and Gastrointestinal Tract Symptoms: Recognition, Containment, and Learning From the Past. </w:t>
      </w:r>
      <w:r w:rsidRPr="00D374DF">
        <w:rPr>
          <w:rFonts w:ascii="Book Antiqua" w:eastAsia="Book Antiqua" w:hAnsi="Book Antiqua" w:cs="Book Antiqua"/>
          <w:i/>
          <w:iCs/>
          <w:color w:val="000000"/>
        </w:rPr>
        <w:t>Mayo Clin Proc</w:t>
      </w:r>
      <w:r w:rsidRPr="00D374DF">
        <w:rPr>
          <w:rFonts w:ascii="Book Antiqua" w:eastAsia="Book Antiqua" w:hAnsi="Book Antiqua" w:cs="Book Antiqua"/>
          <w:color w:val="000000"/>
        </w:rPr>
        <w:t xml:space="preserve"> 2020; </w:t>
      </w:r>
      <w:r w:rsidRPr="00D374DF">
        <w:rPr>
          <w:rFonts w:ascii="Book Antiqua" w:eastAsia="Book Antiqua" w:hAnsi="Book Antiqua" w:cs="Book Antiqua"/>
          <w:b/>
          <w:bCs/>
          <w:color w:val="000000"/>
        </w:rPr>
        <w:t>95</w:t>
      </w:r>
      <w:r w:rsidRPr="00D374DF">
        <w:rPr>
          <w:rFonts w:ascii="Book Antiqua" w:eastAsia="Book Antiqua" w:hAnsi="Book Antiqua" w:cs="Book Antiqua"/>
          <w:color w:val="000000"/>
        </w:rPr>
        <w:t>: 2320-2324 [PMID: 33153620 DOI: 10.1016/j.mayocp.2020.08.023]</w:t>
      </w:r>
    </w:p>
    <w:p w14:paraId="1F19863A" w14:textId="77777777" w:rsidR="00A77B3E" w:rsidRPr="00D374DF" w:rsidRDefault="00096DED">
      <w:pPr>
        <w:spacing w:line="360" w:lineRule="auto"/>
        <w:jc w:val="both"/>
      </w:pPr>
      <w:r w:rsidRPr="00D374DF">
        <w:rPr>
          <w:rFonts w:ascii="Book Antiqua" w:eastAsia="Book Antiqua" w:hAnsi="Book Antiqua" w:cs="Book Antiqua"/>
          <w:color w:val="000000"/>
        </w:rPr>
        <w:t xml:space="preserve">8 </w:t>
      </w:r>
      <w:r w:rsidRPr="00D374DF">
        <w:rPr>
          <w:rFonts w:ascii="Book Antiqua" w:eastAsia="Book Antiqua" w:hAnsi="Book Antiqua" w:cs="Book Antiqua"/>
          <w:b/>
          <w:bCs/>
          <w:color w:val="000000"/>
        </w:rPr>
        <w:t>Götzinger F</w:t>
      </w:r>
      <w:r w:rsidRPr="00D374DF">
        <w:rPr>
          <w:rFonts w:ascii="Book Antiqua" w:eastAsia="Book Antiqua" w:hAnsi="Book Antiqua" w:cs="Book Antiqua"/>
          <w:color w:val="000000"/>
        </w:rPr>
        <w:t xml:space="preserve">, Santiago-García B, Noguera-Julián A, Lanaspa M, Lancella L, Calò Carducci FI, Gabrovska N, Velizarova S, Prunk P, Osterman V, Krivec U, Lo Vecchio A, Shingadia D, Soriano-Arandes A, Melendo S, Lanari M, Pierantoni L, Wagner N, L'Huillier AG, Heininger U, Ritz N, Bandi S, Krajcar N, Roglić S, Santos M, Christiaens C, Creuven M, Buonsenso D, Welch SB, Bogyi M, Brinkmann F, Tebruegge M; ptbnet COVID-19 Study Group. COVID-19 in children and adolescents in Europe: a multinational, multicentre cohort study. </w:t>
      </w:r>
      <w:r w:rsidRPr="00D374DF">
        <w:rPr>
          <w:rFonts w:ascii="Book Antiqua" w:eastAsia="Book Antiqua" w:hAnsi="Book Antiqua" w:cs="Book Antiqua"/>
          <w:i/>
          <w:iCs/>
          <w:color w:val="000000"/>
        </w:rPr>
        <w:t>Lancet Child Adolesc Health</w:t>
      </w:r>
      <w:r w:rsidRPr="00D374DF">
        <w:rPr>
          <w:rFonts w:ascii="Book Antiqua" w:eastAsia="Book Antiqua" w:hAnsi="Book Antiqua" w:cs="Book Antiqua"/>
          <w:color w:val="000000"/>
        </w:rPr>
        <w:t xml:space="preserve"> 2020; </w:t>
      </w:r>
      <w:r w:rsidRPr="00D374DF">
        <w:rPr>
          <w:rFonts w:ascii="Book Antiqua" w:eastAsia="Book Antiqua" w:hAnsi="Book Antiqua" w:cs="Book Antiqua"/>
          <w:b/>
          <w:bCs/>
          <w:color w:val="000000"/>
        </w:rPr>
        <w:t>4</w:t>
      </w:r>
      <w:r w:rsidRPr="00D374DF">
        <w:rPr>
          <w:rFonts w:ascii="Book Antiqua" w:eastAsia="Book Antiqua" w:hAnsi="Book Antiqua" w:cs="Book Antiqua"/>
          <w:color w:val="000000"/>
        </w:rPr>
        <w:t>: 653-661 [PMID: 32593339 DOI: 10.1016/S2352-4642(20)30177-2]</w:t>
      </w:r>
    </w:p>
    <w:p w14:paraId="313F1C10" w14:textId="77777777" w:rsidR="00A77B3E" w:rsidRPr="00D374DF" w:rsidRDefault="00096DED">
      <w:pPr>
        <w:spacing w:line="360" w:lineRule="auto"/>
        <w:jc w:val="both"/>
      </w:pPr>
      <w:r w:rsidRPr="00D374DF">
        <w:rPr>
          <w:rFonts w:ascii="Book Antiqua" w:eastAsia="Book Antiqua" w:hAnsi="Book Antiqua" w:cs="Book Antiqua"/>
          <w:color w:val="000000"/>
        </w:rPr>
        <w:t xml:space="preserve">9 </w:t>
      </w:r>
      <w:r w:rsidRPr="00D374DF">
        <w:rPr>
          <w:rFonts w:ascii="Book Antiqua" w:eastAsia="Book Antiqua" w:hAnsi="Book Antiqua" w:cs="Book Antiqua"/>
          <w:b/>
          <w:bCs/>
          <w:color w:val="000000"/>
        </w:rPr>
        <w:t>Verrotti A</w:t>
      </w:r>
      <w:r w:rsidRPr="00D374DF">
        <w:rPr>
          <w:rFonts w:ascii="Book Antiqua" w:eastAsia="Book Antiqua" w:hAnsi="Book Antiqua" w:cs="Book Antiqua"/>
          <w:color w:val="000000"/>
        </w:rPr>
        <w:t xml:space="preserve">, Mazzocchetti C, Iannetti P. Definitive pathognomonic signs and symptoms of paediatric neurological COVID-19 are still emerging. </w:t>
      </w:r>
      <w:r w:rsidRPr="00D374DF">
        <w:rPr>
          <w:rFonts w:ascii="Book Antiqua" w:eastAsia="Book Antiqua" w:hAnsi="Book Antiqua" w:cs="Book Antiqua"/>
          <w:i/>
          <w:iCs/>
          <w:color w:val="000000"/>
        </w:rPr>
        <w:t>Acta Paediatr</w:t>
      </w:r>
      <w:r w:rsidRPr="00D374DF">
        <w:rPr>
          <w:rFonts w:ascii="Book Antiqua" w:eastAsia="Book Antiqua" w:hAnsi="Book Antiqua" w:cs="Book Antiqua"/>
          <w:color w:val="000000"/>
        </w:rPr>
        <w:t xml:space="preserve"> 2021; </w:t>
      </w:r>
      <w:r w:rsidRPr="00D374DF">
        <w:rPr>
          <w:rFonts w:ascii="Book Antiqua" w:eastAsia="Book Antiqua" w:hAnsi="Book Antiqua" w:cs="Book Antiqua"/>
          <w:b/>
          <w:bCs/>
          <w:color w:val="000000"/>
        </w:rPr>
        <w:t>110</w:t>
      </w:r>
      <w:r w:rsidRPr="00D374DF">
        <w:rPr>
          <w:rFonts w:ascii="Book Antiqua" w:eastAsia="Book Antiqua" w:hAnsi="Book Antiqua" w:cs="Book Antiqua"/>
          <w:color w:val="000000"/>
        </w:rPr>
        <w:t>: 1774-1777 [PMID: 33641209 DOI: 10.1111/apa.15827]</w:t>
      </w:r>
    </w:p>
    <w:p w14:paraId="5D24661B" w14:textId="77777777" w:rsidR="00A77B3E" w:rsidRPr="00D374DF" w:rsidRDefault="00096DED">
      <w:pPr>
        <w:spacing w:line="360" w:lineRule="auto"/>
        <w:jc w:val="both"/>
        <w:rPr>
          <w:lang w:eastAsia="zh-CN"/>
        </w:rPr>
      </w:pPr>
      <w:r w:rsidRPr="00D374DF">
        <w:rPr>
          <w:rFonts w:ascii="Book Antiqua" w:eastAsia="Book Antiqua" w:hAnsi="Book Antiqua" w:cs="Book Antiqua"/>
          <w:color w:val="000000"/>
        </w:rPr>
        <w:t xml:space="preserve">10 </w:t>
      </w:r>
      <w:r w:rsidRPr="00D374DF">
        <w:rPr>
          <w:rFonts w:ascii="Book Antiqua" w:eastAsia="Book Antiqua" w:hAnsi="Book Antiqua" w:cs="Book Antiqua"/>
          <w:b/>
          <w:color w:val="000000"/>
        </w:rPr>
        <w:t>CDC Health Alert Network</w:t>
      </w:r>
      <w:r w:rsidRPr="00D374DF">
        <w:rPr>
          <w:rFonts w:ascii="Book Antiqua" w:eastAsia="Book Antiqua" w:hAnsi="Book Antiqua" w:cs="Book Antiqua"/>
          <w:color w:val="000000"/>
        </w:rPr>
        <w:t xml:space="preserve">. Multisystem Inflammatory Syndrome in Children (MIS-C) Associated with Coronavirus Disease 2019 (COVID-19). </w:t>
      </w:r>
      <w:r w:rsidR="009644DF" w:rsidRPr="00D374DF">
        <w:rPr>
          <w:rFonts w:ascii="Book Antiqua" w:hAnsi="Book Antiqua" w:cs="Book Antiqua" w:hint="eastAsia"/>
          <w:color w:val="000000"/>
          <w:lang w:eastAsia="zh-CN"/>
        </w:rPr>
        <w:t>[cit</w:t>
      </w:r>
      <w:r w:rsidRPr="00D374DF">
        <w:rPr>
          <w:rFonts w:ascii="Book Antiqua" w:eastAsia="Book Antiqua" w:hAnsi="Book Antiqua" w:cs="Book Antiqua"/>
          <w:color w:val="000000"/>
        </w:rPr>
        <w:t>ed</w:t>
      </w:r>
      <w:r w:rsidR="009644DF" w:rsidRPr="00D374DF">
        <w:rPr>
          <w:rFonts w:ascii="Book Antiqua" w:hAnsi="Book Antiqua" w:cs="Book Antiqua" w:hint="eastAsia"/>
          <w:color w:val="000000"/>
          <w:lang w:eastAsia="zh-CN"/>
        </w:rPr>
        <w:t xml:space="preserve"> </w:t>
      </w:r>
      <w:r w:rsidRPr="00D374DF">
        <w:rPr>
          <w:rFonts w:ascii="Book Antiqua" w:eastAsia="Book Antiqua" w:hAnsi="Book Antiqua" w:cs="Book Antiqua"/>
          <w:color w:val="000000"/>
        </w:rPr>
        <w:t>14 May 2020</w:t>
      </w:r>
      <w:r w:rsidR="009644DF" w:rsidRPr="00D374DF">
        <w:rPr>
          <w:rFonts w:ascii="Book Antiqua" w:hAnsi="Book Antiqua" w:cs="Book Antiqua" w:hint="eastAsia"/>
          <w:color w:val="000000"/>
          <w:lang w:eastAsia="zh-CN"/>
        </w:rPr>
        <w:t>]</w:t>
      </w:r>
      <w:r w:rsidRPr="00D374DF">
        <w:rPr>
          <w:rFonts w:ascii="Book Antiqua" w:eastAsia="Book Antiqua" w:hAnsi="Book Antiqua" w:cs="Book Antiqua"/>
          <w:color w:val="000000"/>
        </w:rPr>
        <w:t xml:space="preserve">. </w:t>
      </w:r>
      <w:r w:rsidR="009644DF" w:rsidRPr="00D374DF">
        <w:rPr>
          <w:rFonts w:ascii="Book Antiqua" w:hAnsi="Book Antiqua" w:cs="Book Antiqua" w:hint="eastAsia"/>
          <w:color w:val="000000"/>
          <w:lang w:eastAsia="zh-CN"/>
        </w:rPr>
        <w:t xml:space="preserve">In: </w:t>
      </w:r>
      <w:r w:rsidR="009644DF" w:rsidRPr="00D374DF">
        <w:rPr>
          <w:rFonts w:ascii="Book Antiqua" w:hAnsi="Book Antiqua" w:cs="Book Antiqua"/>
          <w:color w:val="000000"/>
          <w:lang w:eastAsia="zh-CN"/>
        </w:rPr>
        <w:t xml:space="preserve">CDC Health Alert Network </w:t>
      </w:r>
      <w:r w:rsidR="009644DF" w:rsidRPr="00D374DF">
        <w:rPr>
          <w:rFonts w:ascii="Book Antiqua" w:hAnsi="Book Antiqua" w:cs="Book Antiqua" w:hint="eastAsia"/>
          <w:color w:val="000000"/>
          <w:lang w:eastAsia="zh-CN"/>
        </w:rPr>
        <w:t xml:space="preserve">[Internet]. </w:t>
      </w:r>
      <w:r w:rsidR="009644DF" w:rsidRPr="00D374DF">
        <w:rPr>
          <w:rFonts w:ascii="Book Antiqua" w:eastAsia="Book Antiqua" w:hAnsi="Book Antiqua" w:cs="Book Antiqua"/>
          <w:color w:val="000000"/>
        </w:rPr>
        <w:t xml:space="preserve">Available </w:t>
      </w:r>
      <w:r w:rsidR="009644DF" w:rsidRPr="00D374DF">
        <w:rPr>
          <w:rFonts w:ascii="Book Antiqua" w:hAnsi="Book Antiqua" w:cs="Book Antiqua" w:hint="eastAsia"/>
          <w:color w:val="000000"/>
          <w:lang w:eastAsia="zh-CN"/>
        </w:rPr>
        <w:t>from</w:t>
      </w:r>
      <w:r w:rsidR="009644DF" w:rsidRPr="00D374DF">
        <w:rPr>
          <w:rFonts w:ascii="Book Antiqua" w:eastAsia="Book Antiqua" w:hAnsi="Book Antiqua" w:cs="Book Antiqua"/>
          <w:color w:val="000000"/>
        </w:rPr>
        <w:t>: https://emergency.cdc.gov/han/2020/han00432.asp</w:t>
      </w:r>
    </w:p>
    <w:p w14:paraId="586E00E9" w14:textId="77777777" w:rsidR="00A77B3E" w:rsidRPr="00D374DF" w:rsidRDefault="00096DED">
      <w:pPr>
        <w:spacing w:line="360" w:lineRule="auto"/>
        <w:jc w:val="both"/>
      </w:pPr>
      <w:r w:rsidRPr="00D374DF">
        <w:rPr>
          <w:rFonts w:ascii="Book Antiqua" w:eastAsia="Book Antiqua" w:hAnsi="Book Antiqua" w:cs="Book Antiqua"/>
          <w:color w:val="000000"/>
        </w:rPr>
        <w:t xml:space="preserve">11 </w:t>
      </w:r>
      <w:r w:rsidRPr="00D374DF">
        <w:rPr>
          <w:rFonts w:ascii="Book Antiqua" w:eastAsia="Book Antiqua" w:hAnsi="Book Antiqua" w:cs="Book Antiqua"/>
          <w:b/>
          <w:bCs/>
          <w:color w:val="000000"/>
        </w:rPr>
        <w:t>Feldstein LR</w:t>
      </w:r>
      <w:r w:rsidRPr="00D374DF">
        <w:rPr>
          <w:rFonts w:ascii="Book Antiqua" w:eastAsia="Book Antiqua" w:hAnsi="Book Antiqua" w:cs="Book Antiqua"/>
          <w:color w:val="000000"/>
        </w:rPr>
        <w:t xml:space="preserve">, Tenforde MW, Friedman KG, Newhams M, Rose EB, Dapul H, Soma VL, Maddux AB, Mourani PM, Bowens C, Maamari M, Hall MW, Riggs BJ, Giuliano JS Jr, Singh AR, Li S, Kong M, Schuster JE, McLaughlin GE, Schwartz SP, Walker TC, Loftis LL, Hobbs CV, Halasa NB, Doymaz S, Babbitt CJ, Hume JR, Gertz SJ, Irby K, Clouser KN, Cvijanovich NZ, Bradford TT, Smith LS, Heidemann SM, Zackai SP, Wellnitz K, Nofziger </w:t>
      </w:r>
      <w:r w:rsidRPr="00D374DF">
        <w:rPr>
          <w:rFonts w:ascii="Book Antiqua" w:eastAsia="Book Antiqua" w:hAnsi="Book Antiqua" w:cs="Book Antiqua"/>
          <w:color w:val="000000"/>
        </w:rPr>
        <w:lastRenderedPageBreak/>
        <w:t xml:space="preserve">RA, Horwitz SM, Carroll RW, Rowan CM, Tarquinio KM, Mack EH, Fitzgerald JC, Coates BM, Jackson AM, Young CC, Son MBF, Patel MM, Newburger JW, Randolph AG; Overcoming COVID-19 Investigators. Characteristics and Outcomes of US Children and Adolescents With Multisystem Inflammatory Syndrome in Children (MIS-C) Compared With Severe Acute COVID-19. </w:t>
      </w:r>
      <w:r w:rsidRPr="00D374DF">
        <w:rPr>
          <w:rFonts w:ascii="Book Antiqua" w:eastAsia="Book Antiqua" w:hAnsi="Book Antiqua" w:cs="Book Antiqua"/>
          <w:i/>
          <w:iCs/>
          <w:color w:val="000000"/>
        </w:rPr>
        <w:t>JAMA</w:t>
      </w:r>
      <w:r w:rsidRPr="00D374DF">
        <w:rPr>
          <w:rFonts w:ascii="Book Antiqua" w:eastAsia="Book Antiqua" w:hAnsi="Book Antiqua" w:cs="Book Antiqua"/>
          <w:color w:val="000000"/>
        </w:rPr>
        <w:t xml:space="preserve"> 2021; </w:t>
      </w:r>
      <w:r w:rsidRPr="00D374DF">
        <w:rPr>
          <w:rFonts w:ascii="Book Antiqua" w:eastAsia="Book Antiqua" w:hAnsi="Book Antiqua" w:cs="Book Antiqua"/>
          <w:b/>
          <w:bCs/>
          <w:color w:val="000000"/>
        </w:rPr>
        <w:t>325</w:t>
      </w:r>
      <w:r w:rsidRPr="00D374DF">
        <w:rPr>
          <w:rFonts w:ascii="Book Antiqua" w:eastAsia="Book Antiqua" w:hAnsi="Book Antiqua" w:cs="Book Antiqua"/>
          <w:color w:val="000000"/>
        </w:rPr>
        <w:t>: 1074-1087 [PMID: 33625505 DOI: 10.1001/jama.2021.2091]</w:t>
      </w:r>
    </w:p>
    <w:p w14:paraId="0F25C217" w14:textId="77777777" w:rsidR="00A77B3E" w:rsidRPr="00D374DF" w:rsidRDefault="00096DED">
      <w:pPr>
        <w:spacing w:line="360" w:lineRule="auto"/>
        <w:jc w:val="both"/>
      </w:pPr>
      <w:r w:rsidRPr="00D374DF">
        <w:rPr>
          <w:rFonts w:ascii="Book Antiqua" w:eastAsia="Book Antiqua" w:hAnsi="Book Antiqua" w:cs="Book Antiqua"/>
          <w:color w:val="000000"/>
        </w:rPr>
        <w:t xml:space="preserve">12 </w:t>
      </w:r>
      <w:r w:rsidRPr="00D374DF">
        <w:rPr>
          <w:rFonts w:ascii="Book Antiqua" w:eastAsia="Book Antiqua" w:hAnsi="Book Antiqua" w:cs="Book Antiqua"/>
          <w:b/>
          <w:bCs/>
          <w:color w:val="000000"/>
        </w:rPr>
        <w:t>Khesrani LS</w:t>
      </w:r>
      <w:r w:rsidRPr="00D374DF">
        <w:rPr>
          <w:rFonts w:ascii="Book Antiqua" w:eastAsia="Book Antiqua" w:hAnsi="Book Antiqua" w:cs="Book Antiqua"/>
          <w:color w:val="000000"/>
        </w:rPr>
        <w:t xml:space="preserve">, Chana K, Sadar FZ, Dahdouh A, Ladjadj Y, Bouguermouh D. Intestinal ischemia secondary to Covid-19. </w:t>
      </w:r>
      <w:r w:rsidRPr="00D374DF">
        <w:rPr>
          <w:rFonts w:ascii="Book Antiqua" w:eastAsia="Book Antiqua" w:hAnsi="Book Antiqua" w:cs="Book Antiqua"/>
          <w:i/>
          <w:iCs/>
          <w:color w:val="000000"/>
        </w:rPr>
        <w:t>J Pediatr Surg Case Rep</w:t>
      </w:r>
      <w:r w:rsidRPr="00D374DF">
        <w:rPr>
          <w:rFonts w:ascii="Book Antiqua" w:eastAsia="Book Antiqua" w:hAnsi="Book Antiqua" w:cs="Book Antiqua"/>
          <w:color w:val="000000"/>
        </w:rPr>
        <w:t xml:space="preserve"> 2020; </w:t>
      </w:r>
      <w:r w:rsidRPr="00D374DF">
        <w:rPr>
          <w:rFonts w:ascii="Book Antiqua" w:eastAsia="Book Antiqua" w:hAnsi="Book Antiqua" w:cs="Book Antiqua"/>
          <w:b/>
          <w:bCs/>
          <w:color w:val="000000"/>
        </w:rPr>
        <w:t>61</w:t>
      </w:r>
      <w:r w:rsidRPr="00D374DF">
        <w:rPr>
          <w:rFonts w:ascii="Book Antiqua" w:eastAsia="Book Antiqua" w:hAnsi="Book Antiqua" w:cs="Book Antiqua"/>
          <w:color w:val="000000"/>
        </w:rPr>
        <w:t>: 101604 [PMID: 32839689 DOI: 10.1016/j.epsc.2020.101604]</w:t>
      </w:r>
    </w:p>
    <w:p w14:paraId="36939EDC" w14:textId="77777777" w:rsidR="00A77B3E" w:rsidRPr="00D374DF" w:rsidRDefault="00096DED">
      <w:pPr>
        <w:spacing w:line="360" w:lineRule="auto"/>
        <w:jc w:val="both"/>
      </w:pPr>
      <w:r w:rsidRPr="00D374DF">
        <w:rPr>
          <w:rFonts w:ascii="Book Antiqua" w:eastAsia="Book Antiqua" w:hAnsi="Book Antiqua" w:cs="Book Antiqua"/>
          <w:color w:val="000000"/>
        </w:rPr>
        <w:t xml:space="preserve">13 </w:t>
      </w:r>
      <w:r w:rsidRPr="00D374DF">
        <w:rPr>
          <w:rFonts w:ascii="Book Antiqua" w:eastAsia="Book Antiqua" w:hAnsi="Book Antiqua" w:cs="Book Antiqua"/>
          <w:b/>
          <w:bCs/>
          <w:color w:val="000000"/>
        </w:rPr>
        <w:t>Hwang M</w:t>
      </w:r>
      <w:r w:rsidRPr="00D374DF">
        <w:rPr>
          <w:rFonts w:ascii="Book Antiqua" w:eastAsia="Book Antiqua" w:hAnsi="Book Antiqua" w:cs="Book Antiqua"/>
          <w:color w:val="000000"/>
        </w:rPr>
        <w:t xml:space="preserve">, Wilson K, Wendt L, Pohlman J, Densmore E, Kaeppler C, Van Arendonk K, Yale S. The Great Gut Mimicker: A case report of MIS-C and appendicitis clinical presentation overlap in a teenage patient. </w:t>
      </w:r>
      <w:r w:rsidRPr="00D374DF">
        <w:rPr>
          <w:rFonts w:ascii="Book Antiqua" w:eastAsia="Book Antiqua" w:hAnsi="Book Antiqua" w:cs="Book Antiqua"/>
          <w:i/>
          <w:iCs/>
          <w:color w:val="000000"/>
        </w:rPr>
        <w:t>BMC Pediatr</w:t>
      </w:r>
      <w:r w:rsidRPr="00D374DF">
        <w:rPr>
          <w:rFonts w:ascii="Book Antiqua" w:eastAsia="Book Antiqua" w:hAnsi="Book Antiqua" w:cs="Book Antiqua"/>
          <w:color w:val="000000"/>
        </w:rPr>
        <w:t xml:space="preserve"> 2021; </w:t>
      </w:r>
      <w:r w:rsidRPr="00D374DF">
        <w:rPr>
          <w:rFonts w:ascii="Book Antiqua" w:eastAsia="Book Antiqua" w:hAnsi="Book Antiqua" w:cs="Book Antiqua"/>
          <w:b/>
          <w:bCs/>
          <w:color w:val="000000"/>
        </w:rPr>
        <w:t>21</w:t>
      </w:r>
      <w:r w:rsidRPr="00D374DF">
        <w:rPr>
          <w:rFonts w:ascii="Book Antiqua" w:eastAsia="Book Antiqua" w:hAnsi="Book Antiqua" w:cs="Book Antiqua"/>
          <w:color w:val="000000"/>
        </w:rPr>
        <w:t>: 258 [PMID: 34074244 DOI: 10.1186/s12887-021-02724-x]</w:t>
      </w:r>
    </w:p>
    <w:p w14:paraId="584221BB" w14:textId="77777777" w:rsidR="00A77B3E" w:rsidRPr="00D374DF" w:rsidRDefault="00096DED">
      <w:pPr>
        <w:spacing w:line="360" w:lineRule="auto"/>
        <w:jc w:val="both"/>
      </w:pPr>
      <w:r w:rsidRPr="00D374DF">
        <w:rPr>
          <w:rFonts w:ascii="Book Antiqua" w:eastAsia="Book Antiqua" w:hAnsi="Book Antiqua" w:cs="Book Antiqua"/>
          <w:color w:val="000000"/>
        </w:rPr>
        <w:t xml:space="preserve">14 </w:t>
      </w:r>
      <w:r w:rsidRPr="00D374DF">
        <w:rPr>
          <w:rFonts w:ascii="Book Antiqua" w:eastAsia="Book Antiqua" w:hAnsi="Book Antiqua" w:cs="Book Antiqua"/>
          <w:b/>
          <w:bCs/>
          <w:color w:val="000000"/>
        </w:rPr>
        <w:t>Morparia K</w:t>
      </w:r>
      <w:r w:rsidRPr="00D374DF">
        <w:rPr>
          <w:rFonts w:ascii="Book Antiqua" w:eastAsia="Book Antiqua" w:hAnsi="Book Antiqua" w:cs="Book Antiqua"/>
          <w:color w:val="000000"/>
        </w:rPr>
        <w:t xml:space="preserve">, Park MJ, Kalyanaraman M, McQueen D, Bergel M, Phatak T. Abdominal Imaging Findings in Critically Ill Children With Multisystem Inflammatory Syndrome Associated With COVID-19. </w:t>
      </w:r>
      <w:r w:rsidRPr="00D374DF">
        <w:rPr>
          <w:rFonts w:ascii="Book Antiqua" w:eastAsia="Book Antiqua" w:hAnsi="Book Antiqua" w:cs="Book Antiqua"/>
          <w:i/>
          <w:iCs/>
          <w:color w:val="000000"/>
        </w:rPr>
        <w:t>Pediatr Infect Dis J</w:t>
      </w:r>
      <w:r w:rsidRPr="00D374DF">
        <w:rPr>
          <w:rFonts w:ascii="Book Antiqua" w:eastAsia="Book Antiqua" w:hAnsi="Book Antiqua" w:cs="Book Antiqua"/>
          <w:color w:val="000000"/>
        </w:rPr>
        <w:t xml:space="preserve"> 2021; </w:t>
      </w:r>
      <w:r w:rsidRPr="00D374DF">
        <w:rPr>
          <w:rFonts w:ascii="Book Antiqua" w:eastAsia="Book Antiqua" w:hAnsi="Book Antiqua" w:cs="Book Antiqua"/>
          <w:b/>
          <w:bCs/>
          <w:color w:val="000000"/>
        </w:rPr>
        <w:t>40</w:t>
      </w:r>
      <w:r w:rsidRPr="00D374DF">
        <w:rPr>
          <w:rFonts w:ascii="Book Antiqua" w:eastAsia="Book Antiqua" w:hAnsi="Book Antiqua" w:cs="Book Antiqua"/>
          <w:color w:val="000000"/>
        </w:rPr>
        <w:t>: e82-e83 [PMID: 33298763 DOI: 10.1097/INF.0000000000002967]</w:t>
      </w:r>
    </w:p>
    <w:p w14:paraId="7C14EB88" w14:textId="77777777" w:rsidR="00A77B3E" w:rsidRPr="00D374DF" w:rsidRDefault="00096DED">
      <w:pPr>
        <w:spacing w:line="360" w:lineRule="auto"/>
        <w:jc w:val="both"/>
      </w:pPr>
      <w:r w:rsidRPr="00D374DF">
        <w:rPr>
          <w:rFonts w:ascii="Book Antiqua" w:eastAsia="Book Antiqua" w:hAnsi="Book Antiqua" w:cs="Book Antiqua"/>
          <w:color w:val="000000"/>
        </w:rPr>
        <w:t xml:space="preserve">15 </w:t>
      </w:r>
      <w:r w:rsidRPr="00D374DF">
        <w:rPr>
          <w:rFonts w:ascii="Book Antiqua" w:eastAsia="Book Antiqua" w:hAnsi="Book Antiqua" w:cs="Book Antiqua"/>
          <w:b/>
          <w:bCs/>
          <w:color w:val="000000"/>
        </w:rPr>
        <w:t>Sica R</w:t>
      </w:r>
      <w:r w:rsidRPr="00D374DF">
        <w:rPr>
          <w:rFonts w:ascii="Book Antiqua" w:eastAsia="Book Antiqua" w:hAnsi="Book Antiqua" w:cs="Book Antiqua"/>
          <w:color w:val="000000"/>
        </w:rPr>
        <w:t xml:space="preserve">, Pennoni S, Penta L, Di Cara G, Verrotti A. New Onset of Hepatic Steatosis Post-Severe Multisystem Inflammatory Syndrome in Children (MIS-C): A Case Report. </w:t>
      </w:r>
      <w:r w:rsidRPr="00D374DF">
        <w:rPr>
          <w:rFonts w:ascii="Book Antiqua" w:eastAsia="Book Antiqua" w:hAnsi="Book Antiqua" w:cs="Book Antiqua"/>
          <w:i/>
          <w:iCs/>
          <w:color w:val="000000"/>
        </w:rPr>
        <w:t>Int J Environ Res Public Health</w:t>
      </w:r>
      <w:r w:rsidRPr="00D374DF">
        <w:rPr>
          <w:rFonts w:ascii="Book Antiqua" w:eastAsia="Book Antiqua" w:hAnsi="Book Antiqua" w:cs="Book Antiqua"/>
          <w:color w:val="000000"/>
        </w:rPr>
        <w:t xml:space="preserve"> 2021; </w:t>
      </w:r>
      <w:r w:rsidRPr="00D374DF">
        <w:rPr>
          <w:rFonts w:ascii="Book Antiqua" w:eastAsia="Book Antiqua" w:hAnsi="Book Antiqua" w:cs="Book Antiqua"/>
          <w:b/>
          <w:bCs/>
          <w:color w:val="000000"/>
        </w:rPr>
        <w:t>18</w:t>
      </w:r>
      <w:r w:rsidRPr="00D374DF">
        <w:rPr>
          <w:rFonts w:ascii="Book Antiqua" w:eastAsia="Book Antiqua" w:hAnsi="Book Antiqua" w:cs="Book Antiqua"/>
          <w:color w:val="000000"/>
        </w:rPr>
        <w:t xml:space="preserve"> [PMID: 34209719 DOI: 10.3390/ijerph18136961]</w:t>
      </w:r>
    </w:p>
    <w:p w14:paraId="499CB020" w14:textId="77777777" w:rsidR="00A77B3E" w:rsidRPr="00D374DF" w:rsidRDefault="00A77B3E">
      <w:pPr>
        <w:spacing w:line="360" w:lineRule="auto"/>
        <w:jc w:val="both"/>
        <w:sectPr w:rsidR="00A77B3E" w:rsidRPr="00D374DF">
          <w:pgSz w:w="12240" w:h="15840"/>
          <w:pgMar w:top="1440" w:right="1440" w:bottom="1440" w:left="1440" w:header="720" w:footer="720" w:gutter="0"/>
          <w:cols w:space="720"/>
          <w:docGrid w:linePitch="360"/>
        </w:sectPr>
      </w:pPr>
    </w:p>
    <w:p w14:paraId="1B1D8EDF" w14:textId="77777777" w:rsidR="00A77B3E" w:rsidRPr="00D374DF" w:rsidRDefault="00096DED">
      <w:pPr>
        <w:spacing w:line="360" w:lineRule="auto"/>
        <w:jc w:val="both"/>
      </w:pPr>
      <w:r w:rsidRPr="00D374DF">
        <w:rPr>
          <w:rFonts w:ascii="Book Antiqua" w:eastAsia="Book Antiqua" w:hAnsi="Book Antiqua" w:cs="Book Antiqua"/>
          <w:b/>
          <w:color w:val="000000"/>
        </w:rPr>
        <w:lastRenderedPageBreak/>
        <w:t>Footnotes</w:t>
      </w:r>
    </w:p>
    <w:p w14:paraId="57FED348" w14:textId="77777777" w:rsidR="00A77B3E" w:rsidRPr="00D374DF" w:rsidRDefault="00096DED">
      <w:pPr>
        <w:spacing w:line="360" w:lineRule="auto"/>
        <w:jc w:val="both"/>
      </w:pPr>
      <w:r w:rsidRPr="00D374DF">
        <w:rPr>
          <w:rFonts w:ascii="Book Antiqua" w:eastAsia="Book Antiqua" w:hAnsi="Book Antiqua" w:cs="Book Antiqua"/>
          <w:b/>
          <w:bCs/>
          <w:color w:val="000000"/>
        </w:rPr>
        <w:t xml:space="preserve">Conflict-of-interest statement: </w:t>
      </w:r>
      <w:r w:rsidRPr="00D374DF">
        <w:rPr>
          <w:rFonts w:ascii="Book Antiqua" w:eastAsia="Book Antiqua" w:hAnsi="Book Antiqua" w:cs="Book Antiqua"/>
          <w:color w:val="000000"/>
        </w:rPr>
        <w:t>The authors declare no conflict of interest.</w:t>
      </w:r>
    </w:p>
    <w:p w14:paraId="65FC5BED" w14:textId="77777777" w:rsidR="00A77B3E" w:rsidRPr="00D374DF" w:rsidRDefault="00A77B3E">
      <w:pPr>
        <w:spacing w:line="360" w:lineRule="auto"/>
        <w:jc w:val="both"/>
      </w:pPr>
    </w:p>
    <w:p w14:paraId="1D5F8D15" w14:textId="77777777" w:rsidR="00A77B3E" w:rsidRPr="00D374DF" w:rsidRDefault="00096DED">
      <w:pPr>
        <w:spacing w:line="360" w:lineRule="auto"/>
        <w:jc w:val="both"/>
      </w:pPr>
      <w:r w:rsidRPr="00D374DF">
        <w:rPr>
          <w:rFonts w:ascii="Book Antiqua" w:eastAsia="Book Antiqua" w:hAnsi="Book Antiqua" w:cs="Book Antiqua"/>
          <w:b/>
          <w:bCs/>
          <w:color w:val="000000"/>
        </w:rPr>
        <w:t xml:space="preserve">Open-Access: </w:t>
      </w:r>
      <w:r w:rsidRPr="00D374D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B42D60" w14:textId="77777777" w:rsidR="00A77B3E" w:rsidRPr="00D374DF" w:rsidRDefault="00A77B3E">
      <w:pPr>
        <w:spacing w:line="360" w:lineRule="auto"/>
        <w:jc w:val="both"/>
      </w:pPr>
    </w:p>
    <w:p w14:paraId="1C3DB869" w14:textId="77777777" w:rsidR="00A77B3E" w:rsidRPr="00D374DF" w:rsidRDefault="00096DED">
      <w:pPr>
        <w:spacing w:line="360" w:lineRule="auto"/>
        <w:jc w:val="both"/>
      </w:pPr>
      <w:r w:rsidRPr="00D374DF">
        <w:rPr>
          <w:rFonts w:ascii="Book Antiqua" w:eastAsia="Book Antiqua" w:hAnsi="Book Antiqua" w:cs="Book Antiqua"/>
          <w:b/>
          <w:color w:val="000000"/>
        </w:rPr>
        <w:t xml:space="preserve">Manuscript source: </w:t>
      </w:r>
      <w:r w:rsidRPr="00D374DF">
        <w:rPr>
          <w:rFonts w:ascii="Book Antiqua" w:eastAsia="Book Antiqua" w:hAnsi="Book Antiqua" w:cs="Book Antiqua"/>
          <w:color w:val="000000"/>
        </w:rPr>
        <w:t xml:space="preserve">Unsolicited </w:t>
      </w:r>
      <w:r w:rsidR="009644DF" w:rsidRPr="00D374DF">
        <w:rPr>
          <w:rFonts w:ascii="Book Antiqua" w:hAnsi="Book Antiqua" w:cs="Book Antiqua" w:hint="eastAsia"/>
          <w:color w:val="000000"/>
          <w:lang w:eastAsia="zh-CN"/>
        </w:rPr>
        <w:t>m</w:t>
      </w:r>
      <w:r w:rsidRPr="00D374DF">
        <w:rPr>
          <w:rFonts w:ascii="Book Antiqua" w:eastAsia="Book Antiqua" w:hAnsi="Book Antiqua" w:cs="Book Antiqua"/>
          <w:color w:val="000000"/>
        </w:rPr>
        <w:t>anuscript</w:t>
      </w:r>
    </w:p>
    <w:p w14:paraId="06D8436E" w14:textId="77777777" w:rsidR="00A77B3E" w:rsidRPr="00D374DF" w:rsidRDefault="00A77B3E">
      <w:pPr>
        <w:spacing w:line="360" w:lineRule="auto"/>
        <w:jc w:val="both"/>
      </w:pPr>
    </w:p>
    <w:p w14:paraId="319F77AD" w14:textId="77777777" w:rsidR="00A77B3E" w:rsidRPr="00D374DF" w:rsidRDefault="00096DED">
      <w:pPr>
        <w:spacing w:line="360" w:lineRule="auto"/>
        <w:jc w:val="both"/>
      </w:pPr>
      <w:r w:rsidRPr="00D374DF">
        <w:rPr>
          <w:rFonts w:ascii="Book Antiqua" w:eastAsia="Book Antiqua" w:hAnsi="Book Antiqua" w:cs="Book Antiqua"/>
          <w:b/>
          <w:color w:val="000000"/>
        </w:rPr>
        <w:t xml:space="preserve">Peer-review started: </w:t>
      </w:r>
      <w:r w:rsidRPr="00D374DF">
        <w:rPr>
          <w:rFonts w:ascii="Book Antiqua" w:eastAsia="Book Antiqua" w:hAnsi="Book Antiqua" w:cs="Book Antiqua"/>
          <w:color w:val="000000"/>
        </w:rPr>
        <w:t>August 5, 2021</w:t>
      </w:r>
    </w:p>
    <w:p w14:paraId="4DBF01D6" w14:textId="77777777" w:rsidR="00A77B3E" w:rsidRPr="00D374DF" w:rsidRDefault="00096DED">
      <w:pPr>
        <w:spacing w:line="360" w:lineRule="auto"/>
        <w:jc w:val="both"/>
      </w:pPr>
      <w:r w:rsidRPr="00D374DF">
        <w:rPr>
          <w:rFonts w:ascii="Book Antiqua" w:eastAsia="Book Antiqua" w:hAnsi="Book Antiqua" w:cs="Book Antiqua"/>
          <w:b/>
          <w:color w:val="000000"/>
        </w:rPr>
        <w:t xml:space="preserve">First decision: </w:t>
      </w:r>
      <w:r w:rsidRPr="00D374DF">
        <w:rPr>
          <w:rFonts w:ascii="Book Antiqua" w:eastAsia="Book Antiqua" w:hAnsi="Book Antiqua" w:cs="Book Antiqua"/>
          <w:color w:val="000000"/>
        </w:rPr>
        <w:t>August 19, 2021</w:t>
      </w:r>
    </w:p>
    <w:p w14:paraId="33B64E5A" w14:textId="17456603" w:rsidR="00A77B3E" w:rsidRPr="00D374DF" w:rsidRDefault="00096DED">
      <w:pPr>
        <w:spacing w:line="360" w:lineRule="auto"/>
        <w:jc w:val="both"/>
      </w:pPr>
      <w:r w:rsidRPr="00D374DF">
        <w:rPr>
          <w:rFonts w:ascii="Book Antiqua" w:eastAsia="Book Antiqua" w:hAnsi="Book Antiqua" w:cs="Book Antiqua"/>
          <w:b/>
          <w:color w:val="000000"/>
        </w:rPr>
        <w:t xml:space="preserve">Article in press: </w:t>
      </w:r>
      <w:r w:rsidR="006671C0" w:rsidRPr="00D374DF">
        <w:rPr>
          <w:rFonts w:ascii="Book Antiqua" w:eastAsia="Book Antiqua" w:hAnsi="Book Antiqua" w:cs="Book Antiqua"/>
          <w:color w:val="000000"/>
        </w:rPr>
        <w:t>September 15, 2021</w:t>
      </w:r>
    </w:p>
    <w:p w14:paraId="73E8A3D7" w14:textId="77777777" w:rsidR="00A77B3E" w:rsidRPr="00D374DF" w:rsidRDefault="00A77B3E">
      <w:pPr>
        <w:spacing w:line="360" w:lineRule="auto"/>
        <w:jc w:val="both"/>
      </w:pPr>
    </w:p>
    <w:p w14:paraId="3EE26472" w14:textId="77777777" w:rsidR="00A77B3E" w:rsidRPr="00D374DF" w:rsidRDefault="00096DED">
      <w:pPr>
        <w:spacing w:line="360" w:lineRule="auto"/>
        <w:jc w:val="both"/>
      </w:pPr>
      <w:r w:rsidRPr="00D374DF">
        <w:rPr>
          <w:rFonts w:ascii="Book Antiqua" w:eastAsia="Book Antiqua" w:hAnsi="Book Antiqua" w:cs="Book Antiqua"/>
          <w:b/>
          <w:color w:val="000000"/>
        </w:rPr>
        <w:t xml:space="preserve">Specialty type: </w:t>
      </w:r>
      <w:r w:rsidR="009644DF" w:rsidRPr="00D374DF">
        <w:rPr>
          <w:rFonts w:ascii="Book Antiqua" w:eastAsia="Book Antiqua" w:hAnsi="Book Antiqua" w:cs="Book Antiqua"/>
          <w:color w:val="000000"/>
        </w:rPr>
        <w:t>Medicine, research and experimental</w:t>
      </w:r>
    </w:p>
    <w:p w14:paraId="0E342E47" w14:textId="77777777" w:rsidR="00A77B3E" w:rsidRPr="00D374DF" w:rsidRDefault="00096DED">
      <w:pPr>
        <w:spacing w:line="360" w:lineRule="auto"/>
        <w:jc w:val="both"/>
      </w:pPr>
      <w:r w:rsidRPr="00D374DF">
        <w:rPr>
          <w:rFonts w:ascii="Book Antiqua" w:eastAsia="Book Antiqua" w:hAnsi="Book Antiqua" w:cs="Book Antiqua"/>
          <w:b/>
          <w:color w:val="000000"/>
        </w:rPr>
        <w:t xml:space="preserve">Country/Territory of origin: </w:t>
      </w:r>
      <w:r w:rsidRPr="00D374DF">
        <w:rPr>
          <w:rFonts w:ascii="Book Antiqua" w:eastAsia="Book Antiqua" w:hAnsi="Book Antiqua" w:cs="Book Antiqua"/>
          <w:color w:val="000000"/>
        </w:rPr>
        <w:t>Italy</w:t>
      </w:r>
    </w:p>
    <w:p w14:paraId="02E00A80" w14:textId="77777777" w:rsidR="00A77B3E" w:rsidRPr="00D374DF" w:rsidRDefault="00096DED">
      <w:pPr>
        <w:spacing w:line="360" w:lineRule="auto"/>
        <w:jc w:val="both"/>
      </w:pPr>
      <w:r w:rsidRPr="00D374DF">
        <w:rPr>
          <w:rFonts w:ascii="Book Antiqua" w:eastAsia="Book Antiqua" w:hAnsi="Book Antiqua" w:cs="Book Antiqua"/>
          <w:b/>
          <w:color w:val="000000"/>
        </w:rPr>
        <w:t>Peer-review report’s scientific quality classification</w:t>
      </w:r>
    </w:p>
    <w:p w14:paraId="67FF8685" w14:textId="77777777" w:rsidR="00A77B3E" w:rsidRPr="00D374DF" w:rsidRDefault="00096DED">
      <w:pPr>
        <w:spacing w:line="360" w:lineRule="auto"/>
        <w:jc w:val="both"/>
      </w:pPr>
      <w:r w:rsidRPr="00D374DF">
        <w:rPr>
          <w:rFonts w:ascii="Book Antiqua" w:eastAsia="Book Antiqua" w:hAnsi="Book Antiqua" w:cs="Book Antiqua"/>
          <w:color w:val="000000"/>
        </w:rPr>
        <w:t>Grade A (Excellent): 0</w:t>
      </w:r>
    </w:p>
    <w:p w14:paraId="50D89B19" w14:textId="77777777" w:rsidR="00A77B3E" w:rsidRPr="00D374DF" w:rsidRDefault="00096DED">
      <w:pPr>
        <w:spacing w:line="360" w:lineRule="auto"/>
        <w:jc w:val="both"/>
      </w:pPr>
      <w:r w:rsidRPr="00D374DF">
        <w:rPr>
          <w:rFonts w:ascii="Book Antiqua" w:eastAsia="Book Antiqua" w:hAnsi="Book Antiqua" w:cs="Book Antiqua"/>
          <w:color w:val="000000"/>
        </w:rPr>
        <w:t>Grade B (Very good): 0</w:t>
      </w:r>
    </w:p>
    <w:p w14:paraId="20C2E573" w14:textId="77777777" w:rsidR="00A77B3E" w:rsidRPr="00D374DF" w:rsidRDefault="00096DED">
      <w:pPr>
        <w:spacing w:line="360" w:lineRule="auto"/>
        <w:jc w:val="both"/>
      </w:pPr>
      <w:r w:rsidRPr="00D374DF">
        <w:rPr>
          <w:rFonts w:ascii="Book Antiqua" w:eastAsia="Book Antiqua" w:hAnsi="Book Antiqua" w:cs="Book Antiqua"/>
          <w:color w:val="000000"/>
        </w:rPr>
        <w:t>Grade C (Good): C, C</w:t>
      </w:r>
    </w:p>
    <w:p w14:paraId="6FE93EAC" w14:textId="77777777" w:rsidR="00A77B3E" w:rsidRPr="00D374DF" w:rsidRDefault="00096DED">
      <w:pPr>
        <w:spacing w:line="360" w:lineRule="auto"/>
        <w:jc w:val="both"/>
      </w:pPr>
      <w:r w:rsidRPr="00D374DF">
        <w:rPr>
          <w:rFonts w:ascii="Book Antiqua" w:eastAsia="Book Antiqua" w:hAnsi="Book Antiqua" w:cs="Book Antiqua"/>
          <w:color w:val="000000"/>
        </w:rPr>
        <w:t>Grade D (Fair): 0</w:t>
      </w:r>
    </w:p>
    <w:p w14:paraId="62163AC7" w14:textId="77777777" w:rsidR="00A77B3E" w:rsidRPr="00D374DF" w:rsidRDefault="00096DED">
      <w:pPr>
        <w:spacing w:line="360" w:lineRule="auto"/>
        <w:jc w:val="both"/>
      </w:pPr>
      <w:r w:rsidRPr="00D374DF">
        <w:rPr>
          <w:rFonts w:ascii="Book Antiqua" w:eastAsia="Book Antiqua" w:hAnsi="Book Antiqua" w:cs="Book Antiqua"/>
          <w:color w:val="000000"/>
        </w:rPr>
        <w:t>Grade E (Poor): 0</w:t>
      </w:r>
    </w:p>
    <w:p w14:paraId="09D9CC86" w14:textId="77777777" w:rsidR="00A77B3E" w:rsidRPr="00D374DF" w:rsidRDefault="00A77B3E">
      <w:pPr>
        <w:spacing w:line="360" w:lineRule="auto"/>
        <w:jc w:val="both"/>
      </w:pPr>
    </w:p>
    <w:p w14:paraId="0387D732" w14:textId="235DEF29" w:rsidR="005616F8" w:rsidRDefault="00096DED">
      <w:pPr>
        <w:spacing w:line="360" w:lineRule="auto"/>
        <w:jc w:val="both"/>
        <w:rPr>
          <w:rFonts w:ascii="Book Antiqua" w:eastAsia="Book Antiqua" w:hAnsi="Book Antiqua" w:cs="Book Antiqua"/>
          <w:bCs/>
          <w:color w:val="000000"/>
        </w:rPr>
      </w:pPr>
      <w:r w:rsidRPr="00D374DF">
        <w:rPr>
          <w:rFonts w:ascii="Book Antiqua" w:eastAsia="Book Antiqua" w:hAnsi="Book Antiqua" w:cs="Book Antiqua"/>
          <w:b/>
          <w:color w:val="000000"/>
        </w:rPr>
        <w:t xml:space="preserve">P-Reviewer: </w:t>
      </w:r>
      <w:r w:rsidRPr="00D374DF">
        <w:rPr>
          <w:rFonts w:ascii="Book Antiqua" w:eastAsia="Book Antiqua" w:hAnsi="Book Antiqua" w:cs="Book Antiqua"/>
          <w:color w:val="000000"/>
        </w:rPr>
        <w:t>Freij BJ, Nabil A</w:t>
      </w:r>
      <w:r w:rsidRPr="00D374DF">
        <w:rPr>
          <w:rFonts w:ascii="Book Antiqua" w:eastAsia="Book Antiqua" w:hAnsi="Book Antiqua" w:cs="Book Antiqua"/>
          <w:b/>
          <w:color w:val="000000"/>
        </w:rPr>
        <w:t xml:space="preserve"> S-Editor: </w:t>
      </w:r>
      <w:r w:rsidRPr="00D374DF">
        <w:rPr>
          <w:rFonts w:ascii="Book Antiqua" w:eastAsia="Book Antiqua" w:hAnsi="Book Antiqua" w:cs="Book Antiqua"/>
          <w:color w:val="000000"/>
        </w:rPr>
        <w:t>Gao CC</w:t>
      </w:r>
      <w:r w:rsidRPr="00D374DF">
        <w:rPr>
          <w:rFonts w:ascii="Book Antiqua" w:eastAsia="Book Antiqua" w:hAnsi="Book Antiqua" w:cs="Book Antiqua"/>
          <w:b/>
          <w:color w:val="000000"/>
        </w:rPr>
        <w:t xml:space="preserve"> L-Editor: </w:t>
      </w:r>
      <w:r w:rsidR="00C17751" w:rsidRPr="00D374DF">
        <w:rPr>
          <w:rFonts w:ascii="Book Antiqua" w:eastAsia="Book Antiqua" w:hAnsi="Book Antiqua" w:cs="Book Antiqua"/>
          <w:bCs/>
          <w:color w:val="000000"/>
        </w:rPr>
        <w:t>A</w:t>
      </w:r>
      <w:r w:rsidRPr="00D374DF">
        <w:rPr>
          <w:rFonts w:ascii="Book Antiqua" w:eastAsia="Book Antiqua" w:hAnsi="Book Antiqua" w:cs="Book Antiqua"/>
          <w:b/>
          <w:color w:val="000000"/>
        </w:rPr>
        <w:t xml:space="preserve"> P-Editor:</w:t>
      </w:r>
      <w:r w:rsidRPr="00D374DF">
        <w:rPr>
          <w:rFonts w:ascii="Book Antiqua" w:eastAsia="Book Antiqua" w:hAnsi="Book Antiqua" w:cs="Book Antiqua"/>
          <w:bCs/>
          <w:color w:val="000000"/>
        </w:rPr>
        <w:t xml:space="preserve"> </w:t>
      </w:r>
      <w:r w:rsidR="00C17751" w:rsidRPr="00D374DF">
        <w:rPr>
          <w:rFonts w:ascii="Book Antiqua" w:eastAsia="Book Antiqua" w:hAnsi="Book Antiqua" w:cs="Book Antiqua"/>
          <w:bCs/>
          <w:color w:val="000000"/>
        </w:rPr>
        <w:t>Li JH</w:t>
      </w:r>
    </w:p>
    <w:p w14:paraId="65ACC644" w14:textId="77777777" w:rsidR="005616F8" w:rsidRDefault="005616F8">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303F1EC2" w14:textId="77777777" w:rsidR="005616F8" w:rsidRDefault="005616F8" w:rsidP="005616F8">
      <w:pPr>
        <w:jc w:val="center"/>
        <w:rPr>
          <w:rFonts w:ascii="Book Antiqua" w:hAnsi="Book Antiqua"/>
          <w:lang w:eastAsia="zh-CN"/>
        </w:rPr>
      </w:pPr>
    </w:p>
    <w:p w14:paraId="008BBC37" w14:textId="77777777" w:rsidR="005616F8" w:rsidRDefault="005616F8" w:rsidP="005616F8">
      <w:pPr>
        <w:jc w:val="center"/>
        <w:rPr>
          <w:rFonts w:ascii="Book Antiqua" w:hAnsi="Book Antiqua"/>
          <w:lang w:eastAsia="zh-CN"/>
        </w:rPr>
      </w:pPr>
    </w:p>
    <w:p w14:paraId="0BC04541" w14:textId="77777777" w:rsidR="005616F8" w:rsidRDefault="005616F8" w:rsidP="005616F8">
      <w:pPr>
        <w:jc w:val="center"/>
        <w:rPr>
          <w:rFonts w:ascii="Book Antiqua" w:hAnsi="Book Antiqua"/>
          <w:lang w:eastAsia="zh-CN"/>
        </w:rPr>
      </w:pPr>
    </w:p>
    <w:p w14:paraId="6A2D75BA" w14:textId="77777777" w:rsidR="005616F8" w:rsidRDefault="005616F8" w:rsidP="005616F8">
      <w:pPr>
        <w:jc w:val="center"/>
        <w:rPr>
          <w:rFonts w:ascii="Book Antiqua" w:hAnsi="Book Antiqua"/>
          <w:lang w:eastAsia="zh-CN"/>
        </w:rPr>
      </w:pPr>
    </w:p>
    <w:p w14:paraId="6D0A3EDD" w14:textId="77777777" w:rsidR="005616F8" w:rsidRDefault="005616F8" w:rsidP="005616F8">
      <w:pPr>
        <w:jc w:val="center"/>
        <w:rPr>
          <w:rFonts w:ascii="Book Antiqua" w:hAnsi="Book Antiqua"/>
          <w:lang w:eastAsia="zh-CN"/>
        </w:rPr>
      </w:pPr>
    </w:p>
    <w:p w14:paraId="3D1AA829" w14:textId="77777777" w:rsidR="005616F8" w:rsidRDefault="005616F8" w:rsidP="005616F8">
      <w:pPr>
        <w:jc w:val="center"/>
        <w:rPr>
          <w:rFonts w:ascii="Book Antiqua" w:hAnsi="Book Antiqua"/>
          <w:lang w:eastAsia="zh-CN"/>
        </w:rPr>
      </w:pPr>
      <w:r>
        <w:rPr>
          <w:rFonts w:ascii="Book Antiqua" w:hAnsi="Book Antiqua"/>
          <w:noProof/>
          <w:lang w:eastAsia="zh-CN"/>
        </w:rPr>
        <w:drawing>
          <wp:inline distT="0" distB="0" distL="0" distR="0" wp14:anchorId="52C45B4C" wp14:editId="51EF46E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B1FABF" w14:textId="77777777" w:rsidR="005616F8" w:rsidRDefault="005616F8" w:rsidP="005616F8">
      <w:pPr>
        <w:jc w:val="center"/>
        <w:rPr>
          <w:rFonts w:ascii="Book Antiqua" w:hAnsi="Book Antiqua"/>
          <w:lang w:eastAsia="zh-CN"/>
        </w:rPr>
      </w:pPr>
    </w:p>
    <w:p w14:paraId="40ED40A9" w14:textId="77777777" w:rsidR="005616F8" w:rsidRPr="00763D22" w:rsidRDefault="005616F8" w:rsidP="005616F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8D673FA" w14:textId="77777777" w:rsidR="005616F8" w:rsidRPr="00763D22" w:rsidRDefault="005616F8" w:rsidP="005616F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62C1CD5" w14:textId="77777777" w:rsidR="005616F8" w:rsidRPr="00763D22" w:rsidRDefault="005616F8" w:rsidP="005616F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55AD724" w14:textId="77777777" w:rsidR="005616F8" w:rsidRPr="00763D22" w:rsidRDefault="005616F8" w:rsidP="005616F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8FC7005" w14:textId="77777777" w:rsidR="005616F8" w:rsidRPr="00763D22" w:rsidRDefault="005616F8" w:rsidP="005616F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76257E5" w14:textId="77777777" w:rsidR="005616F8" w:rsidRPr="00763D22" w:rsidRDefault="005616F8" w:rsidP="005616F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2D2AB21" w14:textId="77777777" w:rsidR="005616F8" w:rsidRDefault="005616F8" w:rsidP="005616F8">
      <w:pPr>
        <w:jc w:val="center"/>
        <w:rPr>
          <w:rFonts w:ascii="Book Antiqua" w:hAnsi="Book Antiqua"/>
          <w:lang w:eastAsia="zh-CN"/>
        </w:rPr>
      </w:pPr>
    </w:p>
    <w:p w14:paraId="76FC0101" w14:textId="77777777" w:rsidR="005616F8" w:rsidRDefault="005616F8" w:rsidP="005616F8">
      <w:pPr>
        <w:jc w:val="center"/>
        <w:rPr>
          <w:rFonts w:ascii="Book Antiqua" w:hAnsi="Book Antiqua"/>
          <w:lang w:eastAsia="zh-CN"/>
        </w:rPr>
      </w:pPr>
    </w:p>
    <w:p w14:paraId="3CBF7268" w14:textId="77777777" w:rsidR="005616F8" w:rsidRDefault="005616F8" w:rsidP="005616F8">
      <w:pPr>
        <w:jc w:val="center"/>
        <w:rPr>
          <w:rFonts w:ascii="Book Antiqua" w:hAnsi="Book Antiqua"/>
          <w:lang w:eastAsia="zh-CN"/>
        </w:rPr>
      </w:pPr>
    </w:p>
    <w:p w14:paraId="1794E11E" w14:textId="77777777" w:rsidR="005616F8" w:rsidRDefault="005616F8" w:rsidP="005616F8">
      <w:pPr>
        <w:jc w:val="center"/>
        <w:rPr>
          <w:rFonts w:ascii="Book Antiqua" w:hAnsi="Book Antiqua"/>
          <w:lang w:eastAsia="zh-CN"/>
        </w:rPr>
      </w:pPr>
      <w:r>
        <w:rPr>
          <w:rFonts w:ascii="Book Antiqua" w:hAnsi="Book Antiqua"/>
          <w:noProof/>
          <w:lang w:eastAsia="zh-CN"/>
        </w:rPr>
        <w:drawing>
          <wp:inline distT="0" distB="0" distL="0" distR="0" wp14:anchorId="637FF304" wp14:editId="3E9ADE4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8CED80" w14:textId="77777777" w:rsidR="005616F8" w:rsidRDefault="005616F8" w:rsidP="005616F8">
      <w:pPr>
        <w:jc w:val="center"/>
        <w:rPr>
          <w:rFonts w:ascii="Book Antiqua" w:hAnsi="Book Antiqua"/>
          <w:lang w:eastAsia="zh-CN"/>
        </w:rPr>
      </w:pPr>
    </w:p>
    <w:p w14:paraId="4A802AC8" w14:textId="77777777" w:rsidR="005616F8" w:rsidRDefault="005616F8" w:rsidP="005616F8">
      <w:pPr>
        <w:jc w:val="center"/>
        <w:rPr>
          <w:rFonts w:ascii="Book Antiqua" w:hAnsi="Book Antiqua"/>
          <w:lang w:eastAsia="zh-CN"/>
        </w:rPr>
      </w:pPr>
    </w:p>
    <w:p w14:paraId="31F607FC" w14:textId="77777777" w:rsidR="005616F8" w:rsidRDefault="005616F8" w:rsidP="005616F8">
      <w:pPr>
        <w:jc w:val="center"/>
        <w:rPr>
          <w:rFonts w:ascii="Book Antiqua" w:hAnsi="Book Antiqua"/>
          <w:lang w:eastAsia="zh-CN"/>
        </w:rPr>
      </w:pPr>
    </w:p>
    <w:p w14:paraId="469D1368" w14:textId="77777777" w:rsidR="005616F8" w:rsidRDefault="005616F8" w:rsidP="005616F8">
      <w:pPr>
        <w:jc w:val="center"/>
        <w:rPr>
          <w:rFonts w:ascii="Book Antiqua" w:hAnsi="Book Antiqua"/>
          <w:lang w:eastAsia="zh-CN"/>
        </w:rPr>
      </w:pPr>
    </w:p>
    <w:p w14:paraId="12FE53DA" w14:textId="77777777" w:rsidR="005616F8" w:rsidRDefault="005616F8" w:rsidP="005616F8">
      <w:pPr>
        <w:jc w:val="center"/>
        <w:rPr>
          <w:rFonts w:ascii="Book Antiqua" w:hAnsi="Book Antiqua"/>
          <w:lang w:eastAsia="zh-CN"/>
        </w:rPr>
      </w:pPr>
    </w:p>
    <w:p w14:paraId="41E38838" w14:textId="77777777" w:rsidR="005616F8" w:rsidRDefault="005616F8" w:rsidP="005616F8">
      <w:pPr>
        <w:jc w:val="center"/>
        <w:rPr>
          <w:rFonts w:ascii="Book Antiqua" w:hAnsi="Book Antiqua"/>
          <w:lang w:eastAsia="zh-CN"/>
        </w:rPr>
      </w:pPr>
    </w:p>
    <w:p w14:paraId="50EDA4C2" w14:textId="77777777" w:rsidR="005616F8" w:rsidRDefault="005616F8" w:rsidP="005616F8">
      <w:pPr>
        <w:jc w:val="center"/>
        <w:rPr>
          <w:rFonts w:ascii="Book Antiqua" w:hAnsi="Book Antiqua"/>
          <w:lang w:eastAsia="zh-CN"/>
        </w:rPr>
      </w:pPr>
    </w:p>
    <w:p w14:paraId="47D68D34" w14:textId="77777777" w:rsidR="005616F8" w:rsidRDefault="005616F8" w:rsidP="005616F8">
      <w:pPr>
        <w:jc w:val="center"/>
        <w:rPr>
          <w:rFonts w:ascii="Book Antiqua" w:hAnsi="Book Antiqua"/>
          <w:lang w:eastAsia="zh-CN"/>
        </w:rPr>
      </w:pPr>
    </w:p>
    <w:p w14:paraId="0CF3DEDB" w14:textId="77777777" w:rsidR="005616F8" w:rsidRDefault="005616F8" w:rsidP="005616F8">
      <w:pPr>
        <w:jc w:val="center"/>
        <w:rPr>
          <w:rFonts w:ascii="Book Antiqua" w:hAnsi="Book Antiqua"/>
          <w:lang w:eastAsia="zh-CN"/>
        </w:rPr>
      </w:pPr>
    </w:p>
    <w:p w14:paraId="02B93EAB" w14:textId="77777777" w:rsidR="005616F8" w:rsidRPr="00763D22" w:rsidRDefault="005616F8" w:rsidP="005616F8">
      <w:pPr>
        <w:jc w:val="right"/>
        <w:rPr>
          <w:rFonts w:ascii="Book Antiqua" w:hAnsi="Book Antiqua"/>
          <w:color w:val="000000" w:themeColor="text1"/>
          <w:lang w:eastAsia="zh-CN"/>
        </w:rPr>
      </w:pPr>
    </w:p>
    <w:p w14:paraId="17A5E810" w14:textId="77777777" w:rsidR="005616F8" w:rsidRPr="00763D22" w:rsidRDefault="005616F8" w:rsidP="005616F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CDDC867" w14:textId="77777777" w:rsidR="00A77B3E" w:rsidRPr="00C17751" w:rsidRDefault="00A77B3E">
      <w:pPr>
        <w:spacing w:line="360" w:lineRule="auto"/>
        <w:jc w:val="both"/>
        <w:rPr>
          <w:bCs/>
        </w:rPr>
      </w:pPr>
    </w:p>
    <w:sectPr w:rsidR="00A77B3E" w:rsidRPr="00C177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44364" w14:textId="77777777" w:rsidR="002E10D5" w:rsidRDefault="002E10D5" w:rsidP="00670ECB">
      <w:r>
        <w:separator/>
      </w:r>
    </w:p>
  </w:endnote>
  <w:endnote w:type="continuationSeparator" w:id="0">
    <w:p w14:paraId="069DE2B5" w14:textId="77777777" w:rsidR="002E10D5" w:rsidRDefault="002E10D5" w:rsidP="0067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30957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78590DD" w14:textId="77777777" w:rsidR="00670ECB" w:rsidRPr="00670ECB" w:rsidRDefault="00670ECB" w:rsidP="00670ECB">
            <w:pPr>
              <w:pStyle w:val="a5"/>
              <w:jc w:val="right"/>
              <w:rPr>
                <w:rFonts w:ascii="Book Antiqua" w:hAnsi="Book Antiqua"/>
                <w:sz w:val="24"/>
                <w:szCs w:val="24"/>
              </w:rPr>
            </w:pPr>
            <w:r w:rsidRPr="00670ECB">
              <w:rPr>
                <w:rFonts w:ascii="Book Antiqua" w:hAnsi="Book Antiqua"/>
                <w:sz w:val="24"/>
                <w:szCs w:val="24"/>
                <w:lang w:val="zh-CN" w:eastAsia="zh-CN"/>
              </w:rPr>
              <w:t xml:space="preserve"> </w:t>
            </w:r>
            <w:r w:rsidRPr="00670ECB">
              <w:rPr>
                <w:rFonts w:ascii="Book Antiqua" w:hAnsi="Book Antiqua"/>
                <w:bCs/>
                <w:sz w:val="24"/>
                <w:szCs w:val="24"/>
              </w:rPr>
              <w:fldChar w:fldCharType="begin"/>
            </w:r>
            <w:r w:rsidRPr="00670ECB">
              <w:rPr>
                <w:rFonts w:ascii="Book Antiqua" w:hAnsi="Book Antiqua"/>
                <w:bCs/>
                <w:sz w:val="24"/>
                <w:szCs w:val="24"/>
              </w:rPr>
              <w:instrText>PAGE</w:instrText>
            </w:r>
            <w:r w:rsidRPr="00670ECB">
              <w:rPr>
                <w:rFonts w:ascii="Book Antiqua" w:hAnsi="Book Antiqua"/>
                <w:bCs/>
                <w:sz w:val="24"/>
                <w:szCs w:val="24"/>
              </w:rPr>
              <w:fldChar w:fldCharType="separate"/>
            </w:r>
            <w:r w:rsidR="003E6DB5">
              <w:rPr>
                <w:rFonts w:ascii="Book Antiqua" w:hAnsi="Book Antiqua"/>
                <w:bCs/>
                <w:noProof/>
                <w:sz w:val="24"/>
                <w:szCs w:val="24"/>
              </w:rPr>
              <w:t>1</w:t>
            </w:r>
            <w:r w:rsidRPr="00670ECB">
              <w:rPr>
                <w:rFonts w:ascii="Book Antiqua" w:hAnsi="Book Antiqua"/>
                <w:bCs/>
                <w:sz w:val="24"/>
                <w:szCs w:val="24"/>
              </w:rPr>
              <w:fldChar w:fldCharType="end"/>
            </w:r>
            <w:r w:rsidRPr="00670ECB">
              <w:rPr>
                <w:rFonts w:ascii="Book Antiqua" w:hAnsi="Book Antiqua"/>
                <w:sz w:val="24"/>
                <w:szCs w:val="24"/>
                <w:lang w:val="zh-CN" w:eastAsia="zh-CN"/>
              </w:rPr>
              <w:t xml:space="preserve"> / </w:t>
            </w:r>
            <w:r w:rsidRPr="00670ECB">
              <w:rPr>
                <w:rFonts w:ascii="Book Antiqua" w:hAnsi="Book Antiqua"/>
                <w:bCs/>
                <w:sz w:val="24"/>
                <w:szCs w:val="24"/>
              </w:rPr>
              <w:fldChar w:fldCharType="begin"/>
            </w:r>
            <w:r w:rsidRPr="00670ECB">
              <w:rPr>
                <w:rFonts w:ascii="Book Antiqua" w:hAnsi="Book Antiqua"/>
                <w:bCs/>
                <w:sz w:val="24"/>
                <w:szCs w:val="24"/>
              </w:rPr>
              <w:instrText>NUMPAGES</w:instrText>
            </w:r>
            <w:r w:rsidRPr="00670ECB">
              <w:rPr>
                <w:rFonts w:ascii="Book Antiqua" w:hAnsi="Book Antiqua"/>
                <w:bCs/>
                <w:sz w:val="24"/>
                <w:szCs w:val="24"/>
              </w:rPr>
              <w:fldChar w:fldCharType="separate"/>
            </w:r>
            <w:r w:rsidR="003E6DB5">
              <w:rPr>
                <w:rFonts w:ascii="Book Antiqua" w:hAnsi="Book Antiqua"/>
                <w:bCs/>
                <w:noProof/>
                <w:sz w:val="24"/>
                <w:szCs w:val="24"/>
              </w:rPr>
              <w:t>10</w:t>
            </w:r>
            <w:r w:rsidRPr="00670ECB">
              <w:rPr>
                <w:rFonts w:ascii="Book Antiqua" w:hAnsi="Book Antiqua"/>
                <w:bCs/>
                <w:sz w:val="24"/>
                <w:szCs w:val="24"/>
              </w:rPr>
              <w:fldChar w:fldCharType="end"/>
            </w:r>
          </w:p>
        </w:sdtContent>
      </w:sdt>
    </w:sdtContent>
  </w:sdt>
  <w:p w14:paraId="5A137155" w14:textId="77777777" w:rsidR="00670ECB" w:rsidRPr="00670ECB" w:rsidRDefault="00670ECB" w:rsidP="00670ECB">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DB59" w14:textId="77777777" w:rsidR="002E10D5" w:rsidRDefault="002E10D5" w:rsidP="00670ECB">
      <w:r>
        <w:separator/>
      </w:r>
    </w:p>
  </w:footnote>
  <w:footnote w:type="continuationSeparator" w:id="0">
    <w:p w14:paraId="6BDA9AF0" w14:textId="77777777" w:rsidR="002E10D5" w:rsidRDefault="002E10D5" w:rsidP="00670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050F"/>
    <w:rsid w:val="00096DED"/>
    <w:rsid w:val="00100BA8"/>
    <w:rsid w:val="002559D0"/>
    <w:rsid w:val="00264450"/>
    <w:rsid w:val="002E10D5"/>
    <w:rsid w:val="003B2930"/>
    <w:rsid w:val="003E6DB5"/>
    <w:rsid w:val="005616F8"/>
    <w:rsid w:val="00563D8F"/>
    <w:rsid w:val="006671C0"/>
    <w:rsid w:val="00670ECB"/>
    <w:rsid w:val="007D5A48"/>
    <w:rsid w:val="00881C5A"/>
    <w:rsid w:val="00885AF7"/>
    <w:rsid w:val="009644DF"/>
    <w:rsid w:val="009A6855"/>
    <w:rsid w:val="00A77B3E"/>
    <w:rsid w:val="00B20BF3"/>
    <w:rsid w:val="00B72D9A"/>
    <w:rsid w:val="00C17751"/>
    <w:rsid w:val="00CA2A55"/>
    <w:rsid w:val="00D374DF"/>
    <w:rsid w:val="00D5206C"/>
    <w:rsid w:val="00DD2EF2"/>
    <w:rsid w:val="00EA5DE5"/>
    <w:rsid w:val="00F81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215F9"/>
  <w15:docId w15:val="{92C261A0-E9E7-4BD4-B581-A421B4A9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0E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70ECB"/>
    <w:rPr>
      <w:sz w:val="18"/>
      <w:szCs w:val="18"/>
    </w:rPr>
  </w:style>
  <w:style w:type="paragraph" w:styleId="a5">
    <w:name w:val="footer"/>
    <w:basedOn w:val="a"/>
    <w:link w:val="a6"/>
    <w:uiPriority w:val="99"/>
    <w:rsid w:val="00670ECB"/>
    <w:pPr>
      <w:tabs>
        <w:tab w:val="center" w:pos="4153"/>
        <w:tab w:val="right" w:pos="8306"/>
      </w:tabs>
      <w:snapToGrid w:val="0"/>
    </w:pPr>
    <w:rPr>
      <w:sz w:val="18"/>
      <w:szCs w:val="18"/>
    </w:rPr>
  </w:style>
  <w:style w:type="character" w:customStyle="1" w:styleId="a6">
    <w:name w:val="页脚 字符"/>
    <w:basedOn w:val="a0"/>
    <w:link w:val="a5"/>
    <w:uiPriority w:val="99"/>
    <w:rsid w:val="00670E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16</cp:revision>
  <dcterms:created xsi:type="dcterms:W3CDTF">2021-09-15T18:37:00Z</dcterms:created>
  <dcterms:modified xsi:type="dcterms:W3CDTF">2021-10-25T08:51:00Z</dcterms:modified>
</cp:coreProperties>
</file>