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CE5F"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277F32B"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70678</w:t>
      </w:r>
    </w:p>
    <w:p w14:paraId="0EB89E9A"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BA93596" w14:textId="77777777" w:rsidR="00F203DF" w:rsidRDefault="00F203DF">
      <w:pPr>
        <w:spacing w:line="360" w:lineRule="auto"/>
        <w:jc w:val="both"/>
        <w:rPr>
          <w:rFonts w:ascii="Book Antiqua" w:hAnsi="Book Antiqua"/>
        </w:rPr>
      </w:pPr>
    </w:p>
    <w:p w14:paraId="0579ABD0"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Basic Study</w:t>
      </w:r>
    </w:p>
    <w:p w14:paraId="27C108C1"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Fibrinogen-like protein 2 deficiency inhibits virus-induced fulminant hepatitis through abrogating inflammatory macrophage </w:t>
      </w:r>
      <w:r>
        <w:rPr>
          <w:rFonts w:ascii="Book Antiqua" w:eastAsia="Book Antiqua" w:hAnsi="Book Antiqua" w:cs="Book Antiqua"/>
          <w:b/>
          <w:color w:val="000000"/>
        </w:rPr>
        <w:t>activation</w:t>
      </w:r>
    </w:p>
    <w:p w14:paraId="3379A4D0" w14:textId="77777777" w:rsidR="00F203DF" w:rsidRDefault="00F203DF">
      <w:pPr>
        <w:spacing w:line="360" w:lineRule="auto"/>
        <w:jc w:val="both"/>
        <w:rPr>
          <w:rFonts w:ascii="Book Antiqua" w:hAnsi="Book Antiqua"/>
        </w:rPr>
      </w:pPr>
    </w:p>
    <w:p w14:paraId="5CB48B17"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Xiao </w:t>
      </w:r>
      <w:r>
        <w:rPr>
          <w:rFonts w:ascii="Book Antiqua" w:hAnsi="Book Antiqua" w:cs="Book Antiqua"/>
          <w:color w:val="000000"/>
          <w:lang w:eastAsia="zh-CN"/>
        </w:rPr>
        <w:t xml:space="preserve">F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FGL2 regulate macrophages in fulminant hepatitis</w:t>
      </w:r>
    </w:p>
    <w:p w14:paraId="1548CECB" w14:textId="77777777" w:rsidR="00F203DF" w:rsidRDefault="00F203DF">
      <w:pPr>
        <w:spacing w:line="360" w:lineRule="auto"/>
        <w:jc w:val="both"/>
        <w:rPr>
          <w:rFonts w:ascii="Book Antiqua" w:hAnsi="Book Antiqua"/>
        </w:rPr>
      </w:pPr>
    </w:p>
    <w:p w14:paraId="253208A1" w14:textId="77777777" w:rsidR="00F203DF" w:rsidRDefault="002B133B">
      <w:pPr>
        <w:spacing w:line="360" w:lineRule="auto"/>
        <w:jc w:val="both"/>
        <w:rPr>
          <w:rStyle w:val="af"/>
          <w:rFonts w:ascii="Book Antiqua" w:hAnsi="Book Antiqua"/>
          <w:sz w:val="24"/>
          <w:szCs w:val="24"/>
        </w:rPr>
      </w:pPr>
      <w:r>
        <w:rPr>
          <w:rFonts w:ascii="Book Antiqua" w:eastAsia="Book Antiqua" w:hAnsi="Book Antiqua" w:cs="Book Antiqua"/>
          <w:color w:val="000000"/>
        </w:rPr>
        <w:t>Fang Xiao, Hong</w:t>
      </w:r>
      <w:r>
        <w:rPr>
          <w:rFonts w:ascii="Book Antiqua" w:hAnsi="Book Antiqua" w:cs="Book Antiqua"/>
          <w:color w:val="000000"/>
          <w:lang w:eastAsia="zh-CN"/>
        </w:rPr>
        <w:t>-W</w:t>
      </w:r>
      <w:r>
        <w:rPr>
          <w:rFonts w:ascii="Book Antiqua" w:eastAsia="Book Antiqua" w:hAnsi="Book Antiqua" w:cs="Book Antiqua"/>
          <w:color w:val="000000"/>
        </w:rPr>
        <w:t>u Wang, Jun</w:t>
      </w:r>
      <w:r>
        <w:rPr>
          <w:rFonts w:ascii="Book Antiqua" w:hAnsi="Book Antiqua" w:cs="Book Antiqua"/>
          <w:color w:val="000000"/>
          <w:lang w:eastAsia="zh-CN"/>
        </w:rPr>
        <w:t>-J</w:t>
      </w:r>
      <w:r>
        <w:rPr>
          <w:rFonts w:ascii="Book Antiqua" w:eastAsia="Book Antiqua" w:hAnsi="Book Antiqua" w:cs="Book Antiqua"/>
          <w:color w:val="000000"/>
        </w:rPr>
        <w:t>ian Hu, Ran Tao, Xin</w:t>
      </w:r>
      <w:r>
        <w:rPr>
          <w:rFonts w:ascii="Book Antiqua" w:hAnsi="Book Antiqua" w:cs="Book Antiqua"/>
          <w:color w:val="000000"/>
          <w:lang w:eastAsia="zh-CN"/>
        </w:rPr>
        <w:t>-X</w:t>
      </w:r>
      <w:r>
        <w:rPr>
          <w:rFonts w:ascii="Book Antiqua" w:eastAsia="Book Antiqua" w:hAnsi="Book Antiqua" w:cs="Book Antiqua"/>
          <w:color w:val="000000"/>
        </w:rPr>
        <w:t>in Weng, Peng Wang, Di Wu, Xiao</w:t>
      </w:r>
      <w:r>
        <w:rPr>
          <w:rFonts w:ascii="Book Antiqua" w:hAnsi="Book Antiqua" w:cs="Book Antiqua"/>
          <w:color w:val="000000"/>
          <w:lang w:eastAsia="zh-CN"/>
        </w:rPr>
        <w:t>-J</w:t>
      </w:r>
      <w:r>
        <w:rPr>
          <w:rFonts w:ascii="Book Antiqua" w:eastAsia="Book Antiqua" w:hAnsi="Book Antiqua" w:cs="Book Antiqua"/>
          <w:color w:val="000000"/>
        </w:rPr>
        <w:t>ing Wang, Wei</w:t>
      </w:r>
      <w:r>
        <w:rPr>
          <w:rFonts w:ascii="Book Antiqua" w:hAnsi="Book Antiqua" w:cs="Book Antiqua"/>
          <w:color w:val="000000"/>
          <w:lang w:eastAsia="zh-CN"/>
        </w:rPr>
        <w:t>-M</w:t>
      </w:r>
      <w:r>
        <w:rPr>
          <w:rFonts w:ascii="Book Antiqua" w:eastAsia="Book Antiqua" w:hAnsi="Book Antiqua" w:cs="Book Antiqua"/>
          <w:color w:val="000000"/>
        </w:rPr>
        <w:t>ing Yan, Dong Xi, Xiao</w:t>
      </w:r>
      <w:r>
        <w:rPr>
          <w:rFonts w:ascii="Book Antiqua" w:hAnsi="Book Antiqua" w:cs="Book Antiqua"/>
          <w:color w:val="000000"/>
          <w:lang w:eastAsia="zh-CN"/>
        </w:rPr>
        <w:t>-P</w:t>
      </w:r>
      <w:r>
        <w:rPr>
          <w:rFonts w:ascii="Book Antiqua" w:eastAsia="Book Antiqua" w:hAnsi="Book Antiqua" w:cs="Book Antiqua"/>
          <w:color w:val="000000"/>
        </w:rPr>
        <w:t>ing Luo, Xiao-Yang Wan, Qin Ning</w:t>
      </w:r>
    </w:p>
    <w:p w14:paraId="0B81DBE3" w14:textId="77777777" w:rsidR="00F203DF" w:rsidRDefault="00F203DF">
      <w:pPr>
        <w:spacing w:line="360" w:lineRule="auto"/>
        <w:jc w:val="both"/>
        <w:rPr>
          <w:rStyle w:val="af"/>
          <w:rFonts w:ascii="Book Antiqua" w:hAnsi="Book Antiqua"/>
          <w:sz w:val="24"/>
          <w:szCs w:val="24"/>
        </w:rPr>
      </w:pPr>
    </w:p>
    <w:p w14:paraId="0FDD4D50"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Fang Xiao, Hong</w:t>
      </w:r>
      <w:r>
        <w:rPr>
          <w:rFonts w:ascii="Book Antiqua" w:hAnsi="Book Antiqua" w:cs="Book Antiqua"/>
          <w:b/>
          <w:bCs/>
          <w:color w:val="000000"/>
          <w:lang w:eastAsia="zh-CN"/>
        </w:rPr>
        <w:t>-W</w:t>
      </w:r>
      <w:r>
        <w:rPr>
          <w:rFonts w:ascii="Book Antiqua" w:eastAsia="Book Antiqua" w:hAnsi="Book Antiqua" w:cs="Book Antiqua"/>
          <w:b/>
          <w:bCs/>
          <w:color w:val="000000"/>
        </w:rPr>
        <w:t>u Wan</w:t>
      </w:r>
      <w:r>
        <w:rPr>
          <w:rFonts w:ascii="Book Antiqua" w:eastAsia="Book Antiqua" w:hAnsi="Book Antiqua" w:cs="Book Antiqua"/>
          <w:b/>
          <w:bCs/>
          <w:color w:val="000000"/>
        </w:rPr>
        <w:t>g, Jun</w:t>
      </w:r>
      <w:r>
        <w:rPr>
          <w:rFonts w:ascii="Book Antiqua" w:hAnsi="Book Antiqua" w:cs="Book Antiqua"/>
          <w:b/>
          <w:bCs/>
          <w:color w:val="000000"/>
          <w:lang w:eastAsia="zh-CN"/>
        </w:rPr>
        <w:t>-J</w:t>
      </w:r>
      <w:r>
        <w:rPr>
          <w:rFonts w:ascii="Book Antiqua" w:eastAsia="Book Antiqua" w:hAnsi="Book Antiqua" w:cs="Book Antiqua"/>
          <w:b/>
          <w:bCs/>
          <w:color w:val="000000"/>
        </w:rPr>
        <w:t>ian Hu, Ran Tao, Xin</w:t>
      </w:r>
      <w:r>
        <w:rPr>
          <w:rFonts w:ascii="Book Antiqua" w:hAnsi="Book Antiqua" w:cs="Book Antiqua"/>
          <w:b/>
          <w:bCs/>
          <w:color w:val="000000"/>
          <w:lang w:eastAsia="zh-CN"/>
        </w:rPr>
        <w:t>-X</w:t>
      </w:r>
      <w:r>
        <w:rPr>
          <w:rFonts w:ascii="Book Antiqua" w:eastAsia="Book Antiqua" w:hAnsi="Book Antiqua" w:cs="Book Antiqua"/>
          <w:b/>
          <w:bCs/>
          <w:color w:val="000000"/>
        </w:rPr>
        <w:t>in Weng, Peng Wang, Di Wu, Xiao</w:t>
      </w:r>
      <w:r>
        <w:rPr>
          <w:rFonts w:ascii="Book Antiqua" w:hAnsi="Book Antiqua" w:cs="Book Antiqua"/>
          <w:b/>
          <w:bCs/>
          <w:color w:val="000000"/>
          <w:lang w:eastAsia="zh-CN"/>
        </w:rPr>
        <w:t>-J</w:t>
      </w:r>
      <w:r>
        <w:rPr>
          <w:rFonts w:ascii="Book Antiqua" w:eastAsia="Book Antiqua" w:hAnsi="Book Antiqua" w:cs="Book Antiqua"/>
          <w:b/>
          <w:bCs/>
          <w:color w:val="000000"/>
        </w:rPr>
        <w:t>ing Wang, Wei</w:t>
      </w:r>
      <w:r>
        <w:rPr>
          <w:rFonts w:ascii="Book Antiqua" w:hAnsi="Book Antiqua" w:cs="Book Antiqua"/>
          <w:b/>
          <w:bCs/>
          <w:color w:val="000000"/>
          <w:lang w:eastAsia="zh-CN"/>
        </w:rPr>
        <w:t>-M</w:t>
      </w:r>
      <w:r>
        <w:rPr>
          <w:rFonts w:ascii="Book Antiqua" w:eastAsia="Book Antiqua" w:hAnsi="Book Antiqua" w:cs="Book Antiqua"/>
          <w:b/>
          <w:bCs/>
          <w:color w:val="000000"/>
        </w:rPr>
        <w:t xml:space="preserve">ing Yan, Dong Xi, Xiao-Yang Wan, Qin Ning, </w:t>
      </w:r>
      <w:r>
        <w:rPr>
          <w:rFonts w:ascii="Book Antiqua" w:eastAsia="Book Antiqua" w:hAnsi="Book Antiqua" w:cs="Book Antiqua"/>
          <w:color w:val="000000"/>
        </w:rPr>
        <w:t xml:space="preserve">Department of Infectious Disease, Tongji Hospital of Tongji Medical College, Huazhong University of Science and Technology, Wuhan </w:t>
      </w:r>
      <w:r>
        <w:rPr>
          <w:rFonts w:ascii="Book Antiqua" w:eastAsia="Book Antiqua" w:hAnsi="Book Antiqua" w:cs="Book Antiqua"/>
          <w:color w:val="000000"/>
        </w:rPr>
        <w:t>430030, Hubei</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37EBB23B" w14:textId="77777777" w:rsidR="00F203DF" w:rsidRDefault="00F203DF">
      <w:pPr>
        <w:spacing w:line="360" w:lineRule="auto"/>
        <w:jc w:val="both"/>
        <w:rPr>
          <w:rFonts w:ascii="Book Antiqua" w:hAnsi="Book Antiqua"/>
        </w:rPr>
      </w:pPr>
    </w:p>
    <w:p w14:paraId="682155CD"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Fang Xiao, </w:t>
      </w:r>
      <w:r>
        <w:rPr>
          <w:rFonts w:ascii="Book Antiqua" w:eastAsia="Book Antiqua" w:hAnsi="Book Antiqua" w:cs="Book Antiqua"/>
          <w:color w:val="000000"/>
        </w:rPr>
        <w:t>Department of Infectious Disease, The First Affiliated Hospital of Guangxi Medical University, Nanning 530000, Guangxi</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61E5878A" w14:textId="77777777" w:rsidR="00F203DF" w:rsidRDefault="00F203DF">
      <w:pPr>
        <w:spacing w:line="360" w:lineRule="auto"/>
        <w:jc w:val="both"/>
        <w:rPr>
          <w:rFonts w:ascii="Book Antiqua" w:hAnsi="Book Antiqua"/>
        </w:rPr>
      </w:pPr>
    </w:p>
    <w:p w14:paraId="3D8DB2D1"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Xiao</w:t>
      </w:r>
      <w:r>
        <w:rPr>
          <w:rFonts w:ascii="Book Antiqua" w:hAnsi="Book Antiqua" w:cs="Book Antiqua"/>
          <w:b/>
          <w:bCs/>
          <w:color w:val="000000"/>
          <w:lang w:eastAsia="zh-CN"/>
        </w:rPr>
        <w:t>-P</w:t>
      </w:r>
      <w:r>
        <w:rPr>
          <w:rFonts w:ascii="Book Antiqua" w:eastAsia="Book Antiqua" w:hAnsi="Book Antiqua" w:cs="Book Antiqua"/>
          <w:b/>
          <w:bCs/>
          <w:color w:val="000000"/>
        </w:rPr>
        <w:t xml:space="preserve">ing Luo, </w:t>
      </w:r>
      <w:r>
        <w:rPr>
          <w:rFonts w:ascii="Book Antiqua" w:eastAsia="Book Antiqua" w:hAnsi="Book Antiqua" w:cs="Book Antiqua"/>
          <w:color w:val="000000"/>
        </w:rPr>
        <w:t xml:space="preserve">Department of Pediatrics, Tongji Hospital, Wuhan 430030, Hubei </w:t>
      </w:r>
      <w:r>
        <w:rPr>
          <w:rFonts w:ascii="Book Antiqua" w:eastAsia="Book Antiqua" w:hAnsi="Book Antiqua" w:cs="Book Antiqua"/>
          <w:color w:val="000000"/>
        </w:rPr>
        <w:t>Province, China</w:t>
      </w:r>
    </w:p>
    <w:p w14:paraId="0011D52B" w14:textId="77777777" w:rsidR="00F203DF" w:rsidRDefault="00F203DF">
      <w:pPr>
        <w:spacing w:line="360" w:lineRule="auto"/>
        <w:jc w:val="both"/>
        <w:rPr>
          <w:rFonts w:ascii="Book Antiqua" w:hAnsi="Book Antiqua"/>
          <w:lang w:eastAsia="zh-CN"/>
        </w:rPr>
      </w:pPr>
    </w:p>
    <w:p w14:paraId="472B92E9"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w:t>
      </w:r>
      <w:r>
        <w:rPr>
          <w:rFonts w:ascii="Book Antiqua" w:hAnsi="Book Antiqua" w:cs="Book Antiqua"/>
          <w:color w:val="000000"/>
          <w:lang w:eastAsia="zh-CN"/>
        </w:rPr>
        <w:t xml:space="preserve"> XY</w:t>
      </w:r>
      <w:r>
        <w:rPr>
          <w:rFonts w:ascii="Book Antiqua" w:eastAsia="Book Antiqua" w:hAnsi="Book Antiqua" w:cs="Book Antiqua"/>
          <w:color w:val="000000"/>
        </w:rPr>
        <w:t xml:space="preserve"> and Xiao</w:t>
      </w:r>
      <w:r>
        <w:rPr>
          <w:rFonts w:ascii="Book Antiqua" w:hAnsi="Book Antiqua" w:cs="Book Antiqua"/>
          <w:color w:val="000000"/>
          <w:lang w:eastAsia="zh-CN"/>
        </w:rPr>
        <w:t xml:space="preserve"> F</w:t>
      </w:r>
      <w:r>
        <w:rPr>
          <w:rFonts w:ascii="Book Antiqua" w:eastAsia="Book Antiqua" w:hAnsi="Book Antiqua" w:cs="Book Antiqua"/>
          <w:color w:val="000000"/>
        </w:rPr>
        <w:t xml:space="preserve"> wrote the manuscript</w:t>
      </w:r>
      <w:r>
        <w:rPr>
          <w:rFonts w:ascii="Book Antiqua" w:hAnsi="Book Antiqua" w:cs="Book Antiqua"/>
          <w:color w:val="000000"/>
          <w:lang w:eastAsia="zh-CN"/>
        </w:rPr>
        <w:t>;</w:t>
      </w:r>
      <w:r>
        <w:rPr>
          <w:rFonts w:ascii="Book Antiqua" w:eastAsia="Book Antiqua" w:hAnsi="Book Antiqua" w:cs="Book Antiqua"/>
          <w:color w:val="000000"/>
        </w:rPr>
        <w:t xml:space="preserve"> Wan</w:t>
      </w:r>
      <w:r>
        <w:rPr>
          <w:rFonts w:ascii="Book Antiqua" w:hAnsi="Book Antiqua" w:cs="Book Antiqua"/>
          <w:color w:val="000000"/>
          <w:lang w:eastAsia="zh-CN"/>
        </w:rPr>
        <w:t xml:space="preserve"> XY,</w:t>
      </w:r>
      <w:r>
        <w:rPr>
          <w:rFonts w:ascii="Book Antiqua" w:eastAsia="Book Antiqua" w:hAnsi="Book Antiqua" w:cs="Book Antiqua"/>
          <w:color w:val="000000"/>
        </w:rPr>
        <w:t xml:space="preserve"> Ning Q</w:t>
      </w:r>
      <w:r>
        <w:rPr>
          <w:rFonts w:ascii="Book Antiqua" w:hAnsi="Book Antiqua" w:cs="Book Antiqua"/>
          <w:color w:val="000000"/>
          <w:lang w:eastAsia="zh-CN"/>
        </w:rPr>
        <w:t xml:space="preserve"> </w:t>
      </w:r>
      <w:r>
        <w:rPr>
          <w:rFonts w:ascii="Book Antiqua" w:eastAsia="Book Antiqua" w:hAnsi="Book Antiqua" w:cs="Book Antiqua"/>
          <w:color w:val="000000"/>
        </w:rPr>
        <w:t>and Wang</w:t>
      </w:r>
      <w:r>
        <w:rPr>
          <w:rFonts w:ascii="Book Antiqua" w:hAnsi="Book Antiqua" w:cs="Book Antiqua"/>
          <w:color w:val="000000"/>
          <w:lang w:eastAsia="zh-CN"/>
        </w:rPr>
        <w:t xml:space="preserve"> HW</w:t>
      </w:r>
      <w:r>
        <w:rPr>
          <w:rFonts w:ascii="Book Antiqua" w:eastAsia="Book Antiqua" w:hAnsi="Book Antiqua" w:cs="Book Antiqua"/>
          <w:color w:val="000000"/>
        </w:rPr>
        <w:t xml:space="preserve"> designed projects</w:t>
      </w:r>
      <w:r>
        <w:rPr>
          <w:rFonts w:ascii="Book Antiqua" w:hAnsi="Book Antiqua" w:cs="Book Antiqua"/>
          <w:color w:val="000000"/>
          <w:lang w:eastAsia="zh-CN"/>
        </w:rPr>
        <w:t>,</w:t>
      </w:r>
      <w:r>
        <w:rPr>
          <w:rFonts w:ascii="Book Antiqua" w:eastAsia="Book Antiqua" w:hAnsi="Book Antiqua" w:cs="Book Antiqua"/>
          <w:color w:val="000000"/>
        </w:rPr>
        <w:t xml:space="preserve"> interpreted data</w:t>
      </w:r>
      <w:r>
        <w:rPr>
          <w:rFonts w:ascii="Book Antiqua" w:hAnsi="Book Antiqua" w:cs="Book Antiqua"/>
          <w:color w:val="000000"/>
          <w:lang w:eastAsia="zh-CN"/>
        </w:rPr>
        <w:t xml:space="preserve"> and </w:t>
      </w:r>
      <w:r>
        <w:rPr>
          <w:rFonts w:ascii="Book Antiqua" w:eastAsia="Book Antiqua" w:hAnsi="Book Antiqua" w:cs="Book Antiqua"/>
          <w:color w:val="000000"/>
        </w:rPr>
        <w:t>developed concept of the project</w:t>
      </w:r>
      <w:r>
        <w:rPr>
          <w:rFonts w:ascii="Book Antiqua" w:hAnsi="Book Antiqua" w:cs="Book Antiqua"/>
          <w:color w:val="000000"/>
          <w:lang w:eastAsia="zh-CN"/>
        </w:rPr>
        <w:t>;</w:t>
      </w:r>
      <w:r>
        <w:rPr>
          <w:rFonts w:ascii="Book Antiqua" w:eastAsia="Book Antiqua" w:hAnsi="Book Antiqua" w:cs="Book Antiqua"/>
          <w:color w:val="000000"/>
        </w:rPr>
        <w:t xml:space="preserve"> Xiao</w:t>
      </w:r>
      <w:r>
        <w:rPr>
          <w:rFonts w:ascii="Book Antiqua" w:hAnsi="Book Antiqua" w:cs="Book Antiqua"/>
          <w:color w:val="000000"/>
          <w:lang w:eastAsia="zh-CN"/>
        </w:rPr>
        <w:t xml:space="preserve"> F</w:t>
      </w:r>
      <w:r>
        <w:rPr>
          <w:rFonts w:ascii="Book Antiqua" w:eastAsia="Book Antiqua" w:hAnsi="Book Antiqua" w:cs="Book Antiqua"/>
          <w:color w:val="000000"/>
        </w:rPr>
        <w:t>, H</w:t>
      </w:r>
      <w:r>
        <w:rPr>
          <w:rFonts w:ascii="Book Antiqua" w:hAnsi="Book Antiqua" w:cs="Book Antiqua"/>
          <w:color w:val="000000"/>
          <w:lang w:eastAsia="zh-CN"/>
        </w:rPr>
        <w:t>u JJ and</w:t>
      </w:r>
      <w:r>
        <w:rPr>
          <w:rFonts w:ascii="Book Antiqua" w:eastAsia="Book Antiqua" w:hAnsi="Book Antiqua" w:cs="Book Antiqua"/>
          <w:color w:val="000000"/>
        </w:rPr>
        <w:t xml:space="preserve"> Weng</w:t>
      </w:r>
      <w:r>
        <w:rPr>
          <w:rFonts w:ascii="Book Antiqua" w:hAnsi="Book Antiqua" w:cs="Book Antiqua"/>
          <w:color w:val="000000"/>
          <w:lang w:eastAsia="zh-CN"/>
        </w:rPr>
        <w:t xml:space="preserve"> XX</w:t>
      </w:r>
      <w:r>
        <w:rPr>
          <w:rFonts w:ascii="Book Antiqua" w:eastAsia="Book Antiqua" w:hAnsi="Book Antiqua" w:cs="Book Antiqua"/>
          <w:color w:val="000000"/>
        </w:rPr>
        <w:t xml:space="preserve"> did the experiments</w:t>
      </w:r>
      <w:r>
        <w:rPr>
          <w:rFonts w:ascii="Book Antiqua" w:hAnsi="Book Antiqua" w:cs="Book Antiqua"/>
          <w:color w:val="000000"/>
          <w:lang w:eastAsia="zh-CN"/>
        </w:rPr>
        <w:t>;</w:t>
      </w:r>
      <w:r>
        <w:rPr>
          <w:rFonts w:ascii="Book Antiqua" w:eastAsia="Book Antiqua" w:hAnsi="Book Antiqua" w:cs="Book Antiqua"/>
          <w:color w:val="000000"/>
        </w:rPr>
        <w:t xml:space="preserve"> T</w:t>
      </w:r>
      <w:r>
        <w:rPr>
          <w:rFonts w:ascii="Book Antiqua" w:hAnsi="Book Antiqua" w:cs="Book Antiqua"/>
          <w:color w:val="000000"/>
          <w:lang w:eastAsia="zh-CN"/>
        </w:rPr>
        <w:t>ao R and</w:t>
      </w:r>
      <w:r>
        <w:rPr>
          <w:rFonts w:ascii="Book Antiqua" w:eastAsia="Book Antiqua" w:hAnsi="Book Antiqua" w:cs="Book Antiqua"/>
          <w:color w:val="000000"/>
        </w:rPr>
        <w:t xml:space="preserve"> W</w:t>
      </w:r>
      <w:r>
        <w:rPr>
          <w:rFonts w:ascii="Book Antiqua" w:hAnsi="Book Antiqua" w:cs="Book Antiqua"/>
          <w:color w:val="000000"/>
          <w:lang w:eastAsia="zh-CN"/>
        </w:rPr>
        <w:t>ang P</w:t>
      </w:r>
      <w:r>
        <w:rPr>
          <w:rFonts w:ascii="Book Antiqua" w:eastAsia="Book Antiqua" w:hAnsi="Book Antiqua" w:cs="Book Antiqua"/>
          <w:color w:val="000000"/>
        </w:rPr>
        <w:t xml:space="preserve"> collected sa</w:t>
      </w:r>
      <w:r>
        <w:rPr>
          <w:rFonts w:ascii="Book Antiqua" w:eastAsia="Book Antiqua" w:hAnsi="Book Antiqua" w:cs="Book Antiqua"/>
          <w:color w:val="000000"/>
        </w:rPr>
        <w:t>mples</w:t>
      </w:r>
      <w:r>
        <w:rPr>
          <w:rFonts w:ascii="Book Antiqua" w:hAnsi="Book Antiqua" w:cs="Book Antiqua"/>
          <w:color w:val="000000"/>
          <w:lang w:eastAsia="zh-CN"/>
        </w:rPr>
        <w:t>;</w:t>
      </w:r>
      <w:r>
        <w:rPr>
          <w:rFonts w:ascii="Book Antiqua" w:eastAsia="Book Antiqua" w:hAnsi="Book Antiqua" w:cs="Book Antiqua"/>
          <w:color w:val="000000"/>
        </w:rPr>
        <w:t xml:space="preserve"> X</w:t>
      </w:r>
      <w:r>
        <w:rPr>
          <w:rFonts w:ascii="Book Antiqua" w:hAnsi="Book Antiqua" w:cs="Book Antiqua"/>
          <w:color w:val="000000"/>
          <w:lang w:eastAsia="zh-CN"/>
        </w:rPr>
        <w:t>i D</w:t>
      </w:r>
      <w:r>
        <w:rPr>
          <w:rFonts w:ascii="Book Antiqua" w:eastAsia="Book Antiqua" w:hAnsi="Book Antiqua" w:cs="Book Antiqua"/>
          <w:color w:val="000000"/>
        </w:rPr>
        <w:t>, Wan</w:t>
      </w:r>
      <w:r>
        <w:rPr>
          <w:rFonts w:ascii="Book Antiqua" w:hAnsi="Book Antiqua" w:cs="Book Antiqua"/>
          <w:color w:val="000000"/>
          <w:lang w:eastAsia="zh-CN"/>
        </w:rPr>
        <w:t xml:space="preserve"> XY</w:t>
      </w:r>
      <w:r>
        <w:rPr>
          <w:rFonts w:ascii="Book Antiqua" w:eastAsia="Book Antiqua" w:hAnsi="Book Antiqua" w:cs="Book Antiqua"/>
          <w:color w:val="000000"/>
        </w:rPr>
        <w:t>, Wang</w:t>
      </w:r>
      <w:r>
        <w:rPr>
          <w:rFonts w:ascii="Book Antiqua" w:hAnsi="Book Antiqua" w:cs="Book Antiqua"/>
          <w:color w:val="000000"/>
          <w:lang w:eastAsia="zh-CN"/>
        </w:rPr>
        <w:t xml:space="preserve"> XJ</w:t>
      </w:r>
      <w:r>
        <w:rPr>
          <w:rFonts w:ascii="Book Antiqua" w:eastAsia="Book Antiqua" w:hAnsi="Book Antiqua" w:cs="Book Antiqua"/>
          <w:color w:val="000000"/>
        </w:rPr>
        <w:t xml:space="preserve"> and Luo</w:t>
      </w:r>
      <w:r>
        <w:rPr>
          <w:rFonts w:ascii="Book Antiqua" w:hAnsi="Book Antiqua" w:cs="Book Antiqua"/>
          <w:color w:val="000000"/>
          <w:lang w:eastAsia="zh-CN"/>
        </w:rPr>
        <w:t xml:space="preserve"> XP</w:t>
      </w:r>
      <w:r>
        <w:rPr>
          <w:rFonts w:ascii="Book Antiqua" w:eastAsia="Book Antiqua" w:hAnsi="Book Antiqua" w:cs="Book Antiqua"/>
          <w:color w:val="000000"/>
        </w:rPr>
        <w:t xml:space="preserve"> participated the conceptual discussion of the paper</w:t>
      </w:r>
      <w:r>
        <w:rPr>
          <w:rFonts w:ascii="Book Antiqua" w:hAnsi="Book Antiqua" w:cs="Book Antiqua"/>
          <w:color w:val="000000"/>
          <w:lang w:eastAsia="zh-CN"/>
        </w:rPr>
        <w:t>;</w:t>
      </w:r>
      <w:r>
        <w:rPr>
          <w:rFonts w:ascii="Book Antiqua" w:eastAsia="Book Antiqua" w:hAnsi="Book Antiqua" w:cs="Book Antiqua"/>
          <w:color w:val="000000"/>
        </w:rPr>
        <w:t xml:space="preserve"> Ning Q</w:t>
      </w:r>
      <w:r>
        <w:rPr>
          <w:rFonts w:ascii="Book Antiqua" w:hAnsi="Book Antiqua" w:cs="Book Antiqua"/>
          <w:color w:val="000000"/>
          <w:lang w:eastAsia="zh-CN"/>
        </w:rPr>
        <w:t xml:space="preserve"> </w:t>
      </w:r>
      <w:r>
        <w:rPr>
          <w:rFonts w:ascii="Book Antiqua" w:eastAsia="Book Antiqua" w:hAnsi="Book Antiqua" w:cs="Book Antiqua"/>
          <w:color w:val="000000"/>
        </w:rPr>
        <w:t>and Wang</w:t>
      </w:r>
      <w:r>
        <w:rPr>
          <w:rFonts w:ascii="Book Antiqua" w:hAnsi="Book Antiqua" w:cs="Book Antiqua"/>
          <w:color w:val="000000"/>
          <w:lang w:eastAsia="zh-CN"/>
        </w:rPr>
        <w:t xml:space="preserve"> HW</w:t>
      </w:r>
      <w:r>
        <w:rPr>
          <w:rFonts w:ascii="Book Antiqua" w:eastAsia="Book Antiqua" w:hAnsi="Book Antiqua" w:cs="Book Antiqua"/>
          <w:color w:val="000000"/>
        </w:rPr>
        <w:t xml:space="preserve"> revised the manuscript.</w:t>
      </w:r>
    </w:p>
    <w:p w14:paraId="6DAFC8A3" w14:textId="77777777" w:rsidR="00F203DF" w:rsidRDefault="00F203DF">
      <w:pPr>
        <w:spacing w:line="360" w:lineRule="auto"/>
        <w:jc w:val="both"/>
        <w:rPr>
          <w:rFonts w:ascii="Book Antiqua" w:hAnsi="Book Antiqua"/>
        </w:rPr>
      </w:pPr>
    </w:p>
    <w:p w14:paraId="0BB11472"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Supported by</w:t>
      </w:r>
      <w:r>
        <w:rPr>
          <w:rFonts w:ascii="Book Antiqua" w:eastAsia="Book Antiqua" w:hAnsi="Book Antiqua" w:cs="Book Antiqua"/>
          <w:bCs/>
          <w:color w:val="000000"/>
        </w:rPr>
        <w:t xml:space="preserve"> </w:t>
      </w:r>
      <w:r>
        <w:rPr>
          <w:rFonts w:ascii="Book Antiqua" w:hAnsi="Book Antiqua" w:cs="Book Antiqua"/>
          <w:bCs/>
          <w:color w:val="000000"/>
          <w:lang w:eastAsia="zh-CN"/>
        </w:rPr>
        <w:t xml:space="preserve">the </w:t>
      </w:r>
      <w:r>
        <w:rPr>
          <w:rFonts w:ascii="Book Antiqua" w:eastAsia="Book Antiqua" w:hAnsi="Book Antiqua" w:cs="Book Antiqua"/>
          <w:color w:val="000000"/>
        </w:rPr>
        <w:t>National Science and Technology Major Project</w:t>
      </w:r>
      <w:r>
        <w:rPr>
          <w:rFonts w:ascii="Book Antiqua" w:hAnsi="Book Antiqua" w:cs="Book Antiqua"/>
          <w:color w:val="000000"/>
          <w:lang w:eastAsia="zh-CN"/>
        </w:rPr>
        <w:t xml:space="preserve">, No. </w:t>
      </w:r>
      <w:r>
        <w:rPr>
          <w:rFonts w:ascii="Book Antiqua" w:eastAsia="Book Antiqua" w:hAnsi="Book Antiqua" w:cs="Book Antiqua"/>
          <w:color w:val="000000"/>
        </w:rPr>
        <w:t>2017ZX10202201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 xml:space="preserve">and the </w:t>
      </w:r>
      <w:r>
        <w:rPr>
          <w:rFonts w:ascii="Book Antiqua" w:eastAsia="Book Antiqua" w:hAnsi="Book Antiqua" w:cs="Book Antiqua"/>
          <w:color w:val="000000"/>
        </w:rPr>
        <w:t xml:space="preserve">National Natural </w:t>
      </w:r>
      <w:r>
        <w:rPr>
          <w:rFonts w:ascii="Book Antiqua" w:eastAsia="Book Antiqua" w:hAnsi="Book Antiqua" w:cs="Book Antiqua"/>
          <w:color w:val="000000"/>
        </w:rPr>
        <w:t>Science Foundation of China</w:t>
      </w:r>
      <w:r>
        <w:rPr>
          <w:rFonts w:ascii="Book Antiqua" w:hAnsi="Book Antiqua" w:cs="Book Antiqua"/>
          <w:color w:val="000000"/>
          <w:lang w:eastAsia="zh-CN"/>
        </w:rPr>
        <w:t xml:space="preserve">, No. </w:t>
      </w:r>
      <w:r>
        <w:rPr>
          <w:rFonts w:ascii="Book Antiqua" w:eastAsia="Book Antiqua" w:hAnsi="Book Antiqua" w:cs="Book Antiqua"/>
          <w:color w:val="000000"/>
        </w:rPr>
        <w:t>NSFC 81700529.</w:t>
      </w:r>
    </w:p>
    <w:p w14:paraId="236A1D60" w14:textId="77777777" w:rsidR="00F203DF" w:rsidRDefault="00F203DF">
      <w:pPr>
        <w:spacing w:line="360" w:lineRule="auto"/>
        <w:jc w:val="both"/>
        <w:rPr>
          <w:rFonts w:ascii="Book Antiqua" w:hAnsi="Book Antiqua"/>
        </w:rPr>
      </w:pPr>
    </w:p>
    <w:p w14:paraId="38F5BC0D"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Corresponding author: Qin Ning, Doctor, PhD, Chief Doctor, Professor, Research Scientist, </w:t>
      </w:r>
      <w:r>
        <w:rPr>
          <w:rFonts w:ascii="Book Antiqua" w:eastAsia="Book Antiqua" w:hAnsi="Book Antiqua" w:cs="Book Antiqua"/>
          <w:color w:val="000000"/>
        </w:rPr>
        <w:t>Department of Infectious Disease, Tongji Hospital of Tongji Medical College, Huazhong University of Science and Techn</w:t>
      </w:r>
      <w:r>
        <w:rPr>
          <w:rFonts w:ascii="Book Antiqua" w:eastAsia="Book Antiqua" w:hAnsi="Book Antiqua" w:cs="Book Antiqua"/>
          <w:color w:val="000000"/>
        </w:rPr>
        <w:t>ology</w:t>
      </w:r>
      <w:r>
        <w:rPr>
          <w:rFonts w:ascii="Book Antiqua" w:hAnsi="Book Antiqua" w:cs="Book Antiqua"/>
          <w:color w:val="000000"/>
          <w:lang w:eastAsia="zh-CN"/>
        </w:rPr>
        <w:t>,</w:t>
      </w:r>
      <w:r>
        <w:rPr>
          <w:rFonts w:ascii="Book Antiqua" w:eastAsia="Book Antiqua" w:hAnsi="Book Antiqua" w:cs="Book Antiqua"/>
          <w:color w:val="000000"/>
        </w:rPr>
        <w:t xml:space="preserve"> No.</w:t>
      </w:r>
      <w:r>
        <w:rPr>
          <w:rFonts w:ascii="Book Antiqua" w:hAnsi="Book Antiqua" w:cs="Book Antiqua"/>
          <w:color w:val="000000"/>
          <w:lang w:eastAsia="zh-CN"/>
        </w:rPr>
        <w:t xml:space="preserve"> </w:t>
      </w:r>
      <w:r>
        <w:rPr>
          <w:rFonts w:ascii="Book Antiqua" w:eastAsia="Book Antiqua" w:hAnsi="Book Antiqua" w:cs="Book Antiqua"/>
          <w:color w:val="000000"/>
        </w:rPr>
        <w:t>1095 Jiefang Avenue, Wuhan 430030, Hubei Province, China. qning@vip.sina.com</w:t>
      </w:r>
    </w:p>
    <w:p w14:paraId="463BFFD6" w14:textId="77777777" w:rsidR="00F203DF" w:rsidRDefault="00F203DF">
      <w:pPr>
        <w:spacing w:line="360" w:lineRule="auto"/>
        <w:jc w:val="both"/>
        <w:rPr>
          <w:rFonts w:ascii="Book Antiqua" w:hAnsi="Book Antiqua"/>
        </w:rPr>
      </w:pPr>
    </w:p>
    <w:p w14:paraId="06D288AA"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18, 2021</w:t>
      </w:r>
    </w:p>
    <w:p w14:paraId="55D1A604" w14:textId="77777777" w:rsidR="00F203DF" w:rsidRDefault="002B133B">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December 18, 2021</w:t>
      </w:r>
    </w:p>
    <w:p w14:paraId="66DAD37F"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8, 2022</w:t>
      </w:r>
    </w:p>
    <w:p w14:paraId="73F0AC7D"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January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2022</w:t>
      </w:r>
    </w:p>
    <w:p w14:paraId="73163330" w14:textId="77777777" w:rsidR="00F203DF" w:rsidRDefault="00F203DF">
      <w:pPr>
        <w:spacing w:line="360" w:lineRule="auto"/>
        <w:jc w:val="both"/>
        <w:rPr>
          <w:rFonts w:ascii="Book Antiqua" w:hAnsi="Book Antiqua"/>
        </w:rPr>
        <w:sectPr w:rsidR="00F203DF">
          <w:footerReference w:type="default" r:id="rId7"/>
          <w:pgSz w:w="12240" w:h="15840"/>
          <w:pgMar w:top="1440" w:right="1440" w:bottom="1440" w:left="1440" w:header="720" w:footer="720" w:gutter="0"/>
          <w:cols w:space="720"/>
          <w:docGrid w:linePitch="360"/>
        </w:sectPr>
      </w:pPr>
    </w:p>
    <w:p w14:paraId="35B6BB57"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E3DB8AB"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BACKGROUND</w:t>
      </w:r>
    </w:p>
    <w:p w14:paraId="60E25D9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Heterogeneous macrophages play an important role in multiple liver diseases, including viral fulminant hepatitis (VFH). Fibrinogen-like protein 2 (FGL2) is </w:t>
      </w:r>
      <w:r>
        <w:rPr>
          <w:rFonts w:ascii="Book Antiqua" w:eastAsia="Book Antiqua" w:hAnsi="Book Antiqua" w:cs="Book Antiqua"/>
          <w:color w:val="000000"/>
        </w:rPr>
        <w:t xml:space="preserve">expressed on macrophages and regulates VFH pathogenesis; however, the underlying mechanism remains unclear. </w:t>
      </w:r>
    </w:p>
    <w:p w14:paraId="672CA7FE" w14:textId="77777777" w:rsidR="00F203DF" w:rsidRDefault="00F203DF">
      <w:pPr>
        <w:spacing w:line="360" w:lineRule="auto"/>
        <w:jc w:val="both"/>
        <w:rPr>
          <w:rFonts w:ascii="Book Antiqua" w:hAnsi="Book Antiqua"/>
        </w:rPr>
      </w:pPr>
    </w:p>
    <w:p w14:paraId="3735A21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AIM</w:t>
      </w:r>
    </w:p>
    <w:p w14:paraId="1F9794D6"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To explore how FGL2 regulates macrophage function and subsequent liver injury during VFH. </w:t>
      </w:r>
    </w:p>
    <w:p w14:paraId="153598BB" w14:textId="77777777" w:rsidR="00F203DF" w:rsidRDefault="00F203DF">
      <w:pPr>
        <w:spacing w:line="360" w:lineRule="auto"/>
        <w:jc w:val="both"/>
        <w:rPr>
          <w:rFonts w:ascii="Book Antiqua" w:hAnsi="Book Antiqua"/>
        </w:rPr>
      </w:pPr>
    </w:p>
    <w:p w14:paraId="4431003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METHODS</w:t>
      </w:r>
    </w:p>
    <w:p w14:paraId="26E34136"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Murine hepatitis virus strain 3 (MHV-3) wa</w:t>
      </w:r>
      <w:r>
        <w:rPr>
          <w:rFonts w:ascii="Book Antiqua" w:eastAsia="Book Antiqua" w:hAnsi="Book Antiqua" w:cs="Book Antiqua"/>
          <w:color w:val="000000"/>
        </w:rPr>
        <w:t>s used to induce VFH in FGL2-deficient (</w:t>
      </w:r>
      <w:r>
        <w:rPr>
          <w:rFonts w:ascii="Book Antiqua" w:eastAsia="Book Antiqua" w:hAnsi="Book Antiqua" w:cs="Book Antiqua"/>
          <w:i/>
          <w:iCs/>
          <w:color w:val="000000"/>
        </w:rPr>
        <w:t>Fgl2-/-</w:t>
      </w:r>
      <w:r>
        <w:rPr>
          <w:rFonts w:ascii="Book Antiqua" w:eastAsia="Book Antiqua" w:hAnsi="Book Antiqua" w:cs="Book Antiqua"/>
          <w:color w:val="000000"/>
        </w:rPr>
        <w:t xml:space="preserve">) and wild-type (WT) mice. The dynamic constitution of hepatic macrophages was examined. Adoptive transfer of </w:t>
      </w:r>
      <w:r>
        <w:rPr>
          <w:rFonts w:ascii="Book Antiqua" w:eastAsia="Book Antiqua" w:hAnsi="Book Antiqua" w:cs="Book Antiqua"/>
          <w:i/>
          <w:iCs/>
          <w:color w:val="000000"/>
        </w:rPr>
        <w:t>Fgl2-/-</w:t>
      </w:r>
      <w:r>
        <w:rPr>
          <w:rFonts w:ascii="Book Antiqua" w:eastAsia="Book Antiqua" w:hAnsi="Book Antiqua" w:cs="Book Antiqua"/>
          <w:color w:val="000000"/>
        </w:rPr>
        <w:t xml:space="preserve"> or WT bone marrow-derived macrophages (BMDMs) into WT recipients with macrophages depleted </w:t>
      </w:r>
      <w:r>
        <w:rPr>
          <w:rFonts w:ascii="Book Antiqua" w:eastAsia="Book Antiqua" w:hAnsi="Book Antiqua" w:cs="Book Antiqua"/>
          <w:color w:val="000000"/>
        </w:rPr>
        <w:t>prior to infection was carried out and the consequent degree of liver damage was compared. The signaling cascades that may be regulated by FGL2 were detected in macrophages.</w:t>
      </w:r>
    </w:p>
    <w:p w14:paraId="774983AA" w14:textId="77777777" w:rsidR="00F203DF" w:rsidRDefault="00F203DF">
      <w:pPr>
        <w:spacing w:line="360" w:lineRule="auto"/>
        <w:jc w:val="both"/>
        <w:rPr>
          <w:rFonts w:ascii="Book Antiqua" w:hAnsi="Book Antiqua"/>
        </w:rPr>
      </w:pPr>
    </w:p>
    <w:p w14:paraId="5A4D02CC"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RESULTS</w:t>
      </w:r>
    </w:p>
    <w:p w14:paraId="577137A1"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Following MHV-3 infection, hepatic macrophages were largely replenished b</w:t>
      </w:r>
      <w:r>
        <w:rPr>
          <w:rFonts w:ascii="Book Antiqua" w:eastAsia="Book Antiqua" w:hAnsi="Book Antiqua" w:cs="Book Antiqua"/>
          <w:color w:val="000000"/>
        </w:rPr>
        <w:t xml:space="preserve">y proinflammatory monocyte-derived macrophages (MoMFs), which expressed high levels of FGL2.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the number of infiltrating inflammatory MoMFs was reduced compared with that in WT mice after viral infection. Macrophage depletion ameliorated li</w:t>
      </w:r>
      <w:r>
        <w:rPr>
          <w:rFonts w:ascii="Book Antiqua" w:eastAsia="Book Antiqua" w:hAnsi="Book Antiqua" w:cs="Book Antiqua"/>
          <w:color w:val="000000"/>
        </w:rPr>
        <w:t xml:space="preserve">ver damage in WT mice and further alleviated liver damage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Adoptive transfer of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into macrophage-removed recipients significantly reduced the degree of liver damage. Inhibition of monocyte infiltration also significantly amelio</w:t>
      </w:r>
      <w:r>
        <w:rPr>
          <w:rFonts w:ascii="Book Antiqua" w:eastAsia="Book Antiqua" w:hAnsi="Book Antiqua" w:cs="Book Antiqua"/>
          <w:color w:val="000000"/>
        </w:rPr>
        <w:t xml:space="preserve">rated liver damage. Functionally, </w:t>
      </w:r>
      <w:r>
        <w:rPr>
          <w:rFonts w:ascii="Book Antiqua" w:eastAsia="Book Antiqua" w:hAnsi="Book Antiqua" w:cs="Book Antiqua"/>
          <w:i/>
          <w:iCs/>
          <w:color w:val="000000"/>
        </w:rPr>
        <w:t>Fgl2</w:t>
      </w:r>
      <w:r>
        <w:rPr>
          <w:rFonts w:ascii="Book Antiqua" w:eastAsia="Book Antiqua" w:hAnsi="Book Antiqua" w:cs="Book Antiqua"/>
          <w:color w:val="000000"/>
        </w:rPr>
        <w:t xml:space="preserve"> deletion impaired macrophage phagocytosis and the antigen presentation potential and attenuated the proinflammatory phenotype. At the </w:t>
      </w:r>
      <w:r>
        <w:rPr>
          <w:rFonts w:ascii="Book Antiqua" w:eastAsia="Book Antiqua" w:hAnsi="Book Antiqua" w:cs="Book Antiqua"/>
          <w:color w:val="000000"/>
        </w:rPr>
        <w:lastRenderedPageBreak/>
        <w:t>molecular level, FGL2 deficiency impaired IRF3, IRF7, and p38 phosphorylation, alon</w:t>
      </w:r>
      <w:r>
        <w:rPr>
          <w:rFonts w:ascii="Book Antiqua" w:eastAsia="Book Antiqua" w:hAnsi="Book Antiqua" w:cs="Book Antiqua"/>
          <w:color w:val="000000"/>
        </w:rPr>
        <w:t xml:space="preserve">g with NF-κB activation in BMDMs in response to viral infection. </w:t>
      </w:r>
    </w:p>
    <w:p w14:paraId="2D700E6E" w14:textId="77777777" w:rsidR="00F203DF" w:rsidRDefault="00F203DF">
      <w:pPr>
        <w:spacing w:line="360" w:lineRule="auto"/>
        <w:jc w:val="both"/>
        <w:rPr>
          <w:rFonts w:ascii="Book Antiqua" w:hAnsi="Book Antiqua"/>
        </w:rPr>
      </w:pPr>
    </w:p>
    <w:p w14:paraId="3EE65DDD"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CONCLUSION</w:t>
      </w:r>
    </w:p>
    <w:p w14:paraId="26ABC13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Infiltrated MoMFs represent a major source of hepatic inflammation during VFH progression, and FGL2 expression on MoMFs maintains the proinflammatory phenotype</w:t>
      </w:r>
      <w:r>
        <w:rPr>
          <w:rFonts w:ascii="Book Antiqua" w:eastAsia="Book Antiqua" w:hAnsi="Book Antiqua" w:cs="Book Antiqua"/>
          <w:i/>
          <w:color w:val="000000"/>
        </w:rPr>
        <w:t xml:space="preserve"> via </w:t>
      </w:r>
      <w:r>
        <w:rPr>
          <w:rFonts w:ascii="Book Antiqua" w:eastAsia="Book Antiqua" w:hAnsi="Book Antiqua" w:cs="Book Antiqua"/>
          <w:color w:val="000000"/>
        </w:rPr>
        <w:t>p38-dependent positive feedback, contributing to VFH pathogenesis.</w:t>
      </w:r>
    </w:p>
    <w:p w14:paraId="261F9A2B" w14:textId="77777777" w:rsidR="00F203DF" w:rsidRDefault="00F203DF">
      <w:pPr>
        <w:spacing w:line="360" w:lineRule="auto"/>
        <w:jc w:val="both"/>
        <w:rPr>
          <w:rFonts w:ascii="Book Antiqua" w:hAnsi="Book Antiqua"/>
        </w:rPr>
      </w:pPr>
    </w:p>
    <w:p w14:paraId="256A38E4"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Viral fulminant hepatitis; Fibrinogen-like protein 2; Proinflammatory macrophages; Infiltrating macrophages; P38</w:t>
      </w:r>
    </w:p>
    <w:p w14:paraId="4F978371" w14:textId="77777777" w:rsidR="00223992" w:rsidRDefault="00223992" w:rsidP="00223992">
      <w:pPr>
        <w:spacing w:line="360" w:lineRule="auto"/>
        <w:jc w:val="both"/>
        <w:rPr>
          <w:lang w:eastAsia="zh-CN"/>
        </w:rPr>
      </w:pPr>
    </w:p>
    <w:p w14:paraId="029A74F3" w14:textId="77777777" w:rsidR="00223992" w:rsidRDefault="00223992" w:rsidP="0022399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7A853B28" w14:textId="77777777" w:rsidR="00223992" w:rsidRDefault="00223992" w:rsidP="00223992">
      <w:pPr>
        <w:spacing w:line="360" w:lineRule="auto"/>
        <w:jc w:val="both"/>
        <w:rPr>
          <w:lang w:eastAsia="zh-CN"/>
        </w:rPr>
      </w:pPr>
    </w:p>
    <w:p w14:paraId="6DDB0F70" w14:textId="6B8240D9" w:rsidR="00223992" w:rsidRDefault="00223992" w:rsidP="00223992">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B133B">
        <w:rPr>
          <w:rFonts w:ascii="Book Antiqua" w:eastAsia="Book Antiqua" w:hAnsi="Book Antiqua" w:cs="Book Antiqua" w:hint="eastAsia"/>
          <w:color w:val="000000"/>
        </w:rPr>
        <w:t xml:space="preserve">Xiao F, Wang HW, Hu JJ, Tao R, Weng XX, Wang P, Wu D, Wang </w:t>
      </w:r>
      <w:r w:rsidR="002B133B">
        <w:rPr>
          <w:rFonts w:ascii="Book Antiqua" w:eastAsia="Book Antiqua" w:hAnsi="Book Antiqua" w:cs="Book Antiqua" w:hint="eastAsia"/>
          <w:color w:val="000000"/>
        </w:rPr>
        <w:t>XJ, Yan WM, Xi</w:t>
      </w:r>
      <w:r w:rsidR="002B133B">
        <w:rPr>
          <w:rFonts w:ascii="Book Antiqua" w:eastAsia="宋体" w:hAnsi="Book Antiqua" w:cs="Book Antiqua" w:hint="eastAsia"/>
          <w:color w:val="000000"/>
          <w:lang w:eastAsia="zh-CN"/>
        </w:rPr>
        <w:t xml:space="preserve"> </w:t>
      </w:r>
      <w:r w:rsidR="002B133B">
        <w:rPr>
          <w:rFonts w:ascii="Book Antiqua" w:eastAsia="Book Antiqua" w:hAnsi="Book Antiqua" w:cs="Book Antiqua" w:hint="eastAsia"/>
          <w:color w:val="000000"/>
        </w:rPr>
        <w:t>D, Luo XP, Wan XY, Ning Q.</w:t>
      </w:r>
      <w:r w:rsidR="002B133B">
        <w:rPr>
          <w:rFonts w:ascii="Book Antiqua" w:eastAsia="Book Antiqua" w:hAnsi="Book Antiqua" w:cs="Book Antiqua"/>
          <w:color w:val="000000"/>
        </w:rPr>
        <w:t xml:space="preserve"> Fibrinogen-like protein 2 deficiency inhibits virus-induced fulminant hepatitis through abrogating inflammatory macrophage activation. </w:t>
      </w:r>
      <w:r w:rsidR="002B133B">
        <w:rPr>
          <w:rFonts w:ascii="Book Antiqua" w:eastAsia="Book Antiqua" w:hAnsi="Book Antiqua" w:cs="Book Antiqua"/>
          <w:i/>
          <w:iCs/>
          <w:color w:val="000000"/>
        </w:rPr>
        <w:t>World J Gastroenterol</w:t>
      </w:r>
      <w:r w:rsidR="002B133B">
        <w:rPr>
          <w:rFonts w:ascii="Book Antiqua" w:eastAsia="Book Antiqua" w:hAnsi="Book Antiqua" w:cs="Book Antiqua"/>
          <w:color w:val="000000"/>
        </w:rPr>
        <w:t xml:space="preserve"> 202</w:t>
      </w:r>
      <w:r w:rsidR="002B133B">
        <w:rPr>
          <w:rFonts w:ascii="Book Antiqua" w:hAnsi="Book Antiqua" w:cs="Book Antiqua"/>
          <w:color w:val="000000"/>
          <w:lang w:eastAsia="zh-CN"/>
        </w:rPr>
        <w:t>2</w:t>
      </w:r>
      <w:r w:rsidR="002B133B">
        <w:rPr>
          <w:rFonts w:ascii="Book Antiqua" w:eastAsia="Book Antiqua" w:hAnsi="Book Antiqua" w:cs="Book Antiqua"/>
          <w:color w:val="000000"/>
        </w:rPr>
        <w:t xml:space="preserve">; </w:t>
      </w:r>
      <w:r w:rsidR="002B133B">
        <w:rPr>
          <w:rFonts w:ascii="Book Antiqua" w:eastAsia="Book Antiqua" w:hAnsi="Book Antiqua" w:cs="Book Antiqua" w:hint="eastAsia"/>
          <w:color w:val="000000"/>
        </w:rPr>
        <w:t>2</w:t>
      </w:r>
      <w:r w:rsidR="002B133B">
        <w:rPr>
          <w:rFonts w:ascii="Book Antiqua" w:eastAsia="宋体" w:hAnsi="Book Antiqua" w:cs="Book Antiqua" w:hint="eastAsia"/>
          <w:color w:val="000000"/>
          <w:lang w:eastAsia="zh-CN"/>
        </w:rPr>
        <w:t>8</w:t>
      </w:r>
      <w:r w:rsidR="002B133B">
        <w:rPr>
          <w:rFonts w:ascii="Book Antiqua" w:eastAsia="Book Antiqua" w:hAnsi="Book Antiqua" w:cs="Book Antiqua" w:hint="eastAsia"/>
          <w:color w:val="000000"/>
        </w:rPr>
        <w:t>(</w:t>
      </w:r>
      <w:r w:rsidR="002B133B">
        <w:rPr>
          <w:rFonts w:ascii="Book Antiqua" w:eastAsia="宋体" w:hAnsi="Book Antiqua" w:cs="Book Antiqua" w:hint="eastAsia"/>
          <w:color w:val="000000"/>
          <w:lang w:eastAsia="zh-CN"/>
        </w:rPr>
        <w:t>4</w:t>
      </w:r>
      <w:r w:rsidR="002B133B">
        <w:rPr>
          <w:rFonts w:ascii="Book Antiqua" w:eastAsia="Book Antiqua" w:hAnsi="Book Antiqua" w:cs="Book Antiqua" w:hint="eastAsia"/>
          <w:color w:val="000000"/>
        </w:rPr>
        <w:t xml:space="preserve">): </w:t>
      </w:r>
      <w:r w:rsidR="008D7C31">
        <w:rPr>
          <w:rFonts w:ascii="Book Antiqua" w:hAnsi="Book Antiqua" w:cs="Book Antiqua"/>
          <w:color w:val="000000"/>
          <w:lang w:bidi="ar"/>
        </w:rPr>
        <w:t>479-496</w:t>
      </w:r>
    </w:p>
    <w:p w14:paraId="0B94993C" w14:textId="758F01EF" w:rsidR="00223992" w:rsidRDefault="002B133B" w:rsidP="00223992">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https://www.wjgnet.com/1007-</w:t>
      </w:r>
      <w:r>
        <w:rPr>
          <w:rFonts w:ascii="Book Antiqua" w:eastAsia="Book Antiqua" w:hAnsi="Book Antiqua" w:cs="Book Antiqua" w:hint="eastAsia"/>
          <w:color w:val="000000"/>
        </w:rPr>
        <w:t>9327/full/v2</w:t>
      </w:r>
      <w:r>
        <w:rPr>
          <w:rFonts w:ascii="Book Antiqua" w:eastAsia="宋体" w:hAnsi="Book Antiqua" w:cs="Book Antiqua" w:hint="eastAsia"/>
          <w:color w:val="000000"/>
          <w:lang w:eastAsia="zh-CN"/>
        </w:rPr>
        <w:t>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8D7C31">
        <w:rPr>
          <w:rFonts w:ascii="Book Antiqua" w:hAnsi="Book Antiqua" w:cs="Book Antiqua"/>
          <w:color w:val="000000"/>
          <w:lang w:bidi="ar"/>
        </w:rPr>
        <w:t>479</w:t>
      </w:r>
      <w:r>
        <w:rPr>
          <w:rFonts w:ascii="Book Antiqua" w:eastAsia="Book Antiqua" w:hAnsi="Book Antiqua" w:cs="Book Antiqua" w:hint="eastAsia"/>
          <w:color w:val="000000"/>
        </w:rPr>
        <w:t xml:space="preserve">.htm  </w:t>
      </w:r>
    </w:p>
    <w:p w14:paraId="07E1B132" w14:textId="58A06E8A" w:rsidR="00F203DF" w:rsidRDefault="002B133B" w:rsidP="00223992">
      <w:pPr>
        <w:spacing w:line="360" w:lineRule="auto"/>
        <w:jc w:val="both"/>
        <w:rPr>
          <w:rFonts w:ascii="Book Antiqua" w:hAnsi="Book Antiqua"/>
        </w:rPr>
      </w:pPr>
      <w:r>
        <w:rPr>
          <w:rFonts w:ascii="Book Antiqua" w:eastAsia="Book Antiqua" w:hAnsi="Book Antiqua" w:cs="Book Antiqua" w:hint="eastAsia"/>
          <w:color w:val="000000"/>
        </w:rPr>
        <w:t>DOI: https://dx.doi.org/10.3748/wjg.v2</w:t>
      </w:r>
      <w:r>
        <w:rPr>
          <w:rFonts w:ascii="Book Antiqua" w:eastAsia="宋体" w:hAnsi="Book Antiqua" w:cs="Book Antiqua" w:hint="eastAsia"/>
          <w:color w:val="000000"/>
          <w:lang w:eastAsia="zh-CN"/>
        </w:rPr>
        <w:t>8</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sidR="008D7C31">
        <w:rPr>
          <w:rFonts w:ascii="Book Antiqua" w:hAnsi="Book Antiqua" w:cs="Book Antiqua"/>
          <w:color w:val="000000"/>
          <w:lang w:bidi="ar"/>
        </w:rPr>
        <w:t>479</w:t>
      </w:r>
    </w:p>
    <w:p w14:paraId="78578288" w14:textId="77777777" w:rsidR="00F203DF" w:rsidRDefault="00F203DF">
      <w:pPr>
        <w:spacing w:line="360" w:lineRule="auto"/>
        <w:jc w:val="both"/>
        <w:rPr>
          <w:rFonts w:ascii="Book Antiqua" w:eastAsia="Book Antiqua" w:hAnsi="Book Antiqua" w:cs="Book Antiqua"/>
          <w:b/>
          <w:bCs/>
          <w:color w:val="000000"/>
        </w:rPr>
      </w:pPr>
    </w:p>
    <w:p w14:paraId="5037A486"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study, we demonstrate that</w:t>
      </w:r>
      <w:r>
        <w:rPr>
          <w:rFonts w:ascii="Book Antiqua" w:hAnsi="Book Antiqua" w:cs="Book Antiqua"/>
          <w:color w:val="000000"/>
          <w:lang w:eastAsia="zh-CN"/>
        </w:rPr>
        <w:t>:</w:t>
      </w:r>
      <w:r>
        <w:rPr>
          <w:rFonts w:ascii="Book Antiqua" w:eastAsia="Book Antiqua" w:hAnsi="Book Antiqua" w:cs="Book Antiqua"/>
          <w:color w:val="000000"/>
        </w:rPr>
        <w:t xml:space="preserve"> (1) </w:t>
      </w:r>
      <w:r>
        <w:rPr>
          <w:rFonts w:ascii="Book Antiqua" w:hAnsi="Book Antiqua" w:cs="Book Antiqua"/>
          <w:color w:val="000000"/>
          <w:lang w:eastAsia="zh-CN"/>
        </w:rPr>
        <w:t>M</w:t>
      </w:r>
      <w:r>
        <w:rPr>
          <w:rFonts w:ascii="Book Antiqua" w:eastAsia="Book Antiqua" w:hAnsi="Book Antiqua" w:cs="Book Antiqua"/>
          <w:color w:val="000000"/>
        </w:rPr>
        <w:t>onocytes infiltrating the liver represent a major source of hepatic inflammation, which has a decisive effect on the pathogenesis</w:t>
      </w:r>
      <w:r>
        <w:rPr>
          <w:rFonts w:ascii="Book Antiqua" w:eastAsia="Book Antiqua" w:hAnsi="Book Antiqua" w:cs="Book Antiqua"/>
          <w:color w:val="000000"/>
        </w:rPr>
        <w:t xml:space="preserve"> of viral fulminant hepatitis; (2) </w:t>
      </w:r>
      <w:r>
        <w:rPr>
          <w:rFonts w:ascii="Book Antiqua" w:hAnsi="Book Antiqua" w:cs="Book Antiqua"/>
          <w:color w:val="000000"/>
          <w:lang w:eastAsia="zh-CN"/>
        </w:rPr>
        <w:t>V</w:t>
      </w:r>
      <w:r>
        <w:rPr>
          <w:rFonts w:ascii="Book Antiqua" w:eastAsia="Book Antiqua" w:hAnsi="Book Antiqua" w:cs="Book Antiqua"/>
          <w:color w:val="000000"/>
        </w:rPr>
        <w:t>iral infection induces FGL2 expression on macrophages, which is required for maintaining the inflammatory phenotype and cell function; and (3) FGL2 generates a positive feedback loop of an inflammatory cascade in macroph</w:t>
      </w:r>
      <w:r>
        <w:rPr>
          <w:rFonts w:ascii="Book Antiqua" w:eastAsia="Book Antiqua" w:hAnsi="Book Antiqua" w:cs="Book Antiqua"/>
          <w:color w:val="000000"/>
        </w:rPr>
        <w:t>ages in response to viral infection.</w:t>
      </w:r>
    </w:p>
    <w:p w14:paraId="01AF921C" w14:textId="77777777" w:rsidR="00F203DF" w:rsidRDefault="00F203DF">
      <w:pPr>
        <w:spacing w:line="360" w:lineRule="auto"/>
        <w:jc w:val="both"/>
        <w:rPr>
          <w:rFonts w:ascii="Book Antiqua" w:hAnsi="Book Antiqua"/>
        </w:rPr>
      </w:pPr>
    </w:p>
    <w:p w14:paraId="4784DF17" w14:textId="77777777" w:rsidR="00F203DF" w:rsidRDefault="002B133B">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F6F418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Viral fulminant hepatitis (VFH) is a type of acute liver failure (ALF) that can develop after viral infection in patients with hepatitis A, hepatitis B, and hepatitis E. VFH is a devastating syndrome char</w:t>
      </w:r>
      <w:r>
        <w:rPr>
          <w:rFonts w:ascii="Book Antiqua" w:eastAsia="Book Antiqua" w:hAnsi="Book Antiqua" w:cs="Book Antiqua"/>
          <w:color w:val="000000"/>
        </w:rPr>
        <w:t>acterized by severe liver injury with coagulation abnormalities and hepatic encephalopathy</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w:t>
      </w:r>
      <w:r>
        <w:rPr>
          <w:rFonts w:ascii="Book Antiqua" w:eastAsia="Book Antiqua" w:hAnsi="Book Antiqua" w:cs="Book Antiqua"/>
          <w:color w:val="000000"/>
        </w:rPr>
        <w:t xml:space="preserve">. Pathologically, acute liver injury and subsequent massive hepatocyte loss are caused by hyperactivation of the innate immune response, followed by an </w:t>
      </w:r>
      <w:r>
        <w:rPr>
          <w:rFonts w:ascii="Book Antiqua" w:eastAsia="Book Antiqua" w:hAnsi="Book Antiqua" w:cs="Book Antiqua"/>
          <w:color w:val="000000"/>
        </w:rPr>
        <w:t>excessive adaptive immune response to viral infection, leading to systemic inflammation. Innate immune cells, activated by pathogen-associated molecular patterns (PAMPs) from invading pathogens, damage-associated molecular patterns (DAMPs) released from ne</w:t>
      </w:r>
      <w:r>
        <w:rPr>
          <w:rFonts w:ascii="Book Antiqua" w:eastAsia="Book Antiqua" w:hAnsi="Book Antiqua" w:cs="Book Antiqua"/>
          <w:color w:val="000000"/>
        </w:rPr>
        <w:t>crotic cells, and afferent endotoxins from the portal vein, are dominant in conditions of sterile inflammation and non-virus-associated ALF</w:t>
      </w:r>
      <w:r>
        <w:rPr>
          <w:rFonts w:ascii="Book Antiqua" w:hAnsi="Book Antiqua" w:cs="Book Antiqua"/>
          <w:color w:val="000000"/>
          <w:vertAlign w:val="superscript"/>
          <w:lang w:eastAsia="zh-CN"/>
        </w:rPr>
        <w:t>[2,3]</w:t>
      </w:r>
      <w:r>
        <w:rPr>
          <w:rFonts w:ascii="Book Antiqua" w:eastAsia="Book Antiqua" w:hAnsi="Book Antiqua" w:cs="Book Antiqua"/>
          <w:color w:val="000000"/>
        </w:rPr>
        <w:t>. Adaptive immunity activated by PAMPs seems to play a more important role in VFH than innate immunity because o</w:t>
      </w:r>
      <w:r>
        <w:rPr>
          <w:rFonts w:ascii="Book Antiqua" w:eastAsia="Book Antiqua" w:hAnsi="Book Antiqua" w:cs="Book Antiqua"/>
          <w:color w:val="000000"/>
        </w:rPr>
        <w:t>f the exposure to abundant viral antigens presented by antigen-presenting cells</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4,5</w:t>
      </w:r>
      <w:r>
        <w:rPr>
          <w:rFonts w:ascii="Book Antiqua" w:hAnsi="Book Antiqua" w:cs="Book Antiqua"/>
          <w:color w:val="000000"/>
          <w:vertAlign w:val="superscript"/>
          <w:lang w:eastAsia="zh-CN"/>
        </w:rPr>
        <w:t>]</w:t>
      </w:r>
      <w:r>
        <w:rPr>
          <w:rFonts w:ascii="Book Antiqua" w:eastAsia="Book Antiqua" w:hAnsi="Book Antiqua" w:cs="Book Antiqua"/>
          <w:color w:val="000000"/>
        </w:rPr>
        <w:t>. However, the extent of the contribution of innate immunity in generating viral antigens or DAMPs in VFH is not well defined.</w:t>
      </w:r>
    </w:p>
    <w:p w14:paraId="7A32F15F"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Liver-resident macrophages, also known as Kup</w:t>
      </w:r>
      <w:r>
        <w:rPr>
          <w:rFonts w:ascii="Book Antiqua" w:eastAsia="Book Antiqua" w:hAnsi="Book Antiqua" w:cs="Book Antiqua"/>
          <w:color w:val="000000"/>
        </w:rPr>
        <w:t>ffer cells (KCs), are the largest population of hepatic immune cells that play an essential role in maintaining liver homeostasis and ensure rapid responses to hepatic insults</w:t>
      </w:r>
      <w:r>
        <w:rPr>
          <w:rFonts w:ascii="Book Antiqua" w:hAnsi="Book Antiqua" w:cs="Book Antiqua"/>
          <w:color w:val="000000"/>
          <w:vertAlign w:val="superscript"/>
          <w:lang w:eastAsia="zh-CN"/>
        </w:rPr>
        <w:t>[6]</w:t>
      </w:r>
      <w:r>
        <w:rPr>
          <w:rFonts w:ascii="Book Antiqua" w:eastAsia="Book Antiqua" w:hAnsi="Book Antiqua" w:cs="Book Antiqua"/>
          <w:color w:val="000000"/>
        </w:rPr>
        <w:t>. Monocyte-derived macrophages (MoMFs) are an ontologically distinct subpopula</w:t>
      </w:r>
      <w:r>
        <w:rPr>
          <w:rFonts w:ascii="Book Antiqua" w:eastAsia="Book Antiqua" w:hAnsi="Book Antiqua" w:cs="Book Antiqua"/>
          <w:color w:val="000000"/>
        </w:rPr>
        <w:t>tion of hepatic macrophages, which are found in only small numbers under physiological conditions and then serve to replenish the macrophage population during liver injury</w:t>
      </w:r>
      <w:r>
        <w:rPr>
          <w:rFonts w:ascii="Book Antiqua" w:hAnsi="Book Antiqua" w:cs="Book Antiqua"/>
          <w:color w:val="000000"/>
          <w:vertAlign w:val="superscript"/>
          <w:lang w:eastAsia="zh-CN"/>
        </w:rPr>
        <w:t>[7]</w:t>
      </w:r>
      <w:r>
        <w:rPr>
          <w:rFonts w:ascii="Book Antiqua" w:eastAsia="Book Antiqua" w:hAnsi="Book Antiqua" w:cs="Book Antiqua"/>
          <w:color w:val="000000"/>
        </w:rPr>
        <w:t>. Macrophages are generally classified into proinflammatory (M1) and anti-inflamma</w:t>
      </w:r>
      <w:r>
        <w:rPr>
          <w:rFonts w:ascii="Book Antiqua" w:eastAsia="Book Antiqua" w:hAnsi="Book Antiqua" w:cs="Book Antiqua"/>
          <w:color w:val="000000"/>
        </w:rPr>
        <w:t>tory (M2) macrophages (or alternatively activated macrophages), phenotypically corresponding to T helper (Th)1 and Th2 responses, respectively. However, the spectrum of macrophage classification remains obscure as the transition between macrophage subtypes</w:t>
      </w:r>
      <w:r>
        <w:rPr>
          <w:rFonts w:ascii="Book Antiqua" w:eastAsia="Book Antiqua" w:hAnsi="Book Antiqua" w:cs="Book Antiqua"/>
          <w:color w:val="000000"/>
        </w:rPr>
        <w:t xml:space="preserve"> occurs in response to microenvironment mediators</w:t>
      </w:r>
      <w:r>
        <w:rPr>
          <w:rFonts w:ascii="Book Antiqua" w:hAnsi="Book Antiqua" w:cs="Book Antiqua"/>
          <w:color w:val="000000"/>
          <w:vertAlign w:val="superscript"/>
          <w:lang w:eastAsia="zh-CN"/>
        </w:rPr>
        <w:t>[8,9]</w:t>
      </w:r>
      <w:r>
        <w:rPr>
          <w:rFonts w:ascii="Book Antiqua" w:eastAsia="Book Antiqua" w:hAnsi="Book Antiqua" w:cs="Book Antiqua"/>
          <w:color w:val="000000"/>
        </w:rPr>
        <w:t xml:space="preserve">. Dynamic alterations in KC and MoMF populations were observed in the context of sterile inflammation in an experimental model of ALF induced by </w:t>
      </w:r>
      <w:r>
        <w:rPr>
          <w:rFonts w:ascii="Book Antiqua" w:eastAsia="Book Antiqua" w:hAnsi="Book Antiqua" w:cs="Book Antiqua"/>
          <w:color w:val="000000"/>
          <w:shd w:val="clear" w:color="auto" w:fill="FFFFFF"/>
        </w:rPr>
        <w:t xml:space="preserve">acetaminophen </w:t>
      </w:r>
      <w:r>
        <w:rPr>
          <w:rFonts w:ascii="Book Antiqua" w:eastAsia="Book Antiqua" w:hAnsi="Book Antiqua" w:cs="Book Antiqua"/>
          <w:color w:val="000000"/>
        </w:rPr>
        <w:t xml:space="preserve">overdose, with replacement of KCs by MoMFs </w:t>
      </w:r>
      <w:r>
        <w:rPr>
          <w:rFonts w:ascii="Book Antiqua" w:eastAsia="Book Antiqua" w:hAnsi="Book Antiqua" w:cs="Book Antiqua"/>
          <w:color w:val="000000"/>
        </w:rPr>
        <w:t>during disease progression</w:t>
      </w:r>
      <w:r>
        <w:rPr>
          <w:rFonts w:ascii="Book Antiqua" w:hAnsi="Book Antiqua" w:cs="Book Antiqua"/>
          <w:color w:val="000000"/>
          <w:vertAlign w:val="superscript"/>
          <w:lang w:eastAsia="zh-CN"/>
        </w:rPr>
        <w:t>[10]</w:t>
      </w:r>
      <w:r>
        <w:rPr>
          <w:rFonts w:ascii="Book Antiqua" w:eastAsia="Book Antiqua" w:hAnsi="Book Antiqua" w:cs="Book Antiqua"/>
          <w:color w:val="000000"/>
        </w:rPr>
        <w:t xml:space="preserve">. Further analyses of this model revealed </w:t>
      </w:r>
      <w:r>
        <w:rPr>
          <w:rFonts w:ascii="Book Antiqua" w:eastAsia="Book Antiqua" w:hAnsi="Book Antiqua" w:cs="Book Antiqua"/>
          <w:color w:val="000000"/>
        </w:rPr>
        <w:lastRenderedPageBreak/>
        <w:t>differential subsets of macrophages showing the protective and detrimental characteristics of KCs and MoMFs during the course of acetaminophen-induced ALF</w:t>
      </w:r>
      <w:r>
        <w:rPr>
          <w:rFonts w:ascii="Book Antiqua" w:hAnsi="Book Antiqua" w:cs="Book Antiqua"/>
          <w:color w:val="000000"/>
          <w:vertAlign w:val="superscript"/>
          <w:lang w:eastAsia="zh-CN"/>
        </w:rPr>
        <w:t>[10,11]</w:t>
      </w:r>
      <w:r>
        <w:rPr>
          <w:rFonts w:ascii="Book Antiqua" w:eastAsia="Book Antiqua" w:hAnsi="Book Antiqua" w:cs="Book Antiqua"/>
          <w:color w:val="000000"/>
        </w:rPr>
        <w:t>. Moreover, an increase</w:t>
      </w:r>
      <w:r>
        <w:rPr>
          <w:rFonts w:ascii="Book Antiqua" w:eastAsia="Book Antiqua" w:hAnsi="Book Antiqua" w:cs="Book Antiqua"/>
          <w:color w:val="000000"/>
        </w:rPr>
        <w:t xml:space="preserve"> in the number of MoMFs with potent activity has been observed in non-pregnant patients with hepatitis E-associated ALF compared with that in pregnant patients. In a model of experimental VFH, hepatic leukocyte numbers were found to increase at an early st</w:t>
      </w:r>
      <w:r>
        <w:rPr>
          <w:rFonts w:ascii="Book Antiqua" w:eastAsia="Book Antiqua" w:hAnsi="Book Antiqua" w:cs="Book Antiqua"/>
          <w:color w:val="000000"/>
        </w:rPr>
        <w:t>age of liver injury</w:t>
      </w:r>
      <w:r>
        <w:rPr>
          <w:rFonts w:ascii="Book Antiqua" w:hAnsi="Book Antiqua" w:cs="Book Antiqua"/>
          <w:color w:val="000000"/>
          <w:vertAlign w:val="superscript"/>
          <w:lang w:eastAsia="zh-CN"/>
        </w:rPr>
        <w:t>[12]</w:t>
      </w:r>
      <w:r>
        <w:rPr>
          <w:rFonts w:ascii="Book Antiqua" w:eastAsia="Book Antiqua" w:hAnsi="Book Antiqua" w:cs="Book Antiqua"/>
          <w:color w:val="000000"/>
        </w:rPr>
        <w:t>, suggesting the involvement of macrophages in disease progression. However, further investigation is needed to elucidate the precise roles of the distinct subpopulations of hepatic macrophages in VFH.</w:t>
      </w:r>
    </w:p>
    <w:p w14:paraId="0F62D555"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Fibrinogen-like protein 2 (FGL2</w:t>
      </w:r>
      <w:r>
        <w:rPr>
          <w:rFonts w:ascii="Book Antiqua" w:eastAsia="Book Antiqua" w:hAnsi="Book Antiqua" w:cs="Book Antiqua"/>
          <w:color w:val="000000"/>
        </w:rPr>
        <w:t>), a membrane protein with prothrombinase at the N-terminal, is expressed in a variety of cells, such as macrophages, dendritic cells, and endothelial cells, and can be induced robustly and exclusively in macrophages in response to stimulation with cytokin</w:t>
      </w:r>
      <w:r>
        <w:rPr>
          <w:rFonts w:ascii="Book Antiqua" w:eastAsia="Book Antiqua" w:hAnsi="Book Antiqua" w:cs="Book Antiqua"/>
          <w:color w:val="000000"/>
        </w:rPr>
        <w:t>es [interferon (IFN)-gamma or tumor necrosis factor (TNF)-α), viral infection, and lipopolysaccharide (LPS)</w:t>
      </w:r>
      <w:r>
        <w:rPr>
          <w:rFonts w:ascii="Book Antiqua" w:hAnsi="Book Antiqua" w:cs="Book Antiqua"/>
          <w:color w:val="000000"/>
          <w:vertAlign w:val="superscript"/>
          <w:lang w:eastAsia="zh-CN"/>
        </w:rPr>
        <w:t>[7,13]</w:t>
      </w:r>
      <w:r>
        <w:rPr>
          <w:rFonts w:ascii="Book Antiqua" w:eastAsia="Book Antiqua" w:hAnsi="Book Antiqua" w:cs="Book Antiqua"/>
          <w:color w:val="000000"/>
        </w:rPr>
        <w:t>. This suggests that FGL2 itself is a critical mediator of inflammation in that the interaction between inflammation and coagulation is recipro</w:t>
      </w:r>
      <w:r>
        <w:rPr>
          <w:rFonts w:ascii="Book Antiqua" w:eastAsia="Book Antiqua" w:hAnsi="Book Antiqua" w:cs="Book Antiqua"/>
          <w:color w:val="000000"/>
        </w:rPr>
        <w:t>cally exacerbated in terms of inflammatory cytokine production and tissue factor secretion</w:t>
      </w:r>
      <w:r>
        <w:rPr>
          <w:rFonts w:ascii="Book Antiqua" w:hAnsi="Book Antiqua" w:cs="Book Antiqua"/>
          <w:color w:val="000000"/>
          <w:vertAlign w:val="superscript"/>
          <w:lang w:eastAsia="zh-CN"/>
        </w:rPr>
        <w:t>[11]</w:t>
      </w:r>
      <w:r>
        <w:rPr>
          <w:rFonts w:ascii="Book Antiqua" w:eastAsia="Book Antiqua" w:hAnsi="Book Antiqua" w:cs="Book Antiqua"/>
          <w:color w:val="000000"/>
        </w:rPr>
        <w:t>. FGL2 deficiency was shown to prevent the development of VFH in mice following experimental murine hepatitis virus strain 3 (MHV-3) infection; this effect was sp</w:t>
      </w:r>
      <w:r>
        <w:rPr>
          <w:rFonts w:ascii="Book Antiqua" w:eastAsia="Book Antiqua" w:hAnsi="Book Antiqua" w:cs="Book Antiqua"/>
          <w:color w:val="000000"/>
        </w:rPr>
        <w:t>eculated to be mainly dependent on its ability to regulate procoagulant activity, as evidenced by concomitant expression of FGL2 and fibrinogen production</w:t>
      </w:r>
      <w:r>
        <w:rPr>
          <w:rFonts w:ascii="Book Antiqua" w:hAnsi="Book Antiqua" w:cs="Book Antiqua"/>
          <w:color w:val="000000"/>
          <w:vertAlign w:val="superscript"/>
          <w:lang w:eastAsia="zh-CN"/>
        </w:rPr>
        <w:t>[14]</w:t>
      </w:r>
      <w:r>
        <w:rPr>
          <w:rFonts w:ascii="Book Antiqua" w:eastAsia="Book Antiqua" w:hAnsi="Book Antiqua" w:cs="Book Antiqua"/>
          <w:color w:val="000000"/>
        </w:rPr>
        <w:t>. Emerging evidence suggests that FGL2 is a downstream effector molecule in the inflammatory casca</w:t>
      </w:r>
      <w:r>
        <w:rPr>
          <w:rFonts w:ascii="Book Antiqua" w:eastAsia="Book Antiqua" w:hAnsi="Book Antiqua" w:cs="Book Antiqua"/>
          <w:color w:val="000000"/>
        </w:rPr>
        <w:t>des associated with VFH development and progression, which involve C5aR, TNF-α, and MSR1</w:t>
      </w:r>
      <w:r>
        <w:rPr>
          <w:rFonts w:ascii="Book Antiqua" w:hAnsi="Book Antiqua" w:cs="Book Antiqua"/>
          <w:color w:val="000000"/>
          <w:vertAlign w:val="superscript"/>
          <w:lang w:eastAsia="zh-CN"/>
        </w:rPr>
        <w:t>[7,12,15,16]</w:t>
      </w:r>
      <w:r>
        <w:rPr>
          <w:rFonts w:ascii="Book Antiqua" w:eastAsia="Book Antiqua" w:hAnsi="Book Antiqua" w:cs="Book Antiqua"/>
          <w:color w:val="000000"/>
        </w:rPr>
        <w:t>. Interestingly, complement activation, a critical step for inflammation initiation, has also been observed in FGL2-deficient mice following MHV-3 infection</w:t>
      </w:r>
      <w:r>
        <w:rPr>
          <w:rFonts w:ascii="Book Antiqua" w:hAnsi="Book Antiqua" w:cs="Book Antiqua"/>
          <w:color w:val="000000"/>
          <w:vertAlign w:val="superscript"/>
          <w:lang w:eastAsia="zh-CN"/>
        </w:rPr>
        <w:t>[16]</w:t>
      </w:r>
      <w:r>
        <w:rPr>
          <w:rFonts w:ascii="Book Antiqua" w:eastAsia="Book Antiqua" w:hAnsi="Book Antiqua" w:cs="Book Antiqua"/>
          <w:color w:val="000000"/>
        </w:rPr>
        <w:t>, highlighting a complex regulatory network of inflammation involving FGL2 and other effectors. Therefore, we hypothesized that FGL2 plays a role in the reconstitution of hepatic macrophages to regulate proinflammatory macrophage activation that contri</w:t>
      </w:r>
      <w:r>
        <w:rPr>
          <w:rFonts w:ascii="Book Antiqua" w:eastAsia="Book Antiqua" w:hAnsi="Book Antiqua" w:cs="Book Antiqua"/>
          <w:color w:val="000000"/>
        </w:rPr>
        <w:t>butes to VFH progression and exacerbation. To test this hypothesis, we first explored the hepatic macrophage composition and expression pattern of FGL2 during the progression of VFH in patients with and without hepatitis B virus (HBV)-</w:t>
      </w:r>
      <w:r>
        <w:rPr>
          <w:rFonts w:ascii="Book Antiqua" w:eastAsia="Book Antiqua" w:hAnsi="Book Antiqua" w:cs="Book Antiqua"/>
          <w:color w:val="000000"/>
        </w:rPr>
        <w:lastRenderedPageBreak/>
        <w:t>associated acute-on-c</w:t>
      </w:r>
      <w:r>
        <w:rPr>
          <w:rFonts w:ascii="Book Antiqua" w:eastAsia="Book Antiqua" w:hAnsi="Book Antiqua" w:cs="Book Antiqua"/>
          <w:color w:val="000000"/>
        </w:rPr>
        <w:t>hronic liver failure</w:t>
      </w:r>
      <w:r>
        <w:rPr>
          <w:rFonts w:ascii="Book Antiqua" w:eastAsia="Book Antiqua" w:hAnsi="Book Antiqua" w:cs="Book Antiqua"/>
          <w:b/>
          <w:bCs/>
          <w:color w:val="000000"/>
        </w:rPr>
        <w:t xml:space="preserve"> </w:t>
      </w:r>
      <w:r>
        <w:rPr>
          <w:rFonts w:ascii="Book Antiqua" w:eastAsia="Book Antiqua" w:hAnsi="Book Antiqua" w:cs="Book Antiqua"/>
          <w:color w:val="000000"/>
        </w:rPr>
        <w:t>(ACLF), since the pathology of ACLF closely resembles that of ALF</w:t>
      </w:r>
      <w:r>
        <w:rPr>
          <w:rFonts w:ascii="Book Antiqua" w:hAnsi="Book Antiqua" w:cs="Book Antiqua"/>
          <w:color w:val="000000"/>
          <w:vertAlign w:val="superscript"/>
          <w:lang w:eastAsia="zh-CN"/>
        </w:rPr>
        <w:t>[17]</w:t>
      </w:r>
      <w:r>
        <w:rPr>
          <w:rFonts w:ascii="Book Antiqua" w:eastAsia="Book Antiqua" w:hAnsi="Book Antiqua" w:cs="Book Antiqua"/>
          <w:color w:val="000000"/>
        </w:rPr>
        <w:t>. To explore the role of FGL2 in VFH progression and the underlying mechanism, we determined alterations in hepatic macrophage populations during progression of VFH i</w:t>
      </w:r>
      <w:r>
        <w:rPr>
          <w:rFonts w:ascii="Book Antiqua" w:eastAsia="Book Antiqua" w:hAnsi="Book Antiqua" w:cs="Book Antiqua"/>
          <w:color w:val="000000"/>
        </w:rPr>
        <w:t>n FGL2-deficient (</w:t>
      </w:r>
      <w:r>
        <w:rPr>
          <w:rFonts w:ascii="Book Antiqua" w:eastAsia="Book Antiqua" w:hAnsi="Book Antiqua" w:cs="Book Antiqua"/>
          <w:i/>
          <w:iCs/>
          <w:color w:val="000000"/>
        </w:rPr>
        <w:t>Fgl2-/-</w:t>
      </w:r>
      <w:r>
        <w:rPr>
          <w:rFonts w:ascii="Book Antiqua" w:eastAsia="Book Antiqua" w:hAnsi="Book Antiqua" w:cs="Book Antiqua"/>
          <w:color w:val="000000"/>
        </w:rPr>
        <w:t>) and wild-type (WT) mice intraperitoneally injected with MHV-3 at different stages after infection.</w:t>
      </w:r>
    </w:p>
    <w:p w14:paraId="5D9ECF41" w14:textId="77777777" w:rsidR="00F203DF" w:rsidRDefault="00F203DF">
      <w:pPr>
        <w:spacing w:line="360" w:lineRule="auto"/>
        <w:jc w:val="both"/>
        <w:rPr>
          <w:rFonts w:ascii="Book Antiqua" w:hAnsi="Book Antiqua"/>
        </w:rPr>
      </w:pPr>
    </w:p>
    <w:p w14:paraId="3081E55A" w14:textId="77777777" w:rsidR="00F203DF" w:rsidRDefault="002B133B">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2488763"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Ethics statement</w:t>
      </w:r>
    </w:p>
    <w:p w14:paraId="337EA4B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All studies on human subjects were approved by the Ethics Committee of Tongji </w:t>
      </w:r>
      <w:r>
        <w:rPr>
          <w:rFonts w:ascii="Book Antiqua" w:eastAsia="Book Antiqua" w:hAnsi="Book Antiqua" w:cs="Book Antiqua"/>
          <w:color w:val="000000"/>
        </w:rPr>
        <w:t>Medical College of Huazhong University of Science and Technology (permit number: TJ-C20170924), and all participants provided informed consent in compliance with the Helsinki Declaration revised in 1983.</w:t>
      </w:r>
    </w:p>
    <w:p w14:paraId="1C8148AA"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The animal experiments were approved by the Institut</w:t>
      </w:r>
      <w:r>
        <w:rPr>
          <w:rFonts w:ascii="Book Antiqua" w:eastAsia="Book Antiqua" w:hAnsi="Book Antiqua" w:cs="Book Antiqua"/>
          <w:color w:val="000000"/>
        </w:rPr>
        <w:t>ional Animal Care and Use Committee of Tongji Hospital (permit number: TJ-A20171008) and were conducted in accordance with state guidelines from the Ministry of Science and Technology of China.</w:t>
      </w:r>
    </w:p>
    <w:p w14:paraId="26CD5FE0" w14:textId="77777777" w:rsidR="00F203DF" w:rsidRDefault="00F203DF">
      <w:pPr>
        <w:spacing w:line="360" w:lineRule="auto"/>
        <w:jc w:val="both"/>
        <w:rPr>
          <w:rFonts w:ascii="Book Antiqua" w:eastAsia="Book Antiqua" w:hAnsi="Book Antiqua" w:cs="Book Antiqua"/>
          <w:b/>
          <w:bCs/>
          <w:i/>
          <w:iCs/>
          <w:color w:val="000000"/>
        </w:rPr>
      </w:pPr>
    </w:p>
    <w:p w14:paraId="2FE3DE1B"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Patient samples</w:t>
      </w:r>
    </w:p>
    <w:p w14:paraId="53CC8175"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Seven patients with ACLF, as defined by the A</w:t>
      </w:r>
      <w:r>
        <w:rPr>
          <w:rFonts w:ascii="Book Antiqua" w:eastAsia="Book Antiqua" w:hAnsi="Book Antiqua" w:cs="Book Antiqua"/>
          <w:color w:val="000000"/>
        </w:rPr>
        <w:t>sian Pacific Association for Study of the Liver (APASL) guidelines</w:t>
      </w:r>
      <w:r>
        <w:rPr>
          <w:rFonts w:ascii="Book Antiqua" w:hAnsi="Book Antiqua" w:cs="Book Antiqua"/>
          <w:color w:val="000000"/>
          <w:vertAlign w:val="superscript"/>
          <w:lang w:eastAsia="zh-CN"/>
        </w:rPr>
        <w:t>[18]</w:t>
      </w:r>
      <w:r>
        <w:rPr>
          <w:rFonts w:ascii="Book Antiqua" w:eastAsia="Book Antiqua" w:hAnsi="Book Antiqua" w:cs="Book Antiqua"/>
          <w:color w:val="000000"/>
        </w:rPr>
        <w:t xml:space="preserve">, who were undergoing liver transplantation were included in the study; liver samples were obtained during the surgery. The clinical features of the patients are summarized in </w:t>
      </w:r>
      <w:r>
        <w:rPr>
          <w:rFonts w:ascii="Book Antiqua" w:eastAsia="Book Antiqua" w:hAnsi="Book Antiqua" w:cs="Book Antiqua"/>
          <w:bCs/>
          <w:color w:val="000000"/>
        </w:rPr>
        <w:t>Table 1</w:t>
      </w:r>
      <w:r>
        <w:rPr>
          <w:rFonts w:ascii="Book Antiqua" w:eastAsia="Book Antiqua" w:hAnsi="Book Antiqua" w:cs="Book Antiqua"/>
          <w:color w:val="000000"/>
        </w:rPr>
        <w:t>. C</w:t>
      </w:r>
      <w:r>
        <w:rPr>
          <w:rFonts w:ascii="Book Antiqua" w:eastAsia="Book Antiqua" w:hAnsi="Book Antiqua" w:cs="Book Antiqua"/>
          <w:color w:val="000000"/>
        </w:rPr>
        <w:t>ontrol samples (</w:t>
      </w:r>
      <w:r>
        <w:rPr>
          <w:rFonts w:ascii="Book Antiqua" w:eastAsia="Book Antiqua" w:hAnsi="Book Antiqua" w:cs="Book Antiqua"/>
          <w:i/>
          <w:iCs/>
          <w:color w:val="000000"/>
        </w:rPr>
        <w:t xml:space="preserve">n = </w:t>
      </w:r>
      <w:r>
        <w:rPr>
          <w:rFonts w:ascii="Book Antiqua" w:eastAsia="Book Antiqua" w:hAnsi="Book Antiqua" w:cs="Book Antiqua"/>
          <w:color w:val="000000"/>
        </w:rPr>
        <w:t>3) were obtained from a healthy liver donor and from the paratumor tissues of a patient with hepatic hemangioma and a patient with hepatocellular carcinoma without cirrhosis.</w:t>
      </w:r>
    </w:p>
    <w:p w14:paraId="678F4290" w14:textId="77777777" w:rsidR="00F203DF" w:rsidRDefault="002B133B">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 </w:t>
      </w:r>
    </w:p>
    <w:p w14:paraId="7DF97F13"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Animals, viral infection, macrophage depletion, and inhibit</w:t>
      </w:r>
      <w:r>
        <w:rPr>
          <w:rFonts w:ascii="Book Antiqua" w:eastAsia="Book Antiqua" w:hAnsi="Book Antiqua" w:cs="Book Antiqua"/>
          <w:b/>
          <w:bCs/>
          <w:i/>
          <w:iCs/>
          <w:color w:val="000000"/>
        </w:rPr>
        <w:t>or treatment</w:t>
      </w:r>
    </w:p>
    <w:p w14:paraId="678D0A44"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Female BALB/c mice (HFK Bioscience Company Ltd., Beijing, China) at 6-8 weeks of age were used in all animal experiments. The mice were housed in a controlled environment (specific pathogen-free, 12 h light/dark cycle, 21 ± 2 °C, humidity 50 ±</w:t>
      </w:r>
      <w:r>
        <w:rPr>
          <w:rFonts w:ascii="Book Antiqua" w:eastAsia="Book Antiqua" w:hAnsi="Book Antiqua" w:cs="Book Antiqua"/>
          <w:color w:val="000000"/>
        </w:rPr>
        <w:t xml:space="preserve"> 10%) and had free access to food and water.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were generated by introducing a deletion at the N-</w:t>
      </w:r>
      <w:r>
        <w:rPr>
          <w:rFonts w:ascii="Book Antiqua" w:eastAsia="Book Antiqua" w:hAnsi="Book Antiqua" w:cs="Book Antiqua"/>
          <w:color w:val="000000"/>
        </w:rPr>
        <w:lastRenderedPageBreak/>
        <w:t xml:space="preserve">terminal of the open reading frame of the </w:t>
      </w:r>
      <w:r>
        <w:rPr>
          <w:rFonts w:ascii="Book Antiqua" w:eastAsia="Book Antiqua" w:hAnsi="Book Antiqua" w:cs="Book Antiqua"/>
          <w:i/>
          <w:iCs/>
          <w:color w:val="000000"/>
        </w:rPr>
        <w:t>Fgl2</w:t>
      </w:r>
      <w:r>
        <w:rPr>
          <w:rFonts w:ascii="Book Antiqua" w:eastAsia="Book Antiqua" w:hAnsi="Book Antiqua" w:cs="Book Antiqua"/>
          <w:color w:val="000000"/>
        </w:rPr>
        <w:t xml:space="preserve"> locus using CRISPR/Cas9 technology. WT BALB/c mice were used as controls. To establish the fulminant </w:t>
      </w:r>
      <w:r>
        <w:rPr>
          <w:rFonts w:ascii="Book Antiqua" w:eastAsia="Book Antiqua" w:hAnsi="Book Antiqua" w:cs="Book Antiqua"/>
          <w:color w:val="000000"/>
        </w:rPr>
        <w:t xml:space="preserve">hepatitis model, 100 plaque-forming unit (PFUs) of MHV-3 (American Type Culture Collection, Manassas, VA, USA) dissolved in 200 µL saline was injected into the WT and </w:t>
      </w:r>
      <w:r>
        <w:rPr>
          <w:rFonts w:ascii="Book Antiqua" w:eastAsia="Book Antiqua" w:hAnsi="Book Antiqua" w:cs="Book Antiqua"/>
          <w:i/>
          <w:iCs/>
          <w:color w:val="000000"/>
        </w:rPr>
        <w:t>Fgl2-/-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mice intraperitoneally. To deplete macrophages, mice were intravenously injected </w:t>
      </w:r>
      <w:r>
        <w:rPr>
          <w:rFonts w:ascii="Book Antiqua" w:eastAsia="Book Antiqua" w:hAnsi="Book Antiqua" w:cs="Book Antiqua"/>
          <w:color w:val="000000"/>
        </w:rPr>
        <w:t>with 200 µL clodronate liposomes or phosphate-buffered saline (PBS)-liposomes as a control (Liposome B.V., the Netherlands) 24 h prior to MHV-3 injection. To inhibit MoMF infiltration, a chemokine receptor-2 (CCR2) inhibitor (cenicriviroc; 10 mg/kg) was in</w:t>
      </w:r>
      <w:r>
        <w:rPr>
          <w:rFonts w:ascii="Book Antiqua" w:eastAsia="Book Antiqua" w:hAnsi="Book Antiqua" w:cs="Book Antiqua"/>
          <w:color w:val="000000"/>
        </w:rPr>
        <w:t xml:space="preserve">traperitoneally injected 24 h prior to MHV-3 infection. WT or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were randomly selected to be sacrificed at 0, 24, 48, and 72 h following MHV-3 injection, and liver and blood samples were harvested for analysis.</w:t>
      </w:r>
    </w:p>
    <w:p w14:paraId="28CFB10A" w14:textId="77777777" w:rsidR="00F203DF" w:rsidRDefault="00F203DF">
      <w:pPr>
        <w:spacing w:line="360" w:lineRule="auto"/>
        <w:jc w:val="both"/>
        <w:rPr>
          <w:rFonts w:ascii="Book Antiqua" w:eastAsia="Book Antiqua" w:hAnsi="Book Antiqua" w:cs="Book Antiqua"/>
          <w:b/>
          <w:bCs/>
          <w:i/>
          <w:iCs/>
          <w:color w:val="000000"/>
        </w:rPr>
      </w:pPr>
    </w:p>
    <w:p w14:paraId="42C79A69"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Cell isolation</w:t>
      </w:r>
    </w:p>
    <w:p w14:paraId="7E7B7672"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Hepatic mononuclea</w:t>
      </w:r>
      <w:r>
        <w:rPr>
          <w:rFonts w:ascii="Book Antiqua" w:eastAsia="Book Antiqua" w:hAnsi="Book Antiqua" w:cs="Book Antiqua"/>
          <w:color w:val="000000"/>
        </w:rPr>
        <w:t xml:space="preserve">r non-parenchymal cells from WT and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were isolated</w:t>
      </w:r>
      <w:r>
        <w:rPr>
          <w:rFonts w:ascii="Book Antiqua" w:eastAsia="Book Antiqua" w:hAnsi="Book Antiqua" w:cs="Book Antiqua"/>
          <w:i/>
          <w:color w:val="000000"/>
        </w:rPr>
        <w:t xml:space="preserve"> via </w:t>
      </w:r>
      <w:r>
        <w:rPr>
          <w:rFonts w:ascii="Book Antiqua" w:eastAsia="Book Antiqua" w:hAnsi="Book Antiqua" w:cs="Book Antiqua"/>
          <w:color w:val="000000"/>
        </w:rPr>
        <w:t>liver perfusion, enzymatic digestion, and differential centrifugation, as described previously</w:t>
      </w:r>
      <w:r>
        <w:rPr>
          <w:rFonts w:ascii="Book Antiqua" w:hAnsi="Book Antiqua" w:cs="Book Antiqua"/>
          <w:color w:val="000000"/>
          <w:vertAlign w:val="superscript"/>
          <w:lang w:eastAsia="zh-CN"/>
        </w:rPr>
        <w:t>[19]</w:t>
      </w:r>
      <w:r>
        <w:rPr>
          <w:rFonts w:ascii="Book Antiqua" w:eastAsia="Book Antiqua" w:hAnsi="Book Antiqua" w:cs="Book Antiqua"/>
          <w:color w:val="000000"/>
        </w:rPr>
        <w:t xml:space="preserve">. Peritoneal exudate macrophages (PEMs) were isolated from the mice 3 d after </w:t>
      </w:r>
      <w:r>
        <w:rPr>
          <w:rFonts w:ascii="Book Antiqua" w:eastAsia="Book Antiqua" w:hAnsi="Book Antiqua" w:cs="Book Antiqua"/>
          <w:color w:val="000000"/>
        </w:rPr>
        <w:t>intraperitoneal injection of 3% starch broth (1 mL/mice). Bone marrow-derived macrophages (BMDMs) were differentiated from hematopoietic stem cells isolated from the femurs cultured in Dulbecco’s modified Eagle medium (DMEM) containing 10% fetal bovine ser</w:t>
      </w:r>
      <w:r>
        <w:rPr>
          <w:rFonts w:ascii="Book Antiqua" w:eastAsia="Book Antiqua" w:hAnsi="Book Antiqua" w:cs="Book Antiqua"/>
          <w:color w:val="000000"/>
        </w:rPr>
        <w:t>um (FBS) and macrophage-colony stimulating factor (30 μg/mL, Peprotech) for 7 days. BMDMs or PEMs were maintained in DMEM supplemented with 10% FBS and treated with LPS (100 ng/mL), interleukin (IL)-4 (20 ng/mL), or MHV-3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PFU/mL).</w:t>
      </w:r>
    </w:p>
    <w:p w14:paraId="617BFE7B" w14:textId="77777777" w:rsidR="00F203DF" w:rsidRDefault="00F203DF">
      <w:pPr>
        <w:spacing w:line="360" w:lineRule="auto"/>
        <w:jc w:val="both"/>
        <w:rPr>
          <w:rFonts w:ascii="Book Antiqua" w:hAnsi="Book Antiqua"/>
        </w:rPr>
      </w:pPr>
    </w:p>
    <w:p w14:paraId="6CDE9351"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Macrophage adoptive transfer</w:t>
      </w:r>
    </w:p>
    <w:p w14:paraId="31C6741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KCs are the largest population of hepatic resident non-parenchymal cells and the first line of defense against pathogens and toxins</w:t>
      </w:r>
      <w:r>
        <w:rPr>
          <w:rFonts w:ascii="Book Antiqua" w:hAnsi="Book Antiqua" w:cs="Book Antiqua"/>
          <w:color w:val="000000"/>
          <w:vertAlign w:val="superscript"/>
          <w:lang w:eastAsia="zh-CN"/>
        </w:rPr>
        <w:t>[6]</w:t>
      </w:r>
      <w:r>
        <w:rPr>
          <w:rFonts w:ascii="Book Antiqua" w:eastAsia="Book Antiqua" w:hAnsi="Book Antiqua" w:cs="Book Antiqua"/>
          <w:color w:val="000000"/>
        </w:rPr>
        <w:t xml:space="preserve">. The priming of KCs may therefore be involved in initiation of the hepatic immune response, </w:t>
      </w:r>
      <w:r>
        <w:rPr>
          <w:rFonts w:ascii="Book Antiqua" w:eastAsia="Book Antiqua" w:hAnsi="Book Antiqua" w:cs="Book Antiqua"/>
          <w:color w:val="000000"/>
        </w:rPr>
        <w:t xml:space="preserve">a critical step for subsequent exacerbation of inflammatory accumulation. Accordingly, we also assessed liver damage </w:t>
      </w:r>
      <w:r>
        <w:rPr>
          <w:rFonts w:ascii="Book Antiqua" w:eastAsia="Book Antiqua" w:hAnsi="Book Antiqua" w:cs="Book Antiqua"/>
          <w:color w:val="000000"/>
        </w:rPr>
        <w:lastRenderedPageBreak/>
        <w:t>following MHV-3 infection with depletion of macrophages by clodronate liposomes. WT mice were treated with 200 µL clodronate liposomes or P</w:t>
      </w:r>
      <w:r>
        <w:rPr>
          <w:rFonts w:ascii="Book Antiqua" w:eastAsia="Book Antiqua" w:hAnsi="Book Antiqua" w:cs="Book Antiqua"/>
          <w:color w:val="000000"/>
        </w:rPr>
        <w:t xml:space="preserve">BS-liposomes as a control to deplete macrophages, which then served as the recipient mice for adoptive transfer. Harvested BMDMs from WT and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were intravenously injected into the recipient mice at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cells/mouse. MHV-3 (100 PFU/mouse) inje</w:t>
      </w:r>
      <w:r>
        <w:rPr>
          <w:rFonts w:ascii="Book Antiqua" w:eastAsia="Book Antiqua" w:hAnsi="Book Antiqua" w:cs="Book Antiqua"/>
          <w:color w:val="000000"/>
        </w:rPr>
        <w:t>ction was performed 24 h later. Liver and blood samples were harvested at 48 h post MHV-3 infection for further analyses.</w:t>
      </w:r>
    </w:p>
    <w:p w14:paraId="255FDB3D" w14:textId="77777777" w:rsidR="00F203DF" w:rsidRDefault="00F203DF">
      <w:pPr>
        <w:spacing w:line="360" w:lineRule="auto"/>
        <w:jc w:val="both"/>
        <w:rPr>
          <w:rFonts w:ascii="Book Antiqua" w:hAnsi="Book Antiqua"/>
        </w:rPr>
      </w:pPr>
    </w:p>
    <w:p w14:paraId="696A80EF"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Flow cytometry</w:t>
      </w:r>
    </w:p>
    <w:p w14:paraId="35E13F7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Single-cell suspensions were blocked with 2 μg/mL anti-CD16/CD32, followed by staining with fluorescence-conjugated an</w:t>
      </w:r>
      <w:r>
        <w:rPr>
          <w:rFonts w:ascii="Book Antiqua" w:eastAsia="Book Antiqua" w:hAnsi="Book Antiqua" w:cs="Book Antiqua"/>
          <w:color w:val="000000"/>
        </w:rPr>
        <w:t>tibody cocktails. For intracellular staining, surface-stained cells were fixed and permeabilized using Cytofix/Cytoperm Fixation/Permeabilization Kit (No. 554714, BD Pharmingen) prior to incubation with target antibodies. Data were acquired on a BD FACS Ca</w:t>
      </w:r>
      <w:r>
        <w:rPr>
          <w:rFonts w:ascii="Book Antiqua" w:eastAsia="Book Antiqua" w:hAnsi="Book Antiqua" w:cs="Book Antiqua"/>
          <w:color w:val="000000"/>
        </w:rPr>
        <w:t>nto II flow cytometer (BD Bioscience, San Jose, CA) and analyzed using FACS Diva software.</w:t>
      </w:r>
    </w:p>
    <w:p w14:paraId="1D4DA97B"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bCs/>
          <w:color w:val="000000"/>
        </w:rPr>
        <w:t>Detailed procedures and other materials are described in the supporting information.</w:t>
      </w:r>
    </w:p>
    <w:p w14:paraId="476B8BF4" w14:textId="77777777" w:rsidR="00F203DF" w:rsidRDefault="00F203DF">
      <w:pPr>
        <w:spacing w:line="360" w:lineRule="auto"/>
        <w:jc w:val="both"/>
        <w:rPr>
          <w:rFonts w:ascii="Book Antiqua" w:eastAsia="Book Antiqua" w:hAnsi="Book Antiqua" w:cs="Book Antiqua"/>
          <w:b/>
          <w:bCs/>
          <w:i/>
          <w:iCs/>
          <w:color w:val="000000"/>
        </w:rPr>
      </w:pPr>
    </w:p>
    <w:p w14:paraId="03E4F94B" w14:textId="77777777" w:rsidR="00F203DF" w:rsidRDefault="002B133B">
      <w:pPr>
        <w:spacing w:line="360" w:lineRule="auto"/>
        <w:jc w:val="both"/>
        <w:rPr>
          <w:rFonts w:ascii="Book Antiqua" w:hAnsi="Book Antiqua"/>
        </w:rPr>
      </w:pPr>
      <w:r>
        <w:rPr>
          <w:rFonts w:ascii="Book Antiqua" w:eastAsia="Book Antiqua" w:hAnsi="Book Antiqua" w:cs="Book Antiqua"/>
          <w:b/>
          <w:bCs/>
          <w:i/>
          <w:iCs/>
          <w:color w:val="000000"/>
        </w:rPr>
        <w:t>Statistical analyses</w:t>
      </w:r>
    </w:p>
    <w:p w14:paraId="023C6A12"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Statistical testing was performed using GraphPad Prism 5.0</w:t>
      </w:r>
      <w:r>
        <w:rPr>
          <w:rFonts w:ascii="Book Antiqua" w:eastAsia="Book Antiqua" w:hAnsi="Book Antiqua" w:cs="Book Antiqua"/>
          <w:color w:val="000000"/>
        </w:rPr>
        <w:t xml:space="preserve"> software (GraphPad Software Inc., San Diego, CA, United States). Comparisons between WT and </w:t>
      </w:r>
      <w:r>
        <w:rPr>
          <w:rFonts w:ascii="Book Antiqua" w:eastAsia="Book Antiqua" w:hAnsi="Book Antiqua" w:cs="Book Antiqua"/>
          <w:i/>
          <w:iCs/>
          <w:color w:val="000000"/>
        </w:rPr>
        <w:t>Fgl2</w:t>
      </w:r>
      <w:r>
        <w:rPr>
          <w:rFonts w:ascii="Book Antiqua" w:eastAsia="Book Antiqua" w:hAnsi="Book Antiqua" w:cs="Book Antiqua"/>
          <w:i/>
          <w:iCs/>
          <w:color w:val="000000"/>
          <w:vertAlign w:val="superscript"/>
        </w:rPr>
        <w:t>−</w:t>
      </w:r>
      <w:r>
        <w:rPr>
          <w:rFonts w:ascii="Book Antiqua" w:eastAsia="Book Antiqua" w:hAnsi="Book Antiqua" w:cs="Book Antiqua"/>
          <w:i/>
          <w:iCs/>
          <w:color w:val="000000"/>
          <w:vertAlign w:val="superscript"/>
        </w:rPr>
        <w:t>/−</w:t>
      </w:r>
      <w:r>
        <w:rPr>
          <w:rFonts w:ascii="Book Antiqua" w:eastAsia="Book Antiqua" w:hAnsi="Book Antiqua" w:cs="Book Antiqua"/>
          <w:color w:val="000000"/>
        </w:rPr>
        <w:t xml:space="preserve"> mice (or other situations where only two groups are compared) were performed using Student’s unpaired t-test; one-way analysis of variance with Tukey’s </w:t>
      </w:r>
      <w:r>
        <w:rPr>
          <w:rFonts w:ascii="Book Antiqua" w:eastAsia="Book Antiqua" w:hAnsi="Book Antiqua" w:cs="Book Antiqua"/>
          <w:i/>
          <w:iCs/>
          <w:color w:val="000000"/>
        </w:rPr>
        <w:t>pos</w:t>
      </w:r>
      <w:r>
        <w:rPr>
          <w:rFonts w:ascii="Book Antiqua" w:eastAsia="Book Antiqua" w:hAnsi="Book Antiqua" w:cs="Book Antiqua"/>
          <w:i/>
          <w:iCs/>
          <w:color w:val="000000"/>
        </w:rPr>
        <w:t>t-hoc</w:t>
      </w:r>
      <w:r>
        <w:rPr>
          <w:rFonts w:ascii="Book Antiqua" w:eastAsia="Book Antiqua" w:hAnsi="Book Antiqua" w:cs="Book Antiqua"/>
          <w:color w:val="000000"/>
        </w:rPr>
        <w:t xml:space="preserve"> test or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used for multiple comparisons (unless otherwise indicated). Data are presented as mean ± standard deviation; </w:t>
      </w:r>
      <w:r>
        <w:rPr>
          <w:rFonts w:ascii="Book Antiqua" w:eastAsia="Book Antiqua" w:hAnsi="Book Antiqua" w:cs="Book Antiqua"/>
          <w:i/>
          <w:color w:val="000000"/>
        </w:rPr>
        <w:t>P &lt;</w:t>
      </w:r>
      <w:r>
        <w:rPr>
          <w:rFonts w:ascii="Book Antiqua" w:eastAsia="Book Antiqua" w:hAnsi="Book Antiqua" w:cs="Book Antiqua"/>
          <w:color w:val="000000"/>
        </w:rPr>
        <w:t xml:space="preserve"> 0.05 was considered to indicate a statistically significant difference.</w:t>
      </w:r>
    </w:p>
    <w:p w14:paraId="62BDF460" w14:textId="77777777" w:rsidR="00F203DF" w:rsidRDefault="00F203DF">
      <w:pPr>
        <w:spacing w:line="360" w:lineRule="auto"/>
        <w:jc w:val="both"/>
        <w:rPr>
          <w:rFonts w:ascii="Book Antiqua" w:hAnsi="Book Antiqua"/>
        </w:rPr>
      </w:pPr>
    </w:p>
    <w:p w14:paraId="2C54FDCA" w14:textId="77777777" w:rsidR="00F203DF" w:rsidRDefault="002B133B">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39902FA"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 xml:space="preserve">The number of </w:t>
      </w:r>
      <w:r>
        <w:rPr>
          <w:rFonts w:ascii="Book Antiqua" w:eastAsia="Book Antiqua" w:hAnsi="Book Antiqua" w:cs="Book Antiqua"/>
          <w:b/>
          <w:bCs/>
          <w:i/>
          <w:color w:val="000000"/>
        </w:rPr>
        <w:t>proinflammatory macrophages with elevated FGL2 expression increases in patients with hepatitis virus-induced liver failure</w:t>
      </w:r>
    </w:p>
    <w:p w14:paraId="30140D6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lastRenderedPageBreak/>
        <w:t>Marked infiltration of leukocytes was observed in samples of the patients with ACLF, along with massive necrosis in the parenchymal l</w:t>
      </w:r>
      <w:r>
        <w:rPr>
          <w:rFonts w:ascii="Book Antiqua" w:eastAsia="Book Antiqua" w:hAnsi="Book Antiqua" w:cs="Book Antiqua"/>
          <w:color w:val="000000"/>
        </w:rPr>
        <w:t>obules (</w:t>
      </w:r>
      <w:r>
        <w:rPr>
          <w:rFonts w:ascii="Book Antiqua" w:eastAsia="Book Antiqua" w:hAnsi="Book Antiqua" w:cs="Book Antiqua"/>
          <w:bCs/>
          <w:color w:val="000000"/>
        </w:rPr>
        <w:t>Figure 1A</w:t>
      </w:r>
      <w:r>
        <w:rPr>
          <w:rFonts w:ascii="Book Antiqua" w:eastAsia="Book Antiqua" w:hAnsi="Book Antiqua" w:cs="Book Antiqua"/>
          <w:color w:val="000000"/>
        </w:rPr>
        <w:t>). CD68+ macrophages markedly accumulated in the periportal areas (</w:t>
      </w:r>
      <w:r>
        <w:rPr>
          <w:rFonts w:ascii="Book Antiqua" w:eastAsia="Book Antiqua" w:hAnsi="Book Antiqua" w:cs="Book Antiqua"/>
          <w:bCs/>
          <w:color w:val="000000"/>
        </w:rPr>
        <w:t>Figure 1B, Supplementary Figure 1</w:t>
      </w:r>
      <w:r>
        <w:rPr>
          <w:rFonts w:ascii="Book Antiqua" w:eastAsia="Book Antiqua" w:hAnsi="Book Antiqua" w:cs="Book Antiqua"/>
          <w:color w:val="000000"/>
        </w:rPr>
        <w:t>), suggesting widespread liver damage</w:t>
      </w:r>
      <w:r>
        <w:rPr>
          <w:rFonts w:ascii="Book Antiqua" w:hAnsi="Book Antiqua" w:cs="Book Antiqua"/>
          <w:color w:val="000000"/>
          <w:vertAlign w:val="superscript"/>
          <w:lang w:eastAsia="zh-CN"/>
        </w:rPr>
        <w:t>[20]</w:t>
      </w:r>
      <w:r>
        <w:rPr>
          <w:rFonts w:ascii="Book Antiqua" w:eastAsia="Book Antiqua" w:hAnsi="Book Antiqua" w:cs="Book Antiqua"/>
          <w:color w:val="000000"/>
        </w:rPr>
        <w:t>. Furthermore, macrophages were polarized to proinflammatory macrophages, as confirmed by the expr</w:t>
      </w:r>
      <w:r>
        <w:rPr>
          <w:rFonts w:ascii="Book Antiqua" w:eastAsia="Book Antiqua" w:hAnsi="Book Antiqua" w:cs="Book Antiqua"/>
          <w:color w:val="000000"/>
        </w:rPr>
        <w:t>ession of S100A9 (</w:t>
      </w:r>
      <w:r>
        <w:rPr>
          <w:rFonts w:ascii="Book Antiqua" w:eastAsia="Book Antiqua" w:hAnsi="Book Antiqua" w:cs="Book Antiqua"/>
          <w:bCs/>
          <w:color w:val="000000"/>
        </w:rPr>
        <w:t>Figure 1C</w:t>
      </w:r>
      <w:r>
        <w:rPr>
          <w:rFonts w:ascii="Book Antiqua" w:eastAsia="Book Antiqua" w:hAnsi="Book Antiqua" w:cs="Book Antiqua"/>
          <w:color w:val="000000"/>
        </w:rPr>
        <w:t>), an alarmin molecule expressed in proinflammatory macrophages, activated neutrophils, and granulocytes, which is often used as a biomarker of inflammation</w:t>
      </w:r>
      <w:r>
        <w:rPr>
          <w:rFonts w:ascii="Book Antiqua" w:hAnsi="Book Antiqua" w:cs="Book Antiqua"/>
          <w:color w:val="000000"/>
          <w:vertAlign w:val="superscript"/>
          <w:lang w:eastAsia="zh-CN"/>
        </w:rPr>
        <w:t>[21]</w:t>
      </w:r>
      <w:r>
        <w:rPr>
          <w:rFonts w:ascii="Book Antiqua" w:eastAsia="Book Antiqua" w:hAnsi="Book Antiqua" w:cs="Book Antiqua"/>
          <w:color w:val="000000"/>
        </w:rPr>
        <w:t>. Interestingly, the majority of S100A-positive activated proinflamma</w:t>
      </w:r>
      <w:r>
        <w:rPr>
          <w:rFonts w:ascii="Book Antiqua" w:eastAsia="Book Antiqua" w:hAnsi="Book Antiqua" w:cs="Book Antiqua"/>
          <w:color w:val="000000"/>
        </w:rPr>
        <w:t>tory macrophages also expressed FGL2 in consecutive sections of liver samples from patients with HBV-related liver failure (</w:t>
      </w:r>
      <w:r>
        <w:rPr>
          <w:rFonts w:ascii="Book Antiqua" w:eastAsia="Book Antiqua" w:hAnsi="Book Antiqua" w:cs="Book Antiqua"/>
          <w:bCs/>
          <w:color w:val="000000"/>
        </w:rPr>
        <w:t>Figure 1D</w:t>
      </w:r>
      <w:r>
        <w:rPr>
          <w:rFonts w:ascii="Book Antiqua" w:eastAsia="Book Antiqua" w:hAnsi="Book Antiqua" w:cs="Book Antiqua"/>
          <w:color w:val="000000"/>
        </w:rPr>
        <w:t>). These data suggest that a high expression level of FGL2 could be an important molecular event of hepatic macrophage pola</w:t>
      </w:r>
      <w:r>
        <w:rPr>
          <w:rFonts w:ascii="Book Antiqua" w:eastAsia="Book Antiqua" w:hAnsi="Book Antiqua" w:cs="Book Antiqua"/>
          <w:color w:val="000000"/>
        </w:rPr>
        <w:t>rization during viral liver failure.</w:t>
      </w:r>
    </w:p>
    <w:p w14:paraId="0C542249" w14:textId="77777777" w:rsidR="00F203DF" w:rsidRDefault="00F203DF">
      <w:pPr>
        <w:spacing w:line="360" w:lineRule="auto"/>
        <w:jc w:val="both"/>
        <w:rPr>
          <w:rFonts w:ascii="Book Antiqua" w:eastAsia="Book Antiqua" w:hAnsi="Book Antiqua" w:cs="Book Antiqua"/>
          <w:b/>
          <w:bCs/>
          <w:color w:val="000000"/>
        </w:rPr>
      </w:pPr>
    </w:p>
    <w:p w14:paraId="12B3FE86"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Ly6C</w:t>
      </w:r>
      <w:r>
        <w:rPr>
          <w:rFonts w:ascii="Book Antiqua" w:eastAsia="Book Antiqua" w:hAnsi="Book Antiqua" w:cs="Book Antiqua"/>
          <w:b/>
          <w:bCs/>
          <w:i/>
          <w:color w:val="000000"/>
          <w:vertAlign w:val="superscript"/>
        </w:rPr>
        <w:t>high</w:t>
      </w:r>
      <w:r>
        <w:rPr>
          <w:rFonts w:ascii="Book Antiqua" w:eastAsia="Book Antiqua" w:hAnsi="Book Antiqua" w:cs="Book Antiqua"/>
          <w:b/>
          <w:bCs/>
          <w:i/>
          <w:color w:val="000000"/>
        </w:rPr>
        <w:t xml:space="preserve"> MoMFs dominate the hepatic macrophage population during VFH progression</w:t>
      </w:r>
    </w:p>
    <w:p w14:paraId="1E381068"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In the experimental fulminant hepatitis mouse model, pathogenesis was divided into an early stage without global liver damage at 24 h pos</w:t>
      </w:r>
      <w:r>
        <w:rPr>
          <w:rFonts w:ascii="Book Antiqua" w:eastAsia="Book Antiqua" w:hAnsi="Book Antiqua" w:cs="Book Antiqua"/>
          <w:color w:val="000000"/>
        </w:rPr>
        <w:t>t-infection of MHV-3, a progression phase with continuous enlargement of block necrosis and increased transaminase levels, and an end stage defined at 72 h post-infection when the animals were near death (</w:t>
      </w:r>
      <w:r>
        <w:rPr>
          <w:rFonts w:ascii="Book Antiqua" w:eastAsia="Book Antiqua" w:hAnsi="Book Antiqua" w:cs="Book Antiqua"/>
          <w:bCs/>
          <w:color w:val="000000"/>
        </w:rPr>
        <w:t>Figure 2A-2B</w:t>
      </w:r>
      <w:r>
        <w:rPr>
          <w:rFonts w:ascii="Book Antiqua" w:eastAsia="Book Antiqua" w:hAnsi="Book Antiqua" w:cs="Book Antiqua"/>
          <w:color w:val="000000"/>
        </w:rPr>
        <w:t>). At the early stage of infection, hem</w:t>
      </w:r>
      <w:r>
        <w:rPr>
          <w:rFonts w:ascii="Book Antiqua" w:eastAsia="Book Antiqua" w:hAnsi="Book Antiqua" w:cs="Book Antiqua"/>
          <w:color w:val="000000"/>
        </w:rPr>
        <w:t>atoxylin and eosin staining showed that the hepatic architecture was intact and no obvious macrophages infiltration was noted (</w:t>
      </w:r>
      <w:r>
        <w:rPr>
          <w:rFonts w:ascii="Book Antiqua" w:eastAsia="Book Antiqua" w:hAnsi="Book Antiqua" w:cs="Book Antiqua"/>
          <w:bCs/>
          <w:color w:val="000000"/>
        </w:rPr>
        <w:t>Figure 2</w:t>
      </w:r>
      <w:r>
        <w:rPr>
          <w:rFonts w:ascii="Book Antiqua" w:eastAsia="Book Antiqua" w:hAnsi="Book Antiqua" w:cs="Book Antiqua"/>
          <w:color w:val="000000"/>
        </w:rPr>
        <w:t>A). Aggregating plots of the CD11b F4/80-expressing flow cytometry panel</w:t>
      </w:r>
      <w:r>
        <w:rPr>
          <w:rFonts w:ascii="Book Antiqua" w:hAnsi="Book Antiqua" w:cs="Book Antiqua"/>
          <w:color w:val="000000"/>
          <w:vertAlign w:val="superscript"/>
          <w:lang w:eastAsia="zh-CN"/>
        </w:rPr>
        <w:t>[22]</w:t>
      </w:r>
      <w:r>
        <w:rPr>
          <w:rFonts w:ascii="Book Antiqua" w:eastAsia="Book Antiqua" w:hAnsi="Book Antiqua" w:cs="Book Antiqua"/>
          <w:color w:val="000000"/>
        </w:rPr>
        <w:t xml:space="preserve"> showed a continuous increase in the number o</w:t>
      </w:r>
      <w:r>
        <w:rPr>
          <w:rFonts w:ascii="Book Antiqua" w:eastAsia="Book Antiqua" w:hAnsi="Book Antiqua" w:cs="Book Antiqua"/>
          <w:color w:val="000000"/>
        </w:rPr>
        <w:t>f hepatic MoMFs (CD11b</w:t>
      </w:r>
      <w:r>
        <w:rPr>
          <w:rFonts w:ascii="Book Antiqua" w:eastAsia="Book Antiqua" w:hAnsi="Book Antiqua" w:cs="Book Antiqua"/>
          <w:color w:val="000000"/>
          <w:vertAlign w:val="superscript"/>
        </w:rPr>
        <w:t xml:space="preserve">high </w:t>
      </w:r>
      <w:r>
        <w:rPr>
          <w:rFonts w:ascii="Book Antiqua" w:eastAsia="Book Antiqua" w:hAnsi="Book Antiqua" w:cs="Book Antiqua"/>
          <w:color w:val="000000"/>
        </w:rPr>
        <w:t>F4/80</w:t>
      </w:r>
      <w:r>
        <w:rPr>
          <w:rFonts w:ascii="Book Antiqua" w:eastAsia="Book Antiqua" w:hAnsi="Book Antiqua" w:cs="Book Antiqua"/>
          <w:color w:val="000000"/>
          <w:vertAlign w:val="superscript"/>
        </w:rPr>
        <w:t>int</w:t>
      </w:r>
      <w:r>
        <w:rPr>
          <w:rFonts w:ascii="Book Antiqua" w:eastAsia="Book Antiqua" w:hAnsi="Book Antiqua" w:cs="Book Antiqua"/>
          <w:color w:val="000000"/>
        </w:rPr>
        <w:t>) and a decline in the number of KCs (CD11b</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F4/80</w:t>
      </w:r>
      <w:r>
        <w:rPr>
          <w:rFonts w:ascii="Book Antiqua" w:eastAsia="Book Antiqua" w:hAnsi="Book Antiqua" w:cs="Book Antiqua"/>
          <w:color w:val="000000"/>
          <w:vertAlign w:val="superscript"/>
        </w:rPr>
        <w:t>high</w:t>
      </w:r>
      <w:r>
        <w:rPr>
          <w:rFonts w:ascii="Book Antiqua" w:eastAsia="Book Antiqua" w:hAnsi="Book Antiqua" w:cs="Book Antiqua"/>
          <w:color w:val="000000"/>
        </w:rPr>
        <w:t>) over the course of infection, accompanied by enlarged lesions until confluent necrosis of the liver lobules occurred at the later stage (</w:t>
      </w:r>
      <w:r>
        <w:rPr>
          <w:rFonts w:ascii="Book Antiqua" w:eastAsia="Book Antiqua" w:hAnsi="Book Antiqua" w:cs="Book Antiqua"/>
          <w:bCs/>
          <w:color w:val="000000"/>
        </w:rPr>
        <w:t>Figure 2A and 2C</w:t>
      </w:r>
      <w:r>
        <w:rPr>
          <w:rFonts w:ascii="Book Antiqua" w:eastAsia="Book Antiqua" w:hAnsi="Book Antiqua" w:cs="Book Antiqua"/>
          <w:color w:val="000000"/>
        </w:rPr>
        <w:t>). Notably</w:t>
      </w:r>
      <w:r>
        <w:rPr>
          <w:rFonts w:ascii="Book Antiqua" w:eastAsia="Book Antiqua" w:hAnsi="Book Antiqua" w:cs="Book Antiqua"/>
          <w:color w:val="000000"/>
        </w:rPr>
        <w:t>, KCs constituted the dominant hepatic macrophage population at the early stage of infection, with an increased M1 macrophage subset [induced nitric oxide synthase (iNOS+) KCs] (</w:t>
      </w:r>
      <w:r>
        <w:rPr>
          <w:rFonts w:ascii="Book Antiqua" w:eastAsia="Book Antiqua" w:hAnsi="Book Antiqua" w:cs="Book Antiqua"/>
          <w:bCs/>
          <w:color w:val="000000"/>
        </w:rPr>
        <w:t>Figure 2D, Supplementary Figure 2A and 2C</w:t>
      </w:r>
      <w:r>
        <w:rPr>
          <w:rFonts w:ascii="Book Antiqua" w:eastAsia="Book Antiqua" w:hAnsi="Book Antiqua" w:cs="Book Antiqua"/>
          <w:color w:val="000000"/>
        </w:rPr>
        <w:t>). However, MoMFs subsequently domina</w:t>
      </w:r>
      <w:r>
        <w:rPr>
          <w:rFonts w:ascii="Book Antiqua" w:eastAsia="Book Antiqua" w:hAnsi="Book Antiqua" w:cs="Book Antiqua"/>
          <w:color w:val="000000"/>
        </w:rPr>
        <w:t>ted the hepatic macrophage population, characterized by an increased ratio of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cells; however, the </w:t>
      </w:r>
      <w:r>
        <w:rPr>
          <w:rFonts w:ascii="Book Antiqua" w:eastAsia="Book Antiqua" w:hAnsi="Book Antiqua" w:cs="Book Antiqua"/>
          <w:color w:val="000000"/>
        </w:rPr>
        <w:lastRenderedPageBreak/>
        <w:t>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/Ly6C</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ratio decreased at the end stage of the disease (</w:t>
      </w:r>
      <w:r>
        <w:rPr>
          <w:rFonts w:ascii="Book Antiqua" w:eastAsia="Book Antiqua" w:hAnsi="Book Antiqua" w:cs="Book Antiqua"/>
          <w:bCs/>
          <w:color w:val="000000"/>
        </w:rPr>
        <w:t>Figure 2E, Supplementary Figure 2A</w:t>
      </w:r>
      <w:r>
        <w:rPr>
          <w:rFonts w:ascii="Book Antiqua" w:eastAsia="Book Antiqua" w:hAnsi="Book Antiqua" w:cs="Book Antiqua"/>
          <w:color w:val="000000"/>
        </w:rPr>
        <w:t>), implying a transition from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MoMFs to Ly6C</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MoMFs. The dynamic alterations in hepatic macrophage populations were also revealed by an increase in the levels of proinflammatory cytokines TNF-α and IL-6 during progression, which then decreased at the end stage, along with a continued</w:t>
      </w:r>
      <w:r>
        <w:rPr>
          <w:rFonts w:ascii="Book Antiqua" w:eastAsia="Book Antiqua" w:hAnsi="Book Antiqua" w:cs="Book Antiqua"/>
          <w:color w:val="000000"/>
        </w:rPr>
        <w:t xml:space="preserve"> decrease in transforming growth factor (TGF)-β levels in macrophages (</w:t>
      </w:r>
      <w:r>
        <w:rPr>
          <w:rFonts w:ascii="Book Antiqua" w:eastAsia="Book Antiqua" w:hAnsi="Book Antiqua" w:cs="Book Antiqua"/>
          <w:bCs/>
          <w:color w:val="000000"/>
        </w:rPr>
        <w:t>Supplementary Figure 2D</w:t>
      </w:r>
      <w:r>
        <w:rPr>
          <w:rFonts w:ascii="Book Antiqua" w:eastAsia="Book Antiqua" w:hAnsi="Book Antiqua" w:cs="Book Antiqua"/>
          <w:color w:val="000000"/>
        </w:rPr>
        <w:t>). Consistent with the reconstitution of hepatic macrophage populations in which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MoMFs are more inflammatory with an expanded spectrum of cytokine and ch</w:t>
      </w:r>
      <w:r>
        <w:rPr>
          <w:rFonts w:ascii="Book Antiqua" w:eastAsia="Book Antiqua" w:hAnsi="Book Antiqua" w:cs="Book Antiqua"/>
          <w:color w:val="000000"/>
        </w:rPr>
        <w:t>emokine expression compared with M1 macrophages</w:t>
      </w:r>
      <w:r>
        <w:rPr>
          <w:rFonts w:ascii="Book Antiqua" w:hAnsi="Book Antiqua" w:cs="Book Antiqua"/>
          <w:color w:val="000000"/>
          <w:vertAlign w:val="superscript"/>
          <w:lang w:eastAsia="zh-CN"/>
        </w:rPr>
        <w:t>[23]</w:t>
      </w:r>
      <w:r>
        <w:rPr>
          <w:rFonts w:ascii="Book Antiqua" w:eastAsia="Book Antiqua" w:hAnsi="Book Antiqua" w:cs="Book Antiqua"/>
          <w:color w:val="000000"/>
        </w:rPr>
        <w:t>, the serum MCP-1 level was remarkably increased during infection-induced liver failure progression (</w:t>
      </w:r>
      <w:r>
        <w:rPr>
          <w:rFonts w:ascii="Book Antiqua" w:eastAsia="Book Antiqua" w:hAnsi="Book Antiqua" w:cs="Book Antiqua"/>
          <w:bCs/>
          <w:color w:val="000000"/>
        </w:rPr>
        <w:t>Supplementary Figure 2B</w:t>
      </w:r>
      <w:r>
        <w:rPr>
          <w:rFonts w:ascii="Book Antiqua" w:eastAsia="Book Antiqua" w:hAnsi="Book Antiqua" w:cs="Book Antiqua"/>
          <w:color w:val="000000"/>
        </w:rPr>
        <w:t>).</w:t>
      </w:r>
    </w:p>
    <w:p w14:paraId="67DA2252" w14:textId="77777777" w:rsidR="00F203DF" w:rsidRDefault="00F203DF">
      <w:pPr>
        <w:spacing w:line="360" w:lineRule="auto"/>
        <w:jc w:val="both"/>
        <w:rPr>
          <w:rFonts w:ascii="Book Antiqua" w:eastAsia="Book Antiqua" w:hAnsi="Book Antiqua" w:cs="Book Antiqua"/>
          <w:b/>
          <w:bCs/>
          <w:color w:val="000000"/>
        </w:rPr>
      </w:pPr>
    </w:p>
    <w:p w14:paraId="36639B00"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 xml:space="preserve">Potent induction of FGL2 is associated with the proinflammatory phenotype of </w:t>
      </w:r>
      <w:r>
        <w:rPr>
          <w:rFonts w:ascii="Book Antiqua" w:eastAsia="Book Antiqua" w:hAnsi="Book Antiqua" w:cs="Book Antiqua"/>
          <w:b/>
          <w:bCs/>
          <w:i/>
          <w:color w:val="000000"/>
        </w:rPr>
        <w:t>both KCs and MoMFs in response to viral infection</w:t>
      </w:r>
    </w:p>
    <w:p w14:paraId="263E2877"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Figure 3A</w:t>
      </w:r>
      <w:r>
        <w:rPr>
          <w:rFonts w:ascii="Book Antiqua" w:eastAsia="Book Antiqua" w:hAnsi="Book Antiqua" w:cs="Book Antiqua"/>
          <w:color w:val="000000"/>
        </w:rPr>
        <w:t>, over 90% of FGL2-positive KCs were found in iNOS+ macrophages based on flow cytometry. Moreover, Ly6C</w:t>
      </w:r>
      <w:r>
        <w:rPr>
          <w:rFonts w:ascii="Book Antiqua" w:eastAsia="Book Antiqua" w:hAnsi="Book Antiqua" w:cs="Book Antiqua"/>
          <w:color w:val="000000"/>
          <w:vertAlign w:val="superscript"/>
        </w:rPr>
        <w:t xml:space="preserve">high </w:t>
      </w:r>
      <w:r>
        <w:rPr>
          <w:rFonts w:ascii="Book Antiqua" w:eastAsia="Book Antiqua" w:hAnsi="Book Antiqua" w:cs="Book Antiqua"/>
          <w:color w:val="000000"/>
        </w:rPr>
        <w:t>MoMFs constituted the major population of FGL2-positive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MoMFs, and the expres</w:t>
      </w:r>
      <w:r>
        <w:rPr>
          <w:rFonts w:ascii="Book Antiqua" w:eastAsia="Book Antiqua" w:hAnsi="Book Antiqua" w:cs="Book Antiqua"/>
          <w:color w:val="000000"/>
        </w:rPr>
        <w:t>sion level of FGL2 was remarkably higher in Ly6C</w:t>
      </w:r>
      <w:r>
        <w:rPr>
          <w:rFonts w:ascii="Book Antiqua" w:eastAsia="Book Antiqua" w:hAnsi="Book Antiqua" w:cs="Book Antiqua"/>
          <w:color w:val="000000"/>
          <w:vertAlign w:val="superscript"/>
        </w:rPr>
        <w:t xml:space="preserve">high </w:t>
      </w:r>
      <w:r>
        <w:rPr>
          <w:rFonts w:ascii="Book Antiqua" w:eastAsia="Book Antiqua" w:hAnsi="Book Antiqua" w:cs="Book Antiqua"/>
          <w:color w:val="000000"/>
        </w:rPr>
        <w:t>MoMFs than in Ly6C</w:t>
      </w:r>
      <w:r>
        <w:rPr>
          <w:rFonts w:ascii="Book Antiqua" w:eastAsia="Book Antiqua" w:hAnsi="Book Antiqua" w:cs="Book Antiqua"/>
          <w:color w:val="000000"/>
          <w:vertAlign w:val="superscript"/>
        </w:rPr>
        <w:t xml:space="preserve">low </w:t>
      </w:r>
      <w:r>
        <w:rPr>
          <w:rFonts w:ascii="Book Antiqua" w:eastAsia="Book Antiqua" w:hAnsi="Book Antiqua" w:cs="Book Antiqua"/>
          <w:color w:val="000000"/>
        </w:rPr>
        <w:t>MoMFs (</w:t>
      </w:r>
      <w:r>
        <w:rPr>
          <w:rFonts w:ascii="Book Antiqua" w:eastAsia="Book Antiqua" w:hAnsi="Book Antiqua" w:cs="Book Antiqua"/>
          <w:bCs/>
          <w:color w:val="000000"/>
        </w:rPr>
        <w:t>Figure 3B</w:t>
      </w:r>
      <w:r>
        <w:rPr>
          <w:rFonts w:ascii="Book Antiqua" w:eastAsia="Book Antiqua" w:hAnsi="Book Antiqua" w:cs="Book Antiqua"/>
          <w:color w:val="000000"/>
        </w:rPr>
        <w:t>). After viral infection, sequential induction of FGL2 expression was observed in both polarized M1 KCs and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MoMFs during disease progression, although a sli</w:t>
      </w:r>
      <w:r>
        <w:rPr>
          <w:rFonts w:ascii="Book Antiqua" w:eastAsia="Book Antiqua" w:hAnsi="Book Antiqua" w:cs="Book Antiqua"/>
          <w:color w:val="000000"/>
        </w:rPr>
        <w:t>ght decrease in the expression level was observed when the KC and MoMF populations were somewhat exhausted at 48 and 72 h post viral infection, respectively (</w:t>
      </w:r>
      <w:r>
        <w:rPr>
          <w:rFonts w:ascii="Book Antiqua" w:eastAsia="Book Antiqua" w:hAnsi="Book Antiqua" w:cs="Book Antiqua"/>
          <w:bCs/>
          <w:color w:val="000000"/>
        </w:rPr>
        <w:t>Figure 3C</w:t>
      </w:r>
      <w:r>
        <w:rPr>
          <w:rFonts w:ascii="Book Antiqua" w:hAnsi="Book Antiqua" w:cs="Book Antiqua"/>
          <w:bCs/>
          <w:color w:val="000000"/>
          <w:lang w:eastAsia="zh-CN"/>
        </w:rPr>
        <w:t xml:space="preserve"> and </w:t>
      </w:r>
      <w:r>
        <w:rPr>
          <w:rFonts w:ascii="Book Antiqua" w:eastAsia="Book Antiqua" w:hAnsi="Book Antiqua" w:cs="Book Antiqua"/>
          <w:bCs/>
          <w:color w:val="000000"/>
        </w:rPr>
        <w:t>D</w:t>
      </w:r>
      <w:r>
        <w:rPr>
          <w:rFonts w:ascii="Book Antiqua" w:eastAsia="Book Antiqua" w:hAnsi="Book Antiqua" w:cs="Book Antiqua"/>
          <w:color w:val="000000"/>
        </w:rPr>
        <w:t>). However, FGL2 expression was maintained at low levels in Ly6C</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populations (</w:t>
      </w:r>
      <w:r>
        <w:rPr>
          <w:rFonts w:ascii="Book Antiqua" w:eastAsia="Book Antiqua" w:hAnsi="Book Antiqua" w:cs="Book Antiqua"/>
          <w:bCs/>
          <w:color w:val="000000"/>
        </w:rPr>
        <w:t>Fi</w:t>
      </w:r>
      <w:r>
        <w:rPr>
          <w:rFonts w:ascii="Book Antiqua" w:eastAsia="Book Antiqua" w:hAnsi="Book Antiqua" w:cs="Book Antiqua"/>
          <w:bCs/>
          <w:color w:val="000000"/>
        </w:rPr>
        <w:t>gure 3D</w:t>
      </w:r>
      <w:r>
        <w:rPr>
          <w:rFonts w:ascii="Book Antiqua" w:eastAsia="Book Antiqua" w:hAnsi="Book Antiqua" w:cs="Book Antiqua"/>
          <w:color w:val="000000"/>
        </w:rPr>
        <w:t>). Together, these data suggested that FGL2 is markedly induced in proinflammatory macrophages upon viral infection.</w:t>
      </w:r>
    </w:p>
    <w:p w14:paraId="39A3326D" w14:textId="77777777" w:rsidR="00F203DF" w:rsidRDefault="00F203DF">
      <w:pPr>
        <w:spacing w:line="360" w:lineRule="auto"/>
        <w:jc w:val="both"/>
        <w:rPr>
          <w:rFonts w:ascii="Book Antiqua" w:eastAsia="Book Antiqua" w:hAnsi="Book Antiqua" w:cs="Book Antiqua"/>
          <w:b/>
          <w:bCs/>
          <w:color w:val="000000"/>
        </w:rPr>
      </w:pPr>
    </w:p>
    <w:p w14:paraId="44D2473B"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FGL2 deficiency prevents proinflammatory macrophage activation after MHV-3 infection</w:t>
      </w:r>
    </w:p>
    <w:p w14:paraId="52036EC9"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In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t>
      </w:r>
      <w:r>
        <w:rPr>
          <w:rFonts w:ascii="Book Antiqua" w:eastAsia="Book Antiqua" w:hAnsi="Book Antiqua" w:cs="Book Antiqua"/>
          <w:bCs/>
          <w:color w:val="000000"/>
        </w:rPr>
        <w:t>Supplementary Figure 3A</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liver damage following MHV-3 infection was significantly attenuated, as revealed by narrowed necrosis foci and lower alanine </w:t>
      </w:r>
      <w:r>
        <w:rPr>
          <w:rFonts w:ascii="Book Antiqua" w:eastAsia="Book Antiqua" w:hAnsi="Book Antiqua" w:cs="Book Antiqua"/>
          <w:color w:val="000000"/>
        </w:rPr>
        <w:lastRenderedPageBreak/>
        <w:t>transaminase (ALT) and aspartate transaminase (AST) levels compared with those in WT mice (</w:t>
      </w:r>
      <w:r>
        <w:rPr>
          <w:rFonts w:ascii="Book Antiqua" w:eastAsia="Book Antiqua" w:hAnsi="Book Antiqua" w:cs="Book Antiqua"/>
          <w:bCs/>
          <w:color w:val="000000"/>
        </w:rPr>
        <w:t>Figure 4A</w:t>
      </w:r>
      <w:r>
        <w:rPr>
          <w:rFonts w:ascii="Book Antiqua" w:hAnsi="Book Antiqua" w:cs="Book Antiqu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In addition, viral tit</w:t>
      </w:r>
      <w:r>
        <w:rPr>
          <w:rFonts w:ascii="Book Antiqua" w:eastAsia="Book Antiqua" w:hAnsi="Book Antiqua" w:cs="Book Antiqua"/>
          <w:color w:val="000000"/>
        </w:rPr>
        <w:t xml:space="preserve">ers were reduced in </w:t>
      </w:r>
      <w:r>
        <w:rPr>
          <w:rFonts w:ascii="Book Antiqua" w:eastAsia="Book Antiqua" w:hAnsi="Book Antiqua" w:cs="Book Antiqua"/>
          <w:i/>
          <w:iCs/>
          <w:color w:val="000000"/>
        </w:rPr>
        <w:t>Flg2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mice compared with those in their WT counterparts (</w:t>
      </w:r>
      <w:r>
        <w:rPr>
          <w:rFonts w:ascii="Book Antiqua" w:eastAsia="Book Antiqua" w:hAnsi="Book Antiqua" w:cs="Book Antiqua"/>
          <w:bCs/>
          <w:color w:val="000000"/>
        </w:rPr>
        <w:t>Supplementary Figure 3B</w:t>
      </w:r>
      <w:r>
        <w:rPr>
          <w:rFonts w:ascii="Book Antiqua" w:eastAsia="Book Antiqua" w:hAnsi="Book Antiqua" w:cs="Book Antiqua"/>
          <w:color w:val="000000"/>
        </w:rPr>
        <w:t xml:space="preserve">). Consistent with the pathology results, monocyte infiltration was significantly reduced in </w:t>
      </w:r>
      <w:r>
        <w:rPr>
          <w:rFonts w:ascii="Book Antiqua" w:eastAsia="Book Antiqua" w:hAnsi="Book Antiqua" w:cs="Book Antiqua"/>
          <w:i/>
          <w:iCs/>
          <w:color w:val="000000"/>
        </w:rPr>
        <w:t>Flg2</w:t>
      </w:r>
      <w:r>
        <w:rPr>
          <w:rFonts w:ascii="Book Antiqua" w:eastAsia="Book Antiqua" w:hAnsi="Book Antiqua" w:cs="Book Antiqua"/>
          <w:i/>
          <w:iCs/>
          <w:color w:val="000000"/>
          <w:vertAlign w:val="superscript"/>
        </w:rPr>
        <w:t>-/-</w:t>
      </w:r>
      <w:r>
        <w:rPr>
          <w:rFonts w:ascii="Book Antiqua" w:eastAsia="Book Antiqua" w:hAnsi="Book Antiqua" w:cs="Book Antiqua"/>
          <w:color w:val="000000"/>
        </w:rPr>
        <w:t xml:space="preserve"> mice, whereas a large number of KCs was maintained du</w:t>
      </w:r>
      <w:r>
        <w:rPr>
          <w:rFonts w:ascii="Book Antiqua" w:eastAsia="Book Antiqua" w:hAnsi="Book Antiqua" w:cs="Book Antiqua"/>
          <w:color w:val="000000"/>
        </w:rPr>
        <w:t>ring VFH progression (</w:t>
      </w:r>
      <w:r>
        <w:rPr>
          <w:rFonts w:ascii="Book Antiqua" w:eastAsia="Book Antiqua" w:hAnsi="Book Antiqua" w:cs="Book Antiqua"/>
          <w:bCs/>
          <w:color w:val="000000"/>
        </w:rPr>
        <w:t>Figure 4C</w:t>
      </w:r>
      <w:r>
        <w:rPr>
          <w:rFonts w:ascii="Book Antiqua" w:eastAsia="Book Antiqua" w:hAnsi="Book Antiqua" w:cs="Book Antiqua"/>
          <w:color w:val="000000"/>
        </w:rPr>
        <w:t xml:space="preserve">). To determine whether </w:t>
      </w:r>
      <w:r>
        <w:rPr>
          <w:rFonts w:ascii="Book Antiqua" w:eastAsia="Book Antiqua" w:hAnsi="Book Antiqua" w:cs="Book Antiqua"/>
          <w:i/>
          <w:iCs/>
          <w:color w:val="000000"/>
        </w:rPr>
        <w:t>Fgl2</w:t>
      </w:r>
      <w:r>
        <w:rPr>
          <w:rFonts w:ascii="Book Antiqua" w:eastAsia="Book Antiqua" w:hAnsi="Book Antiqua" w:cs="Book Antiqua"/>
          <w:color w:val="000000"/>
        </w:rPr>
        <w:t xml:space="preserve"> was required for proinflammatory macrophage activation, we investigated the polarization of KCs at the early stage of VFH when KC populations were reserved. We found a decrease in the M1 KC subset</w:t>
      </w:r>
      <w:r>
        <w:rPr>
          <w:rFonts w:ascii="Book Antiqua" w:eastAsia="Book Antiqua" w:hAnsi="Book Antiqua" w:cs="Book Antiqua"/>
          <w:color w:val="000000"/>
        </w:rPr>
        <w:t xml:space="preserve"> and an increase in the M2 KC numbers in FGL2-deficient mice before and after MHV-3 infection (</w:t>
      </w:r>
      <w:r>
        <w:rPr>
          <w:rFonts w:ascii="Book Antiqua" w:eastAsia="Book Antiqua" w:hAnsi="Book Antiqua" w:cs="Book Antiqua"/>
          <w:bCs/>
          <w:color w:val="000000"/>
        </w:rPr>
        <w:t>Figure 4D</w:t>
      </w:r>
      <w:r>
        <w:rPr>
          <w:rFonts w:ascii="Book Antiqua" w:eastAsia="Book Antiqua" w:hAnsi="Book Antiqua" w:cs="Book Antiqua"/>
          <w:color w:val="000000"/>
        </w:rPr>
        <w:t>), suggesting that FGL2 depletion impaired inflammatory macrophage activation and favored the M2 phenotype. As expected, a small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subset was als</w:t>
      </w:r>
      <w:r>
        <w:rPr>
          <w:rFonts w:ascii="Book Antiqua" w:eastAsia="Book Antiqua" w:hAnsi="Book Antiqua" w:cs="Book Antiqua"/>
          <w:color w:val="000000"/>
        </w:rPr>
        <w:t xml:space="preserve">o observed in the MoMF population in FGL2-deficient mice after viral infection, implying that </w:t>
      </w:r>
      <w:r>
        <w:rPr>
          <w:rFonts w:ascii="Book Antiqua" w:eastAsia="Book Antiqua" w:hAnsi="Book Antiqua" w:cs="Book Antiqua"/>
          <w:i/>
          <w:iCs/>
          <w:color w:val="000000"/>
        </w:rPr>
        <w:t>Fgl2</w:t>
      </w:r>
      <w:r>
        <w:rPr>
          <w:rFonts w:ascii="Book Antiqua" w:eastAsia="Book Antiqua" w:hAnsi="Book Antiqua" w:cs="Book Antiqua"/>
          <w:color w:val="000000"/>
        </w:rPr>
        <w:t xml:space="preserve"> loss predisposed MoMFs to the Ly6C</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phenotype (</w:t>
      </w:r>
      <w:r>
        <w:rPr>
          <w:rFonts w:ascii="Book Antiqua" w:eastAsia="Book Antiqua" w:hAnsi="Book Antiqua" w:cs="Book Antiqua"/>
          <w:bCs/>
          <w:color w:val="000000"/>
        </w:rPr>
        <w:t>Figure 4E</w:t>
      </w:r>
      <w:r>
        <w:rPr>
          <w:rFonts w:ascii="Book Antiqua" w:eastAsia="Book Antiqua" w:hAnsi="Book Antiqua" w:cs="Book Antiqua"/>
          <w:color w:val="000000"/>
        </w:rPr>
        <w:t>). This interpretation was further supported by the reduced levels of TNF-α and IL-6 and the increa</w:t>
      </w:r>
      <w:r>
        <w:rPr>
          <w:rFonts w:ascii="Book Antiqua" w:eastAsia="Book Antiqua" w:hAnsi="Book Antiqua" w:cs="Book Antiqua"/>
          <w:color w:val="000000"/>
        </w:rPr>
        <w:t xml:space="preserve">sed levels of TGF-β on KCs from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after viral infection compared with those in WT mice (</w:t>
      </w:r>
      <w:r>
        <w:rPr>
          <w:rFonts w:ascii="Book Antiqua" w:eastAsia="Book Antiqua" w:hAnsi="Book Antiqua" w:cs="Book Antiqua"/>
          <w:bCs/>
          <w:color w:val="000000"/>
        </w:rPr>
        <w:t>Supplementary Figure 3C</w:t>
      </w:r>
      <w:r>
        <w:rPr>
          <w:rFonts w:ascii="Book Antiqua" w:eastAsia="Book Antiqua" w:hAnsi="Book Antiqua" w:cs="Book Antiqua"/>
          <w:color w:val="000000"/>
        </w:rPr>
        <w:t>).</w:t>
      </w:r>
    </w:p>
    <w:p w14:paraId="68BDF261" w14:textId="77777777" w:rsidR="00F203DF" w:rsidRDefault="00F203DF">
      <w:pPr>
        <w:spacing w:line="360" w:lineRule="auto"/>
        <w:jc w:val="both"/>
        <w:rPr>
          <w:rFonts w:ascii="Book Antiqua" w:eastAsia="Book Antiqua" w:hAnsi="Book Antiqua" w:cs="Book Antiqua"/>
          <w:bCs/>
          <w:color w:val="000000"/>
        </w:rPr>
      </w:pPr>
    </w:p>
    <w:p w14:paraId="5A085984"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FGL2 induces KC polarization for initiation of inflammatory events after viral infection</w:t>
      </w:r>
    </w:p>
    <w:p w14:paraId="0D5EF479"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Macrophage depletion by clodronate liposo</w:t>
      </w:r>
      <w:r>
        <w:rPr>
          <w:rFonts w:ascii="Book Antiqua" w:eastAsia="Book Antiqua" w:hAnsi="Book Antiqua" w:cs="Book Antiqua"/>
          <w:color w:val="000000"/>
        </w:rPr>
        <w:t>mes significantly relieved liver injury, as shown by decreased necrosis foci and ALT/AST levels, in both WT and FGL2-deficient mice (</w:t>
      </w:r>
      <w:r>
        <w:rPr>
          <w:rFonts w:ascii="Book Antiqua" w:eastAsia="Book Antiqua" w:hAnsi="Book Antiqua" w:cs="Book Antiqua"/>
          <w:bCs/>
          <w:color w:val="000000"/>
        </w:rPr>
        <w:t>Figure 5A</w:t>
      </w:r>
      <w:r>
        <w:rPr>
          <w:rFonts w:ascii="Book Antiqua" w:hAnsi="Book Antiqua" w:cs="Book Antiqu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Notably, further reduction in liver ALT/AST levels and fewer necrotic hepatocytes were observed in FGL2-deficient mice after viral infection, suggesting the requirement of FGL2 for macrophage polarization and disease progression. To determine whether FG</w:t>
      </w:r>
      <w:r>
        <w:rPr>
          <w:rFonts w:ascii="Book Antiqua" w:eastAsia="Book Antiqua" w:hAnsi="Book Antiqua" w:cs="Book Antiqua"/>
          <w:color w:val="000000"/>
        </w:rPr>
        <w:t xml:space="preserve">L2 regulates macrophage polarization directly, BMDMs from WT and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were transferred into WT recipient mice with self-BMDMs depleted in advance in the VFH model. Interestingly, </w:t>
      </w:r>
      <w:r>
        <w:rPr>
          <w:rFonts w:ascii="Book Antiqua" w:eastAsia="Book Antiqua" w:hAnsi="Book Antiqua" w:cs="Book Antiqua"/>
          <w:i/>
          <w:iCs/>
          <w:color w:val="000000"/>
        </w:rPr>
        <w:t>Fgl2-/-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BMDMs exhibited reduced numbers of inflammatory polarized mac</w:t>
      </w:r>
      <w:r>
        <w:rPr>
          <w:rFonts w:ascii="Book Antiqua" w:eastAsia="Book Antiqua" w:hAnsi="Book Antiqua" w:cs="Book Antiqua"/>
          <w:color w:val="000000"/>
        </w:rPr>
        <w:t>rophages and increased numbers of anti-inflammatory macrophages (</w:t>
      </w:r>
      <w:r>
        <w:rPr>
          <w:rFonts w:ascii="Book Antiqua" w:eastAsia="Book Antiqua" w:hAnsi="Book Antiqua" w:cs="Book Antiqua"/>
          <w:bCs/>
          <w:color w:val="000000"/>
        </w:rPr>
        <w:t>Figure 5D</w:t>
      </w:r>
      <w:r>
        <w:rPr>
          <w:rFonts w:ascii="Book Antiqua" w:hAnsi="Book Antiqua" w:cs="Book Antiqua"/>
          <w:bCs/>
          <w:color w:val="000000"/>
          <w:lang w:eastAsia="zh-CN"/>
        </w:rPr>
        <w:t xml:space="preserve"> and </w:t>
      </w:r>
      <w:r>
        <w:rPr>
          <w:rFonts w:ascii="Book Antiqua" w:eastAsia="Book Antiqua" w:hAnsi="Book Antiqua" w:cs="Book Antiqua"/>
          <w:bCs/>
          <w:color w:val="000000"/>
        </w:rPr>
        <w:t>E</w:t>
      </w:r>
      <w:r>
        <w:rPr>
          <w:rFonts w:ascii="Book Antiqua" w:eastAsia="Book Antiqua" w:hAnsi="Book Antiqua" w:cs="Book Antiqua"/>
          <w:color w:val="000000"/>
        </w:rPr>
        <w:t xml:space="preserve">). Moreover, recipient mice adoptively transferred with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exhibited reduced liver injury, as revealed by </w:t>
      </w:r>
      <w:r>
        <w:rPr>
          <w:rFonts w:ascii="Book Antiqua" w:eastAsia="Book Antiqua" w:hAnsi="Book Antiqua" w:cs="Book Antiqua"/>
          <w:color w:val="000000"/>
        </w:rPr>
        <w:lastRenderedPageBreak/>
        <w:t>histological analysis (</w:t>
      </w:r>
      <w:r>
        <w:rPr>
          <w:rFonts w:ascii="Book Antiqua" w:eastAsia="Book Antiqua" w:hAnsi="Book Antiqua" w:cs="Book Antiqua"/>
          <w:bCs/>
          <w:color w:val="000000"/>
        </w:rPr>
        <w:t>Figure 5A)</w:t>
      </w:r>
      <w:r>
        <w:rPr>
          <w:rFonts w:ascii="Book Antiqua" w:eastAsia="Book Antiqua" w:hAnsi="Book Antiqua" w:cs="Book Antiqua"/>
          <w:color w:val="000000"/>
        </w:rPr>
        <w:t xml:space="preserve"> and ALT/AST levels (</w:t>
      </w:r>
      <w:r>
        <w:rPr>
          <w:rFonts w:ascii="Book Antiqua" w:eastAsia="Book Antiqua" w:hAnsi="Book Antiqua" w:cs="Book Antiqua"/>
          <w:bCs/>
          <w:color w:val="000000"/>
        </w:rPr>
        <w:t>Figur</w:t>
      </w:r>
      <w:r>
        <w:rPr>
          <w:rFonts w:ascii="Book Antiqua" w:eastAsia="Book Antiqua" w:hAnsi="Book Antiqua" w:cs="Book Antiqua"/>
          <w:bCs/>
          <w:color w:val="000000"/>
        </w:rPr>
        <w:t>e 5C</w:t>
      </w:r>
      <w:r>
        <w:rPr>
          <w:rFonts w:ascii="Book Antiqua" w:eastAsia="Book Antiqua" w:hAnsi="Book Antiqua" w:cs="Book Antiqua"/>
          <w:color w:val="000000"/>
        </w:rPr>
        <w:t>), when compared with that in recipients transferred with WT BMDMs.</w:t>
      </w:r>
    </w:p>
    <w:p w14:paraId="0ED57F6E"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depicted in </w:t>
      </w:r>
      <w:r>
        <w:rPr>
          <w:rFonts w:ascii="Book Antiqua" w:eastAsia="Book Antiqua" w:hAnsi="Book Antiqua" w:cs="Book Antiqua"/>
          <w:bCs/>
          <w:color w:val="000000"/>
        </w:rPr>
        <w:t>Supplementary Figure 3D-3E</w:t>
      </w:r>
      <w:r>
        <w:rPr>
          <w:rFonts w:ascii="Book Antiqua" w:eastAsia="Book Antiqua" w:hAnsi="Book Antiqua" w:cs="Book Antiqua"/>
          <w:color w:val="000000"/>
        </w:rPr>
        <w:t>, smaller numbers of MPO</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myeloid cells, which are considered to be neutrophils, were observed in liver sections from mice with macrophage d</w:t>
      </w:r>
      <w:r>
        <w:rPr>
          <w:rFonts w:ascii="Book Antiqua" w:eastAsia="Book Antiqua" w:hAnsi="Book Antiqua" w:cs="Book Antiqua"/>
          <w:color w:val="000000"/>
        </w:rPr>
        <w:t xml:space="preserve">epletion or in FGL2-deficient mice compared with those from untreated WT mice following MHV-3 infection. However, no significant difference in neutrophil abundance was observed between WT and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with macrophage depletion.</w:t>
      </w:r>
    </w:p>
    <w:p w14:paraId="2F865EA7"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Because MoMFs formed the</w:t>
      </w:r>
      <w:r>
        <w:rPr>
          <w:rFonts w:ascii="Book Antiqua" w:eastAsia="Book Antiqua" w:hAnsi="Book Antiqua" w:cs="Book Antiqua"/>
          <w:color w:val="000000"/>
        </w:rPr>
        <w:t xml:space="preserve"> largest component of myeloid cells during the acute stage and CCR2 is mainly expressed in proinflammatory monocytes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w:t>
      </w:r>
      <w:r>
        <w:rPr>
          <w:rFonts w:ascii="Book Antiqua" w:hAnsi="Book Antiqua" w:cs="Book Antiqua"/>
          <w:color w:val="000000"/>
          <w:vertAlign w:val="superscript"/>
          <w:lang w:eastAsia="zh-CN"/>
        </w:rPr>
        <w:t>[24]</w:t>
      </w:r>
      <w:r>
        <w:rPr>
          <w:rFonts w:ascii="Book Antiqua" w:eastAsia="Book Antiqua" w:hAnsi="Book Antiqua" w:cs="Book Antiqua"/>
          <w:color w:val="000000"/>
        </w:rPr>
        <w:t>, we speculated that MoMF-derived inflammation is a major source of hepatic inflammation. Indeed, treatment with the CCR2 inh</w:t>
      </w:r>
      <w:r>
        <w:rPr>
          <w:rFonts w:ascii="Book Antiqua" w:eastAsia="Book Antiqua" w:hAnsi="Book Antiqua" w:cs="Book Antiqua"/>
          <w:color w:val="000000"/>
        </w:rPr>
        <w:t>ibitor cenicriviroc significantly reduced the virus-induced liver damage (</w:t>
      </w:r>
      <w:r>
        <w:rPr>
          <w:rFonts w:ascii="Book Antiqua" w:eastAsia="Book Antiqua" w:hAnsi="Book Antiqua" w:cs="Book Antiqua"/>
          <w:b/>
          <w:bCs/>
          <w:color w:val="000000"/>
        </w:rPr>
        <w:t>Figure 5F-5G</w:t>
      </w:r>
      <w:r>
        <w:rPr>
          <w:rFonts w:ascii="Book Antiqua" w:eastAsia="Book Antiqua" w:hAnsi="Book Antiqua" w:cs="Book Antiqua"/>
          <w:color w:val="000000"/>
        </w:rPr>
        <w:t>). Collectively, these data suggest that FGL2 directly regulates proinflammatory macrophage polarization and that infiltrated MoMFs are the major source of hepatic inflam</w:t>
      </w:r>
      <w:r>
        <w:rPr>
          <w:rFonts w:ascii="Book Antiqua" w:eastAsia="Book Antiqua" w:hAnsi="Book Antiqua" w:cs="Book Antiqua"/>
          <w:color w:val="000000"/>
        </w:rPr>
        <w:t>mation during acute liver injury.</w:t>
      </w:r>
    </w:p>
    <w:p w14:paraId="50E9EF47" w14:textId="77777777" w:rsidR="00F203DF" w:rsidRDefault="00F203DF">
      <w:pPr>
        <w:spacing w:line="360" w:lineRule="auto"/>
        <w:jc w:val="both"/>
        <w:rPr>
          <w:rFonts w:ascii="Book Antiqua" w:eastAsia="Book Antiqua" w:hAnsi="Book Antiqua" w:cs="Book Antiqua"/>
          <w:b/>
          <w:bCs/>
          <w:color w:val="000000"/>
        </w:rPr>
      </w:pPr>
    </w:p>
    <w:p w14:paraId="398D62FD" w14:textId="77777777" w:rsidR="00F203DF" w:rsidRDefault="002B133B">
      <w:pPr>
        <w:spacing w:line="360" w:lineRule="auto"/>
        <w:jc w:val="both"/>
        <w:rPr>
          <w:rFonts w:ascii="Book Antiqua" w:hAnsi="Book Antiqua"/>
          <w:i/>
          <w:iCs/>
        </w:rPr>
      </w:pPr>
      <w:r>
        <w:rPr>
          <w:rFonts w:ascii="Book Antiqua" w:eastAsia="Book Antiqua" w:hAnsi="Book Antiqua" w:cs="Book Antiqua"/>
          <w:b/>
          <w:bCs/>
          <w:i/>
          <w:color w:val="000000"/>
        </w:rPr>
        <w:t xml:space="preserve">FGL2 deficiency attenuates macrophage M1 polarization </w:t>
      </w:r>
      <w:r>
        <w:rPr>
          <w:rFonts w:ascii="Book Antiqua" w:eastAsia="Book Antiqua" w:hAnsi="Book Antiqua" w:cs="Book Antiqua"/>
          <w:b/>
          <w:bCs/>
          <w:i/>
          <w:iCs/>
          <w:color w:val="000000"/>
        </w:rPr>
        <w:t>in vitro</w:t>
      </w:r>
    </w:p>
    <w:p w14:paraId="001B68D8"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To further determine whether FGL2 regulates macrophage polarization directly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we examined its regulatory effect on BMDMs and PEMs by LPS </w:t>
      </w:r>
      <w:r>
        <w:rPr>
          <w:rFonts w:ascii="Book Antiqua" w:eastAsia="Book Antiqua" w:hAnsi="Book Antiqua" w:cs="Book Antiqua"/>
          <w:color w:val="000000"/>
        </w:rPr>
        <w:t>stimulation or MHV-3 infection. As expected, in WT BMDMs, robust production of cytokines and chemokines, such as IL-1β, TNF-α, IL-6, IL-12, and MCP-1, and reactive species, such as the NO-derived nitrite product (NO</w:t>
      </w:r>
      <w:r>
        <w:rPr>
          <w:rFonts w:ascii="Book Antiqua" w:eastAsia="Book Antiqua" w:hAnsi="Book Antiqua" w:cs="Book Antiqua"/>
          <w:color w:val="000000"/>
          <w:vertAlign w:val="sub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were observed in response to either </w:t>
      </w:r>
      <w:r>
        <w:rPr>
          <w:rFonts w:ascii="Book Antiqua" w:eastAsia="Book Antiqua" w:hAnsi="Book Antiqua" w:cs="Book Antiqua"/>
          <w:color w:val="000000"/>
        </w:rPr>
        <w:t xml:space="preserve">LPS treatment or MHV-3 infection. In contrast, the levels of such products were markedly reduced in BMDMs from </w:t>
      </w:r>
      <w:r>
        <w:rPr>
          <w:rFonts w:ascii="Book Antiqua" w:eastAsia="Book Antiqua" w:hAnsi="Book Antiqua" w:cs="Book Antiqua"/>
          <w:i/>
          <w:iCs/>
          <w:color w:val="000000"/>
        </w:rPr>
        <w:t>Fgl2-/-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mice under the same condition (</w:t>
      </w:r>
      <w:r>
        <w:rPr>
          <w:rFonts w:ascii="Book Antiqua" w:eastAsia="Book Antiqua" w:hAnsi="Book Antiqua" w:cs="Book Antiqua"/>
          <w:bCs/>
          <w:color w:val="000000"/>
        </w:rPr>
        <w:t>Figure 6A</w:t>
      </w:r>
      <w:r>
        <w:rPr>
          <w:rFonts w:ascii="Book Antiqua" w:eastAsia="Book Antiqua" w:hAnsi="Book Antiqua" w:cs="Book Antiqua"/>
          <w:color w:val="000000"/>
        </w:rPr>
        <w:t>). Consistently, the transcription levels of M1 indicators, such as NOS2, TNF-α, IL-6, IL-1β, IL-</w:t>
      </w:r>
      <w:r>
        <w:rPr>
          <w:rFonts w:ascii="Book Antiqua" w:eastAsia="Book Antiqua" w:hAnsi="Book Antiqua" w:cs="Book Antiqua"/>
          <w:color w:val="000000"/>
        </w:rPr>
        <w:t xml:space="preserve">12, and Marco, were significantly reduced in BMDMs of </w:t>
      </w:r>
      <w:r>
        <w:rPr>
          <w:rFonts w:ascii="Book Antiqua" w:eastAsia="Book Antiqua" w:hAnsi="Book Antiqua" w:cs="Book Antiqua"/>
          <w:i/>
          <w:iCs/>
          <w:color w:val="000000"/>
        </w:rPr>
        <w:t>Fgl2-/-</w:t>
      </w:r>
      <w:r>
        <w:rPr>
          <w:rFonts w:ascii="Book Antiqua" w:eastAsia="Book Antiqua" w:hAnsi="Book Antiqua" w:cs="Book Antiqua"/>
          <w:i/>
          <w:iCs/>
          <w:color w:val="000000"/>
          <w:vertAlign w:val="superscript"/>
        </w:rPr>
        <w:t xml:space="preserve"> </w:t>
      </w:r>
      <w:r>
        <w:rPr>
          <w:rFonts w:ascii="Book Antiqua" w:eastAsia="Book Antiqua" w:hAnsi="Book Antiqua" w:cs="Book Antiqua"/>
          <w:color w:val="000000"/>
        </w:rPr>
        <w:t>mice compared with those in BMDMs from WT mice in response to either LPS stimulation or MHV-3 infection (</w:t>
      </w:r>
      <w:r>
        <w:rPr>
          <w:rFonts w:ascii="Book Antiqua" w:eastAsia="Book Antiqua" w:hAnsi="Book Antiqua" w:cs="Book Antiqua"/>
          <w:bCs/>
          <w:color w:val="000000"/>
        </w:rPr>
        <w:t>Figure 6B-6C</w:t>
      </w:r>
      <w:r>
        <w:rPr>
          <w:rFonts w:ascii="Book Antiqua" w:eastAsia="Book Antiqua" w:hAnsi="Book Antiqua" w:cs="Book Antiqua"/>
          <w:color w:val="000000"/>
        </w:rPr>
        <w:t>). In contrast, both IL-10 production and the transcriptional levels of M2 ma</w:t>
      </w:r>
      <w:r>
        <w:rPr>
          <w:rFonts w:ascii="Book Antiqua" w:eastAsia="Book Antiqua" w:hAnsi="Book Antiqua" w:cs="Book Antiqua"/>
          <w:color w:val="000000"/>
        </w:rPr>
        <w:t xml:space="preserve">rkers were significantly higher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than in WT BMDMs in response to IL-4 treatment </w:t>
      </w:r>
      <w:r>
        <w:rPr>
          <w:rFonts w:ascii="Book Antiqua" w:eastAsia="Book Antiqua" w:hAnsi="Book Antiqua" w:cs="Book Antiqua"/>
          <w:color w:val="000000"/>
        </w:rPr>
        <w:lastRenderedPageBreak/>
        <w:t>(</w:t>
      </w:r>
      <w:r>
        <w:rPr>
          <w:rFonts w:ascii="Book Antiqua" w:eastAsia="Book Antiqua" w:hAnsi="Book Antiqua" w:cs="Book Antiqua"/>
          <w:bCs/>
          <w:color w:val="000000"/>
        </w:rPr>
        <w:t>Figure 6D-6E</w:t>
      </w:r>
      <w:r>
        <w:rPr>
          <w:rFonts w:ascii="Book Antiqua" w:eastAsia="Book Antiqua" w:hAnsi="Book Antiqua" w:cs="Book Antiqua"/>
          <w:color w:val="000000"/>
        </w:rPr>
        <w:t xml:space="preserve">). Similar results were also obtained in </w:t>
      </w:r>
      <w:r>
        <w:rPr>
          <w:rFonts w:ascii="Book Antiqua" w:eastAsia="Book Antiqua" w:hAnsi="Book Antiqua" w:cs="Book Antiqua"/>
          <w:i/>
          <w:iCs/>
          <w:color w:val="000000"/>
        </w:rPr>
        <w:t>Fgl2-/-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PEMs in response to LPS treatment (</w:t>
      </w:r>
      <w:r>
        <w:rPr>
          <w:rFonts w:ascii="Book Antiqua" w:eastAsia="Book Antiqua" w:hAnsi="Book Antiqua" w:cs="Book Antiqua"/>
          <w:bCs/>
          <w:color w:val="000000"/>
        </w:rPr>
        <w:t>Supplementary Figure 4</w:t>
      </w:r>
      <w:r>
        <w:rPr>
          <w:rFonts w:ascii="Book Antiqua" w:eastAsia="Book Antiqua" w:hAnsi="Book Antiqua" w:cs="Book Antiqua"/>
          <w:color w:val="000000"/>
        </w:rPr>
        <w:t>). Taken together, these data suggest tha</w:t>
      </w:r>
      <w:r>
        <w:rPr>
          <w:rFonts w:ascii="Book Antiqua" w:eastAsia="Book Antiqua" w:hAnsi="Book Antiqua" w:cs="Book Antiqua"/>
          <w:color w:val="000000"/>
        </w:rPr>
        <w:t>t FGL2 deficiency impairs the proinflammatory polarization of macrophages and promotes an alternative activated phenotype in response to IL-4 stimulation.</w:t>
      </w:r>
    </w:p>
    <w:p w14:paraId="3691CD48" w14:textId="77777777" w:rsidR="00F203DF" w:rsidRDefault="00F203DF">
      <w:pPr>
        <w:spacing w:line="360" w:lineRule="auto"/>
        <w:jc w:val="both"/>
        <w:rPr>
          <w:rFonts w:ascii="Book Antiqua" w:eastAsia="Book Antiqua" w:hAnsi="Book Antiqua" w:cs="Book Antiqua"/>
          <w:b/>
          <w:bCs/>
          <w:color w:val="000000"/>
        </w:rPr>
      </w:pPr>
    </w:p>
    <w:p w14:paraId="127D2072"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FGL2 deficiency reduces the antigen presentation and phagocytosis of macrophages</w:t>
      </w:r>
    </w:p>
    <w:p w14:paraId="65527CBE"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A critical function</w:t>
      </w:r>
      <w:r>
        <w:rPr>
          <w:rFonts w:ascii="Book Antiqua" w:eastAsia="Book Antiqua" w:hAnsi="Book Antiqua" w:cs="Book Antiqua"/>
          <w:color w:val="000000"/>
        </w:rPr>
        <w:t xml:space="preserve"> of hepatic macrophages during homeostasis maintenance is to engulf pathogens, endotoxins, and debris of dead cells</w:t>
      </w:r>
      <w:r>
        <w:rPr>
          <w:rFonts w:ascii="Book Antiqua" w:eastAsia="Book Antiqua" w:hAnsi="Book Antiqua" w:cs="Book Antiqua"/>
          <w:i/>
          <w:color w:val="000000"/>
        </w:rPr>
        <w:t xml:space="preserve"> via </w:t>
      </w:r>
      <w:r>
        <w:rPr>
          <w:rFonts w:ascii="Book Antiqua" w:eastAsia="Book Antiqua" w:hAnsi="Book Antiqua" w:cs="Book Antiqua"/>
          <w:color w:val="000000"/>
        </w:rPr>
        <w:t xml:space="preserve">a process called phagocytosis, followed by antigen presentation by major histocompatibility complex (MHC) II for T cells. We therefore cultured </w:t>
      </w:r>
      <w:r>
        <w:rPr>
          <w:rFonts w:ascii="Book Antiqua" w:eastAsia="Book Antiqua" w:hAnsi="Book Antiqua" w:cs="Book Antiqua"/>
          <w:i/>
          <w:iCs/>
          <w:color w:val="000000"/>
        </w:rPr>
        <w:t>E. coli</w:t>
      </w:r>
      <w:r>
        <w:rPr>
          <w:rFonts w:ascii="Book Antiqua" w:eastAsia="Book Antiqua" w:hAnsi="Book Antiqua" w:cs="Book Antiqua"/>
          <w:color w:val="000000"/>
        </w:rPr>
        <w:t xml:space="preserve"> labeled with red fluorescence together with peritoneal macrophages to examine their phagocytic capabilit</w:t>
      </w:r>
      <w:r>
        <w:rPr>
          <w:rFonts w:ascii="Book Antiqua" w:eastAsia="Book Antiqua" w:hAnsi="Book Antiqua" w:cs="Book Antiqua"/>
          <w:color w:val="000000"/>
        </w:rPr>
        <w:t xml:space="preserve">ies. The number of engulfed bacteria was notably smaller in macrophages from FGL2-deficient mice than in macrophages from WT mice, although more macrophages were detected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mice (</w:t>
      </w:r>
      <w:r>
        <w:rPr>
          <w:rFonts w:ascii="Book Antiqua" w:eastAsia="Book Antiqua" w:hAnsi="Book Antiqua" w:cs="Book Antiqua"/>
          <w:bCs/>
          <w:color w:val="000000"/>
        </w:rPr>
        <w:t>Figure 7A</w:t>
      </w:r>
      <w:r>
        <w:rPr>
          <w:rFonts w:ascii="Book Antiqua" w:hAnsi="Book Antiqua" w:cs="Book Antiqua"/>
          <w:bCs/>
          <w:color w:val="000000"/>
          <w:lang w:eastAsia="zh-CN"/>
        </w:rPr>
        <w:t xml:space="preserve"> and B</w:t>
      </w:r>
      <w:r>
        <w:rPr>
          <w:rFonts w:ascii="Book Antiqua" w:eastAsia="Book Antiqua" w:hAnsi="Book Antiqua" w:cs="Book Antiqua"/>
          <w:color w:val="000000"/>
        </w:rPr>
        <w:t>). Furthermore, surface expression of MHC II was more</w:t>
      </w:r>
      <w:r>
        <w:rPr>
          <w:rFonts w:ascii="Book Antiqua" w:eastAsia="Book Antiqua" w:hAnsi="Book Antiqua" w:cs="Book Antiqua"/>
          <w:color w:val="000000"/>
        </w:rPr>
        <w:t xml:space="preserve"> severely impaired in FGL2-deficient macrophages than in WT macrophages under normal conditions or after viral stimulation (</w:t>
      </w:r>
      <w:r>
        <w:rPr>
          <w:rFonts w:ascii="Book Antiqua" w:eastAsia="Book Antiqua" w:hAnsi="Book Antiqua" w:cs="Book Antiqua"/>
          <w:bCs/>
          <w:color w:val="000000"/>
        </w:rPr>
        <w:t>Figure 7C</w:t>
      </w:r>
      <w:r>
        <w:rPr>
          <w:rFonts w:ascii="Book Antiqua" w:eastAsia="Book Antiqua" w:hAnsi="Book Antiqua" w:cs="Book Antiqua"/>
          <w:color w:val="000000"/>
        </w:rPr>
        <w:t>), whereas expression of CD80, CD86, or MHC I was not altered (data not shown). These data suggest that FGL2 deficiency att</w:t>
      </w:r>
      <w:r>
        <w:rPr>
          <w:rFonts w:ascii="Book Antiqua" w:eastAsia="Book Antiqua" w:hAnsi="Book Antiqua" w:cs="Book Antiqua"/>
          <w:color w:val="000000"/>
        </w:rPr>
        <w:t>enuates both the phagocytic capacity and antigen presentation potential of macrophages.</w:t>
      </w:r>
    </w:p>
    <w:p w14:paraId="2888823B" w14:textId="77777777" w:rsidR="00F203DF" w:rsidRDefault="00F203DF">
      <w:pPr>
        <w:spacing w:line="360" w:lineRule="auto"/>
        <w:jc w:val="both"/>
        <w:rPr>
          <w:rFonts w:ascii="Book Antiqua" w:eastAsia="Book Antiqua" w:hAnsi="Book Antiqua" w:cs="Book Antiqua"/>
          <w:b/>
          <w:bCs/>
          <w:color w:val="000000"/>
        </w:rPr>
      </w:pPr>
    </w:p>
    <w:p w14:paraId="17F8D8EB" w14:textId="77777777" w:rsidR="00F203DF" w:rsidRDefault="002B133B">
      <w:pPr>
        <w:spacing w:line="360" w:lineRule="auto"/>
        <w:jc w:val="both"/>
        <w:rPr>
          <w:rFonts w:ascii="Book Antiqua" w:hAnsi="Book Antiqua"/>
          <w:i/>
        </w:rPr>
      </w:pPr>
      <w:r>
        <w:rPr>
          <w:rFonts w:ascii="Book Antiqua" w:eastAsia="Book Antiqua" w:hAnsi="Book Antiqua" w:cs="Book Antiqua"/>
          <w:b/>
          <w:bCs/>
          <w:i/>
          <w:color w:val="000000"/>
        </w:rPr>
        <w:t xml:space="preserve">FGL2 modulates the inflammatory signaling cascade by activating NF-κB, IRF3, IRF7, and p38 </w:t>
      </w:r>
    </w:p>
    <w:p w14:paraId="40A66DC9"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To explore how FGL2 modulates inflammatory cascades, we examined the serial</w:t>
      </w:r>
      <w:r>
        <w:rPr>
          <w:rFonts w:ascii="Book Antiqua" w:eastAsia="Book Antiqua" w:hAnsi="Book Antiqua" w:cs="Book Antiqua"/>
          <w:color w:val="000000"/>
        </w:rPr>
        <w:t xml:space="preserve"> components of inflammatory signaling pathways in BMDMs by mimicking invading pathogen infections </w:t>
      </w:r>
      <w:r>
        <w:rPr>
          <w:rFonts w:ascii="Book Antiqua" w:eastAsia="Book Antiqua" w:hAnsi="Book Antiqua" w:cs="Book Antiqua"/>
          <w:i/>
          <w:iCs/>
          <w:color w:val="000000"/>
        </w:rPr>
        <w:t>in vitro</w:t>
      </w:r>
      <w:r>
        <w:rPr>
          <w:rFonts w:ascii="Book Antiqua" w:eastAsia="Book Antiqua" w:hAnsi="Book Antiqua" w:cs="Book Antiqua"/>
          <w:color w:val="000000"/>
        </w:rPr>
        <w:t>. Consistent with the results from MoMFs in the VFH model, FGL2 was robustly induced in BMDMs following LPS treatment and MHV-3 infection (</w:t>
      </w:r>
      <w:r>
        <w:rPr>
          <w:rFonts w:ascii="Book Antiqua" w:eastAsia="Book Antiqua" w:hAnsi="Book Antiqua" w:cs="Book Antiqua"/>
          <w:bCs/>
          <w:color w:val="000000"/>
        </w:rPr>
        <w:t>Figure 8A</w:t>
      </w:r>
      <w:r>
        <w:rPr>
          <w:rFonts w:ascii="Book Antiqua" w:eastAsia="Book Antiqua" w:hAnsi="Book Antiqua" w:cs="Book Antiqua"/>
          <w:color w:val="000000"/>
        </w:rPr>
        <w:t>).</w:t>
      </w:r>
      <w:r>
        <w:rPr>
          <w:rFonts w:ascii="Book Antiqua" w:eastAsia="Book Antiqua" w:hAnsi="Book Antiqua" w:cs="Book Antiqua"/>
          <w:color w:val="000000"/>
        </w:rPr>
        <w:t xml:space="preserve"> In addition, phosphorylation of IκBα, p65, IRF3, and IRF7, which are critical modulators of NF-κB activation and IFN expression, was remarkably impaired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in response to LPS treatment and viral infection (</w:t>
      </w:r>
      <w:r>
        <w:rPr>
          <w:rFonts w:ascii="Book Antiqua" w:eastAsia="Book Antiqua" w:hAnsi="Book Antiqua" w:cs="Book Antiqua"/>
          <w:bCs/>
          <w:color w:val="000000"/>
        </w:rPr>
        <w:t>Figure 8B, Supplementary Figure 5</w:t>
      </w:r>
      <w:r>
        <w:rPr>
          <w:rFonts w:ascii="Book Antiqua" w:eastAsia="Book Antiqua" w:hAnsi="Book Antiqua" w:cs="Book Antiqua"/>
          <w:color w:val="000000"/>
        </w:rPr>
        <w:t>).</w:t>
      </w:r>
      <w:r>
        <w:rPr>
          <w:rFonts w:ascii="Book Antiqua" w:eastAsia="Book Antiqua" w:hAnsi="Book Antiqua" w:cs="Book Antiqua"/>
          <w:color w:val="000000"/>
        </w:rPr>
        <w:t xml:space="preserve"> However, the expression of adaptor proteins such as TRIF and MyD88 was not </w:t>
      </w:r>
      <w:r>
        <w:rPr>
          <w:rFonts w:ascii="Book Antiqua" w:eastAsia="Book Antiqua" w:hAnsi="Book Antiqua" w:cs="Book Antiqua"/>
          <w:color w:val="000000"/>
        </w:rPr>
        <w:lastRenderedPageBreak/>
        <w:t>altered under the same conditions (</w:t>
      </w:r>
      <w:r>
        <w:rPr>
          <w:rFonts w:ascii="Book Antiqua" w:eastAsia="Book Antiqua" w:hAnsi="Book Antiqua" w:cs="Book Antiqua"/>
          <w:bCs/>
          <w:color w:val="000000"/>
        </w:rPr>
        <w:t>Figure 8B</w:t>
      </w:r>
      <w:r>
        <w:rPr>
          <w:rFonts w:ascii="Book Antiqua" w:eastAsia="Book Antiqua" w:hAnsi="Book Antiqua" w:cs="Book Antiqua"/>
          <w:color w:val="000000"/>
        </w:rPr>
        <w:t>). Among mitogen-activated protein kinases (MAPKs), the level of phosphorylated p38 was reduced, whereas the levels of activated (phosph</w:t>
      </w:r>
      <w:r>
        <w:rPr>
          <w:rFonts w:ascii="Book Antiqua" w:eastAsia="Book Antiqua" w:hAnsi="Book Antiqua" w:cs="Book Antiqua"/>
          <w:color w:val="000000"/>
        </w:rPr>
        <w:t xml:space="preserve">orylated) JNK and ERK were not affected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compared with those in WT BMDMs following LPS treatment and viral infection (</w:t>
      </w:r>
      <w:r>
        <w:rPr>
          <w:rFonts w:ascii="Book Antiqua" w:eastAsia="Book Antiqua" w:hAnsi="Book Antiqua" w:cs="Book Antiqua"/>
          <w:bCs/>
          <w:color w:val="000000"/>
        </w:rPr>
        <w:t>Figure 8C, Supplementary Figure 5</w:t>
      </w:r>
      <w:r>
        <w:rPr>
          <w:rFonts w:ascii="Book Antiqua" w:eastAsia="Book Antiqua" w:hAnsi="Book Antiqua" w:cs="Book Antiqua"/>
          <w:color w:val="000000"/>
        </w:rPr>
        <w:t>), suggesting that FGL2 induces a positive feedback proinflammatory loop through p38 acti</w:t>
      </w:r>
      <w:r>
        <w:rPr>
          <w:rFonts w:ascii="Book Antiqua" w:eastAsia="Book Antiqua" w:hAnsi="Book Antiqua" w:cs="Book Antiqua"/>
          <w:color w:val="000000"/>
        </w:rPr>
        <w:t>vation. Phosphorylation of p65 at Ser276 by c-Raf1 enables the recruitment of acetyltransferase CREB-binding protein (CBP) and p300, which leads to the acetylation of p65 and thus an enhanced NF-κB transcription rate</w:t>
      </w:r>
      <w:r>
        <w:rPr>
          <w:rFonts w:ascii="Book Antiqua" w:hAnsi="Book Antiqua" w:cs="Book Antiqua"/>
          <w:color w:val="000000"/>
          <w:vertAlign w:val="superscript"/>
          <w:lang w:eastAsia="zh-CN"/>
        </w:rPr>
        <w:t>[16]</w:t>
      </w:r>
      <w:r>
        <w:rPr>
          <w:rFonts w:ascii="Book Antiqua" w:eastAsia="Book Antiqua" w:hAnsi="Book Antiqua" w:cs="Book Antiqua"/>
          <w:color w:val="000000"/>
        </w:rPr>
        <w:t xml:space="preserve">. Interestingly, phosphorylation of </w:t>
      </w:r>
      <w:r>
        <w:rPr>
          <w:rFonts w:ascii="Book Antiqua" w:eastAsia="Book Antiqua" w:hAnsi="Book Antiqua" w:cs="Book Antiqua"/>
          <w:color w:val="000000"/>
        </w:rPr>
        <w:t xml:space="preserve">c-Raf1 and p65 (Ser276) and acetylation of p65 were reduced in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compared with those in WT BMDMs following either LPS stimulation or viral infection (</w:t>
      </w:r>
      <w:r>
        <w:rPr>
          <w:rFonts w:ascii="Book Antiqua" w:eastAsia="Book Antiqua" w:hAnsi="Book Antiqua" w:cs="Book Antiqua"/>
          <w:b/>
          <w:bCs/>
          <w:color w:val="000000"/>
        </w:rPr>
        <w:t>Figure 8D</w:t>
      </w:r>
      <w:r>
        <w:rPr>
          <w:rFonts w:ascii="Book Antiqua" w:eastAsia="Book Antiqua" w:hAnsi="Book Antiqua" w:cs="Book Antiqua"/>
          <w:color w:val="000000"/>
        </w:rPr>
        <w:t>). Phosphorylation of TBK, a modulator downstream of SYK that is involved in C-type l</w:t>
      </w:r>
      <w:r>
        <w:rPr>
          <w:rFonts w:ascii="Book Antiqua" w:eastAsia="Book Antiqua" w:hAnsi="Book Antiqua" w:cs="Book Antiqua"/>
          <w:color w:val="000000"/>
        </w:rPr>
        <w:t>ectin receptor (CLR)/Toll-like receptor (TLR) signaling-mediated innate immunity</w:t>
      </w:r>
      <w:r>
        <w:rPr>
          <w:rFonts w:ascii="Book Antiqua" w:hAnsi="Book Antiqua" w:cs="Book Antiqua"/>
          <w:color w:val="000000"/>
          <w:vertAlign w:val="superscript"/>
          <w:lang w:eastAsia="zh-CN"/>
        </w:rPr>
        <w:t>[25]</w:t>
      </w:r>
      <w:r>
        <w:rPr>
          <w:rFonts w:ascii="Book Antiqua" w:eastAsia="Book Antiqua" w:hAnsi="Book Antiqua" w:cs="Book Antiqua"/>
          <w:color w:val="000000"/>
        </w:rPr>
        <w:t xml:space="preserve">, did not differ between WT and </w:t>
      </w:r>
      <w:r>
        <w:rPr>
          <w:rFonts w:ascii="Book Antiqua" w:eastAsia="Book Antiqua" w:hAnsi="Book Antiqua" w:cs="Book Antiqua"/>
          <w:i/>
          <w:iCs/>
          <w:color w:val="000000"/>
        </w:rPr>
        <w:t>Fgl2-/-</w:t>
      </w:r>
      <w:r>
        <w:rPr>
          <w:rFonts w:ascii="Book Antiqua" w:eastAsia="Book Antiqua" w:hAnsi="Book Antiqua" w:cs="Book Antiqua"/>
          <w:color w:val="000000"/>
        </w:rPr>
        <w:t xml:space="preserve"> BMDMs following LPS and MHV-3 challenge (</w:t>
      </w:r>
      <w:r>
        <w:rPr>
          <w:rFonts w:ascii="Book Antiqua" w:eastAsia="Book Antiqua" w:hAnsi="Book Antiqua" w:cs="Book Antiqua"/>
          <w:b/>
          <w:bCs/>
          <w:color w:val="000000"/>
        </w:rPr>
        <w:t>Figure 8E</w:t>
      </w:r>
      <w:r>
        <w:rPr>
          <w:rFonts w:ascii="Book Antiqua" w:eastAsia="Book Antiqua" w:hAnsi="Book Antiqua" w:cs="Book Antiqua"/>
          <w:color w:val="000000"/>
        </w:rPr>
        <w:t xml:space="preserve">). Taken together, our data suggest that induction of FGL2 in </w:t>
      </w:r>
      <w:r>
        <w:rPr>
          <w:rFonts w:ascii="Book Antiqua" w:eastAsia="Book Antiqua" w:hAnsi="Book Antiqua" w:cs="Book Antiqua"/>
          <w:color w:val="000000"/>
        </w:rPr>
        <w:t>macrophages regulates inflammatory signaling by modulating p38, IRF3, IRF7, and p65 phosphorylation.</w:t>
      </w:r>
    </w:p>
    <w:p w14:paraId="4BCE9D9F" w14:textId="77777777" w:rsidR="00F203DF" w:rsidRDefault="00F203DF">
      <w:pPr>
        <w:spacing w:line="360" w:lineRule="auto"/>
        <w:jc w:val="both"/>
        <w:rPr>
          <w:rFonts w:ascii="Book Antiqua" w:hAnsi="Book Antiqua"/>
        </w:rPr>
      </w:pPr>
    </w:p>
    <w:p w14:paraId="5081C24A" w14:textId="77777777" w:rsidR="00F203DF" w:rsidRDefault="002B133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D076F72"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Fulminant hepatitis, the most severe form of acute viral hepatitis, is a type of ALF induced by viral infection. Mounting evidence suggests tha</w:t>
      </w:r>
      <w:r>
        <w:rPr>
          <w:rFonts w:ascii="Book Antiqua" w:eastAsia="Book Antiqua" w:hAnsi="Book Antiqua" w:cs="Book Antiqua"/>
          <w:color w:val="000000"/>
        </w:rPr>
        <w:t>t leukocyte infiltration initiates inflammation and liver damage in chronic viral hepatitis and alcoholic and non-alcoholic hepatitis with acute liver injury. However, there is no ideal experimental model to completely mimic the specific clinical manifesta</w:t>
      </w:r>
      <w:r>
        <w:rPr>
          <w:rFonts w:ascii="Book Antiqua" w:eastAsia="Book Antiqua" w:hAnsi="Book Antiqua" w:cs="Book Antiqua"/>
          <w:color w:val="000000"/>
        </w:rPr>
        <w:t>tions of acute viral hepatitis. Most studies to date have focused on acute hepatitis B, in which virus-specific cytotoxic T lymphocytes (CTLs) mediate liver damage subsequent to viremia</w:t>
      </w:r>
      <w:r>
        <w:rPr>
          <w:rFonts w:ascii="Book Antiqua" w:hAnsi="Book Antiqua" w:cs="Book Antiqua"/>
          <w:color w:val="000000"/>
          <w:vertAlign w:val="superscript"/>
          <w:lang w:eastAsia="zh-CN"/>
        </w:rPr>
        <w:t>[26,27]</w:t>
      </w:r>
      <w:r>
        <w:rPr>
          <w:rFonts w:ascii="Book Antiqua" w:eastAsia="Book Antiqua" w:hAnsi="Book Antiqua" w:cs="Book Antiqua"/>
          <w:color w:val="000000"/>
        </w:rPr>
        <w:t>. Similarly, non-virus-specific CD8+ T cells with innate-like cy</w:t>
      </w:r>
      <w:r>
        <w:rPr>
          <w:rFonts w:ascii="Book Antiqua" w:eastAsia="Book Antiqua" w:hAnsi="Book Antiqua" w:cs="Book Antiqua"/>
          <w:color w:val="000000"/>
        </w:rPr>
        <w:t>tolytic activity promote liver damage in patients with acute hepatitis A</w:t>
      </w:r>
      <w:r>
        <w:rPr>
          <w:rFonts w:ascii="Book Antiqua" w:hAnsi="Book Antiqua" w:cs="Book Antiqua"/>
          <w:color w:val="000000"/>
          <w:vertAlign w:val="superscript"/>
          <w:lang w:eastAsia="zh-CN"/>
        </w:rPr>
        <w:t>[28]</w:t>
      </w:r>
      <w:r>
        <w:rPr>
          <w:rFonts w:ascii="Book Antiqua" w:eastAsia="Book Antiqua" w:hAnsi="Book Antiqua" w:cs="Book Antiqua"/>
          <w:color w:val="000000"/>
        </w:rPr>
        <w:t>. The innate immune response is involved in the early stage of viral clearance. Among innate immune cells, natural killer (NK) cells are preferentially studied because of their pot</w:t>
      </w:r>
      <w:r>
        <w:rPr>
          <w:rFonts w:ascii="Book Antiqua" w:eastAsia="Book Antiqua" w:hAnsi="Book Antiqua" w:cs="Book Antiqua"/>
          <w:color w:val="000000"/>
        </w:rPr>
        <w:t xml:space="preserve">ent capacity to direct viral clearance as well as </w:t>
      </w:r>
      <w:r>
        <w:rPr>
          <w:rFonts w:ascii="Book Antiqua" w:eastAsia="Book Antiqua" w:hAnsi="Book Antiqua" w:cs="Book Antiqua"/>
          <w:color w:val="000000"/>
        </w:rPr>
        <w:lastRenderedPageBreak/>
        <w:t>liver injury. Evidence from experimental VFH models and patients with acute viral hepatitis has revealed the detrimental contribution of NK cells to disease outcome</w:t>
      </w:r>
      <w:r>
        <w:rPr>
          <w:rFonts w:ascii="Book Antiqua" w:hAnsi="Book Antiqua" w:cs="Book Antiqua"/>
          <w:color w:val="000000"/>
          <w:vertAlign w:val="superscript"/>
          <w:lang w:eastAsia="zh-CN"/>
        </w:rPr>
        <w:t>[29,30]</w:t>
      </w:r>
      <w:r>
        <w:rPr>
          <w:rFonts w:ascii="Book Antiqua" w:eastAsia="Book Antiqua" w:hAnsi="Book Antiqua" w:cs="Book Antiqua"/>
          <w:color w:val="000000"/>
        </w:rPr>
        <w:t>. Macrophages are the largest popul</w:t>
      </w:r>
      <w:r>
        <w:rPr>
          <w:rFonts w:ascii="Book Antiqua" w:eastAsia="Book Antiqua" w:hAnsi="Book Antiqua" w:cs="Book Antiqua"/>
          <w:color w:val="000000"/>
        </w:rPr>
        <w:t>ation of non-parenchymal immune cells in the liver, which proliferate and are activated in patients with acute hepatitis E virus infection and associated ALF, although their function is somewhat impaired</w:t>
      </w:r>
      <w:r>
        <w:rPr>
          <w:rFonts w:ascii="Book Antiqua" w:hAnsi="Book Antiqua" w:cs="Book Antiqua"/>
          <w:color w:val="000000"/>
          <w:vertAlign w:val="superscript"/>
          <w:lang w:eastAsia="zh-CN"/>
        </w:rPr>
        <w:t>[31]</w:t>
      </w:r>
      <w:r>
        <w:rPr>
          <w:rFonts w:ascii="Book Antiqua" w:eastAsia="Book Antiqua" w:hAnsi="Book Antiqua" w:cs="Book Antiqua"/>
          <w:color w:val="000000"/>
        </w:rPr>
        <w:t>. The development of VFH is associated with hepat</w:t>
      </w:r>
      <w:r>
        <w:rPr>
          <w:rFonts w:ascii="Book Antiqua" w:eastAsia="Book Antiqua" w:hAnsi="Book Antiqua" w:cs="Book Antiqua"/>
          <w:color w:val="000000"/>
        </w:rPr>
        <w:t>ic macrophage replenishment by infiltrating macrophages, suggesting that macrophage infiltration is a fundamental event in VFH progression</w:t>
      </w:r>
      <w:r>
        <w:rPr>
          <w:rFonts w:ascii="Book Antiqua" w:hAnsi="Book Antiqua" w:cs="Book Antiqua"/>
          <w:color w:val="000000"/>
          <w:vertAlign w:val="superscript"/>
          <w:lang w:eastAsia="zh-CN"/>
        </w:rPr>
        <w:t>[32]</w:t>
      </w:r>
      <w:r>
        <w:rPr>
          <w:rFonts w:ascii="Book Antiqua" w:eastAsia="Book Antiqua" w:hAnsi="Book Antiqua" w:cs="Book Antiqua"/>
          <w:color w:val="000000"/>
        </w:rPr>
        <w:t>. However, the pathological involvement of innate immunity in the liver damage occurring during acute viral hepati</w:t>
      </w:r>
      <w:r>
        <w:rPr>
          <w:rFonts w:ascii="Book Antiqua" w:eastAsia="Book Antiqua" w:hAnsi="Book Antiqua" w:cs="Book Antiqua"/>
          <w:color w:val="000000"/>
        </w:rPr>
        <w:t>tis is not fully understood.</w:t>
      </w:r>
    </w:p>
    <w:p w14:paraId="414B24BB"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Experimental VFH established by either the coronavirus MHV-3 or infection with other hepatitis-causing viruses induces acute liver injury followed by ALF in 3-5 d in different strains of mice</w:t>
      </w:r>
      <w:r>
        <w:rPr>
          <w:rFonts w:ascii="Book Antiqua" w:hAnsi="Book Antiqua" w:cs="Book Antiqua"/>
          <w:color w:val="000000"/>
          <w:vertAlign w:val="superscript"/>
          <w:lang w:eastAsia="zh-CN"/>
        </w:rPr>
        <w:t>[12,14]</w:t>
      </w:r>
      <w:r>
        <w:rPr>
          <w:rFonts w:ascii="Book Antiqua" w:eastAsia="Book Antiqua" w:hAnsi="Book Antiqua" w:cs="Book Antiqua"/>
          <w:color w:val="000000"/>
        </w:rPr>
        <w:t>. This suggests that adaptive</w:t>
      </w:r>
      <w:r>
        <w:rPr>
          <w:rFonts w:ascii="Book Antiqua" w:eastAsia="Book Antiqua" w:hAnsi="Book Antiqua" w:cs="Book Antiqua"/>
          <w:color w:val="000000"/>
        </w:rPr>
        <w:t xml:space="preserve"> immunity may not be the central event in disease progression, because of the rapid mortality despite infiltration of T cells to the liver</w:t>
      </w:r>
      <w:r>
        <w:rPr>
          <w:rFonts w:ascii="Book Antiqua" w:hAnsi="Book Antiqua" w:cs="Book Antiqua"/>
          <w:color w:val="000000"/>
          <w:vertAlign w:val="superscript"/>
          <w:lang w:eastAsia="zh-CN"/>
        </w:rPr>
        <w:t>[33]</w:t>
      </w:r>
      <w:r>
        <w:rPr>
          <w:rFonts w:ascii="Book Antiqua" w:eastAsia="Book Antiqua" w:hAnsi="Book Antiqua" w:cs="Book Antiqua"/>
          <w:color w:val="000000"/>
        </w:rPr>
        <w:t>. In addition to monocytes, dendritic cells and neutrophils are also recruited to the liver during the progression</w:t>
      </w:r>
      <w:r>
        <w:rPr>
          <w:rFonts w:ascii="Book Antiqua" w:eastAsia="Book Antiqua" w:hAnsi="Book Antiqua" w:cs="Book Antiqua"/>
          <w:color w:val="000000"/>
        </w:rPr>
        <w:t xml:space="preserve"> of VFH, although the characteristics of the infiltrating leukocytes and their respective contributions to inflammation are unclear</w:t>
      </w:r>
      <w:r>
        <w:rPr>
          <w:rFonts w:ascii="Book Antiqua" w:hAnsi="Book Antiqua" w:cs="Book Antiqua"/>
          <w:color w:val="000000"/>
          <w:vertAlign w:val="superscript"/>
          <w:lang w:eastAsia="zh-CN"/>
        </w:rPr>
        <w:t>[12]</w:t>
      </w:r>
      <w:r>
        <w:rPr>
          <w:rFonts w:ascii="Book Antiqua" w:eastAsia="Book Antiqua" w:hAnsi="Book Antiqua" w:cs="Book Antiqua"/>
          <w:color w:val="000000"/>
        </w:rPr>
        <w:t>. Neutrophils are a small subset of leukocytes that are required for monocyte infiltration during liver injury in mouse m</w:t>
      </w:r>
      <w:r>
        <w:rPr>
          <w:rFonts w:ascii="Book Antiqua" w:eastAsia="Book Antiqua" w:hAnsi="Book Antiqua" w:cs="Book Antiqua"/>
          <w:color w:val="000000"/>
        </w:rPr>
        <w:t>odels of non-alcoholic steatohepatitis, acetaminophen overdose, and hepatitis virus infection</w:t>
      </w:r>
      <w:r>
        <w:rPr>
          <w:rFonts w:ascii="Book Antiqua" w:hAnsi="Book Antiqua" w:cs="Book Antiqua"/>
          <w:color w:val="000000"/>
          <w:vertAlign w:val="superscript"/>
          <w:lang w:eastAsia="zh-CN"/>
        </w:rPr>
        <w:t>[9,12,24]</w:t>
      </w:r>
      <w:r>
        <w:rPr>
          <w:rFonts w:ascii="Book Antiqua" w:eastAsia="Book Antiqua" w:hAnsi="Book Antiqua" w:cs="Book Antiqua"/>
          <w:color w:val="000000"/>
        </w:rPr>
        <w:t>. In this study, we found that MoMFs dominated the population of infiltrating leukocytes, with a proinflammatory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 subset comprising the major</w:t>
      </w:r>
      <w:r>
        <w:rPr>
          <w:rFonts w:ascii="Book Antiqua" w:eastAsia="Book Antiqua" w:hAnsi="Book Antiqua" w:cs="Book Antiqua"/>
          <w:color w:val="000000"/>
        </w:rPr>
        <w:t>ity of the population, suggesting that targeting the transition from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MoMFs to Ly6C</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MoMFs may be a promising strategy for treating VFH. Notably, the continued decrease in KC numbers during VFH suggests that necrosis occurred not only in hepatocy</w:t>
      </w:r>
      <w:r>
        <w:rPr>
          <w:rFonts w:ascii="Book Antiqua" w:eastAsia="Book Antiqua" w:hAnsi="Book Antiqua" w:cs="Book Antiqua"/>
          <w:color w:val="000000"/>
        </w:rPr>
        <w:t>tes but also in non-parenchymal cells.</w:t>
      </w:r>
    </w:p>
    <w:p w14:paraId="7ACCFC3C" w14:textId="77777777" w:rsidR="00F203DF" w:rsidRDefault="002B133B">
      <w:pPr>
        <w:spacing w:line="360" w:lineRule="auto"/>
        <w:ind w:firstLineChars="200" w:firstLine="480"/>
        <w:jc w:val="both"/>
        <w:rPr>
          <w:rFonts w:ascii="Book Antiqua" w:hAnsi="Book Antiqua"/>
        </w:rPr>
      </w:pPr>
      <w:r>
        <w:rPr>
          <w:rFonts w:ascii="Book Antiqua" w:eastAsia="Book Antiqua" w:hAnsi="Book Antiqua" w:cs="Book Antiqua"/>
          <w:color w:val="000000"/>
        </w:rPr>
        <w:t>FGL2 deficiency has been shown to prevent fulminant hepatitis following MHV-3 infection, which otherwise causes ALF with 100% mortality</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Moreover, FGL2 expression is largely distributed in and robustly induced by </w:t>
      </w:r>
      <w:r>
        <w:rPr>
          <w:rFonts w:ascii="Book Antiqua" w:eastAsia="Book Antiqua" w:hAnsi="Book Antiqua" w:cs="Book Antiqua"/>
          <w:color w:val="000000"/>
        </w:rPr>
        <w:t>macrophages, in spite of moderate expression in dendritic cells and endothelial cells following viral infection</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mechanism by which FGL2 contributes to VFH is generally considered to involve its </w:t>
      </w:r>
      <w:r>
        <w:rPr>
          <w:rFonts w:ascii="Book Antiqua" w:eastAsia="Book Antiqua" w:hAnsi="Book Antiqua" w:cs="Book Antiqua"/>
          <w:color w:val="000000"/>
        </w:rPr>
        <w:lastRenderedPageBreak/>
        <w:t>procoagulant activity</w:t>
      </w:r>
      <w:r>
        <w:rPr>
          <w:rFonts w:ascii="Book Antiqua" w:hAnsi="Book Antiqua" w:cs="Book Antiqua"/>
          <w:color w:val="000000"/>
          <w:vertAlign w:val="superscript"/>
          <w:lang w:eastAsia="zh-CN"/>
        </w:rPr>
        <w:t>[14,34]</w:t>
      </w:r>
      <w:r>
        <w:rPr>
          <w:rFonts w:ascii="Book Antiqua" w:eastAsia="Book Antiqua" w:hAnsi="Book Antiqua" w:cs="Book Antiqua"/>
          <w:color w:val="000000"/>
        </w:rPr>
        <w:t>. However, reciprocal acti</w:t>
      </w:r>
      <w:r>
        <w:rPr>
          <w:rFonts w:ascii="Book Antiqua" w:eastAsia="Book Antiqua" w:hAnsi="Book Antiqua" w:cs="Book Antiqua"/>
          <w:color w:val="000000"/>
        </w:rPr>
        <w:t>vation between inflammation mediators or cytokines and tissue factor-mediated fibrin deposition and thrombin generation, the major contributor to inflammation-initiated coagulation, is largely dependent on IL-6</w:t>
      </w:r>
      <w:r>
        <w:rPr>
          <w:rFonts w:ascii="Book Antiqua" w:hAnsi="Book Antiqua" w:cs="Book Antiqua"/>
          <w:color w:val="000000"/>
          <w:vertAlign w:val="superscript"/>
          <w:lang w:eastAsia="zh-CN"/>
        </w:rPr>
        <w:t>[11,35]</w:t>
      </w:r>
      <w:r>
        <w:rPr>
          <w:rFonts w:ascii="Book Antiqua" w:eastAsia="Book Antiqua" w:hAnsi="Book Antiqua" w:cs="Book Antiqua"/>
          <w:color w:val="000000"/>
        </w:rPr>
        <w:t>. It is therefore difficult to determin</w:t>
      </w:r>
      <w:r>
        <w:rPr>
          <w:rFonts w:ascii="Book Antiqua" w:eastAsia="Book Antiqua" w:hAnsi="Book Antiqua" w:cs="Book Antiqua"/>
          <w:color w:val="000000"/>
        </w:rPr>
        <w:t>e whether co-localization between fibrin deposition and FGL2 expression solely results from the prothrombinase activity of FGL2. In addition, inflammation may be induced by tissue factors secreted by local endothelial and immune cells</w:t>
      </w:r>
      <w:r>
        <w:rPr>
          <w:rFonts w:ascii="Book Antiqua" w:hAnsi="Book Antiqua" w:cs="Book Antiqua"/>
          <w:color w:val="000000"/>
          <w:vertAlign w:val="superscript"/>
          <w:lang w:eastAsia="zh-CN"/>
        </w:rPr>
        <w:t>[36]</w:t>
      </w:r>
      <w:r>
        <w:rPr>
          <w:rFonts w:ascii="Book Antiqua" w:eastAsia="Book Antiqua" w:hAnsi="Book Antiqua" w:cs="Book Antiqua"/>
          <w:color w:val="000000"/>
        </w:rPr>
        <w:t xml:space="preserve">. Proinflammatory </w:t>
      </w:r>
      <w:r>
        <w:rPr>
          <w:rFonts w:ascii="Book Antiqua" w:eastAsia="Book Antiqua" w:hAnsi="Book Antiqua" w:cs="Book Antiqua"/>
          <w:color w:val="000000"/>
        </w:rPr>
        <w:t>macrophage polarization is a process resulting from the Th1 response and pattern recognition receptor (PRR)-mediated signaling events initiated by PAMPs or DAMPs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Unlike soluble FGL2 expressed by regulatory T cells and Th2-like immune cells with immuno</w:t>
      </w:r>
      <w:r>
        <w:rPr>
          <w:rFonts w:ascii="Book Antiqua" w:eastAsia="Book Antiqua" w:hAnsi="Book Antiqua" w:cs="Book Antiqua"/>
          <w:color w:val="000000"/>
        </w:rPr>
        <w:t>suppressive activity, membrane FGL2 can amplify the classical inflammatory cascades and may act as a co-receptor to cooperate with TLRs or other PPRs for signal transduction. Our results suggest that FGL2 deficiency may foster a default transition from pro</w:t>
      </w:r>
      <w:r>
        <w:rPr>
          <w:rFonts w:ascii="Book Antiqua" w:eastAsia="Book Antiqua" w:hAnsi="Book Antiqua" w:cs="Book Antiqua"/>
          <w:color w:val="000000"/>
        </w:rPr>
        <w:t>inflammatory macrophages to an alternative activated phenotype because more M2 macrophages and Ly6C</w:t>
      </w:r>
      <w:r>
        <w:rPr>
          <w:rFonts w:ascii="Book Antiqua" w:eastAsia="宋体" w:hAnsi="Book Antiqua" w:cs="Book Antiqua"/>
          <w:color w:val="000000"/>
          <w:vertAlign w:val="superscript"/>
          <w:lang w:eastAsia="zh-CN"/>
        </w:rPr>
        <w:t>lo</w:t>
      </w:r>
      <w:r>
        <w:rPr>
          <w:rFonts w:ascii="Book Antiqua" w:eastAsia="Book Antiqua" w:hAnsi="Book Antiqua" w:cs="Book Antiqua"/>
          <w:color w:val="000000"/>
        </w:rPr>
        <w:t xml:space="preserve"> MoMFs were observed under normal conditions. The inflammatory cytokines secreted by endothelial and dendritic cells in which FGL2 is expressed may also pl</w:t>
      </w:r>
      <w:r>
        <w:rPr>
          <w:rFonts w:ascii="Book Antiqua" w:eastAsia="Book Antiqua" w:hAnsi="Book Antiqua" w:cs="Book Antiqua"/>
          <w:color w:val="000000"/>
        </w:rPr>
        <w:t>ay a role; however, compared to macrophages, these cells are in relatively low abundance</w:t>
      </w:r>
      <w:r>
        <w:rPr>
          <w:rFonts w:ascii="Book Antiqua" w:hAnsi="Book Antiqua" w:cs="Book Antiqua"/>
          <w:color w:val="000000"/>
          <w:vertAlign w:val="superscript"/>
          <w:lang w:eastAsia="zh-CN"/>
        </w:rPr>
        <w:t>[38]</w:t>
      </w:r>
      <w:r>
        <w:rPr>
          <w:rFonts w:ascii="Book Antiqua" w:eastAsia="Book Antiqua" w:hAnsi="Book Antiqua" w:cs="Book Antiqua"/>
          <w:color w:val="000000"/>
        </w:rPr>
        <w:t>.</w:t>
      </w:r>
    </w:p>
    <w:p w14:paraId="24F595FD" w14:textId="77777777" w:rsidR="00F203DF" w:rsidRDefault="002B133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innate immune responses triggered by viral infection are largely regulated by PPR-mediated signaling, which depends on cytosolic adaptors (</w:t>
      </w:r>
      <w:r>
        <w:rPr>
          <w:rFonts w:ascii="Book Antiqua" w:eastAsia="Book Antiqua" w:hAnsi="Book Antiqua" w:cs="Book Antiqua"/>
          <w:i/>
          <w:color w:val="000000"/>
        </w:rPr>
        <w:t xml:space="preserve">e.g., </w:t>
      </w:r>
      <w:r>
        <w:rPr>
          <w:rFonts w:ascii="Book Antiqua" w:eastAsia="Book Antiqua" w:hAnsi="Book Antiqua" w:cs="Book Antiqua"/>
          <w:color w:val="000000"/>
        </w:rPr>
        <w:t xml:space="preserve">TRIF and </w:t>
      </w:r>
      <w:r>
        <w:rPr>
          <w:rFonts w:ascii="Book Antiqua" w:eastAsia="Book Antiqua" w:hAnsi="Book Antiqua" w:cs="Book Antiqua"/>
          <w:color w:val="000000"/>
        </w:rPr>
        <w:t>MyD88) and kinase-dependent factors</w:t>
      </w:r>
      <w:r>
        <w:rPr>
          <w:rFonts w:ascii="Book Antiqua" w:hAnsi="Book Antiqua" w:cs="Book Antiqua"/>
          <w:color w:val="000000"/>
          <w:vertAlign w:val="superscript"/>
          <w:lang w:eastAsia="zh-CN"/>
        </w:rPr>
        <w:t>[39]</w:t>
      </w:r>
      <w:r>
        <w:rPr>
          <w:rFonts w:ascii="Book Antiqua" w:eastAsia="Book Antiqua" w:hAnsi="Book Antiqua" w:cs="Book Antiqua"/>
          <w:color w:val="000000"/>
        </w:rPr>
        <w:t>. Macrophage M1 polarization promotes the activation and translocation of NF-κB and the IRF3/IRF7 complex to initiate the transcription of Th1-associated gene targets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p38 MAPKs are known to modulate PPR signaling</w:t>
      </w:r>
      <w:r>
        <w:rPr>
          <w:rFonts w:ascii="Book Antiqua" w:eastAsia="Book Antiqua" w:hAnsi="Book Antiqua" w:cs="Book Antiqua"/>
          <w:color w:val="000000"/>
        </w:rPr>
        <w:t xml:space="preserve"> by collaborating with NF-κB-mediated transcription</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CLRs are another type of PPR that modulate TLR-mediated signaling in the defense against invading pathogens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invertebrates, numerous molecules containing fibrinogen-related domains participate</w:t>
      </w:r>
      <w:r>
        <w:rPr>
          <w:rFonts w:ascii="Book Antiqua" w:eastAsia="Book Antiqua" w:hAnsi="Book Antiqua" w:cs="Book Antiqua"/>
          <w:color w:val="000000"/>
        </w:rPr>
        <w:t xml:space="preserve"> in immune response transcription and have been shown to act as PPRs in defense processes, such as agglutination, and to cooperate with CLRs to synergistically clear pathogens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Thus, we questioned whether FGL2 regulated TLR signaling in a CTL-like mann</w:t>
      </w:r>
      <w:r>
        <w:rPr>
          <w:rFonts w:ascii="Book Antiqua" w:eastAsia="Book Antiqua" w:hAnsi="Book Antiqua" w:cs="Book Antiqua"/>
          <w:color w:val="000000"/>
        </w:rPr>
        <w:t xml:space="preserve">er. MyD88-dependent PPR signaling involves activation of members of the IRAK family, </w:t>
      </w:r>
      <w:r>
        <w:rPr>
          <w:rFonts w:ascii="Book Antiqua" w:eastAsia="Book Antiqua" w:hAnsi="Book Antiqua" w:cs="Book Antiqua"/>
          <w:color w:val="000000"/>
        </w:rPr>
        <w:lastRenderedPageBreak/>
        <w:t>which in turn stimulates the E3 ligase activity of TRAF6, enabling activation of the downstream ubiquitin-dependent kinase TAK1</w:t>
      </w:r>
      <w:r>
        <w:rPr>
          <w:rFonts w:ascii="Book Antiqua" w:hAnsi="Book Antiqua" w:cs="Book Antiqua"/>
          <w:color w:val="000000"/>
          <w:vertAlign w:val="superscript"/>
          <w:lang w:eastAsia="zh-CN"/>
        </w:rPr>
        <w:t>[42]</w:t>
      </w:r>
      <w:r>
        <w:rPr>
          <w:rFonts w:ascii="Book Antiqua" w:eastAsia="Book Antiqua" w:hAnsi="Book Antiqua" w:cs="Book Antiqua"/>
          <w:color w:val="000000"/>
        </w:rPr>
        <w:t>. Upon activation, TAK1 activates MAPK a</w:t>
      </w:r>
      <w:r>
        <w:rPr>
          <w:rFonts w:ascii="Book Antiqua" w:eastAsia="Book Antiqua" w:hAnsi="Book Antiqua" w:cs="Book Antiqua"/>
          <w:color w:val="000000"/>
        </w:rPr>
        <w:t>nd its downstream kinase IKK, which in turn phosphorylates the NF-κB inhibitor IκBα, leading to ubiquitin-dependent IκBα degradation and subsequent NF-κB activation</w:t>
      </w:r>
      <w:r>
        <w:rPr>
          <w:rFonts w:ascii="Book Antiqua" w:hAnsi="Book Antiqua" w:cs="Book Antiqua"/>
          <w:color w:val="000000"/>
          <w:vertAlign w:val="superscript"/>
          <w:lang w:eastAsia="zh-CN"/>
        </w:rPr>
        <w:t>[42]</w:t>
      </w:r>
      <w:r>
        <w:rPr>
          <w:rFonts w:ascii="Book Antiqua" w:eastAsia="Book Antiqua" w:hAnsi="Book Antiqua" w:cs="Book Antiqua"/>
          <w:color w:val="000000"/>
        </w:rPr>
        <w:t>. Thus, TRIF-dependent PPR signaling involves TRAF3 recruitment and activation of TBK1 a</w:t>
      </w:r>
      <w:r>
        <w:rPr>
          <w:rFonts w:ascii="Book Antiqua" w:eastAsia="Book Antiqua" w:hAnsi="Book Antiqua" w:cs="Book Antiqua"/>
          <w:color w:val="000000"/>
        </w:rPr>
        <w:t>nd IKK</w:t>
      </w:r>
      <w:r>
        <w:rPr>
          <w:rFonts w:eastAsia="Book Antiqua"/>
          <w:color w:val="000000"/>
        </w:rPr>
        <w:t>ɛ</w:t>
      </w:r>
      <w:r>
        <w:rPr>
          <w:rFonts w:ascii="Book Antiqua" w:eastAsia="Book Antiqua" w:hAnsi="Book Antiqua" w:cs="Book Antiqua"/>
          <w:color w:val="000000"/>
        </w:rPr>
        <w:t>, which stimulate IRF3 phosphorylation and NF-κB activation, thereby leading to the transcriptional induction of type I IFNs and inflammatory cytokines</w:t>
      </w:r>
      <w:r>
        <w:rPr>
          <w:rFonts w:ascii="Book Antiqua" w:hAnsi="Book Antiqua" w:cs="Book Antiqua"/>
          <w:color w:val="000000"/>
          <w:vertAlign w:val="superscript"/>
          <w:lang w:eastAsia="zh-CN"/>
        </w:rPr>
        <w:t>[43]</w:t>
      </w:r>
      <w:r>
        <w:rPr>
          <w:rFonts w:ascii="Book Antiqua" w:eastAsia="Book Antiqua" w:hAnsi="Book Antiqua" w:cs="Book Antiqua"/>
          <w:color w:val="000000"/>
        </w:rPr>
        <w:t xml:space="preserve">. Membrane proteins that regulate membrane PPR-mediated signaling function as co-receptors or </w:t>
      </w:r>
      <w:r>
        <w:rPr>
          <w:rFonts w:ascii="Book Antiqua" w:eastAsia="Book Antiqua" w:hAnsi="Book Antiqua" w:cs="Book Antiqua"/>
          <w:color w:val="000000"/>
        </w:rPr>
        <w:t>factors involved in TLR assembly, internalization, or trafficking</w:t>
      </w:r>
      <w:r>
        <w:rPr>
          <w:rFonts w:ascii="Book Antiqua" w:hAnsi="Book Antiqua" w:cs="Book Antiqua"/>
          <w:color w:val="000000"/>
          <w:vertAlign w:val="superscript"/>
          <w:lang w:eastAsia="zh-CN"/>
        </w:rPr>
        <w:t>[44-47]</w:t>
      </w:r>
      <w:r>
        <w:rPr>
          <w:rFonts w:ascii="Book Antiqua" w:eastAsia="Book Antiqua" w:hAnsi="Book Antiqua" w:cs="Book Antiqua"/>
          <w:color w:val="000000"/>
        </w:rPr>
        <w:t>. Accordingly, FGL2 may act as an assembly factor, could interact with PPRs for ligand-receptor binding, or even mediate the trafficking between the membrane and endosome, thereby faci</w:t>
      </w:r>
      <w:r>
        <w:rPr>
          <w:rFonts w:ascii="Book Antiqua" w:eastAsia="Book Antiqua" w:hAnsi="Book Antiqua" w:cs="Book Antiqua"/>
          <w:color w:val="000000"/>
        </w:rPr>
        <w:t>litating inflammatory signaling transduction. Previous data showed that MHV-3-induced FGL2 expression in macrophages relies on p38 activation</w:t>
      </w:r>
      <w:r>
        <w:rPr>
          <w:rFonts w:ascii="Book Antiqua" w:hAnsi="Book Antiqua" w:cs="Book Antiqua"/>
          <w:color w:val="000000"/>
          <w:vertAlign w:val="superscript"/>
          <w:lang w:eastAsia="zh-CN"/>
        </w:rPr>
        <w:t>[48]</w:t>
      </w:r>
      <w:r>
        <w:rPr>
          <w:rFonts w:ascii="Book Antiqua" w:eastAsia="Book Antiqua" w:hAnsi="Book Antiqua" w:cs="Book Antiqua"/>
          <w:color w:val="000000"/>
        </w:rPr>
        <w:t xml:space="preserve">. In this work, we found that FGL2 is needed for p38 phosphorylation, suggesting that FGL2 expression provides </w:t>
      </w:r>
      <w:r>
        <w:rPr>
          <w:rFonts w:ascii="Book Antiqua" w:eastAsia="Book Antiqua" w:hAnsi="Book Antiqua" w:cs="Book Antiqua"/>
          <w:color w:val="000000"/>
        </w:rPr>
        <w:t>a positive feedback loop for proinflammatory aggregation in macrophages.</w:t>
      </w:r>
    </w:p>
    <w:p w14:paraId="7C87DF0D" w14:textId="77777777" w:rsidR="00F203DF" w:rsidRDefault="002B133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exact role of resident macrophages and MoMFs in VFH is obscure. We speculate that resident macrophages may initiate liver inflammation during the early stage of viral infection be</w:t>
      </w:r>
      <w:r>
        <w:rPr>
          <w:rFonts w:ascii="Book Antiqua" w:eastAsia="Book Antiqua" w:hAnsi="Book Antiqua" w:cs="Book Antiqua"/>
          <w:color w:val="000000"/>
        </w:rPr>
        <w:t>cause MoMFs exacerbate liver damage during the acute phase. Resident macrophages represent the first line of defense against viral infection. Once primed, resident macrophages produce chemotaxins and cytokines that recruit and activate the MoMFs, and our r</w:t>
      </w:r>
      <w:r>
        <w:rPr>
          <w:rFonts w:ascii="Book Antiqua" w:eastAsia="Book Antiqua" w:hAnsi="Book Antiqua" w:cs="Book Antiqua"/>
          <w:color w:val="000000"/>
        </w:rPr>
        <w:t xml:space="preserve">esults suggest that FGL2 expression on macrophages prompts and enhances their inflammatory </w:t>
      </w:r>
      <w:r>
        <w:rPr>
          <w:rFonts w:ascii="Book Antiqua" w:eastAsia="宋体" w:hAnsi="Book Antiqua" w:cs="Book Antiqua"/>
          <w:color w:val="000000"/>
          <w:lang w:eastAsia="zh-CN"/>
        </w:rPr>
        <w:t>phenotype</w:t>
      </w:r>
      <w:r>
        <w:rPr>
          <w:rFonts w:ascii="Book Antiqua" w:eastAsia="Book Antiqua" w:hAnsi="Book Antiqua" w:cs="Book Antiqua"/>
          <w:color w:val="000000"/>
        </w:rPr>
        <w:t>.</w:t>
      </w:r>
    </w:p>
    <w:p w14:paraId="0384F541" w14:textId="77777777" w:rsidR="00F203DF" w:rsidRDefault="00F203DF">
      <w:pPr>
        <w:spacing w:line="360" w:lineRule="auto"/>
        <w:jc w:val="both"/>
        <w:rPr>
          <w:rFonts w:ascii="Book Antiqua" w:hAnsi="Book Antiqua"/>
        </w:rPr>
      </w:pPr>
    </w:p>
    <w:p w14:paraId="1EC17816" w14:textId="77777777" w:rsidR="00F203DF" w:rsidRDefault="002B133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F28A3AD"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Our data revealed, for the first time, that 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 infiltration is a critical event for hepatic inflammatory accumulation and subsequen</w:t>
      </w:r>
      <w:r>
        <w:rPr>
          <w:rFonts w:ascii="Book Antiqua" w:eastAsia="Book Antiqua" w:hAnsi="Book Antiqua" w:cs="Book Antiqua"/>
          <w:color w:val="000000"/>
        </w:rPr>
        <w:t xml:space="preserve">t liver damage during virus-induced hepatitis progression. FGL2 expression is required for maintaining the proinflammatory </w:t>
      </w:r>
      <w:r>
        <w:rPr>
          <w:rFonts w:ascii="Book Antiqua" w:eastAsia="Book Antiqua" w:hAnsi="Book Antiqua" w:cs="Book Antiqua"/>
          <w:color w:val="000000"/>
        </w:rPr>
        <w:lastRenderedPageBreak/>
        <w:t>Ly6C</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MoMF phenotype by mediating IRF3, p65, and p38 phosphorylation, thereby forming a positive feedback loop of inflammatory acc</w:t>
      </w:r>
      <w:r>
        <w:rPr>
          <w:rFonts w:ascii="Book Antiqua" w:eastAsia="Book Antiqua" w:hAnsi="Book Antiqua" w:cs="Book Antiqua"/>
          <w:color w:val="000000"/>
        </w:rPr>
        <w:t>umulation in the liver.</w:t>
      </w:r>
    </w:p>
    <w:p w14:paraId="551C332F" w14:textId="77777777" w:rsidR="00F203DF" w:rsidRDefault="00F203DF">
      <w:pPr>
        <w:spacing w:line="360" w:lineRule="auto"/>
        <w:jc w:val="both"/>
        <w:rPr>
          <w:rFonts w:ascii="Book Antiqua" w:hAnsi="Book Antiqua"/>
        </w:rPr>
      </w:pPr>
    </w:p>
    <w:p w14:paraId="35E47E59" w14:textId="77777777" w:rsidR="00F203DF" w:rsidRDefault="002B133B">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9CFE1DE"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Research background</w:t>
      </w:r>
    </w:p>
    <w:p w14:paraId="5718CAB4"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Viral fulminant hepatitis (VFH) is a devastating syndrome that pathologically caused by excessive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activation of both innate and adaptive immunity. However, the extent of </w:t>
      </w:r>
      <w:r>
        <w:rPr>
          <w:rFonts w:ascii="Book Antiqua" w:eastAsia="Book Antiqua" w:hAnsi="Book Antiqua" w:cs="Book Antiqua"/>
          <w:color w:val="000000"/>
        </w:rPr>
        <w:t>contribution of innate immunity in VFH is not well defined. Macrophage polarization have been implicated in host defense and the pathogenesis of various hepatic diseases. Fibrinogen-like protein 2 (F</w:t>
      </w:r>
      <w:r>
        <w:rPr>
          <w:rFonts w:ascii="Book Antiqua" w:eastAsia="宋体" w:hAnsi="Book Antiqua" w:cs="Book Antiqua"/>
          <w:color w:val="000000"/>
          <w:lang w:eastAsia="zh-CN"/>
        </w:rPr>
        <w:t>GL</w:t>
      </w:r>
      <w:r>
        <w:rPr>
          <w:rFonts w:ascii="Book Antiqua" w:eastAsia="Book Antiqua" w:hAnsi="Book Antiqua" w:cs="Book Antiqua"/>
          <w:color w:val="000000"/>
        </w:rPr>
        <w:t>2) can be induced robustly and exclusively in macrophag</w:t>
      </w:r>
      <w:r>
        <w:rPr>
          <w:rFonts w:ascii="Book Antiqua" w:eastAsia="Book Antiqua" w:hAnsi="Book Antiqua" w:cs="Book Antiqua"/>
          <w:color w:val="000000"/>
        </w:rPr>
        <w:t>es in response to cytokines or viral infection. Exploring their roles in VFH can greatly improve our understanding of the disease and thus seek the therapeutic approaches.</w:t>
      </w:r>
    </w:p>
    <w:p w14:paraId="6D25390C" w14:textId="77777777" w:rsidR="00F203DF" w:rsidRDefault="00F203DF">
      <w:pPr>
        <w:spacing w:line="360" w:lineRule="auto"/>
        <w:jc w:val="both"/>
        <w:rPr>
          <w:rFonts w:ascii="Book Antiqua" w:hAnsi="Book Antiqua"/>
        </w:rPr>
      </w:pPr>
    </w:p>
    <w:p w14:paraId="480A8382"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Research motivation</w:t>
      </w:r>
    </w:p>
    <w:p w14:paraId="5663FFB2"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Hepatic macrophages</w:t>
      </w:r>
      <w:r>
        <w:rPr>
          <w:rFonts w:ascii="Book Antiqua" w:eastAsia="Book Antiqua" w:hAnsi="Book Antiqua" w:cs="Book Antiqua"/>
          <w:color w:val="000000"/>
        </w:rPr>
        <w:t xml:space="preserve"> are attractive therapeutic targets because </w:t>
      </w:r>
      <w:r>
        <w:rPr>
          <w:rFonts w:ascii="Book Antiqua" w:eastAsia="Book Antiqua" w:hAnsi="Book Antiqua" w:cs="Book Antiqua"/>
          <w:color w:val="000000"/>
        </w:rPr>
        <w:t xml:space="preserve">their functions can be inhibited or augmented to alter disease outcomes. A better understanding of their biological properties and immunologic function in liver homeostasis and pathology may pave the way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new diagnostic and therapeutic approaches for li</w:t>
      </w:r>
      <w:r>
        <w:rPr>
          <w:rFonts w:ascii="Book Antiqua" w:eastAsia="Book Antiqua" w:hAnsi="Book Antiqua" w:cs="Book Antiqua"/>
          <w:color w:val="000000"/>
        </w:rPr>
        <w:t xml:space="preserve">ver failure or other </w:t>
      </w:r>
      <w:r>
        <w:rPr>
          <w:rFonts w:ascii="Book Antiqua" w:eastAsia="宋体" w:hAnsi="Book Antiqua" w:cs="Book Antiqua"/>
          <w:color w:val="000000"/>
          <w:lang w:eastAsia="zh-CN"/>
        </w:rPr>
        <w:t xml:space="preserve">liver </w:t>
      </w:r>
      <w:r>
        <w:rPr>
          <w:rFonts w:ascii="Book Antiqua" w:eastAsia="Book Antiqua" w:hAnsi="Book Antiqua" w:cs="Book Antiqua"/>
          <w:color w:val="000000"/>
        </w:rPr>
        <w:t>diseases.</w:t>
      </w:r>
    </w:p>
    <w:p w14:paraId="555537F7" w14:textId="77777777" w:rsidR="00F203DF" w:rsidRDefault="00F203DF">
      <w:pPr>
        <w:spacing w:line="360" w:lineRule="auto"/>
        <w:jc w:val="both"/>
        <w:rPr>
          <w:rFonts w:ascii="Book Antiqua" w:hAnsi="Book Antiqua"/>
        </w:rPr>
      </w:pPr>
    </w:p>
    <w:p w14:paraId="4150D293"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Research objectives</w:t>
      </w:r>
    </w:p>
    <w:p w14:paraId="54AB350E" w14:textId="77777777" w:rsidR="00F203DF" w:rsidRDefault="002B133B">
      <w:pPr>
        <w:spacing w:line="360" w:lineRule="auto"/>
        <w:jc w:val="both"/>
        <w:rPr>
          <w:rFonts w:ascii="Book Antiqua" w:hAnsi="Book Antiqua"/>
        </w:rPr>
      </w:pPr>
      <w:r>
        <w:rPr>
          <w:rFonts w:ascii="Book Antiqua" w:hAnsi="Book Antiqua" w:cs="Book Antiqua"/>
          <w:color w:val="000000"/>
          <w:lang w:eastAsia="zh-CN"/>
        </w:rPr>
        <w:t>T</w:t>
      </w:r>
      <w:r>
        <w:rPr>
          <w:rFonts w:ascii="Book Antiqua" w:eastAsia="宋体" w:hAnsi="Book Antiqua" w:cs="Book Antiqua"/>
          <w:color w:val="000000"/>
          <w:lang w:eastAsia="zh-CN"/>
        </w:rPr>
        <w:t xml:space="preserve">o evaluate the role of Fgl2 in the </w:t>
      </w:r>
      <w:r>
        <w:rPr>
          <w:rFonts w:ascii="Book Antiqua" w:eastAsia="Book Antiqua" w:hAnsi="Book Antiqua" w:cs="Book Antiqua"/>
          <w:color w:val="000000"/>
        </w:rPr>
        <w:t>reconstitution of hepatic macrophages</w:t>
      </w:r>
      <w:r>
        <w:rPr>
          <w:rFonts w:ascii="Book Antiqua" w:eastAsia="宋体" w:hAnsi="Book Antiqua" w:cs="Book Antiqua"/>
          <w:color w:val="000000"/>
          <w:lang w:eastAsia="zh-CN"/>
        </w:rPr>
        <w:t xml:space="preserve"> during </w:t>
      </w:r>
      <w:r>
        <w:rPr>
          <w:rFonts w:ascii="Book Antiqua" w:eastAsia="Book Antiqua" w:hAnsi="Book Antiqua" w:cs="Book Antiqua"/>
          <w:color w:val="000000"/>
        </w:rPr>
        <w:t>VFH progression</w:t>
      </w:r>
      <w:r>
        <w:rPr>
          <w:rFonts w:ascii="Book Antiqua" w:hAnsi="Book Antiqua" w:cs="Book Antiqua"/>
          <w:color w:val="000000"/>
          <w:lang w:eastAsia="zh-CN"/>
        </w:rPr>
        <w:t xml:space="preserve"> by the </w:t>
      </w:r>
      <w:r>
        <w:rPr>
          <w:rFonts w:ascii="Book Antiqua" w:eastAsia="Book Antiqua" w:hAnsi="Book Antiqua" w:cs="Book Antiqua"/>
          <w:color w:val="000000"/>
        </w:rPr>
        <w:t>VFH</w:t>
      </w:r>
      <w:r>
        <w:rPr>
          <w:rFonts w:ascii="Book Antiqua" w:eastAsia="宋体" w:hAnsi="Book Antiqua" w:cs="Book Antiqua"/>
          <w:color w:val="000000"/>
          <w:lang w:eastAsia="zh-CN"/>
        </w:rPr>
        <w:t xml:space="preserve"> mouse model</w:t>
      </w:r>
      <w:r>
        <w:rPr>
          <w:rFonts w:ascii="Book Antiqua" w:eastAsia="Book Antiqua" w:hAnsi="Book Antiqua" w:cs="Book Antiqua"/>
          <w:color w:val="000000"/>
        </w:rPr>
        <w:t>.</w:t>
      </w:r>
    </w:p>
    <w:p w14:paraId="471F4A41" w14:textId="77777777" w:rsidR="00F203DF" w:rsidRDefault="00F203DF">
      <w:pPr>
        <w:spacing w:line="360" w:lineRule="auto"/>
        <w:jc w:val="both"/>
        <w:rPr>
          <w:rFonts w:ascii="Book Antiqua" w:hAnsi="Book Antiqua"/>
        </w:rPr>
      </w:pPr>
    </w:p>
    <w:p w14:paraId="1670763C"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Research methods</w:t>
      </w:r>
    </w:p>
    <w:p w14:paraId="73748E5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Liver sections of liver failure patients and controls were immuno-stained for macrophages examination. Murine hepatitis virus strain 3 (MHV-3) was used to induce VFH experimental model in wild type and </w:t>
      </w:r>
      <w:r>
        <w:rPr>
          <w:rFonts w:ascii="Book Antiqua" w:eastAsia="宋体" w:hAnsi="Book Antiqua" w:cs="Book Antiqua"/>
          <w:i/>
          <w:color w:val="000000"/>
          <w:lang w:eastAsia="zh-CN"/>
        </w:rPr>
        <w:t>Fgl2-/-</w:t>
      </w:r>
      <w:r>
        <w:rPr>
          <w:rFonts w:ascii="Book Antiqua" w:eastAsia="宋体" w:hAnsi="Book Antiqua" w:cs="Book Antiqua"/>
          <w:color w:val="000000"/>
          <w:lang w:eastAsia="zh-CN"/>
        </w:rPr>
        <w:t xml:space="preserve"> m</w:t>
      </w:r>
      <w:r>
        <w:rPr>
          <w:rFonts w:ascii="Book Antiqua" w:eastAsia="Book Antiqua" w:hAnsi="Book Antiqua" w:cs="Book Antiqua"/>
          <w:color w:val="000000"/>
        </w:rPr>
        <w:t>ice. Adoptive transfer or depletion of macrop</w:t>
      </w:r>
      <w:r>
        <w:rPr>
          <w:rFonts w:ascii="Book Antiqua" w:eastAsia="Book Antiqua" w:hAnsi="Book Antiqua" w:cs="Book Antiqua"/>
          <w:color w:val="000000"/>
        </w:rPr>
        <w:t xml:space="preserve">hages were employed to assess liver damage and hepatic macrophages alteration. </w:t>
      </w:r>
      <w:r>
        <w:rPr>
          <w:rFonts w:ascii="Book Antiqua" w:eastAsia="Book Antiqua" w:hAnsi="Book Antiqua" w:cs="Book Antiqua"/>
          <w:color w:val="000000"/>
        </w:rPr>
        <w:lastRenderedPageBreak/>
        <w:t xml:space="preserve">Signal cascade induced by LPS or MHV-3 were detected in macrophages. </w:t>
      </w:r>
      <w:r>
        <w:rPr>
          <w:rFonts w:ascii="Book Antiqua" w:eastAsia="Book Antiqua" w:hAnsi="Book Antiqua" w:cs="Book Antiqua"/>
          <w:color w:val="000000"/>
        </w:rPr>
        <w:br/>
      </w:r>
    </w:p>
    <w:p w14:paraId="5986C3A7"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Research results</w:t>
      </w:r>
    </w:p>
    <w:p w14:paraId="220CC24C"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Infiltrated MoMFs is a major source of hepatic inflammation during VFH progression. F</w:t>
      </w:r>
      <w:r>
        <w:rPr>
          <w:rFonts w:ascii="Book Antiqua" w:eastAsia="宋体" w:hAnsi="Book Antiqua" w:cs="Book Antiqua"/>
          <w:color w:val="000000"/>
          <w:lang w:eastAsia="zh-CN"/>
        </w:rPr>
        <w:t>gl</w:t>
      </w:r>
      <w:r>
        <w:rPr>
          <w:rFonts w:ascii="Book Antiqua" w:eastAsia="Book Antiqua" w:hAnsi="Book Antiqua" w:cs="Book Antiqua"/>
          <w:color w:val="000000"/>
        </w:rPr>
        <w:t xml:space="preserve">2 </w:t>
      </w:r>
      <w:r>
        <w:rPr>
          <w:rFonts w:ascii="Book Antiqua" w:eastAsia="Book Antiqua" w:hAnsi="Book Antiqua" w:cs="Book Antiqua"/>
          <w:color w:val="000000"/>
        </w:rPr>
        <w:t xml:space="preserve">expression on macrophages prompts and enhances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inflammatory </w:t>
      </w:r>
      <w:r>
        <w:rPr>
          <w:rFonts w:ascii="Book Antiqua" w:eastAsia="宋体" w:hAnsi="Book Antiqua" w:cs="Book Antiqua"/>
          <w:color w:val="000000"/>
          <w:lang w:eastAsia="zh-CN"/>
        </w:rPr>
        <w:t>phenotype of hepatic macrophages</w:t>
      </w:r>
      <w:r>
        <w:rPr>
          <w:rFonts w:ascii="Book Antiqua" w:eastAsia="Book Antiqua" w:hAnsi="Book Antiqua" w:cs="Book Antiqua"/>
          <w:color w:val="000000"/>
          <w:lang w:val="en" w:eastAsia="en"/>
        </w:rPr>
        <w:t>, which breaks the previous understanding that t</w:t>
      </w:r>
      <w:r>
        <w:rPr>
          <w:rFonts w:ascii="Book Antiqua" w:eastAsia="Book Antiqua" w:hAnsi="Book Antiqua" w:cs="Book Antiqua"/>
          <w:color w:val="000000"/>
        </w:rPr>
        <w:t xml:space="preserve">he mechanism of Fgl2 during VFH is generally considered to be procoagulant activity. </w:t>
      </w:r>
    </w:p>
    <w:p w14:paraId="5E86B546" w14:textId="77777777" w:rsidR="00F203DF" w:rsidRDefault="00F203DF">
      <w:pPr>
        <w:spacing w:line="360" w:lineRule="auto"/>
        <w:jc w:val="both"/>
        <w:rPr>
          <w:rFonts w:ascii="Book Antiqua" w:hAnsi="Book Antiqua"/>
        </w:rPr>
      </w:pPr>
    </w:p>
    <w:p w14:paraId="70E52C32"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 xml:space="preserve">Research </w:t>
      </w:r>
      <w:r>
        <w:rPr>
          <w:rFonts w:ascii="Book Antiqua" w:eastAsia="Book Antiqua" w:hAnsi="Book Antiqua" w:cs="Book Antiqua"/>
          <w:b/>
          <w:i/>
          <w:color w:val="000000"/>
        </w:rPr>
        <w:t>conclusions</w:t>
      </w:r>
    </w:p>
    <w:p w14:paraId="22DD7E57" w14:textId="77777777" w:rsidR="00F203DF" w:rsidRDefault="002B133B">
      <w:pPr>
        <w:spacing w:line="360" w:lineRule="auto"/>
        <w:jc w:val="both"/>
        <w:rPr>
          <w:rFonts w:ascii="Book Antiqua" w:hAnsi="Book Antiqua"/>
        </w:rPr>
      </w:pPr>
      <w:r>
        <w:rPr>
          <w:rFonts w:ascii="Book Antiqua" w:eastAsia="Book Antiqua" w:hAnsi="Book Antiqua" w:cs="Book Antiqua"/>
          <w:color w:val="000000"/>
          <w:lang w:val="en" w:eastAsia="en"/>
        </w:rPr>
        <w:t>We revealed for the first time that pro-inflammatory monocyte-derived macrophages (MoMFs) infiltration is critical event for hepatic inflammatory accumulation and subsequent liver damage during virus-induced hepatitis progression and Fgl2 is re</w:t>
      </w:r>
      <w:r>
        <w:rPr>
          <w:rFonts w:ascii="Book Antiqua" w:eastAsia="Book Antiqua" w:hAnsi="Book Antiqua" w:cs="Book Antiqua"/>
          <w:color w:val="000000"/>
          <w:lang w:val="en" w:eastAsia="en"/>
        </w:rPr>
        <w:t>quired for maintaining the pro-inflammatory hepatic macrophages phenotype.</w:t>
      </w:r>
    </w:p>
    <w:p w14:paraId="264492F8" w14:textId="77777777" w:rsidR="00F203DF" w:rsidRDefault="00F203DF">
      <w:pPr>
        <w:spacing w:line="360" w:lineRule="auto"/>
        <w:jc w:val="both"/>
        <w:rPr>
          <w:rFonts w:ascii="Book Antiqua" w:hAnsi="Book Antiqua"/>
        </w:rPr>
      </w:pPr>
    </w:p>
    <w:p w14:paraId="2FC6F2E3" w14:textId="77777777" w:rsidR="00F203DF" w:rsidRDefault="002B133B">
      <w:pPr>
        <w:spacing w:line="360" w:lineRule="auto"/>
        <w:jc w:val="both"/>
        <w:rPr>
          <w:rFonts w:ascii="Book Antiqua" w:hAnsi="Book Antiqua"/>
        </w:rPr>
      </w:pPr>
      <w:r>
        <w:rPr>
          <w:rFonts w:ascii="Book Antiqua" w:eastAsia="Book Antiqua" w:hAnsi="Book Antiqua" w:cs="Book Antiqua"/>
          <w:b/>
          <w:i/>
          <w:color w:val="000000"/>
        </w:rPr>
        <w:t>Research perspectives</w:t>
      </w:r>
    </w:p>
    <w:p w14:paraId="7E60AA2E" w14:textId="77777777" w:rsidR="00F203DF" w:rsidRDefault="002B133B">
      <w:pPr>
        <w:spacing w:line="360" w:lineRule="auto"/>
        <w:jc w:val="both"/>
        <w:rPr>
          <w:rFonts w:ascii="Book Antiqua" w:eastAsia="Book Antiqua" w:hAnsi="Book Antiqua" w:cs="Book Antiqua"/>
          <w:b/>
          <w:color w:val="000000"/>
        </w:rPr>
      </w:pPr>
      <w:r>
        <w:rPr>
          <w:rFonts w:ascii="Book Antiqua" w:eastAsia="宋体" w:hAnsi="Book Antiqua" w:cs="Book Antiqua"/>
          <w:color w:val="000000"/>
          <w:lang w:eastAsia="zh-CN"/>
        </w:rPr>
        <w:t>Macrophages are ‘keystones’ of liver architecture in both homeostasis and disease. The development of potential therapies highly depends on a fundamental know</w:t>
      </w:r>
      <w:r>
        <w:rPr>
          <w:rFonts w:ascii="Book Antiqua" w:eastAsia="宋体" w:hAnsi="Book Antiqua" w:cs="Book Antiqua"/>
          <w:color w:val="000000"/>
          <w:lang w:eastAsia="zh-CN"/>
        </w:rPr>
        <w:t>ledge about the mechanisms that trigger the polarization and control the fate of hepatic macrophages. We believe that a better understanding of the specific mechanisms underlying macrophages participation in diseases will definitely result in the increased</w:t>
      </w:r>
      <w:r>
        <w:rPr>
          <w:rFonts w:ascii="Book Antiqua" w:eastAsia="宋体" w:hAnsi="Book Antiqua" w:cs="Book Antiqua"/>
          <w:color w:val="000000"/>
          <w:lang w:eastAsia="zh-CN"/>
        </w:rPr>
        <w:t xml:space="preserve"> efficacy of these therapies.</w:t>
      </w:r>
    </w:p>
    <w:p w14:paraId="5D6D9DFF" w14:textId="77777777" w:rsidR="00F203DF" w:rsidRDefault="00F203DF">
      <w:pPr>
        <w:spacing w:line="360" w:lineRule="auto"/>
        <w:jc w:val="both"/>
        <w:rPr>
          <w:rFonts w:ascii="Book Antiqua" w:eastAsia="Book Antiqua" w:hAnsi="Book Antiqua" w:cs="Book Antiqua"/>
          <w:b/>
          <w:color w:val="000000"/>
        </w:rPr>
      </w:pPr>
    </w:p>
    <w:p w14:paraId="51532012"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REFERENCES</w:t>
      </w:r>
    </w:p>
    <w:p w14:paraId="7D02239C"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Manka P</w:t>
      </w:r>
      <w:r>
        <w:rPr>
          <w:rFonts w:ascii="Book Antiqua" w:eastAsia="Book Antiqua" w:hAnsi="Book Antiqua" w:cs="Book Antiqua"/>
          <w:color w:val="000000"/>
        </w:rPr>
        <w:t xml:space="preserve">, Verheyen J, Gerken G, Canbay A. Liver Failure due to Acute Viral Hepatitis (A-E). </w:t>
      </w:r>
      <w:r>
        <w:rPr>
          <w:rFonts w:ascii="Book Antiqua" w:eastAsia="Book Antiqua" w:hAnsi="Book Antiqua" w:cs="Book Antiqua"/>
          <w:i/>
          <w:iCs/>
          <w:color w:val="000000"/>
        </w:rPr>
        <w:t>Visc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80-85 [PMID: 27413724 DOI: 10.1159/000444915]</w:t>
      </w:r>
    </w:p>
    <w:p w14:paraId="561D060A"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Bruewer M</w:t>
      </w:r>
      <w:r>
        <w:rPr>
          <w:rFonts w:ascii="Book Antiqua" w:eastAsia="Book Antiqua" w:hAnsi="Book Antiqua" w:cs="Book Antiqua"/>
          <w:color w:val="000000"/>
        </w:rPr>
        <w:t>, Luegering A, Kucharzik T, Parkos CA, Madara</w:t>
      </w:r>
      <w:r>
        <w:rPr>
          <w:rFonts w:ascii="Book Antiqua" w:eastAsia="Book Antiqua" w:hAnsi="Book Antiqua" w:cs="Book Antiqua"/>
          <w:color w:val="000000"/>
        </w:rPr>
        <w:t xml:space="preserve"> JL, Hopkins AM, Nusrat A. Proinflammatory cytokines disrupt epithelial barrier function by apoptosis-independent mechanisms.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171</w:t>
      </w:r>
      <w:r>
        <w:rPr>
          <w:rFonts w:ascii="Book Antiqua" w:eastAsia="Book Antiqua" w:hAnsi="Book Antiqua" w:cs="Book Antiqua"/>
          <w:color w:val="000000"/>
        </w:rPr>
        <w:t>: 6164-6172 [PMID: 14634132 DOI: 10.4049/jimmunol.171.11.6164]</w:t>
      </w:r>
    </w:p>
    <w:p w14:paraId="327D9CE7"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Wang X</w:t>
      </w:r>
      <w:r>
        <w:rPr>
          <w:rFonts w:ascii="Book Antiqua" w:eastAsia="Book Antiqua" w:hAnsi="Book Antiqua" w:cs="Book Antiqua"/>
          <w:color w:val="000000"/>
        </w:rPr>
        <w:t>, Ning Q. Immune mediated liver failure.</w:t>
      </w:r>
      <w:r>
        <w:rPr>
          <w:rFonts w:ascii="Book Antiqua" w:eastAsia="Book Antiqua" w:hAnsi="Book Antiqua" w:cs="Book Antiqua"/>
          <w:color w:val="000000"/>
        </w:rPr>
        <w:t xml:space="preserve"> </w:t>
      </w:r>
      <w:r>
        <w:rPr>
          <w:rFonts w:ascii="Book Antiqua" w:eastAsia="Book Antiqua" w:hAnsi="Book Antiqua" w:cs="Book Antiqua"/>
          <w:i/>
          <w:iCs/>
          <w:color w:val="000000"/>
        </w:rPr>
        <w:t>EXCLI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1131-1144 [PMID: 26417328]</w:t>
      </w:r>
    </w:p>
    <w:p w14:paraId="17F919A5"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Schwabe RF</w:t>
      </w:r>
      <w:r>
        <w:rPr>
          <w:rFonts w:ascii="Book Antiqua" w:eastAsia="Book Antiqua" w:hAnsi="Book Antiqua" w:cs="Book Antiqua"/>
          <w:color w:val="000000"/>
        </w:rPr>
        <w:t xml:space="preserve">, Luedde T. Apoptosis and necroptosis in the liver: a matter of life and death.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738-752 [PMID: 30250076 DOI: 10.1038/s41575-018-0065-y]</w:t>
      </w:r>
    </w:p>
    <w:p w14:paraId="4A598C9B"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Kondo Y</w:t>
      </w:r>
      <w:r>
        <w:rPr>
          <w:rFonts w:ascii="Book Antiqua" w:eastAsia="Book Antiqua" w:hAnsi="Book Antiqua" w:cs="Book Antiqua"/>
          <w:color w:val="000000"/>
        </w:rPr>
        <w:t>, Kobayashi K</w:t>
      </w:r>
      <w:r>
        <w:rPr>
          <w:rFonts w:ascii="Book Antiqua" w:eastAsia="Book Antiqua" w:hAnsi="Book Antiqua" w:cs="Book Antiqua"/>
          <w:color w:val="000000"/>
        </w:rPr>
        <w:t xml:space="preserve">, Asabe S, Shiina M, Niitsuma H, Ueno Y, Kobayashi T, Shimosegawa T. Vigorous response of cytotoxic T lymphocytes associated with systemic activation of CD8 T lymphocytes in fulminant hepatitis B.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xml:space="preserve">: 561-567 [PMID: 15566505 DOI: </w:t>
      </w:r>
      <w:r>
        <w:rPr>
          <w:rFonts w:ascii="Book Antiqua" w:eastAsia="Book Antiqua" w:hAnsi="Book Antiqua" w:cs="Book Antiqua"/>
          <w:color w:val="000000"/>
        </w:rPr>
        <w:t>10.1111/j.1478-3231.2004.0982.x]</w:t>
      </w:r>
    </w:p>
    <w:p w14:paraId="687402F4"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Racanelli V</w:t>
      </w:r>
      <w:r>
        <w:rPr>
          <w:rFonts w:ascii="Book Antiqua" w:eastAsia="Book Antiqua" w:hAnsi="Book Antiqua" w:cs="Book Antiqua"/>
          <w:color w:val="000000"/>
        </w:rPr>
        <w:t xml:space="preserve">, Rehermann B. The liver as an immunological organ.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S54-S62 [PMID: 16447271 DOI: 10.1002/hep.21060]</w:t>
      </w:r>
    </w:p>
    <w:p w14:paraId="45A23304"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Ju C</w:t>
      </w:r>
      <w:r>
        <w:rPr>
          <w:rFonts w:ascii="Book Antiqua" w:eastAsia="Book Antiqua" w:hAnsi="Book Antiqua" w:cs="Book Antiqua"/>
          <w:color w:val="000000"/>
        </w:rPr>
        <w:t>, Tacke F. Hepatic macrophages in homeostasis and liver diseases: from pathogenesis</w:t>
      </w:r>
      <w:r>
        <w:rPr>
          <w:rFonts w:ascii="Book Antiqua" w:eastAsia="Book Antiqua" w:hAnsi="Book Antiqua" w:cs="Book Antiqua"/>
          <w:color w:val="000000"/>
        </w:rPr>
        <w:t xml:space="preserve"> to novel therapeutic strategies. </w:t>
      </w:r>
      <w:r>
        <w:rPr>
          <w:rFonts w:ascii="Book Antiqua" w:eastAsia="Book Antiqua" w:hAnsi="Book Antiqua" w:cs="Book Antiqua"/>
          <w:i/>
          <w:iCs/>
          <w:color w:val="000000"/>
        </w:rPr>
        <w:t>Cell Mol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316-327 [PMID: 26908374 DOI: 10.1038/cmi.2015.104]</w:t>
      </w:r>
    </w:p>
    <w:p w14:paraId="7A8BFB4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Tacke F</w:t>
      </w:r>
      <w:r>
        <w:rPr>
          <w:rFonts w:ascii="Book Antiqua" w:eastAsia="Book Antiqua" w:hAnsi="Book Antiqua" w:cs="Book Antiqua"/>
          <w:color w:val="000000"/>
        </w:rPr>
        <w:t xml:space="preserve">, Zimmermann HW. Macrophage heterogeneity in liver injury and fibrosis.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1090-1096 [PMID: 24412603 DOI: 10.1016/j.jh</w:t>
      </w:r>
      <w:r>
        <w:rPr>
          <w:rFonts w:ascii="Book Antiqua" w:eastAsia="Book Antiqua" w:hAnsi="Book Antiqua" w:cs="Book Antiqua"/>
          <w:color w:val="000000"/>
        </w:rPr>
        <w:t>ep.2013.12.025]</w:t>
      </w:r>
    </w:p>
    <w:p w14:paraId="67333F3C"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Bashir S</w:t>
      </w:r>
      <w:r>
        <w:rPr>
          <w:rFonts w:ascii="Book Antiqua" w:eastAsia="Book Antiqua" w:hAnsi="Book Antiqua" w:cs="Book Antiqua"/>
          <w:color w:val="000000"/>
        </w:rPr>
        <w:t xml:space="preserve">, Sharma Y, Elahi A, Khan F. Macrophage polarization: the link between inflammation and related diseases. </w:t>
      </w:r>
      <w:r>
        <w:rPr>
          <w:rFonts w:ascii="Book Antiqua" w:eastAsia="Book Antiqua" w:hAnsi="Book Antiqua" w:cs="Book Antiqua"/>
          <w:i/>
          <w:iCs/>
          <w:color w:val="000000"/>
        </w:rPr>
        <w:t>Inflamm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1-11 [PMID: 26467935 DOI: 10.1007/s00011-015-0874-1]</w:t>
      </w:r>
    </w:p>
    <w:p w14:paraId="340DD16A"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Zigmond E</w:t>
      </w:r>
      <w:r>
        <w:rPr>
          <w:rFonts w:ascii="Book Antiqua" w:eastAsia="Book Antiqua" w:hAnsi="Book Antiqua" w:cs="Book Antiqua"/>
          <w:color w:val="000000"/>
        </w:rPr>
        <w:t xml:space="preserve">, Samia-Grinberg S, Pasmanik-Chor M, </w:t>
      </w:r>
      <w:r>
        <w:rPr>
          <w:rFonts w:ascii="Book Antiqua" w:eastAsia="Book Antiqua" w:hAnsi="Book Antiqua" w:cs="Book Antiqua"/>
          <w:color w:val="000000"/>
        </w:rPr>
        <w:t xml:space="preserve">Brazowski E, Shibolet O, Halpern Z, Varol C. Infiltrating monocyte-derived macrophages and resident kupffer cells display different ontogeny and functions in acute liver injury.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193</w:t>
      </w:r>
      <w:r>
        <w:rPr>
          <w:rFonts w:ascii="Book Antiqua" w:eastAsia="Book Antiqua" w:hAnsi="Book Antiqua" w:cs="Book Antiqua"/>
          <w:color w:val="000000"/>
        </w:rPr>
        <w:t>: 344-353 [PMID: 24890723 DOI: 10.4049/jimmunol.1400574]</w:t>
      </w:r>
    </w:p>
    <w:p w14:paraId="1127A99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11</w:t>
      </w:r>
      <w:r>
        <w:rPr>
          <w:rFonts w:ascii="Book Antiqua" w:eastAsia="Book Antiqua" w:hAnsi="Book Antiqua" w:cs="Book Antiqua"/>
          <w:color w:val="000000"/>
        </w:rPr>
        <w:t xml:space="preserve"> </w:t>
      </w:r>
      <w:r>
        <w:rPr>
          <w:rFonts w:ascii="Book Antiqua" w:eastAsia="Book Antiqua" w:hAnsi="Book Antiqua" w:cs="Book Antiqua"/>
          <w:b/>
          <w:bCs/>
          <w:color w:val="000000"/>
        </w:rPr>
        <w:t>Ju C</w:t>
      </w:r>
      <w:r>
        <w:rPr>
          <w:rFonts w:ascii="Book Antiqua" w:eastAsia="Book Antiqua" w:hAnsi="Book Antiqua" w:cs="Book Antiqua"/>
          <w:color w:val="000000"/>
        </w:rPr>
        <w:t xml:space="preserve">, Reilly TP, Bourdi M, Radonovich MF, Brady JN, George JW, Pohl LR. Protective role of Kupffer cells in acetaminophen-induced hepatic injury in mice. </w:t>
      </w:r>
      <w:r>
        <w:rPr>
          <w:rFonts w:ascii="Book Antiqua" w:eastAsia="Book Antiqua" w:hAnsi="Book Antiqua" w:cs="Book Antiqua"/>
          <w:i/>
          <w:iCs/>
          <w:color w:val="000000"/>
        </w:rPr>
        <w:t>Chem Res Toxicol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15</w:t>
      </w:r>
      <w:r>
        <w:rPr>
          <w:rFonts w:ascii="Book Antiqua" w:eastAsia="Book Antiqua" w:hAnsi="Book Antiqua" w:cs="Book Antiqua"/>
          <w:color w:val="000000"/>
        </w:rPr>
        <w:t>: 1504-1513 [PMID: 12482232 DOI: 10.1021/tx0255976]</w:t>
      </w:r>
    </w:p>
    <w:p w14:paraId="39A12C9E"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Tang Y</w:t>
      </w:r>
      <w:r>
        <w:rPr>
          <w:rFonts w:ascii="Book Antiqua" w:eastAsia="Book Antiqua" w:hAnsi="Book Antiqua" w:cs="Book Antiqua"/>
          <w:color w:val="000000"/>
        </w:rPr>
        <w:t>, Li H, Li J, L</w:t>
      </w:r>
      <w:r>
        <w:rPr>
          <w:rFonts w:ascii="Book Antiqua" w:eastAsia="Book Antiqua" w:hAnsi="Book Antiqua" w:cs="Book Antiqua"/>
          <w:color w:val="000000"/>
        </w:rPr>
        <w:t xml:space="preserve">iu Y, Li Y, Zhou J, Zhou J, Lu X, Zhao W, Hou J, Wang XY, Chen Z, Zuo D. Macrophage scavenger receptor 1 contributes to pathogenesis of fulminant </w:t>
      </w:r>
      <w:r>
        <w:rPr>
          <w:rFonts w:ascii="Book Antiqua" w:eastAsia="Book Antiqua" w:hAnsi="Book Antiqua" w:cs="Book Antiqua"/>
          <w:color w:val="000000"/>
        </w:rPr>
        <w:lastRenderedPageBreak/>
        <w:t>hepatitis</w:t>
      </w:r>
      <w:r>
        <w:rPr>
          <w:rFonts w:ascii="Book Antiqua" w:eastAsia="Book Antiqua" w:hAnsi="Book Antiqua" w:cs="Book Antiqua"/>
          <w:i/>
          <w:color w:val="000000"/>
        </w:rPr>
        <w:t xml:space="preserve"> via </w:t>
      </w:r>
      <w:r>
        <w:rPr>
          <w:rFonts w:ascii="Book Antiqua" w:eastAsia="Book Antiqua" w:hAnsi="Book Antiqua" w:cs="Book Antiqua"/>
          <w:color w:val="000000"/>
        </w:rPr>
        <w:t xml:space="preserve">neutrophil-mediated complement activation.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733-743 [PMID: 29154963 DOI: 10.1</w:t>
      </w:r>
      <w:r>
        <w:rPr>
          <w:rFonts w:ascii="Book Antiqua" w:eastAsia="Book Antiqua" w:hAnsi="Book Antiqua" w:cs="Book Antiqua"/>
          <w:color w:val="000000"/>
        </w:rPr>
        <w:t>016/j.jhep.2017.11.010]</w:t>
      </w:r>
    </w:p>
    <w:p w14:paraId="7739766C"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M</w:t>
      </w:r>
      <w:r>
        <w:rPr>
          <w:rFonts w:ascii="Book Antiqua" w:eastAsia="Book Antiqua" w:hAnsi="Book Antiqua" w:cs="Book Antiqua"/>
          <w:color w:val="000000"/>
        </w:rPr>
        <w:t xml:space="preserve">, Mendicino M, Ning Q, Ghanekar A, He W, McGilvray I, Shalev I, Pivato D, Clark DA, Phillips MJ, Levy GA. Cytokine-induced hepatic apoptosis is dependent on FGL2/fibroleukin: the role of Sp1/Sp3 and STAT1/PU.1 composite cis </w:t>
      </w:r>
      <w:r>
        <w:rPr>
          <w:rFonts w:ascii="Book Antiqua" w:eastAsia="Book Antiqua" w:hAnsi="Book Antiqua" w:cs="Book Antiqua"/>
          <w:color w:val="000000"/>
        </w:rPr>
        <w:t xml:space="preserve">elements.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176</w:t>
      </w:r>
      <w:r>
        <w:rPr>
          <w:rFonts w:ascii="Book Antiqua" w:eastAsia="Book Antiqua" w:hAnsi="Book Antiqua" w:cs="Book Antiqua"/>
          <w:color w:val="000000"/>
        </w:rPr>
        <w:t>: 7028-7038 [PMID: 16709865 DOI: 10.4049/jimmunol.176.11.7028]</w:t>
      </w:r>
    </w:p>
    <w:p w14:paraId="728102F2"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Marsden PA</w:t>
      </w:r>
      <w:r>
        <w:rPr>
          <w:rFonts w:ascii="Book Antiqua" w:eastAsia="Book Antiqua" w:hAnsi="Book Antiqua" w:cs="Book Antiqua"/>
          <w:color w:val="000000"/>
        </w:rPr>
        <w:t>, Ning Q, Fung LS, Luo X, Chen Y, Mendicino M, Ghanekar A, Scott JA, Miller T, Chan CW, Chan MW, He W, Gorczynski RM, Grant DR, Clark DA, Phillips MJ, Levy GA. The Fgl2/fibroleukin prothrombinase contributes to immunologically mediated thrombosis in experi</w:t>
      </w:r>
      <w:r>
        <w:rPr>
          <w:rFonts w:ascii="Book Antiqua" w:eastAsia="Book Antiqua" w:hAnsi="Book Antiqua" w:cs="Book Antiqua"/>
          <w:color w:val="000000"/>
        </w:rPr>
        <w:t xml:space="preserve">mental and human viral hepatitis.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2003; </w:t>
      </w:r>
      <w:r>
        <w:rPr>
          <w:rFonts w:ascii="Book Antiqua" w:eastAsia="Book Antiqua" w:hAnsi="Book Antiqua" w:cs="Book Antiqua"/>
          <w:b/>
          <w:bCs/>
          <w:color w:val="000000"/>
        </w:rPr>
        <w:t>112</w:t>
      </w:r>
      <w:r>
        <w:rPr>
          <w:rFonts w:ascii="Book Antiqua" w:eastAsia="Book Antiqua" w:hAnsi="Book Antiqua" w:cs="Book Antiqua"/>
          <w:color w:val="000000"/>
        </w:rPr>
        <w:t>: 58-66 [PMID: 12840059 DOI: 10.1172/JCI18114]</w:t>
      </w:r>
    </w:p>
    <w:p w14:paraId="5A5AE58A"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Xu GL</w:t>
      </w:r>
      <w:r>
        <w:rPr>
          <w:rFonts w:ascii="Book Antiqua" w:eastAsia="Book Antiqua" w:hAnsi="Book Antiqua" w:cs="Book Antiqua"/>
          <w:color w:val="000000"/>
        </w:rPr>
        <w:t xml:space="preserve">, Chen J, Yang F, Li GQ, Zheng LX, Wu YZ. C5a/C5aR pathway is essential for the pathogenesis of murine viral fulminant hepatitis by way of potentiating Fgl2/fibroleukin expression.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114-124 [PMID: 24604562 DOI: 10.1002/hep.27114]</w:t>
      </w:r>
    </w:p>
    <w:p w14:paraId="6C24C110"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Liu</w:t>
      </w:r>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Tan Y, Zhang J, Zou L, Deng G, Xu X, Wang F, Ma Z, Zhang J, Zhao T, Liu Y, Li Y, Zhu B, Guo B. C5aR, TNF-α, and FGL2 contribute to coagulation and complement activation in virus-induced fulminant hepatitis.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354-362 [PMID: 25200905 D</w:t>
      </w:r>
      <w:r>
        <w:rPr>
          <w:rFonts w:ascii="Book Antiqua" w:eastAsia="Book Antiqua" w:hAnsi="Book Antiqua" w:cs="Book Antiqua"/>
          <w:color w:val="000000"/>
        </w:rPr>
        <w:t>OI: 10.1016/j.jhep.2014.08.050]</w:t>
      </w:r>
    </w:p>
    <w:p w14:paraId="590F6C29"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Choudhury A. Acute-on-chronic liver failure: terminology, mechanisms and management.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131-149 [PMID: 26837712 DOI: 10.1038/nrgastro.2015.219]</w:t>
      </w:r>
    </w:p>
    <w:p w14:paraId="3FB549B8"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Sarin SK</w:t>
      </w:r>
      <w:r>
        <w:rPr>
          <w:rFonts w:ascii="Book Antiqua" w:eastAsia="Book Antiqua" w:hAnsi="Book Antiqua" w:cs="Book Antiqua"/>
          <w:color w:val="000000"/>
        </w:rPr>
        <w:t>, Kedarisetty CK, A</w:t>
      </w:r>
      <w:r>
        <w:rPr>
          <w:rFonts w:ascii="Book Antiqua" w:eastAsia="Book Antiqua" w:hAnsi="Book Antiqua" w:cs="Book Antiqua"/>
          <w:color w:val="000000"/>
        </w:rPr>
        <w:t>bbas Z, Amarapurkar D, Bihari C, Chan AC, Chawla YK, Dokmeci AK, Garg H, Ghazinyan H, Hamid S, Kim DJ, Komolmit P, Lata S, Lee GH, Lesmana LA, Mahtab M, Maiwall R, Moreau R, Ning Q, Pamecha V, Payawal DA, Rastogi A, Rahman S, Rela M, Saraya A, Samuel D, Sa</w:t>
      </w:r>
      <w:r>
        <w:rPr>
          <w:rFonts w:ascii="Book Antiqua" w:eastAsia="Book Antiqua" w:hAnsi="Book Antiqua" w:cs="Book Antiqua"/>
          <w:color w:val="000000"/>
        </w:rPr>
        <w:t xml:space="preserve">raswat V, Shah S, Shiha G, Sharma BC, Sharma MK, Sharma K, Butt AS, Tan SS, Vashishtha C, Wani ZA, Yuen MF, Yokosuka O; APASL ACLF Working Party. Acute-on-chronic liver failure: consensus </w:t>
      </w:r>
      <w:r>
        <w:rPr>
          <w:rFonts w:ascii="Book Antiqua" w:eastAsia="Book Antiqua" w:hAnsi="Book Antiqua" w:cs="Book Antiqua"/>
          <w:color w:val="000000"/>
        </w:rPr>
        <w:lastRenderedPageBreak/>
        <w:t>recommendations of the Asian Pacific Association for the Study of th</w:t>
      </w:r>
      <w:r>
        <w:rPr>
          <w:rFonts w:ascii="Book Antiqua" w:eastAsia="Book Antiqua" w:hAnsi="Book Antiqua" w:cs="Book Antiqua"/>
          <w:color w:val="000000"/>
        </w:rPr>
        <w:t xml:space="preserve">e Liver (APASL) 2014.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453-471 [PMID: 26202751 DOI: 10.1007/s12072-014-9580-2]</w:t>
      </w:r>
    </w:p>
    <w:p w14:paraId="28D9F61B"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Hashimoto K</w:t>
      </w:r>
      <w:r>
        <w:rPr>
          <w:rFonts w:ascii="Book Antiqua" w:eastAsia="Book Antiqua" w:hAnsi="Book Antiqua" w:cs="Book Antiqua"/>
          <w:color w:val="000000"/>
        </w:rPr>
        <w:t xml:space="preserve">, Minagawa H, Yanagi Y. Caspase-dependent apoptosis in fulminant hepatic failure induced by herpes simplex virus in mice.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39</w:t>
      </w:r>
      <w:r>
        <w:rPr>
          <w:rFonts w:ascii="Book Antiqua" w:eastAsia="Book Antiqua" w:hAnsi="Book Antiqua" w:cs="Book Antiqua"/>
          <w:color w:val="000000"/>
        </w:rPr>
        <w:t>: 7</w:t>
      </w:r>
      <w:r>
        <w:rPr>
          <w:rFonts w:ascii="Book Antiqua" w:eastAsia="Book Antiqua" w:hAnsi="Book Antiqua" w:cs="Book Antiqua"/>
          <w:color w:val="000000"/>
        </w:rPr>
        <w:t>73-778 [PMID: 14568260 DOI: 10.1016/s0168-8278 (03)00385-4]</w:t>
      </w:r>
    </w:p>
    <w:p w14:paraId="4CC3309E"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Heymann F</w:t>
      </w:r>
      <w:r>
        <w:rPr>
          <w:rFonts w:ascii="Book Antiqua" w:eastAsia="Book Antiqua" w:hAnsi="Book Antiqua" w:cs="Book Antiqua"/>
          <w:color w:val="000000"/>
        </w:rPr>
        <w:t>, Hammerich L, Storch D, Bartneck M, Huss S, Rüsseler V, Gassler N, Lira SA, Luedde T, Trautwein C, Tacke F. Hepatic macrophage migration and differentiation critical for liver fibrosi</w:t>
      </w:r>
      <w:r>
        <w:rPr>
          <w:rFonts w:ascii="Book Antiqua" w:eastAsia="Book Antiqua" w:hAnsi="Book Antiqua" w:cs="Book Antiqua"/>
          <w:color w:val="000000"/>
        </w:rPr>
        <w:t xml:space="preserve">s is mediated by the chemokine receptor C-C motif chemokine receptor 8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55</w:t>
      </w:r>
      <w:r>
        <w:rPr>
          <w:rFonts w:ascii="Book Antiqua" w:eastAsia="Book Antiqua" w:hAnsi="Book Antiqua" w:cs="Book Antiqua"/>
          <w:color w:val="000000"/>
        </w:rPr>
        <w:t>: 898-909 [PMID: 22031018 DOI: 10.1002/hep.24764]</w:t>
      </w:r>
    </w:p>
    <w:p w14:paraId="772CE9D2"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Wang S</w:t>
      </w:r>
      <w:r>
        <w:rPr>
          <w:rFonts w:ascii="Book Antiqua" w:eastAsia="Book Antiqua" w:hAnsi="Book Antiqua" w:cs="Book Antiqua"/>
          <w:color w:val="000000"/>
        </w:rPr>
        <w:t xml:space="preserve">, Song R, Wang Z, Jing Z, Wang S, Ma J. S100A8/A9 in Inflammation.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1298 [PM</w:t>
      </w:r>
      <w:r>
        <w:rPr>
          <w:rFonts w:ascii="Book Antiqua" w:eastAsia="Book Antiqua" w:hAnsi="Book Antiqua" w:cs="Book Antiqua"/>
          <w:color w:val="000000"/>
        </w:rPr>
        <w:t>ID: 29942307 DOI: 10.3389/fimmu.2018.01298]</w:t>
      </w:r>
    </w:p>
    <w:p w14:paraId="111327FC"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Mossanen JC</w:t>
      </w:r>
      <w:r>
        <w:rPr>
          <w:rFonts w:ascii="Book Antiqua" w:eastAsia="Book Antiqua" w:hAnsi="Book Antiqua" w:cs="Book Antiqua"/>
          <w:color w:val="000000"/>
        </w:rPr>
        <w:t>, Krenkel O, Ergen C, Govaere O, Liepelt A, Puengel T, Heymann F, Kalthoff S, Lefebvre E, Eulberg D, Luedde T, Marx G, Strassburg CP, Roskams T, Trautwein C, Tacke F. Chemokine (C-C motif) receptor 2-positive monocytes aggravate the early phase of acetamin</w:t>
      </w:r>
      <w:r>
        <w:rPr>
          <w:rFonts w:ascii="Book Antiqua" w:eastAsia="Book Antiqua" w:hAnsi="Book Antiqua" w:cs="Book Antiqua"/>
          <w:color w:val="000000"/>
        </w:rPr>
        <w:t xml:space="preserve">ophen-induced acute liver injury.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1667-1682 [PMID: 27302828 DOI: 10.1002/hep.28682]</w:t>
      </w:r>
    </w:p>
    <w:p w14:paraId="26F1AA6B"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Ramachandran P</w:t>
      </w:r>
      <w:r>
        <w:rPr>
          <w:rFonts w:ascii="Book Antiqua" w:eastAsia="Book Antiqua" w:hAnsi="Book Antiqua" w:cs="Book Antiqua"/>
          <w:color w:val="000000"/>
        </w:rPr>
        <w:t>, Pellicoro A, Vernon MA, Boulter L, Aucott RL, Ali A, Hartland SN, Snowdon VK, Cappon A, Gordon-Walker TT, Williams MJ, Dunbar DR, Ma</w:t>
      </w:r>
      <w:r>
        <w:rPr>
          <w:rFonts w:ascii="Book Antiqua" w:eastAsia="Book Antiqua" w:hAnsi="Book Antiqua" w:cs="Book Antiqua"/>
          <w:color w:val="000000"/>
        </w:rPr>
        <w:t xml:space="preserve">nning JR, van Rooijen N, Fallowfield JA, Forbes SJ, Iredale JP. Differential Ly-6C expression identifies the recruited macrophage phenotype, which orchestrates the regression of murine liver fibrosis.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xml:space="preserve">: E3186-E3195 [PMID: </w:t>
      </w:r>
      <w:r>
        <w:rPr>
          <w:rFonts w:ascii="Book Antiqua" w:eastAsia="Book Antiqua" w:hAnsi="Book Antiqua" w:cs="Book Antiqua"/>
          <w:color w:val="000000"/>
        </w:rPr>
        <w:t>23100531 DOI: 10.1073/pnas.1119964109]</w:t>
      </w:r>
    </w:p>
    <w:p w14:paraId="2023835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Patel B</w:t>
      </w:r>
      <w:r>
        <w:rPr>
          <w:rFonts w:ascii="Book Antiqua" w:eastAsia="Book Antiqua" w:hAnsi="Book Antiqua" w:cs="Book Antiqua"/>
          <w:color w:val="000000"/>
        </w:rPr>
        <w:t>, Bansal SS, Ismahil MA, Hamid T, Rokosh G, Mack M, Prabhu SD. CCR2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Monocyte-Derived Infiltrating Macrophages Are Required for Adverse Cardiac Remodeling During Pressure Overload. </w:t>
      </w:r>
      <w:r>
        <w:rPr>
          <w:rFonts w:ascii="Book Antiqua" w:eastAsia="Book Antiqua" w:hAnsi="Book Antiqua" w:cs="Book Antiqua"/>
          <w:i/>
          <w:iCs/>
          <w:color w:val="000000"/>
        </w:rPr>
        <w:t>JACC Basic Transl Sci</w:t>
      </w:r>
      <w:r>
        <w:rPr>
          <w:rFonts w:ascii="Book Antiqua" w:eastAsia="Book Antiqua" w:hAnsi="Book Antiqua" w:cs="Book Antiqua"/>
          <w:color w:val="000000"/>
        </w:rPr>
        <w:t xml:space="preserve"> 2018</w:t>
      </w:r>
      <w:r>
        <w:rPr>
          <w:rFonts w:ascii="Book Antiqua" w:eastAsia="Book Antiqua" w:hAnsi="Book Antiqua" w:cs="Book Antiqua"/>
          <w:color w:val="000000"/>
        </w:rPr>
        <w:t xml:space="preserve">; </w:t>
      </w:r>
      <w:r>
        <w:rPr>
          <w:rFonts w:ascii="Book Antiqua" w:eastAsia="Book Antiqua" w:hAnsi="Book Antiqua" w:cs="Book Antiqua"/>
          <w:b/>
          <w:bCs/>
          <w:color w:val="000000"/>
        </w:rPr>
        <w:t>3</w:t>
      </w:r>
      <w:r>
        <w:rPr>
          <w:rFonts w:ascii="Book Antiqua" w:eastAsia="Book Antiqua" w:hAnsi="Book Antiqua" w:cs="Book Antiqua"/>
          <w:color w:val="000000"/>
        </w:rPr>
        <w:t>: 230-244 [PMID: 30062209 DOI: 10.1016/j.jacbts.2017.12.006]</w:t>
      </w:r>
    </w:p>
    <w:p w14:paraId="0D738558"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25</w:t>
      </w:r>
      <w:r>
        <w:rPr>
          <w:rFonts w:ascii="Book Antiqua" w:eastAsia="Book Antiqua" w:hAnsi="Book Antiqua" w:cs="Book Antiqua"/>
          <w:color w:val="000000"/>
        </w:rPr>
        <w:t xml:space="preserve"> </w:t>
      </w:r>
      <w:r>
        <w:rPr>
          <w:rFonts w:ascii="Book Antiqua" w:eastAsia="Book Antiqua" w:hAnsi="Book Antiqua" w:cs="Book Antiqua"/>
          <w:b/>
          <w:bCs/>
          <w:color w:val="000000"/>
        </w:rPr>
        <w:t>Weber ANR</w:t>
      </w:r>
      <w:r>
        <w:rPr>
          <w:rFonts w:ascii="Book Antiqua" w:eastAsia="Book Antiqua" w:hAnsi="Book Antiqua" w:cs="Book Antiqua"/>
          <w:color w:val="000000"/>
        </w:rPr>
        <w:t xml:space="preserve">, Bittner Z, Liu X, Dang TM, Radsak MP, Brunner C. Bruton's Tyrosine Kinase: An Emerging Key Player in Innate Immunity.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1454 [PMID: 29167667 DOI: 10.3389/fim</w:t>
      </w:r>
      <w:r>
        <w:rPr>
          <w:rFonts w:ascii="Book Antiqua" w:eastAsia="Book Antiqua" w:hAnsi="Book Antiqua" w:cs="Book Antiqua"/>
          <w:color w:val="000000"/>
        </w:rPr>
        <w:t>mu.2017.01454]</w:t>
      </w:r>
    </w:p>
    <w:p w14:paraId="23CF2C6E"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lastRenderedPageBreak/>
        <w:t>26</w:t>
      </w:r>
      <w:r>
        <w:rPr>
          <w:rFonts w:ascii="Book Antiqua" w:eastAsia="Book Antiqua" w:hAnsi="Book Antiqua" w:cs="Book Antiqua"/>
          <w:color w:val="000000"/>
        </w:rPr>
        <w:t xml:space="preserve"> </w:t>
      </w:r>
      <w:r>
        <w:rPr>
          <w:rFonts w:ascii="Book Antiqua" w:eastAsia="Book Antiqua" w:hAnsi="Book Antiqua" w:cs="Book Antiqua"/>
          <w:b/>
          <w:bCs/>
          <w:color w:val="000000"/>
        </w:rPr>
        <w:t>Hanna RN</w:t>
      </w:r>
      <w:r>
        <w:rPr>
          <w:rFonts w:ascii="Book Antiqua" w:eastAsia="Book Antiqua" w:hAnsi="Book Antiqua" w:cs="Book Antiqua"/>
          <w:color w:val="000000"/>
        </w:rPr>
        <w:t xml:space="preserve">, Carlin LM, Hubbeling HG, Nackiewicz D, Green AM, Punt JA, Geissmann F, Hedrick CC. The transcription factor NR4A1 (Nur77) controls bone marrow differentiation and the survival of Ly6C- monocytes.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778-785 [P</w:t>
      </w:r>
      <w:r>
        <w:rPr>
          <w:rFonts w:ascii="Book Antiqua" w:eastAsia="Book Antiqua" w:hAnsi="Book Antiqua" w:cs="Book Antiqua"/>
          <w:color w:val="000000"/>
        </w:rPr>
        <w:t>MID: 21725321 DOI: 10.1038/ni.2063]</w:t>
      </w:r>
    </w:p>
    <w:p w14:paraId="5DE838EC"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27</w:t>
      </w:r>
      <w:r>
        <w:rPr>
          <w:rFonts w:ascii="Book Antiqua" w:eastAsia="Book Antiqua" w:hAnsi="Book Antiqua" w:cs="Book Antiqua"/>
          <w:color w:val="000000"/>
        </w:rPr>
        <w:t xml:space="preserve"> </w:t>
      </w:r>
      <w:r>
        <w:rPr>
          <w:rFonts w:ascii="Book Antiqua" w:eastAsia="Book Antiqua" w:hAnsi="Book Antiqua" w:cs="Book Antiqua"/>
          <w:b/>
          <w:bCs/>
          <w:color w:val="000000"/>
        </w:rPr>
        <w:t>Thimme R</w:t>
      </w:r>
      <w:r>
        <w:rPr>
          <w:rFonts w:ascii="Book Antiqua" w:eastAsia="Book Antiqua" w:hAnsi="Book Antiqua" w:cs="Book Antiqua"/>
          <w:color w:val="000000"/>
        </w:rPr>
        <w:t xml:space="preserve">, Wieland S, Steiger C, Ghrayeb J, Reimann KA, Purcell RH, Chisari FV. CD8 (+) T cells mediate viral clearance and disease pathogenesis during acute hepatitis B virus infection.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77</w:t>
      </w:r>
      <w:r>
        <w:rPr>
          <w:rFonts w:ascii="Book Antiqua" w:eastAsia="Book Antiqua" w:hAnsi="Book Antiqua" w:cs="Book Antiqua"/>
          <w:color w:val="000000"/>
        </w:rPr>
        <w:t xml:space="preserve">: 68-76 [PMID: </w:t>
      </w:r>
      <w:r>
        <w:rPr>
          <w:rFonts w:ascii="Book Antiqua" w:eastAsia="Book Antiqua" w:hAnsi="Book Antiqua" w:cs="Book Antiqua"/>
          <w:color w:val="000000"/>
        </w:rPr>
        <w:t>12477811 DOI: 10.1128/jvi.77.1.68-76.2003]</w:t>
      </w:r>
    </w:p>
    <w:p w14:paraId="30DCA215"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28</w:t>
      </w:r>
      <w:r>
        <w:rPr>
          <w:rFonts w:ascii="Book Antiqua" w:eastAsia="Book Antiqua" w:hAnsi="Book Antiqua" w:cs="Book Antiqua"/>
          <w:color w:val="000000"/>
        </w:rPr>
        <w:t xml:space="preserve"> </w:t>
      </w:r>
      <w:r>
        <w:rPr>
          <w:rFonts w:ascii="Book Antiqua" w:eastAsia="Book Antiqua" w:hAnsi="Book Antiqua" w:cs="Book Antiqua"/>
          <w:b/>
          <w:bCs/>
          <w:color w:val="000000"/>
        </w:rPr>
        <w:t>Kim J</w:t>
      </w:r>
      <w:r>
        <w:rPr>
          <w:rFonts w:ascii="Book Antiqua" w:eastAsia="Book Antiqua" w:hAnsi="Book Antiqua" w:cs="Book Antiqua"/>
          <w:color w:val="000000"/>
        </w:rPr>
        <w:t>, Chang DY, Lee HW, Lee H, Kim JH, Sung PS, Kim KH, Hong SH, Kang W, Lee J, Shin SY, Yu HT, You S, Choi YS, Oh I, Lee DH, Lee DH, Jung MK, Suh KS, Hwang S, Kim W, Park SH, Kim HJ, Shin EC. Innate-like Cyto</w:t>
      </w:r>
      <w:r>
        <w:rPr>
          <w:rFonts w:ascii="Book Antiqua" w:eastAsia="Book Antiqua" w:hAnsi="Book Antiqua" w:cs="Book Antiqua"/>
          <w:color w:val="000000"/>
        </w:rPr>
        <w:t>toxic Function of Bystander-Activated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Is Associated with Liver Injury in Acute Hepatitis A.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161-173.e5 [PMID: 29305140 DOI: 10.1016/j.immuni.2017.11.025]</w:t>
      </w:r>
    </w:p>
    <w:p w14:paraId="1B42CC22"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29</w:t>
      </w:r>
      <w:r>
        <w:rPr>
          <w:rFonts w:ascii="Book Antiqua" w:eastAsia="Book Antiqua" w:hAnsi="Book Antiqua" w:cs="Book Antiqua"/>
          <w:color w:val="000000"/>
        </w:rPr>
        <w:t xml:space="preserve"> </w:t>
      </w:r>
      <w:r>
        <w:rPr>
          <w:rFonts w:ascii="Book Antiqua" w:eastAsia="Book Antiqua" w:hAnsi="Book Antiqua" w:cs="Book Antiqua"/>
          <w:b/>
          <w:bCs/>
          <w:color w:val="000000"/>
        </w:rPr>
        <w:t>Manickam C</w:t>
      </w:r>
      <w:r>
        <w:rPr>
          <w:rFonts w:ascii="Book Antiqua" w:eastAsia="Book Antiqua" w:hAnsi="Book Antiqua" w:cs="Book Antiqua"/>
          <w:color w:val="000000"/>
        </w:rPr>
        <w:t xml:space="preserve">, Rajakumar P, Wachtman L, Kramer JA, Martinot AJ, Varner V, Giavedoni LD, Reeves RK. Acute Liver Damage Associated with Innate Immune Activation in a Small Nonhuman Primate Model of Hepacivirus Infection.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90</w:t>
      </w:r>
      <w:r>
        <w:rPr>
          <w:rFonts w:ascii="Book Antiqua" w:eastAsia="Book Antiqua" w:hAnsi="Book Antiqua" w:cs="Book Antiqua"/>
          <w:color w:val="000000"/>
        </w:rPr>
        <w:t>: 9153-9162 [PMID: 27489267 DOI: 1</w:t>
      </w:r>
      <w:r>
        <w:rPr>
          <w:rFonts w:ascii="Book Antiqua" w:eastAsia="Book Antiqua" w:hAnsi="Book Antiqua" w:cs="Book Antiqua"/>
          <w:color w:val="000000"/>
        </w:rPr>
        <w:t>0.1128/JVI.01051-16]</w:t>
      </w:r>
    </w:p>
    <w:p w14:paraId="6C9DF948"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Zou Y</w:t>
      </w:r>
      <w:r>
        <w:rPr>
          <w:rFonts w:ascii="Book Antiqua" w:eastAsia="Book Antiqua" w:hAnsi="Book Antiqua" w:cs="Book Antiqua"/>
          <w:color w:val="000000"/>
        </w:rPr>
        <w:t xml:space="preserve">, Chen T, Han M, Wang H, Yan W, Song G, Wu Z, Wang X, Zhu C, Luo X, Ning Q. Increased killing of liver NK cells by Fas/Fas ligand and NKG2D/NKG2D ligand contributes to hepatocyte necrosis in virus-induced liver failure. </w:t>
      </w:r>
      <w:r>
        <w:rPr>
          <w:rFonts w:ascii="Book Antiqua" w:eastAsia="Book Antiqua" w:hAnsi="Book Antiqua" w:cs="Book Antiqua"/>
          <w:i/>
          <w:iCs/>
          <w:color w:val="000000"/>
        </w:rPr>
        <w:t>J Immun</w:t>
      </w:r>
      <w:r>
        <w:rPr>
          <w:rFonts w:ascii="Book Antiqua" w:eastAsia="Book Antiqua" w:hAnsi="Book Antiqua" w:cs="Book Antiqua"/>
          <w:i/>
          <w:iCs/>
          <w:color w:val="000000"/>
        </w:rPr>
        <w: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184</w:t>
      </w:r>
      <w:r>
        <w:rPr>
          <w:rFonts w:ascii="Book Antiqua" w:eastAsia="Book Antiqua" w:hAnsi="Book Antiqua" w:cs="Book Antiqua"/>
          <w:color w:val="000000"/>
        </w:rPr>
        <w:t>: 466-475 [PMID: 19949088 DOI: 10.4049/jimmunol.0900687]</w:t>
      </w:r>
    </w:p>
    <w:p w14:paraId="0371438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Sehgal R</w:t>
      </w:r>
      <w:r>
        <w:rPr>
          <w:rFonts w:ascii="Book Antiqua" w:eastAsia="Book Antiqua" w:hAnsi="Book Antiqua" w:cs="Book Antiqua"/>
          <w:color w:val="000000"/>
        </w:rPr>
        <w:t xml:space="preserve">, Patra S, David P, Vyas A, Khanam A, Hissar S, Gupta E, Kumar G, Kottilil S, Maiwall R, Sarin SK, Trehanpati N. Impaired monocyte-macrophage functions and defective Toll-like </w:t>
      </w:r>
      <w:r>
        <w:rPr>
          <w:rFonts w:ascii="Book Antiqua" w:eastAsia="Book Antiqua" w:hAnsi="Book Antiqua" w:cs="Book Antiqua"/>
          <w:color w:val="000000"/>
        </w:rPr>
        <w:t xml:space="preserve">receptor signaling in hepatitis E virus-infected pregnant women with acute liver failure.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1683-1696 [PMID: 26331854 DOI: 10.1002/hep.28143]</w:t>
      </w:r>
    </w:p>
    <w:p w14:paraId="2B3976EE"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Borst K</w:t>
      </w:r>
      <w:r>
        <w:rPr>
          <w:rFonts w:ascii="Book Antiqua" w:eastAsia="Book Antiqua" w:hAnsi="Book Antiqua" w:cs="Book Antiqua"/>
          <w:color w:val="000000"/>
        </w:rPr>
        <w:t>, Frenz T, Spanier J, Tegtmeyer PK, Chhatbar C, Skerra J, Ghita L, Namineni S, Lienen</w:t>
      </w:r>
      <w:r>
        <w:rPr>
          <w:rFonts w:ascii="Book Antiqua" w:eastAsia="Book Antiqua" w:hAnsi="Book Antiqua" w:cs="Book Antiqua"/>
          <w:color w:val="000000"/>
        </w:rPr>
        <w:t xml:space="preserve">klaus S, Köster M, Heikenwaelder M, Sutter G, Kalinke U. Type I interferon receptor signaling delays Kupffer cell replenishment during acute fulminant viral hepatitis.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682-690 [PMID: 29274730 DOI: 10.1016/j.jhep.2017.11.029]</w:t>
      </w:r>
    </w:p>
    <w:p w14:paraId="569441DB" w14:textId="77777777" w:rsidR="00F203DF" w:rsidRDefault="002B133B">
      <w:pPr>
        <w:spacing w:line="360" w:lineRule="auto"/>
        <w:jc w:val="both"/>
        <w:rPr>
          <w:rFonts w:ascii="Book Antiqua" w:eastAsia="Book Antiqua" w:hAnsi="Book Antiqua" w:cs="Book Antiqua"/>
          <w:color w:val="000000"/>
        </w:rPr>
      </w:pPr>
      <w:r>
        <w:rPr>
          <w:rFonts w:ascii="Book Antiqua" w:eastAsia="宋体" w:hAnsi="Book Antiqua" w:cs="Book Antiqua"/>
          <w:color w:val="000000"/>
          <w:lang w:eastAsia="zh-CN"/>
        </w:rPr>
        <w:lastRenderedPageBreak/>
        <w:t>33</w:t>
      </w:r>
      <w:r>
        <w:rPr>
          <w:rFonts w:ascii="Book Antiqua" w:eastAsia="Book Antiqua" w:hAnsi="Book Antiqua" w:cs="Book Antiqua"/>
          <w:color w:val="000000"/>
        </w:rPr>
        <w:t xml:space="preserve"> </w:t>
      </w:r>
      <w:r>
        <w:rPr>
          <w:rFonts w:ascii="Book Antiqua" w:eastAsia="Book Antiqua" w:hAnsi="Book Antiqua" w:cs="Book Antiqua"/>
          <w:b/>
          <w:bCs/>
          <w:color w:val="000000"/>
        </w:rPr>
        <w:t>Chen Y</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Wu S, Guo G, Fei L, Guo S, Yang C, Fu X, Wu Y. Programmed death (PD)-1-deficient mice are extremely sensitive to murine hepatitis virus strain-3 (MHV-3) infection. </w:t>
      </w:r>
      <w:r>
        <w:rPr>
          <w:rFonts w:ascii="Book Antiqua" w:eastAsia="Book Antiqua" w:hAnsi="Book Antiqua" w:cs="Book Antiqua"/>
          <w:i/>
          <w:iCs/>
          <w:color w:val="000000"/>
        </w:rPr>
        <w:t>PLoS Pathog</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e1001347 [PMID: 21750671 DOI: 10.1371/journal.ppat.1001347]</w:t>
      </w:r>
    </w:p>
    <w:p w14:paraId="10AF4DA5"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Ding JW</w:t>
      </w:r>
      <w:r>
        <w:rPr>
          <w:rFonts w:ascii="Book Antiqua" w:eastAsia="Book Antiqua" w:hAnsi="Book Antiqua" w:cs="Book Antiqua"/>
          <w:color w:val="000000"/>
        </w:rPr>
        <w:t>,</w:t>
      </w:r>
      <w:r>
        <w:rPr>
          <w:rFonts w:ascii="Book Antiqua" w:eastAsia="Book Antiqua" w:hAnsi="Book Antiqua" w:cs="Book Antiqua"/>
          <w:color w:val="000000"/>
        </w:rPr>
        <w:t xml:space="preserve"> Ning Q, Liu MF, Lai A, Leibowitz J, Peltekian KM, Cole EH, Fung LS, Holloway C, Marsden PA, Yeger H, Phillips MJ, Levy GA. Fulminant hepatic failure in murine hepatitis virus strain 3 infection: tissue-specific expression of a novel fgl2 prothrombinase. </w:t>
      </w:r>
      <w:r>
        <w:rPr>
          <w:rFonts w:ascii="Book Antiqua" w:eastAsia="Book Antiqua" w:hAnsi="Book Antiqua" w:cs="Book Antiqua"/>
          <w:i/>
          <w:iCs/>
          <w:color w:val="000000"/>
        </w:rPr>
        <w:t>J</w:t>
      </w:r>
      <w:r>
        <w:rPr>
          <w:rFonts w:ascii="Book Antiqua" w:eastAsia="Book Antiqua" w:hAnsi="Book Antiqua" w:cs="Book Antiqua"/>
          <w:i/>
          <w:iCs/>
          <w:color w:val="000000"/>
        </w:rPr>
        <w:t xml:space="preserve"> Virol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71</w:t>
      </w:r>
      <w:r>
        <w:rPr>
          <w:rFonts w:ascii="Book Antiqua" w:eastAsia="Book Antiqua" w:hAnsi="Book Antiqua" w:cs="Book Antiqua"/>
          <w:color w:val="000000"/>
        </w:rPr>
        <w:t>: 9223-9230 [PMID: 9371581 DOI: 10.1128/JVI.71.12.9223-9230.1997]</w:t>
      </w:r>
    </w:p>
    <w:p w14:paraId="304279AD"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van der Poll T</w:t>
      </w:r>
      <w:r>
        <w:rPr>
          <w:rFonts w:ascii="Book Antiqua" w:eastAsia="Book Antiqua" w:hAnsi="Book Antiqua" w:cs="Book Antiqua"/>
          <w:color w:val="000000"/>
        </w:rPr>
        <w:t>, Levi M, Hack CE, ten Cate H, van Deventer SJ, Eerenberg AJ, de Groot ER, Jansen J, Gallati H, Büller HR. Elimination of interleukin 6 attenuates coagulation</w:t>
      </w:r>
      <w:r>
        <w:rPr>
          <w:rFonts w:ascii="Book Antiqua" w:eastAsia="Book Antiqua" w:hAnsi="Book Antiqua" w:cs="Book Antiqua"/>
          <w:color w:val="000000"/>
        </w:rPr>
        <w:t xml:space="preserve"> activation in experimental endotoxemia in chimpanzees.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179</w:t>
      </w:r>
      <w:r>
        <w:rPr>
          <w:rFonts w:ascii="Book Antiqua" w:eastAsia="Book Antiqua" w:hAnsi="Book Antiqua" w:cs="Book Antiqua"/>
          <w:color w:val="000000"/>
        </w:rPr>
        <w:t>: 1253-1259 [PMID: 8145042 DOI: 10.1084/jem.179.4.1253]</w:t>
      </w:r>
    </w:p>
    <w:p w14:paraId="0142A74F"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36</w:t>
      </w:r>
      <w:r>
        <w:rPr>
          <w:rFonts w:ascii="Book Antiqua" w:eastAsia="Book Antiqua" w:hAnsi="Book Antiqua" w:cs="Book Antiqua"/>
          <w:color w:val="000000"/>
        </w:rPr>
        <w:t xml:space="preserve"> </w:t>
      </w:r>
      <w:r>
        <w:rPr>
          <w:rFonts w:ascii="Book Antiqua" w:eastAsia="Book Antiqua" w:hAnsi="Book Antiqua" w:cs="Book Antiqua"/>
          <w:b/>
          <w:bCs/>
          <w:color w:val="000000"/>
        </w:rPr>
        <w:t>Rauch U</w:t>
      </w:r>
      <w:r>
        <w:rPr>
          <w:rFonts w:ascii="Book Antiqua" w:eastAsia="Book Antiqua" w:hAnsi="Book Antiqua" w:cs="Book Antiqua"/>
          <w:color w:val="000000"/>
        </w:rPr>
        <w:t xml:space="preserve">, Bonderman D, Bohrmann B, Badimon JJ, Himber J, Riederer MA, Nemerson Y. Transfer of tissue factor from leukocytes to platelets is mediated by CD15 and tissue factor.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2000; </w:t>
      </w:r>
      <w:r>
        <w:rPr>
          <w:rFonts w:ascii="Book Antiqua" w:eastAsia="Book Antiqua" w:hAnsi="Book Antiqua" w:cs="Book Antiqua"/>
          <w:b/>
          <w:bCs/>
          <w:color w:val="000000"/>
        </w:rPr>
        <w:t>96</w:t>
      </w:r>
      <w:r>
        <w:rPr>
          <w:rFonts w:ascii="Book Antiqua" w:eastAsia="Book Antiqua" w:hAnsi="Book Antiqua" w:cs="Book Antiqua"/>
          <w:color w:val="000000"/>
        </w:rPr>
        <w:t>: 170-175 [PMID: 10891447]</w:t>
      </w:r>
    </w:p>
    <w:p w14:paraId="751943C8"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37</w:t>
      </w:r>
      <w:r>
        <w:rPr>
          <w:rFonts w:ascii="Book Antiqua" w:eastAsia="Book Antiqua" w:hAnsi="Book Antiqua" w:cs="Book Antiqua"/>
          <w:color w:val="000000"/>
        </w:rPr>
        <w:t xml:space="preserve"> </w:t>
      </w:r>
      <w:r>
        <w:rPr>
          <w:rFonts w:ascii="Book Antiqua" w:eastAsia="Book Antiqua" w:hAnsi="Book Antiqua" w:cs="Book Antiqua"/>
          <w:b/>
          <w:bCs/>
          <w:color w:val="000000"/>
        </w:rPr>
        <w:t>Mills KH</w:t>
      </w:r>
      <w:r>
        <w:rPr>
          <w:rFonts w:ascii="Book Antiqua" w:eastAsia="Book Antiqua" w:hAnsi="Book Antiqua" w:cs="Book Antiqua"/>
          <w:color w:val="000000"/>
        </w:rPr>
        <w:t>. TLR-dependent T cell activation in</w:t>
      </w:r>
      <w:r>
        <w:rPr>
          <w:rFonts w:ascii="Book Antiqua" w:eastAsia="Book Antiqua" w:hAnsi="Book Antiqua" w:cs="Book Antiqua"/>
          <w:color w:val="000000"/>
        </w:rPr>
        <w:t xml:space="preserve"> autoimmunity.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807-822 [PMID: 22094985 DOI: 10.1038/nri3095]</w:t>
      </w:r>
    </w:p>
    <w:p w14:paraId="654A57CD" w14:textId="77777777" w:rsidR="00F203DF" w:rsidRDefault="002B133B">
      <w:pPr>
        <w:spacing w:line="360" w:lineRule="auto"/>
        <w:jc w:val="both"/>
        <w:rPr>
          <w:rFonts w:ascii="Book Antiqua" w:eastAsia="Book Antiqua" w:hAnsi="Book Antiqua" w:cs="Book Antiqua"/>
          <w:color w:val="000000"/>
        </w:rPr>
      </w:pPr>
      <w:r>
        <w:rPr>
          <w:rFonts w:ascii="Book Antiqua" w:eastAsia="宋体" w:hAnsi="Book Antiqua" w:cs="Book Antiqua"/>
          <w:color w:val="000000"/>
          <w:lang w:eastAsia="zh-CN"/>
        </w:rPr>
        <w:t>38</w:t>
      </w:r>
      <w:r>
        <w:rPr>
          <w:rFonts w:ascii="Book Antiqua" w:eastAsia="Book Antiqua" w:hAnsi="Book Antiqua" w:cs="Book Antiqua"/>
          <w:color w:val="000000"/>
        </w:rPr>
        <w:t xml:space="preserve"> </w:t>
      </w:r>
      <w:r>
        <w:rPr>
          <w:rFonts w:ascii="Book Antiqua" w:eastAsia="Book Antiqua" w:hAnsi="Book Antiqua" w:cs="Book Antiqua"/>
          <w:b/>
          <w:bCs/>
          <w:color w:val="000000"/>
        </w:rPr>
        <w:t>Yang C</w:t>
      </w:r>
      <w:r>
        <w:rPr>
          <w:rFonts w:ascii="Book Antiqua" w:eastAsia="Book Antiqua" w:hAnsi="Book Antiqua" w:cs="Book Antiqua"/>
          <w:color w:val="000000"/>
        </w:rPr>
        <w:t>, Chen Y, Guo G, Li H, Cao D, Xu H, Guo S, Fei L, Yan W, Ning Q, Zheng L, Wu Y. Expression of B and T lymphocyte attenuator (BTLA) in macrophages contributes to</w:t>
      </w:r>
      <w:r>
        <w:rPr>
          <w:rFonts w:ascii="Book Antiqua" w:eastAsia="Book Antiqua" w:hAnsi="Book Antiqua" w:cs="Book Antiqua"/>
          <w:color w:val="000000"/>
        </w:rPr>
        <w:t xml:space="preserve"> the fulminant hepatitis caused by murine hepatitis virus strain-3.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1204-1213 [PMID: 22637698 DOI: 10.1136/gutjnl-2012-302239]</w:t>
      </w:r>
    </w:p>
    <w:p w14:paraId="70173A7F"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39</w:t>
      </w:r>
      <w:r>
        <w:rPr>
          <w:rFonts w:ascii="Book Antiqua" w:eastAsia="Book Antiqua" w:hAnsi="Book Antiqua" w:cs="Book Antiqua"/>
          <w:color w:val="000000"/>
        </w:rPr>
        <w:t xml:space="preserve"> </w:t>
      </w:r>
      <w:r>
        <w:rPr>
          <w:rFonts w:ascii="Book Antiqua" w:eastAsia="Book Antiqua" w:hAnsi="Book Antiqua" w:cs="Book Antiqua"/>
          <w:b/>
          <w:bCs/>
          <w:color w:val="000000"/>
        </w:rPr>
        <w:t>Kawai T</w:t>
      </w:r>
      <w:r>
        <w:rPr>
          <w:rFonts w:ascii="Book Antiqua" w:eastAsia="Book Antiqua" w:hAnsi="Book Antiqua" w:cs="Book Antiqua"/>
          <w:color w:val="000000"/>
        </w:rPr>
        <w:t xml:space="preserve">, Akira S. Innate immune recognition of viral infection.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131-137 [PMID: 16424890 DOI</w:t>
      </w:r>
      <w:r>
        <w:rPr>
          <w:rFonts w:ascii="Book Antiqua" w:eastAsia="Book Antiqua" w:hAnsi="Book Antiqua" w:cs="Book Antiqua"/>
          <w:color w:val="000000"/>
        </w:rPr>
        <w:t>: 10.1038/ni1303]</w:t>
      </w:r>
    </w:p>
    <w:p w14:paraId="462C10F9"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t>40</w:t>
      </w:r>
      <w:r>
        <w:rPr>
          <w:rFonts w:ascii="Book Antiqua" w:eastAsia="Book Antiqua" w:hAnsi="Book Antiqua" w:cs="Book Antiqua"/>
          <w:color w:val="000000"/>
        </w:rPr>
        <w:t xml:space="preserve"> </w:t>
      </w:r>
      <w:r>
        <w:rPr>
          <w:rFonts w:ascii="Book Antiqua" w:eastAsia="Book Antiqua" w:hAnsi="Book Antiqua" w:cs="Book Antiqua"/>
          <w:b/>
          <w:bCs/>
          <w:color w:val="000000"/>
        </w:rPr>
        <w:t>Günthner R</w:t>
      </w:r>
      <w:r>
        <w:rPr>
          <w:rFonts w:ascii="Book Antiqua" w:eastAsia="Book Antiqua" w:hAnsi="Book Antiqua" w:cs="Book Antiqua"/>
          <w:color w:val="000000"/>
        </w:rPr>
        <w:t xml:space="preserve">, Anders HJ. Interferon-regulatory factors determine macrophage phenotype polarization. </w:t>
      </w:r>
      <w:r>
        <w:rPr>
          <w:rFonts w:ascii="Book Antiqua" w:eastAsia="Book Antiqua" w:hAnsi="Book Antiqua" w:cs="Book Antiqua"/>
          <w:i/>
          <w:iCs/>
          <w:color w:val="000000"/>
        </w:rPr>
        <w:t>Mediators Inflamm</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731023 [PMID: 24379524 DOI: 10.1155/2013/731023]</w:t>
      </w:r>
    </w:p>
    <w:p w14:paraId="2393FD98" w14:textId="77777777" w:rsidR="00F203DF" w:rsidRDefault="002B133B">
      <w:pPr>
        <w:spacing w:line="360" w:lineRule="auto"/>
        <w:jc w:val="both"/>
        <w:rPr>
          <w:rFonts w:ascii="Book Antiqua" w:hAnsi="Book Antiqua"/>
        </w:rPr>
      </w:pPr>
      <w:r>
        <w:rPr>
          <w:rFonts w:ascii="Book Antiqua" w:eastAsia="宋体" w:hAnsi="Book Antiqua" w:cs="Book Antiqua"/>
          <w:color w:val="000000"/>
          <w:lang w:eastAsia="zh-CN"/>
        </w:rPr>
        <w:lastRenderedPageBreak/>
        <w:t>41</w:t>
      </w:r>
      <w:r>
        <w:rPr>
          <w:rFonts w:ascii="Book Antiqua" w:eastAsia="Book Antiqua" w:hAnsi="Book Antiqua" w:cs="Book Antiqua"/>
          <w:color w:val="000000"/>
        </w:rPr>
        <w:t xml:space="preserve"> </w:t>
      </w:r>
      <w:r>
        <w:rPr>
          <w:rFonts w:ascii="Book Antiqua" w:eastAsia="Book Antiqua" w:hAnsi="Book Antiqua" w:cs="Book Antiqua"/>
          <w:b/>
          <w:bCs/>
          <w:color w:val="000000"/>
        </w:rPr>
        <w:t>Hanington PC</w:t>
      </w:r>
      <w:r>
        <w:rPr>
          <w:rFonts w:ascii="Book Antiqua" w:eastAsia="Book Antiqua" w:hAnsi="Book Antiqua" w:cs="Book Antiqua"/>
          <w:color w:val="000000"/>
        </w:rPr>
        <w:t>, Zhang SM. The primary role of fibrinogen-</w:t>
      </w:r>
      <w:r>
        <w:rPr>
          <w:rFonts w:ascii="Book Antiqua" w:eastAsia="Book Antiqua" w:hAnsi="Book Antiqua" w:cs="Book Antiqua"/>
          <w:color w:val="000000"/>
        </w:rPr>
        <w:t xml:space="preserve">related proteins in invertebrates is defense, not coagulation. </w:t>
      </w:r>
      <w:r>
        <w:rPr>
          <w:rFonts w:ascii="Book Antiqua" w:eastAsia="Book Antiqua" w:hAnsi="Book Antiqua" w:cs="Book Antiqua"/>
          <w:i/>
          <w:iCs/>
          <w:color w:val="000000"/>
        </w:rPr>
        <w:t>J Innate Immun</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17-27 [PMID: 21063081 DOI: 10.1159/000321882]</w:t>
      </w:r>
    </w:p>
    <w:p w14:paraId="7F748196"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Sato S</w:t>
      </w:r>
      <w:r>
        <w:rPr>
          <w:rFonts w:ascii="Book Antiqua" w:eastAsia="Book Antiqua" w:hAnsi="Book Antiqua" w:cs="Book Antiqua"/>
          <w:color w:val="000000"/>
        </w:rPr>
        <w:t xml:space="preserve">, Sanjo H, Takeda K, Ninomiya-Tsuji J, Yamamoto M, Kawai T, Matsumoto K, Takeuchi O, Akira S. Essential function for the kinase TAK1 in innate and adaptive immune responses.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6</w:t>
      </w:r>
      <w:r>
        <w:rPr>
          <w:rFonts w:ascii="Book Antiqua" w:eastAsia="Book Antiqua" w:hAnsi="Book Antiqua" w:cs="Book Antiqua"/>
          <w:color w:val="000000"/>
        </w:rPr>
        <w:t>: 1087-1095 [PMID: 16186825 DOI: 10.1038/ni1255]</w:t>
      </w:r>
    </w:p>
    <w:p w14:paraId="339C61BC"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Liu T</w:t>
      </w:r>
      <w:r>
        <w:rPr>
          <w:rFonts w:ascii="Book Antiqua" w:eastAsia="Book Antiqua" w:hAnsi="Book Antiqua" w:cs="Book Antiqua"/>
          <w:color w:val="000000"/>
        </w:rPr>
        <w:t xml:space="preserve">, Zhang L, Joo D, Sun SC. NF-κB signaling in inflammation.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xml:space="preserve"> [PMID: 29158945 DOI: 10.1038/sigtrans.2017.23]</w:t>
      </w:r>
    </w:p>
    <w:p w14:paraId="115E4816"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Medzhitov R</w:t>
      </w:r>
      <w:r>
        <w:rPr>
          <w:rFonts w:ascii="Book Antiqua" w:eastAsia="Book Antiqua" w:hAnsi="Book Antiqua" w:cs="Book Antiqua"/>
          <w:color w:val="000000"/>
        </w:rPr>
        <w:t>, Preston-Hurlburt P, Janeway CA Jr. A human homologue of the Drosophila Toll protein signals activ</w:t>
      </w:r>
      <w:r>
        <w:rPr>
          <w:rFonts w:ascii="Book Antiqua" w:eastAsia="Book Antiqua" w:hAnsi="Book Antiqua" w:cs="Book Antiqua"/>
          <w:color w:val="000000"/>
        </w:rPr>
        <w:t xml:space="preserve">ation of adaptive immunity.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388</w:t>
      </w:r>
      <w:r>
        <w:rPr>
          <w:rFonts w:ascii="Book Antiqua" w:eastAsia="Book Antiqua" w:hAnsi="Book Antiqua" w:cs="Book Antiqua"/>
          <w:color w:val="000000"/>
        </w:rPr>
        <w:t>: 394-397 [PMID: 9237759 DOI: 10.1038/41131]</w:t>
      </w:r>
    </w:p>
    <w:p w14:paraId="69001ED9"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He Z</w:t>
      </w:r>
      <w:r>
        <w:rPr>
          <w:rFonts w:ascii="Book Antiqua" w:eastAsia="Book Antiqua" w:hAnsi="Book Antiqua" w:cs="Book Antiqua"/>
          <w:color w:val="000000"/>
        </w:rPr>
        <w:t xml:space="preserve">, Riva M, Björk P, Swärd K, Mörgelin M, Leanderson T, Ivars F. CD14 Is a Co-Receptor for TLR4 in the S100A9-Induced Pro-Inflammatory Response in Monocytes. </w:t>
      </w:r>
      <w:r>
        <w:rPr>
          <w:rFonts w:ascii="Book Antiqua" w:eastAsia="Book Antiqua" w:hAnsi="Book Antiqua" w:cs="Book Antiqua"/>
          <w:i/>
          <w:iCs/>
          <w:color w:val="000000"/>
        </w:rPr>
        <w:t>PLoS</w:t>
      </w:r>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e0156377 [PMID: 27228163 DOI: 10.1371/journal.pone.0156377]</w:t>
      </w:r>
    </w:p>
    <w:p w14:paraId="44AC6723"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Brinkmann MM</w:t>
      </w:r>
      <w:r>
        <w:rPr>
          <w:rFonts w:ascii="Book Antiqua" w:eastAsia="Book Antiqua" w:hAnsi="Book Antiqua" w:cs="Book Antiqua"/>
          <w:color w:val="000000"/>
        </w:rPr>
        <w:t xml:space="preserve">, Spooner E, Hoebe K, Beutler B, Ploegh HL, Kim YM. The interaction between the ER membrane protein UNC93B and TLR3, 7, and 9 is crucial for TLR signaling. </w:t>
      </w:r>
      <w:r>
        <w:rPr>
          <w:rFonts w:ascii="Book Antiqua" w:eastAsia="Book Antiqua" w:hAnsi="Book Antiqua" w:cs="Book Antiqua"/>
          <w:i/>
          <w:iCs/>
          <w:color w:val="000000"/>
        </w:rPr>
        <w:t>J Cell Bio</w:t>
      </w:r>
      <w:r>
        <w:rPr>
          <w:rFonts w:ascii="Book Antiqua" w:eastAsia="Book Antiqua" w:hAnsi="Book Antiqua" w:cs="Book Antiqua"/>
          <w:i/>
          <w:iCs/>
          <w:color w:val="000000"/>
        </w:rPr>
        <w:t>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177</w:t>
      </w:r>
      <w:r>
        <w:rPr>
          <w:rFonts w:ascii="Book Antiqua" w:eastAsia="Book Antiqua" w:hAnsi="Book Antiqua" w:cs="Book Antiqua"/>
          <w:color w:val="000000"/>
        </w:rPr>
        <w:t>: 265-275 [PMID: 17452530 DOI: 10.1083/jcb.200612056]</w:t>
      </w:r>
    </w:p>
    <w:p w14:paraId="24FD90AB"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Tatematsu M</w:t>
      </w:r>
      <w:r>
        <w:rPr>
          <w:rFonts w:ascii="Book Antiqua" w:eastAsia="Book Antiqua" w:hAnsi="Book Antiqua" w:cs="Book Antiqua"/>
          <w:color w:val="000000"/>
        </w:rPr>
        <w:t>, Funami K, Ishii N, Seya T, Obuse C, Matsumoto M. LRRC59 Regulates Trafficking of Nucleic Acid-Sensing TLRs from the Endoplasmic Reticulum</w:t>
      </w:r>
      <w:r>
        <w:rPr>
          <w:rFonts w:ascii="Book Antiqua" w:eastAsia="Book Antiqua" w:hAnsi="Book Antiqua" w:cs="Book Antiqua"/>
          <w:i/>
          <w:color w:val="000000"/>
        </w:rPr>
        <w:t xml:space="preserve"> via </w:t>
      </w:r>
      <w:r>
        <w:rPr>
          <w:rFonts w:ascii="Book Antiqua" w:eastAsia="Book Antiqua" w:hAnsi="Book Antiqua" w:cs="Book Antiqua"/>
          <w:color w:val="000000"/>
        </w:rPr>
        <w:t xml:space="preserve">Association with UNC93B1. </w:t>
      </w:r>
      <w:r>
        <w:rPr>
          <w:rFonts w:ascii="Book Antiqua" w:eastAsia="Book Antiqua" w:hAnsi="Book Antiqua" w:cs="Book Antiqua"/>
          <w:i/>
          <w:iCs/>
          <w:color w:val="000000"/>
        </w:rPr>
        <w:t>J Immun</w:t>
      </w:r>
      <w:r>
        <w:rPr>
          <w:rFonts w:ascii="Book Antiqua" w:eastAsia="Book Antiqua" w:hAnsi="Book Antiqua" w:cs="Book Antiqua"/>
          <w:i/>
          <w:iCs/>
          <w:color w:val="000000"/>
        </w:rPr>
        <w: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195</w:t>
      </w:r>
      <w:r>
        <w:rPr>
          <w:rFonts w:ascii="Book Antiqua" w:eastAsia="Book Antiqua" w:hAnsi="Book Antiqua" w:cs="Book Antiqua"/>
          <w:color w:val="000000"/>
        </w:rPr>
        <w:t>: 4933-4942 [PMID: 26466955 DOI: 10.4049/jimmunol.1501305]</w:t>
      </w:r>
    </w:p>
    <w:p w14:paraId="2EA3B9A1"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McGilvray ID</w:t>
      </w:r>
      <w:r>
        <w:rPr>
          <w:rFonts w:ascii="Book Antiqua" w:eastAsia="Book Antiqua" w:hAnsi="Book Antiqua" w:cs="Book Antiqua"/>
          <w:color w:val="000000"/>
        </w:rPr>
        <w:t>, Lu Z, Wei AC, Dackiw AP, Marshall JC, Kapus A, Levy G, Rotstein OD. Murine hepatitis virus strain 3 induces the macrophage prothrombinase fgl-2 through p38 mitogen-acti</w:t>
      </w:r>
      <w:r>
        <w:rPr>
          <w:rFonts w:ascii="Book Antiqua" w:eastAsia="Book Antiqua" w:hAnsi="Book Antiqua" w:cs="Book Antiqua"/>
          <w:color w:val="000000"/>
        </w:rPr>
        <w:t xml:space="preserve">vated protein kinase activation.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1998; </w:t>
      </w:r>
      <w:r>
        <w:rPr>
          <w:rFonts w:ascii="Book Antiqua" w:eastAsia="Book Antiqua" w:hAnsi="Book Antiqua" w:cs="Book Antiqua"/>
          <w:b/>
          <w:bCs/>
          <w:color w:val="000000"/>
        </w:rPr>
        <w:t>273</w:t>
      </w:r>
      <w:r>
        <w:rPr>
          <w:rFonts w:ascii="Book Antiqua" w:eastAsia="Book Antiqua" w:hAnsi="Book Antiqua" w:cs="Book Antiqua"/>
          <w:color w:val="000000"/>
        </w:rPr>
        <w:t>: 32222-32229 [PMID: 9822700 DOI: 10.1074/jbc.273.48.32222]</w:t>
      </w:r>
    </w:p>
    <w:p w14:paraId="5A15103B" w14:textId="77777777" w:rsidR="00F203DF" w:rsidRDefault="00F203DF">
      <w:pPr>
        <w:spacing w:line="360" w:lineRule="auto"/>
        <w:jc w:val="both"/>
        <w:rPr>
          <w:rFonts w:ascii="Book Antiqua" w:hAnsi="Book Antiqua"/>
        </w:rPr>
      </w:pPr>
    </w:p>
    <w:p w14:paraId="751C90DB" w14:textId="77777777" w:rsidR="00F203DF" w:rsidRDefault="002B133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63EE1133"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F16C43E"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Style w:val="15"/>
          <w:rFonts w:ascii="Book Antiqua" w:eastAsia="Book Antiqua" w:hAnsi="Book Antiqua" w:cs="Book Antiqua"/>
          <w:color w:val="000000"/>
        </w:rPr>
        <w:t xml:space="preserve">The study was reviewed and approved by the Institutional Review Board at </w:t>
      </w:r>
      <w:r>
        <w:rPr>
          <w:rFonts w:ascii="Book Antiqua" w:eastAsia="Book Antiqua" w:hAnsi="Book Antiqua" w:cs="Book Antiqua"/>
          <w:color w:val="000000"/>
        </w:rPr>
        <w:t xml:space="preserve">Tongji </w:t>
      </w:r>
      <w:r>
        <w:rPr>
          <w:rFonts w:ascii="Book Antiqua" w:hAnsi="Book Antiqua" w:cs="Book Antiqua"/>
          <w:color w:val="000000"/>
          <w:lang w:eastAsia="zh-CN"/>
        </w:rPr>
        <w:t>H</w:t>
      </w:r>
      <w:r>
        <w:rPr>
          <w:rFonts w:ascii="Book Antiqua" w:eastAsia="Book Antiqua" w:hAnsi="Book Antiqua" w:cs="Book Antiqua"/>
          <w:color w:val="000000"/>
        </w:rPr>
        <w:t>ospital, Wu</w:t>
      </w:r>
      <w:r>
        <w:rPr>
          <w:rFonts w:ascii="Book Antiqua" w:hAnsi="Book Antiqua" w:cs="Book Antiqua"/>
          <w:color w:val="000000"/>
          <w:lang w:eastAsia="zh-CN"/>
        </w:rPr>
        <w:t>h</w:t>
      </w:r>
      <w:r>
        <w:rPr>
          <w:rFonts w:ascii="Book Antiqua" w:eastAsia="Book Antiqua" w:hAnsi="Book Antiqua" w:cs="Book Antiqua"/>
          <w:color w:val="000000"/>
        </w:rPr>
        <w:t>an</w:t>
      </w:r>
      <w:r>
        <w:rPr>
          <w:rFonts w:ascii="Book Antiqua" w:hAnsi="Book Antiqua" w:cs="Book Antiqua"/>
          <w:color w:val="000000"/>
          <w:lang w:eastAsia="zh-CN"/>
        </w:rPr>
        <w:t xml:space="preserve"> Province</w:t>
      </w:r>
      <w:r>
        <w:rPr>
          <w:rStyle w:val="15"/>
          <w:rFonts w:ascii="Book Antiqua" w:eastAsia="Book Antiqua" w:hAnsi="Book Antiqua" w:cs="Book Antiqua"/>
          <w:color w:val="000000"/>
        </w:rPr>
        <w:t xml:space="preserve">. </w:t>
      </w:r>
    </w:p>
    <w:p w14:paraId="67735BE2" w14:textId="77777777" w:rsidR="00F203DF" w:rsidRDefault="00F203DF">
      <w:pPr>
        <w:spacing w:line="360" w:lineRule="auto"/>
        <w:jc w:val="both"/>
        <w:rPr>
          <w:rFonts w:ascii="Book Antiqua" w:hAnsi="Book Antiqua"/>
        </w:rPr>
      </w:pPr>
    </w:p>
    <w:p w14:paraId="4F98D361"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Style w:val="15"/>
          <w:rFonts w:ascii="Book Antiqua" w:eastAsia="Book Antiqua" w:hAnsi="Book Antiqua" w:cs="Book Antiqua"/>
          <w:bCs/>
          <w:color w:val="000000"/>
        </w:rPr>
        <w:t>All</w:t>
      </w:r>
      <w:r>
        <w:rPr>
          <w:rFonts w:ascii="Book Antiqua" w:eastAsia="Book Antiqua" w:hAnsi="Book Antiqua" w:cs="Book Antiqua"/>
          <w:color w:val="000000"/>
        </w:rPr>
        <w:t xml:space="preserve"> animal experiments were approved by institutional Animal Care and Use Committee of Tongji </w:t>
      </w:r>
      <w:r>
        <w:rPr>
          <w:rFonts w:ascii="Book Antiqua" w:hAnsi="Book Antiqua" w:cs="Book Antiqua"/>
          <w:color w:val="000000"/>
          <w:lang w:eastAsia="zh-CN"/>
        </w:rPr>
        <w:t>H</w:t>
      </w:r>
      <w:r>
        <w:rPr>
          <w:rFonts w:ascii="Book Antiqua" w:eastAsia="Book Antiqua" w:hAnsi="Book Antiqua" w:cs="Book Antiqua"/>
          <w:color w:val="000000"/>
        </w:rPr>
        <w:t>ospital (permit number: TJ-A20171008), and conducted in accordance with state g</w:t>
      </w:r>
      <w:r>
        <w:rPr>
          <w:rFonts w:ascii="Book Antiqua" w:eastAsia="Book Antiqua" w:hAnsi="Book Antiqua" w:cs="Book Antiqua"/>
          <w:color w:val="000000"/>
        </w:rPr>
        <w:t>uidelines from the Ministry of Science and Technology of China.</w:t>
      </w:r>
    </w:p>
    <w:p w14:paraId="34F207C1" w14:textId="77777777" w:rsidR="00F203DF" w:rsidRDefault="00F203DF">
      <w:pPr>
        <w:spacing w:line="360" w:lineRule="auto"/>
        <w:jc w:val="both"/>
        <w:rPr>
          <w:rFonts w:ascii="Book Antiqua" w:hAnsi="Book Antiqua"/>
        </w:rPr>
      </w:pPr>
    </w:p>
    <w:p w14:paraId="442056F2"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 in the study.</w:t>
      </w:r>
      <w:r>
        <w:rPr>
          <w:rStyle w:val="15"/>
          <w:rFonts w:ascii="Book Antiqua" w:eastAsia="Book Antiqua" w:hAnsi="Book Antiqua" w:cs="Book Antiqua"/>
          <w:color w:val="000000"/>
        </w:rPr>
        <w:t xml:space="preserve"> </w:t>
      </w:r>
    </w:p>
    <w:p w14:paraId="27B467F8" w14:textId="77777777" w:rsidR="00F203DF" w:rsidRDefault="00F203DF">
      <w:pPr>
        <w:spacing w:line="360" w:lineRule="auto"/>
        <w:jc w:val="both"/>
        <w:rPr>
          <w:rFonts w:ascii="Book Antiqua" w:hAnsi="Book Antiqua"/>
        </w:rPr>
      </w:pPr>
    </w:p>
    <w:p w14:paraId="4F0557B4"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Style w:val="15"/>
          <w:rFonts w:ascii="Book Antiqua" w:eastAsia="Book Antiqua" w:hAnsi="Book Antiqua" w:cs="Book Antiqua"/>
          <w:color w:val="000000"/>
        </w:rPr>
        <w:t xml:space="preserve">No additional data are available. </w:t>
      </w:r>
    </w:p>
    <w:p w14:paraId="1B028097" w14:textId="77777777" w:rsidR="00F203DF" w:rsidRDefault="00F203DF">
      <w:pPr>
        <w:spacing w:line="360" w:lineRule="auto"/>
        <w:jc w:val="both"/>
        <w:rPr>
          <w:rFonts w:ascii="Book Antiqua" w:hAnsi="Book Antiqua"/>
        </w:rPr>
      </w:pPr>
    </w:p>
    <w:p w14:paraId="4A0BDF6C"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Style w:val="15"/>
          <w:rFonts w:ascii="Book Antiqua" w:eastAsia="Book Antiqua" w:hAnsi="Book Antiqua" w:cs="Book Antiqua"/>
          <w:color w:val="000000"/>
        </w:rPr>
        <w:t>The author</w:t>
      </w:r>
      <w:r>
        <w:rPr>
          <w:rStyle w:val="15"/>
          <w:rFonts w:ascii="Book Antiqua" w:eastAsia="Book Antiqua" w:hAnsi="Book Antiqua" w:cs="Book Antiqua"/>
          <w:color w:val="000000"/>
        </w:rPr>
        <w:t>s have read the ARRIVE guidelines, and the manuscript was prepared and revised according to the ARRIVE guidelines.</w:t>
      </w:r>
    </w:p>
    <w:p w14:paraId="4486FF69" w14:textId="77777777" w:rsidR="00F203DF" w:rsidRDefault="00F203DF">
      <w:pPr>
        <w:spacing w:line="360" w:lineRule="auto"/>
        <w:jc w:val="both"/>
        <w:rPr>
          <w:rFonts w:ascii="Book Antiqua" w:hAnsi="Book Antiqua"/>
        </w:rPr>
      </w:pPr>
    </w:p>
    <w:p w14:paraId="0A013C6F" w14:textId="77777777" w:rsidR="00F203DF" w:rsidRDefault="002B133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w:t>
      </w:r>
      <w:r>
        <w:rPr>
          <w:rFonts w:ascii="Book Antiqua" w:eastAsia="Book Antiqua" w:hAnsi="Book Antiqua" w:cs="Book Antiqua"/>
          <w:color w:val="000000"/>
        </w:rPr>
        <w:t>t is distributed in accordance with the Creative Commons Attribution NonCommercial (CC BY-NC 4.0) license, which permits others to distribute, remix, adapt, build upon this work non-commercially, and license their derivative works on different terms, provi</w:t>
      </w:r>
      <w:r>
        <w:rPr>
          <w:rFonts w:ascii="Book Antiqua" w:eastAsia="Book Antiqua" w:hAnsi="Book Antiqua" w:cs="Book Antiqua"/>
          <w:color w:val="000000"/>
        </w:rPr>
        <w:t>ded the original work is properly cited and the use is non-commercial. See: https://creativecommons.org/Licenses/by-nc/4.0/</w:t>
      </w:r>
    </w:p>
    <w:p w14:paraId="6C782744" w14:textId="77777777" w:rsidR="00F203DF" w:rsidRDefault="00F203DF">
      <w:pPr>
        <w:spacing w:line="360" w:lineRule="auto"/>
        <w:jc w:val="both"/>
        <w:rPr>
          <w:rFonts w:ascii="Book Antiqua" w:hAnsi="Book Antiqua"/>
        </w:rPr>
      </w:pPr>
    </w:p>
    <w:p w14:paraId="58875DB4"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C22A1EC" w14:textId="77777777" w:rsidR="00F203DF" w:rsidRDefault="002B133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7AACB47" w14:textId="77777777" w:rsidR="00F203DF" w:rsidRDefault="00F203DF">
      <w:pPr>
        <w:spacing w:line="360" w:lineRule="auto"/>
        <w:jc w:val="both"/>
        <w:rPr>
          <w:rFonts w:ascii="Book Antiqua" w:hAnsi="Book Antiqua"/>
          <w:lang w:eastAsia="zh-CN"/>
        </w:rPr>
      </w:pPr>
    </w:p>
    <w:p w14:paraId="2E4535E4"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Corresponding Author's </w:t>
      </w:r>
      <w:r>
        <w:rPr>
          <w:rFonts w:ascii="Book Antiqua" w:eastAsia="Book Antiqua" w:hAnsi="Book Antiqua" w:cs="Book Antiqua"/>
          <w:b/>
          <w:color w:val="000000"/>
        </w:rPr>
        <w:t xml:space="preserve">Membership in Professional Societies: </w:t>
      </w:r>
      <w:r>
        <w:rPr>
          <w:rFonts w:ascii="Book Antiqua" w:eastAsia="Book Antiqua" w:hAnsi="Book Antiqua" w:cs="Book Antiqua"/>
          <w:color w:val="000000"/>
        </w:rPr>
        <w:t>Asian Pacific Association of Gastroenterology.</w:t>
      </w:r>
    </w:p>
    <w:p w14:paraId="3031302A" w14:textId="77777777" w:rsidR="00F203DF" w:rsidRDefault="00F203DF">
      <w:pPr>
        <w:spacing w:line="360" w:lineRule="auto"/>
        <w:jc w:val="both"/>
        <w:rPr>
          <w:rFonts w:ascii="Book Antiqua" w:hAnsi="Book Antiqua"/>
        </w:rPr>
      </w:pPr>
    </w:p>
    <w:p w14:paraId="6A1187E8"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August 18, 2021</w:t>
      </w:r>
    </w:p>
    <w:p w14:paraId="3D97C884"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2021</w:t>
      </w:r>
    </w:p>
    <w:p w14:paraId="02F445C0"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January 8, 2022</w:t>
      </w:r>
    </w:p>
    <w:p w14:paraId="70248966" w14:textId="77777777" w:rsidR="00F203DF" w:rsidRDefault="00F203DF">
      <w:pPr>
        <w:spacing w:line="360" w:lineRule="auto"/>
        <w:jc w:val="both"/>
        <w:rPr>
          <w:rFonts w:ascii="Book Antiqua" w:hAnsi="Book Antiqua"/>
        </w:rPr>
      </w:pPr>
    </w:p>
    <w:p w14:paraId="44B8062B"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62D1709E"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7DA44CD" w14:textId="77777777" w:rsidR="00F203DF" w:rsidRDefault="002B133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B8E396D"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Grade A (Excellent): 0</w:t>
      </w:r>
    </w:p>
    <w:p w14:paraId="0A3DD2FB"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Grade B (Very good): B</w:t>
      </w:r>
    </w:p>
    <w:p w14:paraId="00D3AC7F"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Grade C (Good): 0</w:t>
      </w:r>
    </w:p>
    <w:p w14:paraId="538D3849"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Grade D (Fair): 0</w:t>
      </w:r>
    </w:p>
    <w:p w14:paraId="6BB5328B" w14:textId="77777777" w:rsidR="00F203DF" w:rsidRDefault="002B133B">
      <w:pPr>
        <w:spacing w:line="360" w:lineRule="auto"/>
        <w:jc w:val="both"/>
        <w:rPr>
          <w:rFonts w:ascii="Book Antiqua" w:hAnsi="Book Antiqua"/>
        </w:rPr>
      </w:pPr>
      <w:r>
        <w:rPr>
          <w:rFonts w:ascii="Book Antiqua" w:eastAsia="Book Antiqua" w:hAnsi="Book Antiqua" w:cs="Book Antiqua"/>
          <w:color w:val="000000"/>
        </w:rPr>
        <w:t>Grade E (Poor): 0</w:t>
      </w:r>
    </w:p>
    <w:p w14:paraId="2160E4A0" w14:textId="77777777" w:rsidR="00F203DF" w:rsidRDefault="00F203DF">
      <w:pPr>
        <w:spacing w:line="360" w:lineRule="auto"/>
        <w:jc w:val="both"/>
        <w:rPr>
          <w:rFonts w:ascii="Book Antiqua" w:hAnsi="Book Antiqua"/>
        </w:rPr>
      </w:pPr>
    </w:p>
    <w:p w14:paraId="1D2F97C8" w14:textId="77777777" w:rsidR="00F203DF" w:rsidRDefault="002B133B">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color w:val="000000"/>
        </w:rPr>
        <w:t>Makishima M</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eastAsia="Book Antiqua" w:hAnsi="Book Antiqua" w:cs="Book Antiqua"/>
          <w:b/>
          <w:color w:val="000000"/>
        </w:rPr>
        <w:t xml:space="preserve"> L-Editor: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G</w:t>
      </w:r>
      <w:r>
        <w:rPr>
          <w:rFonts w:ascii="Book Antiqua" w:eastAsia="宋体" w:hAnsi="Book Antiqua" w:cs="Book Antiqua" w:hint="eastAsia"/>
          <w:bCs/>
          <w:color w:val="000000"/>
          <w:lang w:eastAsia="zh-CN"/>
        </w:rPr>
        <w:t>uo Xu</w:t>
      </w:r>
    </w:p>
    <w:p w14:paraId="45DE9C56" w14:textId="77777777" w:rsidR="00F203DF" w:rsidRDefault="00F203DF">
      <w:pPr>
        <w:spacing w:line="360" w:lineRule="auto"/>
        <w:jc w:val="both"/>
        <w:rPr>
          <w:rFonts w:ascii="Book Antiqua" w:eastAsia="Book Antiqua" w:hAnsi="Book Antiqua" w:cs="Book Antiqua"/>
          <w:b/>
          <w:color w:val="000000"/>
        </w:rPr>
      </w:pPr>
    </w:p>
    <w:p w14:paraId="0820706E" w14:textId="77777777" w:rsidR="00F203DF" w:rsidRDefault="00F203DF">
      <w:pPr>
        <w:spacing w:line="360" w:lineRule="auto"/>
        <w:jc w:val="both"/>
        <w:rPr>
          <w:rFonts w:ascii="Book Antiqua" w:eastAsia="Book Antiqua" w:hAnsi="Book Antiqua" w:cs="Book Antiqua"/>
          <w:b/>
          <w:color w:val="000000"/>
        </w:rPr>
        <w:sectPr w:rsidR="00F203DF">
          <w:pgSz w:w="12240" w:h="15840"/>
          <w:pgMar w:top="1440" w:right="1440" w:bottom="1440" w:left="1440" w:header="720" w:footer="720" w:gutter="0"/>
          <w:cols w:space="720"/>
          <w:docGrid w:linePitch="360"/>
        </w:sectPr>
      </w:pPr>
    </w:p>
    <w:p w14:paraId="5F85CFA0" w14:textId="77777777" w:rsidR="00F203DF" w:rsidRDefault="002B13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B7B18A6" w14:textId="77777777" w:rsidR="00F203DF" w:rsidRDefault="002B13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E8364A5" wp14:editId="41B90B99">
            <wp:extent cx="4671060" cy="3497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71465" cy="3497883"/>
                    </a:xfrm>
                    <a:prstGeom prst="rect">
                      <a:avLst/>
                    </a:prstGeom>
                  </pic:spPr>
                </pic:pic>
              </a:graphicData>
            </a:graphic>
          </wp:inline>
        </w:drawing>
      </w:r>
    </w:p>
    <w:p w14:paraId="2C6D64E2"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hAnsi="Book Antiqua" w:cs="Book Antiqua"/>
          <w:b/>
          <w:bCs/>
          <w:color w:val="000000"/>
          <w:lang w:eastAsia="zh-CN"/>
        </w:rPr>
        <w:t xml:space="preserve"> </w:t>
      </w:r>
      <w:r>
        <w:rPr>
          <w:rFonts w:ascii="Book Antiqua" w:eastAsia="Book Antiqua" w:hAnsi="Book Antiqua" w:cs="Book Antiqua"/>
          <w:b/>
          <w:bCs/>
          <w:color w:val="000000"/>
        </w:rPr>
        <w:t>Fibrinogen-like protein 2</w:t>
      </w:r>
      <w:r>
        <w:rPr>
          <w:rFonts w:ascii="Book Antiqua" w:hAnsi="Book Antiqua" w:cs="Book Antiqua"/>
          <w:b/>
          <w:bCs/>
          <w:color w:val="000000"/>
          <w:lang w:eastAsia="zh-CN"/>
        </w:rPr>
        <w:t xml:space="preserve"> </w:t>
      </w:r>
      <w:r>
        <w:rPr>
          <w:rFonts w:ascii="Book Antiqua" w:eastAsia="Book Antiqua" w:hAnsi="Book Antiqua" w:cs="Book Antiqua"/>
          <w:b/>
          <w:bCs/>
          <w:color w:val="000000"/>
        </w:rPr>
        <w:t>was expressed on proinflammatory macrophages in patients with hepatitis B virus-associated liver failure.</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Representative image of liver sections (200×) subjected to </w:t>
      </w:r>
      <w:r>
        <w:rPr>
          <w:rFonts w:ascii="Book Antiqua" w:eastAsia="Book Antiqua" w:hAnsi="Book Antiqua" w:cs="Book Antiqua"/>
          <w:color w:val="000000"/>
        </w:rPr>
        <w:t>Hematoxylin and eosin staining</w:t>
      </w:r>
      <w:r>
        <w:rPr>
          <w:rFonts w:ascii="Book Antiqua" w:hAnsi="Book Antiqua" w:cs="Book Antiqua"/>
          <w:color w:val="000000"/>
          <w:lang w:eastAsia="zh-CN"/>
        </w:rPr>
        <w:t xml:space="preserve"> </w:t>
      </w:r>
      <w:r>
        <w:rPr>
          <w:rFonts w:ascii="Book Antiqua" w:eastAsia="Book Antiqua" w:hAnsi="Book Antiqua" w:cs="Book Antiqua"/>
          <w:color w:val="000000"/>
        </w:rPr>
        <w:t>(H&amp;E); Black circles point to transparent necrosis, red circles point to infiltrating leukocytes; B:</w:t>
      </w:r>
      <w:r>
        <w:rPr>
          <w:rFonts w:ascii="Book Antiqua" w:hAnsi="Book Antiqua" w:cs="Book Antiqua"/>
          <w:color w:val="000000"/>
          <w:lang w:eastAsia="zh-CN"/>
        </w:rPr>
        <w:t xml:space="preserve"> </w:t>
      </w:r>
      <w:r>
        <w:rPr>
          <w:rFonts w:ascii="Book Antiqua" w:eastAsia="Book Antiqua" w:hAnsi="Book Antiqua" w:cs="Book Antiqua"/>
          <w:color w:val="000000"/>
        </w:rPr>
        <w:t>Calculation of CD68+ macrophages at periportal and lobular areas; C: Immunofluorescence against CD68, S100A9 on liver sectio</w:t>
      </w:r>
      <w:r>
        <w:rPr>
          <w:rFonts w:ascii="Book Antiqua" w:eastAsia="Book Antiqua" w:hAnsi="Book Antiqua" w:cs="Book Antiqua"/>
          <w:color w:val="000000"/>
        </w:rPr>
        <w:t xml:space="preserve">ns (200×) from patients of hepatitis B virus-associated acute chronic-on liver failure (acute-on-chronic liver failure </w:t>
      </w:r>
      <w:r>
        <w:rPr>
          <w:rFonts w:ascii="Book Antiqua" w:hAnsi="Book Antiqua" w:cs="Book Antiqua"/>
          <w:color w:val="000000"/>
          <w:lang w:eastAsia="zh-CN"/>
        </w:rPr>
        <w:t>(</w:t>
      </w:r>
      <w:r>
        <w:rPr>
          <w:rFonts w:ascii="Book Antiqua" w:eastAsia="Book Antiqua" w:hAnsi="Book Antiqua" w:cs="Book Antiqua"/>
          <w:color w:val="000000"/>
        </w:rPr>
        <w:t>ACLF</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olor w:val="000000"/>
        </w:rPr>
        <w:t xml:space="preserve">n = </w:t>
      </w:r>
      <w:r>
        <w:rPr>
          <w:rFonts w:ascii="Book Antiqua" w:eastAsia="Book Antiqua" w:hAnsi="Book Antiqua" w:cs="Book Antiqua"/>
          <w:color w:val="000000"/>
        </w:rPr>
        <w:t>7) and healthy controls (</w:t>
      </w:r>
      <w:r>
        <w:rPr>
          <w:rFonts w:ascii="Book Antiqua" w:eastAsia="Book Antiqua" w:hAnsi="Book Antiqua" w:cs="Book Antiqua"/>
          <w:i/>
          <w:color w:val="000000"/>
        </w:rPr>
        <w:t xml:space="preserve">n = </w:t>
      </w:r>
      <w:r>
        <w:rPr>
          <w:rFonts w:ascii="Book Antiqua" w:eastAsia="Book Antiqua" w:hAnsi="Book Antiqua" w:cs="Book Antiqua"/>
          <w:color w:val="000000"/>
        </w:rPr>
        <w:t xml:space="preserve">3); D: Immunofluorescence against S100A9 and </w:t>
      </w:r>
      <w:r>
        <w:rPr>
          <w:rFonts w:ascii="Book Antiqua" w:hAnsi="Book Antiqua" w:cs="Book Antiqua"/>
          <w:color w:val="000000"/>
          <w:lang w:eastAsia="zh-CN"/>
        </w:rPr>
        <w:t>f</w:t>
      </w:r>
      <w:r>
        <w:rPr>
          <w:rFonts w:ascii="Book Antiqua" w:eastAsia="Book Antiqua" w:hAnsi="Book Antiqua" w:cs="Book Antiqua"/>
          <w:color w:val="000000"/>
        </w:rPr>
        <w:t xml:space="preserve">ibrinogen-like protein 2 on liver sections (200×) </w:t>
      </w:r>
      <w:r>
        <w:rPr>
          <w:rFonts w:ascii="Book Antiqua" w:eastAsia="Book Antiqua" w:hAnsi="Book Antiqua" w:cs="Book Antiqua"/>
          <w:color w:val="000000"/>
        </w:rPr>
        <w:t>from ACLF patients (</w:t>
      </w:r>
      <w:r>
        <w:rPr>
          <w:rFonts w:ascii="Book Antiqua" w:eastAsia="Book Antiqua" w:hAnsi="Book Antiqua" w:cs="Book Antiqua"/>
          <w:i/>
          <w:color w:val="000000"/>
        </w:rPr>
        <w:t xml:space="preserve">n = </w:t>
      </w:r>
      <w:r>
        <w:rPr>
          <w:rFonts w:ascii="Book Antiqua" w:eastAsia="Book Antiqua" w:hAnsi="Book Antiqua" w:cs="Book Antiqua"/>
          <w:color w:val="000000"/>
        </w:rPr>
        <w:t>7) and healthy controls (</w:t>
      </w:r>
      <w:r>
        <w:rPr>
          <w:rFonts w:ascii="Book Antiqua" w:eastAsia="Book Antiqua" w:hAnsi="Book Antiqua" w:cs="Book Antiqua"/>
          <w:i/>
          <w:color w:val="000000"/>
        </w:rPr>
        <w:t xml:space="preserve">n = </w:t>
      </w:r>
      <w:r>
        <w:rPr>
          <w:rFonts w:ascii="Book Antiqua" w:eastAsia="Book Antiqua" w:hAnsi="Book Antiqua" w:cs="Book Antiqua"/>
          <w:color w:val="000000"/>
        </w:rPr>
        <w:t>3), representative images on the left and statistical columns on the right. Data are expressed as mean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SD. </w:t>
      </w:r>
    </w:p>
    <w:p w14:paraId="7BC3FE00" w14:textId="77777777" w:rsidR="00F203DF" w:rsidRDefault="002B133B">
      <w:pPr>
        <w:spacing w:line="360" w:lineRule="auto"/>
        <w:jc w:val="both"/>
        <w:rPr>
          <w:rFonts w:ascii="Book Antiqua" w:hAnsi="Book Antiqua"/>
        </w:rPr>
      </w:pPr>
      <w:r>
        <w:rPr>
          <w:rFonts w:ascii="Book Antiqua" w:hAnsi="Book Antiqua"/>
        </w:rPr>
        <w:br w:type="page"/>
      </w:r>
    </w:p>
    <w:p w14:paraId="28F44647"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2FEB795" wp14:editId="30D5C884">
            <wp:extent cx="5908040" cy="662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11876" cy="6633265"/>
                    </a:xfrm>
                    <a:prstGeom prst="rect">
                      <a:avLst/>
                    </a:prstGeom>
                  </pic:spPr>
                </pic:pic>
              </a:graphicData>
            </a:graphic>
          </wp:inline>
        </w:drawing>
      </w:r>
    </w:p>
    <w:p w14:paraId="3E38EA6F" w14:textId="77777777" w:rsidR="00F203DF" w:rsidRDefault="002B133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Dynamic alteration of macrophage subsets during viral fulminant </w:t>
      </w:r>
      <w:r>
        <w:rPr>
          <w:rFonts w:ascii="Book Antiqua" w:eastAsia="Book Antiqua" w:hAnsi="Book Antiqua" w:cs="Book Antiqua"/>
          <w:b/>
          <w:bCs/>
          <w:color w:val="000000"/>
        </w:rPr>
        <w:t>hepatitis progression.</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A: Time-course H&amp;E staining on liver sections of mice after </w:t>
      </w:r>
      <w:r>
        <w:rPr>
          <w:rFonts w:ascii="Book Antiqua" w:hAnsi="Book Antiqua" w:cs="Book Antiqua" w:hint="eastAsia"/>
          <w:color w:val="000000"/>
          <w:lang w:eastAsia="zh-CN"/>
        </w:rPr>
        <w:t>m</w:t>
      </w:r>
      <w:r>
        <w:rPr>
          <w:rFonts w:ascii="Book Antiqua" w:eastAsia="Book Antiqua" w:hAnsi="Book Antiqua" w:cs="Book Antiqua"/>
          <w:color w:val="000000"/>
        </w:rPr>
        <w:t>urine hepatitis virus strain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infection. Arrowheads indicated hepatocyte cytoplasmic destruction, Circles pointed to necrosis; B: ALT and AST levels from serum of mice pos</w:t>
      </w:r>
      <w:r>
        <w:rPr>
          <w:rFonts w:ascii="Book Antiqua" w:eastAsia="Book Antiqua" w:hAnsi="Book Antiqua" w:cs="Book Antiqua"/>
          <w:color w:val="000000"/>
        </w:rPr>
        <w:t xml:space="preserve">t-viral infection; C: Flow cytometry of KCs (CD45+ F4/80high), MoMFs (CD45+ Ly6C+ F4/80int) of cells </w:t>
      </w:r>
      <w:r>
        <w:rPr>
          <w:rFonts w:ascii="Book Antiqua" w:eastAsia="Book Antiqua" w:hAnsi="Book Antiqua" w:cs="Book Antiqua"/>
          <w:color w:val="000000"/>
        </w:rPr>
        <w:lastRenderedPageBreak/>
        <w:t>(left), and their percentage in the liver at various time point after viral infection; D: Flow cytometry of KCs (left) and frequency of M1 (iNOS+), M2 (CD2</w:t>
      </w:r>
      <w:r>
        <w:rPr>
          <w:rFonts w:ascii="Book Antiqua" w:eastAsia="Book Antiqua" w:hAnsi="Book Antiqua" w:cs="Book Antiqua"/>
          <w:color w:val="000000"/>
        </w:rPr>
        <w:t>06+) macrophages in KCs (right); E: Representative image of MoMFs (left) and frequency of Ly6Chigh and Ly6Clow MoMFs at different time point after viral infection. Data are presented as mean ± SD (</w:t>
      </w:r>
      <w:r>
        <w:rPr>
          <w:rFonts w:ascii="Book Antiqua" w:eastAsia="Book Antiqua" w:hAnsi="Book Antiqua" w:cs="Book Antiqua"/>
          <w:i/>
          <w:color w:val="000000"/>
        </w:rPr>
        <w:t xml:space="preserve">n = </w:t>
      </w:r>
      <w:r>
        <w:rPr>
          <w:rFonts w:ascii="Book Antiqua" w:eastAsia="Book Antiqua" w:hAnsi="Book Antiqua" w:cs="Book Antiqua"/>
          <w:color w:val="000000"/>
        </w:rPr>
        <w:t>5). These experiments were repeated at least three time</w:t>
      </w:r>
      <w:r>
        <w:rPr>
          <w:rFonts w:ascii="Book Antiqua" w:eastAsia="Book Antiqua" w:hAnsi="Book Antiqua" w:cs="Book Antiqua"/>
          <w:color w:val="000000"/>
        </w:rPr>
        <w:t>s.</w:t>
      </w:r>
      <w:r>
        <w:rPr>
          <w:rFonts w:ascii="Book Antiqua" w:hAnsi="Book Antiqua" w:cs="Book Antiqua" w:hint="eastAsia"/>
          <w:color w:val="000000"/>
          <w:lang w:eastAsia="zh-CN"/>
        </w:rPr>
        <w:t xml:space="preserve"> </w:t>
      </w:r>
      <w:r>
        <w:rPr>
          <w:rFonts w:ascii="Book Antiqua" w:eastAsia="Book Antiqua" w:hAnsi="Book Antiqua" w:cs="Book Antiqua"/>
          <w:color w:val="000000"/>
        </w:rPr>
        <w:t>KCs: Kuffer cells; MoMFs: Monocyte derived macrophages</w:t>
      </w:r>
      <w:r>
        <w:rPr>
          <w:rFonts w:ascii="Book Antiqua" w:hAnsi="Book Antiqua" w:cs="Book Antiqua" w:hint="eastAsia"/>
          <w:color w:val="000000"/>
          <w:lang w:eastAsia="zh-CN"/>
        </w:rPr>
        <w:t>.</w:t>
      </w:r>
    </w:p>
    <w:p w14:paraId="28867998" w14:textId="77777777" w:rsidR="00F203DF" w:rsidRDefault="00F203DF">
      <w:pPr>
        <w:spacing w:line="360" w:lineRule="auto"/>
        <w:jc w:val="both"/>
        <w:rPr>
          <w:rFonts w:ascii="Book Antiqua" w:eastAsia="Book Antiqua" w:hAnsi="Book Antiqua" w:cs="Book Antiqua"/>
          <w:color w:val="000000"/>
        </w:rPr>
      </w:pPr>
    </w:p>
    <w:p w14:paraId="49F38AD1" w14:textId="77777777" w:rsidR="00F203DF" w:rsidRDefault="002B133B">
      <w:pPr>
        <w:spacing w:line="360" w:lineRule="auto"/>
        <w:jc w:val="both"/>
        <w:rPr>
          <w:rFonts w:ascii="Book Antiqua" w:hAnsi="Book Antiqua"/>
        </w:rPr>
      </w:pPr>
      <w:r>
        <w:rPr>
          <w:rFonts w:ascii="Book Antiqua" w:hAnsi="Book Antiqua"/>
        </w:rPr>
        <w:br w:type="page"/>
      </w:r>
    </w:p>
    <w:p w14:paraId="1F216286"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47A2D53" wp14:editId="2E297390">
            <wp:extent cx="5943600" cy="3376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376295"/>
                    </a:xfrm>
                    <a:prstGeom prst="rect">
                      <a:avLst/>
                    </a:prstGeom>
                  </pic:spPr>
                </pic:pic>
              </a:graphicData>
            </a:graphic>
          </wp:inline>
        </w:drawing>
      </w:r>
    </w:p>
    <w:p w14:paraId="5ECD660D" w14:textId="77777777" w:rsidR="00F203DF" w:rsidRDefault="002B133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Fibrinogen-like protein 2 expression was robustly inducted upon proinflammatory macrophage activation</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Flow cytometry of </w:t>
      </w:r>
      <w:r>
        <w:rPr>
          <w:rFonts w:ascii="Book Antiqua" w:hAnsi="Book Antiqua" w:cs="Book Antiqua" w:hint="eastAsia"/>
          <w:color w:val="000000"/>
          <w:lang w:eastAsia="zh-CN"/>
        </w:rPr>
        <w:t>f</w:t>
      </w:r>
      <w:r>
        <w:rPr>
          <w:rFonts w:ascii="Book Antiqua" w:eastAsia="Book Antiqua" w:hAnsi="Book Antiqua" w:cs="Book Antiqua"/>
          <w:color w:val="000000"/>
        </w:rPr>
        <w:t>ibrinogen-like protein 2</w:t>
      </w:r>
      <w:r>
        <w:rPr>
          <w:rFonts w:ascii="Book Antiqua" w:hAnsi="Book Antiqua" w:cs="Book Antiqua" w:hint="eastAsia"/>
          <w:color w:val="000000"/>
          <w:lang w:eastAsia="zh-CN"/>
        </w:rPr>
        <w:t xml:space="preserve"> (</w:t>
      </w:r>
      <w:r>
        <w:rPr>
          <w:rFonts w:ascii="Book Antiqua" w:eastAsia="Book Antiqua" w:hAnsi="Book Antiqua" w:cs="Book Antiqua"/>
          <w:color w:val="000000"/>
        </w:rPr>
        <w:t>Fgl2</w:t>
      </w:r>
      <w:r>
        <w:rPr>
          <w:rFonts w:ascii="Book Antiqua" w:hAnsi="Book Antiqua" w:cs="Book Antiqua" w:hint="eastAsia"/>
          <w:color w:val="000000"/>
          <w:lang w:eastAsia="zh-CN"/>
        </w:rPr>
        <w:t xml:space="preserve">) </w:t>
      </w:r>
      <w:r>
        <w:rPr>
          <w:rFonts w:ascii="Book Antiqua" w:eastAsia="Book Antiqua" w:hAnsi="Book Antiqua" w:cs="Book Antiqua"/>
          <w:color w:val="000000"/>
        </w:rPr>
        <w:t>+KCs expressing iNOS and C</w:t>
      </w:r>
      <w:r>
        <w:rPr>
          <w:rFonts w:ascii="Book Antiqua" w:eastAsia="Book Antiqua" w:hAnsi="Book Antiqua" w:cs="Book Antiqua"/>
          <w:color w:val="000000"/>
        </w:rPr>
        <w:t>D206 under homeostatic conditions (left), and frequency of iNOS+ and CD206+ cells subsets (right); B: Representative image of Fgl2+MoMFs expressing Ly6C (left), and relative expression level of Fgl2 in Ly6ChiMoMFs and Ly6Clo MoMFs under physiological condi</w:t>
      </w:r>
      <w:r>
        <w:rPr>
          <w:rFonts w:ascii="Book Antiqua" w:eastAsia="Book Antiqua" w:hAnsi="Book Antiqua" w:cs="Book Antiqua"/>
          <w:color w:val="000000"/>
        </w:rPr>
        <w:t>tions (right); C: Time course-presentation of Fgl2 expression in M1 polarized KCs (left), and expression level of Fgl2 in Ly6ChiMoMFs and Ly6Clow MoMFs, respectively (right); D: Cell counts of Fgl2+ MoMFs (left), and relative level of Fgl2 expression on bo</w:t>
      </w:r>
      <w:r>
        <w:rPr>
          <w:rFonts w:ascii="Book Antiqua" w:eastAsia="Book Antiqua" w:hAnsi="Book Antiqua" w:cs="Book Antiqua"/>
          <w:color w:val="000000"/>
        </w:rPr>
        <w:t>th MoMFs subset (right) following viral infection. Data are presented as mean ± SD (</w:t>
      </w:r>
      <w:r>
        <w:rPr>
          <w:rFonts w:ascii="Book Antiqua" w:eastAsia="Book Antiqua" w:hAnsi="Book Antiqua" w:cs="Book Antiqua"/>
          <w:i/>
          <w:color w:val="000000"/>
        </w:rPr>
        <w:t xml:space="preserve">n = </w:t>
      </w:r>
      <w:r>
        <w:rPr>
          <w:rFonts w:ascii="Book Antiqua" w:eastAsia="Book Antiqua" w:hAnsi="Book Antiqua" w:cs="Book Antiqua"/>
          <w:color w:val="000000"/>
        </w:rPr>
        <w:t xml:space="preserve">5). These experiments were repeated at least three times. MFI: </w:t>
      </w:r>
      <w:r>
        <w:rPr>
          <w:rFonts w:ascii="Book Antiqua" w:hAnsi="Book Antiqua" w:cs="Book Antiqua" w:hint="eastAsia"/>
          <w:color w:val="000000"/>
          <w:lang w:eastAsia="zh-CN"/>
        </w:rPr>
        <w:t>M</w:t>
      </w:r>
      <w:r>
        <w:rPr>
          <w:rFonts w:ascii="Book Antiqua" w:eastAsia="Book Antiqua" w:hAnsi="Book Antiqua" w:cs="Book Antiqua"/>
          <w:color w:val="000000"/>
        </w:rPr>
        <w:t>ean fluorescence intensity.</w:t>
      </w:r>
      <w:r>
        <w:rPr>
          <w:rFonts w:ascii="Book Antiqua" w:hAnsi="Book Antiqua" w:cs="Book Antiqua" w:hint="eastAsia"/>
          <w:color w:val="000000"/>
          <w:lang w:eastAsia="zh-CN"/>
        </w:rPr>
        <w:t xml:space="preserve"> </w:t>
      </w:r>
    </w:p>
    <w:p w14:paraId="08D0E37B" w14:textId="77777777" w:rsidR="00F203DF" w:rsidRDefault="00F203DF">
      <w:pPr>
        <w:spacing w:line="360" w:lineRule="auto"/>
        <w:jc w:val="both"/>
        <w:rPr>
          <w:rFonts w:ascii="Book Antiqua" w:eastAsia="Book Antiqua" w:hAnsi="Book Antiqua" w:cs="Book Antiqua"/>
          <w:color w:val="000000"/>
        </w:rPr>
      </w:pPr>
    </w:p>
    <w:p w14:paraId="50B3A898" w14:textId="77777777" w:rsidR="00F203DF" w:rsidRDefault="002B133B">
      <w:pPr>
        <w:spacing w:line="360" w:lineRule="auto"/>
        <w:jc w:val="both"/>
        <w:rPr>
          <w:rFonts w:ascii="Book Antiqua" w:hAnsi="Book Antiqua"/>
        </w:rPr>
      </w:pPr>
      <w:r>
        <w:rPr>
          <w:rFonts w:ascii="Book Antiqua" w:hAnsi="Book Antiqua"/>
        </w:rPr>
        <w:br w:type="page"/>
      </w:r>
    </w:p>
    <w:p w14:paraId="1757B0EE"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7432DD0" wp14:editId="37413784">
            <wp:extent cx="5897880" cy="64198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95760" cy="6417507"/>
                    </a:xfrm>
                    <a:prstGeom prst="rect">
                      <a:avLst/>
                    </a:prstGeom>
                  </pic:spPr>
                </pic:pic>
              </a:graphicData>
            </a:graphic>
          </wp:inline>
        </w:drawing>
      </w:r>
    </w:p>
    <w:p w14:paraId="1A2B488B"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Fibrinogen-like protein 2 promotes </w:t>
      </w:r>
      <w:r>
        <w:rPr>
          <w:rFonts w:ascii="Book Antiqua" w:eastAsia="Book Antiqua" w:hAnsi="Book Antiqua" w:cs="Book Antiqua"/>
          <w:b/>
          <w:bCs/>
          <w:color w:val="000000"/>
        </w:rPr>
        <w:t>pro-inflammatory macrophage polarization following murine hepatitis virus strain 3</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infection.</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H&amp;E staining on liver sections from wild type (WT) and </w:t>
      </w:r>
      <w:r>
        <w:rPr>
          <w:rFonts w:ascii="Book Antiqua" w:hAnsi="Book Antiqua" w:cs="Book Antiqua" w:hint="eastAsia"/>
          <w:color w:val="000000"/>
          <w:lang w:eastAsia="zh-CN"/>
        </w:rPr>
        <w:t>f</w:t>
      </w:r>
      <w:r>
        <w:rPr>
          <w:rFonts w:ascii="Book Antiqua" w:eastAsia="Book Antiqua" w:hAnsi="Book Antiqua" w:cs="Book Antiqua"/>
          <w:color w:val="000000"/>
        </w:rPr>
        <w:t>ibrinogen-like protein 2</w:t>
      </w:r>
      <w:r>
        <w:rPr>
          <w:rFonts w:ascii="Book Antiqua" w:hAnsi="Book Antiqua" w:cs="Book Antiqua" w:hint="eastAsia"/>
          <w:color w:val="000000"/>
          <w:lang w:eastAsia="zh-CN"/>
        </w:rPr>
        <w:t xml:space="preserve"> (</w:t>
      </w:r>
      <w:r>
        <w:rPr>
          <w:rFonts w:ascii="Book Antiqua" w:eastAsia="宋体" w:hAnsi="Book Antiqua" w:cs="Book Antiqua"/>
          <w:i/>
          <w:color w:val="000000"/>
          <w:lang w:eastAsia="zh-CN"/>
        </w:rPr>
        <w:t>Fgl2-/-</w:t>
      </w:r>
      <w:r>
        <w:rPr>
          <w:rFonts w:ascii="Book Antiqua" w:hAnsi="Book Antiqua" w:cs="Book Antiqua" w:hint="eastAsia"/>
          <w:color w:val="000000"/>
          <w:lang w:eastAsia="zh-CN"/>
        </w:rPr>
        <w:t>)</w:t>
      </w:r>
      <w:r>
        <w:rPr>
          <w:rFonts w:ascii="Book Antiqua" w:eastAsia="Book Antiqua" w:hAnsi="Book Antiqua" w:cs="Book Antiqua"/>
          <w:color w:val="000000"/>
        </w:rPr>
        <w:t xml:space="preserve"> mice at 48 and 72 h post viral infection. Circled field represented </w:t>
      </w:r>
      <w:r>
        <w:rPr>
          <w:rFonts w:ascii="Book Antiqua" w:eastAsia="Book Antiqua" w:hAnsi="Book Antiqua" w:cs="Book Antiqua"/>
          <w:color w:val="000000"/>
        </w:rPr>
        <w:t>bulk necrosis. Arrows point to necrotic cells; B: Serum alanine transaminase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aspartate transaminase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levels at 0, 24, 48, and 72 h post viral infection in WT and </w:t>
      </w:r>
      <w:r>
        <w:rPr>
          <w:rFonts w:ascii="Book Antiqua" w:eastAsia="Book Antiqua" w:hAnsi="Book Antiqua" w:cs="Book Antiqua"/>
          <w:i/>
          <w:color w:val="000000"/>
        </w:rPr>
        <w:t>Fgl2-/-</w:t>
      </w:r>
      <w:r>
        <w:rPr>
          <w:rFonts w:ascii="Book Antiqua" w:eastAsia="Book Antiqua" w:hAnsi="Book Antiqua" w:cs="Book Antiqua"/>
          <w:color w:val="000000"/>
        </w:rPr>
        <w:t xml:space="preserve"> mice; C: Flow cytometry of KCs and MoMFs in </w:t>
      </w:r>
      <w:r>
        <w:rPr>
          <w:rFonts w:ascii="Book Antiqua" w:eastAsia="Book Antiqua" w:hAnsi="Book Antiqua" w:cs="Book Antiqua"/>
          <w:color w:val="000000"/>
        </w:rPr>
        <w:lastRenderedPageBreak/>
        <w:t>hepatic CD45+ leukocytes at steady cond</w:t>
      </w:r>
      <w:r>
        <w:rPr>
          <w:rFonts w:ascii="Book Antiqua" w:eastAsia="Book Antiqua" w:hAnsi="Book Antiqua" w:cs="Book Antiqua"/>
          <w:color w:val="000000"/>
        </w:rPr>
        <w:t xml:space="preserve">ition and 48 h following viral fulminant hepatitis in WT and </w:t>
      </w:r>
      <w:r>
        <w:rPr>
          <w:rFonts w:ascii="Book Antiqua" w:eastAsia="Book Antiqua" w:hAnsi="Book Antiqua" w:cs="Book Antiqua"/>
          <w:i/>
          <w:color w:val="000000"/>
        </w:rPr>
        <w:t>Fgl2-/-</w:t>
      </w:r>
      <w:r>
        <w:rPr>
          <w:rFonts w:ascii="Book Antiqua" w:eastAsia="Book Antiqua" w:hAnsi="Book Antiqua" w:cs="Book Antiqua"/>
          <w:color w:val="000000"/>
        </w:rPr>
        <w:t xml:space="preserve"> mice (left); and respective frequency at 48 h post infection; D: Frequency of polarized M1 (iNOS+), M2 (CD206+) KCs at 0 and 24 h post </w:t>
      </w:r>
      <w:r>
        <w:rPr>
          <w:rFonts w:ascii="Book Antiqua" w:hAnsi="Book Antiqua" w:cs="Book Antiqua" w:hint="eastAsia"/>
          <w:color w:val="000000"/>
          <w:lang w:eastAsia="zh-CN"/>
        </w:rPr>
        <w:t>m</w:t>
      </w:r>
      <w:r>
        <w:rPr>
          <w:rFonts w:ascii="Book Antiqua" w:eastAsia="Book Antiqua" w:hAnsi="Book Antiqua" w:cs="Book Antiqua"/>
          <w:color w:val="000000"/>
        </w:rPr>
        <w:t>urine hepatitis virus strain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MHV-3</w:t>
      </w:r>
      <w:r>
        <w:rPr>
          <w:rFonts w:ascii="Book Antiqua" w:hAnsi="Book Antiqua" w:cs="Book Antiqua" w:hint="eastAsia"/>
          <w:color w:val="000000"/>
          <w:lang w:eastAsia="zh-CN"/>
        </w:rPr>
        <w:t>)</w:t>
      </w:r>
      <w:r>
        <w:rPr>
          <w:rFonts w:ascii="Book Antiqua" w:eastAsia="Book Antiqua" w:hAnsi="Book Antiqua" w:cs="Book Antiqua"/>
          <w:color w:val="000000"/>
        </w:rPr>
        <w:t xml:space="preserve"> infection; E</w:t>
      </w:r>
      <w:r>
        <w:rPr>
          <w:rFonts w:ascii="Book Antiqua" w:eastAsia="Book Antiqua" w:hAnsi="Book Antiqua" w:cs="Book Antiqua"/>
          <w:color w:val="000000"/>
        </w:rPr>
        <w:t>: Frequency of Ly6Chi and Ly6Clow MoMFs at 0 and 48 h post MHV-3 infection. Data are presented as mean ± SD (</w:t>
      </w:r>
      <w:r>
        <w:rPr>
          <w:rFonts w:ascii="Book Antiqua" w:eastAsia="Book Antiqua" w:hAnsi="Book Antiqua" w:cs="Book Antiqua"/>
          <w:i/>
          <w:color w:val="000000"/>
        </w:rPr>
        <w:t xml:space="preserve">n = </w:t>
      </w:r>
      <w:r>
        <w:rPr>
          <w:rFonts w:ascii="Book Antiqua" w:eastAsia="Book Antiqua" w:hAnsi="Book Antiqua" w:cs="Book Antiqua"/>
          <w:color w:val="000000"/>
        </w:rPr>
        <w:t>5). These experiments were repeated at least three times.</w:t>
      </w:r>
    </w:p>
    <w:p w14:paraId="098ACB2D" w14:textId="77777777" w:rsidR="00F203DF" w:rsidRDefault="002B133B">
      <w:pPr>
        <w:spacing w:line="360" w:lineRule="auto"/>
        <w:jc w:val="both"/>
        <w:rPr>
          <w:rFonts w:ascii="Book Antiqua" w:hAnsi="Book Antiqua"/>
        </w:rPr>
      </w:pPr>
      <w:r>
        <w:rPr>
          <w:rFonts w:ascii="Book Antiqua" w:hAnsi="Book Antiqua"/>
        </w:rPr>
        <w:br w:type="page"/>
      </w:r>
    </w:p>
    <w:p w14:paraId="2CA1262F"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BFB8A35" wp14:editId="5BF2097D">
            <wp:extent cx="5837555" cy="627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38624" cy="6274343"/>
                    </a:xfrm>
                    <a:prstGeom prst="rect">
                      <a:avLst/>
                    </a:prstGeom>
                  </pic:spPr>
                </pic:pic>
              </a:graphicData>
            </a:graphic>
          </wp:inline>
        </w:drawing>
      </w:r>
    </w:p>
    <w:p w14:paraId="3D42B2B0" w14:textId="77777777" w:rsidR="00F203DF" w:rsidRDefault="002B133B">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Depletion of macrophages in fibrinogen-like protein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synergically attenuated liver damage after viral infection.</w:t>
      </w:r>
      <w:r>
        <w:rPr>
          <w:rFonts w:ascii="Book Antiqua" w:hAnsi="Book Antiqua" w:cs="Book Antiqua" w:hint="eastAsia"/>
          <w:b/>
          <w:bCs/>
          <w:color w:val="000000"/>
          <w:lang w:eastAsia="zh-CN"/>
        </w:rPr>
        <w:t xml:space="preserve"> </w:t>
      </w:r>
      <w:r>
        <w:rPr>
          <w:rFonts w:ascii="Book Antiqua" w:eastAsia="宋体" w:hAnsi="Book Antiqua" w:cs="Book Antiqua"/>
          <w:color w:val="000000"/>
          <w:lang w:eastAsia="zh-CN"/>
        </w:rPr>
        <w:t xml:space="preserve">A: H&amp;E staining on liver sections from mice administered with either clodronate liposomes (CL) (b and d on the right) or PBS-liposomes (PBS) (a and c on the left) at 48 h post </w:t>
      </w:r>
      <w:r>
        <w:rPr>
          <w:rFonts w:ascii="Book Antiqua" w:hAnsi="Book Antiqua" w:cs="Book Antiqua" w:hint="eastAsia"/>
          <w:color w:val="000000"/>
          <w:lang w:eastAsia="zh-CN"/>
        </w:rPr>
        <w:t>m</w:t>
      </w:r>
      <w:r>
        <w:rPr>
          <w:rFonts w:ascii="Book Antiqua" w:eastAsia="Book Antiqua" w:hAnsi="Book Antiqua" w:cs="Book Antiqua"/>
          <w:color w:val="000000"/>
        </w:rPr>
        <w:t>urine hepatitis vir</w:t>
      </w:r>
      <w:r>
        <w:rPr>
          <w:rFonts w:ascii="Book Antiqua" w:eastAsia="Book Antiqua" w:hAnsi="Book Antiqua" w:cs="Book Antiqua"/>
          <w:color w:val="000000"/>
        </w:rPr>
        <w:t>us strain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MHV-3</w:t>
      </w:r>
      <w:r>
        <w:rPr>
          <w:rFonts w:ascii="Book Antiqua" w:hAnsi="Book Antiqua" w:cs="Book Antiqua" w:hint="eastAsia"/>
          <w:color w:val="000000"/>
          <w:lang w:eastAsia="zh-CN"/>
        </w:rPr>
        <w:t>)</w:t>
      </w:r>
      <w:r>
        <w:rPr>
          <w:rFonts w:ascii="Book Antiqua" w:eastAsia="宋体" w:hAnsi="Book Antiqua" w:cs="Book Antiqua"/>
          <w:color w:val="000000"/>
          <w:lang w:eastAsia="zh-CN"/>
        </w:rPr>
        <w:t xml:space="preserve"> infection; e-f, liver sections from </w:t>
      </w:r>
      <w:r>
        <w:rPr>
          <w:rFonts w:ascii="Book Antiqua" w:eastAsia="Book Antiqua" w:hAnsi="Book Antiqua" w:cs="Book Antiqua"/>
          <w:color w:val="000000"/>
        </w:rPr>
        <w:t>bone marrow-derived macrophages (BMDMs)</w:t>
      </w:r>
      <w:r>
        <w:rPr>
          <w:rFonts w:ascii="Book Antiqua" w:eastAsia="宋体" w:hAnsi="Book Antiqua" w:cs="Book Antiqua"/>
          <w:color w:val="000000"/>
          <w:lang w:eastAsia="zh-CN"/>
        </w:rPr>
        <w:t xml:space="preserve"> adoptive transferred mice at 48 h post MHV-3 infection (e: WT BMDM donor; f: </w:t>
      </w:r>
      <w:r>
        <w:rPr>
          <w:rFonts w:ascii="Book Antiqua" w:eastAsia="宋体" w:hAnsi="Book Antiqua" w:cs="Book Antiqua" w:hint="eastAsia"/>
          <w:color w:val="000000"/>
          <w:lang w:eastAsia="zh-CN"/>
        </w:rPr>
        <w:t>F</w:t>
      </w:r>
      <w:r>
        <w:rPr>
          <w:rFonts w:ascii="Book Antiqua" w:eastAsia="宋体" w:hAnsi="Book Antiqua" w:cs="Book Antiqua"/>
          <w:color w:val="000000"/>
          <w:lang w:eastAsia="zh-CN"/>
        </w:rPr>
        <w:t xml:space="preserve">ibrinogen-like </w:t>
      </w:r>
      <w:r>
        <w:rPr>
          <w:rFonts w:ascii="Book Antiqua" w:eastAsia="宋体" w:hAnsi="Book Antiqua" w:cs="Book Antiqua"/>
          <w:color w:val="000000"/>
          <w:lang w:eastAsia="zh-CN"/>
        </w:rPr>
        <w:lastRenderedPageBreak/>
        <w:t>protein 2 (</w:t>
      </w:r>
      <w:r>
        <w:rPr>
          <w:rFonts w:ascii="Book Antiqua" w:eastAsia="宋体" w:hAnsi="Book Antiqua" w:cs="Book Antiqua"/>
          <w:i/>
          <w:color w:val="000000"/>
          <w:lang w:eastAsia="zh-CN"/>
        </w:rPr>
        <w:t>Fgl2-/-</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BMDM donor); B: Serum ALT and AST levels from c</w:t>
      </w:r>
      <w:r>
        <w:rPr>
          <w:rFonts w:ascii="Book Antiqua" w:eastAsia="宋体" w:hAnsi="Book Antiqua" w:cs="Book Antiqua"/>
          <w:color w:val="000000"/>
          <w:lang w:eastAsia="zh-CN"/>
        </w:rPr>
        <w:t xml:space="preserve">lodronate liposomes-treated WT and </w:t>
      </w:r>
      <w:r>
        <w:rPr>
          <w:rFonts w:ascii="Book Antiqua" w:eastAsia="宋体" w:hAnsi="Book Antiqua" w:cs="Book Antiqua"/>
          <w:i/>
          <w:color w:val="000000"/>
          <w:lang w:eastAsia="zh-CN"/>
        </w:rPr>
        <w:t>Fgl2-/-</w:t>
      </w:r>
      <w:r>
        <w:rPr>
          <w:rFonts w:ascii="Book Antiqua" w:eastAsia="宋体" w:hAnsi="Book Antiqua" w:cs="Book Antiqua"/>
          <w:color w:val="000000"/>
          <w:lang w:eastAsia="zh-CN"/>
        </w:rPr>
        <w:t xml:space="preserve"> mice at 48 h post MHV-3 infection; C: Serum AST and ALT levels from WT and </w:t>
      </w:r>
      <w:r>
        <w:rPr>
          <w:rFonts w:ascii="Book Antiqua" w:eastAsia="宋体" w:hAnsi="Book Antiqua" w:cs="Book Antiqua"/>
          <w:i/>
          <w:color w:val="000000"/>
          <w:lang w:eastAsia="zh-CN"/>
        </w:rPr>
        <w:t>Fgl2-/-</w:t>
      </w:r>
      <w:r>
        <w:rPr>
          <w:rFonts w:ascii="Book Antiqua" w:eastAsia="宋体" w:hAnsi="Book Antiqua" w:cs="Book Antiqua"/>
          <w:color w:val="000000"/>
          <w:lang w:eastAsia="zh-CN"/>
        </w:rPr>
        <w:t xml:space="preserve"> BMDM chimeric mice; D: representative F4/80+ iNOS+ and F4/80+ CD206+ donor macrophages from WT and </w:t>
      </w:r>
      <w:r>
        <w:rPr>
          <w:rFonts w:ascii="Book Antiqua" w:eastAsia="宋体" w:hAnsi="Book Antiqua" w:cs="Book Antiqua"/>
          <w:i/>
          <w:color w:val="000000"/>
          <w:lang w:eastAsia="zh-CN"/>
        </w:rPr>
        <w:t>Fgl2-/-</w:t>
      </w:r>
      <w:r>
        <w:rPr>
          <w:rFonts w:ascii="Book Antiqua" w:eastAsia="宋体" w:hAnsi="Book Antiqua" w:cs="Book Antiqua"/>
          <w:color w:val="000000"/>
          <w:lang w:eastAsia="zh-CN"/>
        </w:rPr>
        <w:t xml:space="preserve"> BMDM chimeric mice at 4</w:t>
      </w:r>
      <w:r>
        <w:rPr>
          <w:rFonts w:ascii="Book Antiqua" w:eastAsia="宋体" w:hAnsi="Book Antiqua" w:cs="Book Antiqua"/>
          <w:color w:val="000000"/>
          <w:lang w:eastAsia="zh-CN"/>
        </w:rPr>
        <w:t xml:space="preserve">8 h post infection; E: statistical analysis of iNOS+ and CD206+ donor macrophages in chimeric mice at 48 h post infection; F: H&amp;E-stained liver section from mice which were treated with Cenicriviroc (CVC) in advance and subjected to MHV-3 infection for 48 </w:t>
      </w:r>
      <w:r>
        <w:rPr>
          <w:rFonts w:ascii="Book Antiqua" w:eastAsia="宋体" w:hAnsi="Book Antiqua" w:cs="Book Antiqua"/>
          <w:color w:val="000000"/>
          <w:lang w:eastAsia="zh-CN"/>
        </w:rPr>
        <w:t>h. Arrows represented necrotic cells, circles represent areas of hepatocyte necrosis. Image magnificence: 200×; G: aminotransferase levels of CVC treated viral fulminant hepatitis mice and its control. Data were presented as mean ± SD (</w:t>
      </w:r>
      <w:r>
        <w:rPr>
          <w:rFonts w:ascii="Book Antiqua" w:eastAsia="宋体" w:hAnsi="Book Antiqua" w:cs="Book Antiqua"/>
          <w:i/>
          <w:color w:val="000000"/>
          <w:lang w:eastAsia="zh-CN"/>
        </w:rPr>
        <w:t xml:space="preserve">n = </w:t>
      </w:r>
      <w:r>
        <w:rPr>
          <w:rFonts w:ascii="Book Antiqua" w:eastAsia="宋体" w:hAnsi="Book Antiqua" w:cs="Book Antiqua"/>
          <w:color w:val="000000"/>
          <w:lang w:eastAsia="zh-CN"/>
        </w:rPr>
        <w:t>5). These experi</w:t>
      </w:r>
      <w:r>
        <w:rPr>
          <w:rFonts w:ascii="Book Antiqua" w:eastAsia="宋体" w:hAnsi="Book Antiqua" w:cs="Book Antiqua"/>
          <w:color w:val="000000"/>
          <w:lang w:eastAsia="zh-CN"/>
        </w:rPr>
        <w:t>ments were repeated at least three times.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BMDM: </w:t>
      </w:r>
      <w:r>
        <w:rPr>
          <w:rFonts w:ascii="Book Antiqua" w:eastAsia="宋体" w:hAnsi="Book Antiqua" w:cs="Book Antiqua" w:hint="eastAsia"/>
          <w:color w:val="000000"/>
          <w:lang w:eastAsia="zh-CN"/>
        </w:rPr>
        <w:t>B</w:t>
      </w:r>
      <w:r>
        <w:rPr>
          <w:rFonts w:ascii="Book Antiqua" w:eastAsia="宋体" w:hAnsi="Book Antiqua" w:cs="Book Antiqua"/>
          <w:color w:val="000000"/>
          <w:lang w:eastAsia="zh-CN"/>
        </w:rPr>
        <w:t>one marrow derived macrophages</w:t>
      </w:r>
      <w:r>
        <w:rPr>
          <w:rFonts w:ascii="Book Antiqua" w:eastAsia="宋体" w:hAnsi="Book Antiqua" w:cs="Book Antiqua" w:hint="eastAsia"/>
          <w:color w:val="000000"/>
          <w:lang w:eastAsia="zh-CN"/>
        </w:rPr>
        <w:t xml:space="preserve">. </w:t>
      </w:r>
    </w:p>
    <w:p w14:paraId="42CDED11" w14:textId="77777777" w:rsidR="00F203DF" w:rsidRDefault="00F203DF">
      <w:pPr>
        <w:spacing w:line="360" w:lineRule="auto"/>
        <w:jc w:val="both"/>
        <w:rPr>
          <w:rFonts w:ascii="Book Antiqua" w:eastAsia="宋体" w:hAnsi="Book Antiqua" w:cs="Book Antiqua"/>
          <w:color w:val="000000"/>
          <w:lang w:eastAsia="zh-CN"/>
        </w:rPr>
      </w:pPr>
    </w:p>
    <w:p w14:paraId="710C8AED" w14:textId="77777777" w:rsidR="00F203DF" w:rsidRDefault="002B133B">
      <w:pPr>
        <w:spacing w:line="360" w:lineRule="auto"/>
        <w:jc w:val="both"/>
        <w:rPr>
          <w:rFonts w:ascii="Book Antiqua" w:hAnsi="Book Antiqua"/>
        </w:rPr>
      </w:pPr>
      <w:r>
        <w:rPr>
          <w:rFonts w:ascii="Book Antiqua" w:hAnsi="Book Antiqua"/>
        </w:rPr>
        <w:br w:type="page"/>
      </w:r>
    </w:p>
    <w:p w14:paraId="093A9991"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62F260" wp14:editId="41F93147">
            <wp:extent cx="5943600" cy="38728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2865"/>
                    </a:xfrm>
                    <a:prstGeom prst="rect">
                      <a:avLst/>
                    </a:prstGeom>
                  </pic:spPr>
                </pic:pic>
              </a:graphicData>
            </a:graphic>
          </wp:inline>
        </w:drawing>
      </w:r>
    </w:p>
    <w:p w14:paraId="2821FFB5"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Fibrinogen-like protein 2 promoted bone marrow-derived macrophages</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M1 polarization </w:t>
      </w:r>
      <w:r>
        <w:rPr>
          <w:rFonts w:ascii="Book Antiqua" w:eastAsia="Book Antiqua" w:hAnsi="Book Antiqua" w:cs="Book Antiqua"/>
          <w:b/>
          <w:bCs/>
          <w:i/>
          <w:color w:val="000000"/>
        </w:rPr>
        <w:t>in vitro</w:t>
      </w:r>
      <w:r>
        <w:rPr>
          <w:rFonts w:ascii="Book Antiqua" w:eastAsia="Book Antiqua" w:hAnsi="Book Antiqua" w:cs="Book Antiqua"/>
          <w:b/>
          <w:bCs/>
          <w:color w:val="000000"/>
        </w:rPr>
        <w:t>.</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Supernatant concentration of NO2-, IL-1β, TNF-α, IL -6, IL-12 and MCP-1 released by bone marrow-derived macrophages (BMDMs) after LPS (100 ng/mL) treatment or </w:t>
      </w:r>
      <w:r>
        <w:rPr>
          <w:rFonts w:ascii="Book Antiqua" w:hAnsi="Book Antiqua" w:cs="Book Antiqua" w:hint="eastAsia"/>
          <w:color w:val="000000"/>
          <w:lang w:eastAsia="zh-CN"/>
        </w:rPr>
        <w:t>m</w:t>
      </w:r>
      <w:r>
        <w:rPr>
          <w:rFonts w:ascii="Book Antiqua" w:eastAsia="Book Antiqua" w:hAnsi="Book Antiqua" w:cs="Book Antiqua"/>
          <w:color w:val="000000"/>
        </w:rPr>
        <w:t>urine hepatitis virus strain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MHV-3</w:t>
      </w:r>
      <w:r>
        <w:rPr>
          <w:rFonts w:ascii="Book Antiqua" w:hAnsi="Book Antiqua" w:cs="Book Antiqua" w:hint="eastAsia"/>
          <w:color w:val="000000"/>
          <w:lang w:eastAsia="zh-CN"/>
        </w:rPr>
        <w:t>)</w:t>
      </w:r>
      <w:r>
        <w:rPr>
          <w:rFonts w:ascii="Book Antiqua" w:eastAsia="Book Antiqua" w:hAnsi="Book Antiqua" w:cs="Book Antiqua"/>
          <w:color w:val="000000"/>
        </w:rPr>
        <w:t xml:space="preserve"> infection for 24 h; B: Relative transcriptional level </w:t>
      </w:r>
      <w:r>
        <w:rPr>
          <w:rFonts w:ascii="Book Antiqua" w:eastAsia="Book Antiqua" w:hAnsi="Book Antiqua" w:cs="Book Antiqua"/>
          <w:color w:val="000000"/>
        </w:rPr>
        <w:t xml:space="preserve">of M1 markers (NOS2, IL-6, IL-12, IL-1β, TNF-α and marco) of WT and </w:t>
      </w:r>
      <w:r>
        <w:rPr>
          <w:rFonts w:ascii="Book Antiqua" w:hAnsi="Book Antiqua" w:cs="Book Antiqua" w:hint="eastAsia"/>
          <w:color w:val="000000"/>
          <w:lang w:eastAsia="zh-CN"/>
        </w:rPr>
        <w:t>f</w:t>
      </w:r>
      <w:r>
        <w:rPr>
          <w:rFonts w:ascii="Book Antiqua" w:eastAsia="Book Antiqua" w:hAnsi="Book Antiqua" w:cs="Book Antiqua"/>
          <w:color w:val="000000"/>
        </w:rPr>
        <w:t>ibrinogen-like protein 2</w:t>
      </w:r>
      <w:r>
        <w:rPr>
          <w:rFonts w:ascii="Book Antiqua" w:hAnsi="Book Antiqua" w:cs="Book Antiqua" w:hint="eastAsia"/>
          <w:color w:val="000000"/>
          <w:lang w:eastAsia="zh-CN"/>
        </w:rPr>
        <w:t xml:space="preserve"> (</w:t>
      </w:r>
      <w:r>
        <w:rPr>
          <w:rFonts w:ascii="Book Antiqua" w:eastAsia="宋体" w:hAnsi="Book Antiqua" w:cs="Book Antiqua"/>
          <w:i/>
          <w:color w:val="000000"/>
          <w:lang w:eastAsia="zh-CN"/>
        </w:rPr>
        <w:t>Fgl2-/-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BMDMs after the stimulation of LPS for 6 hours; C: Relative transcriptional level of M1 markers of WT and </w:t>
      </w:r>
      <w:r>
        <w:rPr>
          <w:rFonts w:ascii="Book Antiqua" w:eastAsia="宋体" w:hAnsi="Book Antiqua" w:cs="Book Antiqua"/>
          <w:i/>
          <w:color w:val="000000"/>
          <w:lang w:eastAsia="zh-CN"/>
        </w:rPr>
        <w:t>F</w:t>
      </w:r>
      <w:r>
        <w:rPr>
          <w:rFonts w:ascii="Book Antiqua" w:eastAsia="Book Antiqua" w:hAnsi="Book Antiqua" w:cs="Book Antiqua"/>
          <w:i/>
          <w:color w:val="000000"/>
        </w:rPr>
        <w:t>gl2-/-</w:t>
      </w:r>
      <w:r>
        <w:rPr>
          <w:rFonts w:ascii="Book Antiqua" w:eastAsia="Book Antiqua" w:hAnsi="Book Antiqua" w:cs="Book Antiqua"/>
          <w:color w:val="000000"/>
        </w:rPr>
        <w:t xml:space="preserve"> BMDMs after MHV-3 infection for 8 hour</w:t>
      </w:r>
      <w:r>
        <w:rPr>
          <w:rFonts w:ascii="Book Antiqua" w:eastAsia="Book Antiqua" w:hAnsi="Book Antiqua" w:cs="Book Antiqua"/>
          <w:color w:val="000000"/>
        </w:rPr>
        <w:t>s; D: Supernatant IL-10 concentration of BMDMs culture after the IL-4 stimulation (20 ng/mL) for 72 h; E: mRNA expression of M2 markers (Fizz1, ARG1, YM-1, MRC1, IL-10 and TGF-β) of WT and Fgl2 -/- BMDMs after of IL-4 treatment for 72 h. All data are prese</w:t>
      </w:r>
      <w:r>
        <w:rPr>
          <w:rFonts w:ascii="Book Antiqua" w:eastAsia="Book Antiqua" w:hAnsi="Book Antiqua" w:cs="Book Antiqua"/>
          <w:color w:val="000000"/>
        </w:rPr>
        <w:t>nted as mean ± SD (</w:t>
      </w:r>
      <w:r>
        <w:rPr>
          <w:rFonts w:ascii="Book Antiqua" w:eastAsia="Book Antiqua" w:hAnsi="Book Antiqua" w:cs="Book Antiqua"/>
          <w:i/>
          <w:color w:val="000000"/>
        </w:rPr>
        <w:t>n</w:t>
      </w:r>
      <w:r>
        <w:rPr>
          <w:rFonts w:ascii="Book Antiqua" w:eastAsia="Book Antiqua" w:hAnsi="Book Antiqua" w:cs="Book Antiqua"/>
          <w:color w:val="000000"/>
        </w:rPr>
        <w:t xml:space="preserve"> &gt; 3). These experiments were repeated at least three times.</w:t>
      </w:r>
    </w:p>
    <w:p w14:paraId="3B5B86CA" w14:textId="77777777" w:rsidR="00F203DF" w:rsidRDefault="002B133B">
      <w:pPr>
        <w:spacing w:line="360" w:lineRule="auto"/>
        <w:jc w:val="both"/>
        <w:rPr>
          <w:rFonts w:ascii="Book Antiqua" w:hAnsi="Book Antiqua"/>
        </w:rPr>
      </w:pPr>
      <w:r>
        <w:rPr>
          <w:rFonts w:ascii="Book Antiqua" w:hAnsi="Book Antiqua"/>
        </w:rPr>
        <w:br w:type="page"/>
      </w:r>
    </w:p>
    <w:p w14:paraId="414ECA86"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FE459EC" wp14:editId="465A6024">
            <wp:extent cx="4213860" cy="38023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14225" cy="3802710"/>
                    </a:xfrm>
                    <a:prstGeom prst="rect">
                      <a:avLst/>
                    </a:prstGeom>
                  </pic:spPr>
                </pic:pic>
              </a:graphicData>
            </a:graphic>
          </wp:inline>
        </w:drawing>
      </w:r>
    </w:p>
    <w:p w14:paraId="06BC5A0A"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Fibrinogen-like protein 2 deficiency resulted in low expression of major histocompatibility complex</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II and impaired phagocytosis of macrophage.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Absolute number of PEMs under the stimulation of 3% starch broth or </w:t>
      </w:r>
      <w:r>
        <w:rPr>
          <w:rFonts w:ascii="Book Antiqua" w:hAnsi="Book Antiqua" w:cs="Book Antiqua" w:hint="eastAsia"/>
          <w:color w:val="000000"/>
          <w:lang w:eastAsia="zh-CN"/>
        </w:rPr>
        <w:t>m</w:t>
      </w:r>
      <w:r>
        <w:rPr>
          <w:rFonts w:ascii="Book Antiqua" w:eastAsia="Book Antiqua" w:hAnsi="Book Antiqua" w:cs="Book Antiqua"/>
          <w:color w:val="000000"/>
        </w:rPr>
        <w:t>urine hepatitis virus strain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MHV-3</w:t>
      </w:r>
      <w:r>
        <w:rPr>
          <w:rFonts w:ascii="Book Antiqua" w:hAnsi="Book Antiqua" w:cs="Book Antiqua" w:hint="eastAsia"/>
          <w:color w:val="000000"/>
          <w:lang w:eastAsia="zh-CN"/>
        </w:rPr>
        <w:t>)</w:t>
      </w:r>
      <w:r>
        <w:rPr>
          <w:rFonts w:ascii="Book Antiqua" w:eastAsia="Book Antiqua" w:hAnsi="Book Antiqua" w:cs="Book Antiqua"/>
          <w:color w:val="000000"/>
        </w:rPr>
        <w:t xml:space="preserve"> extracted from wild-type (WT) and </w:t>
      </w:r>
      <w:r>
        <w:rPr>
          <w:rFonts w:ascii="Book Antiqua" w:hAnsi="Book Antiqua" w:cs="Book Antiqua" w:hint="eastAsia"/>
          <w:color w:val="000000"/>
          <w:lang w:eastAsia="zh-CN"/>
        </w:rPr>
        <w:t>f</w:t>
      </w:r>
      <w:r>
        <w:rPr>
          <w:rFonts w:ascii="Book Antiqua" w:eastAsia="Book Antiqua" w:hAnsi="Book Antiqua" w:cs="Book Antiqua"/>
          <w:color w:val="000000"/>
        </w:rPr>
        <w:t>ibrinogen-like protein 2</w:t>
      </w:r>
      <w:r>
        <w:rPr>
          <w:rFonts w:ascii="Book Antiqua" w:hAnsi="Book Antiqua" w:cs="Book Antiqua" w:hint="eastAsia"/>
          <w:color w:val="000000"/>
          <w:lang w:eastAsia="zh-CN"/>
        </w:rPr>
        <w:t xml:space="preserve"> (</w:t>
      </w:r>
      <w:r>
        <w:rPr>
          <w:rFonts w:ascii="Book Antiqua" w:eastAsia="Book Antiqua" w:hAnsi="Book Antiqua" w:cs="Book Antiqua"/>
          <w:i/>
          <w:color w:val="000000"/>
        </w:rPr>
        <w:t>Fgl2-/-</w:t>
      </w:r>
      <w:r>
        <w:rPr>
          <w:rFonts w:ascii="Book Antiqua" w:hAnsi="Book Antiqua" w:cs="Book Antiqua" w:hint="eastAsia"/>
          <w:color w:val="000000"/>
          <w:lang w:eastAsia="zh-CN"/>
        </w:rPr>
        <w:t>)</w:t>
      </w:r>
      <w:r>
        <w:rPr>
          <w:rFonts w:ascii="Book Antiqua" w:eastAsia="Book Antiqua" w:hAnsi="Book Antiqua" w:cs="Book Antiqua"/>
          <w:color w:val="000000"/>
        </w:rPr>
        <w:t xml:space="preserve"> mice; B: MFI of FITC+ phagocyted </w:t>
      </w:r>
      <w:r>
        <w:rPr>
          <w:rFonts w:ascii="Book Antiqua" w:eastAsia="Book Antiqua" w:hAnsi="Book Antiqua" w:cs="Book Antiqua"/>
          <w:i/>
          <w:color w:val="000000"/>
        </w:rPr>
        <w:t xml:space="preserve">E.Coli </w:t>
      </w:r>
      <w:r>
        <w:rPr>
          <w:rFonts w:ascii="Book Antiqua" w:eastAsia="Book Antiqua" w:hAnsi="Book Antiqua" w:cs="Book Antiqua"/>
          <w:color w:val="000000"/>
        </w:rPr>
        <w:t xml:space="preserve">by PEMs from WT and </w:t>
      </w:r>
      <w:r>
        <w:rPr>
          <w:rFonts w:ascii="Book Antiqua" w:eastAsia="Book Antiqua" w:hAnsi="Book Antiqua" w:cs="Book Antiqua"/>
          <w:i/>
          <w:color w:val="000000"/>
        </w:rPr>
        <w:t>Fgl2-/-</w:t>
      </w:r>
      <w:r>
        <w:rPr>
          <w:rFonts w:ascii="Book Antiqua" w:eastAsia="Book Antiqua" w:hAnsi="Book Antiqua" w:cs="Book Antiqua"/>
          <w:color w:val="000000"/>
        </w:rPr>
        <w:t xml:space="preserve"> mice at</w:t>
      </w:r>
      <w:r>
        <w:rPr>
          <w:rFonts w:ascii="Book Antiqua" w:eastAsia="Book Antiqua" w:hAnsi="Book Antiqua" w:cs="Book Antiqua"/>
          <w:color w:val="000000"/>
        </w:rPr>
        <w:t xml:space="preserve"> different time points; C: Expression of major histocompatibility complex</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II on WT and </w:t>
      </w:r>
      <w:r>
        <w:rPr>
          <w:rFonts w:ascii="Book Antiqua" w:eastAsia="Book Antiqua" w:hAnsi="Book Antiqua" w:cs="Book Antiqua"/>
          <w:i/>
          <w:color w:val="000000"/>
        </w:rPr>
        <w:t>Fgl2-/-</w:t>
      </w:r>
      <w:r>
        <w:rPr>
          <w:rFonts w:ascii="Book Antiqua" w:eastAsia="Book Antiqua" w:hAnsi="Book Antiqua" w:cs="Book Antiqua"/>
          <w:color w:val="000000"/>
        </w:rPr>
        <w:t xml:space="preserve"> PEMs under the stimulation of 3% starch broth or MHV-3 infection. All data are presented as mean ± SD. These experiments were repeated at least three times.</w:t>
      </w:r>
      <w:r>
        <w:rPr>
          <w:rFonts w:ascii="Book Antiqua" w:hAnsi="Book Antiqua" w:cs="Book Antiqua" w:hint="eastAsia"/>
          <w:color w:val="000000"/>
          <w:lang w:eastAsia="zh-CN"/>
        </w:rPr>
        <w:t xml:space="preserve"> </w:t>
      </w:r>
      <w:r>
        <w:rPr>
          <w:rFonts w:ascii="Book Antiqua" w:eastAsia="Book Antiqua" w:hAnsi="Book Antiqua" w:cs="Book Antiqua"/>
          <w:color w:val="000000"/>
        </w:rPr>
        <w:t>PEMs</w:t>
      </w:r>
      <w:r>
        <w:rPr>
          <w:rFonts w:ascii="Book Antiqua" w:eastAsia="Book Antiqua" w:hAnsi="Book Antiqua" w:cs="Book Antiqua"/>
          <w:color w:val="000000"/>
        </w:rPr>
        <w:t>: Peritoneal exudate macrophages</w:t>
      </w:r>
      <w:r>
        <w:rPr>
          <w:rFonts w:ascii="Book Antiqua" w:eastAsia="宋体" w:hAnsi="Book Antiqua" w:cs="Book Antiqua" w:hint="eastAsia"/>
          <w:color w:val="000000"/>
          <w:lang w:eastAsia="zh-CN"/>
        </w:rPr>
        <w:t xml:space="preserve">. </w:t>
      </w:r>
    </w:p>
    <w:p w14:paraId="02D6DF91" w14:textId="77777777" w:rsidR="00F203DF" w:rsidRDefault="002B133B">
      <w:pPr>
        <w:spacing w:line="360" w:lineRule="auto"/>
        <w:jc w:val="both"/>
        <w:rPr>
          <w:rFonts w:ascii="Book Antiqua" w:hAnsi="Book Antiqua"/>
        </w:rPr>
      </w:pPr>
      <w:r>
        <w:rPr>
          <w:rFonts w:ascii="Book Antiqua" w:hAnsi="Book Antiqua"/>
        </w:rPr>
        <w:br w:type="page"/>
      </w:r>
    </w:p>
    <w:p w14:paraId="084B7E6B" w14:textId="77777777" w:rsidR="00F203DF" w:rsidRDefault="002B133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42721C4" wp14:editId="3C472A21">
            <wp:extent cx="5943600" cy="46266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4626610"/>
                    </a:xfrm>
                    <a:prstGeom prst="rect">
                      <a:avLst/>
                    </a:prstGeom>
                  </pic:spPr>
                </pic:pic>
              </a:graphicData>
            </a:graphic>
          </wp:inline>
        </w:drawing>
      </w:r>
    </w:p>
    <w:p w14:paraId="533D7FF3"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Fibrinogen-like protein 2 deficiency impaired inflammatory cascade in response to lipopolysaccharide treatment of viral infection.</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 Immunoblot for </w:t>
      </w:r>
      <w:r>
        <w:rPr>
          <w:rFonts w:ascii="Book Antiqua" w:hAnsi="Book Antiqua" w:cs="Book Antiqua" w:hint="eastAsia"/>
          <w:color w:val="000000"/>
          <w:lang w:eastAsia="zh-CN"/>
        </w:rPr>
        <w:t>f</w:t>
      </w:r>
      <w:r>
        <w:rPr>
          <w:rFonts w:ascii="Book Antiqua" w:eastAsia="Book Antiqua" w:hAnsi="Book Antiqua" w:cs="Book Antiqua"/>
          <w:color w:val="000000"/>
        </w:rPr>
        <w:t>ibrinogen-like protein 2</w:t>
      </w:r>
      <w:r>
        <w:rPr>
          <w:rFonts w:ascii="Book Antiqua" w:hAnsi="Book Antiqua" w:cs="Book Antiqua" w:hint="eastAsia"/>
          <w:color w:val="000000"/>
          <w:lang w:eastAsia="zh-CN"/>
        </w:rPr>
        <w:t xml:space="preserve"> (</w:t>
      </w:r>
      <w:r>
        <w:rPr>
          <w:rFonts w:ascii="Book Antiqua" w:eastAsia="宋体" w:hAnsi="Book Antiqua" w:cs="Book Antiqua"/>
          <w:color w:val="000000"/>
          <w:lang w:eastAsia="zh-CN"/>
        </w:rPr>
        <w:t>F</w:t>
      </w:r>
      <w:r>
        <w:rPr>
          <w:rFonts w:ascii="Book Antiqua" w:eastAsia="Book Antiqua" w:hAnsi="Book Antiqua" w:cs="Book Antiqua"/>
          <w:color w:val="000000"/>
        </w:rPr>
        <w:t>gl2</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β-actin expression in wild-type (WT) BMDMs in response lipopolysaccharide </w:t>
      </w:r>
      <w:r>
        <w:rPr>
          <w:rFonts w:ascii="Book Antiqua" w:hAnsi="Book Antiqua" w:cs="Book Antiqua" w:hint="eastAsia"/>
          <w:color w:val="000000"/>
          <w:lang w:eastAsia="zh-CN"/>
        </w:rPr>
        <w:t>(</w:t>
      </w:r>
      <w:r>
        <w:rPr>
          <w:rFonts w:ascii="Book Antiqua" w:eastAsia="Book Antiqua" w:hAnsi="Book Antiqua" w:cs="Book Antiqua"/>
          <w:color w:val="000000"/>
        </w:rPr>
        <w:t>LPS</w:t>
      </w:r>
      <w:r>
        <w:rPr>
          <w:rFonts w:ascii="Book Antiqua" w:hAnsi="Book Antiqua" w:cs="Book Antiqua" w:hint="eastAsia"/>
          <w:color w:val="000000"/>
          <w:lang w:eastAsia="zh-CN"/>
        </w:rPr>
        <w:t>)</w:t>
      </w:r>
      <w:r>
        <w:rPr>
          <w:rFonts w:ascii="Book Antiqua" w:eastAsia="Book Antiqua" w:hAnsi="Book Antiqua" w:cs="Book Antiqua"/>
          <w:color w:val="000000"/>
        </w:rPr>
        <w:t xml:space="preserve"> stimulation and </w:t>
      </w:r>
      <w:r>
        <w:rPr>
          <w:rFonts w:ascii="Book Antiqua" w:hAnsi="Book Antiqua" w:cs="Book Antiqua" w:hint="eastAsia"/>
          <w:color w:val="000000"/>
          <w:lang w:eastAsia="zh-CN"/>
        </w:rPr>
        <w:t>m</w:t>
      </w:r>
      <w:r>
        <w:rPr>
          <w:rFonts w:ascii="Book Antiqua" w:eastAsia="Book Antiqua" w:hAnsi="Book Antiqua" w:cs="Book Antiqua"/>
          <w:color w:val="000000"/>
        </w:rPr>
        <w:t>urine hepatitis virus strain 3</w:t>
      </w:r>
      <w:r>
        <w:rPr>
          <w:rFonts w:ascii="Book Antiqua" w:hAnsi="Book Antiqua" w:cs="Book Antiqua" w:hint="eastAsia"/>
          <w:color w:val="000000"/>
          <w:lang w:eastAsia="zh-CN"/>
        </w:rPr>
        <w:t xml:space="preserve"> (</w:t>
      </w:r>
      <w:r>
        <w:rPr>
          <w:rFonts w:ascii="Book Antiqua" w:eastAsia="Book Antiqua" w:hAnsi="Book Antiqua" w:cs="Book Antiqua"/>
          <w:color w:val="000000"/>
        </w:rPr>
        <w:t>MHV-3</w:t>
      </w:r>
      <w:r>
        <w:rPr>
          <w:rFonts w:ascii="Book Antiqua" w:hAnsi="Book Antiqua" w:cs="Book Antiqua" w:hint="eastAsia"/>
          <w:color w:val="000000"/>
          <w:lang w:eastAsia="zh-CN"/>
        </w:rPr>
        <w:t>)</w:t>
      </w:r>
      <w:r>
        <w:rPr>
          <w:rFonts w:ascii="Book Antiqua" w:eastAsia="Book Antiqua" w:hAnsi="Book Antiqua" w:cs="Book Antiqua"/>
          <w:color w:val="000000"/>
        </w:rPr>
        <w:t xml:space="preserve"> infection. B-E: Immunoblot for proteins panels from lysates of WT and </w:t>
      </w:r>
      <w:r>
        <w:rPr>
          <w:rFonts w:ascii="Book Antiqua" w:eastAsia="Book Antiqua" w:hAnsi="Book Antiqua" w:cs="Book Antiqua"/>
          <w:i/>
          <w:color w:val="000000"/>
        </w:rPr>
        <w:t>Fgl2</w:t>
      </w:r>
      <w:r>
        <w:rPr>
          <w:rFonts w:ascii="Book Antiqua" w:hAnsi="Book Antiqua" w:cs="Book Antiqua" w:hint="eastAsia"/>
          <w:i/>
          <w:color w:val="000000"/>
          <w:lang w:eastAsia="zh-CN"/>
        </w:rPr>
        <w:t>-</w:t>
      </w:r>
      <w:r>
        <w:rPr>
          <w:rFonts w:ascii="Book Antiqua" w:eastAsia="Book Antiqua" w:hAnsi="Book Antiqua" w:cs="Book Antiqua"/>
          <w:i/>
          <w:color w:val="000000"/>
        </w:rPr>
        <w:t>/</w:t>
      </w:r>
      <w:r>
        <w:rPr>
          <w:rFonts w:ascii="Book Antiqua" w:hAnsi="Book Antiqua" w:cs="Book Antiqua" w:hint="eastAsia"/>
          <w:i/>
          <w:color w:val="000000"/>
          <w:lang w:eastAsia="zh-CN"/>
        </w:rPr>
        <w:t>-</w:t>
      </w:r>
      <w:r>
        <w:rPr>
          <w:rFonts w:ascii="Book Antiqua" w:eastAsia="Book Antiqua" w:hAnsi="Book Antiqua" w:cs="Book Antiqua"/>
          <w:color w:val="000000"/>
        </w:rPr>
        <w:t xml:space="preserve"> BMDMs in response to LPS treatment an</w:t>
      </w:r>
      <w:r>
        <w:rPr>
          <w:rFonts w:ascii="Book Antiqua" w:eastAsia="Book Antiqua" w:hAnsi="Book Antiqua" w:cs="Book Antiqua"/>
          <w:color w:val="000000"/>
        </w:rPr>
        <w:t xml:space="preserve">d MHV-3 infection; B: MyD88, TRIF, IκBα, phosphorylated IκBα, phosphorylated p65 (S468) and IRF3, phosphorylated IRF3, and IRF7; C: p38, JNK, ERK and phosphorylated p38, JNK, ERK; D: Phosphorylated c-Raf, phosphorylated p65 (S276), acetyl p65 (lys310); E: </w:t>
      </w:r>
      <w:r>
        <w:rPr>
          <w:rFonts w:ascii="Book Antiqua" w:eastAsia="Book Antiqua" w:hAnsi="Book Antiqua" w:cs="Book Antiqua"/>
          <w:color w:val="000000"/>
        </w:rPr>
        <w:t>BTK, and phosphorylated BTK (Y223), BTK (Tyr550). These experiments were repeated at least three times.</w:t>
      </w:r>
    </w:p>
    <w:p w14:paraId="79627D22" w14:textId="77777777" w:rsidR="00F203DF" w:rsidRDefault="00F203DF">
      <w:pPr>
        <w:spacing w:line="360" w:lineRule="auto"/>
        <w:jc w:val="both"/>
        <w:rPr>
          <w:rFonts w:ascii="Book Antiqua" w:eastAsia="Book Antiqua" w:hAnsi="Book Antiqua" w:cs="Book Antiqua"/>
          <w:color w:val="000000"/>
        </w:rPr>
      </w:pPr>
    </w:p>
    <w:p w14:paraId="52677989" w14:textId="77777777" w:rsidR="00F203DF" w:rsidRDefault="002B13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6AE6418" w14:textId="77777777" w:rsidR="00F203DF" w:rsidRDefault="002B133B">
      <w:pPr>
        <w:widowControl w:val="0"/>
        <w:spacing w:line="360" w:lineRule="auto"/>
        <w:jc w:val="both"/>
        <w:rPr>
          <w:rFonts w:ascii="Book Antiqua" w:eastAsia="宋体" w:hAnsi="Book Antiqua"/>
          <w:b/>
          <w:kern w:val="2"/>
          <w:lang w:eastAsia="zh-CN"/>
        </w:rPr>
      </w:pPr>
      <w:r>
        <w:rPr>
          <w:rFonts w:ascii="Book Antiqua" w:eastAsia="宋体" w:hAnsi="Book Antiqua"/>
          <w:b/>
          <w:lang w:val="en-GB" w:eastAsia="zh-CN"/>
        </w:rPr>
        <w:lastRenderedPageBreak/>
        <w:t xml:space="preserve">Table 1 </w:t>
      </w:r>
      <w:r>
        <w:rPr>
          <w:rFonts w:ascii="Book Antiqua" w:eastAsia="宋体" w:hAnsi="Book Antiqua"/>
          <w:b/>
          <w:kern w:val="2"/>
          <w:lang w:eastAsia="zh-CN"/>
        </w:rPr>
        <w:t>Clinical characteristics of patients and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2494"/>
        <w:gridCol w:w="2444"/>
      </w:tblGrid>
      <w:tr w:rsidR="00F203DF" w14:paraId="0419367B" w14:textId="77777777">
        <w:tc>
          <w:tcPr>
            <w:tcW w:w="3584" w:type="dxa"/>
            <w:tcBorders>
              <w:top w:val="single" w:sz="4" w:space="0" w:color="auto"/>
              <w:left w:val="nil"/>
              <w:right w:val="nil"/>
            </w:tcBorders>
            <w:shd w:val="clear" w:color="auto" w:fill="auto"/>
          </w:tcPr>
          <w:p w14:paraId="4B42D911" w14:textId="77777777" w:rsidR="00F203DF" w:rsidRDefault="002B133B">
            <w:pPr>
              <w:widowControl w:val="0"/>
              <w:spacing w:line="360" w:lineRule="auto"/>
              <w:jc w:val="both"/>
              <w:rPr>
                <w:rFonts w:ascii="Book Antiqua" w:eastAsia="宋体" w:hAnsi="Book Antiqua"/>
                <w:b/>
                <w:kern w:val="2"/>
                <w:lang w:eastAsia="zh-CN"/>
              </w:rPr>
            </w:pPr>
            <w:r>
              <w:rPr>
                <w:rFonts w:ascii="Book Antiqua" w:eastAsia="宋体" w:hAnsi="Book Antiqua"/>
                <w:b/>
                <w:kern w:val="2"/>
                <w:lang w:eastAsia="zh-CN"/>
              </w:rPr>
              <w:t>Characteristics</w:t>
            </w:r>
          </w:p>
        </w:tc>
        <w:tc>
          <w:tcPr>
            <w:tcW w:w="2494" w:type="dxa"/>
            <w:tcBorders>
              <w:top w:val="single" w:sz="4" w:space="0" w:color="auto"/>
              <w:left w:val="nil"/>
              <w:right w:val="nil"/>
            </w:tcBorders>
            <w:shd w:val="clear" w:color="auto" w:fill="auto"/>
          </w:tcPr>
          <w:p w14:paraId="5E8E2DAD" w14:textId="77777777" w:rsidR="00F203DF" w:rsidRDefault="002B133B">
            <w:pPr>
              <w:widowControl w:val="0"/>
              <w:spacing w:line="360" w:lineRule="auto"/>
              <w:jc w:val="both"/>
              <w:rPr>
                <w:rFonts w:ascii="Book Antiqua" w:eastAsia="宋体" w:hAnsi="Book Antiqua"/>
                <w:b/>
                <w:kern w:val="2"/>
                <w:lang w:eastAsia="zh-CN"/>
              </w:rPr>
            </w:pPr>
            <w:r>
              <w:rPr>
                <w:rFonts w:ascii="Book Antiqua" w:eastAsia="宋体" w:hAnsi="Book Antiqua"/>
                <w:b/>
                <w:kern w:val="2"/>
                <w:lang w:eastAsia="zh-CN"/>
              </w:rPr>
              <w:t>ACLF</w:t>
            </w:r>
            <w:r>
              <w:rPr>
                <w:rFonts w:ascii="Book Antiqua" w:eastAsia="宋体" w:hAnsi="Book Antiqua" w:hint="eastAsia"/>
                <w:b/>
                <w:kern w:val="2"/>
                <w:lang w:eastAsia="zh-CN"/>
              </w:rPr>
              <w:t xml:space="preserve"> </w:t>
            </w:r>
            <w:r>
              <w:rPr>
                <w:rFonts w:ascii="Book Antiqua" w:eastAsia="宋体" w:hAnsi="Book Antiqua"/>
                <w:b/>
                <w:kern w:val="2"/>
                <w:lang w:eastAsia="zh-CN"/>
              </w:rPr>
              <w:t>(</w:t>
            </w:r>
            <w:r>
              <w:rPr>
                <w:rFonts w:ascii="Book Antiqua" w:eastAsia="宋体" w:hAnsi="Book Antiqua"/>
                <w:b/>
                <w:i/>
                <w:kern w:val="2"/>
                <w:lang w:eastAsia="zh-CN"/>
              </w:rPr>
              <w:t>n</w:t>
            </w:r>
            <w:r>
              <w:rPr>
                <w:rFonts w:ascii="Book Antiqua" w:eastAsia="宋体" w:hAnsi="Book Antiqua" w:hint="eastAsia"/>
                <w:b/>
                <w:kern w:val="2"/>
                <w:lang w:eastAsia="zh-CN"/>
              </w:rPr>
              <w:t xml:space="preserve"> </w:t>
            </w:r>
            <w:r>
              <w:rPr>
                <w:rFonts w:ascii="Book Antiqua" w:eastAsia="宋体" w:hAnsi="Book Antiqua"/>
                <w:b/>
                <w:kern w:val="2"/>
                <w:lang w:eastAsia="zh-CN"/>
              </w:rPr>
              <w:t>=</w:t>
            </w:r>
            <w:r>
              <w:rPr>
                <w:rFonts w:ascii="Book Antiqua" w:eastAsia="宋体" w:hAnsi="Book Antiqua" w:hint="eastAsia"/>
                <w:b/>
                <w:kern w:val="2"/>
                <w:lang w:eastAsia="zh-CN"/>
              </w:rPr>
              <w:t xml:space="preserve"> </w:t>
            </w:r>
            <w:r>
              <w:rPr>
                <w:rFonts w:ascii="Book Antiqua" w:eastAsia="宋体" w:hAnsi="Book Antiqua"/>
                <w:b/>
                <w:kern w:val="2"/>
                <w:lang w:eastAsia="zh-CN"/>
              </w:rPr>
              <w:t>7)</w:t>
            </w:r>
          </w:p>
        </w:tc>
        <w:tc>
          <w:tcPr>
            <w:tcW w:w="2444" w:type="dxa"/>
            <w:tcBorders>
              <w:top w:val="single" w:sz="4" w:space="0" w:color="auto"/>
              <w:left w:val="nil"/>
              <w:right w:val="nil"/>
            </w:tcBorders>
            <w:shd w:val="clear" w:color="auto" w:fill="auto"/>
          </w:tcPr>
          <w:p w14:paraId="0F7B3126" w14:textId="77777777" w:rsidR="00F203DF" w:rsidRDefault="002B133B">
            <w:pPr>
              <w:widowControl w:val="0"/>
              <w:spacing w:line="360" w:lineRule="auto"/>
              <w:jc w:val="both"/>
              <w:rPr>
                <w:rFonts w:ascii="Book Antiqua" w:eastAsia="宋体" w:hAnsi="Book Antiqua"/>
                <w:b/>
                <w:kern w:val="2"/>
                <w:lang w:eastAsia="zh-CN"/>
              </w:rPr>
            </w:pPr>
            <w:r>
              <w:rPr>
                <w:rFonts w:ascii="Book Antiqua" w:eastAsia="宋体" w:hAnsi="Book Antiqua"/>
                <w:b/>
                <w:kern w:val="2"/>
                <w:lang w:eastAsia="zh-CN"/>
              </w:rPr>
              <w:t xml:space="preserve">Healthy </w:t>
            </w:r>
            <w:r>
              <w:rPr>
                <w:rFonts w:ascii="Book Antiqua" w:eastAsia="宋体" w:hAnsi="Book Antiqua" w:hint="eastAsia"/>
                <w:b/>
                <w:kern w:val="2"/>
                <w:lang w:eastAsia="zh-CN"/>
              </w:rPr>
              <w:t>c</w:t>
            </w:r>
            <w:r>
              <w:rPr>
                <w:rFonts w:ascii="Book Antiqua" w:eastAsia="宋体" w:hAnsi="Book Antiqua"/>
                <w:b/>
                <w:kern w:val="2"/>
                <w:lang w:eastAsia="zh-CN"/>
              </w:rPr>
              <w:t>ontrols</w:t>
            </w:r>
            <w:r>
              <w:rPr>
                <w:rFonts w:ascii="Book Antiqua" w:eastAsia="宋体" w:hAnsi="Book Antiqua" w:hint="eastAsia"/>
                <w:b/>
                <w:kern w:val="2"/>
                <w:lang w:eastAsia="zh-CN"/>
              </w:rPr>
              <w:t xml:space="preserve"> </w:t>
            </w:r>
            <w:r>
              <w:rPr>
                <w:rFonts w:ascii="Book Antiqua" w:eastAsia="宋体" w:hAnsi="Book Antiqua"/>
                <w:b/>
                <w:kern w:val="2"/>
                <w:lang w:eastAsia="zh-CN"/>
              </w:rPr>
              <w:t>(</w:t>
            </w:r>
            <w:r>
              <w:rPr>
                <w:rFonts w:ascii="Book Antiqua" w:eastAsia="宋体" w:hAnsi="Book Antiqua"/>
                <w:b/>
                <w:i/>
                <w:kern w:val="2"/>
                <w:lang w:eastAsia="zh-CN"/>
              </w:rPr>
              <w:t>n</w:t>
            </w:r>
            <w:r>
              <w:rPr>
                <w:rFonts w:ascii="Book Antiqua" w:eastAsia="宋体" w:hAnsi="Book Antiqua" w:hint="eastAsia"/>
                <w:b/>
                <w:kern w:val="2"/>
                <w:lang w:eastAsia="zh-CN"/>
              </w:rPr>
              <w:t xml:space="preserve"> </w:t>
            </w:r>
            <w:r>
              <w:rPr>
                <w:rFonts w:ascii="Book Antiqua" w:eastAsia="宋体" w:hAnsi="Book Antiqua"/>
                <w:b/>
                <w:kern w:val="2"/>
                <w:lang w:eastAsia="zh-CN"/>
              </w:rPr>
              <w:t>=</w:t>
            </w:r>
            <w:r>
              <w:rPr>
                <w:rFonts w:ascii="Book Antiqua" w:eastAsia="宋体" w:hAnsi="Book Antiqua" w:hint="eastAsia"/>
                <w:b/>
                <w:kern w:val="2"/>
                <w:lang w:eastAsia="zh-CN"/>
              </w:rPr>
              <w:t xml:space="preserve"> </w:t>
            </w:r>
            <w:r>
              <w:rPr>
                <w:rFonts w:ascii="Book Antiqua" w:eastAsia="宋体" w:hAnsi="Book Antiqua"/>
                <w:b/>
                <w:kern w:val="2"/>
                <w:lang w:eastAsia="zh-CN"/>
              </w:rPr>
              <w:t>3)</w:t>
            </w:r>
          </w:p>
        </w:tc>
      </w:tr>
      <w:tr w:rsidR="00F203DF" w14:paraId="3C507025" w14:textId="77777777">
        <w:tc>
          <w:tcPr>
            <w:tcW w:w="3584" w:type="dxa"/>
            <w:tcBorders>
              <w:left w:val="nil"/>
              <w:bottom w:val="nil"/>
              <w:right w:val="nil"/>
            </w:tcBorders>
            <w:shd w:val="clear" w:color="auto" w:fill="auto"/>
          </w:tcPr>
          <w:p w14:paraId="564BBE96"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Age</w:t>
            </w:r>
            <w:r>
              <w:rPr>
                <w:rFonts w:ascii="Book Antiqua" w:eastAsia="宋体" w:hAnsi="Book Antiqua" w:hint="eastAsia"/>
                <w:kern w:val="2"/>
                <w:lang w:eastAsia="zh-CN"/>
              </w:rPr>
              <w:t xml:space="preserve"> </w:t>
            </w:r>
            <w:r>
              <w:rPr>
                <w:rFonts w:ascii="Book Antiqua" w:eastAsia="宋体" w:hAnsi="Book Antiqua"/>
                <w:kern w:val="2"/>
                <w:lang w:eastAsia="zh-CN"/>
              </w:rPr>
              <w:t>(year)</w:t>
            </w:r>
          </w:p>
        </w:tc>
        <w:tc>
          <w:tcPr>
            <w:tcW w:w="2494" w:type="dxa"/>
            <w:tcBorders>
              <w:left w:val="nil"/>
              <w:bottom w:val="nil"/>
              <w:right w:val="nil"/>
            </w:tcBorders>
            <w:shd w:val="clear" w:color="auto" w:fill="auto"/>
          </w:tcPr>
          <w:p w14:paraId="32DB5949"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47.14 ± 3.3</w:t>
            </w:r>
            <w:r>
              <w:rPr>
                <w:rFonts w:ascii="Book Antiqua" w:eastAsia="宋体" w:hAnsi="Book Antiqua"/>
                <w:kern w:val="2"/>
                <w:vertAlign w:val="superscript"/>
                <w:lang w:eastAsia="zh-CN"/>
              </w:rPr>
              <w:t>a</w:t>
            </w:r>
          </w:p>
        </w:tc>
        <w:tc>
          <w:tcPr>
            <w:tcW w:w="2444" w:type="dxa"/>
            <w:tcBorders>
              <w:left w:val="nil"/>
              <w:bottom w:val="nil"/>
              <w:right w:val="nil"/>
            </w:tcBorders>
            <w:shd w:val="clear" w:color="auto" w:fill="auto"/>
          </w:tcPr>
          <w:p w14:paraId="23FD025D"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30.33 ± </w:t>
            </w:r>
            <w:r>
              <w:rPr>
                <w:rFonts w:ascii="Book Antiqua" w:eastAsia="宋体" w:hAnsi="Book Antiqua"/>
                <w:kern w:val="2"/>
                <w:lang w:eastAsia="zh-CN"/>
              </w:rPr>
              <w:t>3.4</w:t>
            </w:r>
          </w:p>
        </w:tc>
      </w:tr>
      <w:tr w:rsidR="00F203DF" w14:paraId="4BAD4854" w14:textId="77777777">
        <w:tc>
          <w:tcPr>
            <w:tcW w:w="3584" w:type="dxa"/>
            <w:tcBorders>
              <w:top w:val="nil"/>
              <w:left w:val="nil"/>
              <w:bottom w:val="nil"/>
              <w:right w:val="nil"/>
            </w:tcBorders>
            <w:shd w:val="clear" w:color="auto" w:fill="auto"/>
          </w:tcPr>
          <w:p w14:paraId="74EB046B"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Sex (male:female)</w:t>
            </w:r>
          </w:p>
        </w:tc>
        <w:tc>
          <w:tcPr>
            <w:tcW w:w="2494" w:type="dxa"/>
            <w:tcBorders>
              <w:top w:val="nil"/>
              <w:left w:val="nil"/>
              <w:bottom w:val="nil"/>
              <w:right w:val="nil"/>
            </w:tcBorders>
            <w:shd w:val="clear" w:color="auto" w:fill="auto"/>
          </w:tcPr>
          <w:p w14:paraId="771579EC"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6:1</w:t>
            </w:r>
          </w:p>
        </w:tc>
        <w:tc>
          <w:tcPr>
            <w:tcW w:w="2444" w:type="dxa"/>
            <w:tcBorders>
              <w:top w:val="nil"/>
              <w:left w:val="nil"/>
              <w:bottom w:val="nil"/>
              <w:right w:val="nil"/>
            </w:tcBorders>
            <w:shd w:val="clear" w:color="auto" w:fill="auto"/>
          </w:tcPr>
          <w:p w14:paraId="0DF35916"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3:0</w:t>
            </w:r>
          </w:p>
        </w:tc>
      </w:tr>
      <w:tr w:rsidR="00F203DF" w14:paraId="7F0A42E3" w14:textId="77777777">
        <w:tc>
          <w:tcPr>
            <w:tcW w:w="3584" w:type="dxa"/>
            <w:tcBorders>
              <w:top w:val="nil"/>
              <w:left w:val="nil"/>
              <w:bottom w:val="nil"/>
              <w:right w:val="nil"/>
            </w:tcBorders>
            <w:shd w:val="clear" w:color="auto" w:fill="auto"/>
          </w:tcPr>
          <w:p w14:paraId="51BCA637"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Laboratory evaluation</w:t>
            </w:r>
          </w:p>
        </w:tc>
        <w:tc>
          <w:tcPr>
            <w:tcW w:w="2494" w:type="dxa"/>
            <w:tcBorders>
              <w:top w:val="nil"/>
              <w:left w:val="nil"/>
              <w:bottom w:val="nil"/>
              <w:right w:val="nil"/>
            </w:tcBorders>
            <w:shd w:val="clear" w:color="auto" w:fill="auto"/>
          </w:tcPr>
          <w:p w14:paraId="4D4174CE" w14:textId="77777777" w:rsidR="00F203DF" w:rsidRDefault="00F203DF">
            <w:pPr>
              <w:widowControl w:val="0"/>
              <w:spacing w:line="360" w:lineRule="auto"/>
              <w:jc w:val="both"/>
              <w:rPr>
                <w:rFonts w:ascii="Book Antiqua" w:eastAsia="宋体" w:hAnsi="Book Antiqua"/>
                <w:kern w:val="2"/>
                <w:lang w:eastAsia="zh-CN"/>
              </w:rPr>
            </w:pPr>
          </w:p>
        </w:tc>
        <w:tc>
          <w:tcPr>
            <w:tcW w:w="2444" w:type="dxa"/>
            <w:tcBorders>
              <w:top w:val="nil"/>
              <w:left w:val="nil"/>
              <w:bottom w:val="nil"/>
              <w:right w:val="nil"/>
            </w:tcBorders>
            <w:shd w:val="clear" w:color="auto" w:fill="auto"/>
          </w:tcPr>
          <w:p w14:paraId="632AE118" w14:textId="77777777" w:rsidR="00F203DF" w:rsidRDefault="00F203DF">
            <w:pPr>
              <w:widowControl w:val="0"/>
              <w:spacing w:line="360" w:lineRule="auto"/>
              <w:jc w:val="both"/>
              <w:rPr>
                <w:rFonts w:ascii="Book Antiqua" w:eastAsia="宋体" w:hAnsi="Book Antiqua"/>
                <w:kern w:val="2"/>
                <w:lang w:eastAsia="zh-CN"/>
              </w:rPr>
            </w:pPr>
          </w:p>
        </w:tc>
      </w:tr>
      <w:tr w:rsidR="00F203DF" w14:paraId="4040B8A5" w14:textId="77777777">
        <w:tc>
          <w:tcPr>
            <w:tcW w:w="3584" w:type="dxa"/>
            <w:tcBorders>
              <w:top w:val="nil"/>
              <w:left w:val="nil"/>
              <w:bottom w:val="nil"/>
              <w:right w:val="nil"/>
            </w:tcBorders>
            <w:shd w:val="clear" w:color="auto" w:fill="auto"/>
          </w:tcPr>
          <w:p w14:paraId="47B4F141"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ALT (U/L)</w:t>
            </w:r>
          </w:p>
        </w:tc>
        <w:tc>
          <w:tcPr>
            <w:tcW w:w="2494" w:type="dxa"/>
            <w:tcBorders>
              <w:top w:val="nil"/>
              <w:left w:val="nil"/>
              <w:bottom w:val="nil"/>
              <w:right w:val="nil"/>
            </w:tcBorders>
            <w:shd w:val="clear" w:color="auto" w:fill="auto"/>
          </w:tcPr>
          <w:p w14:paraId="03982EF2"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642.9 ± 360.3</w:t>
            </w:r>
          </w:p>
        </w:tc>
        <w:tc>
          <w:tcPr>
            <w:tcW w:w="2444" w:type="dxa"/>
            <w:tcBorders>
              <w:top w:val="nil"/>
              <w:left w:val="nil"/>
              <w:bottom w:val="nil"/>
              <w:right w:val="nil"/>
            </w:tcBorders>
            <w:shd w:val="clear" w:color="auto" w:fill="auto"/>
          </w:tcPr>
          <w:p w14:paraId="004DB5B6"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8.67 ± 1.76</w:t>
            </w:r>
          </w:p>
        </w:tc>
      </w:tr>
      <w:tr w:rsidR="00F203DF" w14:paraId="07B95835" w14:textId="77777777">
        <w:tc>
          <w:tcPr>
            <w:tcW w:w="3584" w:type="dxa"/>
            <w:tcBorders>
              <w:top w:val="nil"/>
              <w:left w:val="nil"/>
              <w:bottom w:val="nil"/>
              <w:right w:val="nil"/>
            </w:tcBorders>
            <w:shd w:val="clear" w:color="auto" w:fill="auto"/>
          </w:tcPr>
          <w:p w14:paraId="0DF86E42"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Tbil (μmol/L)</w:t>
            </w:r>
          </w:p>
        </w:tc>
        <w:tc>
          <w:tcPr>
            <w:tcW w:w="2494" w:type="dxa"/>
            <w:tcBorders>
              <w:top w:val="nil"/>
              <w:left w:val="nil"/>
              <w:bottom w:val="nil"/>
              <w:right w:val="nil"/>
            </w:tcBorders>
            <w:shd w:val="clear" w:color="auto" w:fill="auto"/>
          </w:tcPr>
          <w:p w14:paraId="0EAA9373"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429.8 ± 70.53</w:t>
            </w:r>
            <w:r>
              <w:rPr>
                <w:rFonts w:ascii="Book Antiqua" w:eastAsia="宋体" w:hAnsi="Book Antiqua"/>
                <w:kern w:val="2"/>
                <w:vertAlign w:val="superscript"/>
                <w:lang w:eastAsia="zh-CN"/>
              </w:rPr>
              <w:t>a</w:t>
            </w:r>
          </w:p>
        </w:tc>
        <w:tc>
          <w:tcPr>
            <w:tcW w:w="2444" w:type="dxa"/>
            <w:tcBorders>
              <w:top w:val="nil"/>
              <w:left w:val="nil"/>
              <w:bottom w:val="nil"/>
              <w:right w:val="nil"/>
            </w:tcBorders>
            <w:shd w:val="clear" w:color="auto" w:fill="auto"/>
          </w:tcPr>
          <w:p w14:paraId="40E76277"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17 ± 2.34</w:t>
            </w:r>
          </w:p>
        </w:tc>
      </w:tr>
      <w:tr w:rsidR="00F203DF" w14:paraId="112C04CE" w14:textId="77777777">
        <w:tc>
          <w:tcPr>
            <w:tcW w:w="3584" w:type="dxa"/>
            <w:tcBorders>
              <w:top w:val="nil"/>
              <w:left w:val="nil"/>
              <w:bottom w:val="nil"/>
              <w:right w:val="nil"/>
            </w:tcBorders>
            <w:shd w:val="clear" w:color="auto" w:fill="auto"/>
          </w:tcPr>
          <w:p w14:paraId="6C79AF16"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PTA (%)</w:t>
            </w:r>
          </w:p>
        </w:tc>
        <w:tc>
          <w:tcPr>
            <w:tcW w:w="2494" w:type="dxa"/>
            <w:tcBorders>
              <w:top w:val="nil"/>
              <w:left w:val="nil"/>
              <w:bottom w:val="nil"/>
              <w:right w:val="nil"/>
            </w:tcBorders>
            <w:shd w:val="clear" w:color="auto" w:fill="auto"/>
          </w:tcPr>
          <w:p w14:paraId="133EC3EC"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30.29 ± 3.3</w:t>
            </w:r>
            <w:r>
              <w:rPr>
                <w:rFonts w:ascii="Book Antiqua" w:eastAsia="宋体" w:hAnsi="Book Antiqua"/>
                <w:kern w:val="2"/>
                <w:vertAlign w:val="superscript"/>
                <w:lang w:eastAsia="zh-CN"/>
              </w:rPr>
              <w:t>a</w:t>
            </w:r>
          </w:p>
        </w:tc>
        <w:tc>
          <w:tcPr>
            <w:tcW w:w="2444" w:type="dxa"/>
            <w:tcBorders>
              <w:top w:val="nil"/>
              <w:left w:val="nil"/>
              <w:bottom w:val="nil"/>
              <w:right w:val="nil"/>
            </w:tcBorders>
            <w:shd w:val="clear" w:color="auto" w:fill="auto"/>
          </w:tcPr>
          <w:p w14:paraId="69EF01FC"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118 ± 12.17</w:t>
            </w:r>
          </w:p>
        </w:tc>
      </w:tr>
      <w:tr w:rsidR="00F203DF" w14:paraId="362E7ED0" w14:textId="77777777">
        <w:tc>
          <w:tcPr>
            <w:tcW w:w="3584" w:type="dxa"/>
            <w:tcBorders>
              <w:top w:val="nil"/>
              <w:left w:val="nil"/>
              <w:bottom w:val="nil"/>
              <w:right w:val="nil"/>
            </w:tcBorders>
            <w:shd w:val="clear" w:color="auto" w:fill="auto"/>
          </w:tcPr>
          <w:p w14:paraId="60C107A9"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HBsAg (ng/ml)</w:t>
            </w:r>
          </w:p>
        </w:tc>
        <w:tc>
          <w:tcPr>
            <w:tcW w:w="2494" w:type="dxa"/>
            <w:tcBorders>
              <w:top w:val="nil"/>
              <w:left w:val="nil"/>
              <w:bottom w:val="nil"/>
              <w:right w:val="nil"/>
            </w:tcBorders>
            <w:shd w:val="clear" w:color="auto" w:fill="auto"/>
          </w:tcPr>
          <w:p w14:paraId="684FBA68"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3870 ± 1600</w:t>
            </w:r>
          </w:p>
        </w:tc>
        <w:tc>
          <w:tcPr>
            <w:tcW w:w="2444" w:type="dxa"/>
            <w:tcBorders>
              <w:top w:val="nil"/>
              <w:left w:val="nil"/>
              <w:bottom w:val="nil"/>
              <w:right w:val="nil"/>
            </w:tcBorders>
            <w:shd w:val="clear" w:color="auto" w:fill="auto"/>
          </w:tcPr>
          <w:p w14:paraId="55AF03B8"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0</w:t>
            </w:r>
          </w:p>
        </w:tc>
      </w:tr>
      <w:tr w:rsidR="00F203DF" w14:paraId="19D28A96" w14:textId="77777777">
        <w:tc>
          <w:tcPr>
            <w:tcW w:w="3584" w:type="dxa"/>
            <w:tcBorders>
              <w:top w:val="nil"/>
              <w:left w:val="nil"/>
              <w:bottom w:val="nil"/>
              <w:right w:val="nil"/>
            </w:tcBorders>
            <w:shd w:val="clear" w:color="auto" w:fill="auto"/>
          </w:tcPr>
          <w:p w14:paraId="30C3CAA7"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HBV-DNA (10</w:t>
            </w:r>
            <w:r>
              <w:rPr>
                <w:rFonts w:ascii="Book Antiqua" w:eastAsia="宋体" w:hAnsi="Book Antiqua"/>
                <w:kern w:val="2"/>
                <w:vertAlign w:val="superscript"/>
                <w:lang w:eastAsia="zh-CN"/>
              </w:rPr>
              <w:t>6</w:t>
            </w:r>
            <w:r>
              <w:rPr>
                <w:rFonts w:ascii="Book Antiqua" w:eastAsia="宋体" w:hAnsi="Book Antiqua"/>
                <w:kern w:val="2"/>
                <w:lang w:eastAsia="zh-CN"/>
              </w:rPr>
              <w:t xml:space="preserve"> copies/ml)</w:t>
            </w:r>
          </w:p>
        </w:tc>
        <w:tc>
          <w:tcPr>
            <w:tcW w:w="2494" w:type="dxa"/>
            <w:tcBorders>
              <w:top w:val="nil"/>
              <w:left w:val="nil"/>
              <w:bottom w:val="nil"/>
              <w:right w:val="nil"/>
            </w:tcBorders>
            <w:shd w:val="clear" w:color="auto" w:fill="auto"/>
          </w:tcPr>
          <w:p w14:paraId="62424162"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8.18 ± 6.78</w:t>
            </w:r>
          </w:p>
        </w:tc>
        <w:tc>
          <w:tcPr>
            <w:tcW w:w="2444" w:type="dxa"/>
            <w:tcBorders>
              <w:top w:val="nil"/>
              <w:left w:val="nil"/>
              <w:bottom w:val="nil"/>
              <w:right w:val="nil"/>
            </w:tcBorders>
            <w:shd w:val="clear" w:color="auto" w:fill="auto"/>
          </w:tcPr>
          <w:p w14:paraId="22D328D7"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0</w:t>
            </w:r>
          </w:p>
        </w:tc>
      </w:tr>
      <w:tr w:rsidR="00F203DF" w14:paraId="09A7E4A1" w14:textId="77777777">
        <w:tc>
          <w:tcPr>
            <w:tcW w:w="3584" w:type="dxa"/>
            <w:tcBorders>
              <w:top w:val="nil"/>
              <w:left w:val="nil"/>
              <w:bottom w:val="single" w:sz="4" w:space="0" w:color="auto"/>
              <w:right w:val="nil"/>
            </w:tcBorders>
            <w:shd w:val="clear" w:color="auto" w:fill="auto"/>
          </w:tcPr>
          <w:p w14:paraId="3D1B6519"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Ascites and/or </w:t>
            </w:r>
            <w:r>
              <w:rPr>
                <w:rFonts w:ascii="Book Antiqua" w:eastAsia="宋体" w:hAnsi="Book Antiqua"/>
                <w:kern w:val="2"/>
                <w:lang w:eastAsia="zh-CN"/>
              </w:rPr>
              <w:t>Encephalopathy</w:t>
            </w:r>
          </w:p>
        </w:tc>
        <w:tc>
          <w:tcPr>
            <w:tcW w:w="2494" w:type="dxa"/>
            <w:tcBorders>
              <w:top w:val="nil"/>
              <w:left w:val="nil"/>
              <w:bottom w:val="single" w:sz="4" w:space="0" w:color="auto"/>
              <w:right w:val="nil"/>
            </w:tcBorders>
            <w:shd w:val="clear" w:color="auto" w:fill="auto"/>
          </w:tcPr>
          <w:p w14:paraId="5F024A4B"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7</w:t>
            </w:r>
          </w:p>
        </w:tc>
        <w:tc>
          <w:tcPr>
            <w:tcW w:w="2444" w:type="dxa"/>
            <w:tcBorders>
              <w:top w:val="nil"/>
              <w:left w:val="nil"/>
              <w:bottom w:val="single" w:sz="4" w:space="0" w:color="auto"/>
              <w:right w:val="nil"/>
            </w:tcBorders>
            <w:shd w:val="clear" w:color="auto" w:fill="auto"/>
          </w:tcPr>
          <w:p w14:paraId="75E913C2"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0</w:t>
            </w:r>
          </w:p>
        </w:tc>
      </w:tr>
    </w:tbl>
    <w:p w14:paraId="08FA9E60"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hint="eastAsia"/>
          <w:kern w:val="2"/>
          <w:vertAlign w:val="superscript"/>
          <w:lang w:eastAsia="zh-CN"/>
        </w:rPr>
        <w:t>a</w:t>
      </w:r>
      <w:r>
        <w:rPr>
          <w:rFonts w:ascii="Book Antiqua" w:eastAsia="宋体" w:hAnsi="Book Antiqua"/>
          <w:i/>
          <w:kern w:val="2"/>
          <w:lang w:eastAsia="zh-CN"/>
        </w:rPr>
        <w:t>P</w:t>
      </w:r>
      <w:r>
        <w:rPr>
          <w:rFonts w:ascii="Book Antiqua" w:eastAsia="宋体" w:hAnsi="Book Antiqua" w:hint="eastAsia"/>
          <w:i/>
          <w:kern w:val="2"/>
          <w:lang w:eastAsia="zh-CN"/>
        </w:rPr>
        <w:t xml:space="preserve"> </w:t>
      </w:r>
      <w:r>
        <w:rPr>
          <w:rFonts w:ascii="Book Antiqua" w:eastAsia="宋体" w:hAnsi="Book Antiqua"/>
          <w:kern w:val="2"/>
          <w:lang w:eastAsia="zh-CN"/>
        </w:rPr>
        <w:t>&lt;</w:t>
      </w:r>
      <w:r>
        <w:rPr>
          <w:rFonts w:ascii="Book Antiqua" w:eastAsia="宋体" w:hAnsi="Book Antiqua" w:hint="eastAsia"/>
          <w:kern w:val="2"/>
          <w:lang w:eastAsia="zh-CN"/>
        </w:rPr>
        <w:t xml:space="preserve"> </w:t>
      </w:r>
      <w:r>
        <w:rPr>
          <w:rFonts w:ascii="Book Antiqua" w:eastAsia="宋体" w:hAnsi="Book Antiqua"/>
          <w:kern w:val="2"/>
          <w:lang w:eastAsia="zh-CN"/>
        </w:rPr>
        <w:t xml:space="preserve">0.5 </w:t>
      </w:r>
      <w:r>
        <w:rPr>
          <w:rFonts w:ascii="Book Antiqua" w:eastAsia="宋体" w:hAnsi="Book Antiqua"/>
          <w:i/>
          <w:kern w:val="2"/>
          <w:lang w:eastAsia="zh-CN"/>
        </w:rPr>
        <w:t>vs</w:t>
      </w:r>
      <w:r>
        <w:rPr>
          <w:rFonts w:ascii="Book Antiqua" w:eastAsia="宋体" w:hAnsi="Book Antiqua"/>
          <w:kern w:val="2"/>
          <w:lang w:eastAsia="zh-CN"/>
        </w:rPr>
        <w:t xml:space="preserve"> </w:t>
      </w:r>
      <w:r>
        <w:rPr>
          <w:rFonts w:ascii="Book Antiqua" w:eastAsia="宋体" w:hAnsi="Book Antiqua" w:hint="eastAsia"/>
          <w:kern w:val="2"/>
          <w:lang w:eastAsia="zh-CN"/>
        </w:rPr>
        <w:t>c</w:t>
      </w:r>
      <w:r>
        <w:rPr>
          <w:rFonts w:ascii="Book Antiqua" w:eastAsia="宋体" w:hAnsi="Book Antiqua"/>
          <w:kern w:val="2"/>
          <w:lang w:eastAsia="zh-CN"/>
        </w:rPr>
        <w:t>ontrols</w:t>
      </w:r>
      <w:r>
        <w:rPr>
          <w:rFonts w:ascii="Book Antiqua" w:eastAsia="宋体" w:hAnsi="Book Antiqua" w:hint="eastAsia"/>
          <w:kern w:val="2"/>
          <w:lang w:eastAsia="zh-CN"/>
        </w:rPr>
        <w:t>.</w:t>
      </w:r>
    </w:p>
    <w:p w14:paraId="119A90F6" w14:textId="77777777" w:rsidR="00F203DF" w:rsidRDefault="002B133B">
      <w:pPr>
        <w:widowControl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Age, Serum alanine aminotransferase, </w:t>
      </w:r>
      <w:r>
        <w:rPr>
          <w:rFonts w:ascii="Book Antiqua" w:eastAsia="宋体" w:hAnsi="Book Antiqua" w:hint="eastAsia"/>
          <w:kern w:val="2"/>
          <w:lang w:eastAsia="zh-CN"/>
        </w:rPr>
        <w:t>t</w:t>
      </w:r>
      <w:r>
        <w:rPr>
          <w:rFonts w:ascii="Book Antiqua" w:eastAsia="宋体" w:hAnsi="Book Antiqua"/>
          <w:kern w:val="2"/>
          <w:lang w:eastAsia="zh-CN"/>
        </w:rPr>
        <w:t>otal bilirubin, prothrombin time activity shown as mean ± SD</w:t>
      </w:r>
      <w:r>
        <w:rPr>
          <w:rFonts w:ascii="Book Antiqua" w:eastAsia="宋体" w:hAnsi="Book Antiqua" w:hint="eastAsia"/>
          <w:kern w:val="2"/>
          <w:lang w:eastAsia="zh-CN"/>
        </w:rPr>
        <w:t>.</w:t>
      </w:r>
      <w:r>
        <w:rPr>
          <w:rFonts w:ascii="Book Antiqua" w:eastAsia="宋体" w:hAnsi="Book Antiqua"/>
          <w:kern w:val="2"/>
          <w:lang w:eastAsia="zh-CN"/>
        </w:rPr>
        <w:t xml:space="preserve"> ACLF: </w:t>
      </w:r>
      <w:r>
        <w:rPr>
          <w:rFonts w:ascii="Book Antiqua" w:eastAsia="宋体" w:hAnsi="Book Antiqua" w:hint="eastAsia"/>
          <w:kern w:val="2"/>
          <w:lang w:eastAsia="zh-CN"/>
        </w:rPr>
        <w:t>A</w:t>
      </w:r>
      <w:r>
        <w:rPr>
          <w:rFonts w:ascii="Book Antiqua" w:eastAsia="宋体" w:hAnsi="Book Antiqua"/>
          <w:kern w:val="2"/>
          <w:lang w:eastAsia="zh-CN"/>
        </w:rPr>
        <w:t xml:space="preserve">cute on chronic liver failure; ALT: </w:t>
      </w:r>
      <w:r>
        <w:rPr>
          <w:rFonts w:ascii="Book Antiqua" w:eastAsia="宋体" w:hAnsi="Book Antiqua" w:hint="eastAsia"/>
          <w:kern w:val="2"/>
          <w:lang w:eastAsia="zh-CN"/>
        </w:rPr>
        <w:t>A</w:t>
      </w:r>
      <w:r>
        <w:rPr>
          <w:rFonts w:ascii="Book Antiqua" w:eastAsia="宋体" w:hAnsi="Book Antiqua"/>
          <w:kern w:val="2"/>
          <w:lang w:eastAsia="zh-CN"/>
        </w:rPr>
        <w:t xml:space="preserve">lanine aminotransferase; Tbil: </w:t>
      </w:r>
      <w:r>
        <w:rPr>
          <w:rFonts w:ascii="Book Antiqua" w:eastAsia="宋体" w:hAnsi="Book Antiqua" w:hint="eastAsia"/>
          <w:kern w:val="2"/>
          <w:lang w:eastAsia="zh-CN"/>
        </w:rPr>
        <w:t>T</w:t>
      </w:r>
      <w:r>
        <w:rPr>
          <w:rFonts w:ascii="Book Antiqua" w:eastAsia="宋体" w:hAnsi="Book Antiqua"/>
          <w:kern w:val="2"/>
          <w:lang w:eastAsia="zh-CN"/>
        </w:rPr>
        <w:t xml:space="preserve">otal bilirubin; PTA: </w:t>
      </w:r>
      <w:r>
        <w:rPr>
          <w:rFonts w:ascii="Book Antiqua" w:eastAsia="宋体" w:hAnsi="Book Antiqua" w:hint="eastAsia"/>
          <w:kern w:val="2"/>
          <w:lang w:eastAsia="zh-CN"/>
        </w:rPr>
        <w:t>P</w:t>
      </w:r>
      <w:r>
        <w:rPr>
          <w:rFonts w:ascii="Book Antiqua" w:eastAsia="宋体" w:hAnsi="Book Antiqua"/>
          <w:kern w:val="2"/>
          <w:lang w:eastAsia="zh-CN"/>
        </w:rPr>
        <w:t>rothrombin time activity.</w:t>
      </w:r>
    </w:p>
    <w:p w14:paraId="71B7D6CD" w14:textId="77777777" w:rsidR="00F203DF" w:rsidRDefault="00F203DF">
      <w:pPr>
        <w:widowControl w:val="0"/>
        <w:spacing w:line="360" w:lineRule="auto"/>
        <w:jc w:val="both"/>
        <w:rPr>
          <w:rFonts w:ascii="Book Antiqua" w:eastAsia="宋体" w:hAnsi="Book Antiqua"/>
          <w:kern w:val="2"/>
          <w:lang w:eastAsia="zh-CN"/>
        </w:rPr>
      </w:pPr>
    </w:p>
    <w:p w14:paraId="34B86179" w14:textId="77777777" w:rsidR="00F203DF" w:rsidRDefault="00F203DF">
      <w:pPr>
        <w:widowControl w:val="0"/>
        <w:spacing w:line="360" w:lineRule="auto"/>
        <w:jc w:val="both"/>
        <w:rPr>
          <w:rFonts w:ascii="Book Antiqua" w:eastAsia="宋体" w:hAnsi="Book Antiqua"/>
          <w:kern w:val="2"/>
          <w:lang w:eastAsia="zh-CN"/>
        </w:rPr>
      </w:pPr>
    </w:p>
    <w:p w14:paraId="2080211F" w14:textId="5E99A330" w:rsidR="00F463D7" w:rsidRDefault="00F463D7">
      <w:pPr>
        <w:rPr>
          <w:rFonts w:ascii="Book Antiqua" w:eastAsia="Book Antiqua" w:hAnsi="Book Antiqua" w:cs="Book Antiqua"/>
          <w:color w:val="000000"/>
        </w:rPr>
      </w:pPr>
      <w:r>
        <w:rPr>
          <w:rFonts w:ascii="Book Antiqua" w:eastAsia="Book Antiqua" w:hAnsi="Book Antiqua" w:cs="Book Antiqua"/>
          <w:color w:val="000000"/>
        </w:rPr>
        <w:br w:type="page"/>
      </w:r>
    </w:p>
    <w:p w14:paraId="7FE0CB04" w14:textId="77777777" w:rsidR="00F463D7" w:rsidRDefault="00F463D7" w:rsidP="00F463D7">
      <w:pPr>
        <w:jc w:val="center"/>
        <w:rPr>
          <w:rFonts w:ascii="Book Antiqua" w:hAnsi="Book Antiqua"/>
          <w:lang w:eastAsia="zh-CN"/>
        </w:rPr>
      </w:pPr>
    </w:p>
    <w:p w14:paraId="6DD94DB7" w14:textId="77777777" w:rsidR="00F463D7" w:rsidRDefault="00F463D7" w:rsidP="00F463D7">
      <w:pPr>
        <w:jc w:val="center"/>
        <w:rPr>
          <w:rFonts w:ascii="Book Antiqua" w:hAnsi="Book Antiqua"/>
          <w:lang w:eastAsia="zh-CN"/>
        </w:rPr>
      </w:pPr>
    </w:p>
    <w:p w14:paraId="448749A9" w14:textId="77777777" w:rsidR="00F463D7" w:rsidRDefault="00F463D7" w:rsidP="00F463D7">
      <w:pPr>
        <w:jc w:val="center"/>
        <w:rPr>
          <w:rFonts w:ascii="Book Antiqua" w:hAnsi="Book Antiqua"/>
          <w:lang w:eastAsia="zh-CN"/>
        </w:rPr>
      </w:pPr>
    </w:p>
    <w:p w14:paraId="1521ACB1" w14:textId="77777777" w:rsidR="00F463D7" w:rsidRDefault="00F463D7" w:rsidP="00F463D7">
      <w:pPr>
        <w:jc w:val="center"/>
        <w:rPr>
          <w:rFonts w:ascii="Book Antiqua" w:hAnsi="Book Antiqua"/>
          <w:lang w:eastAsia="zh-CN"/>
        </w:rPr>
      </w:pPr>
    </w:p>
    <w:p w14:paraId="47EAC30A" w14:textId="77777777" w:rsidR="00F463D7" w:rsidRDefault="00F463D7" w:rsidP="00F463D7">
      <w:pPr>
        <w:jc w:val="center"/>
        <w:rPr>
          <w:rFonts w:ascii="Book Antiqua" w:hAnsi="Book Antiqua"/>
          <w:lang w:eastAsia="zh-CN"/>
        </w:rPr>
      </w:pPr>
    </w:p>
    <w:p w14:paraId="14492E14" w14:textId="246F1438" w:rsidR="00F463D7" w:rsidRDefault="00F463D7" w:rsidP="00F463D7">
      <w:pPr>
        <w:jc w:val="center"/>
        <w:rPr>
          <w:rFonts w:ascii="Book Antiqua" w:hAnsi="Book Antiqua"/>
          <w:lang w:eastAsia="zh-CN"/>
        </w:rPr>
      </w:pPr>
      <w:r>
        <w:rPr>
          <w:rFonts w:ascii="Book Antiqua" w:hAnsi="Book Antiqua"/>
          <w:noProof/>
          <w:lang w:eastAsia="zh-CN"/>
        </w:rPr>
        <w:drawing>
          <wp:inline distT="0" distB="0" distL="0" distR="0" wp14:anchorId="175574A6" wp14:editId="574F9E0C">
            <wp:extent cx="2501900" cy="1441450"/>
            <wp:effectExtent l="0" t="0" r="0" b="6350"/>
            <wp:docPr id="10" name="图片 10"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徽标, 公司名称&#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567967C4" w14:textId="77777777" w:rsidR="00F463D7" w:rsidRDefault="00F463D7" w:rsidP="00F463D7">
      <w:pPr>
        <w:jc w:val="center"/>
        <w:rPr>
          <w:rFonts w:ascii="Book Antiqua" w:hAnsi="Book Antiqua"/>
          <w:lang w:eastAsia="zh-CN"/>
        </w:rPr>
      </w:pPr>
    </w:p>
    <w:p w14:paraId="0A8EB461" w14:textId="77777777" w:rsidR="00F463D7" w:rsidRDefault="00F463D7" w:rsidP="00F463D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FAAAF7A" w14:textId="77777777" w:rsidR="00F463D7" w:rsidRDefault="00F463D7" w:rsidP="00F463D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1AA4AC" w14:textId="77777777" w:rsidR="00F463D7" w:rsidRDefault="00F463D7" w:rsidP="00F463D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2C5406" w14:textId="77777777" w:rsidR="00F463D7" w:rsidRDefault="00F463D7" w:rsidP="00F463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A00F45" w14:textId="77777777" w:rsidR="00F463D7" w:rsidRDefault="00F463D7" w:rsidP="00F463D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76A089" w14:textId="77777777" w:rsidR="00F463D7" w:rsidRDefault="00F463D7" w:rsidP="00F463D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2F989C7" w14:textId="77777777" w:rsidR="00F463D7" w:rsidRDefault="00F463D7" w:rsidP="00F463D7">
      <w:pPr>
        <w:jc w:val="center"/>
        <w:rPr>
          <w:rFonts w:ascii="Book Antiqua" w:hAnsi="Book Antiqua"/>
          <w:lang w:eastAsia="zh-CN"/>
        </w:rPr>
      </w:pPr>
    </w:p>
    <w:p w14:paraId="7A27613E" w14:textId="77777777" w:rsidR="00F463D7" w:rsidRDefault="00F463D7" w:rsidP="00F463D7">
      <w:pPr>
        <w:jc w:val="center"/>
        <w:rPr>
          <w:rFonts w:ascii="Book Antiqua" w:hAnsi="Book Antiqua"/>
          <w:lang w:eastAsia="zh-CN"/>
        </w:rPr>
      </w:pPr>
    </w:p>
    <w:p w14:paraId="53CA9271" w14:textId="77777777" w:rsidR="00F463D7" w:rsidRDefault="00F463D7" w:rsidP="00F463D7">
      <w:pPr>
        <w:jc w:val="center"/>
        <w:rPr>
          <w:rFonts w:ascii="Book Antiqua" w:hAnsi="Book Antiqua"/>
          <w:lang w:eastAsia="zh-CN"/>
        </w:rPr>
      </w:pPr>
    </w:p>
    <w:p w14:paraId="1D60C9E7" w14:textId="70AA4C67" w:rsidR="00F463D7" w:rsidRDefault="00F463D7" w:rsidP="00F463D7">
      <w:pPr>
        <w:jc w:val="center"/>
        <w:rPr>
          <w:rFonts w:ascii="Book Antiqua" w:hAnsi="Book Antiqua"/>
          <w:lang w:eastAsia="zh-CN"/>
        </w:rPr>
      </w:pPr>
      <w:r>
        <w:rPr>
          <w:rFonts w:ascii="Book Antiqua" w:hAnsi="Book Antiqua"/>
          <w:noProof/>
          <w:lang w:eastAsia="zh-CN"/>
        </w:rPr>
        <w:drawing>
          <wp:inline distT="0" distB="0" distL="0" distR="0" wp14:anchorId="4468B47C" wp14:editId="3A3DD1E7">
            <wp:extent cx="1447800" cy="1441450"/>
            <wp:effectExtent l="0" t="0" r="0" b="6350"/>
            <wp:docPr id="9" name="图片 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R 代码&#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252E5605" w14:textId="77777777" w:rsidR="00F463D7" w:rsidRDefault="00F463D7" w:rsidP="00F463D7">
      <w:pPr>
        <w:jc w:val="center"/>
        <w:rPr>
          <w:rFonts w:ascii="Book Antiqua" w:hAnsi="Book Antiqua"/>
          <w:lang w:eastAsia="zh-CN"/>
        </w:rPr>
      </w:pPr>
    </w:p>
    <w:p w14:paraId="7DA6D302" w14:textId="77777777" w:rsidR="00F463D7" w:rsidRDefault="00F463D7" w:rsidP="00F463D7">
      <w:pPr>
        <w:jc w:val="center"/>
        <w:rPr>
          <w:rFonts w:ascii="Book Antiqua" w:hAnsi="Book Antiqua"/>
          <w:lang w:eastAsia="zh-CN"/>
        </w:rPr>
      </w:pPr>
    </w:p>
    <w:p w14:paraId="03F9E1BA" w14:textId="77777777" w:rsidR="00F463D7" w:rsidRDefault="00F463D7" w:rsidP="00F463D7">
      <w:pPr>
        <w:jc w:val="center"/>
        <w:rPr>
          <w:rFonts w:ascii="Book Antiqua" w:hAnsi="Book Antiqua"/>
          <w:lang w:eastAsia="zh-CN"/>
        </w:rPr>
      </w:pPr>
    </w:p>
    <w:p w14:paraId="24554290" w14:textId="77777777" w:rsidR="00F463D7" w:rsidRDefault="00F463D7" w:rsidP="00F463D7">
      <w:pPr>
        <w:jc w:val="center"/>
        <w:rPr>
          <w:rFonts w:ascii="Book Antiqua" w:hAnsi="Book Antiqua"/>
          <w:lang w:eastAsia="zh-CN"/>
        </w:rPr>
      </w:pPr>
    </w:p>
    <w:p w14:paraId="75E7454F" w14:textId="77777777" w:rsidR="00F463D7" w:rsidRDefault="00F463D7" w:rsidP="00F463D7">
      <w:pPr>
        <w:jc w:val="center"/>
        <w:rPr>
          <w:rFonts w:ascii="Book Antiqua" w:hAnsi="Book Antiqua"/>
          <w:lang w:eastAsia="zh-CN"/>
        </w:rPr>
      </w:pPr>
    </w:p>
    <w:p w14:paraId="445ACDFA" w14:textId="77777777" w:rsidR="00F463D7" w:rsidRDefault="00F463D7" w:rsidP="00F463D7">
      <w:pPr>
        <w:jc w:val="center"/>
        <w:rPr>
          <w:rFonts w:ascii="Book Antiqua" w:hAnsi="Book Antiqua"/>
          <w:lang w:eastAsia="zh-CN"/>
        </w:rPr>
      </w:pPr>
    </w:p>
    <w:p w14:paraId="6A9CC769" w14:textId="77777777" w:rsidR="00F463D7" w:rsidRDefault="00F463D7" w:rsidP="00F463D7">
      <w:pPr>
        <w:jc w:val="center"/>
        <w:rPr>
          <w:rFonts w:ascii="Book Antiqua" w:hAnsi="Book Antiqua"/>
          <w:lang w:eastAsia="zh-CN"/>
        </w:rPr>
      </w:pPr>
    </w:p>
    <w:p w14:paraId="1B9AEDF3" w14:textId="77777777" w:rsidR="00F463D7" w:rsidRDefault="00F463D7" w:rsidP="00F463D7">
      <w:pPr>
        <w:jc w:val="center"/>
        <w:rPr>
          <w:rFonts w:ascii="Book Antiqua" w:hAnsi="Book Antiqua"/>
          <w:lang w:eastAsia="zh-CN"/>
        </w:rPr>
      </w:pPr>
    </w:p>
    <w:p w14:paraId="21A73ED9" w14:textId="77777777" w:rsidR="00F463D7" w:rsidRDefault="00F463D7" w:rsidP="00F463D7">
      <w:pPr>
        <w:jc w:val="center"/>
        <w:rPr>
          <w:rFonts w:ascii="Book Antiqua" w:hAnsi="Book Antiqua"/>
          <w:lang w:eastAsia="zh-CN"/>
        </w:rPr>
      </w:pPr>
    </w:p>
    <w:p w14:paraId="2822CDD2" w14:textId="77777777" w:rsidR="00F463D7" w:rsidRDefault="00F463D7" w:rsidP="00F463D7">
      <w:pPr>
        <w:jc w:val="right"/>
        <w:rPr>
          <w:rFonts w:ascii="Book Antiqua" w:hAnsi="Book Antiqua"/>
          <w:color w:val="000000" w:themeColor="text1"/>
          <w:lang w:eastAsia="zh-CN"/>
        </w:rPr>
      </w:pPr>
    </w:p>
    <w:p w14:paraId="5A3EB399" w14:textId="77777777" w:rsidR="00F463D7" w:rsidRDefault="00F463D7" w:rsidP="00F463D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7164114" w14:textId="77777777" w:rsidR="00F203DF" w:rsidRDefault="00F203DF">
      <w:pPr>
        <w:spacing w:line="360" w:lineRule="auto"/>
        <w:jc w:val="both"/>
        <w:rPr>
          <w:rFonts w:ascii="Book Antiqua" w:eastAsia="Book Antiqua" w:hAnsi="Book Antiqua" w:cs="Book Antiqua"/>
          <w:color w:val="000000"/>
        </w:rPr>
      </w:pPr>
    </w:p>
    <w:sectPr w:rsidR="00F203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A5949" w14:textId="77777777" w:rsidR="002B133B" w:rsidRDefault="002B133B">
      <w:r>
        <w:separator/>
      </w:r>
    </w:p>
  </w:endnote>
  <w:endnote w:type="continuationSeparator" w:id="0">
    <w:p w14:paraId="0C0F409C" w14:textId="77777777" w:rsidR="002B133B" w:rsidRDefault="002B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80"/>
    <w:family w:val="auto"/>
    <w:pitch w:val="default"/>
    <w:sig w:usb0="00000000" w:usb1="00000000" w:usb2="0000000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4074" w14:textId="77777777" w:rsidR="00F203DF" w:rsidRDefault="002B133B">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41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41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E031E" w14:textId="77777777" w:rsidR="002B133B" w:rsidRDefault="002B133B">
      <w:r>
        <w:separator/>
      </w:r>
    </w:p>
  </w:footnote>
  <w:footnote w:type="continuationSeparator" w:id="0">
    <w:p w14:paraId="13690D86" w14:textId="77777777" w:rsidR="002B133B" w:rsidRDefault="002B13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714C"/>
    <w:rsid w:val="000760B2"/>
    <w:rsid w:val="000B104D"/>
    <w:rsid w:val="000D21EA"/>
    <w:rsid w:val="001513E9"/>
    <w:rsid w:val="00154617"/>
    <w:rsid w:val="001554C7"/>
    <w:rsid w:val="00172A27"/>
    <w:rsid w:val="001C2F59"/>
    <w:rsid w:val="00222F25"/>
    <w:rsid w:val="00223992"/>
    <w:rsid w:val="00246AAF"/>
    <w:rsid w:val="002B133B"/>
    <w:rsid w:val="002B3FC2"/>
    <w:rsid w:val="002E1CD7"/>
    <w:rsid w:val="002F1276"/>
    <w:rsid w:val="0033627A"/>
    <w:rsid w:val="00337D2F"/>
    <w:rsid w:val="00365A10"/>
    <w:rsid w:val="00383650"/>
    <w:rsid w:val="003A07CB"/>
    <w:rsid w:val="003A3A41"/>
    <w:rsid w:val="004144EE"/>
    <w:rsid w:val="00444408"/>
    <w:rsid w:val="0045413D"/>
    <w:rsid w:val="004542B9"/>
    <w:rsid w:val="00457E27"/>
    <w:rsid w:val="0047655B"/>
    <w:rsid w:val="004A0A81"/>
    <w:rsid w:val="004B77EE"/>
    <w:rsid w:val="004F0D9C"/>
    <w:rsid w:val="00570E22"/>
    <w:rsid w:val="0059525D"/>
    <w:rsid w:val="005D4370"/>
    <w:rsid w:val="006031CF"/>
    <w:rsid w:val="00667071"/>
    <w:rsid w:val="00691296"/>
    <w:rsid w:val="006B4E00"/>
    <w:rsid w:val="006E4049"/>
    <w:rsid w:val="006F0C2C"/>
    <w:rsid w:val="00707913"/>
    <w:rsid w:val="00736A49"/>
    <w:rsid w:val="007A1D9D"/>
    <w:rsid w:val="008011F3"/>
    <w:rsid w:val="00823E76"/>
    <w:rsid w:val="00837B95"/>
    <w:rsid w:val="00852513"/>
    <w:rsid w:val="0086635D"/>
    <w:rsid w:val="00887279"/>
    <w:rsid w:val="008D7C31"/>
    <w:rsid w:val="008F1ADD"/>
    <w:rsid w:val="00905803"/>
    <w:rsid w:val="00915CC5"/>
    <w:rsid w:val="00985132"/>
    <w:rsid w:val="009860DD"/>
    <w:rsid w:val="009A5509"/>
    <w:rsid w:val="009B1154"/>
    <w:rsid w:val="009D7D5C"/>
    <w:rsid w:val="00A73056"/>
    <w:rsid w:val="00A77B3E"/>
    <w:rsid w:val="00B07DCD"/>
    <w:rsid w:val="00B106B7"/>
    <w:rsid w:val="00B3191C"/>
    <w:rsid w:val="00B34F2E"/>
    <w:rsid w:val="00B42C88"/>
    <w:rsid w:val="00B86CC9"/>
    <w:rsid w:val="00B904CF"/>
    <w:rsid w:val="00BA30EE"/>
    <w:rsid w:val="00BA6B25"/>
    <w:rsid w:val="00BC3317"/>
    <w:rsid w:val="00BD3C6F"/>
    <w:rsid w:val="00C60A63"/>
    <w:rsid w:val="00C91CA0"/>
    <w:rsid w:val="00CA2A55"/>
    <w:rsid w:val="00CD3FB7"/>
    <w:rsid w:val="00D26946"/>
    <w:rsid w:val="00D400E0"/>
    <w:rsid w:val="00D7533B"/>
    <w:rsid w:val="00D91E40"/>
    <w:rsid w:val="00D93D15"/>
    <w:rsid w:val="00DB5231"/>
    <w:rsid w:val="00DE2943"/>
    <w:rsid w:val="00E0224A"/>
    <w:rsid w:val="00E27EB4"/>
    <w:rsid w:val="00E302D0"/>
    <w:rsid w:val="00E527DA"/>
    <w:rsid w:val="00E85090"/>
    <w:rsid w:val="00EC391E"/>
    <w:rsid w:val="00EC4BCD"/>
    <w:rsid w:val="00ED3B51"/>
    <w:rsid w:val="00EE235C"/>
    <w:rsid w:val="00EF3C50"/>
    <w:rsid w:val="00F151A9"/>
    <w:rsid w:val="00F203DF"/>
    <w:rsid w:val="00F22842"/>
    <w:rsid w:val="00F2608D"/>
    <w:rsid w:val="00F327CA"/>
    <w:rsid w:val="00F463D7"/>
    <w:rsid w:val="00FA30CB"/>
    <w:rsid w:val="03336382"/>
    <w:rsid w:val="040D00EE"/>
    <w:rsid w:val="11A30684"/>
    <w:rsid w:val="16840066"/>
    <w:rsid w:val="181F5CEF"/>
    <w:rsid w:val="19540489"/>
    <w:rsid w:val="241613AB"/>
    <w:rsid w:val="2628698C"/>
    <w:rsid w:val="298A609F"/>
    <w:rsid w:val="2DF833FD"/>
    <w:rsid w:val="326B491E"/>
    <w:rsid w:val="36C61F04"/>
    <w:rsid w:val="4C2E4B83"/>
    <w:rsid w:val="4E202670"/>
    <w:rsid w:val="53604D86"/>
    <w:rsid w:val="58416D20"/>
    <w:rsid w:val="5F430583"/>
    <w:rsid w:val="63824FA7"/>
    <w:rsid w:val="64B74613"/>
    <w:rsid w:val="67752B3B"/>
    <w:rsid w:val="74A24A5B"/>
    <w:rsid w:val="7DEA6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356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Emphasis"/>
    <w:basedOn w:val="a0"/>
    <w:qFormat/>
    <w:rPr>
      <w:i/>
    </w:rPr>
  </w:style>
  <w:style w:type="character" w:styleId="ae">
    <w:name w:val="Hyperlink"/>
    <w:basedOn w:val="a0"/>
    <w:uiPriority w:val="99"/>
    <w:semiHidden/>
    <w:unhideWhenUsed/>
    <w:qFormat/>
    <w:rPr>
      <w:color w:val="0000FF"/>
      <w:u w:val="single"/>
    </w:rPr>
  </w:style>
  <w:style w:type="character" w:styleId="af">
    <w:name w:val="annotation reference"/>
    <w:basedOn w:val="a0"/>
    <w:qFormat/>
    <w:rPr>
      <w:sz w:val="21"/>
      <w:szCs w:val="21"/>
    </w:rPr>
  </w:style>
  <w:style w:type="character" w:customStyle="1" w:styleId="15">
    <w:name w:val="15"/>
    <w:basedOn w:val="a0"/>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aa">
    <w:name w:val="页眉 字符"/>
    <w:basedOn w:val="a0"/>
    <w:link w:val="a9"/>
    <w:rPr>
      <w:rFonts w:eastAsiaTheme="minorEastAsia"/>
      <w:sz w:val="18"/>
      <w:szCs w:val="18"/>
      <w:lang w:eastAsia="en-US"/>
    </w:rPr>
  </w:style>
  <w:style w:type="character" w:customStyle="1" w:styleId="a8">
    <w:name w:val="页脚 字符"/>
    <w:basedOn w:val="a0"/>
    <w:link w:val="a7"/>
    <w:rPr>
      <w:rFonts w:eastAsiaTheme="minorEastAsia"/>
      <w:sz w:val="18"/>
      <w:szCs w:val="18"/>
      <w:lang w:eastAsia="en-US"/>
    </w:rPr>
  </w:style>
  <w:style w:type="paragraph" w:styleId="af0">
    <w:name w:val="List Paragraph"/>
    <w:basedOn w:val="a"/>
    <w:uiPriority w:val="34"/>
    <w:qFormat/>
    <w:pPr>
      <w:spacing w:after="200" w:line="276" w:lineRule="auto"/>
      <w:ind w:firstLineChars="200" w:firstLine="420"/>
    </w:pPr>
    <w:rPr>
      <w:rFonts w:ascii="Calibri" w:eastAsia="宋体" w:hAnsi="Calibri"/>
      <w:sz w:val="22"/>
      <w:szCs w:val="22"/>
      <w:lang w:val="en-GB"/>
    </w:rPr>
  </w:style>
  <w:style w:type="paragraph" w:customStyle="1" w:styleId="2">
    <w:name w:val="修订2"/>
    <w:hidden/>
    <w:uiPriority w:val="99"/>
    <w:unhideWhenUse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09732">
      <w:bodyDiv w:val="1"/>
      <w:marLeft w:val="0"/>
      <w:marRight w:val="0"/>
      <w:marTop w:val="0"/>
      <w:marBottom w:val="0"/>
      <w:divBdr>
        <w:top w:val="none" w:sz="0" w:space="0" w:color="auto"/>
        <w:left w:val="none" w:sz="0" w:space="0" w:color="auto"/>
        <w:bottom w:val="none" w:sz="0" w:space="0" w:color="auto"/>
        <w:right w:val="none" w:sz="0" w:space="0" w:color="auto"/>
      </w:divBdr>
    </w:div>
    <w:div w:id="1191651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9218</Words>
  <Characters>52546</Characters>
  <Application>Microsoft Office Word</Application>
  <DocSecurity>0</DocSecurity>
  <Lines>437</Lines>
  <Paragraphs>123</Paragraphs>
  <ScaleCrop>false</ScaleCrop>
  <LinksUpToDate>false</LinksUpToDate>
  <CharactersWithSpaces>61641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2022-01-08T01:25:00Z</dcterms:created>
  <dcterms:modified xsi:type="dcterms:W3CDTF">2022-01-18T08:24:00Z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D8A4B1E3925F48059F925F4753C4F6E1</vt:lpwstr>
  </property>
</Properties>
</file>