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4537" w14:textId="08B3DFB4" w:rsidR="00A77B3E" w:rsidRPr="00BE6E4C" w:rsidRDefault="002F7EE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Book Antiqua" w:hAnsi="Book Antiqua" w:cs="Book Antiqua"/>
          <w:b/>
          <w:color w:val="000000"/>
          <w:lang w:eastAsia="zh-CN"/>
        </w:rPr>
        <w:instrText>ADDIN CNKISM.UserStyle</w:instrText>
      </w:r>
      <w:r w:rsidR="00AD64B0">
        <w:rPr>
          <w:rFonts w:ascii="Book Antiqua" w:hAnsi="Book Antiqua" w:cs="Book Antiqua"/>
          <w:b/>
          <w:color w:val="000000"/>
          <w:lang w:eastAsia="zh-CN"/>
        </w:rPr>
      </w:r>
      <w:r w:rsidR="00AD64B0">
        <w:rPr>
          <w:rFonts w:ascii="Book Antiqua" w:hAnsi="Book Antiqua" w:cs="Book Antiqua"/>
          <w:b/>
          <w:color w:val="000000"/>
          <w:lang w:eastAsia="zh-CN"/>
        </w:rPr>
        <w:fldChar w:fldCharType="separate"/>
      </w:r>
      <w:r>
        <w:rPr>
          <w:rFonts w:ascii="Book Antiqua" w:hAnsi="Book Antiqua" w:cs="Book Antiqua"/>
          <w:b/>
          <w:color w:val="000000"/>
          <w:lang w:eastAsia="zh-CN"/>
        </w:rPr>
        <w:fldChar w:fldCharType="end"/>
      </w:r>
      <w:r w:rsidR="00AB1761">
        <w:rPr>
          <w:rFonts w:ascii="Book Antiqua" w:eastAsia="Book Antiqua" w:hAnsi="Book Antiqua" w:cs="Book Antiqua"/>
          <w:b/>
          <w:color w:val="000000"/>
        </w:rPr>
        <w:t>Name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b/>
          <w:color w:val="000000"/>
        </w:rPr>
        <w:t>Journal: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Journal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color w:val="000000"/>
        </w:rPr>
        <w:t>Cases</w:t>
      </w:r>
    </w:p>
    <w:p w14:paraId="62914AD6" w14:textId="3492B45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70792</w:t>
      </w:r>
    </w:p>
    <w:p w14:paraId="7AF0D752" w14:textId="1EA1DBC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4814DFE" w14:textId="77777777" w:rsidR="00A77B3E" w:rsidRDefault="00A77B3E">
      <w:pPr>
        <w:spacing w:line="360" w:lineRule="auto"/>
        <w:jc w:val="both"/>
      </w:pPr>
    </w:p>
    <w:p w14:paraId="6F99BDA5" w14:textId="222A0CFF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reverses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anticoagulation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</w:p>
    <w:p w14:paraId="780D61DE" w14:textId="77777777" w:rsidR="00A77B3E" w:rsidRDefault="00A77B3E">
      <w:pPr>
        <w:spacing w:line="360" w:lineRule="auto"/>
        <w:jc w:val="both"/>
      </w:pPr>
    </w:p>
    <w:p w14:paraId="34707676" w14:textId="1EE23EB3" w:rsidR="00A77B3E" w:rsidRDefault="00574C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</w:t>
      </w:r>
      <w:r>
        <w:rPr>
          <w:rFonts w:ascii="Book Antiqua" w:hAnsi="Book Antiqua" w:cs="Book Antiqua" w:hint="eastAsia"/>
          <w:color w:val="000000"/>
          <w:lang w:eastAsia="zh-CN"/>
        </w:rPr>
        <w:t>ia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Y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F1C96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3F1C96">
        <w:rPr>
          <w:rFonts w:ascii="Book Antiqua" w:hAnsi="Book Antiqua" w:cs="Book Antiqua" w:hint="eastAsia"/>
          <w:i/>
          <w:color w:val="000000"/>
          <w:lang w:eastAsia="zh-CN"/>
        </w:rPr>
        <w:t>al.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bleeding</w:t>
      </w:r>
    </w:p>
    <w:p w14:paraId="597D6D99" w14:textId="77777777" w:rsidR="00A77B3E" w:rsidRDefault="00A77B3E">
      <w:pPr>
        <w:spacing w:line="360" w:lineRule="auto"/>
        <w:jc w:val="both"/>
      </w:pPr>
    </w:p>
    <w:p w14:paraId="3BE27387" w14:textId="414A633D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Shao</w:t>
      </w:r>
      <w:r w:rsidR="00574CB7">
        <w:rPr>
          <w:rFonts w:ascii="Book Antiqua" w:hAnsi="Book Antiqua" w:cs="Book Antiqua" w:hint="eastAsia"/>
          <w:color w:val="000000"/>
          <w:lang w:eastAsia="zh-CN"/>
        </w:rPr>
        <w:t>-H</w:t>
      </w:r>
      <w:r w:rsidR="00574CB7">
        <w:rPr>
          <w:rFonts w:ascii="Book Antiqua" w:eastAsia="Book Antiqua" w:hAnsi="Book Antiqua" w:cs="Book Antiqua"/>
          <w:color w:val="000000"/>
        </w:rPr>
        <w:t>ua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574CB7">
        <w:rPr>
          <w:rFonts w:ascii="Book Antiqua" w:hAnsi="Book Antiqua" w:cs="Book Antiqua" w:hint="eastAsia"/>
          <w:color w:val="000000"/>
          <w:lang w:eastAsia="zh-CN"/>
        </w:rPr>
        <w:t>-J</w:t>
      </w:r>
      <w:r w:rsidR="00574CB7">
        <w:rPr>
          <w:rFonts w:ascii="Book Antiqua" w:eastAsia="Book Antiqua" w:hAnsi="Book Antiqua" w:cs="Book Antiqua"/>
          <w:color w:val="000000"/>
        </w:rPr>
        <w:t>uan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</w:t>
      </w:r>
      <w:r w:rsidR="00574CB7">
        <w:rPr>
          <w:rFonts w:ascii="Book Antiqua" w:hAnsi="Book Antiqua" w:cs="Book Antiqua" w:hint="eastAsia"/>
          <w:color w:val="000000"/>
          <w:lang w:eastAsia="zh-CN"/>
        </w:rPr>
        <w:t>-X</w:t>
      </w:r>
      <w:r w:rsidR="00574CB7">
        <w:rPr>
          <w:rFonts w:ascii="Book Antiqua" w:eastAsia="Book Antiqua" w:hAnsi="Book Antiqua" w:cs="Book Antiqua"/>
          <w:color w:val="000000"/>
        </w:rPr>
        <w:t>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</w:t>
      </w:r>
      <w:r w:rsidR="00574CB7">
        <w:rPr>
          <w:rFonts w:ascii="Book Antiqua" w:hAnsi="Book Antiqua" w:cs="Book Antiqua" w:hint="eastAsia"/>
          <w:color w:val="000000"/>
          <w:lang w:eastAsia="zh-CN"/>
        </w:rPr>
        <w:t>-M</w:t>
      </w:r>
      <w:r w:rsidR="00574CB7">
        <w:rPr>
          <w:rFonts w:ascii="Book Antiqua" w:eastAsia="Book Antiqua" w:hAnsi="Book Antiqua" w:cs="Book Antiqua"/>
          <w:color w:val="000000"/>
        </w:rPr>
        <w:t>ei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</w:p>
    <w:p w14:paraId="7976DFED" w14:textId="77777777" w:rsidR="00A77B3E" w:rsidRDefault="00A77B3E">
      <w:pPr>
        <w:spacing w:line="360" w:lineRule="auto"/>
        <w:jc w:val="both"/>
      </w:pPr>
    </w:p>
    <w:p w14:paraId="607977CA" w14:textId="58800F6B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Shao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-H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ua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-J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Cui,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Quan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-X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4CB7" w:rsidRPr="00D6651E">
        <w:rPr>
          <w:rFonts w:ascii="Book Antiqua" w:hAnsi="Book Antiqua" w:cs="Book Antiqua" w:hint="eastAsia"/>
          <w:bCs/>
          <w:color w:val="000000"/>
          <w:lang w:eastAsia="zh-CN"/>
        </w:rPr>
        <w:t>Department</w:t>
      </w:r>
      <w:r w:rsidR="00D537F3" w:rsidRPr="00D537F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74CB7" w:rsidRPr="00D6651E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G</w:t>
      </w:r>
      <w:r w:rsidR="00574CB7">
        <w:rPr>
          <w:rFonts w:ascii="Book Antiqua" w:eastAsia="Book Antiqua" w:hAnsi="Book Antiqua" w:cs="Book Antiqua"/>
          <w:color w:val="000000"/>
        </w:rPr>
        <w:t>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EF5616B" w14:textId="77777777" w:rsidR="00A77B3E" w:rsidRDefault="00A77B3E">
      <w:pPr>
        <w:spacing w:line="360" w:lineRule="auto"/>
        <w:jc w:val="both"/>
      </w:pPr>
    </w:p>
    <w:p w14:paraId="16A701F7" w14:textId="1622EA5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</w:t>
      </w:r>
      <w:r w:rsidR="00574CB7">
        <w:rPr>
          <w:rFonts w:ascii="Book Antiqua" w:hAnsi="Book Antiqua" w:cs="Book Antiqua" w:hint="eastAsia"/>
          <w:b/>
          <w:bCs/>
          <w:color w:val="000000"/>
          <w:lang w:eastAsia="zh-CN"/>
        </w:rPr>
        <w:t>-M</w:t>
      </w:r>
      <w:r w:rsidR="00574CB7">
        <w:rPr>
          <w:rFonts w:ascii="Book Antiqua" w:eastAsia="Book Antiqua" w:hAnsi="Book Antiqua" w:cs="Book Antiqua"/>
          <w:b/>
          <w:bCs/>
          <w:color w:val="000000"/>
        </w:rPr>
        <w:t>ei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G</w:t>
      </w:r>
      <w:r w:rsidR="00574CB7">
        <w:rPr>
          <w:rFonts w:ascii="Book Antiqua" w:eastAsia="Book Antiqua" w:hAnsi="Book Antiqua" w:cs="Book Antiqua"/>
          <w:color w:val="000000"/>
        </w:rPr>
        <w:t>eneral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P</w:t>
      </w:r>
      <w:r w:rsidR="00574CB7">
        <w:rPr>
          <w:rFonts w:ascii="Book Antiqua" w:eastAsia="Book Antiqua" w:hAnsi="Book Antiqua" w:cs="Book Antiqua"/>
          <w:color w:val="000000"/>
        </w:rPr>
        <w:t>ractice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Tiancun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100049,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0032E22" w14:textId="77777777" w:rsidR="00A77B3E" w:rsidRDefault="00A77B3E">
      <w:pPr>
        <w:spacing w:line="360" w:lineRule="auto"/>
        <w:jc w:val="both"/>
      </w:pPr>
    </w:p>
    <w:p w14:paraId="350D9A2E" w14:textId="3DA2BCA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8"/>
        </w:rPr>
        <w:t>Author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8"/>
        </w:rPr>
        <w:t>contributions: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574CB7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patient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4CB7">
        <w:rPr>
          <w:rFonts w:ascii="Book Antiqua" w:hAnsi="Book Antiqua" w:cs="Book Antiqua" w:hint="eastAsia"/>
          <w:color w:val="000000"/>
          <w:lang w:eastAsia="zh-CN"/>
        </w:rPr>
        <w:t>treatment</w:t>
      </w:r>
      <w:r w:rsidR="00574AA9"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QX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purchased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F336FE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574CB7">
        <w:rPr>
          <w:rFonts w:ascii="Book Antiqua" w:hAnsi="Book Antiqua" w:cs="Book Antiqua" w:hint="eastAsia"/>
          <w:color w:val="000000"/>
          <w:lang w:eastAsia="zh-CN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5E0A9A8" w14:textId="77777777" w:rsidR="00A77B3E" w:rsidRDefault="00A77B3E">
      <w:pPr>
        <w:spacing w:line="360" w:lineRule="auto"/>
        <w:jc w:val="both"/>
      </w:pPr>
    </w:p>
    <w:p w14:paraId="76D96ECA" w14:textId="4E7ED7B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7852" w:rsidRPr="00B30000">
        <w:rPr>
          <w:rFonts w:ascii="Book Antiqua" w:hAnsi="Book Antiqua" w:cs="Book Antiqua"/>
          <w:bCs/>
          <w:color w:val="000000"/>
          <w:lang w:eastAsia="zh-CN"/>
        </w:rPr>
        <w:t>Department</w:t>
      </w:r>
      <w:r w:rsidR="00D537F3" w:rsidRPr="00D537F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A7852" w:rsidRPr="00B30000">
        <w:rPr>
          <w:rFonts w:ascii="Book Antiqua" w:hAnsi="Book Antiqua" w:cs="Book Antiqua"/>
          <w:bCs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F1C96">
        <w:rPr>
          <w:rFonts w:ascii="Book Antiqua" w:hAnsi="Book Antiqua" w:cs="Book Antiqua" w:hint="eastAsia"/>
          <w:color w:val="000000"/>
          <w:lang w:eastAsia="zh-CN"/>
        </w:rPr>
        <w:t>G</w:t>
      </w:r>
      <w:r w:rsidR="008A7852">
        <w:rPr>
          <w:rFonts w:ascii="Book Antiqua" w:eastAsia="Book Antiqua" w:hAnsi="Book Antiqua" w:cs="Book Antiqua"/>
          <w:color w:val="000000"/>
        </w:rPr>
        <w:t>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Haidian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District,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100039,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zy815925@163.com</w:t>
      </w:r>
    </w:p>
    <w:p w14:paraId="0E7C36A5" w14:textId="77777777" w:rsidR="00A77B3E" w:rsidRDefault="00A77B3E">
      <w:pPr>
        <w:spacing w:line="360" w:lineRule="auto"/>
        <w:jc w:val="both"/>
      </w:pPr>
    </w:p>
    <w:p w14:paraId="4E4903C6" w14:textId="3BC0465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22A6BB" w14:textId="25771B3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October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30,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9D2E81" w:rsidRPr="00607F28">
        <w:rPr>
          <w:rFonts w:ascii="Book Antiqua" w:eastAsia="Book Antiqua" w:hAnsi="Book Antiqua" w:cs="Book Antiqua"/>
          <w:color w:val="000000"/>
        </w:rPr>
        <w:t>2021</w:t>
      </w:r>
    </w:p>
    <w:p w14:paraId="66635209" w14:textId="327190B1" w:rsidR="00A77B3E" w:rsidRPr="00B97C47" w:rsidRDefault="00AB17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D5FB4" w:rsidRPr="00B97C47">
        <w:rPr>
          <w:rFonts w:ascii="Book Antiqua" w:eastAsia="Book Antiqua" w:hAnsi="Book Antiqua" w:cs="Book Antiqua"/>
          <w:color w:val="000000"/>
        </w:rPr>
        <w:t>January 27, 2022</w:t>
      </w:r>
    </w:p>
    <w:p w14:paraId="0B4F1803" w14:textId="3906B431" w:rsidR="00A77B3E" w:rsidRPr="00B97C47" w:rsidRDefault="00AB17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97C47" w:rsidRPr="00B97C47">
        <w:rPr>
          <w:rFonts w:ascii="Book Antiqua, serif" w:hAnsi="Book Antiqua, serif"/>
          <w:color w:val="000000"/>
          <w:sz w:val="21"/>
          <w:szCs w:val="21"/>
          <w:shd w:val="clear" w:color="auto" w:fill="FFFFFF"/>
        </w:rPr>
        <w:t xml:space="preserve"> </w:t>
      </w:r>
      <w:r w:rsidR="00B97C47" w:rsidRPr="00B97C47">
        <w:rPr>
          <w:rFonts w:ascii="Book Antiqua" w:eastAsia="Book Antiqua" w:hAnsi="Book Antiqua" w:cs="Book Antiqua"/>
          <w:color w:val="000000"/>
        </w:rPr>
        <w:t>March 16, 2022</w:t>
      </w:r>
      <w:r w:rsidR="00D537F3" w:rsidRPr="00B97C47">
        <w:rPr>
          <w:rFonts w:ascii="Book Antiqua" w:eastAsia="Book Antiqua" w:hAnsi="Book Antiqua" w:cs="Book Antiqua"/>
          <w:color w:val="000000"/>
        </w:rPr>
        <w:t xml:space="preserve"> </w:t>
      </w:r>
    </w:p>
    <w:p w14:paraId="42D9BD61" w14:textId="77777777" w:rsidR="00A45D47" w:rsidRDefault="00A45D47">
      <w:pPr>
        <w:spacing w:line="360" w:lineRule="auto"/>
        <w:jc w:val="both"/>
      </w:pPr>
    </w:p>
    <w:p w14:paraId="1059729C" w14:textId="46F512A9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528E85F0" w14:textId="77777777" w:rsidR="00A77B3E" w:rsidRPr="000374F8" w:rsidRDefault="00AB1761">
      <w:pPr>
        <w:spacing w:line="360" w:lineRule="auto"/>
        <w:jc w:val="both"/>
      </w:pPr>
      <w:r w:rsidRPr="000374F8">
        <w:rPr>
          <w:rFonts w:ascii="Book Antiqua" w:eastAsia="Book Antiqua" w:hAnsi="Book Antiqua" w:cs="Book Antiqua"/>
          <w:color w:val="000000"/>
        </w:rPr>
        <w:t>BACKGROUND</w:t>
      </w:r>
    </w:p>
    <w:p w14:paraId="40B53C07" w14:textId="4CCDBE69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instructions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recommend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110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</w:t>
      </w:r>
      <w:r w:rsidR="00574AA9">
        <w:rPr>
          <w:rStyle w:val="jlqj4b"/>
          <w:rFonts w:ascii="Book Antiqua" w:eastAsia="Book Antiqua" w:hAnsi="Book Antiqua" w:cs="Book Antiqua"/>
          <w:color w:val="000000"/>
        </w:rPr>
        <w:t>il</w:t>
      </w:r>
      <w:r>
        <w:rPr>
          <w:rStyle w:val="jlqj4b"/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performing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least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moderate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impairment.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insidiously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worsening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insufficiency,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accumulate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abnormally,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necessitating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anticoagulation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severe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widespread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stomach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bleeding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</w:p>
    <w:p w14:paraId="03CCAB58" w14:textId="77777777" w:rsidR="00A77B3E" w:rsidRDefault="00A77B3E">
      <w:pPr>
        <w:spacing w:line="360" w:lineRule="auto"/>
        <w:jc w:val="both"/>
      </w:pPr>
    </w:p>
    <w:p w14:paraId="5DD5F76E" w14:textId="29FB47C5" w:rsidR="00A77B3E" w:rsidRPr="005E6027" w:rsidRDefault="00AB1761">
      <w:pPr>
        <w:spacing w:line="360" w:lineRule="auto"/>
        <w:jc w:val="both"/>
      </w:pPr>
      <w:r w:rsidRPr="005E6027"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Pr="005E6027">
        <w:rPr>
          <w:rFonts w:ascii="Book Antiqua" w:eastAsia="Book Antiqua" w:hAnsi="Book Antiqua" w:cs="Book Antiqua"/>
          <w:color w:val="000000"/>
        </w:rPr>
        <w:t>SUMMARY</w:t>
      </w:r>
    </w:p>
    <w:p w14:paraId="74821418" w14:textId="1FEDDCF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took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110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</w:t>
      </w:r>
      <w:r w:rsidR="00574AA9">
        <w:rPr>
          <w:rStyle w:val="jlqj4b"/>
          <w:rFonts w:ascii="Book Antiqua" w:eastAsia="Book Antiqua" w:hAnsi="Book Antiqua" w:cs="Book Antiqua"/>
          <w:color w:val="000000"/>
        </w:rPr>
        <w:t>il</w:t>
      </w:r>
      <w:r>
        <w:rPr>
          <w:rStyle w:val="jlqj4b"/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directed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lessen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chance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1F5AEC" w:rsidRPr="001F5AEC">
        <w:rPr>
          <w:rStyle w:val="jlqj4b"/>
          <w:rFonts w:ascii="Book Antiqua" w:eastAsia="Book Antiqua" w:hAnsi="Book Antiqua" w:cs="Book Antiqua"/>
          <w:color w:val="000000"/>
        </w:rPr>
        <w:t>transported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melena.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3C379D" w:rsidRPr="003C379D">
        <w:rPr>
          <w:rFonts w:ascii="Book Antiqua" w:eastAsia="Book Antiqua" w:hAnsi="Book Antiqua" w:cs="Book Antiqua"/>
          <w:color w:val="000000"/>
        </w:rPr>
        <w:t>revealed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574AA9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74AA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loss-induced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abnormalities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misconception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manner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counteract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dabigatran's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13F3A" w:rsidRPr="00A13F3A">
        <w:rPr>
          <w:rStyle w:val="jlqj4b"/>
          <w:rFonts w:ascii="Book Antiqua" w:eastAsia="Book Antiqua" w:hAnsi="Book Antiqua" w:cs="Book Antiqua"/>
          <w:color w:val="000000"/>
        </w:rPr>
        <w:t>impact</w:t>
      </w:r>
      <w:r w:rsidR="008A7852">
        <w:rPr>
          <w:rStyle w:val="jlqj4b"/>
          <w:rFonts w:ascii="Book Antiqua" w:hAnsi="Book Antiqua" w:cs="Book Antiqua" w:hint="eastAsia"/>
          <w:color w:val="000000"/>
          <w:lang w:eastAsia="zh-CN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later,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17.4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signs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</w:p>
    <w:p w14:paraId="3D49D474" w14:textId="77777777" w:rsidR="00A77B3E" w:rsidRDefault="00A77B3E">
      <w:pPr>
        <w:spacing w:line="360" w:lineRule="auto"/>
        <w:jc w:val="both"/>
      </w:pPr>
    </w:p>
    <w:p w14:paraId="54684A2B" w14:textId="77777777" w:rsidR="00A77B3E" w:rsidRPr="00804960" w:rsidRDefault="00AB1761">
      <w:pPr>
        <w:spacing w:line="360" w:lineRule="auto"/>
        <w:jc w:val="both"/>
      </w:pPr>
      <w:r w:rsidRPr="00804960">
        <w:rPr>
          <w:rFonts w:ascii="Book Antiqua" w:eastAsia="Book Antiqua" w:hAnsi="Book Antiqua" w:cs="Book Antiqua"/>
          <w:color w:val="000000"/>
        </w:rPr>
        <w:t>CONCLUSION</w:t>
      </w:r>
    </w:p>
    <w:p w14:paraId="3FF24044" w14:textId="00EF92E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4B985914" w14:textId="77777777" w:rsidR="00A77B3E" w:rsidRDefault="00A77B3E">
      <w:pPr>
        <w:spacing w:line="360" w:lineRule="auto"/>
        <w:jc w:val="both"/>
      </w:pPr>
    </w:p>
    <w:p w14:paraId="2E9E2F15" w14:textId="32D062A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580F1CE" w14:textId="77777777" w:rsidR="00A77B3E" w:rsidRDefault="00A77B3E">
      <w:pPr>
        <w:spacing w:line="360" w:lineRule="auto"/>
        <w:jc w:val="both"/>
      </w:pPr>
    </w:p>
    <w:p w14:paraId="1CE0858B" w14:textId="77777777" w:rsidR="00265825" w:rsidRPr="00E61B50" w:rsidRDefault="00265825" w:rsidP="002658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C6FDC31" w14:textId="77777777" w:rsidR="00265825" w:rsidRPr="00E61B50" w:rsidRDefault="00265825" w:rsidP="00265825">
      <w:pPr>
        <w:spacing w:line="360" w:lineRule="auto"/>
        <w:jc w:val="both"/>
        <w:rPr>
          <w:lang w:eastAsia="zh-CN"/>
        </w:rPr>
      </w:pPr>
    </w:p>
    <w:p w14:paraId="29D70C09" w14:textId="6FED63B8" w:rsidR="00B97C47" w:rsidRDefault="00265825" w:rsidP="002658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AB1761">
        <w:rPr>
          <w:rFonts w:ascii="Book Antiqua" w:eastAsia="Book Antiqua" w:hAnsi="Book Antiqua" w:cs="Book Antiqua"/>
          <w:color w:val="000000"/>
        </w:rPr>
        <w:t>Jia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</w:t>
      </w:r>
      <w:r w:rsidR="00C60D9F">
        <w:rPr>
          <w:rFonts w:ascii="Book Antiqua" w:eastAsia="Book Antiqua" w:hAnsi="Book Antiqua" w:cs="Book Antiqua"/>
          <w:color w:val="000000"/>
        </w:rPr>
        <w:t>H</w:t>
      </w:r>
      <w:r w:rsidR="00AB1761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Cui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</w:t>
      </w:r>
      <w:r w:rsidR="00C60D9F">
        <w:rPr>
          <w:rFonts w:ascii="Book Antiqua" w:eastAsia="Book Antiqua" w:hAnsi="Book Antiqua" w:cs="Book Antiqua"/>
          <w:color w:val="000000"/>
        </w:rPr>
        <w:t>J</w:t>
      </w:r>
      <w:r w:rsidR="00AB1761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Q</w:t>
      </w:r>
      <w:r w:rsidR="00C60D9F">
        <w:rPr>
          <w:rFonts w:ascii="Book Antiqua" w:eastAsia="Book Antiqua" w:hAnsi="Book Antiqua" w:cs="Book Antiqua"/>
          <w:color w:val="000000"/>
        </w:rPr>
        <w:t>X</w:t>
      </w:r>
      <w:r w:rsidR="00AB1761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X,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Y</w:t>
      </w:r>
      <w:r w:rsidR="00C60D9F">
        <w:rPr>
          <w:rFonts w:ascii="Book Antiqua" w:eastAsia="Book Antiqua" w:hAnsi="Book Antiqua" w:cs="Book Antiqua"/>
          <w:color w:val="000000"/>
        </w:rPr>
        <w:t>M</w:t>
      </w:r>
      <w:r w:rsidR="00AB1761"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reverses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anticoagulation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bleeding: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report.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2021</w:t>
      </w:r>
      <w:r w:rsidR="00B97C47" w:rsidRPr="00B97C47">
        <w:rPr>
          <w:rFonts w:ascii="Book Antiqua" w:eastAsia="Book Antiqua" w:hAnsi="Book Antiqua" w:cs="Book Antiqua"/>
          <w:color w:val="000000"/>
        </w:rPr>
        <w:t xml:space="preserve">; 10(8): </w:t>
      </w:r>
      <w:r>
        <w:rPr>
          <w:rFonts w:ascii="Book Antiqua" w:eastAsia="Book Antiqua" w:hAnsi="Book Antiqua" w:cs="Book Antiqua"/>
          <w:color w:val="000000"/>
        </w:rPr>
        <w:t>2537</w:t>
      </w:r>
      <w:r w:rsidR="00B97C47" w:rsidRPr="00B97C4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2542</w:t>
      </w:r>
    </w:p>
    <w:p w14:paraId="758EDEE3" w14:textId="0E83C370" w:rsidR="004827AA" w:rsidRDefault="00EA7F7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5825">
        <w:rPr>
          <w:rFonts w:ascii="Book Antiqua" w:eastAsia="Book Antiqua" w:hAnsi="Book Antiqua" w:cs="Book Antiqua"/>
          <w:b/>
          <w:bCs/>
        </w:rPr>
        <w:t xml:space="preserve">URL: </w:t>
      </w:r>
      <w:r w:rsidRPr="00265825">
        <w:rPr>
          <w:rFonts w:ascii="Book Antiqua" w:eastAsia="Book Antiqua" w:hAnsi="Book Antiqua" w:cs="Book Antiqua"/>
        </w:rPr>
        <w:t>https://www.wjgnet.com/2307-8960/full/v10/i8/</w:t>
      </w:r>
      <w:r w:rsidR="00265825">
        <w:rPr>
          <w:rFonts w:ascii="Book Antiqua" w:eastAsia="Book Antiqua" w:hAnsi="Book Antiqua" w:cs="Book Antiqua"/>
          <w:color w:val="000000"/>
        </w:rPr>
        <w:t>2537</w:t>
      </w:r>
      <w:r w:rsidRPr="00265825">
        <w:rPr>
          <w:rFonts w:ascii="Book Antiqua" w:eastAsia="Book Antiqua" w:hAnsi="Book Antiqua" w:cs="Book Antiqua"/>
        </w:rPr>
        <w:t>.htm</w:t>
      </w:r>
    </w:p>
    <w:p w14:paraId="426A4CC3" w14:textId="1D82E980" w:rsidR="00A77B3E" w:rsidRDefault="00B97C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65825">
        <w:rPr>
          <w:rFonts w:ascii="Book Antiqua" w:eastAsia="Book Antiqua" w:hAnsi="Book Antiqua" w:cs="Book Antiqua"/>
          <w:b/>
          <w:bCs/>
          <w:color w:val="000000"/>
        </w:rPr>
        <w:t>DOI:</w:t>
      </w:r>
      <w:r w:rsidR="004827AA" w:rsidRPr="0026582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7C47">
        <w:rPr>
          <w:rFonts w:ascii="Book Antiqua" w:eastAsia="Book Antiqua" w:hAnsi="Book Antiqua" w:cs="Book Antiqua"/>
          <w:color w:val="000000"/>
        </w:rPr>
        <w:t>https://dx.doi.org/10.12998/wjcc.v10.i8.</w:t>
      </w:r>
      <w:r w:rsidR="00265825" w:rsidRPr="00265825">
        <w:rPr>
          <w:rFonts w:ascii="Book Antiqua" w:eastAsia="Book Antiqua" w:hAnsi="Book Antiqua" w:cs="Book Antiqua"/>
          <w:color w:val="000000"/>
        </w:rPr>
        <w:t xml:space="preserve"> </w:t>
      </w:r>
      <w:r w:rsidR="00265825">
        <w:rPr>
          <w:rFonts w:ascii="Book Antiqua" w:eastAsia="Book Antiqua" w:hAnsi="Book Antiqua" w:cs="Book Antiqua"/>
          <w:color w:val="000000"/>
        </w:rPr>
        <w:t>2537</w:t>
      </w:r>
    </w:p>
    <w:p w14:paraId="69BF30CE" w14:textId="77777777" w:rsidR="004827AA" w:rsidRDefault="004827AA">
      <w:pPr>
        <w:spacing w:line="360" w:lineRule="auto"/>
        <w:jc w:val="both"/>
      </w:pPr>
    </w:p>
    <w:p w14:paraId="030FBF8B" w14:textId="6126040B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half-lives,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724C5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3.5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A3329E" w:rsidRPr="00B30000">
        <w:rPr>
          <w:rFonts w:ascii="Book Antiqua" w:eastAsia="Book Antiqua" w:hAnsi="Book Antiqua" w:cs="Book Antiqua"/>
        </w:rPr>
        <w:t>.</w:t>
      </w:r>
      <w:r w:rsidR="00D537F3" w:rsidRPr="00D537F3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(except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TT),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possibly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due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to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of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drug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756FC">
        <w:rPr>
          <w:rFonts w:ascii="Book Antiqua" w:hAnsi="Book Antiqua" w:cs="Book Antiqua"/>
          <w:color w:val="000000"/>
          <w:lang w:eastAsia="zh-CN"/>
        </w:rPr>
        <w:t>adminis</w:t>
      </w:r>
      <w:r w:rsidR="00C231A2">
        <w:rPr>
          <w:rFonts w:ascii="Book Antiqua" w:hAnsi="Book Antiqua" w:cs="Book Antiqua" w:hint="eastAsia"/>
          <w:color w:val="000000"/>
          <w:lang w:eastAsia="zh-CN"/>
        </w:rPr>
        <w:t>tered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756FC">
        <w:rPr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231A2">
        <w:rPr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C231A2">
        <w:rPr>
          <w:rFonts w:ascii="Book Antiqua" w:hAnsi="Book Antiqua" w:cs="Book Antiqua" w:hint="eastAsia"/>
          <w:color w:val="000000"/>
          <w:lang w:eastAsia="zh-CN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C231A2">
        <w:rPr>
          <w:rFonts w:ascii="Book Antiqua" w:hAnsi="Book Antiqua" w:cs="Book Antiqua" w:hint="eastAsia"/>
          <w:color w:val="000000"/>
          <w:lang w:eastAsia="zh-CN"/>
        </w:rPr>
        <w:t>ping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E33DDCA" w14:textId="77777777" w:rsidR="00A77B3E" w:rsidRDefault="00A77B3E">
      <w:pPr>
        <w:spacing w:line="360" w:lineRule="auto"/>
        <w:jc w:val="both"/>
      </w:pPr>
    </w:p>
    <w:p w14:paraId="3269E6F4" w14:textId="77777777" w:rsidR="000C1AE0" w:rsidRDefault="000C1AE0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0C1AE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03AE4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7029A0" w14:textId="43BC1133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direct-acting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initially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approved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systemic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embolism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nonvalvular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(AF)</w:t>
      </w:r>
      <w:r w:rsidR="00F60104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[1,</w:t>
      </w:r>
      <w:r w:rsidR="00F60104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considered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require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adjustment,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except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insufficiency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(RI),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advanced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low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weight</w:t>
      </w:r>
      <w:r w:rsidR="008566C8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8566C8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42F9AF13" w14:textId="51580DAE" w:rsidR="00A77B3E" w:rsidRDefault="00AB1761">
      <w:pPr>
        <w:spacing w:line="360" w:lineRule="auto"/>
        <w:ind w:firstLine="42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dose-adjusted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major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(GI)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described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cerebral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introduced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antidote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December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2015,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safety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efficacy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proven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various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studies</w:t>
      </w:r>
      <w:r w:rsidR="006F63EA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F63EA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Style w:val="jlqj4b"/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however,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data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still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limited,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especially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Asians.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successfully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restored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rescue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7310B6">
        <w:rPr>
          <w:rStyle w:val="jlqj4b"/>
          <w:rFonts w:ascii="Book Antiqua" w:hAnsi="Book Antiqua" w:cs="Book Antiqua" w:hint="eastAsia"/>
          <w:color w:val="000000"/>
          <w:lang w:eastAsia="zh-CN"/>
        </w:rPr>
        <w:t>this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</w:p>
    <w:p w14:paraId="7FBE3E78" w14:textId="77777777" w:rsidR="00A77B3E" w:rsidRDefault="00A77B3E">
      <w:pPr>
        <w:spacing w:line="360" w:lineRule="auto"/>
        <w:ind w:firstLine="420"/>
        <w:jc w:val="both"/>
      </w:pPr>
    </w:p>
    <w:p w14:paraId="406F883D" w14:textId="5233115C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11CA75BD" w14:textId="5559237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F138484" w14:textId="4D519646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January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26,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2021,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admitted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our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melena,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never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before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began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previous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4ACF7FEA" w14:textId="77777777" w:rsidR="00A77B3E" w:rsidRDefault="00A77B3E">
      <w:pPr>
        <w:spacing w:line="360" w:lineRule="auto"/>
        <w:jc w:val="both"/>
      </w:pPr>
    </w:p>
    <w:p w14:paraId="156B042F" w14:textId="1AED03D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58C4030" w14:textId="7218CCC9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Four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prior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incident,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abdominal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discomfort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appetite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loss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without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recognizable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precipitating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factors.</w:t>
      </w:r>
      <w:r w:rsidR="00D537F3" w:rsidRPr="00D537F3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087455C" w14:textId="77777777" w:rsidR="00A77B3E" w:rsidRDefault="00A77B3E">
      <w:pPr>
        <w:spacing w:line="360" w:lineRule="auto"/>
        <w:jc w:val="both"/>
      </w:pPr>
    </w:p>
    <w:p w14:paraId="507C9EAE" w14:textId="111833A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7E06542" w14:textId="1B927B5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had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been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Fonts w:ascii="Book Antiqua" w:hAnsi="Book Antiqua" w:cs="Book Antiqua" w:hint="eastAsia"/>
          <w:color w:val="000000"/>
          <w:lang w:eastAsia="zh-CN"/>
        </w:rPr>
        <w:t>taking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stopped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taking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least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before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hospital.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hypertension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coronary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lastRenderedPageBreak/>
        <w:t>atherosclerotic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type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diabetes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chronic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(creatinine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clearance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30</w:t>
      </w:r>
      <w:r w:rsidR="00724C5E">
        <w:rPr>
          <w:rStyle w:val="jlqj4b"/>
          <w:rFonts w:ascii="Book Antiqua" w:eastAsia="Book Antiqua" w:hAnsi="Book Antiqua" w:cs="Book Antiqua"/>
          <w:color w:val="000000"/>
        </w:rPr>
        <w:t>-</w:t>
      </w:r>
      <w:r>
        <w:rPr>
          <w:rStyle w:val="jlqj4b"/>
          <w:rFonts w:ascii="Book Antiqua" w:eastAsia="Book Antiqua" w:hAnsi="Book Antiqua" w:cs="Book Antiqua"/>
          <w:color w:val="000000"/>
        </w:rPr>
        <w:t>50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/</w:t>
      </w:r>
      <w:r>
        <w:rPr>
          <w:rStyle w:val="jlqj4b"/>
          <w:rFonts w:ascii="Book Antiqua" w:eastAsia="Book Antiqua" w:hAnsi="Book Antiqua" w:cs="Book Antiqua"/>
          <w:color w:val="000000"/>
        </w:rPr>
        <w:t>min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1153FC">
        <w:rPr>
          <w:rStyle w:val="jlqj4b"/>
          <w:rFonts w:ascii="Book Antiqua" w:hAnsi="Book Antiqua" w:cs="Book Antiqua" w:hint="eastAsia"/>
          <w:color w:val="000000"/>
          <w:lang w:eastAsia="zh-CN"/>
        </w:rPr>
        <w:t>per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1.73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6020D">
        <w:rPr>
          <w:rStyle w:val="jlqj4b"/>
          <w:rFonts w:ascii="Book Antiqua" w:eastAsia="Book Antiqua" w:hAnsi="Book Antiqua" w:cs="Book Antiqua"/>
          <w:color w:val="000000"/>
        </w:rPr>
        <w:t>m</w:t>
      </w:r>
      <w:r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Style w:val="jlqj4b"/>
          <w:rFonts w:ascii="Book Antiqua" w:eastAsia="Book Antiqua" w:hAnsi="Book Antiqua" w:cs="Book Antiqua"/>
          <w:color w:val="000000"/>
        </w:rPr>
        <w:t>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bookmarkStart w:id="6" w:name="_Hlk91443395"/>
      <w:r w:rsidR="000562FC">
        <w:rPr>
          <w:rStyle w:val="jlqj4b"/>
          <w:rFonts w:ascii="Book Antiqua" w:eastAsia="Book Antiqua" w:hAnsi="Book Antiqua" w:cs="Book Antiqua"/>
          <w:color w:val="000000"/>
        </w:rPr>
        <w:t>Th</w:t>
      </w:r>
      <w:r w:rsidR="000562FC">
        <w:rPr>
          <w:rStyle w:val="jlqj4b"/>
          <w:rFonts w:ascii="Book Antiqua" w:hAnsi="Book Antiqua" w:cs="Book Antiqua" w:hint="eastAsia"/>
          <w:color w:val="000000"/>
          <w:lang w:eastAsia="zh-CN"/>
        </w:rPr>
        <w:t>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bookmarkEnd w:id="6"/>
      <w:r>
        <w:rPr>
          <w:rStyle w:val="jlqj4b"/>
          <w:rFonts w:ascii="Book Antiqua" w:eastAsia="Book Antiqua" w:hAnsi="Book Antiqua" w:cs="Book Antiqua"/>
          <w:color w:val="000000"/>
        </w:rPr>
        <w:t>occurred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0562FC">
        <w:rPr>
          <w:rStyle w:val="jlqj4b"/>
          <w:rFonts w:ascii="Book Antiqua" w:hAnsi="Book Antiqua" w:cs="Book Antiqua" w:hint="eastAsia"/>
          <w:color w:val="000000"/>
          <w:lang w:eastAsia="zh-CN"/>
        </w:rPr>
        <w:t>underwent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surgery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bladder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cancer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thyroid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nodule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surgery.</w:t>
      </w:r>
    </w:p>
    <w:p w14:paraId="56996BF8" w14:textId="77777777" w:rsidR="00A77B3E" w:rsidRDefault="00A77B3E">
      <w:pPr>
        <w:spacing w:line="360" w:lineRule="auto"/>
        <w:jc w:val="both"/>
      </w:pPr>
    </w:p>
    <w:p w14:paraId="56CFDE83" w14:textId="68CE348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F98241F" w14:textId="46153B0D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</w:p>
    <w:p w14:paraId="0AAEC5FB" w14:textId="77777777" w:rsidR="00A77B3E" w:rsidRDefault="00A77B3E">
      <w:pPr>
        <w:spacing w:line="360" w:lineRule="auto"/>
        <w:jc w:val="both"/>
      </w:pPr>
    </w:p>
    <w:p w14:paraId="6DEDE674" w14:textId="5750142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AAED9CA" w14:textId="253B49C8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arrival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temperature,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respiratory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pressure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36.3°C,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90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bpm,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18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breaths/min,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105/80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mmHg,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respectively.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palpebral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conjunctiva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complexion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pale,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soft,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slight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tenderness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bowel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sounds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6/min.</w:t>
      </w:r>
    </w:p>
    <w:p w14:paraId="00E5F8B9" w14:textId="77777777" w:rsidR="00A77B3E" w:rsidRDefault="00A77B3E">
      <w:pPr>
        <w:spacing w:line="360" w:lineRule="auto"/>
        <w:jc w:val="both"/>
      </w:pPr>
    </w:p>
    <w:p w14:paraId="1183789F" w14:textId="480FC590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BB73411" w14:textId="28C9461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routine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count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6890/</w:t>
      </w:r>
      <w:r w:rsidR="008D733F">
        <w:rPr>
          <w:rStyle w:val="jlqj4b"/>
          <w:rFonts w:ascii="Book Antiqua" w:eastAsia="Book Antiqua" w:hAnsi="Book Antiqua" w:cs="Book Antiqua"/>
          <w:color w:val="000000"/>
        </w:rPr>
        <w:t>μ</w:t>
      </w:r>
      <w:r>
        <w:rPr>
          <w:rStyle w:val="jlqj4b"/>
          <w:rFonts w:ascii="Book Antiqua" w:eastAsia="Book Antiqua" w:hAnsi="Book Antiqua" w:cs="Book Antiqua"/>
          <w:color w:val="000000"/>
        </w:rPr>
        <w:t>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hemoglobin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g/dL.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results: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international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normalized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ratio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(INR),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1.20.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biochemical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parameters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follows: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albumin,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34.6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g/L;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urea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nitrogen,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26.96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mmol/L;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251.0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351A35">
        <w:rPr>
          <w:rStyle w:val="jlqj4b"/>
          <w:rFonts w:ascii="Book Antiqua" w:eastAsia="Book Antiqua" w:hAnsi="Book Antiqua" w:cs="Book Antiqua"/>
          <w:color w:val="000000"/>
        </w:rPr>
        <w:t>μ</w:t>
      </w:r>
      <w:r>
        <w:rPr>
          <w:rStyle w:val="jlqj4b"/>
          <w:rFonts w:ascii="Book Antiqua" w:eastAsia="Book Antiqua" w:hAnsi="Book Antiqua" w:cs="Book Antiqua"/>
          <w:color w:val="000000"/>
        </w:rPr>
        <w:t>mol/L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(Table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1).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tumor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markers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sym w:font="Symbol" w:char="F061"/>
      </w:r>
      <w:r>
        <w:rPr>
          <w:rStyle w:val="jlqj4b"/>
          <w:rFonts w:ascii="Book Antiqua" w:eastAsia="Book Antiqua" w:hAnsi="Book Antiqua" w:cs="Book Antiqua"/>
          <w:color w:val="000000"/>
        </w:rPr>
        <w:t>-fetoprotein,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carcinoembryonic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antigen,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cancer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antigen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(CA)</w:t>
      </w:r>
      <w:r>
        <w:rPr>
          <w:rStyle w:val="jlqj4b"/>
          <w:rFonts w:ascii="Book Antiqua" w:eastAsia="Book Antiqua" w:hAnsi="Book Antiqua" w:cs="Book Antiqua"/>
          <w:color w:val="000000"/>
        </w:rPr>
        <w:t>199,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CA</w:t>
      </w:r>
      <w:r>
        <w:rPr>
          <w:rStyle w:val="jlqj4b"/>
          <w:rFonts w:ascii="Book Antiqua" w:eastAsia="Book Antiqua" w:hAnsi="Book Antiqua" w:cs="Book Antiqua"/>
          <w:color w:val="000000"/>
        </w:rPr>
        <w:t>125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 w:rsidRPr="00BA1DB8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13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urea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breath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6B35ED">
        <w:rPr>
          <w:rStyle w:val="jlqj4b"/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Style w:val="jlqj4b"/>
          <w:rFonts w:ascii="Book Antiqua" w:hAnsi="Book Antiqua" w:cs="Book Antiqu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for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/>
          <w:color w:val="000000"/>
          <w:lang w:eastAsia="zh-CN"/>
        </w:rPr>
        <w:t>detection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of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Helicobacter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3F1C96">
        <w:rPr>
          <w:rStyle w:val="jlqj4b"/>
          <w:rFonts w:ascii="Book Antiqua" w:hAnsi="Book Antiqua" w:cs="Book Antiqua" w:hint="eastAsia"/>
          <w:color w:val="000000"/>
          <w:lang w:eastAsia="zh-CN"/>
        </w:rPr>
        <w:t>(</w:t>
      </w:r>
      <w:r w:rsidR="003F1C96" w:rsidRPr="00B30000">
        <w:rPr>
          <w:rStyle w:val="jlqj4b"/>
          <w:rFonts w:ascii="Book Antiqua" w:hAnsi="Book Antiqua" w:cs="Book Antiqua"/>
          <w:i/>
          <w:color w:val="000000"/>
          <w:lang w:eastAsia="zh-CN"/>
        </w:rPr>
        <w:t>H.</w:t>
      </w:r>
      <w:r w:rsidR="00D537F3" w:rsidRPr="00D537F3">
        <w:rPr>
          <w:rStyle w:val="jlqj4b"/>
          <w:rFonts w:ascii="Book Antiqua" w:hAnsi="Book Antiqua" w:cs="Book Antiqua"/>
          <w:color w:val="000000"/>
          <w:lang w:eastAsia="zh-CN"/>
        </w:rPr>
        <w:t xml:space="preserve"> </w:t>
      </w:r>
      <w:r w:rsidR="003F1C96" w:rsidRPr="00B30000">
        <w:rPr>
          <w:rStyle w:val="jlqj4b"/>
          <w:rFonts w:ascii="Book Antiqua" w:hAnsi="Book Antiqua" w:cs="Book Antiqua"/>
          <w:i/>
          <w:color w:val="000000"/>
          <w:lang w:eastAsia="zh-CN"/>
        </w:rPr>
        <w:t>pylori</w:t>
      </w:r>
      <w:r w:rsidR="003F1C96">
        <w:rPr>
          <w:rStyle w:val="jlqj4b"/>
          <w:rFonts w:ascii="Book Antiqua" w:hAnsi="Book Antiqua" w:cs="Book Antiqua" w:hint="eastAsia"/>
          <w:color w:val="000000"/>
          <w:lang w:eastAsia="zh-CN"/>
        </w:rPr>
        <w:t>)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 w:rsidR="006B35ED">
        <w:rPr>
          <w:rStyle w:val="jlqj4b"/>
          <w:rFonts w:ascii="Book Antiqua" w:hAnsi="Book Antiqua" w:cs="Book Antiqua" w:hint="eastAsia"/>
          <w:color w:val="000000"/>
          <w:lang w:eastAsia="zh-CN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negative.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3E556062" w14:textId="77777777" w:rsidR="00A77B3E" w:rsidRDefault="00A77B3E">
      <w:pPr>
        <w:spacing w:line="360" w:lineRule="auto"/>
        <w:jc w:val="both"/>
      </w:pPr>
    </w:p>
    <w:p w14:paraId="6C5F568E" w14:textId="4C334B0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20888651" w14:textId="7C6F1C35" w:rsidR="00A77B3E" w:rsidRDefault="00A3329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</w:t>
      </w:r>
      <w:r w:rsidR="00AB1761">
        <w:rPr>
          <w:rFonts w:ascii="Book Antiqua" w:eastAsia="Book Antiqua" w:hAnsi="Book Antiqua" w:cs="Book Antiqua"/>
          <w:color w:val="000000"/>
        </w:rPr>
        <w:t>omputed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tomography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entire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abdomen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obvious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abnormalities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electrocardiography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sinus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rhythm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ST-T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changes.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lastRenderedPageBreak/>
        <w:t>electronic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gastroscopy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(Figure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1).</w:t>
      </w:r>
    </w:p>
    <w:p w14:paraId="3095874D" w14:textId="77777777" w:rsidR="00A77B3E" w:rsidRDefault="00A77B3E">
      <w:pPr>
        <w:spacing w:line="360" w:lineRule="auto"/>
        <w:jc w:val="both"/>
      </w:pPr>
    </w:p>
    <w:p w14:paraId="73745F73" w14:textId="2E574D0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27EADBF" w14:textId="2AC7CA8F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gastritis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gastroscope.</w:t>
      </w:r>
    </w:p>
    <w:p w14:paraId="60DC52AC" w14:textId="77777777" w:rsidR="00A77B3E" w:rsidRDefault="00A77B3E">
      <w:pPr>
        <w:spacing w:line="360" w:lineRule="auto"/>
        <w:jc w:val="both"/>
      </w:pPr>
    </w:p>
    <w:p w14:paraId="7F5C8BF6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1C7269C2" w14:textId="51C8F75A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400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packed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cells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>
        <w:rPr>
          <w:rStyle w:val="jlqj4b"/>
          <w:rFonts w:ascii="Book Antiqua" w:eastAsia="Book Antiqua" w:hAnsi="Book Antiqua" w:cs="Book Antiqua"/>
          <w:color w:val="000000"/>
        </w:rPr>
        <w:t>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proton-pump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(PPI),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octreotide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67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chief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complaints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nausea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retching,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appeared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well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controlled;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remaining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concern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400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black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stool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121.20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6C500806" w14:textId="4A5D9BB1" w:rsidR="00A77B3E" w:rsidRDefault="00AB1761">
      <w:pPr>
        <w:spacing w:line="360" w:lineRule="auto"/>
        <w:ind w:firstLine="42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Single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(2.5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twice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i/>
          <w:iCs/>
          <w:color w:val="000000"/>
        </w:rPr>
        <w:t>via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intravenous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infusion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commonly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encountered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reactions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fever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headache,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hypokalemia,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delirium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observed.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Twelve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hours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later,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17.4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normal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range.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additional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U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PRBC</w:t>
      </w:r>
      <w:r w:rsidR="00A3329E">
        <w:rPr>
          <w:rStyle w:val="jlqj4b"/>
          <w:rFonts w:ascii="Book Antiqua" w:eastAsia="Book Antiqua" w:hAnsi="Book Antiqua" w:cs="Book Antiqua"/>
          <w:color w:val="000000"/>
        </w:rPr>
        <w:t>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third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time,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without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symptoms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5550B222" w14:textId="77777777" w:rsidR="00A77B3E" w:rsidRDefault="00A77B3E">
      <w:pPr>
        <w:spacing w:line="360" w:lineRule="auto"/>
        <w:ind w:firstLine="420"/>
        <w:jc w:val="both"/>
      </w:pPr>
    </w:p>
    <w:p w14:paraId="13CEA82F" w14:textId="485F262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537F3" w:rsidRPr="00D537F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A16C0C7" w14:textId="047B1BB4" w:rsidR="00A77B3E" w:rsidRDefault="003271CC">
      <w:pPr>
        <w:spacing w:line="360" w:lineRule="auto"/>
        <w:jc w:val="both"/>
      </w:pPr>
      <w:r>
        <w:rPr>
          <w:rStyle w:val="jlqj4b"/>
          <w:rFonts w:ascii="Book Antiqua" w:hAnsi="Book Antiqua" w:cs="Book Antiqua" w:hint="eastAsia"/>
          <w:color w:val="000000"/>
          <w:lang w:eastAsia="zh-CN"/>
        </w:rPr>
        <w:t>The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hAnsi="Book Antiqua" w:cs="Book Antiqua" w:hint="eastAsia"/>
          <w:color w:val="000000"/>
          <w:lang w:eastAsia="zh-CN"/>
        </w:rPr>
        <w:t>patient</w:t>
      </w:r>
      <w:r w:rsidR="00D537F3" w:rsidRPr="00D537F3">
        <w:rPr>
          <w:rStyle w:val="jlqj4b"/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Style w:val="jlqj4b"/>
          <w:rFonts w:ascii="Book Antiqua" w:hAnsi="Book Antiqua" w:cs="Book Antiqua" w:hint="eastAsia"/>
          <w:color w:val="000000"/>
          <w:lang w:eastAsia="zh-CN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recurrence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hospitalization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routine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stool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occult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results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normal.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discharged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hospitalization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14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17.7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s.</w:t>
      </w:r>
    </w:p>
    <w:p w14:paraId="55EE8ADA" w14:textId="77777777" w:rsidR="00A77B3E" w:rsidRDefault="00A77B3E">
      <w:pPr>
        <w:spacing w:line="360" w:lineRule="auto"/>
        <w:jc w:val="both"/>
      </w:pPr>
    </w:p>
    <w:p w14:paraId="3B51B113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803049D" w14:textId="04942F5C" w:rsidR="00A77B3E" w:rsidRDefault="00AB1761">
      <w:pPr>
        <w:spacing w:line="360" w:lineRule="auto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presented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3271CC">
        <w:rPr>
          <w:rStyle w:val="jlqj4b"/>
          <w:rFonts w:ascii="Book Antiqua" w:hAnsi="Book Antiqua" w:cs="Book Antiqua" w:hint="eastAsia"/>
          <w:color w:val="000000"/>
          <w:lang w:eastAsia="zh-CN"/>
        </w:rPr>
        <w:t>effectively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restored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using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lastRenderedPageBreak/>
        <w:t>experienced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prodrug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etexilate,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rapidly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converted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administration.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non-vitamin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antagonist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direct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reversible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competitive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inhibitor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both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free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platelet-bound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thrombin,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thereby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affecting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final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step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viiyi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clotting</w:t>
      </w:r>
      <w:r w:rsidR="005A74C2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5A74C2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properties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short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half-life,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rapid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onset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action,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fewer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food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drugs,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requirement</w:t>
      </w:r>
      <w:r w:rsidR="00B82015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82015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Style w:val="jlqj4b"/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deemed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safer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medicine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preventing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stroke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some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other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available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agents.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36D4C54A" w14:textId="7EC10BF7" w:rsidR="00A77B3E" w:rsidRDefault="00AB1761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Nevertheless,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elimination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highly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dependent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kidney,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through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approximately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85%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excreted,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process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</w:t>
      </w:r>
      <w:r w:rsidR="00B82015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82015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RE-LY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demonstrated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could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reduce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all-cause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mortality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intracranial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but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compared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dabigatran-related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seems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evenly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distributed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between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lower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canals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(53%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7179F" w:rsidRPr="0087179F">
        <w:rPr>
          <w:rStyle w:val="jlqj4b"/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47%),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whereas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warfarin-related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canal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dominated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(75%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7179F" w:rsidRPr="0087179F">
        <w:rPr>
          <w:rStyle w:val="jlqj4b"/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25%).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1BA181F3" w14:textId="2F8940FB" w:rsidR="00A77B3E" w:rsidRDefault="00AB1761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One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possible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suggests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local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metabolism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etexilate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increases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active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transit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through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tract</w:t>
      </w:r>
      <w:r w:rsidR="00D1672A"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1672A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8</w:t>
      </w:r>
      <w:r w:rsidR="00F02F27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,</w:t>
      </w:r>
      <w:r w:rsidR="00D1672A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9]</w:t>
      </w:r>
      <w:r>
        <w:rPr>
          <w:rStyle w:val="jlqj4b"/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related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primarily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occurs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Style w:val="jlqj4b"/>
          <w:rFonts w:ascii="Book Antiqua" w:eastAsia="Book Antiqua" w:hAnsi="Book Antiqua" w:cs="Book Antiqua"/>
          <w:color w:val="000000"/>
        </w:rPr>
        <w:t>≥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75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years.</w:t>
      </w:r>
      <w:r>
        <w:rPr>
          <w:rStyle w:val="jlqj4b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10]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</w:p>
    <w:p w14:paraId="1E03077E" w14:textId="3DF72D5F" w:rsidR="00A77B3E" w:rsidRDefault="00AB1761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H.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diverticulosis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B75790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F02F27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75790"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375243">
        <w:rPr>
          <w:rFonts w:ascii="Book Antiqua" w:hAnsi="Book Antiqua" w:cs="Book Antiqua" w:hint="eastAsia"/>
          <w:color w:val="000000"/>
          <w:lang w:eastAsia="zh-CN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1E160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1E1609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754339CC" w14:textId="04A5C021" w:rsidR="00A77B3E" w:rsidRDefault="00AB1761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report,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76-year-old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concealed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adjustments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year,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massive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hemorrhage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mucosa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likely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induced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prolonged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excretion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2F0D3CD3" w14:textId="48D757C4" w:rsidR="00A77B3E" w:rsidRDefault="00AB1761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etexilate.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724C5E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antigen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C3718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C37181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D56E57">
        <w:rPr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etexilate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11EAA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E11EAA"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</w:p>
    <w:p w14:paraId="29E32BEB" w14:textId="12E7C1D8" w:rsidR="00A77B3E" w:rsidRDefault="00AB1761">
      <w:pPr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Considering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administered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reverse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effect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rescue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second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Style w:val="jlqj4b"/>
          <w:rFonts w:ascii="Book Antiqua" w:hAnsi="Book Antiqua" w:cs="Book Antiqua" w:hint="eastAsia"/>
          <w:color w:val="000000"/>
          <w:lang w:eastAsia="zh-CN"/>
        </w:rPr>
        <w:t>episode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bleeding.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Fonts w:ascii="Book Antiqua" w:hAnsi="Book Antiqua" w:cs="Book Antiqua" w:hint="eastAsia"/>
          <w:color w:val="000000"/>
          <w:lang w:eastAsia="zh-CN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21CDDE7" w14:textId="2448463E" w:rsidR="00CF650C" w:rsidRDefault="00CF650C" w:rsidP="00CF650C">
      <w:pPr>
        <w:spacing w:line="360" w:lineRule="auto"/>
        <w:ind w:firstLine="240"/>
        <w:jc w:val="both"/>
      </w:pPr>
      <w:r>
        <w:rPr>
          <w:rStyle w:val="jlqj4b"/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study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following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limitations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shortcomings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worth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mentioning.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(1)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serum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level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measured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restricted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laboratory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conditions</w:t>
      </w:r>
      <w:r w:rsidR="000E279B">
        <w:rPr>
          <w:rStyle w:val="jlqj4b"/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(2)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olonoscopy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E279B">
        <w:rPr>
          <w:rFonts w:ascii="Book Antiqua" w:eastAsia="Book Antiqua" w:hAnsi="Book Antiqua" w:cs="Book Antiqua"/>
          <w:color w:val="000000"/>
        </w:rPr>
        <w:t>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C2F10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853CF7">
        <w:rPr>
          <w:rFonts w:ascii="Book Antiqua" w:hAnsi="Book Antiqua" w:cs="Book Antiqua" w:hint="eastAsia"/>
          <w:color w:val="000000"/>
          <w:lang w:eastAsia="zh-CN"/>
        </w:rPr>
        <w:t>to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intracardiac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transesophageal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unavailable.</w:t>
      </w:r>
    </w:p>
    <w:p w14:paraId="0B1891DE" w14:textId="77777777" w:rsidR="00A77B3E" w:rsidRDefault="00A77B3E" w:rsidP="00AA2A91">
      <w:pPr>
        <w:spacing w:line="360" w:lineRule="auto"/>
        <w:jc w:val="both"/>
      </w:pPr>
    </w:p>
    <w:p w14:paraId="48A0ADAA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333F8D" w14:textId="75FEEC0E" w:rsidR="00A77B3E" w:rsidRDefault="00853CF7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We</w:t>
      </w:r>
      <w:r w:rsidR="00D537F3" w:rsidRPr="00D537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report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case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safe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successful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abnormal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idarucizumab.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addition,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provide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evidence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support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recommendations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regular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coagulation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function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tests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concentration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monitoring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where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conditions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permit.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lastRenderedPageBreak/>
        <w:t>ensure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proper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dose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adjustments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instituted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drug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discontinuation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timely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unpredictable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loss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occurs.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mentioned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discussion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regarding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dabigatran-induced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GI</w:t>
      </w:r>
      <w:r w:rsidR="00CF650C">
        <w:rPr>
          <w:rFonts w:ascii="Book Antiqua" w:eastAsia="Book Antiqua" w:hAnsi="Book Antiqua" w:cs="Book Antiqua"/>
          <w:color w:val="000000"/>
        </w:rPr>
        <w:t>-</w:t>
      </w:r>
      <w:r w:rsidR="00AB1761">
        <w:rPr>
          <w:rFonts w:ascii="Book Antiqua" w:eastAsia="Book Antiqua" w:hAnsi="Book Antiqua" w:cs="Book Antiqua"/>
          <w:color w:val="000000"/>
        </w:rPr>
        <w:t>bleeding-related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factors,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especially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H.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infection,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currently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consensus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benefits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F650C">
        <w:rPr>
          <w:rFonts w:ascii="Book Antiqua" w:eastAsia="Book Antiqua" w:hAnsi="Book Antiqua" w:cs="Book Antiqua"/>
          <w:color w:val="000000"/>
        </w:rPr>
        <w:t>coadministration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F650C"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PPIs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dabigatran,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warrants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further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B1761">
        <w:rPr>
          <w:rFonts w:ascii="Book Antiqua" w:eastAsia="Book Antiqua" w:hAnsi="Book Antiqua" w:cs="Book Antiqua"/>
          <w:color w:val="000000"/>
        </w:rPr>
        <w:t>investigation.</w:t>
      </w:r>
    </w:p>
    <w:p w14:paraId="53AD2C57" w14:textId="77777777" w:rsidR="00A77B3E" w:rsidRDefault="00A77B3E">
      <w:pPr>
        <w:spacing w:line="360" w:lineRule="auto"/>
        <w:ind w:firstLine="240"/>
        <w:jc w:val="both"/>
      </w:pPr>
    </w:p>
    <w:p w14:paraId="358AE5E4" w14:textId="2DB3574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ACKNOWLEDGMENTS</w:t>
      </w:r>
    </w:p>
    <w:p w14:paraId="2CA21EF7" w14:textId="6D67FF3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04D23">
        <w:rPr>
          <w:rFonts w:ascii="Book Antiqua" w:eastAsia="Book Antiqua" w:hAnsi="Book Antiqua" w:cs="Book Antiqua"/>
          <w:color w:val="000000"/>
        </w:rPr>
        <w:t>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deputy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chief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C04D23">
        <w:rPr>
          <w:rFonts w:ascii="Book Antiqua" w:eastAsia="Book Antiqua" w:hAnsi="Book Antiqua" w:cs="Book Antiqua"/>
          <w:color w:val="000000"/>
        </w:rPr>
        <w:t>SH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28AB9FA" w14:textId="77777777" w:rsidR="00A77B3E" w:rsidRDefault="00A77B3E">
      <w:pPr>
        <w:spacing w:line="360" w:lineRule="auto"/>
        <w:jc w:val="both"/>
      </w:pPr>
    </w:p>
    <w:p w14:paraId="7F0D9A43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7E3F280" w14:textId="3EC5B0B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Scaglione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69-82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23292752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10.1007/s40262-012-0030-9]</w:t>
      </w:r>
    </w:p>
    <w:p w14:paraId="0EDB0393" w14:textId="1CDEED9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Greig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McKeage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etexilate: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thromboembolism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1785-1800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25270377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10.1007/s40265-014-0304-7]</w:t>
      </w:r>
    </w:p>
    <w:p w14:paraId="0324E789" w14:textId="520DEDA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Cardiology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Branch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Electrophysiology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non-valvular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fibrillation-consensus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Arryth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321-329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[DOI:10.3760/cma.j.issn.1007-6638.2014.05.001]</w:t>
      </w:r>
    </w:p>
    <w:p w14:paraId="39D33109" w14:textId="7661236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antidotes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26380149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10.1186/s40164-015-0020-3]</w:t>
      </w:r>
    </w:p>
    <w:p w14:paraId="760CFDEF" w14:textId="0A71910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Eriksson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Quinlan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19071881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10.2165/0003088-200948010-00001]</w:t>
      </w:r>
    </w:p>
    <w:p w14:paraId="6B76BE98" w14:textId="07C05E1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Xavier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Tanomsup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Watanabe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Koyanagi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Ezekowitz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Wallentin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non-Asians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1891-1896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23743976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10.1161/STROKEAHA.113.000990]</w:t>
      </w:r>
    </w:p>
    <w:p w14:paraId="457AC853" w14:textId="2024033F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Stangier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Rathgen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Stähle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Mazur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pharmacodynamics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etexilate: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parallel-group,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Pharmacokinet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259-268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20214409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10.2165/11318170-000000000-00000]</w:t>
      </w:r>
    </w:p>
    <w:p w14:paraId="126402C7" w14:textId="4D4713B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Ruff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CT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Giugliano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Braunwald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Hoffman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Deenadayalu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Ezekowitz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Lewis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Parkhomenko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Yamashita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955-962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24315724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10.1016/S0140-6736(13)62343-0]</w:t>
      </w:r>
    </w:p>
    <w:p w14:paraId="21CB51FA" w14:textId="5053B53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Eikelboom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JW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Wallentin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Connolly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Ezekowitz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Healey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Oldgren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Alings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Kaatz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Hohnloser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Franzosi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Varrone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Yusuf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(RE-LY)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2363-2372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21576658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10.1161/CIRCULATIONAHA.110.004747]</w:t>
      </w:r>
    </w:p>
    <w:p w14:paraId="1014BAD1" w14:textId="40B82B0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Romanelli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RJ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Nolting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Dolginsky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Orrico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KB.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Warfarin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Qual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Outcomes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126-134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26812933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10.1161/CIRCOUTCOMES.115.002369]</w:t>
      </w:r>
    </w:p>
    <w:p w14:paraId="064F92FC" w14:textId="3A430AE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Kirchhof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Benussi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Kotecha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Ahlsson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Casadei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Heidbuchel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Hendriks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Hindricks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Manolis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Oldgren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Popescu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Schotten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Vardas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Agewall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Esquivias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Carerj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Casselman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Caterina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Deftereos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Dobrev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Filippatos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Fitzsimons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Gorenek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Guenoun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Hohnloser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Kolh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Manolis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McMurray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Ponikowski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Rosenhek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Ruschitzka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Savelieva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Suwalski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Tamargo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Gelder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Windecker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Zamorano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Zeppenfeld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EACTS.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Europace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1609-1678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27567465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10.1093/europace/euw295]</w:t>
      </w:r>
    </w:p>
    <w:p w14:paraId="35C683B9" w14:textId="3CDEC44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KS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anticoagulants: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1954-1963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28373761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10.3748/wjg.v23.i11.1954]</w:t>
      </w:r>
    </w:p>
    <w:p w14:paraId="1BB81033" w14:textId="2DE1944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Bolek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Samoš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Škorňová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Galajda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Staško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Kubisz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Mokáň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Hemost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846-850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31537027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10.1055/s-0039-1695735]</w:t>
      </w:r>
    </w:p>
    <w:p w14:paraId="7F522CA5" w14:textId="4D2A4C1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Schiele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Newsome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Sepulveda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Litzenburger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antidote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121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3554-3562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23476049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10.1182/blood-2012-11-468207]</w:t>
      </w:r>
    </w:p>
    <w:p w14:paraId="0E87B805" w14:textId="417EDF6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CV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Eikelboom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Verhamme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Dubiel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Huisman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Hylek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Kamphuisen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Kreuzer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Sellke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Stangier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373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511-520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26095746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10.1056/NEJMoa1502000]</w:t>
      </w:r>
    </w:p>
    <w:p w14:paraId="07AB57E2" w14:textId="51FCF7E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Pollack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CV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Ryn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Eikelboom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Bernstein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Dubiel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Huisman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Hylek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Kamphuisen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Kreuzer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Royle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Sellke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FW,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Stangier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Steiner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Verhamme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Idarucizumab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Dabigatran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Reversal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377</w:t>
      </w:r>
      <w:r>
        <w:rPr>
          <w:rFonts w:ascii="Book Antiqua" w:eastAsia="Book Antiqua" w:hAnsi="Book Antiqua" w:cs="Book Antiqua"/>
          <w:color w:val="000000"/>
        </w:rPr>
        <w:t>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431-441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28693366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10.1056/NEJMoa1707278]</w:t>
      </w:r>
    </w:p>
    <w:p w14:paraId="53573831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138764" w14:textId="7777777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C3DEE22" w14:textId="56385424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D537F3" w:rsidRPr="00D537F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3EE549EC" w14:textId="77777777" w:rsidR="00A77B3E" w:rsidRDefault="00A77B3E">
      <w:pPr>
        <w:spacing w:line="360" w:lineRule="auto"/>
        <w:jc w:val="both"/>
      </w:pPr>
    </w:p>
    <w:p w14:paraId="7D51A5B8" w14:textId="7FDAA4E1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404F6C85" w14:textId="77777777" w:rsidR="00A77B3E" w:rsidRDefault="00A77B3E">
      <w:pPr>
        <w:spacing w:line="360" w:lineRule="auto"/>
        <w:jc w:val="both"/>
      </w:pPr>
    </w:p>
    <w:p w14:paraId="4202FAB7" w14:textId="22DE3058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authors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have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read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Checklist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(2016),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manuscript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prepared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revised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according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CARE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Checklist</w:t>
      </w:r>
      <w:r w:rsidR="00D537F3" w:rsidRPr="00D537F3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jlqj4b"/>
          <w:rFonts w:ascii="Book Antiqua" w:eastAsia="Book Antiqua" w:hAnsi="Book Antiqua" w:cs="Book Antiqua"/>
          <w:color w:val="000000"/>
        </w:rPr>
        <w:t>(2016).</w:t>
      </w:r>
    </w:p>
    <w:p w14:paraId="07591480" w14:textId="77777777" w:rsidR="00A77B3E" w:rsidRDefault="00A77B3E">
      <w:pPr>
        <w:spacing w:line="360" w:lineRule="auto"/>
        <w:jc w:val="both"/>
      </w:pPr>
    </w:p>
    <w:p w14:paraId="7F743A0E" w14:textId="19BAB942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537F3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8E416D6" w14:textId="77777777" w:rsidR="00A77B3E" w:rsidRDefault="00A77B3E">
      <w:pPr>
        <w:spacing w:line="360" w:lineRule="auto"/>
        <w:jc w:val="both"/>
      </w:pPr>
    </w:p>
    <w:p w14:paraId="6A0BC153" w14:textId="77777777" w:rsidR="00FC27D7" w:rsidRPr="00FC27D7" w:rsidRDefault="00FC27D7" w:rsidP="00FC27D7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FC27D7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FC27D7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0A14FF92" w14:textId="319E757A" w:rsidR="00A77B3E" w:rsidRDefault="00FC27D7" w:rsidP="00FC27D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C27D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FC27D7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270D9F0A" w14:textId="77777777" w:rsidR="00FC27D7" w:rsidRDefault="00FC27D7" w:rsidP="00FC27D7">
      <w:pPr>
        <w:spacing w:line="360" w:lineRule="auto"/>
        <w:jc w:val="both"/>
      </w:pPr>
    </w:p>
    <w:p w14:paraId="629D3078" w14:textId="56EF478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35960C8" w14:textId="65B7E559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A236E78" w14:textId="77777777" w:rsidR="00B97C47" w:rsidRPr="00B97C47" w:rsidRDefault="00AB1761" w:rsidP="00B97C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97C47" w:rsidRPr="00D537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7C47" w:rsidRPr="00B97C47">
        <w:rPr>
          <w:rFonts w:ascii="Book Antiqua" w:eastAsia="Book Antiqua" w:hAnsi="Book Antiqua" w:cs="Book Antiqua"/>
          <w:color w:val="000000"/>
        </w:rPr>
        <w:t>January 27, 2022</w:t>
      </w:r>
    </w:p>
    <w:p w14:paraId="56E2B5CB" w14:textId="4C51C956" w:rsidR="00A77B3E" w:rsidRDefault="00D537F3">
      <w:pPr>
        <w:spacing w:line="360" w:lineRule="auto"/>
        <w:jc w:val="both"/>
      </w:pPr>
      <w:r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64FE1E" w14:textId="77777777" w:rsidR="00A77B3E" w:rsidRDefault="00A77B3E">
      <w:pPr>
        <w:spacing w:line="360" w:lineRule="auto"/>
        <w:jc w:val="both"/>
      </w:pPr>
    </w:p>
    <w:p w14:paraId="0775A8C8" w14:textId="4F7CD79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 w:rsidR="00A21E9D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erontology</w:t>
      </w:r>
    </w:p>
    <w:p w14:paraId="47D8B901" w14:textId="3F6C30C6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03E259E" w14:textId="6002BACA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35F876" w14:textId="214BACEE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089AD71" w14:textId="5EB56E65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CCFBB70" w14:textId="4C250CF3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856AD66" w14:textId="28980A27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4709AF" w14:textId="43D129D5" w:rsidR="00A77B3E" w:rsidRDefault="00AB17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04B3A25" w14:textId="77777777" w:rsidR="00A77B3E" w:rsidRDefault="00A77B3E">
      <w:pPr>
        <w:spacing w:line="360" w:lineRule="auto"/>
        <w:jc w:val="both"/>
      </w:pPr>
    </w:p>
    <w:p w14:paraId="5102606D" w14:textId="385EAA7E" w:rsidR="00A77B3E" w:rsidRDefault="00AB176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Trifan</w:t>
      </w:r>
      <w:r w:rsidR="00D537F3" w:rsidRPr="00D537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321682">
        <w:rPr>
          <w:rFonts w:ascii="Book Antiqua" w:eastAsia="Book Antiqua" w:hAnsi="Book Antiqua" w:cs="Book Antiqua"/>
          <w:color w:val="000000"/>
        </w:rPr>
        <w:t>u YXJ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1682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537F3" w:rsidRPr="00D537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21682">
        <w:rPr>
          <w:rFonts w:ascii="Book Antiqua" w:eastAsia="Book Antiqua" w:hAnsi="Book Antiqua" w:cs="Book Antiqua"/>
          <w:color w:val="000000"/>
        </w:rPr>
        <w:t>Wu YXJ</w:t>
      </w:r>
    </w:p>
    <w:p w14:paraId="38707A8D" w14:textId="77777777" w:rsidR="00212323" w:rsidRDefault="0021232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2123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BF72AD" w14:textId="5F1A125E" w:rsidR="00212323" w:rsidRPr="00212323" w:rsidRDefault="0021232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12323">
        <w:rPr>
          <w:rFonts w:ascii="Book Antiqua" w:eastAsia="Book Antiqua" w:hAnsi="Book Antiqua" w:cs="Book Antiqua"/>
          <w:b/>
          <w:bCs/>
          <w:color w:val="000000"/>
        </w:rPr>
        <w:lastRenderedPageBreak/>
        <w:t>Figure Legends</w:t>
      </w:r>
    </w:p>
    <w:p w14:paraId="62E5B21B" w14:textId="41570874" w:rsidR="00212323" w:rsidRDefault="00090E1A">
      <w:pPr>
        <w:spacing w:line="360" w:lineRule="auto"/>
        <w:jc w:val="both"/>
      </w:pPr>
      <w:r>
        <w:rPr>
          <w:noProof/>
        </w:rPr>
        <w:drawing>
          <wp:inline distT="0" distB="0" distL="0" distR="0" wp14:anchorId="067D77AF" wp14:editId="1AC98DF1">
            <wp:extent cx="2594610" cy="19672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6EB" w14:textId="77777777" w:rsidR="002E0B07" w:rsidRPr="002E0B07" w:rsidRDefault="002E0B07" w:rsidP="002E0B07">
      <w:pPr>
        <w:spacing w:line="360" w:lineRule="auto"/>
        <w:jc w:val="both"/>
        <w:rPr>
          <w:rFonts w:ascii="Book Antiqua" w:hAnsi="Book Antiqua"/>
          <w:b/>
          <w:bCs/>
        </w:rPr>
      </w:pPr>
      <w:r w:rsidRPr="002E0B07">
        <w:rPr>
          <w:rFonts w:ascii="Book Antiqua" w:hAnsi="Book Antiqua"/>
          <w:b/>
          <w:bCs/>
        </w:rPr>
        <w:t>Figure 1 Images of esophagogastroduodenoscopy captured on February 4, 2021 showing erosive and contact bleeding of gastric body mucosal surface.</w:t>
      </w:r>
    </w:p>
    <w:p w14:paraId="0ADC5908" w14:textId="77777777" w:rsidR="00CB60E5" w:rsidRDefault="00CB60E5">
      <w:pPr>
        <w:spacing w:line="360" w:lineRule="auto"/>
        <w:jc w:val="both"/>
        <w:sectPr w:rsidR="00CB60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A7F068" w14:textId="4DD29F7F" w:rsidR="009E02B5" w:rsidRPr="009E02B5" w:rsidRDefault="009E02B5" w:rsidP="009E02B5">
      <w:pPr>
        <w:spacing w:line="360" w:lineRule="auto"/>
        <w:jc w:val="both"/>
        <w:rPr>
          <w:rStyle w:val="jlqj4b"/>
          <w:rFonts w:ascii="Book Antiqua" w:hAnsi="Book Antiqua" w:cs="Tahoma"/>
          <w:b/>
          <w:bCs/>
          <w:color w:val="000000" w:themeColor="text1"/>
        </w:rPr>
      </w:pPr>
      <w:r w:rsidRPr="009E02B5">
        <w:rPr>
          <w:rStyle w:val="jlqj4b"/>
          <w:rFonts w:ascii="Book Antiqua" w:hAnsi="Book Antiqua" w:cs="Tahoma"/>
          <w:b/>
          <w:bCs/>
          <w:color w:val="000000" w:themeColor="text1"/>
        </w:rPr>
        <w:lastRenderedPageBreak/>
        <w:t>Table 1 Laboratory values during hospitalization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200"/>
        <w:gridCol w:w="1236"/>
        <w:gridCol w:w="1200"/>
        <w:gridCol w:w="1200"/>
        <w:gridCol w:w="1200"/>
        <w:gridCol w:w="1728"/>
      </w:tblGrid>
      <w:tr w:rsidR="009E02B5" w:rsidRPr="007B1919" w14:paraId="41F3635C" w14:textId="77777777" w:rsidTr="007B1919"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</w:tcPr>
          <w:p w14:paraId="4BBEA10B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bookmarkStart w:id="7" w:name="_Hlk64307461"/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Hospital day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6B3505F9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Hb (g/L)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6C331FA2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TT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00518590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PT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527D9497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APTT (s)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14:paraId="36BA564D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INR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</w:tcPr>
          <w:p w14:paraId="258D89FD" w14:textId="77777777" w:rsidR="009E02B5" w:rsidRPr="007B1919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</w:pPr>
            <w:r w:rsidRPr="007B1919">
              <w:rPr>
                <w:rStyle w:val="jlqj4b"/>
                <w:rFonts w:ascii="Book Antiqua" w:hAnsi="Book Antiqua" w:cs="Tahoma"/>
                <w:b/>
                <w:bCs/>
                <w:color w:val="000000" w:themeColor="text1"/>
              </w:rPr>
              <w:t>SCr (μmol/L)</w:t>
            </w:r>
          </w:p>
        </w:tc>
      </w:tr>
      <w:tr w:rsidR="009E02B5" w:rsidRPr="00D36FFF" w14:paraId="32F9A446" w14:textId="77777777" w:rsidTr="007B1919">
        <w:tc>
          <w:tcPr>
            <w:tcW w:w="853" w:type="pct"/>
            <w:tcBorders>
              <w:top w:val="single" w:sz="4" w:space="0" w:color="auto"/>
            </w:tcBorders>
          </w:tcPr>
          <w:p w14:paraId="31379FF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3E00442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41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14:paraId="2B44922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&gt;180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00A8665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13.7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576A2471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36.2</w:t>
            </w:r>
          </w:p>
        </w:tc>
        <w:tc>
          <w:tcPr>
            <w:tcW w:w="641" w:type="pct"/>
            <w:tcBorders>
              <w:top w:val="single" w:sz="4" w:space="0" w:color="auto"/>
            </w:tcBorders>
          </w:tcPr>
          <w:p w14:paraId="1E04D5E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1.20</w:t>
            </w: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3A8F9FF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251</w:t>
            </w:r>
          </w:p>
        </w:tc>
      </w:tr>
      <w:tr w:rsidR="009E02B5" w:rsidRPr="00D36FFF" w14:paraId="1E642F85" w14:textId="77777777" w:rsidTr="00A27C8D">
        <w:tc>
          <w:tcPr>
            <w:tcW w:w="853" w:type="pct"/>
          </w:tcPr>
          <w:p w14:paraId="2E1FD27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2</w:t>
            </w:r>
          </w:p>
        </w:tc>
        <w:tc>
          <w:tcPr>
            <w:tcW w:w="641" w:type="pct"/>
          </w:tcPr>
          <w:p w14:paraId="15DA128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67</w:t>
            </w:r>
          </w:p>
        </w:tc>
        <w:tc>
          <w:tcPr>
            <w:tcW w:w="660" w:type="pct"/>
          </w:tcPr>
          <w:p w14:paraId="6A064D3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0ECE08D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1135ADE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535CEDD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</w:tcPr>
          <w:p w14:paraId="2F1D9ED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21FEA04D" w14:textId="77777777" w:rsidTr="00A27C8D">
        <w:tc>
          <w:tcPr>
            <w:tcW w:w="853" w:type="pct"/>
          </w:tcPr>
          <w:p w14:paraId="047FD3B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3</w:t>
            </w:r>
          </w:p>
        </w:tc>
        <w:tc>
          <w:tcPr>
            <w:tcW w:w="641" w:type="pct"/>
          </w:tcPr>
          <w:p w14:paraId="36EACC0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44</w:t>
            </w:r>
          </w:p>
        </w:tc>
        <w:tc>
          <w:tcPr>
            <w:tcW w:w="660" w:type="pct"/>
          </w:tcPr>
          <w:p w14:paraId="68A1341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121.20</w:t>
            </w:r>
          </w:p>
        </w:tc>
        <w:tc>
          <w:tcPr>
            <w:tcW w:w="641" w:type="pct"/>
          </w:tcPr>
          <w:p w14:paraId="0B58BF5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14.2</w:t>
            </w:r>
          </w:p>
        </w:tc>
        <w:tc>
          <w:tcPr>
            <w:tcW w:w="641" w:type="pct"/>
          </w:tcPr>
          <w:p w14:paraId="66B008D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36.3</w:t>
            </w:r>
          </w:p>
        </w:tc>
        <w:tc>
          <w:tcPr>
            <w:tcW w:w="641" w:type="pct"/>
          </w:tcPr>
          <w:p w14:paraId="0A4F594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1.25</w:t>
            </w:r>
          </w:p>
        </w:tc>
        <w:tc>
          <w:tcPr>
            <w:tcW w:w="923" w:type="pct"/>
          </w:tcPr>
          <w:p w14:paraId="21219FD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229</w:t>
            </w:r>
          </w:p>
        </w:tc>
      </w:tr>
      <w:tr w:rsidR="009E02B5" w:rsidRPr="00D36FFF" w14:paraId="195AF7CD" w14:textId="77777777" w:rsidTr="00A27C8D">
        <w:tc>
          <w:tcPr>
            <w:tcW w:w="853" w:type="pct"/>
          </w:tcPr>
          <w:p w14:paraId="40587A9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4</w:t>
            </w:r>
          </w:p>
        </w:tc>
        <w:tc>
          <w:tcPr>
            <w:tcW w:w="641" w:type="pct"/>
          </w:tcPr>
          <w:p w14:paraId="1D64042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56</w:t>
            </w:r>
          </w:p>
        </w:tc>
        <w:tc>
          <w:tcPr>
            <w:tcW w:w="660" w:type="pct"/>
          </w:tcPr>
          <w:p w14:paraId="20FFBAA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17.40</w:t>
            </w:r>
          </w:p>
        </w:tc>
        <w:tc>
          <w:tcPr>
            <w:tcW w:w="641" w:type="pct"/>
          </w:tcPr>
          <w:p w14:paraId="0DA7C5B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13.1</w:t>
            </w:r>
          </w:p>
        </w:tc>
        <w:tc>
          <w:tcPr>
            <w:tcW w:w="641" w:type="pct"/>
          </w:tcPr>
          <w:p w14:paraId="7859211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25.9</w:t>
            </w:r>
          </w:p>
        </w:tc>
        <w:tc>
          <w:tcPr>
            <w:tcW w:w="641" w:type="pct"/>
          </w:tcPr>
          <w:p w14:paraId="0E58971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1.15</w:t>
            </w:r>
          </w:p>
        </w:tc>
        <w:tc>
          <w:tcPr>
            <w:tcW w:w="923" w:type="pct"/>
          </w:tcPr>
          <w:p w14:paraId="77A894A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213</w:t>
            </w:r>
          </w:p>
        </w:tc>
      </w:tr>
      <w:tr w:rsidR="009E02B5" w:rsidRPr="00D36FFF" w14:paraId="5C5B3008" w14:textId="77777777" w:rsidTr="00A27C8D">
        <w:tc>
          <w:tcPr>
            <w:tcW w:w="853" w:type="pct"/>
          </w:tcPr>
          <w:p w14:paraId="51E12B2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5</w:t>
            </w:r>
          </w:p>
        </w:tc>
        <w:tc>
          <w:tcPr>
            <w:tcW w:w="641" w:type="pct"/>
          </w:tcPr>
          <w:p w14:paraId="464102B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57</w:t>
            </w:r>
          </w:p>
        </w:tc>
        <w:tc>
          <w:tcPr>
            <w:tcW w:w="660" w:type="pct"/>
          </w:tcPr>
          <w:p w14:paraId="4711B28B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18</w:t>
            </w:r>
          </w:p>
        </w:tc>
        <w:tc>
          <w:tcPr>
            <w:tcW w:w="641" w:type="pct"/>
          </w:tcPr>
          <w:p w14:paraId="0CFB61B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12.6</w:t>
            </w:r>
          </w:p>
        </w:tc>
        <w:tc>
          <w:tcPr>
            <w:tcW w:w="641" w:type="pct"/>
          </w:tcPr>
          <w:p w14:paraId="22DFFCC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26.0</w:t>
            </w:r>
          </w:p>
        </w:tc>
        <w:tc>
          <w:tcPr>
            <w:tcW w:w="641" w:type="pct"/>
          </w:tcPr>
          <w:p w14:paraId="05F01AB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1.10</w:t>
            </w:r>
          </w:p>
        </w:tc>
        <w:tc>
          <w:tcPr>
            <w:tcW w:w="923" w:type="pct"/>
          </w:tcPr>
          <w:p w14:paraId="673E4EA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202</w:t>
            </w:r>
          </w:p>
        </w:tc>
      </w:tr>
      <w:tr w:rsidR="009E02B5" w:rsidRPr="00D36FFF" w14:paraId="24120622" w14:textId="77777777" w:rsidTr="00A27C8D">
        <w:tc>
          <w:tcPr>
            <w:tcW w:w="853" w:type="pct"/>
          </w:tcPr>
          <w:p w14:paraId="314E8FEE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6</w:t>
            </w:r>
          </w:p>
        </w:tc>
        <w:tc>
          <w:tcPr>
            <w:tcW w:w="641" w:type="pct"/>
          </w:tcPr>
          <w:p w14:paraId="2DF45BF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76</w:t>
            </w:r>
          </w:p>
        </w:tc>
        <w:tc>
          <w:tcPr>
            <w:tcW w:w="660" w:type="pct"/>
          </w:tcPr>
          <w:p w14:paraId="127865D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2FE8173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75D05E17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</w:tcPr>
          <w:p w14:paraId="55B69DE0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</w:tcPr>
          <w:p w14:paraId="59D38E9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182</w:t>
            </w:r>
          </w:p>
        </w:tc>
      </w:tr>
      <w:tr w:rsidR="009E02B5" w:rsidRPr="00D36FFF" w14:paraId="52CD8348" w14:textId="77777777" w:rsidTr="00A27C8D">
        <w:tc>
          <w:tcPr>
            <w:tcW w:w="853" w:type="pct"/>
          </w:tcPr>
          <w:p w14:paraId="6282009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8</w:t>
            </w:r>
          </w:p>
        </w:tc>
        <w:tc>
          <w:tcPr>
            <w:tcW w:w="641" w:type="pct"/>
          </w:tcPr>
          <w:p w14:paraId="305CC00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78</w:t>
            </w:r>
          </w:p>
        </w:tc>
        <w:tc>
          <w:tcPr>
            <w:tcW w:w="660" w:type="pct"/>
          </w:tcPr>
          <w:p w14:paraId="7140727C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20.90</w:t>
            </w:r>
          </w:p>
        </w:tc>
        <w:tc>
          <w:tcPr>
            <w:tcW w:w="641" w:type="pct"/>
          </w:tcPr>
          <w:p w14:paraId="5074EEFD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12.0</w:t>
            </w:r>
          </w:p>
        </w:tc>
        <w:tc>
          <w:tcPr>
            <w:tcW w:w="641" w:type="pct"/>
          </w:tcPr>
          <w:p w14:paraId="31014823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28.0</w:t>
            </w:r>
          </w:p>
        </w:tc>
        <w:tc>
          <w:tcPr>
            <w:tcW w:w="641" w:type="pct"/>
          </w:tcPr>
          <w:p w14:paraId="1939339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1.04</w:t>
            </w:r>
          </w:p>
        </w:tc>
        <w:tc>
          <w:tcPr>
            <w:tcW w:w="923" w:type="pct"/>
          </w:tcPr>
          <w:p w14:paraId="427D0FA2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6CA34062" w14:textId="77777777" w:rsidTr="003068E4">
        <w:tc>
          <w:tcPr>
            <w:tcW w:w="853" w:type="pct"/>
          </w:tcPr>
          <w:p w14:paraId="31323B4C" w14:textId="77777777" w:rsidR="009E02B5" w:rsidRPr="00D36FFF" w:rsidRDefault="009E02B5" w:rsidP="00A27C8D">
            <w:pPr>
              <w:spacing w:line="360" w:lineRule="auto"/>
              <w:ind w:leftChars="-12" w:left="17" w:hangingChars="19" w:hanging="46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10</w:t>
            </w:r>
          </w:p>
        </w:tc>
        <w:tc>
          <w:tcPr>
            <w:tcW w:w="641" w:type="pct"/>
          </w:tcPr>
          <w:p w14:paraId="6F1999C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85</w:t>
            </w:r>
          </w:p>
        </w:tc>
        <w:tc>
          <w:tcPr>
            <w:tcW w:w="660" w:type="pct"/>
          </w:tcPr>
          <w:p w14:paraId="442DC9A7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17.70</w:t>
            </w:r>
          </w:p>
        </w:tc>
        <w:tc>
          <w:tcPr>
            <w:tcW w:w="641" w:type="pct"/>
          </w:tcPr>
          <w:p w14:paraId="2B9DDB78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12.7</w:t>
            </w:r>
          </w:p>
        </w:tc>
        <w:tc>
          <w:tcPr>
            <w:tcW w:w="641" w:type="pct"/>
          </w:tcPr>
          <w:p w14:paraId="61F94F3A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29.6</w:t>
            </w:r>
          </w:p>
        </w:tc>
        <w:tc>
          <w:tcPr>
            <w:tcW w:w="641" w:type="pct"/>
          </w:tcPr>
          <w:p w14:paraId="34614C9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1.11</w:t>
            </w:r>
          </w:p>
        </w:tc>
        <w:tc>
          <w:tcPr>
            <w:tcW w:w="923" w:type="pct"/>
          </w:tcPr>
          <w:p w14:paraId="13C44BF9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</w:tr>
      <w:tr w:rsidR="009E02B5" w:rsidRPr="00D36FFF" w14:paraId="7E3E4FCE" w14:textId="77777777" w:rsidTr="003068E4">
        <w:tc>
          <w:tcPr>
            <w:tcW w:w="853" w:type="pct"/>
            <w:tcBorders>
              <w:bottom w:val="single" w:sz="4" w:space="0" w:color="auto"/>
            </w:tcBorders>
          </w:tcPr>
          <w:p w14:paraId="4DE9E0E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Day 14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20657D3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104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70829B5F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D8F8246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65858D85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4F931C3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N/A</w:t>
            </w: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9ADDE84" w14:textId="77777777" w:rsidR="009E02B5" w:rsidRPr="00D36FFF" w:rsidRDefault="009E02B5" w:rsidP="00A27C8D">
            <w:pPr>
              <w:spacing w:line="360" w:lineRule="auto"/>
              <w:jc w:val="both"/>
              <w:rPr>
                <w:rStyle w:val="jlqj4b"/>
                <w:rFonts w:ascii="Book Antiqua" w:hAnsi="Book Antiqua" w:cs="Tahoma"/>
                <w:color w:val="000000" w:themeColor="text1"/>
              </w:rPr>
            </w:pPr>
            <w:r w:rsidRPr="00D36FFF">
              <w:rPr>
                <w:rStyle w:val="jlqj4b"/>
                <w:rFonts w:ascii="Book Antiqua" w:hAnsi="Book Antiqua" w:cs="Tahoma"/>
                <w:color w:val="000000" w:themeColor="text1"/>
              </w:rPr>
              <w:t>216</w:t>
            </w:r>
          </w:p>
        </w:tc>
      </w:tr>
    </w:tbl>
    <w:bookmarkEnd w:id="7"/>
    <w:p w14:paraId="37889A95" w14:textId="2C74B93E" w:rsidR="009E02B5" w:rsidRPr="00D36FFF" w:rsidRDefault="009E02B5" w:rsidP="009E02B5">
      <w:pPr>
        <w:spacing w:line="360" w:lineRule="auto"/>
        <w:jc w:val="both"/>
        <w:rPr>
          <w:rStyle w:val="jlqj4b"/>
          <w:rFonts w:ascii="Book Antiqua" w:hAnsi="Book Antiqua" w:cs="Tahoma"/>
          <w:color w:val="000000" w:themeColor="text1"/>
        </w:rPr>
      </w:pPr>
      <w:r w:rsidRPr="00D36FFF">
        <w:rPr>
          <w:rStyle w:val="jlqj4b"/>
          <w:rFonts w:ascii="Book Antiqua" w:hAnsi="Book Antiqua" w:cs="Tahoma"/>
          <w:color w:val="000000" w:themeColor="text1"/>
        </w:rPr>
        <w:t>Hb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Hemoglobin </w:t>
      </w:r>
      <w:r w:rsidRPr="00D36FFF">
        <w:rPr>
          <w:rStyle w:val="jlqj4b"/>
          <w:rFonts w:ascii="Book Antiqua" w:hAnsi="Book Antiqua" w:cs="Tahoma"/>
          <w:color w:val="000000" w:themeColor="text1"/>
        </w:rPr>
        <w:t>(normal concentration: 110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>150 g/L); TT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Thrombin </w:t>
      </w:r>
      <w:r w:rsidRPr="00D36FFF">
        <w:rPr>
          <w:rStyle w:val="jlqj4b"/>
          <w:rFonts w:ascii="Book Antiqua" w:hAnsi="Book Antiqua" w:cs="Tahoma"/>
          <w:color w:val="000000" w:themeColor="text1"/>
        </w:rPr>
        <w:t>time (normal: 14</w:t>
      </w:r>
      <w:r w:rsidR="009245E0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21 s); </w:t>
      </w:r>
      <w:r w:rsidRPr="00D36FFF">
        <w:rPr>
          <w:rFonts w:ascii="Book Antiqua" w:hAnsi="Book Antiqua" w:cs="Tahoma"/>
          <w:color w:val="000000" w:themeColor="text1"/>
        </w:rPr>
        <w:t>PT</w:t>
      </w:r>
      <w:r w:rsidR="005A45D8" w:rsidRPr="005A45D8">
        <w:rPr>
          <w:rFonts w:ascii="Book Antiqua" w:hAnsi="Book Antiqua" w:cs="Tahoma"/>
          <w:color w:val="000000" w:themeColor="text1"/>
        </w:rPr>
        <w:t>:</w:t>
      </w:r>
      <w:r w:rsidRPr="00D36FFF">
        <w:rPr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Fonts w:ascii="Book Antiqua" w:hAnsi="Book Antiqua" w:cs="Tahoma"/>
          <w:color w:val="000000" w:themeColor="text1"/>
        </w:rPr>
        <w:t xml:space="preserve">Prothrombin </w:t>
      </w:r>
      <w:r w:rsidRPr="00D36FFF">
        <w:rPr>
          <w:rFonts w:ascii="Book Antiqua" w:hAnsi="Book Antiqua" w:cs="Tahoma"/>
          <w:color w:val="000000" w:themeColor="text1"/>
        </w:rPr>
        <w:t>time (</w:t>
      </w:r>
      <w:r w:rsidRPr="00D36FFF">
        <w:rPr>
          <w:rStyle w:val="jlqj4b"/>
          <w:rFonts w:ascii="Book Antiqua" w:hAnsi="Book Antiqua" w:cs="Tahoma"/>
          <w:color w:val="000000" w:themeColor="text1"/>
        </w:rPr>
        <w:t>normal: 9.8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>12.7 s)</w:t>
      </w:r>
      <w:r w:rsidRPr="00D36FFF">
        <w:rPr>
          <w:rFonts w:ascii="Book Antiqua" w:hAnsi="Book Antiqua" w:cs="Tahoma"/>
          <w:color w:val="000000" w:themeColor="text1"/>
        </w:rPr>
        <w:t xml:space="preserve">; </w:t>
      </w:r>
      <w:r w:rsidRPr="00D36FFF">
        <w:rPr>
          <w:rStyle w:val="jlqj4b"/>
          <w:rFonts w:ascii="Book Antiqua" w:hAnsi="Book Antiqua" w:cs="Tahoma"/>
          <w:color w:val="000000" w:themeColor="text1"/>
        </w:rPr>
        <w:t>APTT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Activated </w:t>
      </w:r>
      <w:r w:rsidRPr="00D36FFF">
        <w:rPr>
          <w:rStyle w:val="jlqj4b"/>
          <w:rFonts w:ascii="Book Antiqua" w:hAnsi="Book Antiqua" w:cs="Tahoma"/>
          <w:color w:val="000000" w:themeColor="text1"/>
        </w:rPr>
        <w:t>partial thromboplastin time (normal: 21.1–36.5 s); INR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International </w:t>
      </w:r>
      <w:r w:rsidRPr="00D36FFF">
        <w:rPr>
          <w:rStyle w:val="jlqj4b"/>
          <w:rFonts w:ascii="Book Antiqua" w:hAnsi="Book Antiqua" w:cs="Tahoma"/>
          <w:color w:val="000000" w:themeColor="text1"/>
        </w:rPr>
        <w:t>normalized ratio (normal: 0.85</w:t>
      </w:r>
      <w:r w:rsidR="00793560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>1.15); SCr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Serum </w:t>
      </w:r>
      <w:r w:rsidRPr="00D36FFF">
        <w:rPr>
          <w:rStyle w:val="jlqj4b"/>
          <w:rFonts w:ascii="Book Antiqua" w:hAnsi="Book Antiqua" w:cs="Tahoma"/>
          <w:color w:val="000000" w:themeColor="text1"/>
        </w:rPr>
        <w:t>creatinine (normal: 44</w:t>
      </w:r>
      <w:r w:rsidR="00201625">
        <w:rPr>
          <w:rStyle w:val="jlqj4b"/>
          <w:rFonts w:ascii="Book Antiqua" w:hAnsi="Book Antiqua" w:cs="Tahoma"/>
          <w:color w:val="000000" w:themeColor="text1"/>
        </w:rPr>
        <w:t>-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133 </w:t>
      </w:r>
      <w:r w:rsidR="00201625">
        <w:rPr>
          <w:rStyle w:val="jlqj4b"/>
          <w:rFonts w:ascii="Book Antiqua" w:hAnsi="Book Antiqua" w:cs="Tahoma"/>
          <w:color w:val="000000" w:themeColor="text1"/>
        </w:rPr>
        <w:t>μ</w:t>
      </w:r>
      <w:r w:rsidRPr="00D36FFF">
        <w:rPr>
          <w:rStyle w:val="jlqj4b"/>
          <w:rFonts w:ascii="Book Antiqua" w:hAnsi="Book Antiqua" w:cs="Tahoma"/>
          <w:color w:val="000000" w:themeColor="text1"/>
        </w:rPr>
        <w:t>mol/L); N/A</w:t>
      </w:r>
      <w:r w:rsidR="005A45D8" w:rsidRPr="005A45D8">
        <w:rPr>
          <w:rStyle w:val="jlqj4b"/>
          <w:rFonts w:ascii="Book Antiqua" w:hAnsi="Book Antiqua" w:cs="Tahoma"/>
          <w:color w:val="000000" w:themeColor="text1"/>
        </w:rPr>
        <w:t>:</w:t>
      </w:r>
      <w:r w:rsidRPr="00D36FFF">
        <w:rPr>
          <w:rStyle w:val="jlqj4b"/>
          <w:rFonts w:ascii="Book Antiqua" w:hAnsi="Book Antiqua" w:cs="Tahoma"/>
          <w:color w:val="000000" w:themeColor="text1"/>
        </w:rPr>
        <w:t xml:space="preserve"> </w:t>
      </w:r>
      <w:r w:rsidR="00201625" w:rsidRPr="00D36FFF">
        <w:rPr>
          <w:rStyle w:val="jlqj4b"/>
          <w:rFonts w:ascii="Book Antiqua" w:hAnsi="Book Antiqua" w:cs="Tahoma"/>
          <w:color w:val="000000" w:themeColor="text1"/>
        </w:rPr>
        <w:t xml:space="preserve">Not </w:t>
      </w:r>
      <w:r w:rsidRPr="00D36FFF">
        <w:rPr>
          <w:rStyle w:val="jlqj4b"/>
          <w:rFonts w:ascii="Book Antiqua" w:hAnsi="Book Antiqua" w:cs="Tahoma"/>
          <w:color w:val="000000" w:themeColor="text1"/>
        </w:rPr>
        <w:t>available.</w:t>
      </w:r>
    </w:p>
    <w:p w14:paraId="26DF5B73" w14:textId="61C41D59" w:rsidR="002E0B07" w:rsidRDefault="002E0B07">
      <w:pPr>
        <w:spacing w:line="360" w:lineRule="auto"/>
        <w:jc w:val="both"/>
      </w:pPr>
    </w:p>
    <w:p w14:paraId="3BA6BF9E" w14:textId="4E08B401" w:rsidR="00265825" w:rsidRDefault="00265825">
      <w:r>
        <w:br w:type="page"/>
      </w:r>
    </w:p>
    <w:p w14:paraId="5A6751FC" w14:textId="77777777" w:rsidR="00265825" w:rsidRPr="00CC78C2" w:rsidRDefault="00265825" w:rsidP="00265825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48C110E8" w14:textId="77777777" w:rsidR="00265825" w:rsidRPr="00CC78C2" w:rsidRDefault="00265825" w:rsidP="0026582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1B25E63" w14:textId="77777777" w:rsidR="00265825" w:rsidRPr="00CC78C2" w:rsidRDefault="00265825" w:rsidP="0026582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2DBC818" w14:textId="77777777" w:rsidR="00265825" w:rsidRPr="00CC78C2" w:rsidRDefault="00265825" w:rsidP="00265825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498092C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2684488" wp14:editId="5519FD8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CFA0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BE0384" w14:textId="77777777" w:rsidR="00265825" w:rsidRPr="00763D22" w:rsidRDefault="00265825" w:rsidP="00265825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C99C95A" w14:textId="77777777" w:rsidR="00265825" w:rsidRPr="00763D22" w:rsidRDefault="00265825" w:rsidP="0026582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2CE58D6" w14:textId="77777777" w:rsidR="00265825" w:rsidRPr="00763D22" w:rsidRDefault="00265825" w:rsidP="0026582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132ED18" w14:textId="77777777" w:rsidR="00265825" w:rsidRPr="00763D22" w:rsidRDefault="00265825" w:rsidP="0026582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9BEAC87" w14:textId="77777777" w:rsidR="00265825" w:rsidRPr="00763D22" w:rsidRDefault="00265825" w:rsidP="00265825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2ED85CB" w14:textId="77777777" w:rsidR="00265825" w:rsidRPr="00763D22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D3292EA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3AF07F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294202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D60298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211CDB" wp14:editId="4E5CE97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E6013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28B774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12D567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E91985A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8E7690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6718D4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4303E6E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D7E266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150DC4" w14:textId="77777777" w:rsidR="00265825" w:rsidRDefault="00265825" w:rsidP="00265825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BDE035" w14:textId="77777777" w:rsidR="00265825" w:rsidRPr="00763D22" w:rsidRDefault="00265825" w:rsidP="00265825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34F4073" w14:textId="77777777" w:rsidR="00265825" w:rsidRPr="00763D22" w:rsidRDefault="00265825" w:rsidP="00265825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3EEE6361" w14:textId="77777777" w:rsidR="002E0B07" w:rsidRDefault="002E0B07">
      <w:pPr>
        <w:spacing w:line="360" w:lineRule="auto"/>
        <w:jc w:val="both"/>
      </w:pPr>
    </w:p>
    <w:sectPr w:rsidR="002E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5F4C" w14:textId="77777777" w:rsidR="00AD64B0" w:rsidRDefault="00AD64B0" w:rsidP="002F7EEE">
      <w:r>
        <w:separator/>
      </w:r>
    </w:p>
  </w:endnote>
  <w:endnote w:type="continuationSeparator" w:id="0">
    <w:p w14:paraId="3FDF7DAC" w14:textId="77777777" w:rsidR="00AD64B0" w:rsidRDefault="00AD64B0" w:rsidP="002F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3517" w14:textId="77777777" w:rsidR="009D2E81" w:rsidRPr="00C0092E" w:rsidRDefault="009D2E81" w:rsidP="00C0092E">
    <w:pPr>
      <w:pStyle w:val="ad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10615F62" w14:textId="77777777" w:rsidR="009D2E81" w:rsidRDefault="009D2E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B3D6" w14:textId="77777777" w:rsidR="00AD64B0" w:rsidRDefault="00AD64B0" w:rsidP="002F7EEE">
      <w:r>
        <w:separator/>
      </w:r>
    </w:p>
  </w:footnote>
  <w:footnote w:type="continuationSeparator" w:id="0">
    <w:p w14:paraId="00AB8A52" w14:textId="77777777" w:rsidR="00AD64B0" w:rsidRDefault="00AD64B0" w:rsidP="002F7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74F8"/>
    <w:rsid w:val="000562FC"/>
    <w:rsid w:val="00090E1A"/>
    <w:rsid w:val="000C1AE0"/>
    <w:rsid w:val="000E279B"/>
    <w:rsid w:val="000F2F0D"/>
    <w:rsid w:val="001153FC"/>
    <w:rsid w:val="001213C8"/>
    <w:rsid w:val="001E1609"/>
    <w:rsid w:val="001F5AEC"/>
    <w:rsid w:val="001F7549"/>
    <w:rsid w:val="00201625"/>
    <w:rsid w:val="00212323"/>
    <w:rsid w:val="002277AF"/>
    <w:rsid w:val="002323C5"/>
    <w:rsid w:val="00244313"/>
    <w:rsid w:val="00265825"/>
    <w:rsid w:val="002855E5"/>
    <w:rsid w:val="002947A3"/>
    <w:rsid w:val="002C036A"/>
    <w:rsid w:val="002E0B07"/>
    <w:rsid w:val="002F7EEE"/>
    <w:rsid w:val="003068E4"/>
    <w:rsid w:val="00321682"/>
    <w:rsid w:val="003271CC"/>
    <w:rsid w:val="00344863"/>
    <w:rsid w:val="00351A35"/>
    <w:rsid w:val="00352D81"/>
    <w:rsid w:val="003549FF"/>
    <w:rsid w:val="003624DB"/>
    <w:rsid w:val="003715ED"/>
    <w:rsid w:val="00375243"/>
    <w:rsid w:val="003C379D"/>
    <w:rsid w:val="003D5FB4"/>
    <w:rsid w:val="003E08BD"/>
    <w:rsid w:val="003E53B6"/>
    <w:rsid w:val="003F1C96"/>
    <w:rsid w:val="00404E46"/>
    <w:rsid w:val="004426A7"/>
    <w:rsid w:val="00442EAF"/>
    <w:rsid w:val="00447466"/>
    <w:rsid w:val="004827AA"/>
    <w:rsid w:val="0048380D"/>
    <w:rsid w:val="004B4C55"/>
    <w:rsid w:val="004D6EFA"/>
    <w:rsid w:val="00543C5C"/>
    <w:rsid w:val="00574AA9"/>
    <w:rsid w:val="00574CB7"/>
    <w:rsid w:val="005A0D9A"/>
    <w:rsid w:val="005A45D8"/>
    <w:rsid w:val="005A74C2"/>
    <w:rsid w:val="005A7A51"/>
    <w:rsid w:val="005E6027"/>
    <w:rsid w:val="00603D72"/>
    <w:rsid w:val="00607F28"/>
    <w:rsid w:val="00671A71"/>
    <w:rsid w:val="00687205"/>
    <w:rsid w:val="006B35ED"/>
    <w:rsid w:val="006D35DE"/>
    <w:rsid w:val="006F63EA"/>
    <w:rsid w:val="007105D4"/>
    <w:rsid w:val="00724C5E"/>
    <w:rsid w:val="0072610C"/>
    <w:rsid w:val="007310B6"/>
    <w:rsid w:val="00751816"/>
    <w:rsid w:val="00793560"/>
    <w:rsid w:val="007B1919"/>
    <w:rsid w:val="00804960"/>
    <w:rsid w:val="00807496"/>
    <w:rsid w:val="00831C0D"/>
    <w:rsid w:val="00853CF7"/>
    <w:rsid w:val="008566C8"/>
    <w:rsid w:val="0086020D"/>
    <w:rsid w:val="00866BDF"/>
    <w:rsid w:val="0087179F"/>
    <w:rsid w:val="008756FC"/>
    <w:rsid w:val="00877606"/>
    <w:rsid w:val="008A7852"/>
    <w:rsid w:val="008C2F10"/>
    <w:rsid w:val="008D612D"/>
    <w:rsid w:val="008D733F"/>
    <w:rsid w:val="009245E0"/>
    <w:rsid w:val="00935DA5"/>
    <w:rsid w:val="00993470"/>
    <w:rsid w:val="009D2E81"/>
    <w:rsid w:val="009E02B5"/>
    <w:rsid w:val="00A13F3A"/>
    <w:rsid w:val="00A21E9D"/>
    <w:rsid w:val="00A32490"/>
    <w:rsid w:val="00A3329E"/>
    <w:rsid w:val="00A45D47"/>
    <w:rsid w:val="00A711AE"/>
    <w:rsid w:val="00A77B3E"/>
    <w:rsid w:val="00A85224"/>
    <w:rsid w:val="00A900AB"/>
    <w:rsid w:val="00AA2A91"/>
    <w:rsid w:val="00AB1761"/>
    <w:rsid w:val="00AD64B0"/>
    <w:rsid w:val="00B21D82"/>
    <w:rsid w:val="00B30000"/>
    <w:rsid w:val="00B33771"/>
    <w:rsid w:val="00B52A0B"/>
    <w:rsid w:val="00B575BD"/>
    <w:rsid w:val="00B75790"/>
    <w:rsid w:val="00B82015"/>
    <w:rsid w:val="00B90D5D"/>
    <w:rsid w:val="00B97C47"/>
    <w:rsid w:val="00BE52A3"/>
    <w:rsid w:val="00BE6E4C"/>
    <w:rsid w:val="00C04D23"/>
    <w:rsid w:val="00C157A4"/>
    <w:rsid w:val="00C231A2"/>
    <w:rsid w:val="00C2585F"/>
    <w:rsid w:val="00C37181"/>
    <w:rsid w:val="00C60D9F"/>
    <w:rsid w:val="00CA12A8"/>
    <w:rsid w:val="00CA2A55"/>
    <w:rsid w:val="00CB60E5"/>
    <w:rsid w:val="00CB6BBE"/>
    <w:rsid w:val="00CD70AF"/>
    <w:rsid w:val="00CE055D"/>
    <w:rsid w:val="00CF650C"/>
    <w:rsid w:val="00D1672A"/>
    <w:rsid w:val="00D23E09"/>
    <w:rsid w:val="00D40281"/>
    <w:rsid w:val="00D537F3"/>
    <w:rsid w:val="00D56E57"/>
    <w:rsid w:val="00D6651E"/>
    <w:rsid w:val="00D87A1A"/>
    <w:rsid w:val="00E11EAA"/>
    <w:rsid w:val="00E348FF"/>
    <w:rsid w:val="00E95DAE"/>
    <w:rsid w:val="00EA7F78"/>
    <w:rsid w:val="00F02F27"/>
    <w:rsid w:val="00F336FE"/>
    <w:rsid w:val="00F56CFE"/>
    <w:rsid w:val="00F60104"/>
    <w:rsid w:val="00F7162A"/>
    <w:rsid w:val="00F9700F"/>
    <w:rsid w:val="00FC27D7"/>
    <w:rsid w:val="00FD0645"/>
    <w:rsid w:val="00FE384A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833C1"/>
  <w15:docId w15:val="{44C65F84-1F85-45A1-81CC-6B9490B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A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</w:style>
  <w:style w:type="character" w:customStyle="1" w:styleId="viiyi">
    <w:name w:val="viiyi"/>
    <w:basedOn w:val="a0"/>
  </w:style>
  <w:style w:type="paragraph" w:styleId="a3">
    <w:name w:val="Revision"/>
    <w:hidden/>
    <w:uiPriority w:val="99"/>
    <w:semiHidden/>
    <w:rsid w:val="00574AA9"/>
    <w:rPr>
      <w:sz w:val="24"/>
      <w:szCs w:val="24"/>
    </w:rPr>
  </w:style>
  <w:style w:type="character" w:styleId="a4">
    <w:name w:val="annotation reference"/>
    <w:basedOn w:val="a0"/>
    <w:semiHidden/>
    <w:unhideWhenUsed/>
    <w:rsid w:val="00574AA9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74AA9"/>
    <w:rPr>
      <w:sz w:val="20"/>
      <w:szCs w:val="20"/>
    </w:rPr>
  </w:style>
  <w:style w:type="character" w:customStyle="1" w:styleId="a6">
    <w:name w:val="批注文字 字符"/>
    <w:basedOn w:val="a0"/>
    <w:link w:val="a5"/>
    <w:semiHidden/>
    <w:rsid w:val="00574AA9"/>
  </w:style>
  <w:style w:type="paragraph" w:styleId="a7">
    <w:name w:val="annotation subject"/>
    <w:basedOn w:val="a5"/>
    <w:next w:val="a5"/>
    <w:link w:val="a8"/>
    <w:semiHidden/>
    <w:unhideWhenUsed/>
    <w:rsid w:val="00574AA9"/>
    <w:rPr>
      <w:b/>
      <w:bCs/>
    </w:rPr>
  </w:style>
  <w:style w:type="character" w:customStyle="1" w:styleId="a8">
    <w:name w:val="批注主题 字符"/>
    <w:basedOn w:val="a6"/>
    <w:link w:val="a7"/>
    <w:semiHidden/>
    <w:rsid w:val="00574AA9"/>
    <w:rPr>
      <w:b/>
      <w:bCs/>
    </w:rPr>
  </w:style>
  <w:style w:type="paragraph" w:styleId="a9">
    <w:name w:val="Balloon Text"/>
    <w:basedOn w:val="a"/>
    <w:link w:val="aa"/>
    <w:rsid w:val="00574CB7"/>
    <w:rPr>
      <w:sz w:val="18"/>
      <w:szCs w:val="18"/>
    </w:rPr>
  </w:style>
  <w:style w:type="character" w:customStyle="1" w:styleId="aa">
    <w:name w:val="批注框文本 字符"/>
    <w:basedOn w:val="a0"/>
    <w:link w:val="a9"/>
    <w:rsid w:val="00574CB7"/>
    <w:rPr>
      <w:sz w:val="18"/>
      <w:szCs w:val="18"/>
    </w:rPr>
  </w:style>
  <w:style w:type="paragraph" w:styleId="ab">
    <w:name w:val="header"/>
    <w:basedOn w:val="a"/>
    <w:link w:val="ac"/>
    <w:unhideWhenUsed/>
    <w:rsid w:val="002F7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2F7EEE"/>
    <w:rPr>
      <w:sz w:val="18"/>
      <w:szCs w:val="18"/>
    </w:rPr>
  </w:style>
  <w:style w:type="paragraph" w:styleId="ad">
    <w:name w:val="footer"/>
    <w:basedOn w:val="a"/>
    <w:link w:val="ae"/>
    <w:unhideWhenUsed/>
    <w:rsid w:val="002F7E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2F7EEE"/>
    <w:rPr>
      <w:sz w:val="18"/>
      <w:szCs w:val="18"/>
    </w:rPr>
  </w:style>
  <w:style w:type="character" w:styleId="af">
    <w:name w:val="Hyperlink"/>
    <w:basedOn w:val="a0"/>
    <w:unhideWhenUsed/>
    <w:rsid w:val="004827A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8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Jia-Hui</cp:lastModifiedBy>
  <cp:revision>12</cp:revision>
  <dcterms:created xsi:type="dcterms:W3CDTF">2022-01-26T21:27:00Z</dcterms:created>
  <dcterms:modified xsi:type="dcterms:W3CDTF">2022-03-09T08:35:00Z</dcterms:modified>
</cp:coreProperties>
</file>