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71670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color w:val="000000"/>
        </w:rPr>
        <w:t>Successful living donor liver transplantation with a graft</w:t>
      </w:r>
      <w:r>
        <w:rPr>
          <w:rFonts w:ascii="Book Antiqua" w:hAnsi="Book Antiqua" w:eastAsia="宋体" w:cs="宋体"/>
          <w:b/>
          <w:color w:val="000000"/>
          <w:lang w:eastAsia="zh-CN"/>
        </w:rPr>
        <w:t>-</w:t>
      </w:r>
      <w:r>
        <w:rPr>
          <w:rFonts w:ascii="Book Antiqua" w:hAnsi="Book Antiqua" w:eastAsia="Book Antiqua" w:cs="Book Antiqua"/>
          <w:b/>
          <w:color w:val="000000"/>
        </w:rPr>
        <w:t>to</w:t>
      </w:r>
      <w:r>
        <w:rPr>
          <w:rFonts w:ascii="Book Antiqua" w:hAnsi="Book Antiqua" w:eastAsia="宋体" w:cs="宋体"/>
          <w:b/>
          <w:color w:val="000000"/>
          <w:lang w:eastAsia="zh-CN"/>
        </w:rPr>
        <w:t>-</w:t>
      </w:r>
      <w:r>
        <w:rPr>
          <w:rFonts w:ascii="Book Antiqua" w:hAnsi="Book Antiqua" w:eastAsia="Book Antiqua" w:cs="Book Antiqua"/>
          <w:b/>
          <w:color w:val="000000"/>
        </w:rPr>
        <w:t xml:space="preserve">recipient weight ratio of 0.41 without portal flow modulation: </w:t>
      </w:r>
      <w:r>
        <w:rPr>
          <w:rFonts w:ascii="Book Antiqua" w:hAnsi="Book Antiqua" w:cs="Book Antiqua"/>
          <w:b/>
          <w:color w:val="000000"/>
          <w:lang w:eastAsia="zh-CN"/>
        </w:rPr>
        <w:t>A</w:t>
      </w:r>
      <w:r>
        <w:rPr>
          <w:rFonts w:ascii="Book Antiqua" w:hAnsi="Book Antiqua" w:eastAsia="Book Antiqua" w:cs="Book Antiqua"/>
          <w:b/>
          <w:color w:val="000000"/>
        </w:rPr>
        <w:t xml:space="preserve">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Kim SH</w:t>
      </w:r>
      <w:r>
        <w:rPr>
          <w:rFonts w:hint="eastAsia" w:ascii="Book Antiqua" w:hAnsi="Book Antiqua"/>
          <w:i/>
          <w:color w:val="000000" w:themeColor="text1"/>
          <w:lang w:eastAsia="zh-CN"/>
          <w14:textFill>
            <w14:solidFill>
              <w14:schemeClr w14:val="tx1"/>
            </w14:solidFill>
          </w14:textFill>
        </w:rPr>
        <w:t xml:space="preserve">. </w:t>
      </w:r>
      <w:r>
        <w:rPr>
          <w:rFonts w:ascii="Book Antiqua" w:hAnsi="Book Antiqua" w:cs="Book Antiqua"/>
          <w:color w:val="000000"/>
          <w:lang w:eastAsia="zh-CN"/>
        </w:rPr>
        <w:t>E</w:t>
      </w:r>
      <w:r>
        <w:rPr>
          <w:rFonts w:ascii="Book Antiqua" w:hAnsi="Book Antiqua" w:eastAsia="Book Antiqua" w:cs="Book Antiqua"/>
          <w:color w:val="000000"/>
        </w:rPr>
        <w:t>xtreme-small-for-size graft liver transplantation</w:t>
      </w:r>
    </w:p>
    <w:p>
      <w:pPr>
        <w:spacing w:line="360" w:lineRule="auto"/>
        <w:jc w:val="both"/>
        <w:rPr>
          <w:rFonts w:ascii="Book Antiqua" w:hAnsi="Book Antiqua"/>
        </w:rPr>
      </w:pPr>
    </w:p>
    <w:p>
      <w:pPr>
        <w:spacing w:line="360" w:lineRule="auto"/>
        <w:jc w:val="both"/>
        <w:rPr>
          <w:rFonts w:ascii="Book Antiqua" w:hAnsi="Book Antiqua"/>
        </w:rPr>
      </w:pPr>
      <w:bookmarkStart w:id="0" w:name="_Hlk100925707"/>
      <w:r>
        <w:rPr>
          <w:rFonts w:ascii="Book Antiqua" w:hAnsi="Book Antiqua" w:eastAsia="Book Antiqua" w:cs="Book Antiqua"/>
          <w:color w:val="000000"/>
        </w:rPr>
        <w:t>Seong Hoon Kim</w:t>
      </w:r>
      <w:bookmarkEnd w:id="0"/>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Seong Hoon Kim, </w:t>
      </w:r>
      <w:r>
        <w:rPr>
          <w:rFonts w:ascii="Book Antiqua" w:hAnsi="Book Antiqua" w:eastAsia="Book Antiqua" w:cs="Book Antiqua"/>
          <w:color w:val="000000"/>
        </w:rPr>
        <w:t>Center for Liver Cancer, National Cancer Center, Goyang 10408, Gyeonggi-do, South Korea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Author contributions:</w:t>
      </w:r>
      <w:r>
        <w:rPr>
          <w:rFonts w:ascii="Book Antiqua" w:hAnsi="Book Antiqua" w:eastAsia="Book Antiqua" w:cs="Book Antiqua"/>
          <w:color w:val="000000"/>
        </w:rPr>
        <w:t xml:space="preserve"> Kim SH</w:t>
      </w:r>
      <w:r>
        <w:rPr>
          <w:rFonts w:ascii="Book Antiqua" w:hAnsi="Book Antiqua" w:eastAsia="Book Antiqua" w:cs="Book Antiqua"/>
          <w:b/>
          <w:bCs/>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onceived and designed the analysis</w:t>
      </w:r>
      <w:r>
        <w:rPr>
          <w:rFonts w:ascii="Book Antiqua" w:hAnsi="Book Antiqua" w:cs="Book Antiqua"/>
          <w:color w:val="000000"/>
          <w:lang w:eastAsia="zh-CN"/>
        </w:rPr>
        <w:t>, c</w:t>
      </w:r>
      <w:r>
        <w:rPr>
          <w:rFonts w:ascii="Book Antiqua" w:hAnsi="Book Antiqua" w:eastAsia="Book Antiqua" w:cs="Book Antiqua"/>
          <w:color w:val="000000"/>
        </w:rPr>
        <w:t>ollected the data</w:t>
      </w:r>
      <w:r>
        <w:rPr>
          <w:rFonts w:ascii="Book Antiqua" w:hAnsi="Book Antiqua" w:cs="Book Antiqua"/>
          <w:color w:val="000000"/>
          <w:lang w:eastAsia="zh-CN"/>
        </w:rPr>
        <w:t>, p</w:t>
      </w:r>
      <w:r>
        <w:rPr>
          <w:rFonts w:ascii="Book Antiqua" w:hAnsi="Book Antiqua" w:eastAsia="Book Antiqua" w:cs="Book Antiqua"/>
          <w:color w:val="000000"/>
        </w:rPr>
        <w:t>erformed the analysis,</w:t>
      </w:r>
      <w:r>
        <w:rPr>
          <w:rFonts w:ascii="Book Antiqua" w:hAnsi="Book Antiqua" w:cs="Book Antiqua"/>
          <w:color w:val="000000"/>
          <w:lang w:eastAsia="zh-CN"/>
        </w:rPr>
        <w:t xml:space="preserve"> and w</w:t>
      </w:r>
      <w:r>
        <w:rPr>
          <w:rFonts w:ascii="Book Antiqua" w:hAnsi="Book Antiqua" w:eastAsia="Book Antiqua" w:cs="Book Antiqua"/>
          <w:color w:val="000000"/>
        </w:rPr>
        <w:t>rote the paper</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Seong Hoon Kim, MD, PhD, Chief Doctor, Professor, Senior Scientist, Surgeon, </w:t>
      </w:r>
      <w:r>
        <w:rPr>
          <w:rFonts w:ascii="Book Antiqua" w:hAnsi="Book Antiqua" w:eastAsia="Book Antiqua" w:cs="Book Antiqua"/>
          <w:color w:val="000000"/>
        </w:rPr>
        <w:t>Center for Liver Cancer, National Cancer Center, 323 Ilsan-ro, Ilsandong-gu, Goyang 10408, Gyeonggi-do, South Korea. kshlj@hanmail.net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17,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 xml:space="preserve">November </w:t>
      </w:r>
      <w:r>
        <w:rPr>
          <w:rFonts w:ascii="Book Antiqua" w:hAnsi="Book Antiqua" w:cs="Book Antiqua"/>
          <w:bCs/>
          <w:color w:val="000000"/>
          <w:lang w:eastAsia="zh-CN"/>
        </w:rPr>
        <w:t>12</w:t>
      </w:r>
      <w:r>
        <w:rPr>
          <w:rFonts w:ascii="Book Antiqua" w:hAnsi="Book Antiqua" w:eastAsia="Book Antiqua" w:cs="Book Antiqua"/>
          <w:bCs/>
          <w:color w:val="000000"/>
        </w:rPr>
        <w:t>, 2021</w:t>
      </w:r>
    </w:p>
    <w:p>
      <w:pPr>
        <w:spacing w:line="360" w:lineRule="auto"/>
        <w:jc w:val="both"/>
        <w:rPr>
          <w:rFonts w:hint="eastAsia"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22,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lang w:val="en-US" w:eastAsia="zh-CN"/>
        </w:rPr>
        <w:t>June 6,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There have been numerous efforts to lower the limit of minimum graft size to meet the metabolic demand of recipients in adult-to-adult living donor liver transplantation (LDLT). We experienced a successful case of LDLT using a very-small-for-size graft without portal flow modulation such as splenectomy or portocaval shunt.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49-year-old man (weighing 91 kg) suffering hepatocellular carcinoma accompanied with hepatitis B virus related cirrhosis underwent LDLT. The one and only voluntary donor was his 17-year-old daughter whose body weight was 50 kg with a body mass index (BMI) of 18.3. The procured right liver graft was 411 g with a real graft-to-recipient weight ratio (GRWR) of 0.41%, the smallest to be reported in the literature. Both the recipient and donor had an uneventful recovery and were discharged on days 15 and 8, respectively, with normal liver function. The father and daughter have had no complication so far and are still in good health with normal liver function 81 mo after LDLT.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Satisfactory outcomes can be achieved in LDLT with a GRWR as low as 0.41% even without using portal flow modulation in highly selected patients. </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Small-for-size graft; Living donor liver transplantation</w:t>
      </w:r>
      <w:r>
        <w:rPr>
          <w:rFonts w:ascii="Book Antiqua" w:hAnsi="Book Antiqua" w:cs="Book Antiqua"/>
          <w:color w:val="000000"/>
          <w:lang w:eastAsia="zh-CN"/>
        </w:rPr>
        <w:t xml:space="preserve">; Graft-to-recipient weight ratio; </w:t>
      </w:r>
      <w:r>
        <w:rPr>
          <w:rFonts w:ascii="Book Antiqua" w:hAnsi="Book Antiqua"/>
          <w:lang w:eastAsia="zh-CN"/>
        </w:rPr>
        <w:t>C</w:t>
      </w:r>
      <w:r>
        <w:rPr>
          <w:rFonts w:ascii="Book Antiqua" w:hAnsi="Book Antiqua"/>
        </w:rPr>
        <w:t>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Kim SH. Successful living donor liver transplantation with a graft-to-recipient weight ratio of 0.41 without portal flow modulation: A case report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5414-5419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5414</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5414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Satisfactory outcomes was achieved in living donor liver transplantation with a graft-to-recipient weight ratio as low as 0.41%, the smallest to be reported in the literature, even without using portal flow modulation in a highly selected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How small is too small in terms of a graft-to-recipient weight ratio (GRWR)? The graft size is one of the most critical factors to consider in adult-to-adult living donor liver transplantation (LDLT), and small-for-size syndrome can reportedly occur in patients receiving a small-for-size graft (SFSG) unless the grafts meet the metabolic demands of the recipients</w:t>
      </w:r>
      <w:r>
        <w:rPr>
          <w:rFonts w:ascii="Book Antiqua" w:hAnsi="Book Antiqua" w:cs="Book Antiqua"/>
          <w:color w:val="000000"/>
          <w:vertAlign w:val="superscript"/>
          <w:lang w:eastAsia="zh-CN"/>
        </w:rPr>
        <w:t>[1]</w:t>
      </w:r>
      <w:r>
        <w:rPr>
          <w:rFonts w:ascii="Book Antiqua" w:hAnsi="Book Antiqua" w:eastAsia="Book Antiqua" w:cs="Book Antiqua"/>
          <w:color w:val="000000"/>
        </w:rPr>
        <w:t>. Traditionally, a GRWR ≥</w:t>
      </w:r>
      <w:r>
        <w:rPr>
          <w:rFonts w:ascii="Book Antiqua" w:hAnsi="Book Antiqua" w:cs="Book Antiqua"/>
          <w:color w:val="000000"/>
          <w:lang w:eastAsia="zh-CN"/>
        </w:rPr>
        <w:t xml:space="preserve"> </w:t>
      </w:r>
      <w:r>
        <w:rPr>
          <w:rFonts w:ascii="Book Antiqua" w:hAnsi="Book Antiqua" w:eastAsia="Book Antiqua" w:cs="Book Antiqua"/>
          <w:color w:val="000000"/>
        </w:rPr>
        <w:t>0.8% has been recommended to improve the graft survival and prevent the early graft dysfunction</w:t>
      </w:r>
      <w:r>
        <w:rPr>
          <w:rFonts w:ascii="Book Antiqua" w:hAnsi="Book Antiqua" w:cs="Book Antiqua"/>
          <w:color w:val="000000"/>
          <w:vertAlign w:val="superscript"/>
          <w:lang w:eastAsia="zh-CN"/>
        </w:rPr>
        <w:t>[2]</w:t>
      </w:r>
      <w:r>
        <w:rPr>
          <w:rFonts w:ascii="Book Antiqua" w:hAnsi="Book Antiqua" w:eastAsia="Book Antiqua" w:cs="Book Antiqua"/>
          <w:color w:val="000000"/>
        </w:rPr>
        <w:t>. However, there is no clear evidence on whether SFSG (GRWR &lt; 0.8) is dangerous for LDLT recipients. The minimum graft size still remains to be defined.</w:t>
      </w:r>
      <w:r>
        <w:rPr>
          <w:rFonts w:ascii="Book Antiqua" w:hAnsi="Book Antiqua" w:cs="Book Antiqua"/>
          <w:color w:val="000000"/>
          <w:lang w:eastAsia="zh-CN"/>
        </w:rPr>
        <w:t xml:space="preserve"> </w:t>
      </w:r>
      <w:r>
        <w:rPr>
          <w:rFonts w:ascii="Book Antiqua" w:hAnsi="Book Antiqua" w:eastAsia="Book Antiqua" w:cs="Book Antiqua"/>
          <w:color w:val="000000"/>
        </w:rPr>
        <w:t>In the current era of LDLT performed worldwide, selecting and making SFSGs suitable for recipients can be the last resort to the deteriorating patients who have no other donor candidate.</w:t>
      </w:r>
    </w:p>
    <w:p>
      <w:pPr>
        <w:spacing w:line="360" w:lineRule="auto"/>
        <w:ind w:firstLine="120" w:firstLineChars="50"/>
        <w:jc w:val="both"/>
        <w:rPr>
          <w:rFonts w:ascii="Book Antiqua" w:hAnsi="Book Antiqua"/>
        </w:rPr>
      </w:pPr>
      <w:r>
        <w:rPr>
          <w:rFonts w:ascii="Book Antiqua" w:hAnsi="Book Antiqua" w:eastAsia="Book Antiqua" w:cs="Book Antiqua"/>
          <w:color w:val="000000"/>
        </w:rPr>
        <w:t>Herein described is a case of a 49-year-old man who showed long-term favorable clinical outcomes after LDLT using a right liver graft with a GRWR of 0.41.</w:t>
      </w:r>
      <w:r>
        <w:rPr>
          <w:rFonts w:ascii="Book Antiqua" w:hAnsi="Book Antiqua"/>
          <w:lang w:eastAsia="zh-CN"/>
        </w:rPr>
        <w:t xml:space="preserve"> </w:t>
      </w:r>
      <w:r>
        <w:rPr>
          <w:rFonts w:ascii="Book Antiqua" w:hAnsi="Book Antiqua" w:eastAsia="Book Antiqua" w:cs="Book Antiqua"/>
          <w:color w:val="000000"/>
        </w:rPr>
        <w:t>We present the case in accordance with the CARE reporting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49-year-old man was referred to the author’s institution for evaluation of LDLT for hepatocellular carcinoma (1 nodule, 2.5</w:t>
      </w:r>
      <w:r>
        <w:rPr>
          <w:rFonts w:ascii="Book Antiqua" w:hAnsi="Book Antiqua" w:cs="Book Antiqua"/>
          <w:color w:val="000000"/>
          <w:lang w:eastAsia="zh-CN"/>
        </w:rPr>
        <w:t xml:space="preserve"> </w:t>
      </w:r>
      <w:r>
        <w:rPr>
          <w:rFonts w:ascii="Book Antiqua" w:hAnsi="Book Antiqua" w:eastAsia="Book Antiqua" w:cs="Book Antiqua"/>
          <w:color w:val="000000"/>
        </w:rPr>
        <w:t xml:space="preserve">cm in diameter) and hepatitis B virus-related liver cirrhosis.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lang w:eastAsia="zh-CN"/>
        </w:rPr>
      </w:pPr>
      <w:r>
        <w:rPr>
          <w:rFonts w:ascii="Book Antiqua" w:hAnsi="Book Antiqua" w:cs="Book Antiqua"/>
          <w:color w:val="000000"/>
          <w:lang w:eastAsia="zh-CN"/>
        </w:rPr>
        <w:t>H</w:t>
      </w:r>
      <w:r>
        <w:rPr>
          <w:rFonts w:ascii="Book Antiqua" w:hAnsi="Book Antiqua" w:eastAsia="Book Antiqua" w:cs="Book Antiqua"/>
          <w:color w:val="000000"/>
        </w:rPr>
        <w:t>epatocellular carcinoma (1 nodule, 2.5</w:t>
      </w:r>
      <w:r>
        <w:rPr>
          <w:rFonts w:ascii="Book Antiqua" w:hAnsi="Book Antiqua" w:cs="Book Antiqua"/>
          <w:color w:val="000000"/>
          <w:lang w:eastAsia="zh-CN"/>
        </w:rPr>
        <w:t xml:space="preserve"> </w:t>
      </w:r>
      <w:r>
        <w:rPr>
          <w:rFonts w:ascii="Book Antiqua" w:hAnsi="Book Antiqua" w:eastAsia="Book Antiqua" w:cs="Book Antiqua"/>
          <w:color w:val="000000"/>
        </w:rPr>
        <w:t>cm in diameter) and hepatitis B virus-related liver cirrhosis</w:t>
      </w:r>
      <w:r>
        <w:rPr>
          <w:rFonts w:ascii="Book Antiqua" w:hAnsi="Book Antiqua" w:cs="Book Antiqua"/>
          <w:color w:val="000000"/>
          <w:lang w:eastAsia="zh-CN"/>
        </w:rPr>
        <w: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cs="Book Antiqua"/>
          <w:color w:val="000000"/>
          <w:lang w:eastAsia="zh-CN"/>
        </w:rPr>
        <w:t xml:space="preserve">There were </w:t>
      </w:r>
      <w:r>
        <w:rPr>
          <w:rFonts w:ascii="Book Antiqua" w:hAnsi="Book Antiqua" w:eastAsia="Book Antiqua" w:cs="Book Antiqua"/>
          <w:color w:val="000000"/>
        </w:rPr>
        <w:t>no history of smoking or drinking, and no family history of cancers.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lang w:eastAsia="zh-CN"/>
        </w:rPr>
      </w:pPr>
      <w:r>
        <w:rPr>
          <w:rFonts w:ascii="Book Antiqua" w:hAnsi="Book Antiqua" w:eastAsia="Book Antiqua" w:cs="Book Antiqua"/>
          <w:color w:val="000000"/>
        </w:rPr>
        <w:t>The patient’s height was 183 cm and his weight was 99 kg with a body mass index of 29.5. His body surface area was calculated to be 2.2 m</w:t>
      </w:r>
      <w:r>
        <w:rPr>
          <w:rFonts w:ascii="Book Antiqua" w:hAnsi="Book Antiqua" w:eastAsia="Book Antiqua" w:cs="Book Antiqua"/>
          <w:color w:val="000000"/>
          <w:vertAlign w:val="superscript"/>
        </w:rPr>
        <w:t>2</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The patient’s liver function was not severely impaired </w:t>
      </w:r>
      <w:r>
        <w:rPr>
          <w:rFonts w:ascii="Book Antiqua" w:hAnsi="Book Antiqua" w:cs="Book Antiqua"/>
          <w:color w:val="000000"/>
          <w:lang w:eastAsia="zh-CN"/>
        </w:rPr>
        <w:t>[</w:t>
      </w:r>
      <w:r>
        <w:rPr>
          <w:rFonts w:ascii="Book Antiqua" w:hAnsi="Book Antiqua" w:eastAsia="Book Antiqua" w:cs="Book Antiqua"/>
          <w:color w:val="000000"/>
        </w:rPr>
        <w:t>Child-Pugh A class and model for end-stage liver disease (MELD) score 10</w:t>
      </w:r>
      <w:r>
        <w:rPr>
          <w:rFonts w:ascii="Book Antiqua" w:hAnsi="Book Antiqua" w:cs="Book Antiqua"/>
          <w:color w:val="000000"/>
          <w:lang w:eastAsia="zh-CN"/>
        </w:rPr>
        <w:t>]</w:t>
      </w:r>
      <w:r>
        <w:rPr>
          <w:rFonts w:ascii="Book Antiqua" w:hAnsi="Book Antiqua" w:eastAsia="Book Antiqua" w:cs="Book Antiqua"/>
          <w:color w:val="000000"/>
        </w:rPr>
        <w:t>.</w:t>
      </w:r>
      <w:r>
        <w:rPr>
          <w:rFonts w:ascii="Book Antiqua" w:hAnsi="Book Antiqua"/>
          <w:lang w:eastAsia="zh-CN"/>
        </w:rPr>
        <w:t xml:space="preserve"> </w:t>
      </w:r>
      <w:r>
        <w:rPr>
          <w:rFonts w:ascii="Book Antiqua" w:hAnsi="Book Antiqua" w:eastAsia="Book Antiqua" w:cs="Book Antiqua"/>
          <w:color w:val="000000"/>
        </w:rPr>
        <w:t>The platelet count was reduced to 68</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per microliter of blood.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Preoperative computed tomographic (CT) volumetry showed the volume of this area to be 553.2 mL; expected graft-to-recipient weight ratio (GRWR) was 0.55; and expected graft-to-standard liver volume (GV/SLV) was 27.5%.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cs="Book Antiqua"/>
          <w:color w:val="000000"/>
          <w:lang w:eastAsia="zh-CN"/>
        </w:rPr>
        <w:t>H</w:t>
      </w:r>
      <w:r>
        <w:rPr>
          <w:rFonts w:ascii="Book Antiqua" w:hAnsi="Book Antiqua" w:eastAsia="Book Antiqua" w:cs="Book Antiqua"/>
          <w:color w:val="000000"/>
        </w:rPr>
        <w:t>epatocellular carcinoma (1 nodule, 2.5</w:t>
      </w:r>
      <w:r>
        <w:rPr>
          <w:rFonts w:ascii="Book Antiqua" w:hAnsi="Book Antiqua" w:cs="Book Antiqua"/>
          <w:color w:val="000000"/>
          <w:lang w:eastAsia="zh-CN"/>
        </w:rPr>
        <w:t xml:space="preserve"> </w:t>
      </w:r>
      <w:r>
        <w:rPr>
          <w:rFonts w:ascii="Book Antiqua" w:hAnsi="Book Antiqua" w:eastAsia="Book Antiqua" w:cs="Book Antiqua"/>
          <w:color w:val="000000"/>
        </w:rPr>
        <w:t>cm in diameter) and hepatitis B virus-related liver cirrhosis</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only donor available for LDLT was his daughter. The donor and recipient had the same blood group and the LDLT were approved by KONOS (Korean Network for Organ Sharing).</w:t>
      </w:r>
      <w:r>
        <w:rPr>
          <w:rFonts w:ascii="Book Antiqua" w:hAnsi="Book Antiqua"/>
          <w:lang w:eastAsia="zh-CN"/>
        </w:rPr>
        <w:t xml:space="preserve"> </w:t>
      </w:r>
      <w:r>
        <w:rPr>
          <w:rFonts w:ascii="Book Antiqua" w:hAnsi="Book Antiqua" w:eastAsia="Book Antiqua" w:cs="Book Antiqua"/>
          <w:color w:val="000000"/>
        </w:rPr>
        <w:t>The LDLT was conducted on December 15, 2014. All the main procedures were performed by one surgeon (Seong Hoon Kim). He performed donor hepatectomy, bench procedure, recipient hepatectomy, and graft implantation. In recipient hepatectomy, a junior surgeon opened the abdomen and</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mobilized both lobes of the liver while the surgeon completed donor hepatectomy and bench procedure. Then he came over to the recipient operating room. He performed the hilar dissection and complete mobilization of the liver from the inferior vena cava. Donor surgery was performed as previously reported</w:t>
      </w:r>
      <w:r>
        <w:rPr>
          <w:rFonts w:ascii="Book Antiqua" w:hAnsi="Book Antiqua" w:cs="Book Antiqua"/>
          <w:color w:val="000000"/>
          <w:vertAlign w:val="superscript"/>
          <w:lang w:eastAsia="zh-CN"/>
        </w:rPr>
        <w:t>[5]</w:t>
      </w:r>
      <w:r>
        <w:rPr>
          <w:rFonts w:ascii="Book Antiqua" w:hAnsi="Book Antiqua" w:eastAsia="Book Antiqua" w:cs="Book Antiqua"/>
          <w:color w:val="000000"/>
        </w:rPr>
        <w:t>. The intraoperative wedge biopsy specimen revealed 5% of macrovesicular steatosis. Operation time was 170 min with minimal blood loss. The real weight of the resected right liver was 411 g, which was much smaller than the preoperatively predicted value by CT volumetry. The real GRWR was 0.41 and GV/SLV was 20.4%, which surely implied a very-small-for-size graft.</w:t>
      </w:r>
    </w:p>
    <w:p>
      <w:pPr>
        <w:spacing w:line="360" w:lineRule="auto"/>
        <w:ind w:firstLine="120" w:firstLineChars="50"/>
        <w:jc w:val="both"/>
        <w:rPr>
          <w:rFonts w:ascii="Book Antiqua" w:hAnsi="Book Antiqua"/>
        </w:rPr>
      </w:pPr>
      <w:r>
        <w:rPr>
          <w:rFonts w:ascii="Book Antiqua" w:hAnsi="Book Antiqua" w:eastAsia="Book Antiqua" w:cs="Book Antiqua"/>
          <w:color w:val="000000"/>
        </w:rPr>
        <w:t>During bench preparation, two sizable tributaries (V5 and V8) of the middle hepatic vein were reconstructed using a cryopreserved iliac vein graft. In the recipient, eversion thrombectomy was performed for partial bland thrombosis in the main portal vein following total hepatectomy. After the anastomoses of the hepatic vein and portal vein, the reperfusion revealed neither severe congestion of the small graft nor uncontrollable bleeding from the cut surface of the graft. So, no additional modulation was done intraoperatively. The donor’s single right hepatic artery 1.5</w:t>
      </w:r>
      <w:r>
        <w:rPr>
          <w:rFonts w:ascii="Book Antiqua" w:hAnsi="Book Antiqua" w:cs="Book Antiqua"/>
          <w:color w:val="000000"/>
          <w:lang w:eastAsia="zh-CN"/>
        </w:rPr>
        <w:t xml:space="preserve"> </w:t>
      </w:r>
      <w:r>
        <w:rPr>
          <w:rFonts w:ascii="Book Antiqua" w:hAnsi="Book Antiqua" w:eastAsia="Book Antiqua" w:cs="Book Antiqua"/>
          <w:color w:val="000000"/>
        </w:rPr>
        <w:t>mm in diameter was anastomosed with the recipient’s right hepatic artery 2</w:t>
      </w:r>
      <w:r>
        <w:rPr>
          <w:rFonts w:ascii="Book Antiqua" w:hAnsi="Book Antiqua" w:cs="Book Antiqua"/>
          <w:color w:val="000000"/>
          <w:lang w:eastAsia="zh-CN"/>
        </w:rPr>
        <w:t xml:space="preserve"> </w:t>
      </w:r>
      <w:r>
        <w:rPr>
          <w:rFonts w:ascii="Book Antiqua" w:hAnsi="Book Antiqua" w:eastAsia="Book Antiqua" w:cs="Book Antiqua"/>
          <w:color w:val="000000"/>
        </w:rPr>
        <w:t>mm in diameter. Doppler ultrasonography showed good vascular flows in all the vessels reconstructed in the graft. The graft was finally transplanted with a duct-to-duct biliary reconstruction. The cold ischemia time was 75 min; warm ischemia time was 25 min; and anhepatic stage was 102 min. Operation time was 8 h and 8 min. Blood loss was 4000 mL.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After LDLT, the patient recovered with improving laboratory findings with time. On the day before LDLT, the AST level was 50 U/L and the ALT level was 46 U/L. On postoperative day (POD) 1, these levels were 68 U/L and 76 U/L, respectively; on POD 3, 33 U/L and 41 U/L, respectively; on POD 15, 28 U/L and 27 U/L, respectively. The serum total bilirubin level that had been 1.4 mg/dL just before LDLT was elevated to 6.7 mg/dL on POD 1 but gradually decreased to 1.6 mg/dL on POD 7, and then was 0.4 mg/dL on POD 15 at discharge. The international normalized ratio was 1.19 before LDLT, but it increased to 2.32 on POD 1. The ratio was 1.68 on POD 3 and 1.43 on POD 7. The ratio recovered to 1.01 on POD 15. </w:t>
      </w:r>
    </w:p>
    <w:p>
      <w:pPr>
        <w:spacing w:line="360" w:lineRule="auto"/>
        <w:ind w:firstLine="120" w:firstLineChars="50"/>
        <w:jc w:val="both"/>
        <w:rPr>
          <w:rFonts w:ascii="Book Antiqua" w:hAnsi="Book Antiqua"/>
        </w:rPr>
      </w:pPr>
      <w:r>
        <w:rPr>
          <w:rFonts w:ascii="Book Antiqua" w:hAnsi="Book Antiqua" w:eastAsia="Book Antiqua" w:cs="Book Antiqua"/>
          <w:color w:val="000000"/>
        </w:rPr>
        <w:t xml:space="preserve">Routine follow-up computerized tomography (CT) on POD 9 showed no abnormal findings except for V8 occlusion and slight right pleural effusion. The postoperative course was not eventful. There had been no signs of small-for-size syndrome such as prolonged ascites, jaundice, and hyperammonemia. The recipient was discharged without complications with normal liver function from the hospital on POD 15, and the donor checked out on day 8 safe and sound. </w:t>
      </w:r>
    </w:p>
    <w:p>
      <w:pPr>
        <w:spacing w:line="360" w:lineRule="auto"/>
        <w:ind w:firstLine="120" w:firstLineChars="50"/>
        <w:jc w:val="both"/>
        <w:rPr>
          <w:rFonts w:ascii="Book Antiqua" w:hAnsi="Book Antiqua"/>
        </w:rPr>
      </w:pPr>
      <w:r>
        <w:rPr>
          <w:rFonts w:ascii="Book Antiqua" w:hAnsi="Book Antiqua" w:eastAsia="Book Antiqua" w:cs="Book Antiqua"/>
          <w:color w:val="000000"/>
        </w:rPr>
        <w:t>A follow-up CT scan showed sufficient liver regeneration in the recipient (Figure 1).</w:t>
      </w:r>
      <w:r>
        <w:rPr>
          <w:rFonts w:ascii="Book Antiqua" w:hAnsi="Book Antiqua"/>
          <w:lang w:eastAsia="zh-CN"/>
        </w:rPr>
        <w:t xml:space="preserve"> </w:t>
      </w:r>
      <w:r>
        <w:rPr>
          <w:rFonts w:ascii="Book Antiqua" w:hAnsi="Book Antiqua" w:eastAsia="Book Antiqua" w:cs="Book Antiqua"/>
          <w:color w:val="000000"/>
        </w:rPr>
        <w:t>It has been 6 years and 9 mo since the LDLT and both the donor and recipient are still in good conditions with normal liver function, having full satisfaction with the outcomes that they got from this LDLT.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This is the smallest GRWR ever reported in LDLT even without portal flow modulation. And it had shown favorable long-term clinical outcomes. Actually, the patient was </w:t>
      </w:r>
      <w:r>
        <w:rPr>
          <w:rFonts w:ascii="Book Antiqua" w:hAnsi="Book Antiqua" w:eastAsia="Book Antiqua" w:cs="Book Antiqua"/>
          <w:color w:val="000000"/>
          <w:shd w:val="clear" w:color="auto" w:fill="FFFFFF"/>
        </w:rPr>
        <w:t xml:space="preserve">recommended to receive </w:t>
      </w:r>
      <w:r>
        <w:rPr>
          <w:rFonts w:ascii="Book Antiqua" w:hAnsi="Book Antiqua" w:eastAsia="Book Antiqua" w:cs="Book Antiqua"/>
          <w:color w:val="000000"/>
        </w:rPr>
        <w:t>dual liver grafts at another hospital</w:t>
      </w:r>
      <w:r>
        <w:rPr>
          <w:rFonts w:ascii="Book Antiqua" w:hAnsi="Book Antiqua" w:eastAsia="Book Antiqua" w:cs="Book Antiqua"/>
          <w:color w:val="000000"/>
          <w:shd w:val="clear" w:color="auto" w:fill="FFFFFF"/>
        </w:rPr>
        <w:t xml:space="preserve"> due to a low GRWR.</w:t>
      </w:r>
      <w:r>
        <w:rPr>
          <w:rFonts w:ascii="Book Antiqua" w:hAnsi="Book Antiqua"/>
          <w:lang w:eastAsia="zh-CN"/>
        </w:rPr>
        <w:t xml:space="preserve"> </w:t>
      </w:r>
      <w:r>
        <w:rPr>
          <w:rFonts w:ascii="Book Antiqua" w:hAnsi="Book Antiqua" w:eastAsia="Book Antiqua" w:cs="Book Antiqua"/>
          <w:color w:val="000000"/>
        </w:rPr>
        <w:t>There have been many efforts made to use the SFSG that was defined as having a GRWR &lt; 0.8. A decade ago, there was a report that the lower limit of GRWR can be safely reduced to 0.6% in adult</w:t>
      </w:r>
      <w:r>
        <w:rPr>
          <w:rFonts w:ascii="Book Antiqua" w:hAnsi="Book Antiqua" w:eastAsia="宋体" w:cs="宋体"/>
          <w:color w:val="000000"/>
          <w:lang w:eastAsia="zh-CN"/>
        </w:rPr>
        <w:t>-</w:t>
      </w:r>
      <w:r>
        <w:rPr>
          <w:rFonts w:ascii="Book Antiqua" w:hAnsi="Book Antiqua" w:eastAsia="Book Antiqua" w:cs="Book Antiqua"/>
          <w:color w:val="000000"/>
        </w:rPr>
        <w:t>to</w:t>
      </w:r>
      <w:r>
        <w:rPr>
          <w:rFonts w:ascii="Book Antiqua" w:hAnsi="Book Antiqua" w:eastAsia="宋体" w:cs="宋体"/>
          <w:color w:val="000000"/>
          <w:lang w:eastAsia="zh-CN"/>
        </w:rPr>
        <w:t>-</w:t>
      </w:r>
      <w:r>
        <w:rPr>
          <w:rFonts w:ascii="Book Antiqua" w:hAnsi="Book Antiqua" w:eastAsia="Book Antiqua" w:cs="Book Antiqua"/>
          <w:color w:val="000000"/>
        </w:rPr>
        <w:t>adult LDLT in combination with portal inflow modulation</w:t>
      </w:r>
      <w:r>
        <w:rPr>
          <w:rFonts w:ascii="Book Antiqua" w:hAnsi="Book Antiqua" w:cs="Book Antiqua"/>
          <w:color w:val="000000"/>
          <w:vertAlign w:val="superscript"/>
          <w:lang w:eastAsia="zh-CN"/>
        </w:rPr>
        <w:t>[6]</w:t>
      </w:r>
      <w:r>
        <w:rPr>
          <w:rFonts w:ascii="Book Antiqua" w:hAnsi="Book Antiqua" w:eastAsia="Book Antiqua" w:cs="Book Antiqua"/>
          <w:color w:val="000000"/>
        </w:rPr>
        <w:t>. The threshold of GRWR was further reduced to 0.58 with hemi-portocaval shunt</w:t>
      </w:r>
      <w:r>
        <w:rPr>
          <w:rFonts w:ascii="Book Antiqua" w:hAnsi="Book Antiqua" w:cs="Book Antiqua"/>
          <w:color w:val="000000"/>
          <w:vertAlign w:val="superscript"/>
          <w:lang w:eastAsia="zh-CN"/>
        </w:rPr>
        <w:t>[7]</w:t>
      </w:r>
      <w:r>
        <w:rPr>
          <w:rFonts w:ascii="Book Antiqua" w:hAnsi="Book Antiqua" w:eastAsia="Book Antiqua" w:cs="Book Antiqua"/>
          <w:color w:val="000000"/>
        </w:rPr>
        <w:t>. Furthermore, the record had already been broken so that a successful LDLT using a right lateral segment with a GRWR of 0.47 was reported by virtue of splenectomy and mesocaval shunt</w:t>
      </w:r>
      <w:r>
        <w:rPr>
          <w:rFonts w:ascii="Book Antiqua" w:hAnsi="Book Antiqua" w:cs="Book Antiqua"/>
          <w:color w:val="000000"/>
          <w:vertAlign w:val="superscript"/>
          <w:lang w:eastAsia="zh-CN"/>
        </w:rPr>
        <w:t>[8]</w:t>
      </w:r>
      <w:r>
        <w:rPr>
          <w:rFonts w:ascii="Book Antiqua" w:hAnsi="Book Antiqua" w:eastAsia="Book Antiqua" w:cs="Book Antiqua"/>
          <w:color w:val="000000"/>
        </w:rPr>
        <w:t>. There was an interesting report that a 60-year-old woman received a whole liver graft with an estimated GRWR of 0.46% from a 10-year-old child deceased donor with splenectomy in order to prevent the potential risk of developing small-for-size syndrome. However, the actual GRWR was 0.8</w:t>
      </w:r>
      <w:r>
        <w:rPr>
          <w:rFonts w:ascii="Book Antiqua" w:hAnsi="Book Antiqua" w:cs="Book Antiqua"/>
          <w:color w:val="000000"/>
          <w:vertAlign w:val="superscript"/>
          <w:lang w:eastAsia="zh-CN"/>
        </w:rPr>
        <w:t>[9]</w:t>
      </w:r>
      <w:r>
        <w:rPr>
          <w:rFonts w:ascii="Book Antiqua" w:hAnsi="Book Antiqua" w:eastAsia="Book Antiqua" w:cs="Book Antiqua"/>
          <w:color w:val="000000"/>
        </w:rPr>
        <w:t>.</w:t>
      </w:r>
    </w:p>
    <w:p>
      <w:pPr>
        <w:spacing w:line="360" w:lineRule="auto"/>
        <w:ind w:firstLine="120" w:firstLineChars="50"/>
        <w:jc w:val="both"/>
        <w:rPr>
          <w:rFonts w:ascii="Book Antiqua" w:hAnsi="Book Antiqua"/>
        </w:rPr>
      </w:pPr>
      <w:r>
        <w:rPr>
          <w:rFonts w:ascii="Book Antiqua" w:hAnsi="Book Antiqua" w:eastAsia="Book Antiqua" w:cs="Book Antiqua"/>
          <w:color w:val="000000"/>
        </w:rPr>
        <w:t>On the contrary, there were also several studies without portal inflow modulation, suggesting that it would be difﬁcult to deny a living donor candidate the opportunity to donate one’s partial liver solely based on the graft size in terms of GRWR. Two retrospective studies found no significant differences</w:t>
      </w:r>
      <w:r>
        <w:rPr>
          <w:rFonts w:eastAsia="Book Antiqua"/>
          <w:color w:val="000000"/>
        </w:rPr>
        <w:t> </w:t>
      </w:r>
      <w:r>
        <w:rPr>
          <w:rFonts w:ascii="Book Antiqua" w:hAnsi="Book Antiqua" w:eastAsia="Book Antiqua" w:cs="Book Antiqua"/>
          <w:color w:val="000000"/>
        </w:rPr>
        <w:t>in</w:t>
      </w:r>
      <w:r>
        <w:rPr>
          <w:rFonts w:eastAsia="Book Antiqua"/>
          <w:color w:val="000000"/>
        </w:rPr>
        <w:t> </w:t>
      </w:r>
      <w:r>
        <w:rPr>
          <w:rFonts w:ascii="Book Antiqua" w:hAnsi="Book Antiqua" w:eastAsia="Book Antiqua" w:cs="Book Antiqua"/>
          <w:color w:val="000000"/>
        </w:rPr>
        <w:t>both</w:t>
      </w:r>
      <w:r>
        <w:rPr>
          <w:rFonts w:eastAsia="Book Antiqua"/>
          <w:color w:val="000000"/>
        </w:rPr>
        <w:t> </w:t>
      </w:r>
      <w:r>
        <w:rPr>
          <w:rFonts w:ascii="Book Antiqua" w:hAnsi="Book Antiqua" w:eastAsia="Book Antiqua" w:cs="Book Antiqua"/>
          <w:color w:val="000000"/>
        </w:rPr>
        <w:t>the</w:t>
      </w:r>
      <w:r>
        <w:rPr>
          <w:rFonts w:eastAsia="Book Antiqua"/>
          <w:color w:val="000000"/>
        </w:rPr>
        <w:t> </w:t>
      </w:r>
      <w:r>
        <w:rPr>
          <w:rFonts w:ascii="Book Antiqua" w:hAnsi="Book Antiqua" w:eastAsia="Book Antiqua" w:cs="Book Antiqua"/>
          <w:color w:val="000000"/>
        </w:rPr>
        <w:t>incidence</w:t>
      </w:r>
      <w:r>
        <w:rPr>
          <w:rFonts w:eastAsia="Book Antiqua"/>
          <w:color w:val="000000"/>
        </w:rPr>
        <w:t> </w:t>
      </w:r>
      <w:r>
        <w:rPr>
          <w:rFonts w:ascii="Book Antiqua" w:hAnsi="Book Antiqua" w:eastAsia="Book Antiqua" w:cs="Book Antiqua"/>
          <w:color w:val="000000"/>
        </w:rPr>
        <w:t>of</w:t>
      </w:r>
      <w:r>
        <w:rPr>
          <w:rFonts w:eastAsia="Book Antiqua"/>
          <w:color w:val="000000"/>
        </w:rPr>
        <w:t> </w:t>
      </w:r>
      <w:r>
        <w:rPr>
          <w:rFonts w:ascii="Book Antiqua" w:hAnsi="Book Antiqua" w:eastAsia="Book Antiqua" w:cs="Book Antiqua"/>
          <w:color w:val="000000"/>
        </w:rPr>
        <w:t>SFSS and graft survival between GRWR</w:t>
      </w:r>
      <w:r>
        <w:rPr>
          <w:rFonts w:eastAsia="Book Antiqua"/>
          <w:color w:val="000000"/>
        </w:rPr>
        <w:t>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0.8%</w:t>
      </w:r>
      <w:r>
        <w:rPr>
          <w:rFonts w:eastAsia="Book Antiqua"/>
          <w:color w:val="000000"/>
        </w:rPr>
        <w:t> </w:t>
      </w:r>
      <w:r>
        <w:rPr>
          <w:rFonts w:ascii="Book Antiqua" w:hAnsi="Book Antiqua" w:eastAsia="Book Antiqua" w:cs="Book Antiqua"/>
          <w:color w:val="000000"/>
        </w:rPr>
        <w:t>and</w:t>
      </w:r>
      <w:r>
        <w:rPr>
          <w:rFonts w:eastAsia="Book Antiqua"/>
          <w:color w:val="000000"/>
        </w:rPr>
        <w:t> </w:t>
      </w:r>
      <w:r>
        <w:rPr>
          <w:rFonts w:ascii="Book Antiqua" w:hAnsi="Book Antiqua" w:eastAsia="Book Antiqua" w:cs="Book Antiqua"/>
          <w:color w:val="000000"/>
        </w:rPr>
        <w:t>GRWR</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0.8%</w:t>
      </w:r>
      <w:r>
        <w:rPr>
          <w:rFonts w:ascii="Book Antiqua" w:hAnsi="Book Antiqua" w:cs="Book Antiqua"/>
          <w:color w:val="000000"/>
          <w:vertAlign w:val="superscript"/>
          <w:lang w:eastAsia="zh-CN"/>
        </w:rPr>
        <w:t>[10,11]</w:t>
      </w:r>
      <w:r>
        <w:rPr>
          <w:rFonts w:ascii="Book Antiqua" w:hAnsi="Book Antiqua" w:eastAsia="Book Antiqua" w:cs="Book Antiqua"/>
          <w:color w:val="000000"/>
        </w:rPr>
        <w:t xml:space="preserve">. </w:t>
      </w:r>
    </w:p>
    <w:p>
      <w:pPr>
        <w:spacing w:line="360" w:lineRule="auto"/>
        <w:ind w:firstLine="120" w:firstLineChars="50"/>
        <w:jc w:val="both"/>
        <w:rPr>
          <w:rFonts w:ascii="Book Antiqua" w:hAnsi="Book Antiqua"/>
          <w:lang w:eastAsia="zh-CN"/>
        </w:rPr>
      </w:pPr>
      <w:r>
        <w:rPr>
          <w:rFonts w:ascii="Book Antiqua" w:hAnsi="Book Antiqua" w:eastAsia="Book Antiqua" w:cs="Book Antiqua"/>
          <w:color w:val="000000"/>
        </w:rPr>
        <w:t>All the previous reports had it that the GRWR could be lowered to below 0.8%. However, the lower limit still remains unanswered as of now.</w:t>
      </w:r>
      <w:r>
        <w:rPr>
          <w:rFonts w:ascii="Book Antiqua" w:hAnsi="Book Antiqua"/>
          <w:lang w:eastAsia="zh-CN"/>
        </w:rPr>
        <w:t xml:space="preserve"> </w:t>
      </w:r>
      <w:r>
        <w:rPr>
          <w:rFonts w:ascii="Book Antiqua" w:hAnsi="Book Antiqua" w:eastAsia="Book Antiqua" w:cs="Book Antiqua"/>
          <w:color w:val="000000"/>
        </w:rPr>
        <w:t>The safety limit of SFSG can be closely related to the factors of the donor, recipient, and surgical technique</w:t>
      </w:r>
      <w:r>
        <w:rPr>
          <w:rFonts w:ascii="Book Antiqua" w:hAnsi="Book Antiqua" w:cs="Book Antiqua"/>
          <w:color w:val="000000"/>
          <w:vertAlign w:val="superscript"/>
          <w:lang w:eastAsia="zh-CN"/>
        </w:rPr>
        <w:t>[12]</w:t>
      </w:r>
      <w:r>
        <w:rPr>
          <w:rFonts w:ascii="Book Antiqua" w:hAnsi="Book Antiqua" w:eastAsia="Book Antiqua" w:cs="Book Antiqua"/>
          <w:color w:val="000000"/>
        </w:rPr>
        <w:t>. Therefore, the good outcomes of this LDLT with a GRWR of 0.41 could be attributed to the following reasons</w:t>
      </w:r>
      <w:r>
        <w:rPr>
          <w:rFonts w:ascii="Book Antiqua" w:hAnsi="Book Antiqua" w:cs="Book Antiqua"/>
          <w:color w:val="000000"/>
          <w:lang w:eastAsia="zh-CN"/>
        </w:rPr>
        <w:t>: (1)</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he donor was young without significant hepatic steatosis or other parenchymal disease</w:t>
      </w:r>
      <w:r>
        <w:rPr>
          <w:rFonts w:ascii="Book Antiqua" w:hAnsi="Book Antiqua" w:cs="Book Antiqua"/>
          <w:color w:val="000000"/>
          <w:lang w:eastAsia="zh-CN"/>
        </w:rPr>
        <w:t>; (2)</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he patient’s condition was not so bad at the time of LDLT, being reflected by a low MELD score. And he had no other underlying disease except for liver cirrhosis of Child-Pugh A class</w:t>
      </w:r>
      <w:r>
        <w:rPr>
          <w:rFonts w:ascii="Book Antiqua" w:hAnsi="Book Antiqua" w:cs="Book Antiqua"/>
          <w:color w:val="000000"/>
          <w:lang w:eastAsia="zh-CN"/>
        </w:rPr>
        <w:t>; (3)</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he graft had no long ischemic time, and the graft implantation resulted in no derangements in the vascular inflow and outflow, which could be corroborated by the observation that the AST and ALT levels were maintained at less than 100 U/L throughout hospital stay</w:t>
      </w:r>
      <w:r>
        <w:rPr>
          <w:rFonts w:ascii="Book Antiqua" w:hAnsi="Book Antiqua" w:cs="Book Antiqua"/>
          <w:color w:val="000000"/>
          <w:lang w:eastAsia="zh-CN"/>
        </w:rPr>
        <w:t>; and (4)</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he patient had no postoperative morbidity such as infection, rejection, and vascular or biliary complication. Any complication may tip the balance of patient recovery especially in patients with SFSG.</w:t>
      </w:r>
    </w:p>
    <w:p>
      <w:pPr>
        <w:spacing w:line="360" w:lineRule="auto"/>
        <w:ind w:firstLine="120" w:firstLineChars="50"/>
        <w:jc w:val="both"/>
        <w:rPr>
          <w:rFonts w:ascii="Book Antiqua" w:hAnsi="Book Antiqua"/>
        </w:rPr>
      </w:pPr>
      <w:r>
        <w:rPr>
          <w:rFonts w:ascii="Book Antiqua" w:hAnsi="Book Antiqua" w:eastAsia="Book Antiqua" w:cs="Book Antiqua"/>
          <w:color w:val="000000"/>
        </w:rPr>
        <w:t>On the other hand, if serious liver congestion or cut surface bleeding had developed after reperfusion or the small-for-size syndrome had happened postoperatively and the liver function had become worse, portal flow modulation would have been considered to reduce the graft damage.</w:t>
      </w:r>
      <w:r>
        <w:rPr>
          <w:rFonts w:ascii="Book Antiqua" w:hAnsi="Book Antiqua"/>
          <w:lang w:eastAsia="zh-CN"/>
        </w:rPr>
        <w:t xml:space="preserve"> </w:t>
      </w:r>
      <w:r>
        <w:rPr>
          <w:rFonts w:ascii="Book Antiqua" w:hAnsi="Book Antiqua" w:eastAsia="Book Antiqua" w:cs="Book Antiqua"/>
          <w:color w:val="000000"/>
        </w:rPr>
        <w:t>Portal flow modulation is not without untoward events. Portocaval shunt may lead to excessive diversion of portal flow, leading to graft failure. Splenic artery embolization or ligation could cause a massive splenic colliquation. Further experiences and studies might be needed to determine the indication and optimal time. Therefore, we do not do portal flow modulation routinely during operation just solely in terms of GRWR.</w:t>
      </w:r>
    </w:p>
    <w:p>
      <w:pPr>
        <w:spacing w:line="360" w:lineRule="auto"/>
        <w:ind w:firstLine="120" w:firstLineChars="50"/>
        <w:jc w:val="both"/>
        <w:rPr>
          <w:rFonts w:ascii="Book Antiqua" w:hAnsi="Book Antiqua"/>
        </w:rPr>
      </w:pPr>
      <w:r>
        <w:rPr>
          <w:rFonts w:ascii="Book Antiqua" w:hAnsi="Book Antiqua" w:eastAsia="Book Antiqua" w:cs="Book Antiqua"/>
          <w:color w:val="000000"/>
          <w:shd w:val="clear" w:color="auto" w:fill="FFFFFF"/>
        </w:rPr>
        <w:t xml:space="preserve">Although this very small graft has not sufficiently been corroborated in many patients, at least it could be used as an example of extending the indication in patients awaiting transplant. </w:t>
      </w:r>
      <w:r>
        <w:rPr>
          <w:rFonts w:ascii="Book Antiqua" w:hAnsi="Book Antiqua" w:eastAsia="Book Antiqua" w:cs="Book Antiqua"/>
          <w:color w:val="000000"/>
        </w:rPr>
        <w:t>The major concern is what the selection criteria are, therefore further refined studies need to be done. In clinical practice, selection of patients eligible for SFSG LDLT to achieve the best outcome and survival should be evaluated by close integration with surgical expertise, clinical (age, performance status, and MELD score) parameters, and careful patient monitoring on an individual basis.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In conclusion, satisfactory outcomes can be achieved in LDLT with a GRWR as low as 0.41% even without using portal flow modulation in highly selected patients.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Dahm F,</w:t>
      </w:r>
      <w:r>
        <w:rPr>
          <w:rFonts w:ascii="Book Antiqua" w:hAnsi="Book Antiqua" w:eastAsia="Book Antiqua" w:cs="Book Antiqua"/>
          <w:color w:val="000000"/>
        </w:rPr>
        <w:t xml:space="preserve"> Georgiev P, Clavien PA. Small-for-size syndrome after partial liver transplantation: definition, mechanisms of disease and clinical implications. </w:t>
      </w:r>
      <w:r>
        <w:rPr>
          <w:rFonts w:ascii="Book Antiqua" w:hAnsi="Book Antiqua" w:eastAsia="Book Antiqua" w:cs="Book Antiqua"/>
          <w:i/>
          <w:color w:val="000000"/>
        </w:rPr>
        <w:t>Am J Transplant</w:t>
      </w:r>
      <w:r>
        <w:rPr>
          <w:rFonts w:ascii="Book Antiqua" w:hAnsi="Book Antiqua" w:eastAsia="Book Antiqua" w:cs="Book Antiqua"/>
          <w:color w:val="000000"/>
        </w:rPr>
        <w:t xml:space="preserve"> 2005;</w:t>
      </w:r>
      <w:r>
        <w:rPr>
          <w:rFonts w:ascii="Book Antiqua" w:hAnsi="Book Antiqua" w:cs="Book Antiqua"/>
          <w:color w:val="000000"/>
          <w:lang w:eastAsia="zh-CN"/>
        </w:rPr>
        <w:t xml:space="preserve"> </w:t>
      </w:r>
      <w:r>
        <w:rPr>
          <w:rFonts w:ascii="Book Antiqua" w:hAnsi="Book Antiqua" w:eastAsia="Book Antiqua" w:cs="Book Antiqua"/>
          <w:b/>
          <w:color w:val="000000"/>
        </w:rPr>
        <w:t>5</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2605-</w:t>
      </w:r>
      <w:r>
        <w:rPr>
          <w:rFonts w:ascii="Book Antiqua" w:hAnsi="Book Antiqua" w:cs="Book Antiqua"/>
          <w:color w:val="000000"/>
          <w:lang w:eastAsia="zh-CN"/>
        </w:rPr>
        <w:t>26</w:t>
      </w:r>
      <w:r>
        <w:rPr>
          <w:rFonts w:ascii="Book Antiqua" w:hAnsi="Book Antiqua" w:eastAsia="Book Antiqua" w:cs="Book Antiqua"/>
          <w:color w:val="000000"/>
        </w:rPr>
        <w:t>10. [PMID: 16212618</w:t>
      </w:r>
      <w:r>
        <w:rPr>
          <w:rFonts w:ascii="Book Antiqua" w:hAnsi="Book Antiqua" w:cs="Book Antiqua"/>
          <w:color w:val="000000"/>
          <w:lang w:eastAsia="zh-CN"/>
        </w:rPr>
        <w:t xml:space="preserve"> </w:t>
      </w:r>
      <w:r>
        <w:rPr>
          <w:rFonts w:ascii="Book Antiqua" w:hAnsi="Book Antiqua" w:eastAsia="Book Antiqua" w:cs="Book Antiqua"/>
          <w:color w:val="000000"/>
        </w:rPr>
        <w:t>DOI:10.1111/j.1600-6143.2005.01081.x]</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Kiuchi T</w:t>
      </w:r>
      <w:r>
        <w:rPr>
          <w:rFonts w:ascii="Book Antiqua" w:hAnsi="Book Antiqua" w:eastAsia="Book Antiqua" w:cs="Book Antiqua"/>
          <w:color w:val="000000"/>
        </w:rPr>
        <w:t xml:space="preserve">, Kasahara M, Uryuhara K, Inomata Y, Uemoto S, Asonuma K, Egawa H, Fujita S, Hayashi M, Tanaka K. Impact of graft size mismatching on graft prognosis in liver transplantation from living donors. </w:t>
      </w:r>
      <w:r>
        <w:rPr>
          <w:rFonts w:ascii="Book Antiqua" w:hAnsi="Book Antiqua" w:eastAsia="Book Antiqua" w:cs="Book Antiqua"/>
          <w:i/>
          <w:iCs/>
          <w:color w:val="000000"/>
        </w:rPr>
        <w:t>Transplantation</w:t>
      </w:r>
      <w:r>
        <w:rPr>
          <w:rFonts w:ascii="Book Antiqua" w:hAnsi="Book Antiqua" w:eastAsia="Book Antiqua" w:cs="Book Antiqua"/>
          <w:color w:val="000000"/>
        </w:rPr>
        <w:t xml:space="preserve"> 1999; </w:t>
      </w:r>
      <w:r>
        <w:rPr>
          <w:rFonts w:ascii="Book Antiqua" w:hAnsi="Book Antiqua" w:eastAsia="Book Antiqua" w:cs="Book Antiqua"/>
          <w:b/>
          <w:bCs/>
          <w:color w:val="000000"/>
        </w:rPr>
        <w:t>67</w:t>
      </w:r>
      <w:r>
        <w:rPr>
          <w:rFonts w:ascii="Book Antiqua" w:hAnsi="Book Antiqua" w:eastAsia="Book Antiqua" w:cs="Book Antiqua"/>
          <w:color w:val="000000"/>
        </w:rPr>
        <w:t>: 321-327 [PMID: 10075602 DOI: 10.1097/00007890-199901270-00024]</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Du Bois D</w:t>
      </w:r>
      <w:r>
        <w:rPr>
          <w:rFonts w:ascii="Book Antiqua" w:hAnsi="Book Antiqua" w:eastAsia="Book Antiqua" w:cs="Book Antiqua"/>
          <w:color w:val="000000"/>
        </w:rPr>
        <w:t xml:space="preserve">, Du Bois EF. A formula to estimate the approximate surface area if height and weight be known. 1916. </w:t>
      </w:r>
      <w:r>
        <w:rPr>
          <w:rFonts w:ascii="Book Antiqua" w:hAnsi="Book Antiqua" w:eastAsia="Book Antiqua" w:cs="Book Antiqua"/>
          <w:i/>
          <w:iCs/>
          <w:color w:val="000000"/>
        </w:rPr>
        <w:t>Nutrition</w:t>
      </w:r>
      <w:r>
        <w:rPr>
          <w:rFonts w:ascii="Book Antiqua" w:hAnsi="Book Antiqua" w:eastAsia="Book Antiqua" w:cs="Book Antiqua"/>
          <w:color w:val="000000"/>
        </w:rPr>
        <w:t xml:space="preserve"> 1989; </w:t>
      </w:r>
      <w:r>
        <w:rPr>
          <w:rFonts w:ascii="Book Antiqua" w:hAnsi="Book Antiqua" w:eastAsia="Book Antiqua" w:cs="Book Antiqua"/>
          <w:b/>
          <w:bCs/>
          <w:color w:val="000000"/>
        </w:rPr>
        <w:t>5</w:t>
      </w:r>
      <w:r>
        <w:rPr>
          <w:rFonts w:ascii="Book Antiqua" w:hAnsi="Book Antiqua" w:eastAsia="Book Antiqua" w:cs="Book Antiqua"/>
          <w:color w:val="000000"/>
        </w:rPr>
        <w:t>: 303-</w:t>
      </w:r>
      <w:r>
        <w:rPr>
          <w:rFonts w:ascii="Book Antiqua" w:hAnsi="Book Antiqua" w:cs="Book Antiqua"/>
          <w:color w:val="000000"/>
          <w:lang w:eastAsia="zh-CN"/>
        </w:rPr>
        <w:t>311</w:t>
      </w:r>
      <w:r>
        <w:rPr>
          <w:rFonts w:ascii="Book Antiqua" w:hAnsi="Book Antiqua" w:eastAsia="Book Antiqua" w:cs="Book Antiqua"/>
          <w:color w:val="000000"/>
        </w:rPr>
        <w:t xml:space="preserve"> [PMID: 2520314]</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Vauthey JN</w:t>
      </w:r>
      <w:r>
        <w:rPr>
          <w:rFonts w:ascii="Book Antiqua" w:hAnsi="Book Antiqua" w:eastAsia="Book Antiqua" w:cs="Book Antiqua"/>
          <w:color w:val="000000"/>
        </w:rPr>
        <w:t xml:space="preserve">, Abdalla EK, Doherty DA, Gertsch P, Fenstermacher MJ, Loyer EM, Lerut J, Materne R, Wang X, Encarnacion A, Herron D, Mathey C, Ferrari G, Charnsangavej C, Do KA, Denys A. Body surface area and body weight predict total liver volume in Western adults.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2002; </w:t>
      </w:r>
      <w:r>
        <w:rPr>
          <w:rFonts w:ascii="Book Antiqua" w:hAnsi="Book Antiqua" w:eastAsia="Book Antiqua" w:cs="Book Antiqua"/>
          <w:b/>
          <w:bCs/>
          <w:color w:val="000000"/>
        </w:rPr>
        <w:t>8</w:t>
      </w:r>
      <w:r>
        <w:rPr>
          <w:rFonts w:ascii="Book Antiqua" w:hAnsi="Book Antiqua" w:eastAsia="Book Antiqua" w:cs="Book Antiqua"/>
          <w:color w:val="000000"/>
        </w:rPr>
        <w:t>: 233-240 [PMID: 11910568 DOI: 10.1053/jlts.2002.31654]</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Kim SH</w:t>
      </w:r>
      <w:r>
        <w:rPr>
          <w:rFonts w:ascii="Book Antiqua" w:hAnsi="Book Antiqua" w:eastAsia="Book Antiqua" w:cs="Book Antiqua"/>
          <w:color w:val="000000"/>
        </w:rPr>
        <w:t xml:space="preserve">, Kim YK. Living donor right hepatectomy using the hanging maneuver by Glisson's approach under the upper midline incision. </w:t>
      </w:r>
      <w:r>
        <w:rPr>
          <w:rFonts w:ascii="Book Antiqua" w:hAnsi="Book Antiqua" w:eastAsia="Book Antiqua" w:cs="Book Antiqua"/>
          <w:i/>
          <w:iCs/>
          <w:color w:val="000000"/>
        </w:rPr>
        <w:t>World J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36</w:t>
      </w:r>
      <w:r>
        <w:rPr>
          <w:rFonts w:ascii="Book Antiqua" w:hAnsi="Book Antiqua" w:eastAsia="Book Antiqua" w:cs="Book Antiqua"/>
          <w:color w:val="000000"/>
        </w:rPr>
        <w:t>: 401-406 [PMID: 22127424 DOI: 10.1007/s00268-011-1340-z]</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Kaido T</w:t>
      </w:r>
      <w:r>
        <w:rPr>
          <w:rFonts w:ascii="Book Antiqua" w:hAnsi="Book Antiqua" w:eastAsia="Book Antiqua" w:cs="Book Antiqua"/>
          <w:color w:val="000000"/>
        </w:rPr>
        <w:t xml:space="preserve">, Mori A, Ogura Y, Hata K, Yoshizawa A, Iida T, Yagi S, Uemoto S. Lower limit of the graft-to-recipient weight ratio can be safely reduced to 0.6% in adult-to-adult living donor liver transplantation in combination with portal pressure control. </w:t>
      </w:r>
      <w:r>
        <w:rPr>
          <w:rFonts w:ascii="Book Antiqua" w:hAnsi="Book Antiqua" w:eastAsia="Book Antiqua" w:cs="Book Antiqua"/>
          <w:i/>
          <w:iCs/>
          <w:color w:val="000000"/>
        </w:rPr>
        <w:t>Transplant Proc</w:t>
      </w:r>
      <w:r>
        <w:rPr>
          <w:rFonts w:ascii="Book Antiqua" w:hAnsi="Book Antiqua" w:eastAsia="Book Antiqua" w:cs="Book Antiqua"/>
          <w:color w:val="000000"/>
        </w:rPr>
        <w:t xml:space="preserve"> 2011; </w:t>
      </w:r>
      <w:r>
        <w:rPr>
          <w:rFonts w:ascii="Book Antiqua" w:hAnsi="Book Antiqua" w:eastAsia="Book Antiqua" w:cs="Book Antiqua"/>
          <w:b/>
          <w:bCs/>
          <w:color w:val="000000"/>
        </w:rPr>
        <w:t>43</w:t>
      </w:r>
      <w:r>
        <w:rPr>
          <w:rFonts w:ascii="Book Antiqua" w:hAnsi="Book Antiqua" w:eastAsia="Book Antiqua" w:cs="Book Antiqua"/>
          <w:color w:val="000000"/>
        </w:rPr>
        <w:t>: 2391-2393 [PMID: 21839274 DOI: 10.1016/j.transproceed.2011.05.037]</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Huang JW</w:t>
      </w:r>
      <w:r>
        <w:rPr>
          <w:rFonts w:ascii="Book Antiqua" w:hAnsi="Book Antiqua" w:eastAsia="Book Antiqua" w:cs="Book Antiqua"/>
          <w:color w:val="000000"/>
        </w:rPr>
        <w:t xml:space="preserve">, Yan LN, Chen ZY, Wu H, Lu Q, Xu YL, Prasoon P, Zeng Y. Hemi-portocaval shunt: a simple salvage maneuver for small-for-size graft during living donor liver transplantation: a case report. </w:t>
      </w:r>
      <w:r>
        <w:rPr>
          <w:rFonts w:ascii="Book Antiqua" w:hAnsi="Book Antiqua" w:eastAsia="Book Antiqua" w:cs="Book Antiqua"/>
          <w:i/>
          <w:iCs/>
          <w:color w:val="000000"/>
        </w:rPr>
        <w:t>Chin Med J (Engl)</w:t>
      </w:r>
      <w:r>
        <w:rPr>
          <w:rFonts w:ascii="Book Antiqua" w:hAnsi="Book Antiqua" w:eastAsia="Book Antiqua" w:cs="Book Antiqua"/>
          <w:color w:val="000000"/>
        </w:rPr>
        <w:t xml:space="preserve"> 2011; </w:t>
      </w:r>
      <w:r>
        <w:rPr>
          <w:rFonts w:ascii="Book Antiqua" w:hAnsi="Book Antiqua" w:eastAsia="Book Antiqua" w:cs="Book Antiqua"/>
          <w:b/>
          <w:bCs/>
          <w:color w:val="000000"/>
        </w:rPr>
        <w:t>124</w:t>
      </w:r>
      <w:r>
        <w:rPr>
          <w:rFonts w:ascii="Book Antiqua" w:hAnsi="Book Antiqua" w:eastAsia="Book Antiqua" w:cs="Book Antiqua"/>
          <w:color w:val="000000"/>
        </w:rPr>
        <w:t>: 2231-2233 [PMID: 21933633]</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Kokai H</w:t>
      </w:r>
      <w:r>
        <w:rPr>
          <w:rFonts w:ascii="Book Antiqua" w:hAnsi="Book Antiqua" w:eastAsia="Book Antiqua" w:cs="Book Antiqua"/>
          <w:color w:val="000000"/>
        </w:rPr>
        <w:t xml:space="preserve">, Sato Y, Yamamoto S, Oya H, Nakatsuka H, Watanabe T, Takizawa K, Hatakeyama K. Successful super-small-for-size graft liver transplantation by decompression of portal hypertension </w:t>
      </w:r>
      <w:r>
        <w:rPr>
          <w:rFonts w:ascii="Book Antiqua" w:hAnsi="Book Antiqua" w:eastAsia="Book Antiqua" w:cs="Book Antiqua"/>
          <w:i/>
          <w:iCs/>
          <w:color w:val="000000"/>
        </w:rPr>
        <w:t>via</w:t>
      </w:r>
      <w:r>
        <w:rPr>
          <w:rFonts w:ascii="Book Antiqua" w:hAnsi="Book Antiqua" w:eastAsia="Book Antiqua" w:cs="Book Antiqua"/>
          <w:color w:val="000000"/>
        </w:rPr>
        <w:t xml:space="preserve"> splenectomy and construction of a mesocaval shunt: a case report. </w:t>
      </w:r>
      <w:r>
        <w:rPr>
          <w:rFonts w:ascii="Book Antiqua" w:hAnsi="Book Antiqua" w:eastAsia="Book Antiqua" w:cs="Book Antiqua"/>
          <w:i/>
          <w:iCs/>
          <w:color w:val="000000"/>
        </w:rPr>
        <w:t>Transplant Proc</w:t>
      </w:r>
      <w:r>
        <w:rPr>
          <w:rFonts w:ascii="Book Antiqua" w:hAnsi="Book Antiqua" w:eastAsia="Book Antiqua" w:cs="Book Antiqua"/>
          <w:color w:val="000000"/>
        </w:rPr>
        <w:t xml:space="preserve"> 2008; </w:t>
      </w:r>
      <w:r>
        <w:rPr>
          <w:rFonts w:ascii="Book Antiqua" w:hAnsi="Book Antiqua" w:eastAsia="Book Antiqua" w:cs="Book Antiqua"/>
          <w:b/>
          <w:bCs/>
          <w:color w:val="000000"/>
        </w:rPr>
        <w:t>40</w:t>
      </w:r>
      <w:r>
        <w:rPr>
          <w:rFonts w:ascii="Book Antiqua" w:hAnsi="Book Antiqua" w:eastAsia="Book Antiqua" w:cs="Book Antiqua"/>
          <w:color w:val="000000"/>
        </w:rPr>
        <w:t>: 2825-2827 [PMID: 18929872 DOI: 10.1016/j.transproceed.2008.08.080]</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Feng AC</w:t>
      </w:r>
      <w:r>
        <w:rPr>
          <w:rFonts w:ascii="Book Antiqua" w:hAnsi="Book Antiqua" w:eastAsia="Book Antiqua" w:cs="Book Antiqua"/>
          <w:color w:val="000000"/>
        </w:rPr>
        <w:t xml:space="preserve">, Liao CY, Fan HL, Chen TW, Hsieh CB. A successful child-to-adult deceased donor liver transplantation: a case report and literature review. </w:t>
      </w:r>
      <w:r>
        <w:rPr>
          <w:rFonts w:ascii="Book Antiqua" w:hAnsi="Book Antiqua" w:eastAsia="Book Antiqua" w:cs="Book Antiqua"/>
          <w:i/>
          <w:iCs/>
          <w:color w:val="000000"/>
        </w:rPr>
        <w:t>Ann Transplant</w:t>
      </w:r>
      <w:r>
        <w:rPr>
          <w:rFonts w:ascii="Book Antiqua" w:hAnsi="Book Antiqua" w:eastAsia="Book Antiqua" w:cs="Book Antiqua"/>
          <w:color w:val="000000"/>
        </w:rPr>
        <w:t xml:space="preserve"> 2015; </w:t>
      </w:r>
      <w:r>
        <w:rPr>
          <w:rFonts w:ascii="Book Antiqua" w:hAnsi="Book Antiqua" w:eastAsia="Book Antiqua" w:cs="Book Antiqua"/>
          <w:b/>
          <w:bCs/>
          <w:color w:val="000000"/>
        </w:rPr>
        <w:t>20</w:t>
      </w:r>
      <w:r>
        <w:rPr>
          <w:rFonts w:ascii="Book Antiqua" w:hAnsi="Book Antiqua" w:eastAsia="Book Antiqua" w:cs="Book Antiqua"/>
          <w:color w:val="000000"/>
        </w:rPr>
        <w:t>: 21-24 [PMID: 25582243 DOI: 10.12659/AOT.893101]</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Hill MJ</w:t>
      </w:r>
      <w:r>
        <w:rPr>
          <w:rFonts w:ascii="Book Antiqua" w:hAnsi="Book Antiqua" w:eastAsia="Book Antiqua" w:cs="Book Antiqua"/>
          <w:color w:val="000000"/>
        </w:rPr>
        <w:t xml:space="preserve">, Hughes M, Jie T, Cohen M, Lake J, Payne WD, Humar A. Graft weight/recipient weight ratio: how well does it predict outcome after partial liver transplants?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2009; </w:t>
      </w:r>
      <w:r>
        <w:rPr>
          <w:rFonts w:ascii="Book Antiqua" w:hAnsi="Book Antiqua" w:eastAsia="Book Antiqua" w:cs="Book Antiqua"/>
          <w:b/>
          <w:bCs/>
          <w:color w:val="000000"/>
        </w:rPr>
        <w:t>15</w:t>
      </w:r>
      <w:r>
        <w:rPr>
          <w:rFonts w:ascii="Book Antiqua" w:hAnsi="Book Antiqua" w:eastAsia="Book Antiqua" w:cs="Book Antiqua"/>
          <w:color w:val="000000"/>
        </w:rPr>
        <w:t>: 1056-1062 [PMID: 19718640 DOI: 10.1002/</w:t>
      </w:r>
      <w:r>
        <w:rPr>
          <w:rFonts w:ascii="Book Antiqua" w:hAnsi="Book Antiqua" w:cs="Book Antiqua"/>
          <w:color w:val="000000"/>
          <w:lang w:eastAsia="zh-CN"/>
        </w:rPr>
        <w:t>l</w:t>
      </w:r>
      <w:r>
        <w:rPr>
          <w:rFonts w:ascii="Book Antiqua" w:hAnsi="Book Antiqua" w:eastAsia="Book Antiqua" w:cs="Book Antiqua"/>
          <w:color w:val="000000"/>
        </w:rPr>
        <w:t>t.21846]</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Moon JI</w:t>
      </w:r>
      <w:r>
        <w:rPr>
          <w:rFonts w:ascii="Book Antiqua" w:hAnsi="Book Antiqua" w:eastAsia="Book Antiqua" w:cs="Book Antiqua"/>
          <w:color w:val="000000"/>
        </w:rPr>
        <w:t xml:space="preserve">, Kwon CH, Joh JW, Jung GO, Choi GS, Park JB, Kim JM, Shin M, Kim SJ, Lee SK. Safety of small-for-size grafts in adult-to-adult living donor liver transplantation using the right lobe.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2010; </w:t>
      </w:r>
      <w:r>
        <w:rPr>
          <w:rFonts w:ascii="Book Antiqua" w:hAnsi="Book Antiqua" w:eastAsia="Book Antiqua" w:cs="Book Antiqua"/>
          <w:b/>
          <w:bCs/>
          <w:color w:val="000000"/>
        </w:rPr>
        <w:t>16</w:t>
      </w:r>
      <w:r>
        <w:rPr>
          <w:rFonts w:ascii="Book Antiqua" w:hAnsi="Book Antiqua" w:eastAsia="Book Antiqua" w:cs="Book Antiqua"/>
          <w:color w:val="000000"/>
        </w:rPr>
        <w:t>: 864-869 [PMID: 20583075 DOI: 10.1002/</w:t>
      </w:r>
      <w:r>
        <w:rPr>
          <w:rFonts w:ascii="Book Antiqua" w:hAnsi="Book Antiqua" w:cs="Book Antiqua"/>
          <w:color w:val="000000"/>
          <w:lang w:eastAsia="zh-CN"/>
        </w:rPr>
        <w:t>l</w:t>
      </w:r>
      <w:r>
        <w:rPr>
          <w:rFonts w:ascii="Book Antiqua" w:hAnsi="Book Antiqua" w:eastAsia="Book Antiqua" w:cs="Book Antiqua"/>
          <w:color w:val="000000"/>
        </w:rPr>
        <w:t>t.22094]</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Kiuchi T</w:t>
      </w:r>
      <w:r>
        <w:rPr>
          <w:rFonts w:ascii="Book Antiqua" w:hAnsi="Book Antiqua" w:eastAsia="Book Antiqua" w:cs="Book Antiqua"/>
          <w:color w:val="000000"/>
        </w:rPr>
        <w:t xml:space="preserve">, Tanaka K, Ito T, Oike F, Ogura Y, Fujimoto Y, Ogawa K. Small-for-size graft in living donor liver transplantation: how far should we go?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2003; </w:t>
      </w:r>
      <w:r>
        <w:rPr>
          <w:rFonts w:ascii="Book Antiqua" w:hAnsi="Book Antiqua" w:eastAsia="Book Antiqua" w:cs="Book Antiqua"/>
          <w:b/>
          <w:bCs/>
          <w:color w:val="000000"/>
        </w:rPr>
        <w:t>9</w:t>
      </w:r>
      <w:r>
        <w:rPr>
          <w:rFonts w:ascii="Book Antiqua" w:hAnsi="Book Antiqua" w:eastAsia="Book Antiqua" w:cs="Book Antiqua"/>
          <w:color w:val="000000"/>
        </w:rPr>
        <w:t>: S29-S35 [PMID: 12942476 DOI: 10.1053/jlts.2003.50198]</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Written informed consent was obtained from the patient for publication of this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 of this manuscript has no conflicts of interest to disclose.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I present the case in accordance with the CARE reporting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rPr>
          <w:rFonts w:ascii="Book Antiqua" w:hAnsi="Book Antiqua"/>
          <w:lang w:eastAsia="zh-CN"/>
        </w:rPr>
      </w:pPr>
      <w:bookmarkStart w:id="1" w:name="_Hlk90932154"/>
      <w:r>
        <w:rPr>
          <w:rFonts w:ascii="Book Antiqua" w:hAnsi="Book Antiqua"/>
          <w:b/>
        </w:rPr>
        <w:t xml:space="preserve">Provenance and peer review: </w:t>
      </w:r>
      <w:r>
        <w:rPr>
          <w:rFonts w:ascii="Book Antiqua" w:hAnsi="Book Antiqua"/>
        </w:rPr>
        <w:t xml:space="preserve">Unsolicited article; Externally peer reviewed. </w:t>
      </w:r>
    </w:p>
    <w:p>
      <w:pPr>
        <w:spacing w:line="360" w:lineRule="auto"/>
        <w:rPr>
          <w:rFonts w:ascii="Book Antiqua" w:hAnsi="Book Antiqua"/>
        </w:rPr>
      </w:pPr>
      <w:r>
        <w:rPr>
          <w:rFonts w:ascii="Book Antiqua" w:hAnsi="Book Antiqua"/>
          <w:b/>
        </w:rPr>
        <w:t>Peer-review model:</w:t>
      </w:r>
      <w:r>
        <w:rPr>
          <w:rFonts w:ascii="Book Antiqua" w:hAnsi="Book Antiqua"/>
        </w:rPr>
        <w:t xml:space="preserve"> Single blind</w:t>
      </w:r>
    </w:p>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17,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Transplantation</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Karaca CA, Turkey</w:t>
      </w:r>
      <w:r>
        <w:rPr>
          <w:rFonts w:ascii="Book Antiqua" w:hAnsi="Book Antiqua" w:cs="Book Antiqua"/>
          <w:color w:val="000000"/>
          <w:lang w:eastAsia="zh-CN"/>
        </w:rPr>
        <w:t xml:space="preserve">; </w:t>
      </w:r>
      <w:r>
        <w:rPr>
          <w:rFonts w:ascii="Book Antiqua" w:hAnsi="Book Antiqua" w:eastAsia="Book Antiqua" w:cs="Book Antiqua"/>
          <w:color w:val="000000"/>
        </w:rPr>
        <w:t>Sugawara Y</w:t>
      </w:r>
      <w:r>
        <w:rPr>
          <w:rFonts w:ascii="Book Antiqua" w:hAnsi="Book Antiqua" w:cs="Book Antiqua"/>
          <w:color w:val="000000"/>
          <w:lang w:eastAsia="zh-CN"/>
        </w:rPr>
        <w:t>, Japan</w:t>
      </w:r>
      <w:r>
        <w:rPr>
          <w:rFonts w:ascii="Book Antiqua" w:hAnsi="Book Antiqua" w:eastAsia="Book Antiqua" w:cs="Book Antiqua"/>
          <w:b/>
          <w:color w:val="000000"/>
        </w:rPr>
        <w:t xml:space="preserve"> S-Editor: </w:t>
      </w:r>
      <w:r>
        <w:rPr>
          <w:rFonts w:ascii="Book Antiqua" w:hAnsi="Book Antiqua" w:eastAsia="Book Antiqua" w:cs="Book Antiqua"/>
          <w:color w:val="000000"/>
        </w:rPr>
        <w:t>Xing YX</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cs="Book Antiqua"/>
          <w:color w:val="000000"/>
          <w:lang w:eastAsia="zh-CN"/>
        </w:rPr>
        <w:t xml:space="preserve"> </w:t>
      </w:r>
      <w:r>
        <w:rPr>
          <w:rFonts w:ascii="Book Antiqua" w:hAnsi="Book Antiqua" w:eastAsia="Book Antiqua" w:cs="Book Antiqua"/>
          <w:b/>
          <w:color w:val="000000"/>
        </w:rPr>
        <w:t xml:space="preserve">P-Editor: </w:t>
      </w:r>
      <w:r>
        <w:rPr>
          <w:rFonts w:ascii="Book Antiqua" w:hAnsi="Book Antiqua" w:eastAsia="Book Antiqua" w:cs="Book Antiqua"/>
          <w:color w:val="000000"/>
        </w:rPr>
        <w:t>Xing YX</w:t>
      </w:r>
    </w:p>
    <w:p>
      <w:pPr>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bookmarkStart w:id="2" w:name="_GoBack"/>
      <w:r>
        <w:rPr>
          <w:rFonts w:ascii="Book Antiqua" w:hAnsi="Book Antiqua"/>
          <w:lang w:eastAsia="zh-CN"/>
        </w:rPr>
        <w:drawing>
          <wp:inline distT="0" distB="0" distL="114300" distR="114300">
            <wp:extent cx="5941695" cy="4100195"/>
            <wp:effectExtent l="0" t="0" r="1905" b="14605"/>
            <wp:docPr id="2" name="图片 2" descr="WJCC-10-541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5414-g001"/>
                    <pic:cNvPicPr>
                      <a:picLocks noChangeAspect="1"/>
                    </pic:cNvPicPr>
                  </pic:nvPicPr>
                  <pic:blipFill>
                    <a:blip r:embed="rId5"/>
                    <a:stretch>
                      <a:fillRect/>
                    </a:stretch>
                  </pic:blipFill>
                  <pic:spPr>
                    <a:xfrm>
                      <a:off x="0" y="0"/>
                      <a:ext cx="5941695" cy="4100195"/>
                    </a:xfrm>
                    <a:prstGeom prst="rect">
                      <a:avLst/>
                    </a:prstGeom>
                  </pic:spPr>
                </pic:pic>
              </a:graphicData>
            </a:graphic>
          </wp:inline>
        </w:drawing>
      </w:r>
      <w:bookmarkEnd w:id="2"/>
    </w:p>
    <w:p>
      <w:pPr>
        <w:spacing w:line="360" w:lineRule="auto"/>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Figure 1 Computed tomography images</w:t>
      </w:r>
      <w:r>
        <w:rPr>
          <w:rFonts w:ascii="Book Antiqua" w:hAnsi="Book Antiqua" w:cs="Book Antiqua"/>
          <w:b/>
          <w:color w:val="000000"/>
          <w:lang w:eastAsia="zh-CN"/>
        </w:rPr>
        <w:t>.</w:t>
      </w:r>
      <w:r>
        <w:rPr>
          <w:rFonts w:ascii="Book Antiqua" w:hAnsi="Book Antiqua" w:eastAsia="Book Antiqua" w:cs="Book Antiqua"/>
          <w:color w:val="000000"/>
        </w:rPr>
        <w:t xml:space="preserve"> 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retransplant day 3</w:t>
      </w:r>
      <w:r>
        <w:rPr>
          <w:rFonts w:ascii="Book Antiqua" w:hAnsi="Book Antiqua" w:cs="Book Antiqua"/>
          <w:color w:val="000000"/>
          <w:lang w:eastAsia="zh-CN"/>
        </w:rPr>
        <w:t>; B:</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ostoperative day 9</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ostoperative month 3</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D:</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ostoperative month 15</w:t>
      </w:r>
      <w:r>
        <w:rPr>
          <w:rFonts w:ascii="Book Antiqua" w:hAnsi="Book Antiqua" w:cs="Book Antiqua"/>
          <w:color w:val="000000"/>
          <w:lang w:eastAsia="zh-CN"/>
        </w:rPr>
        <w:t>; E:</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ostoperative month 35</w:t>
      </w:r>
      <w:r>
        <w:rPr>
          <w:rFonts w:ascii="Book Antiqua" w:hAnsi="Book Antiqua" w:cs="Book Antiqua"/>
          <w:color w:val="000000"/>
          <w:lang w:eastAsia="zh-CN"/>
        </w:rPr>
        <w:t>;</w:t>
      </w:r>
      <w:r>
        <w:rPr>
          <w:rFonts w:ascii="Book Antiqua" w:hAnsi="Book Antiqua" w:eastAsia="Book Antiqua" w:cs="Book Antiqua"/>
          <w:color w:val="000000"/>
        </w:rPr>
        <w:t xml:space="preserve"> and </w:t>
      </w:r>
      <w:r>
        <w:rPr>
          <w:rFonts w:ascii="Book Antiqua" w:hAnsi="Book Antiqua" w:cs="Book Antiqua"/>
          <w:color w:val="000000"/>
          <w:lang w:eastAsia="zh-CN"/>
        </w:rPr>
        <w:t>F:</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ostoperative month 76.</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12</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35F32"/>
    <w:rsid w:val="00057790"/>
    <w:rsid w:val="00080A3F"/>
    <w:rsid w:val="00123530"/>
    <w:rsid w:val="00140249"/>
    <w:rsid w:val="00283127"/>
    <w:rsid w:val="002D234F"/>
    <w:rsid w:val="002D5CC2"/>
    <w:rsid w:val="003823D8"/>
    <w:rsid w:val="004235B2"/>
    <w:rsid w:val="00465648"/>
    <w:rsid w:val="00567116"/>
    <w:rsid w:val="0064614B"/>
    <w:rsid w:val="006C0769"/>
    <w:rsid w:val="00724A37"/>
    <w:rsid w:val="0074773B"/>
    <w:rsid w:val="00817206"/>
    <w:rsid w:val="008449CE"/>
    <w:rsid w:val="008B6180"/>
    <w:rsid w:val="008D4810"/>
    <w:rsid w:val="00933466"/>
    <w:rsid w:val="00990C83"/>
    <w:rsid w:val="00995408"/>
    <w:rsid w:val="00A34248"/>
    <w:rsid w:val="00A77B3E"/>
    <w:rsid w:val="00AC7CB0"/>
    <w:rsid w:val="00B60704"/>
    <w:rsid w:val="00B7674D"/>
    <w:rsid w:val="00C3593F"/>
    <w:rsid w:val="00C638F5"/>
    <w:rsid w:val="00CA2A55"/>
    <w:rsid w:val="00CA66C9"/>
    <w:rsid w:val="00CB06CB"/>
    <w:rsid w:val="00D007BE"/>
    <w:rsid w:val="00DE647B"/>
    <w:rsid w:val="00ED3600"/>
    <w:rsid w:val="00F34A61"/>
    <w:rsid w:val="00F55412"/>
    <w:rsid w:val="00F75613"/>
    <w:rsid w:val="00FB37BC"/>
    <w:rsid w:val="00FD3590"/>
    <w:rsid w:val="00FF21D8"/>
    <w:rsid w:val="10A53CFE"/>
    <w:rsid w:val="2DC65804"/>
    <w:rsid w:val="352F1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Header Char"/>
    <w:basedOn w:val="6"/>
    <w:link w:val="4"/>
    <w:qFormat/>
    <w:uiPriority w:val="0"/>
    <w:rPr>
      <w:sz w:val="18"/>
      <w:szCs w:val="18"/>
    </w:rPr>
  </w:style>
  <w:style w:type="character" w:customStyle="1" w:styleId="8">
    <w:name w:val="Footer Char"/>
    <w:basedOn w:val="6"/>
    <w:link w:val="3"/>
    <w:qFormat/>
    <w:uiPriority w:val="99"/>
    <w:rPr>
      <w:sz w:val="18"/>
      <w:szCs w:val="18"/>
    </w:rPr>
  </w:style>
  <w:style w:type="character" w:customStyle="1" w:styleId="9">
    <w:name w:val="Balloon Text Char"/>
    <w:basedOn w:val="6"/>
    <w:link w:val="2"/>
    <w:semiHidden/>
    <w:qFormat/>
    <w:uiPriority w:val="0"/>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2731</Words>
  <Characters>15144</Characters>
  <Lines>123</Lines>
  <Paragraphs>34</Paragraphs>
  <TotalTime>0</TotalTime>
  <ScaleCrop>false</ScaleCrop>
  <LinksUpToDate>false</LinksUpToDate>
  <CharactersWithSpaces>17787</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2022-04-22T16:48:00Z</dcterms:created>
  <dc:creator>ibm</dc:creator>
  <cp:lastModifiedBy>晓晨</cp:lastModifiedBy>
  <dcterms:modified xsi:type="dcterms:W3CDTF">2022-06-02T14:48:22Z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439A9BDBEFEF4EE9994E7C036BBFF61C</vt:lpwstr>
  </property>
</Properties>
</file>