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Gastroenterology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71757</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Retrospective Study</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Whole lesion histogram analysis of apparent diffusion coefficient predicts</w:t>
      </w:r>
      <w:r>
        <w:rPr>
          <w:rFonts w:ascii="Book Antiqua" w:hAnsi="Book Antiqua" w:eastAsia="Book Antiqua" w:cs="Book Antiqua"/>
          <w:b/>
          <w:bCs/>
          <w:color w:val="000000"/>
          <w:shd w:val="clear" w:color="auto" w:fill="FFFFFF"/>
        </w:rPr>
        <w:t xml:space="preserve"> therapy response in locally advanced rectal cancer</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Jiménez de los Santos</w:t>
      </w:r>
      <w:r>
        <w:rPr>
          <w:rFonts w:ascii="Book Antiqua" w:hAnsi="Book Antiqua" w:eastAsia="Book Antiqua" w:cs="Book Antiqua"/>
          <w:color w:val="000000"/>
          <w:shd w:val="clear" w:color="auto" w:fill="FFFFFF"/>
        </w:rPr>
        <w:t xml:space="preserve"> ME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rPr>
        <w:t>. Histogram analysis of ADC predicts therapy response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Mayra Evelia Jiménez de los Santos, Juan Armando Reyes-Pérez, Victor Domínguez Osorio, Yolanda Villaseñor-Navarro, Liliana Moreno-Astudillo, Itzel Vela-Sarmiento, Isabel Sollozo-Dupont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Mayra Evelia Jiménez de los Santos, Juan Armando Reyes-Pérez, Victor Domínguez Osorio, Yolanda Villaseñor-Navarro, Liliana Moreno-Astudillo, Isabel Sollozo-Dupont, </w:t>
      </w:r>
      <w:r>
        <w:rPr>
          <w:rFonts w:ascii="Book Antiqua" w:hAnsi="Book Antiqua" w:eastAsia="Book Antiqua" w:cs="Book Antiqua"/>
          <w:color w:val="000000"/>
        </w:rPr>
        <w:t>Department of Radiology, National Cancer Institute, Mexico 14080, Mexico</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Itzel Vela-Sarmiento, </w:t>
      </w:r>
      <w:r>
        <w:rPr>
          <w:rFonts w:ascii="Book Antiqua" w:hAnsi="Book Antiqua" w:eastAsia="Book Antiqua" w:cs="Book Antiqua"/>
          <w:color w:val="000000"/>
        </w:rPr>
        <w:t>Department of Gastrointestinal Surgery, National Cancer Institute, Mexico 14080, Mexico</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Sollozo-Dupont I designed the study; Sollozo-Dupont I and Domínguez Osorio V analyzed the data; Domínguez Osorio V and Vela-Sarmiento I collected the data; Sollozo-Dupont I, Jiménez de los Santos ME, and Reyes-Pérez JA wrote the paper; Villaseñor-Navarro Y and Moreno-Astudillo L reviewed the study; Jiménez de los Santos ME and Reyes-Pérez JA contributed equally to this work; All authors contributed to the manuscript for important intellectual content and approved the submission.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Isabel Sollozo-Dupont, PhD, Academic Research, Statistician, </w:t>
      </w:r>
      <w:r>
        <w:rPr>
          <w:rFonts w:ascii="Book Antiqua" w:hAnsi="Book Antiqua" w:eastAsia="Book Antiqua" w:cs="Book Antiqua"/>
          <w:color w:val="000000"/>
        </w:rPr>
        <w:t>Department of Radiology, National Cancer Institute, Av. San Fernando No. 22, Col. Sección XVI Delegación Tlalpan, Mexico 14080, Mexico. sodi8507@gmail.com</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23,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November 25,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bookmarkStart w:id="0" w:name="OLE_LINK1"/>
      <w:r>
        <w:rPr>
          <w:rFonts w:ascii="Book Antiqua" w:hAnsi="Book Antiqua" w:eastAsia="Book Antiqua" w:cs="Book Antiqua"/>
          <w:color w:val="000000"/>
        </w:rPr>
        <w:t>April 22, 2022</w:t>
      </w:r>
      <w:bookmarkEnd w:id="0"/>
    </w:p>
    <w:p>
      <w:pPr>
        <w:adjustRightInd w:val="0"/>
        <w:snapToGrid w:val="0"/>
        <w:spacing w:line="360" w:lineRule="auto"/>
        <w:jc w:val="both"/>
        <w:rPr>
          <w:rFonts w:hint="eastAsia" w:ascii="Book Antiqua" w:hAnsi="Book Antiqu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hint="eastAsia" w:ascii="Book Antiqua" w:hAnsi="Book Antiqua" w:eastAsia="宋体" w:cs="Book Antiqua"/>
          <w:b w:val="0"/>
          <w:bCs w:val="0"/>
          <w:color w:val="000000"/>
          <w:lang w:val="en-US" w:eastAsia="zh-CN"/>
        </w:rPr>
        <w:t>June 21, 2022</w:t>
      </w: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Whole-tumor apparent diffusion coefficient (ADC) histogram analysis is relevant to predicting the neoadjuvant chemoradiation therapy (nCRT) response in patients with locally advanced rectal cancer (LARC).</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AIM</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To evaluate the performance of ADC histogram-derived parameters for predicting the outcomes of patients with LARC.</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METHODS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This is a single-center, retrospective study, which included 48 patients with LARC. All patients underwent a pre-treatment magnetic resonance imaging (MRI) scan for primary tumor staging and a second restaging MRI for response evaluation. The sample was distributed as follows: 18 responder patients (R) and 30 non-responders (non-R). Eight parameters derived from the whole-lesion histogram analysis (ADCmean, skewness, kurtosis, and ADC10</w:t>
      </w:r>
      <w:r>
        <w:rPr>
          <w:rFonts w:ascii="Book Antiqua" w:hAnsi="Book Antiqua" w:eastAsia="Book Antiqua" w:cs="Book Antiqua"/>
          <w:color w:val="000000"/>
          <w:vertAlign w:val="superscript"/>
        </w:rPr>
        <w:t>th</w:t>
      </w:r>
      <w:r>
        <w:rPr>
          <w:rFonts w:ascii="Book Antiqua" w:hAnsi="Book Antiqua" w:eastAsia="Book Antiqua" w:cs="Book Antiqua"/>
          <w:color w:val="000000"/>
        </w:rPr>
        <w:t>, 25</w:t>
      </w:r>
      <w:r>
        <w:rPr>
          <w:rFonts w:ascii="Book Antiqua" w:hAnsi="Book Antiqua" w:eastAsia="Book Antiqua" w:cs="Book Antiqua"/>
          <w:color w:val="000000"/>
          <w:vertAlign w:val="superscript"/>
        </w:rPr>
        <w:t>th</w:t>
      </w:r>
      <w:r>
        <w:rPr>
          <w:rFonts w:ascii="Book Antiqua" w:hAnsi="Book Antiqua" w:eastAsia="Book Antiqua" w:cs="Book Antiqua"/>
          <w:color w:val="000000"/>
        </w:rPr>
        <w:t>, 50</w:t>
      </w:r>
      <w:r>
        <w:rPr>
          <w:rFonts w:ascii="Book Antiqua" w:hAnsi="Book Antiqua" w:eastAsia="Book Antiqua" w:cs="Book Antiqua"/>
          <w:color w:val="000000"/>
          <w:vertAlign w:val="superscript"/>
        </w:rPr>
        <w:t>th</w:t>
      </w:r>
      <w:r>
        <w:rPr>
          <w:rFonts w:ascii="Book Antiqua" w:hAnsi="Book Antiqua" w:eastAsia="Book Antiqua" w:cs="Book Antiqua"/>
          <w:color w:val="000000"/>
        </w:rPr>
        <w:t>, 75</w:t>
      </w:r>
      <w:r>
        <w:rPr>
          <w:rFonts w:ascii="Book Antiqua" w:hAnsi="Book Antiqua" w:eastAsia="Book Antiqua" w:cs="Book Antiqua"/>
          <w:color w:val="000000"/>
          <w:vertAlign w:val="superscript"/>
        </w:rPr>
        <w:t>th</w:t>
      </w:r>
      <w:r>
        <w:rPr>
          <w:rFonts w:ascii="Book Antiqua" w:hAnsi="Book Antiqua" w:eastAsia="Book Antiqua" w:cs="Book Antiqua"/>
          <w:color w:val="000000"/>
        </w:rPr>
        <w:t>, 90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percentiles), as well as the ADCmean from the hot spot region</w:t>
      </w:r>
      <w:r>
        <w:rPr>
          <w:rFonts w:ascii="Book Antiqua" w:hAnsi="Book Antiqua" w:eastAsia="Book Antiqua" w:cs="Book Antiqua"/>
          <w:color w:val="000000"/>
          <w:vertAlign w:val="subscript"/>
        </w:rPr>
        <w:t> </w:t>
      </w:r>
      <w:r>
        <w:rPr>
          <w:rFonts w:ascii="Book Antiqua" w:hAnsi="Book Antiqua" w:eastAsia="Book Antiqua" w:cs="Book Antiqua"/>
          <w:color w:val="000000"/>
        </w:rPr>
        <w:t>of interest (ROI), were calculated for each patient before and after treatment. Then all data were compared between R and non-R using the Mann-Whitney U test. Two measures of diagnostic accuracy were applied: the receiver operating characteristic curve and the diagnostic odds ratio (DOR). We also reported intra- and interobserver variability</w:t>
      </w:r>
      <w:r>
        <w:rPr>
          <w:rFonts w:ascii="Book Antiqua" w:hAnsi="Book Antiqua" w:eastAsia="Book Antiqua" w:cs="Book Antiqua"/>
          <w:i/>
          <w:iCs/>
          <w:color w:val="000000"/>
        </w:rPr>
        <w:t> </w:t>
      </w:r>
      <w:r>
        <w:rPr>
          <w:rFonts w:ascii="Book Antiqua" w:hAnsi="Book Antiqua" w:eastAsia="Book Antiqua" w:cs="Book Antiqua"/>
          <w:color w:val="000000"/>
        </w:rPr>
        <w:t>by calculating the intraclass correlation coefficient (ICC).</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RESULTS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Post-nCRT kurtosis, as well as post-nCRT skewness, were significantly lower in R than in non-R (both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respectively). We also found that, after treatment, R had a larger loss of both kurtosis and skewness than non-R (∆%kurtosis and ∆skewness,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Other parameters that demonstrated changes between groups were post-nCRT ADC10</w:t>
      </w:r>
      <w:r>
        <w:rPr>
          <w:rFonts w:ascii="Book Antiqua" w:hAnsi="Book Antiqua" w:eastAsia="Book Antiqua" w:cs="Book Antiqua"/>
          <w:color w:val="000000"/>
          <w:vertAlign w:val="superscript"/>
        </w:rPr>
        <w:t>th</w:t>
      </w:r>
      <w:r>
        <w:rPr>
          <w:rFonts w:ascii="Book Antiqua" w:hAnsi="Book Antiqua" w:eastAsia="Book Antiqua" w:cs="Book Antiqua"/>
          <w:color w:val="000000"/>
        </w:rPr>
        <w:t>, ∆%ADC10</w:t>
      </w:r>
      <w:r>
        <w:rPr>
          <w:rFonts w:ascii="Book Antiqua" w:hAnsi="Book Antiqua" w:eastAsia="Book Antiqua" w:cs="Book Antiqua"/>
          <w:color w:val="000000"/>
          <w:vertAlign w:val="superscript"/>
        </w:rPr>
        <w:t>th</w:t>
      </w:r>
      <w:r>
        <w:rPr>
          <w:rFonts w:ascii="Book Antiqua" w:hAnsi="Book Antiqua" w:eastAsia="Book Antiqua" w:cs="Book Antiqua"/>
          <w:color w:val="000000"/>
        </w:rPr>
        <w:t>, ∆%ADCmean,</w:t>
      </w:r>
      <w:r>
        <w:rPr>
          <w:rFonts w:ascii="Book Antiqua" w:hAnsi="Book Antiqua" w:eastAsia="Book Antiqua" w:cs="Book Antiqua"/>
          <w:color w:val="000000"/>
          <w:vertAlign w:val="subscript"/>
        </w:rPr>
        <w:t xml:space="preserve"> </w:t>
      </w:r>
      <w:r>
        <w:rPr>
          <w:rFonts w:ascii="Book Antiqua" w:hAnsi="Book Antiqua" w:eastAsia="Book Antiqua" w:cs="Book Antiqua"/>
          <w:color w:val="000000"/>
        </w:rPr>
        <w:t xml:space="preserve">and ROI ∆%ADCmean. However, the best diagnostic performance was achieved by ∆%kurtosis at a threshold of 11.85% (Area under the receiver operating characteristic curve [AUC] = 0.991, DOR = 376), followed by post-nCRT kurtosis = 0.78 </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mm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/s (AUC = 0.985, DOR = 375.3), ∆skewness = 0.16 (AUC = 0.885, DOR = 192.2) and post-nCRT skewness = 1.59 </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mm</w:t>
      </w:r>
      <w:r>
        <w:rPr>
          <w:rFonts w:ascii="Book Antiqua" w:hAnsi="Book Antiqua" w:eastAsia="Book Antiqua" w:cs="Book Antiqua"/>
          <w:color w:val="000000"/>
          <w:vertAlign w:val="superscript"/>
        </w:rPr>
        <w:t>2</w:t>
      </w:r>
      <w:r>
        <w:rPr>
          <w:rFonts w:ascii="Book Antiqua" w:hAnsi="Book Antiqua" w:eastAsia="Book Antiqua" w:cs="Book Antiqua"/>
          <w:color w:val="000000"/>
        </w:rPr>
        <w:t>/s (AUC = 0.815, DOR = 168.6)</w:t>
      </w:r>
      <w:r>
        <w:rPr>
          <w:rFonts w:ascii="Book Antiqua" w:hAnsi="Book Antiqua" w:eastAsia="Book Antiqua" w:cs="Book Antiqua"/>
          <w:color w:val="000000"/>
          <w:shd w:val="clear" w:color="auto" w:fill="FFFFFF"/>
        </w:rPr>
        <w:t xml:space="preserve">. Finally, </w:t>
      </w:r>
      <w:r>
        <w:rPr>
          <w:rFonts w:ascii="Book Antiqua" w:hAnsi="Book Antiqua" w:eastAsia="Book Antiqua" w:cs="Book Antiqua"/>
          <w:color w:val="000000"/>
        </w:rPr>
        <w:t>intraclass correlation coefficient analysis showed </w:t>
      </w:r>
      <w:r>
        <w:rPr>
          <w:rFonts w:ascii="Book Antiqua" w:hAnsi="Book Antiqua" w:eastAsia="Book Antiqua" w:cs="Book Antiqua"/>
          <w:color w:val="000000"/>
          <w:shd w:val="clear" w:color="auto" w:fill="FFFFFF"/>
        </w:rPr>
        <w:t>excellent intraobserver and interobserver agreement, ensuring the implementation of histogram analysis into routine clinical practice.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Whole-tumor ADC histogram parameters, particularly kurtosis and skewness, are relevant biomarkers for predicting the nCRT response in LARC. Both parameters appear to be more reliable than ADCmean from one-slice ROI.</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Apparent diffusion coefficient; Diffusion-weighted imaging; Histogram analysis; Magnetic resonance imaging; </w:t>
      </w:r>
      <w:r>
        <w:rPr>
          <w:rFonts w:ascii="Book Antiqua" w:hAnsi="Book Antiqua" w:eastAsia="Book Antiqua" w:cs="Book Antiqua"/>
          <w:color w:val="000000"/>
          <w:shd w:val="clear" w:color="auto" w:fill="FFFFFF"/>
        </w:rPr>
        <w:t>Locally advanced rectal cancer</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Jiménez de los Santos ME, Reyes-Pérez JA, Domínguez Osorio V, Villaseñor-Navarro Y, Moreno-Astudillo L, Vela-Sarmiento I, Sollozo-Dupont I. Whole lesion histogram analysis of apparent diffusion coefficient predicts therapy response in locally advanced rectal cancer.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26</w:t>
      </w:r>
      <w:r>
        <w:rPr>
          <w:rFonts w:hint="eastAsia" w:ascii="Book Antiqua" w:hAnsi="Book Antiqua" w:eastAsia="Book Antiqua" w:cs="Book Antiqua"/>
          <w:i w:val="0"/>
          <w:iCs w:val="0"/>
          <w:color w:val="000000"/>
          <w:kern w:val="0"/>
          <w:sz w:val="24"/>
          <w:szCs w:val="24"/>
          <w:u w:val="none"/>
          <w:lang w:val="en-US" w:eastAsia="zh-CN" w:bidi="ar"/>
        </w:rPr>
        <w:t>09</w:t>
      </w:r>
      <w:r>
        <w:rPr>
          <w:rFonts w:hint="default" w:ascii="Book Antiqua" w:hAnsi="Book Antiqua" w:eastAsia="Book Antiqua" w:cs="Book Antiqua"/>
          <w:i w:val="0"/>
          <w:iCs w:val="0"/>
          <w:color w:val="000000"/>
          <w:kern w:val="0"/>
          <w:sz w:val="24"/>
          <w:szCs w:val="24"/>
          <w:u w:val="none"/>
          <w:lang w:val="en-US" w:eastAsia="zh-CN" w:bidi="ar"/>
        </w:rPr>
        <w:t>-262</w:t>
      </w:r>
      <w:r>
        <w:rPr>
          <w:rFonts w:hint="eastAsia" w:ascii="Book Antiqua" w:hAnsi="Book Antiqua" w:eastAsia="Book Antiqua" w:cs="Book Antiqua"/>
          <w:i w:val="0"/>
          <w:iCs w:val="0"/>
          <w:color w:val="000000"/>
          <w:kern w:val="0"/>
          <w:sz w:val="24"/>
          <w:szCs w:val="24"/>
          <w:u w:val="none"/>
          <w:lang w:val="en-US" w:eastAsia="zh-CN" w:bidi="ar"/>
        </w:rPr>
        <w:t>4</w:t>
      </w:r>
      <w:r>
        <w:rPr>
          <w:rFonts w:hint="eastAsia" w:ascii="Book Antiqua" w:hAnsi="Book Antiqua" w:eastAsia="Book Antiqua" w:cs="Book Antiqua"/>
          <w:color w:val="000000"/>
        </w:rPr>
        <w:t xml:space="preserve">  </w:t>
      </w: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https://www.wjgnet.com/1007-9327/full/v2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26</w:t>
      </w:r>
      <w:r>
        <w:rPr>
          <w:rFonts w:hint="eastAsia" w:ascii="Book Antiqua" w:hAnsi="Book Antiqua" w:eastAsia="Book Antiqua" w:cs="Book Antiqua"/>
          <w:i w:val="0"/>
          <w:iCs w:val="0"/>
          <w:color w:val="000000"/>
          <w:kern w:val="0"/>
          <w:sz w:val="24"/>
          <w:szCs w:val="24"/>
          <w:u w:val="none"/>
          <w:lang w:val="en-US" w:eastAsia="zh-CN" w:bidi="ar"/>
        </w:rPr>
        <w:t>09</w:t>
      </w:r>
      <w:r>
        <w:rPr>
          <w:rFonts w:hint="eastAsia" w:ascii="Book Antiqua" w:hAnsi="Book Antiqua" w:eastAsia="Book Antiqua" w:cs="Book Antiqua"/>
          <w:color w:val="000000"/>
        </w:rPr>
        <w:t xml:space="preserve">.htm  </w:t>
      </w:r>
    </w:p>
    <w:p>
      <w:pPr>
        <w:adjustRightInd w:val="0"/>
        <w:snapToGrid w:val="0"/>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https://dx.doi.org/10.3748/wjg.v2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26</w:t>
      </w:r>
      <w:r>
        <w:rPr>
          <w:rFonts w:hint="eastAsia" w:ascii="Book Antiqua" w:hAnsi="Book Antiqua" w:eastAsia="Book Antiqua" w:cs="Book Antiqua"/>
          <w:i w:val="0"/>
          <w:iCs w:val="0"/>
          <w:color w:val="000000"/>
          <w:kern w:val="0"/>
          <w:sz w:val="24"/>
          <w:szCs w:val="24"/>
          <w:u w:val="none"/>
          <w:lang w:val="en-US" w:eastAsia="zh-CN" w:bidi="ar"/>
        </w:rPr>
        <w:t>09</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Whole-tumor apparent diffusion coefficient (ADC) histogram analysis is an emergent imaging analysis in which every voxel is used to obtain a histogram; it thus provides statistical information about tumors. Our study revealed that ADC histogram profiling is a valuable approach that can help differentiate treatment response in locally advanced rectal cancer. When determining tailored treatments that are associated with minimal morbidities, such as the watch and wait method, an accurate treatment response prediction is critical. Given the limitations of this study, more research is needed to establish the clinical utility of our findings.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rPr>
      </w:pPr>
      <w:r>
        <w:rPr>
          <w:rFonts w:ascii="Book Antiqua" w:hAnsi="Book Antiqua" w:eastAsia="Book Antiqua" w:cs="Book Antiqua"/>
          <w:color w:val="000000"/>
          <w:shd w:val="clear" w:color="auto" w:fill="FFFFFF"/>
        </w:rPr>
        <w:t xml:space="preserve">Neoadjuvant chemoradiation therapy (nCRT) is the gold standard treatment for patients with </w:t>
      </w:r>
      <w:r>
        <w:rPr>
          <w:rFonts w:ascii="Book Antiqua" w:hAnsi="Book Antiqua" w:eastAsia="Book Antiqua" w:cs="Book Antiqua"/>
          <w:color w:val="000000"/>
        </w:rPr>
        <w:t>locally advanced rectal cancer</w:t>
      </w:r>
      <w:r>
        <w:rPr>
          <w:rFonts w:ascii="Book Antiqua" w:hAnsi="Book Antiqua" w:eastAsia="Book Antiqua" w:cs="Book Antiqua"/>
          <w:color w:val="000000"/>
          <w:shd w:val="clear" w:color="auto" w:fill="FFFFFF"/>
        </w:rPr>
        <w:t xml:space="preserve"> (LARC), followed by surgical resection and adjuvant chemotherapy</w:t>
      </w:r>
      <w:r>
        <w:rPr>
          <w:rFonts w:ascii="Book Antiqua" w:hAnsi="Book Antiqua" w:eastAsia="Book Antiqua" w:cs="Book Antiqua"/>
          <w:color w:val="000000"/>
          <w:shd w:val="clear" w:color="auto" w:fill="FFFFFF"/>
          <w:vertAlign w:val="superscript"/>
        </w:rPr>
        <w:t>[1,2]</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After nCRT, the ability to achieve tumor reduction or even a pathological complete response (pCR) is observed in approximately 75% of treated patients, </w:t>
      </w:r>
      <w:r>
        <w:rPr>
          <w:rFonts w:ascii="Book Antiqua" w:hAnsi="Book Antiqua" w:eastAsia="Book Antiqua" w:cs="Book Antiqua"/>
          <w:color w:val="000000"/>
          <w:shd w:val="clear" w:color="auto" w:fill="FFFFFF"/>
        </w:rPr>
        <w:t>whereas the remainder exhibited no treatment response</w:t>
      </w:r>
      <w:r>
        <w:rPr>
          <w:rFonts w:ascii="Book Antiqua" w:hAnsi="Book Antiqua" w:eastAsia="Book Antiqua" w:cs="Book Antiqua"/>
          <w:color w:val="000000"/>
          <w:shd w:val="clear" w:color="auto" w:fill="FFFFFF"/>
          <w:vertAlign w:val="superscript"/>
        </w:rPr>
        <w:t>[3,4]</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The ability to predict the response to nCRT is important for patients with potentially curable LARC who wish to explore personalized treatment to expand their therapeutic outcomes</w:t>
      </w:r>
      <w:r>
        <w:rPr>
          <w:rFonts w:ascii="Book Antiqua" w:hAnsi="Book Antiqua" w:eastAsia="Book Antiqua" w:cs="Book Antiqua"/>
          <w:color w:val="000000"/>
          <w:shd w:val="clear" w:color="auto" w:fill="FFFFFF"/>
          <w:vertAlign w:val="superscript"/>
        </w:rPr>
        <w:t>[5]</w:t>
      </w:r>
      <w:r>
        <w:rPr>
          <w:rFonts w:ascii="Book Antiqua" w:hAnsi="Book Antiqua" w:eastAsia="Book Antiqua" w:cs="Book Antiqua"/>
          <w:color w:val="000000"/>
          <w:shd w:val="clear" w:color="auto" w:fill="FFFFFF"/>
        </w:rPr>
        <w:t>.</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Functional magnetic resonance imaging (MRI) techniques, such as diffusion-weighted imaging (DWI), can provide additional physiological information about a tumor’s cellular environment, offering great potential to evaluate the therapeutic response to nCRT</w:t>
      </w:r>
      <w:r>
        <w:rPr>
          <w:rFonts w:ascii="Book Antiqua" w:hAnsi="Book Antiqua" w:eastAsia="Book Antiqua" w:cs="Book Antiqua"/>
          <w:color w:val="000000"/>
          <w:shd w:val="clear" w:color="auto" w:fill="FFFFFF"/>
          <w:vertAlign w:val="superscript"/>
        </w:rPr>
        <w:t>[5]</w:t>
      </w:r>
      <w:r>
        <w:rPr>
          <w:rFonts w:ascii="Book Antiqua" w:hAnsi="Book Antiqua" w:eastAsia="Book Antiqua" w:cs="Book Antiqua"/>
          <w:color w:val="000000"/>
          <w:shd w:val="clear" w:color="auto" w:fill="FFFFFF"/>
        </w:rPr>
        <w:t xml:space="preserve">. This is because the </w:t>
      </w:r>
      <w:r>
        <w:rPr>
          <w:rFonts w:ascii="Book Antiqua" w:hAnsi="Book Antiqua" w:eastAsia="Book Antiqua" w:cs="Book Antiqua"/>
          <w:color w:val="000000"/>
        </w:rPr>
        <w:t>apparent diffusion coefficient (ADC)</w:t>
      </w:r>
      <w:r>
        <w:rPr>
          <w:rFonts w:ascii="Book Antiqua" w:hAnsi="Book Antiqua" w:eastAsia="Book Antiqua" w:cs="Book Antiqua"/>
          <w:color w:val="000000"/>
          <w:shd w:val="clear" w:color="auto" w:fill="FFFFFF"/>
        </w:rPr>
        <w:t>, a quantitative parameter used to assess water diffusion through tissue in DWI, shows an inverse relationship with tissue cellularity</w:t>
      </w:r>
      <w:r>
        <w:rPr>
          <w:rFonts w:ascii="Book Antiqua" w:hAnsi="Book Antiqua" w:eastAsia="Book Antiqua" w:cs="Book Antiqua"/>
          <w:color w:val="000000"/>
          <w:shd w:val="clear" w:color="auto" w:fill="FFFFFF"/>
          <w:vertAlign w:val="superscript"/>
        </w:rPr>
        <w:t>[6]</w:t>
      </w:r>
      <w:r>
        <w:rPr>
          <w:rFonts w:ascii="Book Antiqua" w:hAnsi="Book Antiqua" w:eastAsia="Book Antiqua" w:cs="Book Antiqua"/>
          <w:color w:val="000000"/>
          <w:shd w:val="clear" w:color="auto" w:fill="FFFFFF"/>
        </w:rPr>
        <w:t>. Viable tumor cells restrict the mobility of water, whereas necrotic tumor cells allow the increased diffusion of water molecules</w:t>
      </w:r>
      <w:r>
        <w:rPr>
          <w:rFonts w:ascii="Book Antiqua" w:hAnsi="Book Antiqua" w:eastAsia="Book Antiqua" w:cs="Book Antiqua"/>
          <w:color w:val="000000"/>
          <w:shd w:val="clear" w:color="auto" w:fill="FFFFFF"/>
          <w:vertAlign w:val="superscript"/>
        </w:rPr>
        <w:t>[7]</w:t>
      </w:r>
      <w:r>
        <w:rPr>
          <w:rFonts w:ascii="Book Antiqua" w:hAnsi="Book Antiqua" w:eastAsia="Book Antiqua" w:cs="Book Antiqua"/>
          <w:color w:val="000000"/>
          <w:shd w:val="clear" w:color="auto" w:fill="FFFFFF"/>
        </w:rPr>
        <w:t xml:space="preserve">.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w:t>
      </w:r>
      <w:r>
        <w:rPr>
          <w:rFonts w:ascii="Book Antiqua" w:hAnsi="Book Antiqua" w:eastAsia="Book Antiqua" w:cs="Book Antiqua"/>
          <w:color w:val="000000"/>
          <w:shd w:val="clear" w:color="auto" w:fill="FFFFFF"/>
        </w:rPr>
        <w:t>he possibility that ADC may be associated with the nCRT response has been amply investigated in LARC</w:t>
      </w:r>
      <w:r>
        <w:rPr>
          <w:rFonts w:ascii="Book Antiqua" w:hAnsi="Book Antiqua" w:eastAsia="Book Antiqua" w:cs="Book Antiqua"/>
          <w:color w:val="000000"/>
          <w:shd w:val="clear" w:color="auto" w:fill="FFFFFF"/>
          <w:vertAlign w:val="superscript"/>
        </w:rPr>
        <w:t>[8-12]</w:t>
      </w:r>
      <w:r>
        <w:rPr>
          <w:rFonts w:ascii="Book Antiqua" w:hAnsi="Book Antiqua" w:eastAsia="Book Antiqua" w:cs="Book Antiqua"/>
          <w:color w:val="000000"/>
          <w:shd w:val="clear" w:color="auto" w:fill="FFFFFF"/>
        </w:rPr>
        <w:t>; however, significant correlations have not been found in any studies to date</w:t>
      </w:r>
      <w:r>
        <w:rPr>
          <w:rFonts w:ascii="Book Antiqua" w:hAnsi="Book Antiqua" w:eastAsia="Book Antiqua" w:cs="Book Antiqua"/>
          <w:color w:val="000000"/>
          <w:shd w:val="clear" w:color="auto" w:fill="FFFFFF"/>
          <w:vertAlign w:val="superscript"/>
        </w:rPr>
        <w:t>[10]</w:t>
      </w:r>
      <w:r>
        <w:rPr>
          <w:rFonts w:ascii="Book Antiqua" w:hAnsi="Book Antiqua" w:eastAsia="Book Antiqua" w:cs="Book Antiqua"/>
          <w:color w:val="000000"/>
          <w:shd w:val="clear" w:color="auto" w:fill="FFFFFF"/>
        </w:rPr>
        <w:t>. Inconsistencies in previous findings may be due to a lack of standardized imaging and acquisition techniques</w:t>
      </w:r>
      <w:r>
        <w:rPr>
          <w:rFonts w:ascii="Book Antiqua" w:hAnsi="Book Antiqua" w:eastAsia="Book Antiqua" w:cs="Book Antiqua"/>
          <w:color w:val="000000"/>
          <w:shd w:val="clear" w:color="auto" w:fill="FFFFFF"/>
          <w:vertAlign w:val="superscript"/>
        </w:rPr>
        <w:t>[5,11]</w:t>
      </w:r>
      <w:r>
        <w:rPr>
          <w:rFonts w:ascii="Book Antiqua" w:hAnsi="Book Antiqua" w:eastAsia="Book Antiqua" w:cs="Book Antiqua"/>
          <w:color w:val="000000"/>
          <w:shd w:val="clear" w:color="auto" w:fill="FFFFFF"/>
        </w:rPr>
        <w:t>, but they may also be due to the fact that the ADC measurements were performed using a manually drawn region of interest (ROI) from a single slice of the ADC map, which holds limited ability to reflect the actual whole-tumor characteristics</w:t>
      </w:r>
      <w:r>
        <w:rPr>
          <w:rFonts w:ascii="Book Antiqua" w:hAnsi="Book Antiqua" w:eastAsia="Book Antiqua" w:cs="Book Antiqua"/>
          <w:color w:val="000000"/>
          <w:shd w:val="clear" w:color="auto" w:fill="FFFFFF"/>
          <w:vertAlign w:val="superscript"/>
        </w:rPr>
        <w:t>[13-15]</w:t>
      </w:r>
      <w:r>
        <w:rPr>
          <w:rFonts w:ascii="Book Antiqua" w:hAnsi="Book Antiqua" w:eastAsia="Book Antiqua" w:cs="Book Antiqua"/>
          <w:color w:val="000000"/>
          <w:shd w:val="clear" w:color="auto" w:fill="FFFFFF"/>
        </w:rPr>
        <w:t>.</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In the case of whole-lesion histogram analysis of the ADC, a volumetric ROI is positioned on the entire lesion over contiguous slices and a histogram of ADC values reflecting voxel frequency is constructed, leading to the improved evaluation of heterogeneity</w:t>
      </w:r>
      <w:r>
        <w:rPr>
          <w:rFonts w:ascii="Book Antiqua" w:hAnsi="Book Antiqua" w:eastAsia="Book Antiqua" w:cs="Book Antiqua"/>
          <w:color w:val="000000"/>
          <w:shd w:val="clear" w:color="auto" w:fill="FFFFFF"/>
          <w:vertAlign w:val="superscript"/>
        </w:rPr>
        <w:t>[16]</w:t>
      </w:r>
      <w:r>
        <w:rPr>
          <w:rFonts w:ascii="Book Antiqua" w:hAnsi="Book Antiqua" w:eastAsia="Book Antiqua" w:cs="Book Antiqua"/>
          <w:color w:val="000000"/>
          <w:shd w:val="clear" w:color="auto" w:fill="FFFFFF"/>
        </w:rPr>
        <w:t>. Based on</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 xml:space="preserve">this method, first-order heterogeneity parameters </w:t>
      </w:r>
      <w:r>
        <w:rPr>
          <w:rFonts w:ascii="Book Antiqua" w:hAnsi="Book Antiqua" w:eastAsia="Book Antiqua" w:cs="Book Antiqua"/>
          <w:color w:val="000000"/>
        </w:rPr>
        <w:t>can be obtained, which assess the spectrum of ADC values gained from all voxels within a volume of interest</w:t>
      </w:r>
      <w:r>
        <w:rPr>
          <w:rFonts w:ascii="Book Antiqua" w:hAnsi="Book Antiqua" w:eastAsia="Book Antiqua" w:cs="Book Antiqua"/>
          <w:color w:val="000000"/>
          <w:vertAlign w:val="superscript"/>
        </w:rPr>
        <w:t>[17]</w:t>
      </w:r>
      <w:r>
        <w:rPr>
          <w:rFonts w:ascii="Book Antiqua" w:hAnsi="Book Antiqua" w:eastAsia="Book Antiqua" w:cs="Book Antiqua"/>
          <w:color w:val="000000"/>
        </w:rPr>
        <w:t>. A</w:t>
      </w:r>
      <w:r>
        <w:rPr>
          <w:rFonts w:ascii="Book Antiqua" w:hAnsi="Book Antiqua" w:eastAsia="Book Antiqua" w:cs="Book Antiqua"/>
          <w:color w:val="000000"/>
          <w:shd w:val="clear" w:color="auto" w:fill="FFFFFF"/>
        </w:rPr>
        <w:t xml:space="preserve"> growing number of studies have used ADC histogram parameters, as these analyses provide additional information that can aid in the discrimination between benign and malignant regions, or they can help to better characterize the response to treatment in different tumors, such as ovarian, prostate, and breast cancer</w:t>
      </w:r>
      <w:r>
        <w:rPr>
          <w:rFonts w:ascii="Book Antiqua" w:hAnsi="Book Antiqua" w:eastAsia="Book Antiqua" w:cs="Book Antiqua"/>
          <w:color w:val="000000"/>
          <w:shd w:val="clear" w:color="auto" w:fill="FFFFFF"/>
          <w:vertAlign w:val="superscript"/>
        </w:rPr>
        <w:t>[18-21]</w:t>
      </w:r>
      <w:r>
        <w:rPr>
          <w:rFonts w:ascii="Book Antiqua" w:hAnsi="Book Antiqua" w:eastAsia="Book Antiqua" w:cs="Book Antiqua"/>
          <w:color w:val="000000"/>
          <w:shd w:val="clear" w:color="auto" w:fill="FFFFFF"/>
        </w:rPr>
        <w:t>. The application of whole-volume ADC histogram analysis in rectal tumors is increasing in frequency as well, and the role of this parameter in predicting nCRT is promising but limited</w:t>
      </w:r>
      <w:r>
        <w:rPr>
          <w:rFonts w:ascii="Book Antiqua" w:hAnsi="Book Antiqua" w:eastAsia="Book Antiqua" w:cs="Book Antiqua"/>
          <w:color w:val="000000"/>
          <w:shd w:val="clear" w:color="auto" w:fill="FFFFFF"/>
          <w:vertAlign w:val="superscript"/>
        </w:rPr>
        <w:t>[22-25]</w:t>
      </w:r>
      <w:r>
        <w:rPr>
          <w:rFonts w:ascii="Book Antiqua" w:hAnsi="Book Antiqua" w:eastAsia="Book Antiqua" w:cs="Book Antiqua"/>
          <w:color w:val="000000"/>
          <w:shd w:val="clear" w:color="auto" w:fill="FFFFFF"/>
        </w:rPr>
        <w:t>.</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 xml:space="preserve">The purpose of this study was to investigate the imaging response to nCRT using DWI in patients with LARC. We hypothesized that the ADC histogram-derived parameter might better predict treatment responses to nCRT compared with ADC from the hotspot ROI, as histogram parameters can </w:t>
      </w:r>
      <w:r>
        <w:rPr>
          <w:rFonts w:ascii="Book Antiqua" w:hAnsi="Book Antiqua" w:eastAsia="Book Antiqua" w:cs="Book Antiqua"/>
          <w:color w:val="000000"/>
        </w:rPr>
        <w:t>display the heterogeneous features of tumors</w:t>
      </w:r>
      <w:r>
        <w:rPr>
          <w:rFonts w:ascii="Book Antiqua" w:hAnsi="Book Antiqua" w:eastAsia="Book Antiqua" w:cs="Book Antiqua"/>
          <w:color w:val="000000"/>
          <w:shd w:val="clear" w:color="auto" w:fill="FFFFFF"/>
        </w:rPr>
        <w: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adjustRightInd w:val="0"/>
        <w:snapToGrid w:val="0"/>
        <w:spacing w:line="360" w:lineRule="auto"/>
        <w:jc w:val="both"/>
        <w:rPr>
          <w:rFonts w:ascii="Book Antiqua" w:hAnsi="Book Antiqua"/>
          <w:i/>
          <w:iCs/>
        </w:rPr>
      </w:pPr>
      <w:r>
        <w:rPr>
          <w:rFonts w:ascii="Book Antiqua" w:hAnsi="Book Antiqua" w:eastAsia="Book Antiqua" w:cs="Book Antiqua"/>
          <w:b/>
          <w:bCs/>
          <w:i/>
          <w:iCs/>
          <w:color w:val="000000"/>
        </w:rPr>
        <w:t>Patients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The institutional review board approved this retrospective study, and the requirement to obtain informed consent was waived given the study’s retrospective nature. The study population was selected from LARC patients at our institution between February 2015 and October 2020. According to Enkhbaatar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we defined the inclusion criteria as follows: (1) </w:t>
      </w:r>
      <w:r>
        <w:rPr>
          <w:rFonts w:hint="eastAsia" w:ascii="Book Antiqua" w:hAnsi="Book Antiqua" w:eastAsia="宋体" w:cs="Book Antiqua"/>
          <w:color w:val="000000"/>
          <w:lang w:val="en-US" w:eastAsia="zh-CN"/>
        </w:rPr>
        <w:t>P</w:t>
      </w:r>
      <w:r>
        <w:rPr>
          <w:rFonts w:ascii="Book Antiqua" w:hAnsi="Book Antiqua" w:eastAsia="Book Antiqua" w:cs="Book Antiqua"/>
          <w:color w:val="000000"/>
        </w:rPr>
        <w:t xml:space="preserve">roven histopathology of rectal adenocarcinoma; (2) greater than stage T2 on pre-nCRT MR imaging; with or without regional lymph node metastases and no distant metastases; (3) pre- and post-nCRT rectal MRI imaging with diffusion-weighted (DW) imaging; (4) long-course nCRT; and (5) surgical resection. Mucinous tumors were excluded from this study.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Forty-eight patients were enrolled in the study (34 men and 14 women; age range: 28–84 years). All patients were further divided into two subgroups based on the pathological response of the primary tumor: responders (R) and non-responders (non-R). Only patients with grade 0 according to the TRG-Ryan system were regarded as patients with a complete pathological response (R), while patients with TRG 1-3 were non-R.</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i/>
          <w:iCs/>
        </w:rPr>
      </w:pPr>
      <w:r>
        <w:rPr>
          <w:rFonts w:ascii="Book Antiqua" w:hAnsi="Book Antiqua" w:eastAsia="Book Antiqua" w:cs="Book Antiqua"/>
          <w:b/>
          <w:bCs/>
          <w:i/>
          <w:iCs/>
          <w:color w:val="000000"/>
        </w:rPr>
        <w:t>MRI protocol</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All images were obtained on a 3T MRI system (</w:t>
      </w:r>
      <w:r>
        <w:rPr>
          <w:rFonts w:ascii="Book Antiqua" w:hAnsi="Book Antiqua" w:eastAsia="Book Antiqua" w:cs="Book Antiqua"/>
          <w:color w:val="000000"/>
          <w:shd w:val="clear" w:color="auto" w:fill="FFFFFF"/>
        </w:rPr>
        <w:t>Discovery MR 750w GEM</w:t>
      </w:r>
      <w:r>
        <w:rPr>
          <w:rFonts w:ascii="Book Antiqua" w:hAnsi="Book Antiqua" w:eastAsia="Book Antiqua" w:cs="Book Antiqua"/>
          <w:color w:val="000000"/>
          <w:shd w:val="clear" w:color="auto" w:fill="FFFFFF"/>
          <w:vertAlign w:val="superscript"/>
        </w:rPr>
        <w:t>®</w:t>
      </w:r>
      <w:r>
        <w:rPr>
          <w:rFonts w:ascii="Book Antiqua" w:hAnsi="Book Antiqua" w:eastAsia="Book Antiqua" w:cs="Book Antiqua"/>
          <w:color w:val="000000"/>
          <w:shd w:val="clear" w:color="auto" w:fill="FFFFFF"/>
        </w:rPr>
        <w:t>; General Electric Healthcare, Milwaukee, WI, United States) using a phased-array body coil</w:t>
      </w:r>
      <w:r>
        <w:rPr>
          <w:rFonts w:ascii="Book Antiqua" w:hAnsi="Book Antiqua" w:eastAsia="Book Antiqua" w:cs="Book Antiqua"/>
          <w:color w:val="000000"/>
        </w:rPr>
        <w:t>. Intravenous antispasmodic agents were not administered, and patients received no bowel preparation before the MRI examination. Our study groups comprised patients who underwent pre-treatment MRI for primary tumor staging, and a second restaging MRI for response evaluation 6 wk after the completion of nCRT. The scanning protocol is listed in Table 1</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In brief, </w:t>
      </w:r>
      <w:r>
        <w:rPr>
          <w:rFonts w:ascii="Book Antiqua" w:hAnsi="Book Antiqua" w:eastAsia="Book Antiqua" w:cs="Book Antiqua"/>
          <w:color w:val="000000"/>
          <w:shd w:val="clear" w:color="auto" w:fill="FFFFFF"/>
        </w:rPr>
        <w:t>we obtained standard T2-weighted (T2W) spin-echo sequences in axial, coronal, and sagittal directions. To improve tumor tissue visualization (including the delineation of the muscular layer), these planes were planned perpendicular to the main axis of the tumor. Moreover, a T1W spin-echo sequence in an axial direction, as well as an axial non-enhanced DWI with b = 1200 s/mm</w:t>
      </w:r>
      <w:r>
        <w:rPr>
          <w:rFonts w:ascii="Book Antiqua" w:hAnsi="Book Antiqua" w:eastAsia="Book Antiqua" w:cs="Book Antiqua"/>
          <w:color w:val="000000"/>
          <w:shd w:val="clear" w:color="auto" w:fill="FFFFFF"/>
          <w:vertAlign w:val="superscript"/>
        </w:rPr>
        <w:t>2</w:t>
      </w:r>
      <w:r>
        <w:rPr>
          <w:rFonts w:ascii="Book Antiqua" w:hAnsi="Book Antiqua" w:eastAsia="Book Antiqua" w:cs="Book Antiqua"/>
          <w:color w:val="000000"/>
          <w:shd w:val="clear" w:color="auto" w:fill="FFFFFF"/>
        </w:rPr>
        <w:t>, were acquired. ADC maps were automatically generated using the in-line software provided by the vendor during image acquisition. Additionally, a</w:t>
      </w:r>
      <w:r>
        <w:rPr>
          <w:rFonts w:ascii="Book Antiqua" w:hAnsi="Book Antiqua" w:eastAsia="Book Antiqua" w:cs="Book Antiqua"/>
          <w:color w:val="000000"/>
        </w:rPr>
        <w:t xml:space="preserve">xial, sagittal, and coronal </w:t>
      </w:r>
      <w:r>
        <w:rPr>
          <w:rFonts w:ascii="Book Antiqua" w:hAnsi="Book Antiqua" w:eastAsia="Book Antiqua" w:cs="Book Antiqua"/>
          <w:color w:val="000000"/>
          <w:shd w:val="clear" w:color="auto" w:fill="FFFFFF"/>
        </w:rPr>
        <w:t xml:space="preserve">fat-suppressed contrast T1W sequences were acquired and used to suppress </w:t>
      </w:r>
      <w:r>
        <w:rPr>
          <w:rFonts w:ascii="Book Antiqua" w:hAnsi="Book Antiqua" w:eastAsia="Book Antiqua" w:cs="Book Antiqua"/>
          <w:color w:val="000000"/>
        </w:rPr>
        <w:t>the signal from adipose tissue</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A gadolinium-based contrast agent (Gd-DTPA, Magnevist; Bayer Schering, Berlin,</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Germany) was used to enhance the quality of MRI. </w:t>
      </w:r>
      <w:r>
        <w:rPr>
          <w:rFonts w:ascii="Book Antiqua" w:hAnsi="Book Antiqua" w:eastAsia="Book Antiqua" w:cs="Book Antiqua"/>
          <w:color w:val="000000"/>
          <w:shd w:val="clear" w:color="auto" w:fill="FFFFFF"/>
        </w:rPr>
        <w:t>R</w:t>
      </w:r>
      <w:r>
        <w:rPr>
          <w:rFonts w:ascii="Book Antiqua" w:hAnsi="Book Antiqua" w:eastAsia="Book Antiqua" w:cs="Book Antiqua"/>
          <w:color w:val="000000"/>
        </w:rPr>
        <w:t>epresentative images of our MRI protocol are provided in Figure 1</w:t>
      </w:r>
      <w:r>
        <w:rPr>
          <w:rFonts w:ascii="Book Antiqua" w:hAnsi="Book Antiqua" w:eastAsia="Book Antiqua" w:cs="Book Antiqua"/>
          <w:color w:val="000000"/>
          <w:shd w:val="clear" w:color="auto" w:fill="FFFFFF"/>
        </w:rPr>
        <w: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i/>
          <w:iCs/>
        </w:rPr>
      </w:pPr>
      <w:r>
        <w:rPr>
          <w:rFonts w:ascii="Book Antiqua" w:hAnsi="Book Antiqua" w:eastAsia="Book Antiqua" w:cs="Book Antiqua"/>
          <w:b/>
          <w:bCs/>
          <w:i/>
          <w:iCs/>
          <w:color w:val="000000"/>
        </w:rPr>
        <w:t>Image analysis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Two radiologists (JARP and MEJ, with 10 years and 5 years of experience in gastrointestinal imaging, respectively) reviewed the imaging studies and performed all tumor measurements on the pre- and post-nCRT images. At the initial review, each radiologist was blinded to the other radiologist’s opinion. Also, they were blinded to the pathology results to assess interobserver and intraobserver variability. After that, the two radiologists would hold a discussion to arrive at a final decision by consensus. If a disagreement occurred, another radiologist with 25 years of experience (YVN) aided in making the final decision.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DWI analysis was performed with a workstation using the GE Advantage Workstation 4.6 software featuring the READYVIWER application (2006–2010; General Electric, Boston, MA, United States). On the pre-nCRT b1200 diffusion images, the tumor was defined as a focal mass with high signal intensity in comparison with the signal of the normal adjacent rectal wall. More precisely, the delineated ROIs covered the edge of each lesion, and the ROIs were drawn along the inner margin of the rectal walls to avoid intraluminal gas, water, and other contents. Further, necrotic areas, cysts, and vessels related to each lesion at the corresponding slice were also avoided, as identified on T2WI images. In addition, the highest and lowest slices of the DWI images were excluded given their partial volume effects</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After nCRT, the tumor was defined by focal areas of residual high signal, as identified on the b1200 images within the location of the primary tumor bed and/or corresponding with the residual tumor on T2WI MRI images as a reference standard. To compare and identify the tumor location, the pre-treatment images were at the readers’ disposal when analyzing the post-treatment images.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It should be noted that, in the first instance, one large ROI was placed to cover most of the largest axial tumor cross-section, which facilitated the calculation of the ADCmean values (ROI ADCmean). Thereafter, a volume of interest (VOI) was manually created on the ADC maps, where ROIs were drawn on all tumor slices (whole-lesion measurement). Within this VOI, the following parameters were calculated: (1) ADCmean, the average ADC value of all voxels within the VOI; (2) ADCn% (10</w:t>
      </w:r>
      <w:r>
        <w:rPr>
          <w:rFonts w:ascii="Book Antiqua" w:hAnsi="Book Antiqua" w:eastAsia="Book Antiqua" w:cs="Book Antiqua"/>
          <w:color w:val="000000"/>
          <w:vertAlign w:val="superscript"/>
        </w:rPr>
        <w:t>th</w:t>
      </w:r>
      <w:r>
        <w:rPr>
          <w:rFonts w:ascii="Book Antiqua" w:hAnsi="Book Antiqua" w:eastAsia="Book Antiqua" w:cs="Book Antiqua"/>
          <w:color w:val="000000"/>
        </w:rPr>
        <w:t>, 25</w:t>
      </w:r>
      <w:r>
        <w:rPr>
          <w:rFonts w:ascii="Book Antiqua" w:hAnsi="Book Antiqua" w:eastAsia="Book Antiqua" w:cs="Book Antiqua"/>
          <w:color w:val="000000"/>
          <w:vertAlign w:val="superscript"/>
        </w:rPr>
        <w:t>th</w:t>
      </w:r>
      <w:r>
        <w:rPr>
          <w:rFonts w:ascii="Book Antiqua" w:hAnsi="Book Antiqua" w:eastAsia="Book Antiqua" w:cs="Book Antiqua"/>
          <w:color w:val="000000"/>
        </w:rPr>
        <w:t>, 50</w:t>
      </w:r>
      <w:r>
        <w:rPr>
          <w:rFonts w:ascii="Book Antiqua" w:hAnsi="Book Antiqua" w:eastAsia="Book Antiqua" w:cs="Book Antiqua"/>
          <w:color w:val="000000"/>
          <w:vertAlign w:val="superscript"/>
        </w:rPr>
        <w:t>th</w:t>
      </w:r>
      <w:r>
        <w:rPr>
          <w:rFonts w:ascii="Book Antiqua" w:hAnsi="Book Antiqua" w:eastAsia="Book Antiqua" w:cs="Book Antiqua"/>
          <w:color w:val="000000"/>
        </w:rPr>
        <w:t>, 75</w:t>
      </w:r>
      <w:r>
        <w:rPr>
          <w:rFonts w:ascii="Book Antiqua" w:hAnsi="Book Antiqua" w:eastAsia="Book Antiqua" w:cs="Book Antiqua"/>
          <w:color w:val="000000"/>
          <w:vertAlign w:val="superscript"/>
        </w:rPr>
        <w:t>th</w:t>
      </w:r>
      <w:r>
        <w:rPr>
          <w:rFonts w:ascii="Book Antiqua" w:hAnsi="Book Antiqua" w:eastAsia="Book Antiqua" w:cs="Book Antiqua"/>
          <w:color w:val="000000"/>
        </w:rPr>
        <w:t>, and 90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percentiles), the point at which the n% of the voxel values that formed the histogram were found to be at the left; (3) skewness, which </w:t>
      </w:r>
      <w:r>
        <w:rPr>
          <w:rFonts w:ascii="Book Antiqua" w:hAnsi="Book Antiqua" w:eastAsia="Book Antiqua" w:cs="Book Antiqua"/>
          <w:color w:val="000000"/>
          <w:shd w:val="clear" w:color="auto" w:fill="FCFCFC"/>
        </w:rPr>
        <w:t>measures the asymmetry of the distribution of values about the mean value;</w:t>
      </w:r>
      <w:r>
        <w:rPr>
          <w:rFonts w:ascii="Book Antiqua" w:hAnsi="Book Antiqua" w:eastAsia="Book Antiqua" w:cs="Book Antiqua"/>
          <w:color w:val="000000"/>
        </w:rPr>
        <w:t xml:space="preserve"> and (4) kurtosis, which is </w:t>
      </w:r>
      <w:r>
        <w:rPr>
          <w:rFonts w:ascii="Book Antiqua" w:hAnsi="Book Antiqua" w:eastAsia="Book Antiqua" w:cs="Book Antiqua"/>
          <w:color w:val="000000"/>
          <w:shd w:val="clear" w:color="auto" w:fill="FCFCFC"/>
        </w:rPr>
        <w:t>a measure of the ‘peakedness’ of the distribution of values in the ROI image</w:t>
      </w:r>
      <w:r>
        <w:rPr>
          <w:rFonts w:ascii="Book Antiqua" w:hAnsi="Book Antiqua" w:eastAsia="Book Antiqua" w:cs="Book Antiqua"/>
          <w:color w:val="000000"/>
        </w:rPr>
        <w:t>. The corresponding frequency table for each lesion was exported, and the histogram parameters were computed by SPSS v. 26.0 (IBM Corporation, Armonk, NY, United States). Figure 2 is a schematic illustration of a representative ROI.</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b/>
          <w:bCs/>
          <w:i/>
          <w:iCs/>
        </w:rPr>
      </w:pPr>
      <w:r>
        <w:rPr>
          <w:rFonts w:ascii="Book Antiqua" w:hAnsi="Book Antiqua" w:eastAsia="Book Antiqua" w:cs="Book Antiqua"/>
          <w:b/>
          <w:bCs/>
          <w:i/>
          <w:iCs/>
          <w:color w:val="000000"/>
        </w:rPr>
        <w:t>Histopathologic review</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Specimens were evaluated according to an established protocol that was previously described by our research team</w:t>
      </w:r>
      <w:r>
        <w:rPr>
          <w:rFonts w:ascii="Book Antiqua" w:hAnsi="Book Antiqua" w:eastAsia="Book Antiqua" w:cs="Book Antiqua"/>
          <w:color w:val="000000"/>
          <w:vertAlign w:val="superscript"/>
        </w:rPr>
        <w:t>[26]</w:t>
      </w:r>
      <w:r>
        <w:rPr>
          <w:rFonts w:ascii="Book Antiqua" w:hAnsi="Book Antiqua" w:eastAsia="Book Antiqua" w:cs="Book Antiqua"/>
          <w:color w:val="000000"/>
        </w:rPr>
        <w:t>. In brief, fresh surgical specimens were evaluated to determine the quality of the mesorectal excision before being fixed in 4% formaldehyde for 48 h prior to sectioning. After fixation, the specimens were serially sectioned (in slices of 1 cm), and the mesorectal boundary was linked. When the residual tumor was visible, a minimum submission of four blocks was recommended. All mesorectal lymph nodes were histologically examined, as was the involvement of the circumferential resection margin. When no residual tumor cells were identified, each block was cut into 3 level sections, and immuhistochemistry for keratin was done. All hematoxylin and eosin slides were reviewed by an experienced pathologist (EHB, with 15 years of experience examining rectal cancer).</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pathologic response of the primary tumor was estimated using the modified Ryan’s classification as follow</w:t>
      </w:r>
      <w:r>
        <w:rPr>
          <w:rFonts w:ascii="Book Antiqua" w:hAnsi="Book Antiqua" w:eastAsia="Book Antiqua" w:cs="Book Antiqua"/>
          <w:color w:val="000000"/>
          <w:vertAlign w:val="superscript"/>
        </w:rPr>
        <w:t>[26,27]</w:t>
      </w:r>
      <w:r>
        <w:rPr>
          <w:rFonts w:ascii="Book Antiqua" w:hAnsi="Book Antiqua" w:eastAsia="Book Antiqua" w:cs="Book Antiqua"/>
          <w:color w:val="000000"/>
        </w:rPr>
        <w:t xml:space="preserve">: TRG0, complete response with no viable cancer cells; TRG1 moderate response with single cancer cells or small groups of cancer cells; TRG2, minimal response with residual cancer outgrown by fibrosis, and TRG3, poor response with minimal or no tumor killing and extensive residual cancer.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i/>
          <w:iCs/>
        </w:rPr>
      </w:pPr>
      <w:r>
        <w:rPr>
          <w:rFonts w:ascii="Book Antiqua" w:hAnsi="Book Antiqua" w:eastAsia="Book Antiqua" w:cs="Book Antiqua"/>
          <w:b/>
          <w:bCs/>
          <w:i/>
          <w:iCs/>
          <w:color w:val="000000"/>
        </w:rPr>
        <w:t>Statistical analyses</w:t>
      </w:r>
    </w:p>
    <w:p>
      <w:pPr>
        <w:adjustRightInd w:val="0"/>
        <w:snapToGrid w:val="0"/>
        <w:spacing w:line="360" w:lineRule="auto"/>
        <w:jc w:val="both"/>
        <w:rPr>
          <w:rFonts w:ascii="Book Antiqua" w:hAnsi="Book Antiqua"/>
          <w:lang w:eastAsia="zh-CN"/>
        </w:rPr>
      </w:pPr>
      <w:r>
        <w:rPr>
          <w:rFonts w:ascii="Book Antiqua" w:hAnsi="Book Antiqua" w:eastAsia="Book Antiqua" w:cs="Book Antiqua"/>
          <w:color w:val="000000"/>
        </w:rPr>
        <w:t xml:space="preserve">The following formula was used to calculate changes in all metrics included in the current study: </w:t>
      </w:r>
      <w:bookmarkStart w:id="1" w:name="OLE_LINK2"/>
      <w:r>
        <w:rPr>
          <w:rFonts w:ascii="Cambria Math" w:hAnsi="Cambria Math" w:eastAsia="Book Antiqua" w:cs="Cambria Math"/>
          <w:color w:val="000000"/>
        </w:rPr>
        <w:t>𝑃𝑒𝑟𝐶</w:t>
      </w:r>
      <w:bookmarkEnd w:id="1"/>
      <w:r>
        <w:rPr>
          <w:rFonts w:ascii="Book Antiqua" w:hAnsi="Book Antiqua" w:eastAsia="Book Antiqua" w:cs="Cambria Math"/>
          <w:color w:val="000000"/>
        </w:rPr>
        <w:t xml:space="preserve"> = (Parameter post-treatment - Parameter pre-treatment) / Parameter pre−treatment </w:t>
      </w:r>
      <w:r>
        <w:rPr>
          <w:rFonts w:ascii="Book Antiqua" w:hAnsi="Book Antiqua" w:eastAsia="Book Antiqua" w:cs="Book Antiqua"/>
          <w:color w:val="000000"/>
        </w:rPr>
        <w:t>× 100.</w:t>
      </w:r>
      <w:r>
        <w:rPr>
          <w:rFonts w:ascii="Book Antiqua" w:hAnsi="Book Antiqua"/>
          <w:lang w:eastAsia="zh-CN"/>
        </w:rPr>
        <w:t xml:space="preserve">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It must be noted that when pre- and post-nCRT kurtosis values were obtained, a result of +3.00 indicated the absence of kurtosis. To simplify the interpretation, we adjusted this result to 0 (</w:t>
      </w:r>
      <w:r>
        <w:rPr>
          <w:rFonts w:ascii="Book Antiqua" w:hAnsi="Book Antiqua" w:eastAsia="Book Antiqua" w:cs="Book Antiqua"/>
          <w:i/>
          <w:iCs/>
          <w:color w:val="000000"/>
        </w:rPr>
        <w:t>i.e.</w:t>
      </w:r>
      <w:r>
        <w:rPr>
          <w:rFonts w:ascii="Book Antiqua" w:hAnsi="Book Antiqua" w:eastAsia="Book Antiqua" w:cs="Book Antiqua"/>
          <w:color w:val="000000"/>
        </w:rPr>
        <w:t xml:space="preserve"> kurtosis of –3 = 0). Thus, any reading other than 0 was referred to as an excess of kurtosis. On the other side, to negate division by 0 when calculating the percentage change in kurtosis, we added 3, </w:t>
      </w:r>
      <w:r>
        <w:rPr>
          <w:rFonts w:ascii="Book Antiqua" w:hAnsi="Book Antiqua" w:eastAsia="Book Antiqua" w:cs="Book Antiqua"/>
          <w:i/>
          <w:iCs/>
          <w:color w:val="000000"/>
        </w:rPr>
        <w:t>i.e.</w:t>
      </w:r>
      <w:r>
        <w:rPr>
          <w:rFonts w:ascii="Book Antiqua" w:hAnsi="Book Antiqua" w:eastAsia="Book Antiqua" w:cs="Book Antiqua"/>
          <w:color w:val="000000"/>
        </w:rPr>
        <w:t xml:space="preserve"> [(Kurtosis post-treatment + 3) – (Kurtosis pre-treatment + 3) / (Kurtosis pre-treatment + 3)] × 100.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In the case of skewness, and to avoid dividing by 0, only change (not the percentage change) was used (</w:t>
      </w:r>
      <w:r>
        <w:rPr>
          <w:rFonts w:ascii="Book Antiqua" w:hAnsi="Book Antiqua" w:eastAsia="Book Antiqua" w:cs="Book Antiqua"/>
          <w:i/>
          <w:iCs/>
          <w:color w:val="000000"/>
        </w:rPr>
        <w:t>i.e.</w:t>
      </w:r>
      <w:r>
        <w:rPr>
          <w:rFonts w:ascii="Book Antiqua" w:hAnsi="Book Antiqua" w:eastAsia="Book Antiqua" w:cs="Book Antiqua"/>
          <w:color w:val="000000"/>
        </w:rPr>
        <w:t xml:space="preserve"> skewness post treatment – skewness pre-treatment)</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As skewness did not have a lower bound such as kurtosis, the +/– sign was considered to calculate changes in this parameter. To compare variables among R and non-R, a Mann–Whitney </w:t>
      </w:r>
      <w:r>
        <w:rPr>
          <w:rFonts w:ascii="Book Antiqua" w:hAnsi="Book Antiqua" w:eastAsia="Book Antiqua" w:cs="Book Antiqua"/>
          <w:i/>
          <w:iCs/>
          <w:color w:val="000000"/>
        </w:rPr>
        <w:t>U</w:t>
      </w:r>
      <w:r>
        <w:rPr>
          <w:rFonts w:ascii="Book Antiqua" w:hAnsi="Book Antiqua" w:eastAsia="Book Antiqua" w:cs="Book Antiqua"/>
          <w:color w:val="000000"/>
        </w:rPr>
        <w:t xml:space="preserve"> test (MWU) was applied, as the Kolmogorov</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Smirnov test confirmed the non-normal distribution of any parameter included here. Accordingly, the data were presented as medians and interquartile ranges (IQR)</w:t>
      </w:r>
      <w:r>
        <w:rPr>
          <w:rFonts w:ascii="Book Antiqua" w:hAnsi="Book Antiqua" w:eastAsia="Book Antiqua" w:cs="Book Antiqua"/>
          <w:color w:val="000000"/>
          <w:vertAlign w:val="superscript"/>
        </w:rPr>
        <w:t>[29]</w:t>
      </w:r>
      <w:r>
        <w:rPr>
          <w:rFonts w:ascii="Book Antiqua" w:hAnsi="Book Antiqua" w:eastAsia="Book Antiqua" w:cs="Book Antiqua"/>
          <w:color w:val="000000"/>
        </w:rPr>
        <w:t>. When the differences in a variable were significant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in the MWU test, the cut-off value, sensitivity, specificity, positive predictive value, negative predictive value, area under the receiver operating characteristic (ROC) curve (AUC), and accuracy, were analyzed. The optimal cut-off values of ADCmean from the hot spot ROI and parameters derived from the histogram analysis of DWI were </w:t>
      </w:r>
      <w:r>
        <w:rPr>
          <w:rFonts w:ascii="Book Antiqua" w:hAnsi="Book Antiqua" w:eastAsia="Book Antiqua" w:cs="Book Antiqua"/>
          <w:color w:val="000000"/>
          <w:shd w:val="clear" w:color="auto" w:fill="FFFFFF"/>
        </w:rPr>
        <w:t xml:space="preserve">determined </w:t>
      </w:r>
      <w:r>
        <w:rPr>
          <w:rFonts w:ascii="Book Antiqua" w:hAnsi="Book Antiqua" w:eastAsia="Book Antiqua" w:cs="Book Antiqua"/>
          <w:i/>
          <w:iCs/>
          <w:color w:val="000000"/>
          <w:shd w:val="clear" w:color="auto" w:fill="FFFFFF"/>
        </w:rPr>
        <w:t>via</w:t>
      </w:r>
      <w:r>
        <w:rPr>
          <w:rFonts w:ascii="Book Antiqua" w:hAnsi="Book Antiqua" w:eastAsia="Book Antiqua" w:cs="Book Antiqua"/>
          <w:color w:val="000000"/>
          <w:shd w:val="clear" w:color="auto" w:fill="FFFFFF"/>
        </w:rPr>
        <w:t xml:space="preserve"> the Youden index, while differences in the AUC were analyzed according to the method described by DeLong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[30]</w:t>
      </w:r>
      <w:r>
        <w:rPr>
          <w:rFonts w:ascii="Book Antiqua" w:hAnsi="Book Antiqua" w:eastAsia="Book Antiqua" w:cs="Book Antiqua"/>
          <w:color w:val="000000"/>
        </w:rPr>
        <w:t xml:space="preserve">. Furthermore, the diagnostic odd ratio (DOR) </w:t>
      </w:r>
      <w:r>
        <w:rPr>
          <w:rFonts w:ascii="Book Antiqua" w:hAnsi="Book Antiqua" w:eastAsia="Book Antiqua" w:cs="Book Antiqua"/>
          <w:color w:val="000000"/>
          <w:shd w:val="clear" w:color="auto" w:fill="FFFFFF"/>
        </w:rPr>
        <w:t>was designed to provide an additional measure of the performance of our potentially useful biomarkers to predict treatment response in LARC.</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Finally, the intraobserver variability and interobserver variability were assessed using the intraclass correlation coefficient (ICC). For the agreement analysis, the outcomes were interpreted as follows, in accordance with Cicchetti (1994): 0.2 or less, poor agreement; 0.21–0.40, fair agreement; 0.41–0.60, moderate agreement; 0.61–0.74, good agreement; and 0.75–1.00, excellent agreement</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Statistical analyses were performed using SPSS v. 26.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was considered statistically significant.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RESULTS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Among the 58 patients that were originally included in this study, 10 had severe imaging artifacts. Thus, our final sample included 48 patients whose clinical and pathological characteristics are described in Table 2.</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median values and IQRs for the ROI ADCmean values and parameters derived from the histogram analysis of DWI are described in Table 3. Accordingly, post-nCRT kurtosis, as well as post-nCRT skewness, were significantly lower in R than in non-R (both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respectively). Furthermore, our results showed significant differences in the relative changes of kurtosis (∆%kurtosis) between R and non-R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with the largest loss of kurtosis in R. Additionally, median ∆skewness displayed lower values in R than in non-R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We also found that patients with a favorable response (R) had higher post-nCRT ADC10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values than did non-R (</w:t>
      </w:r>
      <w:r>
        <w:rPr>
          <w:rFonts w:ascii="Book Antiqua" w:hAnsi="Book Antiqua" w:eastAsia="Book Antiqua" w:cs="Book Antiqua"/>
          <w:i/>
          <w:iCs/>
          <w:color w:val="000000"/>
        </w:rPr>
        <w:t>P</w:t>
      </w:r>
      <w:r>
        <w:rPr>
          <w:rFonts w:ascii="Book Antiqua" w:hAnsi="Book Antiqua" w:eastAsia="Book Antiqua" w:cs="Book Antiqua"/>
          <w:color w:val="000000"/>
        </w:rPr>
        <w:t xml:space="preserve"> = 0.036). Correspondingly, the median values of ∆%ADC10</w:t>
      </w:r>
      <w:r>
        <w:rPr>
          <w:rFonts w:ascii="Book Antiqua" w:hAnsi="Book Antiqua" w:eastAsia="Book Antiqua" w:cs="Book Antiqua"/>
          <w:color w:val="000000"/>
          <w:vertAlign w:val="superscript"/>
        </w:rPr>
        <w:t>th</w:t>
      </w:r>
      <w:r>
        <w:rPr>
          <w:rFonts w:ascii="Book Antiqua" w:hAnsi="Book Antiqua" w:eastAsia="Book Antiqua" w:cs="Book Antiqua"/>
          <w:color w:val="000000"/>
        </w:rPr>
        <w:t>, ∆%ADCmean,</w:t>
      </w:r>
      <w:r>
        <w:rPr>
          <w:rFonts w:ascii="Book Antiqua" w:hAnsi="Book Antiqua" w:eastAsia="Book Antiqua" w:cs="Book Antiqua"/>
          <w:color w:val="000000"/>
          <w:vertAlign w:val="subscript"/>
        </w:rPr>
        <w:t xml:space="preserve"> </w:t>
      </w:r>
      <w:r>
        <w:rPr>
          <w:rFonts w:ascii="Book Antiqua" w:hAnsi="Book Antiqua" w:eastAsia="Book Antiqua" w:cs="Book Antiqua"/>
          <w:color w:val="000000"/>
        </w:rPr>
        <w:t>and ROI ∆%ADCmean were also higher in R than in non-R</w:t>
      </w:r>
      <w:r>
        <w:rPr>
          <w:rFonts w:ascii="Book Antiqua" w:hAnsi="Book Antiqua" w:eastAsia="Book Antiqua" w:cs="Book Antiqua"/>
          <w:b/>
          <w:bCs/>
          <w:color w:val="000000"/>
        </w:rPr>
        <w:t xml:space="preserve">, </w:t>
      </w:r>
      <w:r>
        <w:rPr>
          <w:rFonts w:ascii="Book Antiqua" w:hAnsi="Book Antiqua" w:eastAsia="Book Antiqua" w:cs="Book Antiqua"/>
          <w:color w:val="000000"/>
        </w:rPr>
        <w:t>(</w:t>
      </w:r>
      <w:r>
        <w:rPr>
          <w:rFonts w:ascii="Book Antiqua" w:hAnsi="Book Antiqua" w:eastAsia="Book Antiqua" w:cs="Book Antiqua"/>
          <w:i/>
          <w:iCs/>
          <w:color w:val="000000"/>
        </w:rPr>
        <w:t>P</w:t>
      </w:r>
      <w:r>
        <w:rPr>
          <w:rFonts w:ascii="Book Antiqua" w:hAnsi="Book Antiqua" w:eastAsia="Book Antiqua" w:cs="Book Antiqua"/>
          <w:color w:val="000000"/>
        </w:rPr>
        <w:t xml:space="preserve"> = 0.020, </w:t>
      </w:r>
      <w:r>
        <w:rPr>
          <w:rFonts w:ascii="Book Antiqua" w:hAnsi="Book Antiqua" w:eastAsia="Book Antiqua" w:cs="Book Antiqua"/>
          <w:i/>
          <w:iCs/>
          <w:color w:val="000000"/>
        </w:rPr>
        <w:t>P</w:t>
      </w:r>
      <w:r>
        <w:rPr>
          <w:rFonts w:ascii="Book Antiqua" w:hAnsi="Book Antiqua" w:eastAsia="Book Antiqua" w:cs="Book Antiqua"/>
          <w:color w:val="000000"/>
        </w:rPr>
        <w:t xml:space="preserve"> = 0.032 and </w:t>
      </w:r>
      <w:r>
        <w:rPr>
          <w:rFonts w:ascii="Book Antiqua" w:hAnsi="Book Antiqua" w:eastAsia="Book Antiqua" w:cs="Book Antiqua"/>
          <w:i/>
          <w:iCs/>
          <w:color w:val="000000"/>
        </w:rPr>
        <w:t>P</w:t>
      </w:r>
      <w:r>
        <w:rPr>
          <w:rFonts w:ascii="Book Antiqua" w:hAnsi="Book Antiqua" w:eastAsia="Book Antiqua" w:cs="Book Antiqua"/>
          <w:color w:val="000000"/>
        </w:rPr>
        <w:t xml:space="preserve"> = 0.020, respectively).</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Receiver operating characteristics of those parameters that exhibited significant differences in the MWU test are reported in Table 4. The highest AUC values for predicting the treatment response in LARC were demonstrated by ∆%kurtosis, post-nCRT kurtosis, ∆skewness and post-nCRT skewness (AUCs = 0.991, 0.985, 0.885, and 0.815, respectively). Meanwhile, the lowest diagnostic accuracy was observed in post-nCRT ADC10</w:t>
      </w:r>
      <w:r>
        <w:rPr>
          <w:rFonts w:ascii="Book Antiqua" w:hAnsi="Book Antiqua" w:eastAsia="Book Antiqua" w:cs="Book Antiqua"/>
          <w:color w:val="000000"/>
          <w:vertAlign w:val="superscript"/>
        </w:rPr>
        <w:t xml:space="preserve">th </w:t>
      </w:r>
      <w:r>
        <w:rPr>
          <w:rFonts w:ascii="Book Antiqua" w:hAnsi="Book Antiqua" w:eastAsia="Book Antiqua" w:cs="Book Antiqua"/>
          <w:color w:val="000000"/>
        </w:rPr>
        <w:t>(AUC = 0.681), ∆%ADCmean (AUC = 0.686), ∆%ADC10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(AUC = 0.589) and ROI ∆%ADCmean (AUC = 0.583).</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ROC curves for ∆%kurtosis, post-nCRT kurtosis, ∆skewness, and post-nCRT skewness are displayed in Figure 3, while the comparison of AUC values between all of our potentially useful biomarkers for predicting the treatment response in LARC are presented in </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upplementary Table 1.</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It is important to mention that according to the DeLong analysis, no significant differences were found in the diagnostic accuracy of ∆%kurtosis and post-nCRT kurtosis. As well, no differences were demonstrated between ∆skewness and post-nCRT skewness. However, the latter two parameters had lower accuracy than kurtosis-derivate metrics.</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Finally, to verify the diagnostic accuracy of all metrics reported in Table 4, we calculated DORs. The DOR of a test is the ratio of the odds of positivity if a patient has a disease relative to the odds of positivity when a patient does not have a disease. The value of DOR ranges from 0 to infinity, with higher values indicating better discriminatory test performance</w:t>
      </w:r>
      <w:r>
        <w:rPr>
          <w:rFonts w:ascii="Book Antiqua" w:hAnsi="Book Antiqua" w:eastAsia="Book Antiqua" w:cs="Book Antiqua"/>
          <w:color w:val="000000"/>
          <w:vertAlign w:val="superscript"/>
        </w:rPr>
        <w:t>[32,33]</w:t>
      </w:r>
      <w:r>
        <w:rPr>
          <w:rFonts w:ascii="Book Antiqua" w:hAnsi="Book Antiqua" w:eastAsia="Book Antiqua" w:cs="Book Antiqua"/>
          <w:color w:val="000000"/>
        </w:rPr>
        <w:t>. As demonstrated in Table 5, ∆%kurtosis and post-nCRT kurtosis had the highest power of discrimination for treatment response by using DORs (approximately 376), followed by ∆skewness (192.2) and post-nCRT skewness (168.6). Meanwhile, the lowest power of discrimination was observed in post-CRT ADC10</w:t>
      </w:r>
      <w:r>
        <w:rPr>
          <w:rFonts w:ascii="Book Antiqua" w:hAnsi="Book Antiqua" w:eastAsia="Book Antiqua" w:cs="Book Antiqua"/>
          <w:color w:val="000000"/>
          <w:vertAlign w:val="superscript"/>
        </w:rPr>
        <w:t xml:space="preserve">th </w:t>
      </w:r>
      <w:r>
        <w:rPr>
          <w:rFonts w:ascii="Book Antiqua" w:hAnsi="Book Antiqua" w:eastAsia="Book Antiqua" w:cs="Book Antiqua"/>
          <w:color w:val="000000"/>
        </w:rPr>
        <w:t>(5.48), ∆%ADCmean (4.26), ∆%ADC10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(3.65), and ROI ∆%ADCmean (3.47).</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Regarding interobserver and intraobserver variability, the parameters derived from the histogram analysis of DWI, as well as the ADC values from the hotspot ROI, had an excellent agreement. The ICC measuring intraobserver variability ranges from 0.777-0.931 (Table 6), while the ICC measuring intraobserver variability ranges from 0.889-0.993 (Table 7).</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rPr>
      </w:pPr>
      <w:r>
        <w:rPr>
          <w:rFonts w:ascii="Book Antiqua" w:hAnsi="Book Antiqua" w:eastAsia="Book Antiqua" w:cs="Book Antiqua"/>
          <w:color w:val="000000"/>
          <w:shd w:val="clear" w:color="auto" w:fill="FCFCFC"/>
        </w:rPr>
        <w:t>Heterogeneity of malignant lesions is a feature that can be determined by</w:t>
      </w:r>
      <w:r>
        <w:rPr>
          <w:rFonts w:ascii="Book Antiqua" w:hAnsi="Book Antiqua" w:eastAsia="Book Antiqua" w:cs="Book Antiqua"/>
          <w:color w:val="000000"/>
        </w:rPr>
        <w:t xml:space="preserve"> characterizing changes in the histogram analysis of ADC values, which is recognized as a promising tool in cancer research when discerning between benign and malignant tumors or to better characterize the response to anti-cancer treatments</w:t>
      </w:r>
      <w:r>
        <w:rPr>
          <w:rFonts w:ascii="Book Antiqua" w:hAnsi="Book Antiqua" w:eastAsia="Book Antiqua" w:cs="Book Antiqua"/>
          <w:color w:val="000000"/>
          <w:vertAlign w:val="superscript"/>
        </w:rPr>
        <w:t>[34-38]</w:t>
      </w:r>
      <w:r>
        <w:rPr>
          <w:rFonts w:ascii="Book Antiqua" w:hAnsi="Book Antiqua" w:eastAsia="Book Antiqua" w:cs="Book Antiqua"/>
          <w:color w:val="000000"/>
        </w:rPr>
        <w:t xml:space="preserve">.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This study focused on the ADCmean from the hot-spot ROI and a series of parameters corresponding to certain points on the ADC histogram using DWI, which have been proposed to predict treatment response in patients with rectal cancer</w:t>
      </w:r>
      <w:r>
        <w:rPr>
          <w:rFonts w:ascii="Book Antiqua" w:hAnsi="Book Antiqua" w:eastAsia="Book Antiqua" w:cs="Book Antiqua"/>
          <w:color w:val="000000"/>
          <w:shd w:val="clear" w:color="auto" w:fill="FFFFFF"/>
          <w:vertAlign w:val="superscript"/>
        </w:rPr>
        <w:t>[39,40]</w:t>
      </w:r>
      <w:r>
        <w:rPr>
          <w:rFonts w:ascii="Book Antiqua" w:hAnsi="Book Antiqua" w:eastAsia="Book Antiqua" w:cs="Book Antiqua"/>
          <w:color w:val="000000"/>
          <w:shd w:val="clear" w:color="auto" w:fill="FFFFFF"/>
        </w:rPr>
        <w:t xml:space="preserve">. As our results demonstrated, the parameters that changed significantly in response to nCRT were </w:t>
      </w:r>
      <w:r>
        <w:rPr>
          <w:rFonts w:ascii="Book Antiqua" w:hAnsi="Book Antiqua" w:eastAsia="Book Antiqua" w:cs="Book Antiqua"/>
          <w:color w:val="000000"/>
        </w:rPr>
        <w:t>∆%kurtosis, post-nCRT kurtosis, ∆skewness, post-nCRT skewness, post-nCRT ADC10</w:t>
      </w:r>
      <w:r>
        <w:rPr>
          <w:rFonts w:ascii="Book Antiqua" w:hAnsi="Book Antiqua" w:eastAsia="Book Antiqua" w:cs="Book Antiqua"/>
          <w:color w:val="000000"/>
          <w:vertAlign w:val="superscript"/>
        </w:rPr>
        <w:t>th</w:t>
      </w:r>
      <w:r>
        <w:rPr>
          <w:rFonts w:ascii="Book Antiqua" w:hAnsi="Book Antiqua" w:eastAsia="Book Antiqua" w:cs="Book Antiqua"/>
          <w:color w:val="000000"/>
        </w:rPr>
        <w:t>, ∆%ADCmean, ∆%ADC10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and ROI ∆%ADCmean. However, the highest diagnostic accuracy was obtained for ∆%kurtosis, </w:t>
      </w:r>
      <w:r>
        <w:rPr>
          <w:rFonts w:ascii="Book Antiqua" w:hAnsi="Book Antiqua" w:eastAsia="Book Antiqua" w:cs="Book Antiqua"/>
          <w:color w:val="000000"/>
        </w:rPr>
        <w:t xml:space="preserve">post-nCRT </w:t>
      </w:r>
      <w:r>
        <w:rPr>
          <w:rFonts w:ascii="Book Antiqua" w:hAnsi="Book Antiqua" w:eastAsia="Book Antiqua" w:cs="Book Antiqua"/>
          <w:color w:val="000000"/>
          <w:shd w:val="clear" w:color="auto" w:fill="FFFFFF"/>
        </w:rPr>
        <w:t xml:space="preserve">kurtosis, </w:t>
      </w:r>
      <w:r>
        <w:rPr>
          <w:rFonts w:ascii="Book Antiqua" w:hAnsi="Book Antiqua" w:eastAsia="Book Antiqua" w:cs="Book Antiqua"/>
          <w:color w:val="000000"/>
        </w:rPr>
        <w:t xml:space="preserve">post-nCRT </w:t>
      </w:r>
      <w:r>
        <w:rPr>
          <w:rFonts w:ascii="Book Antiqua" w:hAnsi="Book Antiqua" w:eastAsia="Book Antiqua" w:cs="Book Antiqua"/>
          <w:color w:val="000000"/>
          <w:shd w:val="clear" w:color="auto" w:fill="FFFFFF"/>
        </w:rPr>
        <w:t>skewness, and ∆skewness, suggesting that these metrics might be useful when selecting responders (TRG 0) for an organ preservation approach with either ‘watch-and-wait’ or local excision</w:t>
      </w:r>
      <w:r>
        <w:rPr>
          <w:rFonts w:ascii="Book Antiqua" w:hAnsi="Book Antiqua" w:eastAsia="Book Antiqua" w:cs="Book Antiqua"/>
          <w:color w:val="000000"/>
          <w:shd w:val="clear" w:color="auto" w:fill="FFFFFF"/>
          <w:vertAlign w:val="superscript"/>
        </w:rPr>
        <w:t>[39,40]</w:t>
      </w:r>
      <w:r>
        <w:rPr>
          <w:rFonts w:ascii="Book Antiqua" w:hAnsi="Book Antiqua" w:eastAsia="Book Antiqua" w:cs="Book Antiqua"/>
          <w:color w:val="000000"/>
          <w:shd w:val="clear" w:color="auto" w:fill="FFFFFF"/>
        </w:rPr>
        <w:t xml:space="preserve">.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results derivate from parameters with the highest diagnostic accuracy in predicting treatment response to nCRT in the current work are reviewed below.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First, we demonstrated that both post-nCRT kurtosis and post-nCRT skewness were significantly lower in R than in non-R. The overall trends from the histogram studies have shown that, following treatment, the histogram analysis of </w:t>
      </w:r>
      <w:r>
        <w:rPr>
          <w:rFonts w:ascii="Book Antiqua" w:hAnsi="Book Antiqua" w:eastAsia="Book Antiqua" w:cs="Book Antiqua"/>
          <w:i/>
          <w:iCs/>
          <w:color w:val="000000"/>
        </w:rPr>
        <w:t>DWI</w:t>
      </w:r>
      <w:r>
        <w:rPr>
          <w:rFonts w:ascii="Book Antiqua" w:hAnsi="Book Antiqua" w:eastAsia="Book Antiqua" w:cs="Book Antiqua"/>
          <w:color w:val="000000"/>
        </w:rPr>
        <w:t xml:space="preserve"> and diffusion kurtosis imaging (DKI</w:t>
      </w:r>
      <w:r>
        <w:rPr>
          <w:rFonts w:ascii="Book Antiqua" w:hAnsi="Book Antiqua" w:eastAsia="Book Antiqua" w:cs="Book Antiqua"/>
          <w:i/>
          <w:iCs/>
          <w:color w:val="000000"/>
        </w:rPr>
        <w:t>)</w:t>
      </w:r>
      <w:r>
        <w:rPr>
          <w:rFonts w:ascii="Book Antiqua" w:hAnsi="Book Antiqua" w:eastAsia="Book Antiqua" w:cs="Book Antiqua"/>
          <w:color w:val="000000"/>
        </w:rPr>
        <w:t xml:space="preserve"> shifted to the right upon decreased kurtosis and skewness in rectal cancer</w:t>
      </w:r>
      <w:r>
        <w:rPr>
          <w:rFonts w:ascii="Book Antiqua" w:hAnsi="Book Antiqua" w:eastAsia="Book Antiqua" w:cs="Book Antiqua"/>
          <w:color w:val="000000"/>
          <w:vertAlign w:val="superscript"/>
        </w:rPr>
        <w:t>[39-43]</w:t>
      </w:r>
      <w:r>
        <w:rPr>
          <w:rFonts w:ascii="Book Antiqua" w:hAnsi="Book Antiqua" w:eastAsia="Book Antiqua" w:cs="Book Antiqua"/>
          <w:color w:val="000000"/>
        </w:rPr>
        <w:t xml:space="preserve">. For example, in 2017, Hu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[39]</w:t>
      </w:r>
      <w:r>
        <w:rPr>
          <w:rFonts w:ascii="Book Antiqua" w:hAnsi="Book Antiqua" w:eastAsia="Book Antiqua" w:cs="Book Antiqua"/>
          <w:color w:val="000000"/>
        </w:rPr>
        <w:t xml:space="preserve"> reported that the post-treatment mean kurtosis derived from DKI showed reduced values in R when compared with non-R patients, whereas </w:t>
      </w:r>
      <w:r>
        <w:rPr>
          <w:rFonts w:ascii="Book Antiqua" w:hAnsi="Book Antiqua" w:eastAsia="Book Antiqua" w:cs="Book Antiqua"/>
          <w:color w:val="000000"/>
          <w:u w:color="0000FF"/>
        </w:rPr>
        <w:t>Enkhbaatar</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(2019) documented that the histogram of R presented negative changes in skewness following a loss of this parameter after therapy.</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In the same way, kurtosis from R had greater reductions than from non-R, which indicates Gaussian or flatter distributions in patients with a complete response to the therapy. In biological tissues, it is believed that the non-Gaussian behavior (more precisely, a platykurtic curve) of water might occur because of a heterogeneous environment characterized by multiple compartments, organelles, and semipermeable membranes</w:t>
      </w:r>
      <w:r>
        <w:rPr>
          <w:rFonts w:ascii="Book Antiqua" w:hAnsi="Book Antiqua" w:eastAsia="Book Antiqua" w:cs="Book Antiqua"/>
          <w:color w:val="000000"/>
          <w:vertAlign w:val="superscript"/>
        </w:rPr>
        <w:t>[44]</w:t>
      </w:r>
      <w:r>
        <w:rPr>
          <w:rFonts w:ascii="Book Antiqua" w:hAnsi="Book Antiqua" w:eastAsia="Book Antiqua" w:cs="Book Antiqua"/>
          <w:color w:val="000000"/>
        </w:rPr>
        <w:t xml:space="preserve">. Thus, when an important reduction in kurtosis is noticed, a higher displacement of water molecules in DWI is assumed.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Furthermore, as mentioned above, negative changes of skewness after nCRT were seen in R, while non-R exhibited positive changes in this parameter. Negatively skewed curves show the majority of scores above the mean, and positively skewed curves are just the opposite</w:t>
      </w:r>
      <w:r>
        <w:rPr>
          <w:rFonts w:ascii="Book Antiqua" w:hAnsi="Book Antiqua" w:eastAsia="Book Antiqua" w:cs="Book Antiqua"/>
          <w:color w:val="000000"/>
          <w:vertAlign w:val="superscript"/>
        </w:rPr>
        <w:t>[44]</w:t>
      </w:r>
      <w:r>
        <w:rPr>
          <w:rFonts w:ascii="Book Antiqua" w:hAnsi="Book Antiqua" w:eastAsia="Book Antiqua" w:cs="Book Antiqua"/>
          <w:color w:val="000000"/>
        </w:rPr>
        <w:t>. In physiology, the association between changes in skewness and responses to antineoplastic therapy have not been fleshed out, but a curve negatively skewed suggests a loss of cellular structure</w:t>
      </w:r>
      <w:r>
        <w:rPr>
          <w:rFonts w:ascii="Book Antiqua" w:hAnsi="Book Antiqua" w:eastAsia="Book Antiqua" w:cs="Book Antiqua"/>
          <w:color w:val="000000"/>
          <w:vertAlign w:val="superscript"/>
        </w:rPr>
        <w:t>[23]</w:t>
      </w:r>
      <w:r>
        <w:rPr>
          <w:rFonts w:ascii="Book Antiqua" w:hAnsi="Book Antiqua" w:eastAsia="Book Antiqua" w:cs="Book Antiqua"/>
          <w:color w:val="000000"/>
        </w:rPr>
        <w:t>. Therefore, favorable treatment response is suspected.</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Our MWU analysis also found differences between R and non-R across other parameters, such as ADC10</w:t>
      </w:r>
      <w:r>
        <w:rPr>
          <w:rFonts w:ascii="Book Antiqua" w:hAnsi="Book Antiqua" w:eastAsia="Book Antiqua" w:cs="Book Antiqua"/>
          <w:color w:val="000000"/>
          <w:vertAlign w:val="superscript"/>
        </w:rPr>
        <w:t>th</w:t>
      </w:r>
      <w:r>
        <w:rPr>
          <w:rFonts w:ascii="Book Antiqua" w:hAnsi="Book Antiqua" w:eastAsia="Book Antiqua" w:cs="Book Antiqua"/>
          <w:color w:val="000000"/>
        </w:rPr>
        <w:t>, ∆%ADC</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∆%ADCmean and ROI∆%ADCmean, as stated in our results section. </w:t>
      </w:r>
      <w:r>
        <w:rPr>
          <w:rFonts w:ascii="Book Antiqua" w:hAnsi="Book Antiqua" w:eastAsia="Book Antiqua" w:cs="Book Antiqua"/>
          <w:color w:val="000000"/>
          <w:shd w:val="clear" w:color="auto" w:fill="FFFFFF"/>
        </w:rPr>
        <w:t xml:space="preserve">However, both </w:t>
      </w:r>
      <w:r>
        <w:rPr>
          <w:rFonts w:ascii="Book Antiqua" w:hAnsi="Book Antiqua" w:eastAsia="Book Antiqua" w:cs="Book Antiqua"/>
          <w:color w:val="000000"/>
        </w:rPr>
        <w:t xml:space="preserve">the ROC curve analysis and the DOR calculation indicated that only ∆%kurtosis, post-nCRT kurtosis, ∆skewness, and post-nCRT skewness appear to predict a favorable response to the therapy, whereas the other metrics did not possess that predictive property. </w:t>
      </w:r>
    </w:p>
    <w:p>
      <w:pPr>
        <w:adjustRightInd w:val="0"/>
        <w:snapToGrid w:val="0"/>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Briefly, the Youden index calculation indicated that post-nCRT kurtosis, post-nCRT skewness, and ∆skewness values below 0.78 </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mm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/s, 1.59 </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mm</w:t>
      </w:r>
      <w:r>
        <w:rPr>
          <w:rFonts w:ascii="Book Antiqua" w:hAnsi="Book Antiqua" w:eastAsia="Book Antiqua" w:cs="Book Antiqua"/>
          <w:color w:val="000000"/>
          <w:vertAlign w:val="superscript"/>
        </w:rPr>
        <w:t>2</w:t>
      </w:r>
      <w:r>
        <w:rPr>
          <w:rFonts w:ascii="Book Antiqua" w:hAnsi="Book Antiqua" w:eastAsia="Book Antiqua" w:cs="Book Antiqua"/>
          <w:color w:val="000000"/>
        </w:rPr>
        <w:t>/s, and 0.16, respectively, might be significant indicators of the occurrence of pCR. Meanwhile, ∆% changes above 11.85% also indicated a positive treatment effect with high accuracy. It is important to remember that, according to the DeLong analysis, the kurtosis-related parameters exhibit a better diagnostic performance than do skewness-related parameters.</w:t>
      </w:r>
    </w:p>
    <w:p>
      <w:pPr>
        <w:adjustRightInd w:val="0"/>
        <w:snapToGrid w:val="0"/>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shd w:val="clear" w:color="auto" w:fill="FFFFFF"/>
        </w:rPr>
        <w:t>Aligned with this finding, numerous authors have documented that kurtosis is more directly correlated to the underlying structural, physiological, molecular, and metabolic changes that occur during tumor progression than skewness</w:t>
      </w:r>
      <w:r>
        <w:rPr>
          <w:rFonts w:ascii="Book Antiqua" w:hAnsi="Book Antiqua" w:eastAsia="Book Antiqua" w:cs="Book Antiqua"/>
          <w:color w:val="000000"/>
          <w:shd w:val="clear" w:color="auto" w:fill="FFFFFF"/>
          <w:vertAlign w:val="superscript"/>
        </w:rPr>
        <w:t>[45]</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This may be the reason why the kurtosis of ADC values has been used to indicate deviations from Gaussianity, even in the most challenging mathematical designs that predict the response to chemotherapy, such as radiomics analysis</w:t>
      </w:r>
      <w:r>
        <w:rPr>
          <w:rFonts w:ascii="Book Antiqua" w:hAnsi="Book Antiqua" w:eastAsia="Book Antiqua" w:cs="Book Antiqua"/>
          <w:color w:val="000000"/>
          <w:vertAlign w:val="superscript"/>
        </w:rPr>
        <w:t>[46-48]</w:t>
      </w:r>
      <w:r>
        <w:rPr>
          <w:rFonts w:ascii="Book Antiqua" w:hAnsi="Book Antiqua" w:eastAsia="Book Antiqua" w:cs="Book Antiqua"/>
          <w:color w:val="000000"/>
        </w:rPr>
        <w:t>.</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results obtained from the ROC curved are partially supported by the estimated DORs, which were approximately 376 for both ∆%kurtosis and post-nCRT kurtosis. This means that for the cut-off points of ∆%kurtosis and post-nCRT kurtosis calculated here, the odds for positivity among subjects with a non-pCR was 376 times higher than the odds for positivity among subjects with a pCR. In the same way, ∆skewness and post-nCRT skewness demonstrated respectable diagnostic performances with DOR values of 192.17 and 168.56, respectively</w:t>
      </w:r>
      <w:r>
        <w:rPr>
          <w:rFonts w:ascii="Book Antiqua" w:hAnsi="Book Antiqua" w:eastAsia="Book Antiqua" w:cs="Book Antiqua"/>
          <w:color w:val="000000"/>
          <w:shd w:val="clear" w:color="auto" w:fill="FFFFFF"/>
        </w:rPr>
        <w:t xml:space="preserve">. Although these values appear to be lower than DORs of </w:t>
      </w:r>
      <w:r>
        <w:rPr>
          <w:rFonts w:ascii="Book Antiqua" w:hAnsi="Book Antiqua" w:eastAsia="Book Antiqua" w:cs="Book Antiqua"/>
          <w:color w:val="000000"/>
        </w:rPr>
        <w:t>∆%kurtosis and post-nCRT kurtosis, the confidence intervals for these metrics clearly overlap, so we cannot conclude that the kurtosis-related parameters were statistically better than the skewness-related parameters using DOR.</w:t>
      </w:r>
    </w:p>
    <w:p>
      <w:pPr>
        <w:adjustRightInd w:val="0"/>
        <w:snapToGrid w:val="0"/>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Finally, this study confirm that ADC histogram analysis is a reproducible technique. Similarly, van Heeswijk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[49]</w:t>
      </w:r>
      <w:r>
        <w:rPr>
          <w:rFonts w:ascii="Book Antiqua" w:hAnsi="Book Antiqua" w:eastAsia="Book Antiqua" w:cs="Book Antiqua"/>
          <w:color w:val="000000"/>
        </w:rPr>
        <w:t xml:space="preserve"> demonstrated that histogram-derived parameters had good interobserver agreement, with ICC values ranging from 0.80-0.98. This result supports the method’s validity and suggests that it can be used in clinical practice. Furthermore, we utilized non-precise tumor delineation, which was quicker and produced comparable findings to those obtained by an expert radiologist's measurement, suggesting that this technique could be performed semiautomatically with an excellent interobserver agreement. This finding is very important when considering the implementation of histogram analysis in routine clinical practice.</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Our study had important limitations. First, this was a retrospective, single-center evaluation. We believe that the present study might serve as a foundation for larger prospective studies in the future. Second, we included only a small number of patients (</w:t>
      </w:r>
      <w:r>
        <w:rPr>
          <w:rFonts w:ascii="Book Antiqua" w:hAnsi="Book Antiqua" w:eastAsia="Book Antiqua" w:cs="Book Antiqua"/>
          <w:i/>
          <w:iCs/>
          <w:color w:val="000000"/>
        </w:rPr>
        <w:t>n</w:t>
      </w:r>
      <w:r>
        <w:rPr>
          <w:rFonts w:ascii="Book Antiqua" w:hAnsi="Book Antiqua" w:eastAsia="Book Antiqua" w:cs="Book Antiqua"/>
          <w:color w:val="000000"/>
        </w:rPr>
        <w:t xml:space="preserve"> = 48), while no validation group was included (both restricting the conception of a predictive model by using a multivariate logistic regression analysis). Third, the patient numbers among the different histopathologic TRGs were not well balanced. Only 18 patients (38%) achieved a histopathologic complete response, which may have introduced an element of statistical bias. However, these patients achieved a strict pCR, underlying the high degree of accuracy of our metrics. Fourth, the </w:t>
      </w:r>
      <w:r>
        <w:rPr>
          <w:rFonts w:ascii="Book Antiqua" w:hAnsi="Book Antiqua" w:eastAsia="Book Antiqua" w:cs="Book Antiqua"/>
          <w:color w:val="000000"/>
          <w:shd w:val="clear" w:color="auto" w:fill="FFFFFF"/>
        </w:rPr>
        <w:t>parameters obtained from the hotspot ROI were not conclusive enough to predict treatment response in the present study. This result is still in significant disagreement with our prior work where we demonstrated a high diagnostic accuracy of the ∆%ADCmean when distinguishing a pCR in rectal cancer by choosing a cutoff value of 55%</w:t>
      </w:r>
      <w:r>
        <w:rPr>
          <w:rFonts w:ascii="Book Antiqua" w:hAnsi="Book Antiqua" w:eastAsia="Book Antiqua" w:cs="Book Antiqua"/>
          <w:color w:val="000000"/>
          <w:shd w:val="clear" w:color="auto" w:fill="FFFFFF"/>
          <w:vertAlign w:val="superscript"/>
        </w:rPr>
        <w:t>[26]</w:t>
      </w:r>
      <w:r>
        <w:rPr>
          <w:rFonts w:ascii="Book Antiqua" w:hAnsi="Book Antiqua" w:eastAsia="Book Antiqua" w:cs="Book Antiqua"/>
          <w:color w:val="000000"/>
          <w:shd w:val="clear" w:color="auto" w:fill="FFFFFF"/>
        </w:rPr>
        <w:t>. Differences in research methods might explain this discrepancy, but we sustain that it is more reliable to use volumetric ROIs than one slice ROIs.</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In summary, although further studies are needed to address the limitations of the current work, we demonstrated the benefits of considering measures other than the ROI ADCmean to evaluate the response to therapy in patients with LARC. Moreover, kurtosis and skewness have been selected by many radiomics studies of rectal cancer, emphasizing the importance of first-order statistics features for the assessment of therapy response</w:t>
      </w:r>
      <w:r>
        <w:rPr>
          <w:rFonts w:ascii="Book Antiqua" w:hAnsi="Book Antiqua" w:eastAsia="Book Antiqua" w:cs="Book Antiqua"/>
          <w:color w:val="000000"/>
          <w:vertAlign w:val="superscript"/>
        </w:rPr>
        <w:t>[47,50]</w:t>
      </w:r>
      <w:r>
        <w:rPr>
          <w:rFonts w:ascii="Book Antiqua" w:hAnsi="Book Antiqua" w:eastAsia="Book Antiqua" w:cs="Book Antiqua"/>
          <w:color w:val="000000"/>
        </w:rPr>
        <w:t>. Our results support the importance of these parameters, but they also helped us to standardize both the extraction and analysis of the data collected, which is a crucial step when developing and validating our own multiparametric model to predict treatment outcomes.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Based on the DWI technique, some whole-lesion histogram parameters could provide valuable information when diagnosing rectal cancer. In particular, kurtosis and skewness might be a useful indicator in the preoperative evaluation of a pCR in rectal cancer. Understanding skewness and kurtosis of the ADC parameters is the simplest way to recognize the deviation of Gaussianity, which indicates tumor heterogeneity. Moreover, we demonstrated </w:t>
      </w:r>
      <w:r>
        <w:rPr>
          <w:rFonts w:ascii="Book Antiqua" w:hAnsi="Book Antiqua" w:eastAsia="Book Antiqua" w:cs="Book Antiqua"/>
          <w:color w:val="000000"/>
          <w:shd w:val="clear" w:color="auto" w:fill="FCFCFC"/>
        </w:rPr>
        <w:t>high interobserver reliability for measurements of all of the histogram-derived parameters analyzed in the current work</w:t>
      </w:r>
      <w:r>
        <w:rPr>
          <w:rFonts w:ascii="Book Antiqua" w:hAnsi="Book Antiqua" w:eastAsia="Book Antiqua" w:cs="Book Antiqua"/>
          <w:color w:val="000000"/>
        </w:rPr>
        <w:t>, addressing the challenges associated with replication that are well-known among more complex predictive models. Further long-term studies are needed to determine the ultimate clinical utility of our results.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background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Studies have shown that successful treatment of many tumors can be detected using </w:t>
      </w:r>
      <w:r>
        <w:rPr>
          <w:rFonts w:ascii="Book Antiqua" w:hAnsi="Book Antiqua" w:eastAsia="Book Antiqua" w:cs="Book Antiqua"/>
          <w:color w:val="000000"/>
          <w:shd w:val="clear" w:color="auto" w:fill="FFFFFF"/>
        </w:rPr>
        <w:t xml:space="preserve">diffusion-weighted </w:t>
      </w:r>
      <w:r>
        <w:rPr>
          <w:rFonts w:ascii="Book Antiqua" w:hAnsi="Book Antiqua" w:eastAsia="Book Antiqua" w:cs="Book Antiqua"/>
          <w:color w:val="000000"/>
        </w:rPr>
        <w:t>magnetic resonance imaging (MRI) as an increase in the apparent diffusion coefficient (ADC). However, findings from rectal cancer have been limited. Therefore, the criteria used for tumor staging and surveillance are largely based on anatomic criteria at this time. Broadly, whole lesion histogram analysis of ADC</w:t>
      </w:r>
      <w:r>
        <w:rPr>
          <w:rFonts w:ascii="Book Antiqua" w:hAnsi="Book Antiqua" w:eastAsia="Book Antiqua" w:cs="Book Antiqua"/>
          <w:b/>
          <w:bCs/>
          <w:color w:val="000000"/>
        </w:rPr>
        <w:t xml:space="preserve"> </w:t>
      </w:r>
      <w:r>
        <w:rPr>
          <w:rFonts w:ascii="Book Antiqua" w:hAnsi="Book Antiqua" w:eastAsia="Book Antiqua" w:cs="Book Antiqua"/>
          <w:color w:val="000000"/>
        </w:rPr>
        <w:t>aims to fill this gap, extracting and analyzing the higher quantitative data with the aim of more accurate, tumor-specific evaluation and characterization.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motivation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ADC histogram parameters reflect the distribution and variation of all voxels within the entire lesion, which reduce the subjectivity of region</w:t>
      </w:r>
      <w:r>
        <w:rPr>
          <w:rFonts w:ascii="Book Antiqua" w:hAnsi="Book Antiqua" w:eastAsia="Book Antiqua" w:cs="Book Antiqua"/>
          <w:color w:val="000000"/>
          <w:vertAlign w:val="subscript"/>
        </w:rPr>
        <w:t> </w:t>
      </w:r>
      <w:r>
        <w:rPr>
          <w:rFonts w:ascii="Book Antiqua" w:hAnsi="Book Antiqua" w:eastAsia="Book Antiqua" w:cs="Book Antiqua"/>
          <w:color w:val="000000"/>
        </w:rPr>
        <w:t xml:space="preserve">of interest (ROI) placement and improves repeatability in the quantitative ADC analysis. Previous studies have applied volumetric ADC histogram analysis to predict treatment response of </w:t>
      </w:r>
      <w:r>
        <w:rPr>
          <w:rFonts w:ascii="Book Antiqua" w:hAnsi="Book Antiqua" w:eastAsia="Book Antiqua" w:cs="Book Antiqua"/>
          <w:color w:val="000000"/>
          <w:u w:color="0000FF"/>
        </w:rPr>
        <w:t>squamous carcinoma</w:t>
      </w:r>
      <w:r>
        <w:rPr>
          <w:rFonts w:ascii="Book Antiqua" w:hAnsi="Book Antiqua" w:eastAsia="Book Antiqua" w:cs="Book Antiqua"/>
          <w:color w:val="000000"/>
        </w:rPr>
        <w:t>, breast cancers, and ovarian cancers. No ADC histogram study thus far has focused on locally advanced rectal cancer (LARC).</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objectives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We aim to evaluate the effectiveness of whole lesion histogram analysis of ADC in the prediction to neoadjuvant chemoradiation therapy (nCRT) response in patients with LARC.</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methods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This was a retrospective study. We collected data of 48 consecutive patients with histologically confirmed LARC. All patients underwent a pre-treatment MRI for primary tumor staging and a second restaging MRI for response evaluation. The sample was distributed as follows: responders (R), </w:t>
      </w:r>
      <w:r>
        <w:rPr>
          <w:rFonts w:ascii="Book Antiqua" w:hAnsi="Book Antiqua" w:eastAsia="Book Antiqua" w:cs="Book Antiqua"/>
          <w:i/>
          <w:iCs/>
          <w:color w:val="000000"/>
        </w:rPr>
        <w:t>n</w:t>
      </w:r>
      <w:r>
        <w:rPr>
          <w:rFonts w:hint="eastAsia" w:ascii="MS Mincho" w:hAnsi="MS Mincho" w:eastAsia="MS Mincho" w:cs="MS Mincho"/>
          <w:color w:val="000000"/>
        </w:rPr>
        <w:t> </w:t>
      </w:r>
      <w:r>
        <w:rPr>
          <w:rFonts w:ascii="Book Antiqua" w:hAnsi="Book Antiqua" w:eastAsia="Book Antiqua" w:cs="Book Antiqua"/>
          <w:color w:val="000000"/>
        </w:rPr>
        <w:t>=</w:t>
      </w:r>
      <w:r>
        <w:rPr>
          <w:rFonts w:hint="eastAsia" w:ascii="MS Mincho" w:hAnsi="MS Mincho" w:eastAsia="MS Mincho" w:cs="MS Mincho"/>
          <w:color w:val="000000"/>
        </w:rPr>
        <w:t> </w:t>
      </w:r>
      <w:r>
        <w:rPr>
          <w:rFonts w:ascii="Book Antiqua" w:hAnsi="Book Antiqua" w:eastAsia="Book Antiqua" w:cs="Book Antiqua"/>
          <w:color w:val="000000"/>
        </w:rPr>
        <w:t xml:space="preserve">18; and non-responders (non-R), </w:t>
      </w:r>
      <w:r>
        <w:rPr>
          <w:rFonts w:ascii="Book Antiqua" w:hAnsi="Book Antiqua" w:eastAsia="Book Antiqua" w:cs="Book Antiqua"/>
          <w:i/>
          <w:iCs/>
          <w:color w:val="000000"/>
        </w:rPr>
        <w:t>n</w:t>
      </w:r>
      <w:r>
        <w:rPr>
          <w:rFonts w:hint="eastAsia" w:ascii="MS Mincho" w:hAnsi="MS Mincho" w:eastAsia="MS Mincho" w:cs="MS Mincho"/>
          <w:color w:val="000000"/>
        </w:rPr>
        <w:t> </w:t>
      </w:r>
      <w:r>
        <w:rPr>
          <w:rFonts w:ascii="Book Antiqua" w:hAnsi="Book Antiqua" w:eastAsia="Book Antiqua" w:cs="Book Antiqua"/>
          <w:color w:val="000000"/>
        </w:rPr>
        <w:t>=</w:t>
      </w:r>
      <w:r>
        <w:rPr>
          <w:rFonts w:hint="eastAsia" w:ascii="MS Mincho" w:hAnsi="MS Mincho" w:eastAsia="MS Mincho" w:cs="MS Mincho"/>
          <w:color w:val="000000"/>
        </w:rPr>
        <w:t> </w:t>
      </w:r>
      <w:r>
        <w:rPr>
          <w:rFonts w:ascii="Book Antiqua" w:hAnsi="Book Antiqua" w:eastAsia="Book Antiqua" w:cs="Book Antiqua"/>
          <w:color w:val="000000"/>
        </w:rPr>
        <w:t>30. Eight parameters derived from the histogram analysis of ADC, as well as the ADCmean from the hot spot ROI, were obtained and compared between R and non-R. The diagnostic accuracy in the prediction of treatment response of all variables included in the present study was calculated as well.</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results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Post-nCRT kurtosis, ∆%kurtosis, post-nCRT skewness an ∆skewness exhibited the highest diagnostic performance in predicting a good response to nCRT.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conclusions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results of our study support that histogram-parameters derived from ADC values can be used to stratify good responders into studies exploring individualized, less extensive treatment regimens, such as the omission of radiotherapy and less extensive surgery, or even deferral of surgery.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perspectives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We need to expand the sample size to confirm further the diagnostic accuracy of kurtosis and skewness. In addition, the long-term outcome of this analysis should be a radiomic model for predict treatment response in rectal cancer.</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Chen M</w:t>
      </w:r>
      <w:r>
        <w:rPr>
          <w:rFonts w:ascii="Book Antiqua" w:hAnsi="Book Antiqua" w:eastAsia="Book Antiqua" w:cs="Book Antiqua"/>
          <w:color w:val="000000"/>
        </w:rPr>
        <w:t xml:space="preserve">, Chen LZ, Xu L, Zhang JS, Song X. Neoadjuvant chemoradiation for locally advanced rectal cancer: a systematic review of the literature with network meta-analysis. </w:t>
      </w:r>
      <w:r>
        <w:rPr>
          <w:rFonts w:ascii="Book Antiqua" w:hAnsi="Book Antiqua" w:eastAsia="Book Antiqua" w:cs="Book Antiqua"/>
          <w:i/>
          <w:iCs/>
          <w:color w:val="000000"/>
        </w:rPr>
        <w:t>Cancer Manag Res</w:t>
      </w:r>
      <w:r>
        <w:rPr>
          <w:rFonts w:ascii="Book Antiqua" w:hAnsi="Book Antiqua" w:eastAsia="Book Antiqua" w:cs="Book Antiqua"/>
          <w:color w:val="000000"/>
        </w:rPr>
        <w:t xml:space="preserve"> 2019; </w:t>
      </w:r>
      <w:r>
        <w:rPr>
          <w:rFonts w:ascii="Book Antiqua" w:hAnsi="Book Antiqua" w:eastAsia="Book Antiqua" w:cs="Book Antiqua"/>
          <w:b/>
          <w:bCs/>
          <w:color w:val="000000"/>
        </w:rPr>
        <w:t>11</w:t>
      </w:r>
      <w:r>
        <w:rPr>
          <w:rFonts w:ascii="Book Antiqua" w:hAnsi="Book Antiqua" w:eastAsia="Book Antiqua" w:cs="Book Antiqua"/>
          <w:color w:val="000000"/>
        </w:rPr>
        <w:t>: 741-758 [PMID: 30697067 DOI: 10.2147/CMAR.S189445]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Ryan ÉJ</w:t>
      </w:r>
      <w:r>
        <w:rPr>
          <w:rFonts w:ascii="Book Antiqua" w:hAnsi="Book Antiqua" w:eastAsia="Book Antiqua" w:cs="Book Antiqua"/>
          <w:color w:val="000000"/>
        </w:rPr>
        <w:t xml:space="preserve">, Creavin B, Sheahan K. Delivery of Personalized Care for Locally Advanced Rectal Cancer: Incorporating Pathological, Molecular Genetic, and Immunological Biomarkers Into the Multimodal Paradigm. </w:t>
      </w:r>
      <w:r>
        <w:rPr>
          <w:rFonts w:ascii="Book Antiqua" w:hAnsi="Book Antiqua" w:eastAsia="Book Antiqua" w:cs="Book Antiqua"/>
          <w:i/>
          <w:iCs/>
          <w:color w:val="000000"/>
        </w:rPr>
        <w:t>Front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1369 [PMID: 32923389 DOI: 10.3389/fonc.2020.01369]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Curvo-Semedo L</w:t>
      </w:r>
      <w:r>
        <w:rPr>
          <w:rFonts w:ascii="Book Antiqua" w:hAnsi="Book Antiqua" w:eastAsia="Book Antiqua" w:cs="Book Antiqua"/>
          <w:color w:val="000000"/>
        </w:rPr>
        <w:t>, Lambregts DM, Maas M, Thywissen T, Mehsen RT, Lammering G, Beets GL, Caseiro-Alves F, Beets-Tan RG. Rectal cancer: assessment of complete response to preoperative combined radiation therapy with chemotherapy--conventional MR volumetry versus</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diffusion-weighted MR imaging.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2011; </w:t>
      </w:r>
      <w:r>
        <w:rPr>
          <w:rFonts w:ascii="Book Antiqua" w:hAnsi="Book Antiqua" w:eastAsia="Book Antiqua" w:cs="Book Antiqua"/>
          <w:b/>
          <w:bCs/>
          <w:color w:val="000000"/>
        </w:rPr>
        <w:t>260</w:t>
      </w:r>
      <w:r>
        <w:rPr>
          <w:rFonts w:ascii="Book Antiqua" w:hAnsi="Book Antiqua" w:eastAsia="Book Antiqua" w:cs="Book Antiqua"/>
          <w:color w:val="000000"/>
        </w:rPr>
        <w:t>: 734-743 [PMID: 21673229 DOI: 10.1148/radiol.11102467]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Spring LM</w:t>
      </w:r>
      <w:r>
        <w:rPr>
          <w:rFonts w:ascii="Book Antiqua" w:hAnsi="Book Antiqua" w:eastAsia="Book Antiqua" w:cs="Book Antiqua"/>
          <w:color w:val="000000"/>
        </w:rPr>
        <w:t xml:space="preserve">, Fell G, Arfe A, Sharma C, Greenup R, Reynolds KL, Smith BL, Alexander B, Moy B, Isakoff SJ, Parmigiani G, Trippa L, Bardia A. Pathologic Complete Response after Neoadjuvant Chemotherapy and Impact on Breast Cancer Recurrence and Survival: A Comprehensive Meta-analysis. </w:t>
      </w:r>
      <w:r>
        <w:rPr>
          <w:rFonts w:ascii="Book Antiqua" w:hAnsi="Book Antiqua" w:eastAsia="Book Antiqua" w:cs="Book Antiqua"/>
          <w:i/>
          <w:iCs/>
          <w:color w:val="000000"/>
        </w:rPr>
        <w:t>Clin Cancer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2838-2848 [PMID: 32046998 DOI: 10.1158/1078-0432.CCR-19-3492]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Chen W</w:t>
      </w:r>
      <w:r>
        <w:rPr>
          <w:rFonts w:ascii="Book Antiqua" w:hAnsi="Book Antiqua" w:eastAsia="Book Antiqua" w:cs="Book Antiqua"/>
          <w:color w:val="000000"/>
        </w:rPr>
        <w:t xml:space="preserve">, Mao L, Li L, Wei Q, Hu S, Ye Y, Feng J, Liu B, Liu X. Predicting Treatment Response of Neoadjuvant Chemoradiotherapy in Locally Advanced Rectal Cancer Using Amide Proton Transfer MRI Combined With Diffusion-Weighted Imaging. </w:t>
      </w:r>
      <w:r>
        <w:rPr>
          <w:rFonts w:ascii="Book Antiqua" w:hAnsi="Book Antiqua" w:eastAsia="Book Antiqua" w:cs="Book Antiqua"/>
          <w:i/>
          <w:iCs/>
          <w:color w:val="000000"/>
        </w:rPr>
        <w:t>Front Oncol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11</w:t>
      </w:r>
      <w:r>
        <w:rPr>
          <w:rFonts w:ascii="Book Antiqua" w:hAnsi="Book Antiqua" w:eastAsia="Book Antiqua" w:cs="Book Antiqua"/>
          <w:color w:val="000000"/>
        </w:rPr>
        <w:t>: 698427 [PMID: 34277445 DOI: 10.3389/fonc.2021.698427]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Chen L</w:t>
      </w:r>
      <w:r>
        <w:rPr>
          <w:rFonts w:ascii="Book Antiqua" w:hAnsi="Book Antiqua" w:eastAsia="Book Antiqua" w:cs="Book Antiqua"/>
          <w:color w:val="000000"/>
        </w:rPr>
        <w:t xml:space="preserve">, Liu M, Bao J, Xia Y, Zhang J, Zhang L, Huang X, Wang J. The correlation between apparent diffusion coefficient and tumor cellularity in patients: a meta-analysis.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2013; </w:t>
      </w:r>
      <w:r>
        <w:rPr>
          <w:rFonts w:ascii="Book Antiqua" w:hAnsi="Book Antiqua" w:eastAsia="Book Antiqua" w:cs="Book Antiqua"/>
          <w:b/>
          <w:bCs/>
          <w:color w:val="000000"/>
        </w:rPr>
        <w:t>8</w:t>
      </w:r>
      <w:r>
        <w:rPr>
          <w:rFonts w:ascii="Book Antiqua" w:hAnsi="Book Antiqua" w:eastAsia="Book Antiqua" w:cs="Book Antiqua"/>
          <w:color w:val="000000"/>
        </w:rPr>
        <w:t>: e79008 [PMID: 24244402 DOI: 10.1371/journal.pone.0079008]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Vossen JA</w:t>
      </w:r>
      <w:r>
        <w:rPr>
          <w:rFonts w:ascii="Book Antiqua" w:hAnsi="Book Antiqua" w:eastAsia="Book Antiqua" w:cs="Book Antiqua"/>
          <w:color w:val="000000"/>
        </w:rPr>
        <w:t xml:space="preserve">, Buijs M, Geschwind JF, Liapi E, Prieto Ventura V, Lee KH, Bluemke DA, Kamel IR. Diffusion-weighted and Gd-EOB-DTPA-contrast-enhanced magnetic resonance imaging for characterization of tumor necrosis in an animal model. </w:t>
      </w:r>
      <w:r>
        <w:rPr>
          <w:rFonts w:ascii="Book Antiqua" w:hAnsi="Book Antiqua" w:eastAsia="Book Antiqua" w:cs="Book Antiqua"/>
          <w:i/>
          <w:iCs/>
          <w:color w:val="000000"/>
        </w:rPr>
        <w:t>J Comput Assist Tomogr</w:t>
      </w:r>
      <w:r>
        <w:rPr>
          <w:rFonts w:ascii="Book Antiqua" w:hAnsi="Book Antiqua" w:eastAsia="Book Antiqua" w:cs="Book Antiqua"/>
          <w:color w:val="000000"/>
        </w:rPr>
        <w:t xml:space="preserve"> 2009; </w:t>
      </w:r>
      <w:r>
        <w:rPr>
          <w:rFonts w:ascii="Book Antiqua" w:hAnsi="Book Antiqua" w:eastAsia="Book Antiqua" w:cs="Book Antiqua"/>
          <w:b/>
          <w:bCs/>
          <w:color w:val="000000"/>
        </w:rPr>
        <w:t>33</w:t>
      </w:r>
      <w:r>
        <w:rPr>
          <w:rFonts w:ascii="Book Antiqua" w:hAnsi="Book Antiqua" w:eastAsia="Book Antiqua" w:cs="Book Antiqua"/>
          <w:color w:val="000000"/>
        </w:rPr>
        <w:t>: 626-630 [PMID: 19638862 DOI: 10.1097/RCT.0b013e3181953df3]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Dzik-Jurasz A</w:t>
      </w:r>
      <w:r>
        <w:rPr>
          <w:rFonts w:ascii="Book Antiqua" w:hAnsi="Book Antiqua" w:eastAsia="Book Antiqua" w:cs="Book Antiqua"/>
          <w:color w:val="000000"/>
        </w:rPr>
        <w:t xml:space="preserve">, Domenig C, George M, Wolber J, Padhani A, Brown G, Doran S. Diffusion MRI for prediction of response of rectal cancer to chemoradiation.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2002; </w:t>
      </w:r>
      <w:r>
        <w:rPr>
          <w:rFonts w:ascii="Book Antiqua" w:hAnsi="Book Antiqua" w:eastAsia="Book Antiqua" w:cs="Book Antiqua"/>
          <w:b/>
          <w:bCs/>
          <w:color w:val="000000"/>
        </w:rPr>
        <w:t>360</w:t>
      </w:r>
      <w:r>
        <w:rPr>
          <w:rFonts w:ascii="Book Antiqua" w:hAnsi="Book Antiqua" w:eastAsia="Book Antiqua" w:cs="Book Antiqua"/>
          <w:color w:val="000000"/>
        </w:rPr>
        <w:t>: 307-308 [PMID: 12147376 DOI: 10.1016/S0140-6736(02)09520-X]</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Lambregts DM</w:t>
      </w:r>
      <w:r>
        <w:rPr>
          <w:rFonts w:ascii="Book Antiqua" w:hAnsi="Book Antiqua" w:eastAsia="Book Antiqua" w:cs="Book Antiqua"/>
          <w:color w:val="000000"/>
        </w:rPr>
        <w:t xml:space="preserve">, Vandecaveye V, Barbaro B, Bakers FC, Lambrecht M, Maas M, Haustermans K, Valentini V, Beets GL, Beets-Tan RG. Diffusion-weighted MRI for selection of complete responders after chemoradiation for locally advanced rectal cancer: a multicenter study. </w:t>
      </w:r>
      <w:r>
        <w:rPr>
          <w:rFonts w:ascii="Book Antiqua" w:hAnsi="Book Antiqua" w:eastAsia="Book Antiqua" w:cs="Book Antiqua"/>
          <w:i/>
          <w:iCs/>
          <w:color w:val="000000"/>
        </w:rPr>
        <w:t>Ann Surg Oncol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18</w:t>
      </w:r>
      <w:r>
        <w:rPr>
          <w:rFonts w:ascii="Book Antiqua" w:hAnsi="Book Antiqua" w:eastAsia="Book Antiqua" w:cs="Book Antiqua"/>
          <w:color w:val="000000"/>
        </w:rPr>
        <w:t>: 2224-2231 [PMID: 21347783 DOI: 10.1245/s10434-011-1607-5]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Xie H</w:t>
      </w:r>
      <w:r>
        <w:rPr>
          <w:rFonts w:ascii="Book Antiqua" w:hAnsi="Book Antiqua" w:eastAsia="Book Antiqua" w:cs="Book Antiqua"/>
          <w:color w:val="000000"/>
        </w:rPr>
        <w:t xml:space="preserve">, Sun T, Chen M, Wang H, Zhou X, Zhang Y, Zeng H, Wang J, Fu W. Effectiveness of the apparent diffusion coefficient for predicting the response to chemoradiation therapy in locally advanced rectal cancer: a systematic review and meta-analysis.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2015; </w:t>
      </w:r>
      <w:r>
        <w:rPr>
          <w:rFonts w:ascii="Book Antiqua" w:hAnsi="Book Antiqua" w:eastAsia="Book Antiqua" w:cs="Book Antiqua"/>
          <w:b/>
          <w:bCs/>
          <w:color w:val="000000"/>
        </w:rPr>
        <w:t>94</w:t>
      </w:r>
      <w:r>
        <w:rPr>
          <w:rFonts w:ascii="Book Antiqua" w:hAnsi="Book Antiqua" w:eastAsia="Book Antiqua" w:cs="Book Antiqua"/>
          <w:color w:val="000000"/>
        </w:rPr>
        <w:t>: e517 [PMID: 25674749 DOI: 10.1097/MD.0000000000000517]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Tarallo N</w:t>
      </w:r>
      <w:r>
        <w:rPr>
          <w:rFonts w:ascii="Book Antiqua" w:hAnsi="Book Antiqua" w:eastAsia="Book Antiqua" w:cs="Book Antiqua"/>
          <w:color w:val="000000"/>
        </w:rPr>
        <w:t xml:space="preserve">, Angeretti MG, Bracchi E, Xhepa G, Molinelli V, Tagliaferri C, Antognoni P, Novario R, Sessa F, Fugazzola C. Magnetic resonance imaging in locally advanced rectal cancer: quantitative evaluation of the complete response to neoadjuvant therapy. </w:t>
      </w:r>
      <w:r>
        <w:rPr>
          <w:rFonts w:ascii="Book Antiqua" w:hAnsi="Book Antiqua" w:eastAsia="Book Antiqua" w:cs="Book Antiqua"/>
          <w:i/>
          <w:iCs/>
          <w:color w:val="000000"/>
        </w:rPr>
        <w:t>Pol J Radiol</w:t>
      </w:r>
      <w:r>
        <w:rPr>
          <w:rFonts w:ascii="Book Antiqua" w:hAnsi="Book Antiqua" w:eastAsia="Book Antiqua" w:cs="Book Antiqua"/>
          <w:color w:val="000000"/>
        </w:rPr>
        <w:t xml:space="preserve"> 2018; </w:t>
      </w:r>
      <w:r>
        <w:rPr>
          <w:rFonts w:ascii="Book Antiqua" w:hAnsi="Book Antiqua" w:eastAsia="Book Antiqua" w:cs="Book Antiqua"/>
          <w:b/>
          <w:bCs/>
          <w:color w:val="000000"/>
        </w:rPr>
        <w:t>83</w:t>
      </w:r>
      <w:r>
        <w:rPr>
          <w:rFonts w:ascii="Book Antiqua" w:hAnsi="Book Antiqua" w:eastAsia="Book Antiqua" w:cs="Book Antiqua"/>
          <w:color w:val="000000"/>
        </w:rPr>
        <w:t>: e600-e609 [PMID: 30800199 DOI: 10.5114/pjr.2018.81156]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Meng X</w:t>
      </w:r>
      <w:r>
        <w:rPr>
          <w:rFonts w:ascii="Book Antiqua" w:hAnsi="Book Antiqua" w:eastAsia="Book Antiqua" w:cs="Book Antiqua"/>
          <w:color w:val="000000"/>
        </w:rPr>
        <w:t xml:space="preserve">, Huang Z, Wang R, Yu J. Prediction of response to preoperative chemoradiotherapy in patients with locally advanced rectal cancer. </w:t>
      </w:r>
      <w:r>
        <w:rPr>
          <w:rFonts w:ascii="Book Antiqua" w:hAnsi="Book Antiqua" w:eastAsia="Book Antiqua" w:cs="Book Antiqua"/>
          <w:i/>
          <w:iCs/>
          <w:color w:val="000000"/>
        </w:rPr>
        <w:t>Biosci Trends</w:t>
      </w:r>
      <w:r>
        <w:rPr>
          <w:rFonts w:ascii="Book Antiqua" w:hAnsi="Book Antiqua" w:eastAsia="Book Antiqua" w:cs="Book Antiqua"/>
          <w:color w:val="000000"/>
        </w:rPr>
        <w:t xml:space="preserve"> 2014; </w:t>
      </w:r>
      <w:r>
        <w:rPr>
          <w:rFonts w:ascii="Book Antiqua" w:hAnsi="Book Antiqua" w:eastAsia="Book Antiqua" w:cs="Book Antiqua"/>
          <w:b/>
          <w:bCs/>
          <w:color w:val="000000"/>
        </w:rPr>
        <w:t>8</w:t>
      </w:r>
      <w:r>
        <w:rPr>
          <w:rFonts w:ascii="Book Antiqua" w:hAnsi="Book Antiqua" w:eastAsia="Book Antiqua" w:cs="Book Antiqua"/>
          <w:color w:val="000000"/>
        </w:rPr>
        <w:t>: 11-23 [PMID: 24647108 DOI: 10.5582/bst.8.11]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Gu J</w:t>
      </w:r>
      <w:r>
        <w:rPr>
          <w:rFonts w:ascii="Book Antiqua" w:hAnsi="Book Antiqua" w:eastAsia="Book Antiqua" w:cs="Book Antiqua"/>
          <w:color w:val="000000"/>
        </w:rPr>
        <w:t xml:space="preserve">, Khong PL, Wang S, Chan Q, Law W, Zhang J. Quantitative assessment of diffusion-weighted MR imaging in patients with primary rectal cancer: correlation with FDG-PET/CT. </w:t>
      </w:r>
      <w:r>
        <w:rPr>
          <w:rFonts w:ascii="Book Antiqua" w:hAnsi="Book Antiqua" w:eastAsia="Book Antiqua" w:cs="Book Antiqua"/>
          <w:i/>
          <w:iCs/>
          <w:color w:val="000000"/>
        </w:rPr>
        <w:t>Mol Imaging Biol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13</w:t>
      </w:r>
      <w:r>
        <w:rPr>
          <w:rFonts w:ascii="Book Antiqua" w:hAnsi="Book Antiqua" w:eastAsia="Book Antiqua" w:cs="Book Antiqua"/>
          <w:color w:val="000000"/>
        </w:rPr>
        <w:t>: 1020-1028 [PMID: 20872077 DOI: 10.1007/s11307-010-0433-7]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Marzi S</w:t>
      </w:r>
      <w:r>
        <w:rPr>
          <w:rFonts w:ascii="Book Antiqua" w:hAnsi="Book Antiqua" w:eastAsia="Book Antiqua" w:cs="Book Antiqua"/>
          <w:color w:val="000000"/>
        </w:rPr>
        <w:t xml:space="preserve">, Minosse S, Vidiri A, Piludu F, Giannelli M. Diffusional kurtosis imaging in head and neck cancer: On the use of trace-weighted images to estimate indices of non-Gaussian water diffusion. </w:t>
      </w:r>
      <w:r>
        <w:rPr>
          <w:rFonts w:ascii="Book Antiqua" w:hAnsi="Book Antiqua" w:eastAsia="Book Antiqua" w:cs="Book Antiqua"/>
          <w:i/>
          <w:iCs/>
          <w:color w:val="000000"/>
        </w:rPr>
        <w:t>Med Phys</w:t>
      </w:r>
      <w:r>
        <w:rPr>
          <w:rFonts w:ascii="Book Antiqua" w:hAnsi="Book Antiqua" w:eastAsia="Book Antiqua" w:cs="Book Antiqua"/>
          <w:color w:val="000000"/>
        </w:rPr>
        <w:t xml:space="preserve"> 2018; </w:t>
      </w:r>
      <w:r>
        <w:rPr>
          <w:rFonts w:ascii="Book Antiqua" w:hAnsi="Book Antiqua" w:eastAsia="Book Antiqua" w:cs="Book Antiqua"/>
          <w:b/>
          <w:bCs/>
          <w:color w:val="000000"/>
        </w:rPr>
        <w:t>45</w:t>
      </w:r>
      <w:r>
        <w:rPr>
          <w:rFonts w:ascii="Book Antiqua" w:hAnsi="Book Antiqua" w:eastAsia="Book Antiqua" w:cs="Book Antiqua"/>
          <w:color w:val="000000"/>
        </w:rPr>
        <w:t>: 5411-5419 [PMID: 30317646 DOI: 10.1002/mp.13238]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Guo Y</w:t>
      </w:r>
      <w:r>
        <w:rPr>
          <w:rFonts w:ascii="Book Antiqua" w:hAnsi="Book Antiqua" w:eastAsia="Book Antiqua" w:cs="Book Antiqua"/>
          <w:color w:val="000000"/>
        </w:rPr>
        <w:t xml:space="preserve">, Kong QC, Li LQ, Tang WJ, Zhang WL, Ning GY, Xue J, Zhou QW, Liang YY, Wu M, Jiang XQ. Whole Volume Apparent Diffusion Coefficient (ADC) Histogram as a Quantitative Imaging Biomarker to Differentiate Breast Lesions: Correlation with the Ki-67 Proliferation Index. </w:t>
      </w:r>
      <w:r>
        <w:rPr>
          <w:rFonts w:ascii="Book Antiqua" w:hAnsi="Book Antiqua" w:eastAsia="Book Antiqua" w:cs="Book Antiqua"/>
          <w:i/>
          <w:iCs/>
          <w:color w:val="000000"/>
        </w:rPr>
        <w:t>Biomed Res Int</w:t>
      </w:r>
      <w:r>
        <w:rPr>
          <w:rFonts w:ascii="Book Antiqua" w:hAnsi="Book Antiqua" w:eastAsia="Book Antiqua" w:cs="Book Antiqua"/>
          <w:color w:val="000000"/>
        </w:rPr>
        <w:t xml:space="preserve"> 2021; </w:t>
      </w:r>
      <w:r>
        <w:rPr>
          <w:rFonts w:ascii="Book Antiqua" w:hAnsi="Book Antiqua" w:eastAsia="Book Antiqua" w:cs="Book Antiqua"/>
          <w:b/>
          <w:bCs/>
          <w:color w:val="000000"/>
        </w:rPr>
        <w:t>2021</w:t>
      </w:r>
      <w:r>
        <w:rPr>
          <w:rFonts w:ascii="Book Antiqua" w:hAnsi="Book Antiqua" w:eastAsia="Book Antiqua" w:cs="Book Antiqua"/>
          <w:color w:val="000000"/>
        </w:rPr>
        <w:t>: 4970265 [PMID: 34258262 DOI: 10.1155/2021/4970265]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Tang WJ</w:t>
      </w:r>
      <w:r>
        <w:rPr>
          <w:rFonts w:ascii="Book Antiqua" w:hAnsi="Book Antiqua" w:eastAsia="Book Antiqua" w:cs="Book Antiqua"/>
          <w:color w:val="000000"/>
        </w:rPr>
        <w:t xml:space="preserve">, Jin Z, Zhang YL, Liang YS, Cheng ZX, Chen LX, Liang YY, Wei XH, Kong QC, Guo Y, Jiang XQ. Whole-Lesion Histogram Analysis of the Apparent Diffusion Coefficient as a Quantitative Imaging Biomarker for Assessing the Level of Tumor-Infiltrating Lymphocytes: Value in Molecular Subtypes of Breast Cancer. </w:t>
      </w:r>
      <w:r>
        <w:rPr>
          <w:rFonts w:ascii="Book Antiqua" w:hAnsi="Book Antiqua" w:eastAsia="Book Antiqua" w:cs="Book Antiqua"/>
          <w:i/>
          <w:iCs/>
          <w:color w:val="000000"/>
        </w:rPr>
        <w:t>Front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611571 [PMID: 33489920 DOI: 10.3389/fonc.2020.611571]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Ao W</w:t>
      </w:r>
      <w:r>
        <w:rPr>
          <w:rFonts w:ascii="Book Antiqua" w:hAnsi="Book Antiqua" w:eastAsia="Book Antiqua" w:cs="Book Antiqua"/>
          <w:color w:val="000000"/>
        </w:rPr>
        <w:t xml:space="preserve">, Bao X, Mao G, Yang G, Wang J, Hu J. Value of Apparent Diffusion Coefficient for Assessing Preoperative T Staging of Low Rectal Cancer and Whether This Is Correlated With Ki-67 Expression. </w:t>
      </w:r>
      <w:r>
        <w:rPr>
          <w:rFonts w:ascii="Book Antiqua" w:hAnsi="Book Antiqua" w:eastAsia="Book Antiqua" w:cs="Book Antiqua"/>
          <w:i/>
          <w:iCs/>
          <w:color w:val="000000"/>
        </w:rPr>
        <w:t>Can Assoc Radiol J</w:t>
      </w:r>
      <w:r>
        <w:rPr>
          <w:rFonts w:ascii="Book Antiqua" w:hAnsi="Book Antiqua" w:eastAsia="Book Antiqua" w:cs="Book Antiqua"/>
          <w:color w:val="000000"/>
        </w:rPr>
        <w:t xml:space="preserve"> 2020; </w:t>
      </w:r>
      <w:r>
        <w:rPr>
          <w:rFonts w:ascii="Book Antiqua" w:hAnsi="Book Antiqua" w:eastAsia="Book Antiqua" w:cs="Book Antiqua"/>
          <w:b/>
          <w:bCs/>
          <w:color w:val="000000"/>
        </w:rPr>
        <w:t>71</w:t>
      </w:r>
      <w:r>
        <w:rPr>
          <w:rFonts w:ascii="Book Antiqua" w:hAnsi="Book Antiqua" w:eastAsia="Book Antiqua" w:cs="Book Antiqua"/>
          <w:color w:val="000000"/>
        </w:rPr>
        <w:t>: 5-11 [PMID: 32063001 DOI: 10.1177/0846537119885666]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Donati OF</w:t>
      </w:r>
      <w:r>
        <w:rPr>
          <w:rFonts w:ascii="Book Antiqua" w:hAnsi="Book Antiqua" w:eastAsia="Book Antiqua" w:cs="Book Antiqua"/>
          <w:color w:val="000000"/>
        </w:rPr>
        <w:t xml:space="preserve">, Mazaheri Y, Afaq A, Vargas HA, Zheng J, Moskowitz CS, Hricak H, Akin O. Prostate cancer aggressiveness: assessment with whole-lesion histogram analysis of the apparent diffusion coefficient.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2014; </w:t>
      </w:r>
      <w:r>
        <w:rPr>
          <w:rFonts w:ascii="Book Antiqua" w:hAnsi="Book Antiqua" w:eastAsia="Book Antiqua" w:cs="Book Antiqua"/>
          <w:b/>
          <w:bCs/>
          <w:color w:val="000000"/>
        </w:rPr>
        <w:t>271</w:t>
      </w:r>
      <w:r>
        <w:rPr>
          <w:rFonts w:ascii="Book Antiqua" w:hAnsi="Book Antiqua" w:eastAsia="Book Antiqua" w:cs="Book Antiqua"/>
          <w:color w:val="000000"/>
        </w:rPr>
        <w:t>: 143-152 [PMID: 24475824 DOI: 10.1148/radiol.13130973]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Li HM</w:t>
      </w:r>
      <w:r>
        <w:rPr>
          <w:rFonts w:ascii="Book Antiqua" w:hAnsi="Book Antiqua" w:eastAsia="Book Antiqua" w:cs="Book Antiqua"/>
          <w:color w:val="000000"/>
        </w:rPr>
        <w:t xml:space="preserve">, Zhang R, Gu WY, Zhao SH, Lu N, Zhang GF, Peng WJ, Qiang JW. Whole solid tumour volume histogram analysis of the apparent diffusion coefficient for differentiating high-grade from low-grade serous ovarian carcinoma: correlation with Ki-67 proliferation status. </w:t>
      </w:r>
      <w:r>
        <w:rPr>
          <w:rFonts w:ascii="Book Antiqua" w:hAnsi="Book Antiqua" w:eastAsia="Book Antiqua" w:cs="Book Antiqua"/>
          <w:i/>
          <w:iCs/>
          <w:color w:val="000000"/>
        </w:rPr>
        <w:t>Clin Radiol</w:t>
      </w:r>
      <w:r>
        <w:rPr>
          <w:rFonts w:ascii="Book Antiqua" w:hAnsi="Book Antiqua" w:eastAsia="Book Antiqua" w:cs="Book Antiqua"/>
          <w:color w:val="000000"/>
        </w:rPr>
        <w:t xml:space="preserve"> 2019; </w:t>
      </w:r>
      <w:r>
        <w:rPr>
          <w:rFonts w:ascii="Book Antiqua" w:hAnsi="Book Antiqua" w:eastAsia="Book Antiqua" w:cs="Book Antiqua"/>
          <w:b/>
          <w:bCs/>
          <w:color w:val="000000"/>
        </w:rPr>
        <w:t>74</w:t>
      </w:r>
      <w:r>
        <w:rPr>
          <w:rFonts w:ascii="Book Antiqua" w:hAnsi="Book Antiqua" w:eastAsia="Book Antiqua" w:cs="Book Antiqua"/>
          <w:color w:val="000000"/>
        </w:rPr>
        <w:t>: 918-925 [PMID: 31471063 DOI: 10.1016/j.crad.2019.07.019]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Liu HL</w:t>
      </w:r>
      <w:r>
        <w:rPr>
          <w:rFonts w:ascii="Book Antiqua" w:hAnsi="Book Antiqua" w:eastAsia="Book Antiqua" w:cs="Book Antiqua"/>
          <w:color w:val="000000"/>
        </w:rPr>
        <w:t xml:space="preserve">, Zong M, Wei H, Wang C, Lou JJ, Wang SQ, Zou QG, Jiang YN. Added value of histogram analysis of apparent diffusion coefficient maps for differentiating triple-negative breast cancer from other subtypes of breast cancer on standard MRI. </w:t>
      </w:r>
      <w:r>
        <w:rPr>
          <w:rFonts w:ascii="Book Antiqua" w:hAnsi="Book Antiqua" w:eastAsia="Book Antiqua" w:cs="Book Antiqua"/>
          <w:i/>
          <w:iCs/>
          <w:color w:val="000000"/>
        </w:rPr>
        <w:t>Cancer Manag Res</w:t>
      </w:r>
      <w:r>
        <w:rPr>
          <w:rFonts w:ascii="Book Antiqua" w:hAnsi="Book Antiqua" w:eastAsia="Book Antiqua" w:cs="Book Antiqua"/>
          <w:color w:val="000000"/>
        </w:rPr>
        <w:t xml:space="preserve"> 2019; </w:t>
      </w:r>
      <w:r>
        <w:rPr>
          <w:rFonts w:ascii="Book Antiqua" w:hAnsi="Book Antiqua" w:eastAsia="Book Antiqua" w:cs="Book Antiqua"/>
          <w:b/>
          <w:bCs/>
          <w:color w:val="000000"/>
        </w:rPr>
        <w:t>11</w:t>
      </w:r>
      <w:r>
        <w:rPr>
          <w:rFonts w:ascii="Book Antiqua" w:hAnsi="Book Antiqua" w:eastAsia="Book Antiqua" w:cs="Book Antiqua"/>
          <w:color w:val="000000"/>
        </w:rPr>
        <w:t>: 8239-8247 [PMID: 31564982 DOI: 10.2147/CMAR.S210583]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Lu J</w:t>
      </w:r>
      <w:r>
        <w:rPr>
          <w:rFonts w:ascii="Book Antiqua" w:hAnsi="Book Antiqua" w:eastAsia="Book Antiqua" w:cs="Book Antiqua"/>
          <w:color w:val="000000"/>
        </w:rPr>
        <w:t xml:space="preserve">, Li HM, Cai SQ, Zhao SH, Ma FH, Li YA, Ma XL, Qiang JW. Prediction of Platinum-based Chemotherapy Response in Advanced High-grade Serous Ovarian Cancer: ADC Histogram Analysis of Primary Tumors. </w:t>
      </w:r>
      <w:r>
        <w:rPr>
          <w:rFonts w:ascii="Book Antiqua" w:hAnsi="Book Antiqua" w:eastAsia="Book Antiqua" w:cs="Book Antiqua"/>
          <w:i/>
          <w:iCs/>
          <w:color w:val="000000"/>
        </w:rPr>
        <w:t>Acad Radiol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28</w:t>
      </w:r>
      <w:r>
        <w:rPr>
          <w:rFonts w:ascii="Book Antiqua" w:hAnsi="Book Antiqua" w:eastAsia="Book Antiqua" w:cs="Book Antiqua"/>
          <w:color w:val="000000"/>
        </w:rPr>
        <w:t>: e77-e85 [PMID: 32061467 DOI: 10.1016/j.acra.2020.01.024]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Cho SH</w:t>
      </w:r>
      <w:r>
        <w:rPr>
          <w:rFonts w:ascii="Book Antiqua" w:hAnsi="Book Antiqua" w:eastAsia="Book Antiqua" w:cs="Book Antiqua"/>
          <w:color w:val="000000"/>
        </w:rPr>
        <w:t xml:space="preserve">, Kim GC, Jang YJ, Ryeom H, Kim HJ, Shin KM, Park JS, Choi GS, Kim SH. Locally advanced rectal cancer: post-chemoradiotherapy ADC histogram analysis for predicting a complete response. </w:t>
      </w:r>
      <w:r>
        <w:rPr>
          <w:rFonts w:ascii="Book Antiqua" w:hAnsi="Book Antiqua" w:eastAsia="Book Antiqua" w:cs="Book Antiqua"/>
          <w:i/>
          <w:iCs/>
          <w:color w:val="000000"/>
        </w:rPr>
        <w:t>Acta Radiol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56</w:t>
      </w:r>
      <w:r>
        <w:rPr>
          <w:rFonts w:ascii="Book Antiqua" w:hAnsi="Book Antiqua" w:eastAsia="Book Antiqua" w:cs="Book Antiqua"/>
          <w:color w:val="000000"/>
        </w:rPr>
        <w:t>: 1042-1050 [PMID: 25270374 DOI: 10.1177/0284185114550193]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Enkhbaatar NE</w:t>
      </w:r>
      <w:r>
        <w:rPr>
          <w:rFonts w:ascii="Book Antiqua" w:hAnsi="Book Antiqua" w:eastAsia="Book Antiqua" w:cs="Book Antiqua"/>
          <w:color w:val="000000"/>
        </w:rPr>
        <w:t xml:space="preserve">, Inoue S, Yamamuro H, Kawada S, Miyaoka M, Nakamura N, Sadahiro S, Imai Y. MR Imaging with Apparent Diffusion Coefficient Histogram Analysis: Evaluation of Locally Advanced Rectal Cancer after Chemotherapy and Radiation Therapy.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2018; </w:t>
      </w:r>
      <w:r>
        <w:rPr>
          <w:rFonts w:ascii="Book Antiqua" w:hAnsi="Book Antiqua" w:eastAsia="Book Antiqua" w:cs="Book Antiqua"/>
          <w:b/>
          <w:bCs/>
          <w:color w:val="000000"/>
        </w:rPr>
        <w:t>288</w:t>
      </w:r>
      <w:r>
        <w:rPr>
          <w:rFonts w:ascii="Book Antiqua" w:hAnsi="Book Antiqua" w:eastAsia="Book Antiqua" w:cs="Book Antiqua"/>
          <w:color w:val="000000"/>
        </w:rPr>
        <w:t>: 129-137 [PMID: 29558294 DOI: 10.1148/radiol.2018171804]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Peng Y</w:t>
      </w:r>
      <w:r>
        <w:rPr>
          <w:rFonts w:ascii="Book Antiqua" w:hAnsi="Book Antiqua" w:eastAsia="Book Antiqua" w:cs="Book Antiqua"/>
          <w:color w:val="000000"/>
        </w:rPr>
        <w:t xml:space="preserve">, Tang H, Hu X, Shen Y, Kamel I, Li Z, Hu D. Rectal Cancer Invasiveness: Whole-Lesion Diffusion-Weighted Imaging (DWI) Histogram Analysis by Comparison of Reduced Field-of-View and Conventional DWI Techniques.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9</w:t>
      </w:r>
      <w:r>
        <w:rPr>
          <w:rFonts w:ascii="Book Antiqua" w:hAnsi="Book Antiqua" w:eastAsia="Book Antiqua" w:cs="Book Antiqua"/>
          <w:color w:val="000000"/>
        </w:rPr>
        <w:t>: 18760 [PMID: 31822707 DOI: 10.1038/s41598-019-55059-0]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Peng Y</w:t>
      </w:r>
      <w:r>
        <w:rPr>
          <w:rFonts w:ascii="Book Antiqua" w:hAnsi="Book Antiqua" w:eastAsia="Book Antiqua" w:cs="Book Antiqua"/>
          <w:color w:val="000000"/>
        </w:rPr>
        <w:t xml:space="preserve">, Tang H, Meng X, Shen Y, Hu D, Kamel I, Li Z. Histological grades of rectal cancer: whole-volume histogram analysis of apparent diffusion coefficient based on reduced field-of-view diffusion-weighted imaging. </w:t>
      </w:r>
      <w:r>
        <w:rPr>
          <w:rFonts w:ascii="Book Antiqua" w:hAnsi="Book Antiqua" w:eastAsia="Book Antiqua" w:cs="Book Antiqua"/>
          <w:i/>
          <w:iCs/>
          <w:color w:val="000000"/>
        </w:rPr>
        <w:t>Quant Imaging Med Surg</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243-256 [PMID: 31956546 DOI: 10.21037/qims.2019.11.17]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Jiménez de Los Santos ME</w:t>
      </w:r>
      <w:r>
        <w:rPr>
          <w:rFonts w:ascii="Book Antiqua" w:hAnsi="Book Antiqua" w:eastAsia="Book Antiqua" w:cs="Book Antiqua"/>
          <w:color w:val="000000"/>
        </w:rPr>
        <w:t xml:space="preserve">, Reyes-Pérez JA, Sandoval-Nava RM, Villalobos-Juárez JL, Villaseñor-Navarro Y, Vela-Sarmiento I, Sollozo-Dupont I. The apparent diffusion coefficient is a useful biomarker in predicting treatment response in patients with locally advanced rectal cancer. </w:t>
      </w:r>
      <w:r>
        <w:rPr>
          <w:rFonts w:ascii="Book Antiqua" w:hAnsi="Book Antiqua" w:eastAsia="Book Antiqua" w:cs="Book Antiqua"/>
          <w:i/>
          <w:iCs/>
          <w:color w:val="000000"/>
        </w:rPr>
        <w:t>Acta Radiol Open</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2058460120957295 [PMID: 32974055 DOI: 10.1177/2058460120957295]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Edge SB</w:t>
      </w:r>
      <w:r>
        <w:rPr>
          <w:rFonts w:ascii="Book Antiqua" w:hAnsi="Book Antiqua" w:eastAsia="Book Antiqua" w:cs="Book Antiqua"/>
          <w:color w:val="000000"/>
        </w:rPr>
        <w:t xml:space="preserve">, Compton CC. The American Joint Committee on Cancer: the 7th edition of the AJCC cancer staging manual and the future of TNM. </w:t>
      </w:r>
      <w:r>
        <w:rPr>
          <w:rFonts w:ascii="Book Antiqua" w:hAnsi="Book Antiqua" w:eastAsia="Book Antiqua" w:cs="Book Antiqua"/>
          <w:i/>
          <w:iCs/>
          <w:color w:val="000000"/>
        </w:rPr>
        <w:t>Ann Surg Oncol</w:t>
      </w:r>
      <w:r>
        <w:rPr>
          <w:rFonts w:ascii="Book Antiqua" w:hAnsi="Book Antiqua" w:eastAsia="Book Antiqua" w:cs="Book Antiqua"/>
          <w:color w:val="000000"/>
        </w:rPr>
        <w:t xml:space="preserve"> 2010; </w:t>
      </w:r>
      <w:r>
        <w:rPr>
          <w:rFonts w:ascii="Book Antiqua" w:hAnsi="Book Antiqua" w:eastAsia="Book Antiqua" w:cs="Book Antiqua"/>
          <w:b/>
          <w:bCs/>
          <w:color w:val="000000"/>
        </w:rPr>
        <w:t>17</w:t>
      </w:r>
      <w:r>
        <w:rPr>
          <w:rFonts w:ascii="Book Antiqua" w:hAnsi="Book Antiqua" w:eastAsia="Book Antiqua" w:cs="Book Antiqua"/>
          <w:color w:val="000000"/>
        </w:rPr>
        <w:t>: 1471-1474 [PMID: 20180029 DOI: 10.1245/s10434-010-0985-4]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Haider MA</w:t>
      </w:r>
      <w:r>
        <w:rPr>
          <w:rFonts w:ascii="Book Antiqua" w:hAnsi="Book Antiqua" w:eastAsia="Book Antiqua" w:cs="Book Antiqua"/>
          <w:color w:val="000000"/>
        </w:rPr>
        <w:t xml:space="preserve">, Vosough A, Khalvati F, Kiss A, Ganeshan B, Bjarnason GA. CT texture analysis: a potential tool for prediction of survival in patients with metastatic clear cell carcinoma treated with sunitinib. </w:t>
      </w:r>
      <w:r>
        <w:rPr>
          <w:rFonts w:ascii="Book Antiqua" w:hAnsi="Book Antiqua" w:eastAsia="Book Antiqua" w:cs="Book Antiqua"/>
          <w:i/>
          <w:iCs/>
          <w:color w:val="000000"/>
        </w:rPr>
        <w:t>Cancer Imaging</w:t>
      </w:r>
      <w:r>
        <w:rPr>
          <w:rFonts w:ascii="Book Antiqua" w:hAnsi="Book Antiqua" w:eastAsia="Book Antiqua" w:cs="Book Antiqua"/>
          <w:color w:val="000000"/>
        </w:rPr>
        <w:t xml:space="preserve"> 2017; </w:t>
      </w:r>
      <w:r>
        <w:rPr>
          <w:rFonts w:ascii="Book Antiqua" w:hAnsi="Book Antiqua" w:eastAsia="Book Antiqua" w:cs="Book Antiqua"/>
          <w:b/>
          <w:bCs/>
          <w:color w:val="000000"/>
        </w:rPr>
        <w:t>17</w:t>
      </w:r>
      <w:r>
        <w:rPr>
          <w:rFonts w:ascii="Book Antiqua" w:hAnsi="Book Antiqua" w:eastAsia="Book Antiqua" w:cs="Book Antiqua"/>
          <w:color w:val="000000"/>
        </w:rPr>
        <w:t>: 4 [PMID: 28114978 DOI: 10.1186/s40644-017-0106-8]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Stroup DF</w:t>
      </w:r>
      <w:r>
        <w:rPr>
          <w:rFonts w:ascii="Book Antiqua" w:hAnsi="Book Antiqua" w:eastAsia="Book Antiqua" w:cs="Book Antiqua"/>
          <w:color w:val="000000"/>
        </w:rPr>
        <w:t xml:space="preserve">, Smith CK, Truman BI. Reporting the methods used in public health research and practice. </w:t>
      </w:r>
      <w:r>
        <w:rPr>
          <w:rFonts w:ascii="Book Antiqua" w:hAnsi="Book Antiqua" w:eastAsia="Book Antiqua" w:cs="Book Antiqua"/>
          <w:i/>
          <w:iCs/>
          <w:color w:val="000000"/>
        </w:rPr>
        <w:t>J Public Health Emerg</w:t>
      </w:r>
      <w:r>
        <w:rPr>
          <w:rFonts w:ascii="Book Antiqua" w:hAnsi="Book Antiqua" w:eastAsia="Book Antiqua" w:cs="Book Antiqua"/>
          <w:color w:val="000000"/>
        </w:rPr>
        <w:t xml:space="preserve"> 2017; </w:t>
      </w:r>
      <w:r>
        <w:rPr>
          <w:rFonts w:ascii="Book Antiqua" w:hAnsi="Book Antiqua" w:eastAsia="Book Antiqua" w:cs="Book Antiqua"/>
          <w:b/>
          <w:bCs/>
          <w:color w:val="000000"/>
        </w:rPr>
        <w:t>1</w:t>
      </w:r>
      <w:r>
        <w:rPr>
          <w:rFonts w:ascii="Book Antiqua" w:hAnsi="Book Antiqua" w:eastAsia="Book Antiqua" w:cs="Book Antiqua"/>
          <w:color w:val="000000"/>
        </w:rPr>
        <w:t xml:space="preserve"> [PMID: 29417955 DOI: 10.21037/jphe.2017.12.01]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DeLong ER</w:t>
      </w:r>
      <w:r>
        <w:rPr>
          <w:rFonts w:ascii="Book Antiqua" w:hAnsi="Book Antiqua" w:eastAsia="Book Antiqua" w:cs="Book Antiqua"/>
          <w:color w:val="000000"/>
        </w:rPr>
        <w:t xml:space="preserve">, DeLong DM, Clarke-Pearson DL. Comparing the areas under two or more correlated receiver operating characteristic curves: a nonparametric approach. </w:t>
      </w:r>
      <w:r>
        <w:rPr>
          <w:rFonts w:ascii="Book Antiqua" w:hAnsi="Book Antiqua" w:eastAsia="Book Antiqua" w:cs="Book Antiqua"/>
          <w:i/>
          <w:iCs/>
          <w:color w:val="000000"/>
        </w:rPr>
        <w:t>Biometrics</w:t>
      </w:r>
      <w:r>
        <w:rPr>
          <w:rFonts w:ascii="Book Antiqua" w:hAnsi="Book Antiqua" w:eastAsia="Book Antiqua" w:cs="Book Antiqua"/>
          <w:color w:val="000000"/>
        </w:rPr>
        <w:t xml:space="preserve"> 1988; </w:t>
      </w:r>
      <w:r>
        <w:rPr>
          <w:rFonts w:ascii="Book Antiqua" w:hAnsi="Book Antiqua" w:eastAsia="Book Antiqua" w:cs="Book Antiqua"/>
          <w:b/>
          <w:bCs/>
          <w:color w:val="000000"/>
        </w:rPr>
        <w:t>44</w:t>
      </w:r>
      <w:r>
        <w:rPr>
          <w:rFonts w:ascii="Book Antiqua" w:hAnsi="Book Antiqua" w:eastAsia="Book Antiqua" w:cs="Book Antiqua"/>
          <w:color w:val="000000"/>
        </w:rPr>
        <w:t>: 837-845 [PMID: 3203132]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Cicchetti DV</w:t>
      </w:r>
      <w:r>
        <w:rPr>
          <w:rFonts w:ascii="Book Antiqua" w:hAnsi="Book Antiqua" w:eastAsia="Book Antiqua" w:cs="Book Antiqua"/>
          <w:color w:val="000000"/>
        </w:rPr>
        <w:t xml:space="preserve">. Guidelines, criteria, and rules of thumb for evaluating normed and standardized assessment instruments in psychology. </w:t>
      </w:r>
      <w:r>
        <w:rPr>
          <w:rFonts w:ascii="Book Antiqua" w:hAnsi="Book Antiqua" w:eastAsia="Book Antiqua" w:cs="Book Antiqua"/>
          <w:i/>
          <w:iCs/>
          <w:color w:val="000000"/>
        </w:rPr>
        <w:t>Psychol Assess</w:t>
      </w:r>
      <w:r>
        <w:rPr>
          <w:rFonts w:ascii="Book Antiqua" w:hAnsi="Book Antiqua" w:eastAsia="Book Antiqua" w:cs="Book Antiqua"/>
          <w:color w:val="000000"/>
        </w:rPr>
        <w:t xml:space="preserve"> 1994; </w:t>
      </w:r>
      <w:r>
        <w:rPr>
          <w:rFonts w:ascii="Book Antiqua" w:hAnsi="Book Antiqua" w:eastAsia="Book Antiqua" w:cs="Book Antiqua"/>
          <w:b/>
          <w:bCs/>
          <w:color w:val="000000"/>
        </w:rPr>
        <w:t>6</w:t>
      </w:r>
      <w:r>
        <w:rPr>
          <w:rFonts w:ascii="Book Antiqua" w:hAnsi="Book Antiqua" w:eastAsia="Book Antiqua" w:cs="Book Antiqua"/>
          <w:color w:val="000000"/>
        </w:rPr>
        <w:t>: 284-290 [DOI: 10.1037/1040-3590.6.4.284]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Glas AS</w:t>
      </w:r>
      <w:r>
        <w:rPr>
          <w:rFonts w:ascii="Book Antiqua" w:hAnsi="Book Antiqua" w:eastAsia="Book Antiqua" w:cs="Book Antiqua"/>
          <w:color w:val="000000"/>
        </w:rPr>
        <w:t xml:space="preserve">, Lijmer JG, Prins MH, Bonsel GJ, Bossuyt PM. The diagnostic odds ratio: a single indicator of test performance. </w:t>
      </w:r>
      <w:r>
        <w:rPr>
          <w:rFonts w:ascii="Book Antiqua" w:hAnsi="Book Antiqua" w:eastAsia="Book Antiqua" w:cs="Book Antiqua"/>
          <w:i/>
          <w:iCs/>
          <w:color w:val="000000"/>
        </w:rPr>
        <w:t>J Clin Epidemiol</w:t>
      </w:r>
      <w:r>
        <w:rPr>
          <w:rFonts w:ascii="Book Antiqua" w:hAnsi="Book Antiqua" w:eastAsia="Book Antiqua" w:cs="Book Antiqua"/>
          <w:color w:val="000000"/>
        </w:rPr>
        <w:t xml:space="preserve"> 2003; </w:t>
      </w:r>
      <w:r>
        <w:rPr>
          <w:rFonts w:ascii="Book Antiqua" w:hAnsi="Book Antiqua" w:eastAsia="Book Antiqua" w:cs="Book Antiqua"/>
          <w:b/>
          <w:bCs/>
          <w:color w:val="000000"/>
        </w:rPr>
        <w:t>56</w:t>
      </w:r>
      <w:r>
        <w:rPr>
          <w:rFonts w:ascii="Book Antiqua" w:hAnsi="Book Antiqua" w:eastAsia="Book Antiqua" w:cs="Book Antiqua"/>
          <w:color w:val="000000"/>
        </w:rPr>
        <w:t>: 1129-1135 [PMID: 14615004 DOI: 10.1016/s0895-4356(03)00177-x]</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33 </w:t>
      </w:r>
      <w:r>
        <w:rPr>
          <w:rFonts w:ascii="Book Antiqua" w:hAnsi="Book Antiqua" w:eastAsia="Book Antiqua" w:cs="Book Antiqua"/>
          <w:b/>
          <w:bCs/>
          <w:color w:val="000000"/>
          <w:highlight w:val="none"/>
        </w:rPr>
        <w:t>Chang SM</w:t>
      </w:r>
      <w:r>
        <w:rPr>
          <w:rFonts w:ascii="Book Antiqua" w:hAnsi="Book Antiqua" w:eastAsia="Book Antiqua" w:cs="Book Antiqua"/>
          <w:color w:val="000000"/>
          <w:highlight w:val="none"/>
        </w:rPr>
        <w:t>, Matchar DB, Gerald W Smetana GW, Umscheid CA, editors. Methods Guide for Medical Test Reviews. Rockville: Agency for Healthcare Research and Quality (US), 2012 [PMID: 22834019]</w:t>
      </w:r>
    </w:p>
    <w:p>
      <w:pPr>
        <w:adjustRightInd w:val="0"/>
        <w:snapToGrid w:val="0"/>
        <w:spacing w:line="360" w:lineRule="auto"/>
        <w:jc w:val="both"/>
        <w:rPr>
          <w:rFonts w:ascii="Book Antiqua" w:hAnsi="Book Antiqua"/>
        </w:rPr>
      </w:pPr>
      <w:r>
        <w:rPr>
          <w:rFonts w:ascii="Book Antiqua" w:hAnsi="Book Antiqua" w:eastAsia="Book Antiqua" w:cs="Book Antiqua"/>
          <w:color w:val="000000"/>
          <w:highlight w:val="none"/>
        </w:rPr>
        <w:t xml:space="preserve">34 </w:t>
      </w:r>
      <w:r>
        <w:rPr>
          <w:rFonts w:ascii="Book Antiqua" w:hAnsi="Book Antiqua" w:eastAsia="Book Antiqua" w:cs="Book Antiqua"/>
          <w:b/>
          <w:bCs/>
          <w:color w:val="000000"/>
          <w:highlight w:val="none"/>
        </w:rPr>
        <w:t>Le Bihan D</w:t>
      </w:r>
      <w:r>
        <w:rPr>
          <w:rFonts w:ascii="Book Antiqua" w:hAnsi="Book Antiqua" w:eastAsia="Book Antiqua" w:cs="Book Antiqua"/>
          <w:color w:val="000000"/>
          <w:highlight w:val="none"/>
        </w:rPr>
        <w:t>, Iima M. Diffusion Ma</w:t>
      </w:r>
      <w:r>
        <w:rPr>
          <w:rFonts w:ascii="Book Antiqua" w:hAnsi="Book Antiqua" w:eastAsia="Book Antiqua" w:cs="Book Antiqua"/>
          <w:color w:val="000000"/>
        </w:rPr>
        <w:t xml:space="preserve">gnetic Resonance Imaging: What Water Tells Us about Biological Tissues. </w:t>
      </w:r>
      <w:r>
        <w:rPr>
          <w:rFonts w:ascii="Book Antiqua" w:hAnsi="Book Antiqua" w:eastAsia="Book Antiqua" w:cs="Book Antiqua"/>
          <w:i/>
          <w:iCs/>
          <w:color w:val="000000"/>
        </w:rPr>
        <w:t>PLoS Biol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13</w:t>
      </w:r>
      <w:r>
        <w:rPr>
          <w:rFonts w:ascii="Book Antiqua" w:hAnsi="Book Antiqua" w:eastAsia="Book Antiqua" w:cs="Book Antiqua"/>
          <w:color w:val="000000"/>
        </w:rPr>
        <w:t>: e1002203 [PMID: 26204162 DOI: 10.1371/journal.pbio.1002203]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Pyatigorskaya N</w:t>
      </w:r>
      <w:r>
        <w:rPr>
          <w:rFonts w:ascii="Book Antiqua" w:hAnsi="Book Antiqua" w:eastAsia="Book Antiqua" w:cs="Book Antiqua"/>
          <w:color w:val="000000"/>
        </w:rPr>
        <w:t xml:space="preserve">, Le Bihan D, Reynaud O, Ciobanu L. Relationship between the diffusion time and the diffusion MRI signal observed at 17.2 Tesla in the healthy rat brain cortex. </w:t>
      </w:r>
      <w:r>
        <w:rPr>
          <w:rFonts w:ascii="Book Antiqua" w:hAnsi="Book Antiqua" w:eastAsia="Book Antiqua" w:cs="Book Antiqua"/>
          <w:i/>
          <w:iCs/>
          <w:color w:val="000000"/>
        </w:rPr>
        <w:t>Magn Reson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72</w:t>
      </w:r>
      <w:r>
        <w:rPr>
          <w:rFonts w:ascii="Book Antiqua" w:hAnsi="Book Antiqua" w:eastAsia="Book Antiqua" w:cs="Book Antiqua"/>
          <w:color w:val="000000"/>
        </w:rPr>
        <w:t>: 492-500 [PMID: 24022863 DOI: 10.1002/mrm.24921]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Just N</w:t>
      </w:r>
      <w:r>
        <w:rPr>
          <w:rFonts w:ascii="Book Antiqua" w:hAnsi="Book Antiqua" w:eastAsia="Book Antiqua" w:cs="Book Antiqua"/>
          <w:color w:val="000000"/>
        </w:rPr>
        <w:t xml:space="preserve">. Improving tumour heterogeneity MRI assessment with histograms. </w:t>
      </w:r>
      <w:r>
        <w:rPr>
          <w:rFonts w:ascii="Book Antiqua" w:hAnsi="Book Antiqua" w:eastAsia="Book Antiqua" w:cs="Book Antiqua"/>
          <w:i/>
          <w:iCs/>
          <w:color w:val="000000"/>
        </w:rPr>
        <w:t>Br J Cancer</w:t>
      </w:r>
      <w:r>
        <w:rPr>
          <w:rFonts w:ascii="Book Antiqua" w:hAnsi="Book Antiqua" w:eastAsia="Book Antiqua" w:cs="Book Antiqua"/>
          <w:color w:val="000000"/>
        </w:rPr>
        <w:t xml:space="preserve"> 2014; </w:t>
      </w:r>
      <w:r>
        <w:rPr>
          <w:rFonts w:ascii="Book Antiqua" w:hAnsi="Book Antiqua" w:eastAsia="Book Antiqua" w:cs="Book Antiqua"/>
          <w:b/>
          <w:bCs/>
          <w:color w:val="000000"/>
        </w:rPr>
        <w:t>111</w:t>
      </w:r>
      <w:r>
        <w:rPr>
          <w:rFonts w:ascii="Book Antiqua" w:hAnsi="Book Antiqua" w:eastAsia="Book Antiqua" w:cs="Book Antiqua"/>
          <w:color w:val="000000"/>
        </w:rPr>
        <w:t>: 2205-2213 [PMID: 25268373 DOI: 10.1038/bjc.2014.512]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O'Connor JP</w:t>
      </w:r>
      <w:r>
        <w:rPr>
          <w:rFonts w:ascii="Book Antiqua" w:hAnsi="Book Antiqua" w:eastAsia="Book Antiqua" w:cs="Book Antiqua"/>
          <w:color w:val="000000"/>
        </w:rPr>
        <w:t xml:space="preserve">, Rose CJ, Waterton JC, Carano RA, Parker GJ, Jackson A. Imaging intratumor heterogeneity: role in therapy response, resistance, and clinical outcome. </w:t>
      </w:r>
      <w:r>
        <w:rPr>
          <w:rFonts w:ascii="Book Antiqua" w:hAnsi="Book Antiqua" w:eastAsia="Book Antiqua" w:cs="Book Antiqua"/>
          <w:i/>
          <w:iCs/>
          <w:color w:val="000000"/>
        </w:rPr>
        <w:t>Clin Cancer Res</w:t>
      </w:r>
      <w:r>
        <w:rPr>
          <w:rFonts w:ascii="Book Antiqua" w:hAnsi="Book Antiqua" w:eastAsia="Book Antiqua" w:cs="Book Antiqua"/>
          <w:color w:val="000000"/>
        </w:rPr>
        <w:t xml:space="preserve"> 2015; </w:t>
      </w:r>
      <w:r>
        <w:rPr>
          <w:rFonts w:ascii="Book Antiqua" w:hAnsi="Book Antiqua" w:eastAsia="Book Antiqua" w:cs="Book Antiqua"/>
          <w:b/>
          <w:bCs/>
          <w:color w:val="000000"/>
        </w:rPr>
        <w:t>21</w:t>
      </w:r>
      <w:r>
        <w:rPr>
          <w:rFonts w:ascii="Book Antiqua" w:hAnsi="Book Antiqua" w:eastAsia="Book Antiqua" w:cs="Book Antiqua"/>
          <w:color w:val="000000"/>
        </w:rPr>
        <w:t>: 249-257 [PMID: 25421725 DOI: 10.1158/1078-0432.CCR-14-0990]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Rosenkrantz AB</w:t>
      </w:r>
      <w:r>
        <w:rPr>
          <w:rFonts w:ascii="Book Antiqua" w:hAnsi="Book Antiqua" w:eastAsia="Book Antiqua" w:cs="Book Antiqua"/>
          <w:color w:val="000000"/>
        </w:rPr>
        <w:t xml:space="preserve">. Histogram-based apparent diffusion coefficient analysis: an emerging tool for cervical cancer characterization?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2013; </w:t>
      </w:r>
      <w:r>
        <w:rPr>
          <w:rFonts w:ascii="Book Antiqua" w:hAnsi="Book Antiqua" w:eastAsia="Book Antiqua" w:cs="Book Antiqua"/>
          <w:b/>
          <w:bCs/>
          <w:color w:val="000000"/>
        </w:rPr>
        <w:t>200</w:t>
      </w:r>
      <w:r>
        <w:rPr>
          <w:rFonts w:ascii="Book Antiqua" w:hAnsi="Book Antiqua" w:eastAsia="Book Antiqua" w:cs="Book Antiqua"/>
          <w:color w:val="000000"/>
        </w:rPr>
        <w:t>: 311-313 [PMID: 23345351 DOI: 10.2214/AJR.12.9926]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Hu F</w:t>
      </w:r>
      <w:r>
        <w:rPr>
          <w:rFonts w:ascii="Book Antiqua" w:hAnsi="Book Antiqua" w:eastAsia="Book Antiqua" w:cs="Book Antiqua"/>
          <w:color w:val="000000"/>
        </w:rPr>
        <w:t xml:space="preserve">, Tang W, Sun Y, Wan D, Cai S, Zhang Z, Grimm R, Yan X, Fu C, Tong T, Peng W. The value of diffusion kurtosis imaging in assessing pathological complete response to neoadjuvant chemoradiation therapy in rectal cancer: a comparison with conventional diffusion-weighted imaging. </w:t>
      </w:r>
      <w:r>
        <w:rPr>
          <w:rFonts w:ascii="Book Antiqua" w:hAnsi="Book Antiqua" w:eastAsia="Book Antiqua" w:cs="Book Antiqua"/>
          <w:i/>
          <w:iCs/>
          <w:color w:val="000000"/>
        </w:rPr>
        <w:t>Oncotarget</w:t>
      </w:r>
      <w:r>
        <w:rPr>
          <w:rFonts w:ascii="Book Antiqua" w:hAnsi="Book Antiqua" w:eastAsia="Book Antiqua" w:cs="Book Antiqua"/>
          <w:color w:val="000000"/>
        </w:rPr>
        <w:t xml:space="preserve"> 2017; </w:t>
      </w:r>
      <w:r>
        <w:rPr>
          <w:rFonts w:ascii="Book Antiqua" w:hAnsi="Book Antiqua" w:eastAsia="Book Antiqua" w:cs="Book Antiqua"/>
          <w:b/>
          <w:bCs/>
          <w:color w:val="000000"/>
        </w:rPr>
        <w:t>8</w:t>
      </w:r>
      <w:r>
        <w:rPr>
          <w:rFonts w:ascii="Book Antiqua" w:hAnsi="Book Antiqua" w:eastAsia="Book Antiqua" w:cs="Book Antiqua"/>
          <w:color w:val="000000"/>
        </w:rPr>
        <w:t>: 75597-75606 [PMID: 29088894 DOI: 10.18632/oncotarget.17491]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Xie H</w:t>
      </w:r>
      <w:r>
        <w:rPr>
          <w:rFonts w:ascii="Book Antiqua" w:hAnsi="Book Antiqua" w:eastAsia="Book Antiqua" w:cs="Book Antiqua"/>
          <w:color w:val="000000"/>
        </w:rPr>
        <w:t xml:space="preserve">, Wu G. Application of Diffusion Kurtosis Imaging and Histogram Analysis for Assessing Preoperative Stages of Rectal Cancer. </w:t>
      </w:r>
      <w:r>
        <w:rPr>
          <w:rFonts w:ascii="Book Antiqua" w:hAnsi="Book Antiqua" w:eastAsia="Book Antiqua" w:cs="Book Antiqua"/>
          <w:i/>
          <w:iCs/>
          <w:color w:val="000000"/>
        </w:rPr>
        <w:t>Gastroenterol Res Pract</w:t>
      </w:r>
      <w:r>
        <w:rPr>
          <w:rFonts w:ascii="Book Antiqua" w:hAnsi="Book Antiqua" w:eastAsia="Book Antiqua" w:cs="Book Antiqua"/>
          <w:color w:val="000000"/>
        </w:rPr>
        <w:t xml:space="preserve"> 2018; </w:t>
      </w:r>
      <w:r>
        <w:rPr>
          <w:rFonts w:ascii="Book Antiqua" w:hAnsi="Book Antiqua" w:eastAsia="Book Antiqua" w:cs="Book Antiqua"/>
          <w:b/>
          <w:bCs/>
          <w:color w:val="000000"/>
        </w:rPr>
        <w:t>2018</w:t>
      </w:r>
      <w:r>
        <w:rPr>
          <w:rFonts w:ascii="Book Antiqua" w:hAnsi="Book Antiqua" w:eastAsia="Book Antiqua" w:cs="Book Antiqua"/>
          <w:color w:val="000000"/>
        </w:rPr>
        <w:t>: 9786932 [PMID: 29967642 DOI: 10.1155/2018/9786932]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Sun YS</w:t>
      </w:r>
      <w:r>
        <w:rPr>
          <w:rFonts w:ascii="Book Antiqua" w:hAnsi="Book Antiqua" w:eastAsia="Book Antiqua" w:cs="Book Antiqua"/>
          <w:color w:val="000000"/>
        </w:rPr>
        <w:t xml:space="preserve">, Zhang XP, Tang L, Ji JF, Gu J, Cai Y, Zhang XY. Locally advanced rectal carcinoma treated with preoperative chemotherapy and radiation therapy: preliminary analysis of diffusion-weighted MR imaging for early detection of tumor histopathologic downstaging.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2010; </w:t>
      </w:r>
      <w:r>
        <w:rPr>
          <w:rFonts w:ascii="Book Antiqua" w:hAnsi="Book Antiqua" w:eastAsia="Book Antiqua" w:cs="Book Antiqua"/>
          <w:b/>
          <w:bCs/>
          <w:color w:val="000000"/>
        </w:rPr>
        <w:t>254</w:t>
      </w:r>
      <w:r>
        <w:rPr>
          <w:rFonts w:ascii="Book Antiqua" w:hAnsi="Book Antiqua" w:eastAsia="Book Antiqua" w:cs="Book Antiqua"/>
          <w:color w:val="000000"/>
        </w:rPr>
        <w:t>: 170-178 [PMID: 20019139 DOI: 10.1148/radiol.2541082230]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42 </w:t>
      </w:r>
      <w:r>
        <w:rPr>
          <w:rFonts w:ascii="Book Antiqua" w:hAnsi="Book Antiqua" w:eastAsia="Book Antiqua" w:cs="Book Antiqua"/>
          <w:b/>
          <w:bCs/>
          <w:color w:val="000000"/>
        </w:rPr>
        <w:t>Traverso A</w:t>
      </w:r>
      <w:r>
        <w:rPr>
          <w:rFonts w:ascii="Book Antiqua" w:hAnsi="Book Antiqua" w:eastAsia="Book Antiqua" w:cs="Book Antiqua"/>
          <w:color w:val="000000"/>
        </w:rPr>
        <w:t xml:space="preserve">, Kazmierski M, Shi Z, Kalendralis P, Welch M, Nissen HD, Jaffray D, Dekker A, Wee L. Stability of radiomic features of apparent diffusion coefficient (ADC) maps for locally advanced rectal cancer in response to image pre-processing. </w:t>
      </w:r>
      <w:r>
        <w:rPr>
          <w:rFonts w:ascii="Book Antiqua" w:hAnsi="Book Antiqua" w:eastAsia="Book Antiqua" w:cs="Book Antiqua"/>
          <w:i/>
          <w:iCs/>
          <w:color w:val="000000"/>
        </w:rPr>
        <w:t>Phys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61</w:t>
      </w:r>
      <w:r>
        <w:rPr>
          <w:rFonts w:ascii="Book Antiqua" w:hAnsi="Book Antiqua" w:eastAsia="Book Antiqua" w:cs="Book Antiqua"/>
          <w:color w:val="000000"/>
        </w:rPr>
        <w:t>: 44-51 [PMID: 31151578 DOI: 10.1016/j.ejmp.2019.04.009]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Choi MH</w:t>
      </w:r>
      <w:r>
        <w:rPr>
          <w:rFonts w:ascii="Book Antiqua" w:hAnsi="Book Antiqua" w:eastAsia="Book Antiqua" w:cs="Book Antiqua"/>
          <w:color w:val="000000"/>
        </w:rPr>
        <w:t xml:space="preserve">, Oh SN, Rha SE, Choi JI, Lee SH, Jang HS, Kim JG, Grimm R, Son Y. Diffusion-weighted imaging: Apparent diffusion coefficient histogram analysis for detecting pathologic complete response to chemoradiotherapy in locally advanced rectal cancer. </w:t>
      </w:r>
      <w:r>
        <w:rPr>
          <w:rFonts w:ascii="Book Antiqua" w:hAnsi="Book Antiqua" w:eastAsia="Book Antiqua" w:cs="Book Antiqua"/>
          <w:i/>
          <w:iCs/>
          <w:color w:val="000000"/>
        </w:rPr>
        <w:t>J Magn Reson Imaging</w:t>
      </w:r>
      <w:r>
        <w:rPr>
          <w:rFonts w:ascii="Book Antiqua" w:hAnsi="Book Antiqua" w:eastAsia="Book Antiqua" w:cs="Book Antiqua"/>
          <w:color w:val="000000"/>
        </w:rPr>
        <w:t xml:space="preserve"> 2016; </w:t>
      </w:r>
      <w:r>
        <w:rPr>
          <w:rFonts w:ascii="Book Antiqua" w:hAnsi="Book Antiqua" w:eastAsia="Book Antiqua" w:cs="Book Antiqua"/>
          <w:b/>
          <w:bCs/>
          <w:color w:val="000000"/>
        </w:rPr>
        <w:t>44</w:t>
      </w:r>
      <w:r>
        <w:rPr>
          <w:rFonts w:ascii="Book Antiqua" w:hAnsi="Book Antiqua" w:eastAsia="Book Antiqua" w:cs="Book Antiqua"/>
          <w:color w:val="000000"/>
        </w:rPr>
        <w:t>: 212-220 [PMID: 26666560 DOI: 10.1002/jmri.25117]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Wedeen VJ</w:t>
      </w:r>
      <w:r>
        <w:rPr>
          <w:rFonts w:ascii="Book Antiqua" w:hAnsi="Book Antiqua" w:eastAsia="Book Antiqua" w:cs="Book Antiqua"/>
          <w:color w:val="000000"/>
        </w:rPr>
        <w:t xml:space="preserve">, Hagmann P, Tseng WY, Reese TG, Weisskoff RM. Mapping complex tissue architecture with diffusion spectrum magnetic resonance imaging. </w:t>
      </w:r>
      <w:r>
        <w:rPr>
          <w:rFonts w:ascii="Book Antiqua" w:hAnsi="Book Antiqua" w:eastAsia="Book Antiqua" w:cs="Book Antiqua"/>
          <w:i/>
          <w:iCs/>
          <w:color w:val="000000"/>
        </w:rPr>
        <w:t>Magn Reson Med</w:t>
      </w:r>
      <w:r>
        <w:rPr>
          <w:rFonts w:ascii="Book Antiqua" w:hAnsi="Book Antiqua" w:eastAsia="Book Antiqua" w:cs="Book Antiqua"/>
          <w:color w:val="000000"/>
        </w:rPr>
        <w:t xml:space="preserve"> 2005; </w:t>
      </w:r>
      <w:r>
        <w:rPr>
          <w:rFonts w:ascii="Book Antiqua" w:hAnsi="Book Antiqua" w:eastAsia="Book Antiqua" w:cs="Book Antiqua"/>
          <w:b/>
          <w:bCs/>
          <w:color w:val="000000"/>
        </w:rPr>
        <w:t>54</w:t>
      </w:r>
      <w:r>
        <w:rPr>
          <w:rFonts w:ascii="Book Antiqua" w:hAnsi="Book Antiqua" w:eastAsia="Book Antiqua" w:cs="Book Antiqua"/>
          <w:color w:val="000000"/>
        </w:rPr>
        <w:t>: 1377-1386 [PMID: 16247738 DOI: 10.1002/mrm.20642]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De Robertis R</w:t>
      </w:r>
      <w:r>
        <w:rPr>
          <w:rFonts w:ascii="Book Antiqua" w:hAnsi="Book Antiqua" w:eastAsia="Book Antiqua" w:cs="Book Antiqua"/>
          <w:color w:val="000000"/>
        </w:rPr>
        <w:t xml:space="preserve">, Maris B, Cardobi N, Tinazzi Martini P, Gobbo S, Capelli P, Ortolani S, Cingarlini S, Paiella S, Landoni L, Butturini G, Regi P, Scarpa A, Tortora G, D'Onofrio M. Can histogram analysis of MR images predict aggressiveness in pancreatic neuroendocrine tumors?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2018; </w:t>
      </w:r>
      <w:r>
        <w:rPr>
          <w:rFonts w:ascii="Book Antiqua" w:hAnsi="Book Antiqua" w:eastAsia="Book Antiqua" w:cs="Book Antiqua"/>
          <w:b/>
          <w:bCs/>
          <w:color w:val="000000"/>
        </w:rPr>
        <w:t>28</w:t>
      </w:r>
      <w:r>
        <w:rPr>
          <w:rFonts w:ascii="Book Antiqua" w:hAnsi="Book Antiqua" w:eastAsia="Book Antiqua" w:cs="Book Antiqua"/>
          <w:color w:val="000000"/>
        </w:rPr>
        <w:t>: 2582-2591 [PMID: 29352378 DOI: 10.1007/s00330-017-5236-7]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46 </w:t>
      </w:r>
      <w:r>
        <w:rPr>
          <w:rFonts w:ascii="Book Antiqua" w:hAnsi="Book Antiqua" w:eastAsia="Book Antiqua" w:cs="Book Antiqua"/>
          <w:b/>
          <w:bCs/>
          <w:color w:val="000000"/>
        </w:rPr>
        <w:t>Dinapoli N</w:t>
      </w:r>
      <w:r>
        <w:rPr>
          <w:rFonts w:ascii="Book Antiqua" w:hAnsi="Book Antiqua" w:eastAsia="Book Antiqua" w:cs="Book Antiqua"/>
          <w:color w:val="000000"/>
        </w:rPr>
        <w:t xml:space="preserve">, Barbaro B, Gatta R, Chiloiro G, Casà C, Masciocchi C, Damiani A, Boldrini L, Gambacorta MA, Dezio M, Mattiucci GC, Balducci M, van Soest J, Dekker A, Lambin P, Fiorino C, Sini C, De Cobelli F, Di Muzio N, Gumina C, Passoni P, Manfredi R, Valentini V. Magnetic Resonance, Vendor-independent, Intensity Histogram Analysis Predicting Pathologic Complete Response After Radiochemotherapy of Rectal Cancer. </w:t>
      </w:r>
      <w:r>
        <w:rPr>
          <w:rFonts w:ascii="Book Antiqua" w:hAnsi="Book Antiqua" w:eastAsia="Book Antiqua" w:cs="Book Antiqua"/>
          <w:i/>
          <w:iCs/>
          <w:color w:val="000000"/>
        </w:rPr>
        <w:t>Int J Radiat Oncol Biol Phys</w:t>
      </w:r>
      <w:r>
        <w:rPr>
          <w:rFonts w:ascii="Book Antiqua" w:hAnsi="Book Antiqua" w:eastAsia="Book Antiqua" w:cs="Book Antiqua"/>
          <w:color w:val="000000"/>
        </w:rPr>
        <w:t xml:space="preserve"> 2018; </w:t>
      </w:r>
      <w:r>
        <w:rPr>
          <w:rFonts w:ascii="Book Antiqua" w:hAnsi="Book Antiqua" w:eastAsia="Book Antiqua" w:cs="Book Antiqua"/>
          <w:b/>
          <w:bCs/>
          <w:color w:val="000000"/>
        </w:rPr>
        <w:t>102</w:t>
      </w:r>
      <w:r>
        <w:rPr>
          <w:rFonts w:ascii="Book Antiqua" w:hAnsi="Book Antiqua" w:eastAsia="Book Antiqua" w:cs="Book Antiqua"/>
          <w:color w:val="000000"/>
        </w:rPr>
        <w:t>: 765-774 [PMID: 29891200 DOI: 10.1016/j.ijrobp.2018.04.065]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47 </w:t>
      </w:r>
      <w:r>
        <w:rPr>
          <w:rFonts w:ascii="Book Antiqua" w:hAnsi="Book Antiqua" w:eastAsia="Book Antiqua" w:cs="Book Antiqua"/>
          <w:b/>
          <w:bCs/>
          <w:color w:val="000000"/>
        </w:rPr>
        <w:t>Cui Y</w:t>
      </w:r>
      <w:r>
        <w:rPr>
          <w:rFonts w:ascii="Book Antiqua" w:hAnsi="Book Antiqua" w:eastAsia="Book Antiqua" w:cs="Book Antiqua"/>
          <w:color w:val="000000"/>
        </w:rPr>
        <w:t xml:space="preserve">, Yang X, Shi Z, Yang Z, Du X, Zhao Z, Cheng X. Radiomics analysis of multiparametric MRI for prediction of pathological complete response to neoadjuvant chemoradiotherapy in locally advanced rectal cancer.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29</w:t>
      </w:r>
      <w:r>
        <w:rPr>
          <w:rFonts w:ascii="Book Antiqua" w:hAnsi="Book Antiqua" w:eastAsia="Book Antiqua" w:cs="Book Antiqua"/>
          <w:color w:val="000000"/>
        </w:rPr>
        <w:t>: 1211-1220 [PMID: 30128616 DOI: 10.1007/s00330-018-5683-9]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48 </w:t>
      </w:r>
      <w:r>
        <w:rPr>
          <w:rFonts w:ascii="Book Antiqua" w:hAnsi="Book Antiqua" w:eastAsia="Book Antiqua" w:cs="Book Antiqua"/>
          <w:b/>
          <w:bCs/>
          <w:color w:val="000000"/>
        </w:rPr>
        <w:t>Chen H</w:t>
      </w:r>
      <w:r>
        <w:rPr>
          <w:rFonts w:ascii="Book Antiqua" w:hAnsi="Book Antiqua" w:eastAsia="Book Antiqua" w:cs="Book Antiqua"/>
          <w:color w:val="000000"/>
        </w:rPr>
        <w:t xml:space="preserve">, Shi L, Nguyen KNB, Monjazeb AM, Matsukuma KE, Loehfelm TW, Huang H, Qiu J, Rong Y. MRI Radiomics for Prediction of Tumor Response and Downstaging in Rectal Cancer Patients after Preoperative Chemoradiation. </w:t>
      </w:r>
      <w:r>
        <w:rPr>
          <w:rFonts w:ascii="Book Antiqua" w:hAnsi="Book Antiqua" w:eastAsia="Book Antiqua" w:cs="Book Antiqua"/>
          <w:i/>
          <w:iCs/>
          <w:color w:val="000000"/>
        </w:rPr>
        <w:t>Adv Radiat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1286-1295 [PMID: 33305090 DOI: 10.1016/j.adro.2020.04.016]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49 </w:t>
      </w:r>
      <w:r>
        <w:rPr>
          <w:rFonts w:ascii="Book Antiqua" w:hAnsi="Book Antiqua" w:eastAsia="Book Antiqua" w:cs="Book Antiqua"/>
          <w:b/>
          <w:bCs/>
          <w:color w:val="000000"/>
        </w:rPr>
        <w:t>van Heeswijk MM</w:t>
      </w:r>
      <w:r>
        <w:rPr>
          <w:rFonts w:ascii="Book Antiqua" w:hAnsi="Book Antiqua" w:eastAsia="Book Antiqua" w:cs="Book Antiqua"/>
          <w:color w:val="000000"/>
        </w:rPr>
        <w:t xml:space="preserve">, Lambregts DMJ, Maas M, Lahaye MJ, Ayas Z, Slenter JMGM, Beets GL, Bakers FCH, Beets-Tan RGH. Measuring the apparent diffusion coefficient in primary rectal tumors: is there a benefit in performing histogram analyses? </w:t>
      </w:r>
      <w:r>
        <w:rPr>
          <w:rFonts w:ascii="Book Antiqua" w:hAnsi="Book Antiqua" w:eastAsia="Book Antiqua" w:cs="Book Antiqua"/>
          <w:i/>
          <w:iCs/>
          <w:color w:val="000000"/>
        </w:rPr>
        <w:t>Abdom Radiol (NY)</w:t>
      </w:r>
      <w:r>
        <w:rPr>
          <w:rFonts w:ascii="Book Antiqua" w:hAnsi="Book Antiqua" w:eastAsia="Book Antiqua" w:cs="Book Antiqua"/>
          <w:color w:val="000000"/>
        </w:rPr>
        <w:t xml:space="preserve"> 2017; </w:t>
      </w:r>
      <w:r>
        <w:rPr>
          <w:rFonts w:ascii="Book Antiqua" w:hAnsi="Book Antiqua" w:eastAsia="Book Antiqua" w:cs="Book Antiqua"/>
          <w:b/>
          <w:bCs/>
          <w:color w:val="000000"/>
        </w:rPr>
        <w:t>42</w:t>
      </w:r>
      <w:r>
        <w:rPr>
          <w:rFonts w:ascii="Book Antiqua" w:hAnsi="Book Antiqua" w:eastAsia="Book Antiqua" w:cs="Book Antiqua"/>
          <w:color w:val="000000"/>
        </w:rPr>
        <w:t>: 1627-1636 [PMID: 28160039 DOI: 10.1007/s00261-017-1062-2]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50 </w:t>
      </w:r>
      <w:r>
        <w:rPr>
          <w:rFonts w:ascii="Book Antiqua" w:hAnsi="Book Antiqua" w:eastAsia="Book Antiqua" w:cs="Book Antiqua"/>
          <w:b/>
          <w:bCs/>
          <w:color w:val="000000"/>
        </w:rPr>
        <w:t>Nie K</w:t>
      </w:r>
      <w:r>
        <w:rPr>
          <w:rFonts w:ascii="Book Antiqua" w:hAnsi="Book Antiqua" w:eastAsia="Book Antiqua" w:cs="Book Antiqua"/>
          <w:color w:val="000000"/>
        </w:rPr>
        <w:t xml:space="preserve">, Shi L, Chen Q, Hu X, Jabbour SK, Yue N, Niu T, Sun X. Rectal Cancer: Assessment of Neoadjuvant Chemoradiation Outcome based on Radiomics of Multiparametric MRI. </w:t>
      </w:r>
      <w:r>
        <w:rPr>
          <w:rFonts w:ascii="Book Antiqua" w:hAnsi="Book Antiqua" w:eastAsia="Book Antiqua" w:cs="Book Antiqua"/>
          <w:i/>
          <w:iCs/>
          <w:color w:val="000000"/>
        </w:rPr>
        <w:t>Clin Cancer Res</w:t>
      </w:r>
      <w:r>
        <w:rPr>
          <w:rFonts w:ascii="Book Antiqua" w:hAnsi="Book Antiqua" w:eastAsia="Book Antiqua" w:cs="Book Antiqua"/>
          <w:color w:val="000000"/>
        </w:rPr>
        <w:t xml:space="preserve"> 2016; </w:t>
      </w:r>
      <w:r>
        <w:rPr>
          <w:rFonts w:ascii="Book Antiqua" w:hAnsi="Book Antiqua" w:eastAsia="Book Antiqua" w:cs="Book Antiqua"/>
          <w:b/>
          <w:bCs/>
          <w:color w:val="000000"/>
        </w:rPr>
        <w:t>22</w:t>
      </w:r>
      <w:r>
        <w:rPr>
          <w:rFonts w:ascii="Book Antiqua" w:hAnsi="Book Antiqua" w:eastAsia="Book Antiqua" w:cs="Book Antiqua"/>
          <w:color w:val="000000"/>
        </w:rPr>
        <w:t>: 5256-5264 [PMID: 27185368 DOI: 10.1158/1078-0432.CCR-15-2997]</w:t>
      </w: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The study protocol was approved by the Institutional Review Board of the National Cancer Institute from México, city, and was in accordance with the Declaration of Helsinki (Approval No. 2021/026).</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Style w:val="19"/>
          <w:rFonts w:ascii="Book Antiqua" w:hAnsi="Book Antiqua" w:eastAsia="Book Antiqua" w:cs="Book Antiqua"/>
          <w:color w:val="000000"/>
        </w:rPr>
        <w:t>Patients were not required to give informed consent to the study because the analysis used anonymous clinical data that were obtained after each patient agreed to treatment by written consent</w:t>
      </w:r>
      <w:r>
        <w:rPr>
          <w:rFonts w:ascii="Book Antiqua" w:hAnsi="Book Antiqua" w:eastAsia="Book Antiqua" w:cs="Book Antiqua"/>
          <w:color w:val="000000"/>
        </w:rPr>
        <w: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have no conflicts of interest to declare.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The raw data supporting the conclusions of this article will be made available by the authors.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23,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November 16,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22, 2022</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Mexico</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B (Very good): B</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C (Good): C, C</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D (Fair):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E (Poor): 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Karavaş E,</w:t>
      </w:r>
      <w:r>
        <w:rPr>
          <w:rFonts w:ascii="Book Antiqua" w:hAnsi="Book Antiqua"/>
        </w:rPr>
        <w:t xml:space="preserve"> </w:t>
      </w:r>
      <w:r>
        <w:rPr>
          <w:rFonts w:ascii="Book Antiqua" w:hAnsi="Book Antiqua" w:eastAsia="Book Antiqua" w:cs="Book Antiqua"/>
          <w:color w:val="000000"/>
        </w:rPr>
        <w:t>Turkey; Setiawati R, Indonesia; Zhao J,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 xml:space="preserve">Wang JL </w:t>
      </w:r>
      <w:r>
        <w:rPr>
          <w:rFonts w:ascii="Book Antiqua" w:hAnsi="Book Antiqua" w:eastAsia="Book Antiqua" w:cs="Book Antiqua"/>
          <w:b/>
          <w:color w:val="000000"/>
        </w:rPr>
        <w:t>L-Editor:</w:t>
      </w:r>
      <w:r>
        <w:rPr>
          <w:rFonts w:ascii="Book Antiqua" w:hAnsi="Book Antiqua" w:eastAsia="Book Antiqua" w:cs="Book Antiqua"/>
          <w:bCs/>
          <w:color w:val="000000"/>
        </w:rPr>
        <w:t xml:space="preserve"> Filipodia</w:t>
      </w:r>
      <w:r>
        <w:rPr>
          <w:rFonts w:ascii="Book Antiqua" w:hAnsi="Book Antiqua" w:eastAsia="Book Antiqua" w:cs="Book Antiqua"/>
          <w:b/>
          <w:color w:val="000000"/>
        </w:rPr>
        <w:t xml:space="preserve"> P-Editor: </w:t>
      </w:r>
      <w:r>
        <w:rPr>
          <w:rFonts w:ascii="Book Antiqua" w:hAnsi="Book Antiqua" w:eastAsia="Book Antiqua" w:cs="Book Antiqua"/>
          <w:color w:val="000000"/>
        </w:rPr>
        <w:t>Wang JL</w:t>
      </w:r>
    </w:p>
    <w:p>
      <w:pPr>
        <w:adjustRightInd w:val="0"/>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Figure Legends</w:t>
      </w:r>
    </w:p>
    <w:p>
      <w:pPr>
        <w:adjustRightInd w:val="0"/>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4626610" cy="3727450"/>
            <wp:effectExtent l="0" t="0" r="6350" b="6350"/>
            <wp:docPr id="4" name="图片 4" descr="WJG-28-260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28-2609-g001"/>
                    <pic:cNvPicPr>
                      <a:picLocks noChangeAspect="1"/>
                    </pic:cNvPicPr>
                  </pic:nvPicPr>
                  <pic:blipFill>
                    <a:blip r:embed="rId5"/>
                    <a:stretch>
                      <a:fillRect/>
                    </a:stretch>
                  </pic:blipFill>
                  <pic:spPr>
                    <a:xfrm>
                      <a:off x="0" y="0"/>
                      <a:ext cx="4626610" cy="372745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w:t>
      </w:r>
      <w:r>
        <w:rPr>
          <w:rFonts w:ascii="Book Antiqua" w:hAnsi="Book Antiqua" w:eastAsia="Book Antiqua" w:cs="Book Antiqua"/>
          <w:b/>
          <w:bCs/>
          <w:color w:val="000000"/>
          <w:shd w:val="clear" w:color="auto" w:fill="FFFFFF"/>
        </w:rPr>
        <w:t>R</w:t>
      </w:r>
      <w:r>
        <w:rPr>
          <w:rFonts w:ascii="Book Antiqua" w:hAnsi="Book Antiqua" w:eastAsia="Book Antiqua" w:cs="Book Antiqua"/>
          <w:b/>
          <w:bCs/>
          <w:color w:val="000000"/>
        </w:rPr>
        <w:t>epresentative images of magnetic resonance imaging protocol.</w:t>
      </w:r>
      <w:r>
        <w:rPr>
          <w:rFonts w:ascii="Book Antiqua" w:hAnsi="Book Antiqua" w:eastAsia="Book Antiqua" w:cs="Book Antiqua"/>
          <w:color w:val="000000"/>
        </w:rPr>
        <w:t xml:space="preserve"> A-C: Axial T2 (A), apparent diffusion coefficient (ADC) map and T2 fusion ADC map color (B) and images of bulky tumor (C), showing tumor extending more than 5 mm into the mesorectal fat and invading the mesorectal fascia.</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4199890" cy="3752215"/>
            <wp:effectExtent l="0" t="0" r="6350" b="12065"/>
            <wp:docPr id="7" name="图片 7" descr="WJG-28-260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28-2609-g002"/>
                    <pic:cNvPicPr>
                      <a:picLocks noChangeAspect="1"/>
                    </pic:cNvPicPr>
                  </pic:nvPicPr>
                  <pic:blipFill>
                    <a:blip r:embed="rId6"/>
                    <a:stretch>
                      <a:fillRect/>
                    </a:stretch>
                  </pic:blipFill>
                  <pic:spPr>
                    <a:xfrm>
                      <a:off x="0" y="0"/>
                      <a:ext cx="4199890" cy="3752215"/>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Figure 2 Images of rectal tumor before and after neoadjuvant chemoradiation therapy. </w:t>
      </w:r>
      <w:r>
        <w:rPr>
          <w:rFonts w:ascii="Book Antiqua" w:hAnsi="Book Antiqua" w:eastAsia="Book Antiqua" w:cs="Book Antiqua"/>
          <w:color w:val="000000"/>
        </w:rPr>
        <w:t>A, C: T2-weighted magnetic resonance images obtained in 67-year-old man with a rectal tumor (histopathologic response Ryan 1) to evaluate tumor volume; B, D: Diffusion-weighted images (DWI) that were obtained from the same case</w:t>
      </w:r>
      <w:r>
        <w:rPr>
          <w:rFonts w:ascii="Book Antiqua" w:hAnsi="Book Antiqua" w:eastAsia="Book Antiqua" w:cs="Book Antiqua"/>
          <w:b/>
          <w:bCs/>
          <w:color w:val="000000"/>
        </w:rPr>
        <w:t xml:space="preserve">. </w:t>
      </w:r>
      <w:r>
        <w:rPr>
          <w:rFonts w:ascii="Book Antiqua" w:hAnsi="Book Antiqua" w:eastAsia="Book Antiqua" w:cs="Book Antiqua"/>
          <w:color w:val="000000"/>
        </w:rPr>
        <w:t>As we can see in the present case, regions</w:t>
      </w:r>
      <w:r>
        <w:rPr>
          <w:rFonts w:ascii="Book Antiqua" w:hAnsi="Book Antiqua" w:eastAsia="Book Antiqua" w:cs="Book Antiqua"/>
          <w:color w:val="000000"/>
          <w:vertAlign w:val="subscript"/>
        </w:rPr>
        <w:t> </w:t>
      </w:r>
      <w:r>
        <w:rPr>
          <w:rFonts w:ascii="Book Antiqua" w:hAnsi="Book Antiqua" w:eastAsia="Book Antiqua" w:cs="Book Antiqua"/>
          <w:color w:val="000000"/>
        </w:rPr>
        <w:t>of interest were drawn manually slice by slice on DWI images along the edge of the lesion to cover as much tumor area as possible without excluding cystic or necrotic areas. nCRT: Neoadjuvant chemoradiation therapy.</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4288790" cy="4605655"/>
            <wp:effectExtent l="0" t="0" r="8890" b="12065"/>
            <wp:docPr id="8" name="图片 8" descr="WJG-28-260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28-2609-g003"/>
                    <pic:cNvPicPr>
                      <a:picLocks noChangeAspect="1"/>
                    </pic:cNvPicPr>
                  </pic:nvPicPr>
                  <pic:blipFill>
                    <a:blip r:embed="rId7"/>
                    <a:stretch>
                      <a:fillRect/>
                    </a:stretch>
                  </pic:blipFill>
                  <pic:spPr>
                    <a:xfrm>
                      <a:off x="0" y="0"/>
                      <a:ext cx="4288790" cy="4605655"/>
                    </a:xfrm>
                    <a:prstGeom prst="rect">
                      <a:avLst/>
                    </a:prstGeom>
                  </pic:spPr>
                </pic:pic>
              </a:graphicData>
            </a:graphic>
          </wp:inline>
        </w:drawing>
      </w:r>
      <w:bookmarkStart w:id="2" w:name="_GoBack"/>
      <w:bookmarkEnd w:id="2"/>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Receiver operating characteristic curves displaying the diagnostic performances of the four histogram parameters derived from apparent diffusion coefficient values with the highest accuracy.</w:t>
      </w:r>
      <w:r>
        <w:rPr>
          <w:rFonts w:ascii="Book Antiqua" w:hAnsi="Book Antiqua" w:eastAsia="Book Antiqua" w:cs="Book Antiqua"/>
          <w:color w:val="000000"/>
        </w:rPr>
        <w:t xml:space="preserve"> A: ∆%kurtosis; B: Post-neoadjuvant chemoradiation therapy (nCRT) kurtosis; C: ∆skewness; D: Post-nCRT skewness. AUC: Area under the receiver operating characteristic curve.</w:t>
      </w:r>
    </w:p>
    <w:p>
      <w:pPr>
        <w:autoSpaceDE w:val="0"/>
        <w:autoSpaceDN w:val="0"/>
        <w:adjustRightInd w:val="0"/>
        <w:snapToGrid w:val="0"/>
        <w:spacing w:line="360" w:lineRule="auto"/>
        <w:jc w:val="both"/>
        <w:rPr>
          <w:rFonts w:ascii="Book Antiqua" w:hAnsi="Book Antiqua" w:cs="Arial"/>
          <w:b/>
          <w:bCs/>
          <w:shd w:val="clear" w:color="auto" w:fill="FFFFFF"/>
        </w:rPr>
      </w:pPr>
      <w:r>
        <w:rPr>
          <w:rFonts w:ascii="Book Antiqua" w:hAnsi="Book Antiqua" w:eastAsia="Book Antiqua" w:cs="Book Antiqua"/>
          <w:color w:val="000000"/>
        </w:rPr>
        <w:br w:type="page"/>
      </w:r>
      <w:r>
        <w:rPr>
          <w:rFonts w:ascii="Book Antiqua" w:hAnsi="Book Antiqua" w:cs="Arial"/>
          <w:b/>
          <w:bCs/>
          <w:shd w:val="clear" w:color="auto" w:fill="FFFFFF"/>
        </w:rPr>
        <w:t xml:space="preserve">Table 1 </w:t>
      </w:r>
      <w:r>
        <w:rPr>
          <w:rFonts w:ascii="Book Antiqua" w:hAnsi="Book Antiqua" w:eastAsia="Book Antiqua" w:cs="Book Antiqua"/>
          <w:b/>
          <w:bCs/>
          <w:color w:val="000000"/>
        </w:rPr>
        <w:t>Magnetic resonance imaging</w:t>
      </w:r>
      <w:r>
        <w:rPr>
          <w:rFonts w:ascii="Book Antiqua" w:hAnsi="Book Antiqua" w:cs="Arial"/>
          <w:b/>
          <w:bCs/>
          <w:shd w:val="clear" w:color="auto" w:fill="FFFFFF"/>
        </w:rPr>
        <w:t xml:space="preserve"> sequences and data acquisition parameters</w:t>
      </w:r>
    </w:p>
    <w:tbl>
      <w:tblPr>
        <w:tblStyle w:val="13"/>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82"/>
        <w:gridCol w:w="1078"/>
        <w:gridCol w:w="820"/>
        <w:gridCol w:w="1101"/>
        <w:gridCol w:w="820"/>
        <w:gridCol w:w="820"/>
        <w:gridCol w:w="820"/>
        <w:gridCol w:w="1101"/>
        <w:gridCol w:w="153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4" w:type="pct"/>
            <w:vMerge w:val="restart"/>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b/>
                <w:bCs/>
                <w:lang w:val="es-MX"/>
              </w:rPr>
              <w:t>Parameter</w:t>
            </w:r>
          </w:p>
        </w:tc>
        <w:tc>
          <w:tcPr>
            <w:tcW w:w="4226" w:type="pct"/>
            <w:gridSpan w:val="8"/>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Arial"/>
                <w:b/>
                <w:bCs/>
                <w:lang w:val="es-MX"/>
              </w:rPr>
            </w:pPr>
            <w:r>
              <w:rPr>
                <w:rFonts w:ascii="Book Antiqua" w:hAnsi="Book Antiqua" w:cs="Arial"/>
                <w:b/>
                <w:bCs/>
                <w:lang w:val="es-MX"/>
              </w:rPr>
              <w:t>Magnetic resonance imaging sequences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4" w:type="pct"/>
            <w:vMerge w:val="continue"/>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Arial"/>
                <w:b/>
                <w:bCs/>
                <w:lang w:val="es-MX"/>
              </w:rPr>
            </w:pPr>
          </w:p>
        </w:tc>
        <w:tc>
          <w:tcPr>
            <w:tcW w:w="563" w:type="pct"/>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Arial"/>
                <w:b/>
                <w:bCs/>
                <w:lang w:val="es-MX"/>
              </w:rPr>
            </w:pPr>
            <w:r>
              <w:rPr>
                <w:rFonts w:ascii="Book Antiqua" w:hAnsi="Book Antiqua" w:cs="Arial"/>
                <w:b/>
                <w:bCs/>
                <w:lang w:val="es-MX"/>
              </w:rPr>
              <w:t>T2 FSE sagittal</w:t>
            </w:r>
          </w:p>
        </w:tc>
        <w:tc>
          <w:tcPr>
            <w:tcW w:w="428" w:type="pct"/>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Arial"/>
                <w:b/>
                <w:bCs/>
                <w:lang w:val="es-MX"/>
              </w:rPr>
            </w:pPr>
            <w:r>
              <w:rPr>
                <w:rFonts w:ascii="Book Antiqua" w:hAnsi="Book Antiqua" w:cs="Arial"/>
                <w:b/>
                <w:bCs/>
                <w:lang w:val="es-MX"/>
              </w:rPr>
              <w:t>T2 FSE axial</w:t>
            </w:r>
          </w:p>
        </w:tc>
        <w:tc>
          <w:tcPr>
            <w:tcW w:w="575" w:type="pct"/>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Arial"/>
                <w:b/>
                <w:bCs/>
                <w:lang w:val="es-MX"/>
              </w:rPr>
            </w:pPr>
            <w:r>
              <w:rPr>
                <w:rFonts w:ascii="Book Antiqua" w:hAnsi="Book Antiqua" w:cs="Arial"/>
                <w:b/>
                <w:bCs/>
                <w:lang w:val="es-MX"/>
              </w:rPr>
              <w:t>T2 FSE coronal</w:t>
            </w:r>
          </w:p>
        </w:tc>
        <w:tc>
          <w:tcPr>
            <w:tcW w:w="428" w:type="pct"/>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Arial"/>
                <w:b/>
                <w:bCs/>
                <w:lang w:val="es-MX"/>
              </w:rPr>
            </w:pPr>
            <w:r>
              <w:rPr>
                <w:rFonts w:ascii="Book Antiqua" w:hAnsi="Book Antiqua" w:cs="Arial"/>
                <w:b/>
                <w:bCs/>
                <w:lang w:val="es-MX"/>
              </w:rPr>
              <w:t>T1 FSE axial</w:t>
            </w:r>
          </w:p>
        </w:tc>
        <w:tc>
          <w:tcPr>
            <w:tcW w:w="428" w:type="pct"/>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Arial"/>
                <w:b/>
                <w:bCs/>
                <w:lang w:val="es-MX"/>
              </w:rPr>
            </w:pPr>
            <w:r>
              <w:rPr>
                <w:rFonts w:ascii="Book Antiqua" w:hAnsi="Book Antiqua" w:cs="Arial"/>
                <w:b/>
                <w:bCs/>
                <w:lang w:val="es-MX"/>
              </w:rPr>
              <w:t>DWI axial</w:t>
            </w:r>
          </w:p>
        </w:tc>
        <w:tc>
          <w:tcPr>
            <w:tcW w:w="428" w:type="pct"/>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Arial"/>
                <w:b/>
                <w:bCs/>
                <w:lang w:val="es-MX"/>
              </w:rPr>
            </w:pPr>
            <w:r>
              <w:rPr>
                <w:rFonts w:ascii="Book Antiqua" w:hAnsi="Book Antiqua" w:cs="Arial"/>
                <w:b/>
                <w:bCs/>
                <w:lang w:val="es-MX"/>
              </w:rPr>
              <w:t>T1 + GD axial</w:t>
            </w:r>
          </w:p>
        </w:tc>
        <w:tc>
          <w:tcPr>
            <w:tcW w:w="575" w:type="pct"/>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Arial"/>
                <w:b/>
                <w:bCs/>
                <w:lang w:val="es-MX"/>
              </w:rPr>
            </w:pPr>
            <w:r>
              <w:rPr>
                <w:rFonts w:ascii="Book Antiqua" w:hAnsi="Book Antiqua" w:cs="Arial"/>
                <w:b/>
                <w:bCs/>
                <w:lang w:val="es-MX"/>
              </w:rPr>
              <w:t>T1 + GD coronal</w:t>
            </w:r>
          </w:p>
        </w:tc>
        <w:tc>
          <w:tcPr>
            <w:tcW w:w="802" w:type="pct"/>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cs="Arial"/>
                <w:b/>
                <w:bCs/>
                <w:lang w:val="es-MX"/>
              </w:rPr>
            </w:pPr>
            <w:r>
              <w:rPr>
                <w:rFonts w:ascii="Book Antiqua" w:hAnsi="Book Antiqua" w:cs="Arial"/>
                <w:b/>
                <w:bCs/>
                <w:lang w:val="es-MX"/>
              </w:rPr>
              <w:t>T1 + GD coronal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4" w:type="pct"/>
            <w:tcBorders>
              <w:top w:val="single" w:color="auto" w:sz="4" w:space="0"/>
            </w:tcBorders>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Repetition time in ms</w:t>
            </w:r>
          </w:p>
        </w:tc>
        <w:tc>
          <w:tcPr>
            <w:tcW w:w="563" w:type="pct"/>
            <w:tcBorders>
              <w:top w:val="single" w:color="auto" w:sz="4" w:space="0"/>
            </w:tcBorders>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5325</w:t>
            </w:r>
          </w:p>
        </w:tc>
        <w:tc>
          <w:tcPr>
            <w:tcW w:w="428" w:type="pct"/>
            <w:tcBorders>
              <w:top w:val="single" w:color="auto" w:sz="4" w:space="0"/>
            </w:tcBorders>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9890</w:t>
            </w:r>
          </w:p>
        </w:tc>
        <w:tc>
          <w:tcPr>
            <w:tcW w:w="575" w:type="pct"/>
            <w:tcBorders>
              <w:top w:val="single" w:color="auto" w:sz="4" w:space="0"/>
            </w:tcBorders>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7509</w:t>
            </w:r>
          </w:p>
        </w:tc>
        <w:tc>
          <w:tcPr>
            <w:tcW w:w="428" w:type="pct"/>
            <w:tcBorders>
              <w:top w:val="single" w:color="auto" w:sz="4" w:space="0"/>
            </w:tcBorders>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850</w:t>
            </w:r>
          </w:p>
        </w:tc>
        <w:tc>
          <w:tcPr>
            <w:tcW w:w="428" w:type="pct"/>
            <w:tcBorders>
              <w:top w:val="single" w:color="auto" w:sz="4" w:space="0"/>
            </w:tcBorders>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7750</w:t>
            </w:r>
          </w:p>
        </w:tc>
        <w:tc>
          <w:tcPr>
            <w:tcW w:w="428" w:type="pct"/>
            <w:tcBorders>
              <w:top w:val="single" w:color="auto" w:sz="4" w:space="0"/>
            </w:tcBorders>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435</w:t>
            </w:r>
          </w:p>
        </w:tc>
        <w:tc>
          <w:tcPr>
            <w:tcW w:w="575" w:type="pct"/>
            <w:tcBorders>
              <w:top w:val="single" w:color="auto" w:sz="4" w:space="0"/>
            </w:tcBorders>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295</w:t>
            </w:r>
          </w:p>
        </w:tc>
        <w:tc>
          <w:tcPr>
            <w:tcW w:w="802" w:type="pct"/>
            <w:tcBorders>
              <w:top w:val="single" w:color="auto" w:sz="4" w:space="0"/>
            </w:tcBorders>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4"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Echo time in ms</w:t>
            </w:r>
          </w:p>
        </w:tc>
        <w:tc>
          <w:tcPr>
            <w:tcW w:w="563"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102</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102</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102</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Min</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Min</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Min</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Min</w:t>
            </w:r>
          </w:p>
        </w:tc>
        <w:tc>
          <w:tcPr>
            <w:tcW w:w="802"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Min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4"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 xml:space="preserve">Slices, </w:t>
            </w:r>
            <w:r>
              <w:rPr>
                <w:rFonts w:ascii="Book Antiqua" w:hAnsi="Book Antiqua" w:cs="Arial"/>
                <w:i/>
                <w:iCs/>
                <w:lang w:val="es-MX"/>
              </w:rPr>
              <w:t>n</w:t>
            </w:r>
          </w:p>
        </w:tc>
        <w:tc>
          <w:tcPr>
            <w:tcW w:w="563"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30</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40</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30</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40</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40</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40</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40</w:t>
            </w:r>
          </w:p>
        </w:tc>
        <w:tc>
          <w:tcPr>
            <w:tcW w:w="802"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4"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FOV</w:t>
            </w:r>
          </w:p>
        </w:tc>
        <w:tc>
          <w:tcPr>
            <w:tcW w:w="563"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24</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20</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20</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20</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20</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20</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20</w:t>
            </w:r>
          </w:p>
        </w:tc>
        <w:tc>
          <w:tcPr>
            <w:tcW w:w="802"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4"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Slices thickness in mm</w:t>
            </w:r>
          </w:p>
        </w:tc>
        <w:tc>
          <w:tcPr>
            <w:tcW w:w="563"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w:t>
            </w:r>
          </w:p>
        </w:tc>
        <w:tc>
          <w:tcPr>
            <w:tcW w:w="802"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4"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Broadband in Hz/Px</w:t>
            </w:r>
          </w:p>
        </w:tc>
        <w:tc>
          <w:tcPr>
            <w:tcW w:w="563"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62.5</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62.5</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50</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62.5</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50</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50</w:t>
            </w:r>
          </w:p>
        </w:tc>
        <w:tc>
          <w:tcPr>
            <w:tcW w:w="802"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4"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Phase</w:t>
            </w:r>
          </w:p>
        </w:tc>
        <w:tc>
          <w:tcPr>
            <w:tcW w:w="563"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384</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384</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416</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384</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60</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320</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320</w:t>
            </w:r>
          </w:p>
        </w:tc>
        <w:tc>
          <w:tcPr>
            <w:tcW w:w="802"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320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74"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Acquisition time in min:s</w:t>
            </w:r>
          </w:p>
        </w:tc>
        <w:tc>
          <w:tcPr>
            <w:tcW w:w="563"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2:35</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3:08</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2:45</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3:53</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5:18</w:t>
            </w:r>
          </w:p>
        </w:tc>
        <w:tc>
          <w:tcPr>
            <w:tcW w:w="428"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2:31</w:t>
            </w:r>
          </w:p>
        </w:tc>
        <w:tc>
          <w:tcPr>
            <w:tcW w:w="575"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2:16</w:t>
            </w:r>
          </w:p>
        </w:tc>
        <w:tc>
          <w:tcPr>
            <w:tcW w:w="802" w:type="pct"/>
          </w:tcPr>
          <w:p>
            <w:pPr>
              <w:autoSpaceDE w:val="0"/>
              <w:autoSpaceDN w:val="0"/>
              <w:adjustRightInd w:val="0"/>
              <w:snapToGrid w:val="0"/>
              <w:spacing w:line="360" w:lineRule="auto"/>
              <w:jc w:val="both"/>
              <w:rPr>
                <w:rFonts w:ascii="Book Antiqua" w:hAnsi="Book Antiqua" w:cs="Arial"/>
                <w:lang w:val="es-MX"/>
              </w:rPr>
            </w:pPr>
            <w:r>
              <w:rPr>
                <w:rFonts w:ascii="Book Antiqua" w:hAnsi="Book Antiqua" w:cs="Arial"/>
                <w:lang w:val="es-MX"/>
              </w:rPr>
              <w:t>2:02</w:t>
            </w:r>
          </w:p>
        </w:tc>
      </w:tr>
    </w:tbl>
    <w:p>
      <w:pPr>
        <w:autoSpaceDE w:val="0"/>
        <w:autoSpaceDN w:val="0"/>
        <w:adjustRightInd w:val="0"/>
        <w:snapToGrid w:val="0"/>
        <w:spacing w:line="360" w:lineRule="auto"/>
        <w:jc w:val="both"/>
        <w:rPr>
          <w:rFonts w:ascii="Book Antiqua" w:hAnsi="Book Antiqua" w:cs="Arial"/>
          <w:lang w:eastAsia="zh-CN"/>
        </w:rPr>
      </w:pPr>
      <w:r>
        <w:rPr>
          <w:rFonts w:ascii="Book Antiqua" w:hAnsi="Book Antiqua" w:cs="Arial"/>
        </w:rPr>
        <w:t xml:space="preserve">DWI: </w:t>
      </w:r>
      <w:r>
        <w:rPr>
          <w:rFonts w:ascii="Book Antiqua" w:hAnsi="Book Antiqua" w:eastAsia="Book Antiqua" w:cs="Book Antiqua"/>
          <w:color w:val="000000"/>
          <w:shd w:val="clear" w:color="auto" w:fill="FFFFFF"/>
        </w:rPr>
        <w:t xml:space="preserve">Diffusion-weighted imaging; </w:t>
      </w:r>
      <w:r>
        <w:rPr>
          <w:rFonts w:ascii="Book Antiqua" w:hAnsi="Book Antiqua" w:eastAsia="Book Antiqua" w:cs="Book Antiqua"/>
          <w:color w:val="000000"/>
        </w:rPr>
        <w:t xml:space="preserve">FSE: Fast spin-echo; </w:t>
      </w:r>
      <w:r>
        <w:rPr>
          <w:rFonts w:ascii="Book Antiqua" w:hAnsi="Book Antiqua" w:eastAsia="Book Antiqua" w:cs="Book Antiqua"/>
          <w:color w:val="000000"/>
          <w:shd w:val="clear" w:color="auto" w:fill="FFFFFF"/>
        </w:rPr>
        <w:t xml:space="preserve">GD: Gadolinium; </w:t>
      </w:r>
      <w:r>
        <w:rPr>
          <w:rFonts w:ascii="Book Antiqua" w:hAnsi="Book Antiqua" w:cs="Arial"/>
        </w:rPr>
        <w:t>MRI</w:t>
      </w:r>
      <w:r>
        <w:rPr>
          <w:rFonts w:hint="eastAsia" w:ascii="Book Antiqua" w:hAnsi="Book Antiqua" w:cs="Arial"/>
          <w:lang w:eastAsia="zh-CN"/>
        </w:rPr>
        <w:t>:</w:t>
      </w:r>
      <w:r>
        <w:rPr>
          <w:rFonts w:ascii="Book Antiqua" w:hAnsi="Book Antiqua" w:cs="Arial"/>
          <w:lang w:eastAsia="zh-CN"/>
        </w:rPr>
        <w:t xml:space="preserve"> </w:t>
      </w:r>
      <w:r>
        <w:rPr>
          <w:rFonts w:ascii="Book Antiqua" w:hAnsi="Book Antiqua" w:eastAsia="Book Antiqua" w:cs="Book Antiqua"/>
          <w:color w:val="000000"/>
        </w:rPr>
        <w:t>Magnetic resonance imaging.</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cs="Arial"/>
          <w:b/>
          <w:bCs/>
          <w:lang w:val="en-GB"/>
        </w:rPr>
      </w:pPr>
      <w:r>
        <w:rPr>
          <w:rFonts w:ascii="Book Antiqua" w:hAnsi="Book Antiqua" w:cs="Arial"/>
          <w:b/>
          <w:bCs/>
          <w:lang w:val="en-GB"/>
        </w:rPr>
        <w:br w:type="page"/>
      </w:r>
      <w:r>
        <w:rPr>
          <w:rFonts w:ascii="Book Antiqua" w:hAnsi="Book Antiqua" w:cs="Arial"/>
          <w:b/>
          <w:bCs/>
          <w:lang w:val="en-GB"/>
        </w:rPr>
        <w:t>Table 2 Clinical and pathological characteristics of the patients’ studies</w:t>
      </w:r>
    </w:p>
    <w:tbl>
      <w:tblPr>
        <w:tblStyle w:val="13"/>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70"/>
        <w:gridCol w:w="450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lang w:val="en-GB"/>
              </w:rPr>
            </w:pPr>
            <w:r>
              <w:rPr>
                <w:rFonts w:ascii="Book Antiqua" w:hAnsi="Book Antiqua" w:cs="Arial"/>
                <w:b/>
                <w:bCs/>
                <w:lang w:val="en-GB"/>
              </w:rPr>
              <w:t>Characteristics</w:t>
            </w:r>
          </w:p>
        </w:tc>
        <w:tc>
          <w:tcPr>
            <w:tcW w:w="2353"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lang w:val="en-GB" w:eastAsia="zh-CN"/>
              </w:rPr>
            </w:pPr>
            <w:r>
              <w:rPr>
                <w:rFonts w:ascii="Book Antiqua" w:hAnsi="Book Antiqua" w:cs="Arial"/>
                <w:b/>
                <w:bCs/>
                <w:i/>
                <w:iCs/>
                <w:lang w:val="en-GB" w:eastAsia="zh-CN"/>
              </w:rPr>
              <w:t>n</w:t>
            </w:r>
            <w:r>
              <w:rPr>
                <w:rFonts w:ascii="Book Antiqua" w:hAnsi="Book Antiqua" w:cs="Arial"/>
                <w:b/>
                <w:bCs/>
                <w:lang w:val="en-GB" w:eastAsia="zh-CN"/>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Borders>
              <w:top w:val="single" w:color="auto" w:sz="4" w:space="0"/>
            </w:tcBorders>
          </w:tcPr>
          <w:p>
            <w:pPr>
              <w:adjustRightInd w:val="0"/>
              <w:snapToGrid w:val="0"/>
              <w:spacing w:line="360" w:lineRule="auto"/>
              <w:jc w:val="both"/>
              <w:rPr>
                <w:rFonts w:ascii="Book Antiqua" w:hAnsi="Book Antiqua" w:cs="Arial"/>
                <w:lang w:val="en-GB"/>
              </w:rPr>
            </w:pPr>
            <w:r>
              <w:rPr>
                <w:rFonts w:ascii="Book Antiqua" w:hAnsi="Book Antiqua" w:cs="Arial"/>
                <w:lang w:val="en-GB"/>
              </w:rPr>
              <w:t>Sex</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Female</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23 (48)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Male</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25 (52)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Pr>
          <w:p>
            <w:pPr>
              <w:adjustRightInd w:val="0"/>
              <w:snapToGrid w:val="0"/>
              <w:spacing w:line="360" w:lineRule="auto"/>
              <w:jc w:val="both"/>
              <w:rPr>
                <w:rFonts w:ascii="Book Antiqua" w:hAnsi="Book Antiqua" w:cs="Arial"/>
                <w:lang w:val="en-GB"/>
              </w:rPr>
            </w:pPr>
            <w:r>
              <w:rPr>
                <w:rFonts w:ascii="Book Antiqua" w:hAnsi="Book Antiqua" w:cs="Arial"/>
                <w:lang w:val="en-GB"/>
              </w:rPr>
              <w:t>RECIST 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Partial response</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22 (46)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Stable disease</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13 (27)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Progressive disease</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13 (27)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Pr>
          <w:p>
            <w:pPr>
              <w:adjustRightInd w:val="0"/>
              <w:snapToGrid w:val="0"/>
              <w:spacing w:line="360" w:lineRule="auto"/>
              <w:jc w:val="both"/>
              <w:rPr>
                <w:rFonts w:ascii="Book Antiqua" w:hAnsi="Book Antiqua" w:cs="Arial"/>
                <w:lang w:val="en-GB"/>
              </w:rPr>
            </w:pPr>
            <w:r>
              <w:rPr>
                <w:rFonts w:ascii="Book Antiqua" w:hAnsi="Book Antiqua" w:cs="Arial"/>
                <w:lang w:val="en-GB"/>
              </w:rPr>
              <w:t>Ryan’s classification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0</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18 (38)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10 (21)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2</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9 (19)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3</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11 (22)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Pr>
          <w:p>
            <w:pPr>
              <w:adjustRightInd w:val="0"/>
              <w:snapToGrid w:val="0"/>
              <w:spacing w:line="360" w:lineRule="auto"/>
              <w:jc w:val="both"/>
              <w:rPr>
                <w:rFonts w:ascii="Book Antiqua" w:hAnsi="Book Antiqua" w:cs="Arial"/>
                <w:lang w:val="en-GB"/>
              </w:rPr>
            </w:pPr>
            <w:r>
              <w:rPr>
                <w:rFonts w:ascii="Book Antiqua" w:hAnsi="Book Antiqua" w:cs="Arial"/>
                <w:lang w:val="en-GB"/>
              </w:rPr>
              <w:t>Treatment response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Complete responders after nCRT</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18 (38)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Non-responders’ patients after nCRT</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30 (62)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Pr>
          <w:p>
            <w:pPr>
              <w:adjustRightInd w:val="0"/>
              <w:snapToGrid w:val="0"/>
              <w:spacing w:line="360" w:lineRule="auto"/>
              <w:jc w:val="both"/>
              <w:rPr>
                <w:rFonts w:ascii="Book Antiqua" w:hAnsi="Book Antiqua" w:cs="Arial"/>
                <w:lang w:val="en-GB"/>
              </w:rPr>
            </w:pPr>
            <w:r>
              <w:rPr>
                <w:rFonts w:ascii="Book Antiqua" w:hAnsi="Book Antiqua" w:cs="Arial"/>
                <w:lang w:val="en-GB"/>
              </w:rPr>
              <w:t>Tumor location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Upper third</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 (15)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Middle third</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14 (29)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 xml:space="preserve">Lower third </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20 (41)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 xml:space="preserve">Diffuse </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 (15)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Pr>
          <w:p>
            <w:pPr>
              <w:adjustRightInd w:val="0"/>
              <w:snapToGrid w:val="0"/>
              <w:spacing w:line="360" w:lineRule="auto"/>
              <w:jc w:val="both"/>
              <w:rPr>
                <w:rFonts w:ascii="Book Antiqua" w:hAnsi="Book Antiqua" w:cs="Arial"/>
                <w:lang w:val="en-GB"/>
              </w:rPr>
            </w:pPr>
            <w:r>
              <w:rPr>
                <w:rFonts w:ascii="Book Antiqua" w:hAnsi="Book Antiqua" w:cs="Arial"/>
                <w:lang w:val="en-GB"/>
              </w:rPr>
              <w:t>ypT stage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T0</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4 (8)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T1s</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4 (8)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T1a</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2 (4)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T2</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8 (17)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T3</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20 (42)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T4b</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10 (21)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Pr>
          <w:p>
            <w:pPr>
              <w:adjustRightInd w:val="0"/>
              <w:snapToGrid w:val="0"/>
              <w:spacing w:line="360" w:lineRule="auto"/>
              <w:jc w:val="both"/>
              <w:rPr>
                <w:rFonts w:ascii="Book Antiqua" w:hAnsi="Book Antiqua" w:cs="Arial"/>
                <w:lang w:val="en-GB"/>
              </w:rPr>
            </w:pPr>
            <w:r>
              <w:rPr>
                <w:rFonts w:ascii="Book Antiqua" w:hAnsi="Book Antiqua" w:cs="Arial"/>
                <w:lang w:val="en-GB"/>
              </w:rPr>
              <w:t>ypN stage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N0</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20 (42)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N1a</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14 (29)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Nic</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14 (29)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Pr>
          <w:p>
            <w:pPr>
              <w:adjustRightInd w:val="0"/>
              <w:snapToGrid w:val="0"/>
              <w:spacing w:line="360" w:lineRule="auto"/>
              <w:jc w:val="both"/>
              <w:rPr>
                <w:rFonts w:ascii="Book Antiqua" w:hAnsi="Book Antiqua" w:cs="Arial"/>
                <w:lang w:val="en-GB"/>
              </w:rPr>
            </w:pPr>
            <w:r>
              <w:rPr>
                <w:rFonts w:ascii="Book Antiqua" w:hAnsi="Book Antiqua" w:cs="Arial"/>
                <w:lang w:val="en-GB"/>
              </w:rPr>
              <w:t>Degree of differentiation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Well-differentiated adenocarcinoma</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 (13)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Moderately differentiated adenocarcinoma</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35 (73)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Poorly differentiated adenocarcinoma</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 (14)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Pr>
          <w:p>
            <w:pPr>
              <w:adjustRightInd w:val="0"/>
              <w:snapToGrid w:val="0"/>
              <w:spacing w:line="360" w:lineRule="auto"/>
              <w:jc w:val="both"/>
              <w:rPr>
                <w:rFonts w:ascii="Book Antiqua" w:hAnsi="Book Antiqua" w:cs="Arial"/>
                <w:lang w:val="en-GB"/>
              </w:rPr>
            </w:pPr>
            <w:r>
              <w:rPr>
                <w:rFonts w:ascii="Book Antiqua" w:hAnsi="Book Antiqua" w:cs="Arial"/>
                <w:lang w:val="en-GB"/>
              </w:rPr>
              <w:t>Surgical approach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Low anterior resection</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16 (33)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Intersphincteric resection</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26 (54)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Abdominoperineal resection</w:t>
            </w:r>
          </w:p>
        </w:tc>
        <w:tc>
          <w:tcPr>
            <w:tcW w:w="235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 (13)</w:t>
            </w:r>
          </w:p>
        </w:tc>
      </w:tr>
    </w:tbl>
    <w:p>
      <w:pPr>
        <w:adjustRightInd w:val="0"/>
        <w:snapToGrid w:val="0"/>
        <w:spacing w:line="360" w:lineRule="auto"/>
        <w:jc w:val="both"/>
        <w:rPr>
          <w:rFonts w:ascii="Book Antiqua" w:hAnsi="Book Antiqua"/>
        </w:rPr>
      </w:pPr>
      <w:r>
        <w:rPr>
          <w:rFonts w:ascii="Book Antiqua" w:hAnsi="Book Antiqua" w:eastAsia="Book Antiqua" w:cs="Book Antiqua"/>
          <w:color w:val="000000"/>
        </w:rPr>
        <w:t>nCRT: Neoadjuvant chemoradiation therapy.</w:t>
      </w:r>
    </w:p>
    <w:p>
      <w:pPr>
        <w:adjustRightInd w:val="0"/>
        <w:snapToGrid w:val="0"/>
        <w:spacing w:line="360" w:lineRule="auto"/>
        <w:jc w:val="both"/>
        <w:rPr>
          <w:rFonts w:ascii="Book Antiqua" w:hAnsi="Book Antiqua" w:cs="Arial"/>
          <w:lang w:val="en-GB"/>
        </w:rPr>
      </w:pPr>
    </w:p>
    <w:p>
      <w:pPr>
        <w:adjustRightInd w:val="0"/>
        <w:snapToGrid w:val="0"/>
        <w:spacing w:line="360" w:lineRule="auto"/>
        <w:jc w:val="both"/>
        <w:rPr>
          <w:rFonts w:ascii="Book Antiqua" w:hAnsi="Book Antiqua" w:cs="Arial"/>
          <w:b/>
          <w:bCs/>
          <w:lang w:val="en-GB"/>
        </w:rPr>
      </w:pPr>
      <w:r>
        <w:rPr>
          <w:rFonts w:ascii="Book Antiqua" w:hAnsi="Book Antiqua" w:cs="Arial"/>
          <w:b/>
          <w:bCs/>
          <w:lang w:val="en-GB"/>
        </w:rPr>
        <w:br w:type="page"/>
      </w:r>
      <w:r>
        <w:rPr>
          <w:rFonts w:ascii="Book Antiqua" w:hAnsi="Book Antiqua" w:cs="Arial"/>
          <w:b/>
          <w:bCs/>
          <w:lang w:val="en-GB"/>
        </w:rPr>
        <w:t>Table 3 Median and interquartile range of pre- and post-neoadjuvant chemoradiation therapy parameters, as well as of changes between pre- and post-treatment values</w:t>
      </w:r>
    </w:p>
    <w:tbl>
      <w:tblPr>
        <w:tblStyle w:val="13"/>
        <w:tblpPr w:leftFromText="141" w:rightFromText="141" w:vertAnchor="page" w:horzAnchor="margin" w:tblpY="239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95"/>
        <w:gridCol w:w="2507"/>
        <w:gridCol w:w="2476"/>
        <w:gridCol w:w="199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Borders>
              <w:top w:val="single" w:color="auto" w:sz="4" w:space="0"/>
              <w:bottom w:val="single" w:color="auto" w:sz="4" w:space="0"/>
            </w:tcBorders>
          </w:tcPr>
          <w:p>
            <w:pPr>
              <w:adjustRightInd w:val="0"/>
              <w:snapToGrid w:val="0"/>
              <w:spacing w:line="360" w:lineRule="auto"/>
              <w:jc w:val="both"/>
              <w:rPr>
                <w:rFonts w:ascii="Book Antiqua" w:hAnsi="Book Antiqua" w:cstheme="minorBidi"/>
                <w:lang w:val="es-MX"/>
              </w:rPr>
            </w:pPr>
          </w:p>
        </w:tc>
        <w:tc>
          <w:tcPr>
            <w:tcW w:w="1309" w:type="pct"/>
            <w:tcBorders>
              <w:top w:val="single" w:color="auto" w:sz="4" w:space="0"/>
              <w:bottom w:val="single" w:color="auto" w:sz="4" w:space="0"/>
            </w:tcBorders>
          </w:tcPr>
          <w:p>
            <w:pPr>
              <w:adjustRightInd w:val="0"/>
              <w:snapToGrid w:val="0"/>
              <w:spacing w:line="360" w:lineRule="auto"/>
              <w:jc w:val="both"/>
              <w:rPr>
                <w:rFonts w:ascii="Book Antiqua" w:hAnsi="Book Antiqua" w:cstheme="minorBidi"/>
                <w:b/>
                <w:bCs/>
                <w:lang w:val="es-MX"/>
              </w:rPr>
            </w:pPr>
            <w:r>
              <w:rPr>
                <w:rFonts w:ascii="Book Antiqua" w:hAnsi="Book Antiqua" w:cstheme="minorBidi"/>
                <w:b/>
                <w:bCs/>
                <w:lang w:val="es-MX"/>
              </w:rPr>
              <w:t>Responders</w:t>
            </w:r>
          </w:p>
        </w:tc>
        <w:tc>
          <w:tcPr>
            <w:tcW w:w="1293" w:type="pct"/>
            <w:tcBorders>
              <w:top w:val="single" w:color="auto" w:sz="4" w:space="0"/>
              <w:bottom w:val="single" w:color="auto" w:sz="4" w:space="0"/>
            </w:tcBorders>
          </w:tcPr>
          <w:p>
            <w:pPr>
              <w:adjustRightInd w:val="0"/>
              <w:snapToGrid w:val="0"/>
              <w:spacing w:line="360" w:lineRule="auto"/>
              <w:jc w:val="both"/>
              <w:rPr>
                <w:rFonts w:ascii="Book Antiqua" w:hAnsi="Book Antiqua" w:cstheme="minorBidi"/>
                <w:b/>
                <w:bCs/>
                <w:lang w:val="es-MX"/>
              </w:rPr>
            </w:pPr>
            <w:r>
              <w:rPr>
                <w:rFonts w:ascii="Book Antiqua" w:hAnsi="Book Antiqua" w:cstheme="minorBidi"/>
                <w:b/>
                <w:bCs/>
                <w:lang w:val="es-MX"/>
              </w:rPr>
              <w:t>Non-responders</w:t>
            </w:r>
          </w:p>
        </w:tc>
        <w:tc>
          <w:tcPr>
            <w:tcW w:w="1043" w:type="pct"/>
            <w:tcBorders>
              <w:top w:val="single" w:color="auto" w:sz="4" w:space="0"/>
              <w:bottom w:val="single" w:color="auto" w:sz="4" w:space="0"/>
            </w:tcBorders>
          </w:tcPr>
          <w:p>
            <w:pPr>
              <w:adjustRightInd w:val="0"/>
              <w:snapToGrid w:val="0"/>
              <w:spacing w:line="360" w:lineRule="auto"/>
              <w:jc w:val="both"/>
              <w:rPr>
                <w:rFonts w:ascii="Book Antiqua" w:hAnsi="Book Antiqua" w:cstheme="minorBidi"/>
                <w:b/>
                <w:bCs/>
                <w:lang w:val="es-MX"/>
              </w:rPr>
            </w:pPr>
            <w:r>
              <w:rPr>
                <w:rFonts w:ascii="Book Antiqua" w:hAnsi="Book Antiqua" w:cs="Arial"/>
                <w:b/>
                <w:bCs/>
                <w:i/>
                <w:iCs/>
                <w:lang w:val="es-MX"/>
              </w:rPr>
              <w:t>P</w:t>
            </w:r>
            <w:r>
              <w:rPr>
                <w:rFonts w:ascii="Book Antiqua" w:hAnsi="Book Antiqua" w:cs="Arial"/>
                <w:b/>
                <w:bCs/>
                <w:lang w:val="es-MX"/>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5000" w:type="pct"/>
            <w:gridSpan w:val="4"/>
            <w:tcBorders>
              <w:top w:val="single" w:color="auto" w:sz="4" w:space="0"/>
            </w:tcBorders>
          </w:tcPr>
          <w:p>
            <w:pPr>
              <w:adjustRightInd w:val="0"/>
              <w:snapToGrid w:val="0"/>
              <w:spacing w:line="360" w:lineRule="auto"/>
              <w:jc w:val="both"/>
              <w:rPr>
                <w:rFonts w:ascii="Book Antiqua" w:hAnsi="Book Antiqua" w:cs="Arial"/>
                <w:i/>
                <w:iCs/>
                <w:lang w:val="es-MX"/>
              </w:rPr>
            </w:pPr>
            <w:r>
              <w:rPr>
                <w:rFonts w:ascii="Book Antiqua" w:hAnsi="Book Antiqua" w:cs="Arial"/>
                <w:lang w:val="en-GB"/>
              </w:rPr>
              <w:t>Pre-nCRT parameters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pre-nCRT ADCmean</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eastAsia="Times New Roman" w:cs="Arial"/>
                <w:lang w:val="es-MX"/>
              </w:rPr>
              <w:t>0.75 (0.60-0.90)</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eastAsia="Times New Roman" w:cs="Arial"/>
                <w:lang w:val="es-MX"/>
              </w:rPr>
              <w:t>0.85 (0.70-0.90)</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eastAsia="Times New Roman" w:cs="Arial"/>
                <w:lang w:val="es-MX"/>
              </w:rPr>
              <w:t>0.146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10</w:t>
            </w:r>
            <w:r>
              <w:rPr>
                <w:rFonts w:ascii="Book Antiqua" w:hAnsi="Book Antiqua" w:cs="Arial"/>
                <w:vertAlign w:val="superscript"/>
                <w:lang w:val="en-GB"/>
              </w:rPr>
              <w:t>th</w:t>
            </w:r>
            <w:r>
              <w:rPr>
                <w:rFonts w:ascii="Book Antiqua" w:hAnsi="Book Antiqua" w:cs="Arial"/>
                <w:lang w:val="en-GB"/>
              </w:rPr>
              <w:t xml:space="preserve"> percentile</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0.20 (0.17-0.23)</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0.20 (0.17-0.26)</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cs="Arial"/>
                <w:lang w:val="en-GB"/>
              </w:rPr>
              <w:t>0.812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25th percentile</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eastAsia="Times New Roman" w:cs="Arial"/>
                <w:lang w:val="es-MX"/>
              </w:rPr>
              <w:t>0.32 (0.29-0.35)</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eastAsia="Times New Roman" w:cs="Arial"/>
                <w:lang w:val="es-MX"/>
              </w:rPr>
              <w:t>0.32 (0.23-0.41)</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cs="Arial"/>
                <w:lang w:val="en-GB"/>
              </w:rPr>
              <w:t>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50</w:t>
            </w:r>
            <w:r>
              <w:rPr>
                <w:rFonts w:ascii="Book Antiqua" w:hAnsi="Book Antiqua" w:cs="Arial"/>
                <w:vertAlign w:val="superscript"/>
                <w:lang w:val="en-GB"/>
              </w:rPr>
              <w:t>th</w:t>
            </w:r>
            <w:r>
              <w:rPr>
                <w:rFonts w:ascii="Book Antiqua" w:hAnsi="Book Antiqua" w:cs="Arial"/>
                <w:lang w:val="en-GB"/>
              </w:rPr>
              <w:t xml:space="preserve"> percentile</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eastAsia="Times New Roman" w:cs="Arial"/>
                <w:lang w:val="es-MX"/>
              </w:rPr>
              <w:t>0.40 (0.35-0.40)</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0.40 (0.30-0.50)</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eastAsia="Times New Roman" w:cs="Arial"/>
                <w:lang w:val="es-MX"/>
              </w:rPr>
              <w:t>0.698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75</w:t>
            </w:r>
            <w:r>
              <w:rPr>
                <w:rFonts w:ascii="Book Antiqua" w:hAnsi="Book Antiqua" w:cs="Arial"/>
                <w:vertAlign w:val="superscript"/>
                <w:lang w:val="en-GB"/>
              </w:rPr>
              <w:t>th</w:t>
            </w:r>
            <w:r>
              <w:rPr>
                <w:rFonts w:ascii="Book Antiqua" w:hAnsi="Book Antiqua" w:cs="Arial"/>
                <w:lang w:val="en-GB"/>
              </w:rPr>
              <w:t xml:space="preserve"> percentile</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eastAsia="Times New Roman" w:cs="Arial"/>
                <w:lang w:val="es-MX"/>
              </w:rPr>
              <w:t>0.56 (0.47-0.58)</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0.57 (0.45-0.63)</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eastAsia="Times New Roman" w:cs="Arial"/>
                <w:lang w:val="es-MX"/>
              </w:rPr>
              <w:t>0.391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90</w:t>
            </w:r>
            <w:r>
              <w:rPr>
                <w:rFonts w:ascii="Book Antiqua" w:hAnsi="Book Antiqua" w:cs="Arial"/>
                <w:vertAlign w:val="superscript"/>
                <w:lang w:val="en-GB"/>
              </w:rPr>
              <w:t>th</w:t>
            </w:r>
            <w:r>
              <w:rPr>
                <w:rFonts w:ascii="Book Antiqua" w:hAnsi="Book Antiqua" w:cs="Arial"/>
                <w:lang w:val="en-GB"/>
              </w:rPr>
              <w:t xml:space="preserve"> percentile</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0.71 (0.55-0.77)</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0.76 (0.50-0.80)</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eastAsia="Times New Roman" w:cs="Arial"/>
                <w:lang w:val="es-MX"/>
              </w:rPr>
              <w:t>0.556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Skewness</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1.10 (0.90-1.14)</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1.19 (0.88-1.37)</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cs="Arial"/>
                <w:lang w:val="en-GB"/>
              </w:rPr>
              <w:t>0.135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Kurtosis</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0.89 (0.83-0.92)</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0.92 (0.83-0.95)</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cs="Arial"/>
                <w:lang w:val="en-GB"/>
              </w:rPr>
              <w:t>0.296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ROI ADCmean</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0.92 (0.80-1.20)</w:t>
            </w:r>
          </w:p>
        </w:tc>
        <w:tc>
          <w:tcPr>
            <w:tcW w:w="129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0.91 (0.83-0.93)</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cs="Arial"/>
                <w:lang w:val="en-GB"/>
              </w:rPr>
              <w:t>0.562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5000" w:type="pct"/>
            <w:gridSpan w:val="4"/>
          </w:tcPr>
          <w:p>
            <w:pPr>
              <w:adjustRightInd w:val="0"/>
              <w:snapToGrid w:val="0"/>
              <w:spacing w:line="360" w:lineRule="auto"/>
              <w:jc w:val="both"/>
              <w:rPr>
                <w:rFonts w:ascii="Book Antiqua" w:hAnsi="Book Antiqua" w:cs="Arial"/>
                <w:i/>
                <w:iCs/>
                <w:lang w:val="es-MX"/>
              </w:rPr>
            </w:pPr>
            <w:r>
              <w:rPr>
                <w:rFonts w:ascii="Book Antiqua" w:hAnsi="Book Antiqua" w:cs="Arial"/>
                <w:lang w:val="en-GB"/>
              </w:rPr>
              <w:t>Post- nCRT parameters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post- nCRT ADC</w:t>
            </w:r>
            <w:r>
              <w:rPr>
                <w:rFonts w:ascii="Book Antiqua" w:hAnsi="Book Antiqua" w:cs="Arial"/>
                <w:vertAlign w:val="subscript"/>
                <w:lang w:val="en-GB"/>
              </w:rPr>
              <w:t>mean</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1.20 (0.98-1.52)</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1.10 (0.90-1.30)</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eastAsia="Times New Roman" w:cs="Arial"/>
                <w:lang w:val="es-MX"/>
              </w:rPr>
              <w:t>0.065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10</w:t>
            </w:r>
            <w:r>
              <w:rPr>
                <w:rFonts w:ascii="Book Antiqua" w:hAnsi="Book Antiqua" w:cs="Arial"/>
                <w:vertAlign w:val="superscript"/>
                <w:lang w:val="en-GB"/>
              </w:rPr>
              <w:t>th</w:t>
            </w:r>
            <w:r>
              <w:rPr>
                <w:rFonts w:ascii="Book Antiqua" w:hAnsi="Book Antiqua" w:cs="Arial"/>
                <w:lang w:val="en-GB"/>
              </w:rPr>
              <w:t xml:space="preserve"> percentile</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0.36 (0.30–0.37)</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0.32 (0.31–0.34)</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cs="Arial"/>
                <w:lang w:val="es-MX"/>
              </w:rPr>
              <w:t>0.036</w:t>
            </w:r>
            <w:r>
              <w:rPr>
                <w:rFonts w:ascii="Book Antiqua" w:hAnsi="Book Antiqua" w:cs="Arial"/>
                <w:vertAlign w:val="superscript"/>
                <w:lang w:val="es-MX"/>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25</w:t>
            </w:r>
            <w:r>
              <w:rPr>
                <w:rFonts w:ascii="Book Antiqua" w:hAnsi="Book Antiqua" w:cs="Arial"/>
                <w:vertAlign w:val="superscript"/>
                <w:lang w:val="en-GB"/>
              </w:rPr>
              <w:t>th</w:t>
            </w:r>
            <w:r>
              <w:rPr>
                <w:rFonts w:ascii="Book Antiqua" w:hAnsi="Book Antiqua" w:cs="Arial"/>
                <w:lang w:val="en-GB"/>
              </w:rPr>
              <w:t xml:space="preserve"> percentile</w:t>
            </w:r>
          </w:p>
        </w:tc>
        <w:tc>
          <w:tcPr>
            <w:tcW w:w="1309" w:type="pct"/>
          </w:tcPr>
          <w:p>
            <w:pPr>
              <w:adjustRightInd w:val="0"/>
              <w:snapToGrid w:val="0"/>
              <w:spacing w:line="360" w:lineRule="auto"/>
              <w:jc w:val="both"/>
              <w:rPr>
                <w:rFonts w:ascii="Book Antiqua" w:hAnsi="Book Antiqua" w:cs="Arial"/>
                <w:lang w:val="es-MX"/>
              </w:rPr>
            </w:pPr>
            <w:r>
              <w:rPr>
                <w:rFonts w:ascii="Book Antiqua" w:hAnsi="Book Antiqua" w:cs="Arial"/>
                <w:lang w:val="en-GB"/>
              </w:rPr>
              <w:t>0.41 (0.40-0.52)</w:t>
            </w:r>
          </w:p>
        </w:tc>
        <w:tc>
          <w:tcPr>
            <w:tcW w:w="1293" w:type="pct"/>
          </w:tcPr>
          <w:p>
            <w:pPr>
              <w:adjustRightInd w:val="0"/>
              <w:snapToGrid w:val="0"/>
              <w:spacing w:line="360" w:lineRule="auto"/>
              <w:jc w:val="both"/>
              <w:rPr>
                <w:rFonts w:ascii="Book Antiqua" w:hAnsi="Book Antiqua" w:cs="Arial"/>
                <w:lang w:val="es-MX"/>
              </w:rPr>
            </w:pPr>
            <w:r>
              <w:rPr>
                <w:rFonts w:ascii="Book Antiqua" w:hAnsi="Book Antiqua" w:cs="Arial"/>
                <w:lang w:val="en-GB"/>
              </w:rPr>
              <w:t>0.42 (0.41-0.50)</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eastAsia="Times New Roman" w:cs="Arial"/>
                <w:lang w:val="es-MX"/>
              </w:rPr>
              <w:t>0.476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50</w:t>
            </w:r>
            <w:r>
              <w:rPr>
                <w:rFonts w:ascii="Book Antiqua" w:hAnsi="Book Antiqua" w:cs="Arial"/>
                <w:vertAlign w:val="superscript"/>
                <w:lang w:val="en-GB"/>
              </w:rPr>
              <w:t>th</w:t>
            </w:r>
            <w:r>
              <w:rPr>
                <w:rFonts w:ascii="Book Antiqua" w:hAnsi="Book Antiqua" w:cs="Arial"/>
                <w:lang w:val="en-GB"/>
              </w:rPr>
              <w:t xml:space="preserve"> percentile</w:t>
            </w:r>
          </w:p>
        </w:tc>
        <w:tc>
          <w:tcPr>
            <w:tcW w:w="1309" w:type="pct"/>
          </w:tcPr>
          <w:p>
            <w:pPr>
              <w:adjustRightInd w:val="0"/>
              <w:snapToGrid w:val="0"/>
              <w:spacing w:line="360" w:lineRule="auto"/>
              <w:jc w:val="both"/>
              <w:rPr>
                <w:rFonts w:ascii="Book Antiqua" w:hAnsi="Book Antiqua" w:cs="Arial"/>
                <w:lang w:val="es-MX"/>
              </w:rPr>
            </w:pPr>
            <w:r>
              <w:rPr>
                <w:rFonts w:ascii="Book Antiqua" w:hAnsi="Book Antiqua" w:cs="Arial"/>
                <w:lang w:val="en-GB"/>
              </w:rPr>
              <w:t>0.66 (0.56-0.70)</w:t>
            </w:r>
          </w:p>
        </w:tc>
        <w:tc>
          <w:tcPr>
            <w:tcW w:w="1293" w:type="pct"/>
          </w:tcPr>
          <w:p>
            <w:pPr>
              <w:adjustRightInd w:val="0"/>
              <w:snapToGrid w:val="0"/>
              <w:spacing w:line="360" w:lineRule="auto"/>
              <w:jc w:val="both"/>
              <w:rPr>
                <w:rFonts w:ascii="Book Antiqua" w:hAnsi="Book Antiqua" w:cs="Arial"/>
                <w:lang w:val="es-MX"/>
              </w:rPr>
            </w:pPr>
            <w:r>
              <w:rPr>
                <w:rFonts w:ascii="Book Antiqua" w:hAnsi="Book Antiqua" w:cs="Arial"/>
                <w:lang w:val="en-GB"/>
              </w:rPr>
              <w:t>0.65 (0.51-0.66)</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eastAsia="Times New Roman" w:cs="Arial"/>
                <w:lang w:val="es-MX"/>
              </w:rPr>
              <w:t>0.127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75</w:t>
            </w:r>
            <w:r>
              <w:rPr>
                <w:rFonts w:ascii="Book Antiqua" w:hAnsi="Book Antiqua" w:cs="Arial"/>
                <w:vertAlign w:val="superscript"/>
                <w:lang w:val="en-GB"/>
              </w:rPr>
              <w:t>th</w:t>
            </w:r>
            <w:r>
              <w:rPr>
                <w:rFonts w:ascii="Book Antiqua" w:hAnsi="Book Antiqua" w:cs="Arial"/>
                <w:lang w:val="en-GB"/>
              </w:rPr>
              <w:t xml:space="preserve"> percentile</w:t>
            </w:r>
          </w:p>
        </w:tc>
        <w:tc>
          <w:tcPr>
            <w:tcW w:w="1309" w:type="pct"/>
          </w:tcPr>
          <w:p>
            <w:pPr>
              <w:adjustRightInd w:val="0"/>
              <w:snapToGrid w:val="0"/>
              <w:spacing w:line="360" w:lineRule="auto"/>
              <w:jc w:val="both"/>
              <w:rPr>
                <w:rFonts w:ascii="Book Antiqua" w:hAnsi="Book Antiqua" w:cs="Arial"/>
                <w:lang w:val="es-MX"/>
              </w:rPr>
            </w:pPr>
            <w:r>
              <w:rPr>
                <w:rFonts w:ascii="Book Antiqua" w:hAnsi="Book Antiqua" w:cs="Arial"/>
                <w:lang w:val="en-GB"/>
              </w:rPr>
              <w:t>0.71 (0.67-0.80)</w:t>
            </w:r>
          </w:p>
        </w:tc>
        <w:tc>
          <w:tcPr>
            <w:tcW w:w="1293" w:type="pct"/>
          </w:tcPr>
          <w:p>
            <w:pPr>
              <w:adjustRightInd w:val="0"/>
              <w:snapToGrid w:val="0"/>
              <w:spacing w:line="360" w:lineRule="auto"/>
              <w:jc w:val="both"/>
              <w:rPr>
                <w:rFonts w:ascii="Book Antiqua" w:hAnsi="Book Antiqua" w:cs="Arial"/>
                <w:lang w:val="es-MX"/>
              </w:rPr>
            </w:pPr>
            <w:r>
              <w:rPr>
                <w:rFonts w:ascii="Book Antiqua" w:hAnsi="Book Antiqua" w:cs="Arial"/>
                <w:lang w:val="en-GB"/>
              </w:rPr>
              <w:t>0.70 (0.66-0.75)</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cs="Arial"/>
                <w:lang w:val="en-GB"/>
              </w:rPr>
              <w:t>0.050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90</w:t>
            </w:r>
            <w:r>
              <w:rPr>
                <w:rFonts w:ascii="Book Antiqua" w:hAnsi="Book Antiqua" w:cs="Arial"/>
                <w:vertAlign w:val="superscript"/>
                <w:lang w:val="en-GB"/>
              </w:rPr>
              <w:t>th</w:t>
            </w:r>
            <w:r>
              <w:rPr>
                <w:rFonts w:ascii="Book Antiqua" w:hAnsi="Book Antiqua" w:cs="Arial"/>
                <w:lang w:val="en-GB"/>
              </w:rPr>
              <w:t xml:space="preserve"> percentile</w:t>
            </w:r>
          </w:p>
        </w:tc>
        <w:tc>
          <w:tcPr>
            <w:tcW w:w="1309" w:type="pct"/>
          </w:tcPr>
          <w:p>
            <w:pPr>
              <w:adjustRightInd w:val="0"/>
              <w:snapToGrid w:val="0"/>
              <w:spacing w:line="360" w:lineRule="auto"/>
              <w:jc w:val="both"/>
              <w:rPr>
                <w:rFonts w:ascii="Book Antiqua" w:hAnsi="Book Antiqua" w:cs="Arial"/>
                <w:lang w:val="es-MX"/>
              </w:rPr>
            </w:pPr>
            <w:r>
              <w:rPr>
                <w:rFonts w:ascii="Book Antiqua" w:hAnsi="Book Antiqua" w:cs="Arial"/>
                <w:lang w:val="en-GB"/>
              </w:rPr>
              <w:t>0.89 (0.80-0.95)</w:t>
            </w:r>
          </w:p>
        </w:tc>
        <w:tc>
          <w:tcPr>
            <w:tcW w:w="1293" w:type="pct"/>
          </w:tcPr>
          <w:p>
            <w:pPr>
              <w:adjustRightInd w:val="0"/>
              <w:snapToGrid w:val="0"/>
              <w:spacing w:line="360" w:lineRule="auto"/>
              <w:jc w:val="both"/>
              <w:rPr>
                <w:rFonts w:ascii="Book Antiqua" w:hAnsi="Book Antiqua" w:cs="Arial"/>
                <w:lang w:val="es-MX"/>
              </w:rPr>
            </w:pPr>
            <w:r>
              <w:rPr>
                <w:rFonts w:ascii="Book Antiqua" w:hAnsi="Book Antiqua" w:cs="Arial"/>
                <w:lang w:val="en-GB"/>
              </w:rPr>
              <w:t>0.80 (0.79-0.89)</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cs="Arial"/>
                <w:lang w:val="en-GB"/>
              </w:rPr>
              <w:t>0.105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s-MX"/>
              </w:rPr>
            </w:pPr>
            <w:r>
              <w:rPr>
                <w:rFonts w:ascii="Book Antiqua" w:hAnsi="Book Antiqua" w:cs="Arial"/>
                <w:lang w:val="en-GB"/>
              </w:rPr>
              <w:t>Skewness</w:t>
            </w:r>
          </w:p>
        </w:tc>
        <w:tc>
          <w:tcPr>
            <w:tcW w:w="1309" w:type="pct"/>
          </w:tcPr>
          <w:p>
            <w:pPr>
              <w:adjustRightInd w:val="0"/>
              <w:snapToGrid w:val="0"/>
              <w:spacing w:line="360" w:lineRule="auto"/>
              <w:jc w:val="both"/>
              <w:rPr>
                <w:rFonts w:ascii="Book Antiqua" w:hAnsi="Book Antiqua" w:cs="Arial"/>
                <w:lang w:val="es-MX"/>
              </w:rPr>
            </w:pPr>
            <w:r>
              <w:rPr>
                <w:rFonts w:ascii="Book Antiqua" w:hAnsi="Book Antiqua" w:cs="Arial"/>
                <w:lang w:val="es-MX"/>
              </w:rPr>
              <w:t>0.92 (0.60–1.14)</w:t>
            </w:r>
          </w:p>
        </w:tc>
        <w:tc>
          <w:tcPr>
            <w:tcW w:w="1293" w:type="pct"/>
          </w:tcPr>
          <w:p>
            <w:pPr>
              <w:adjustRightInd w:val="0"/>
              <w:snapToGrid w:val="0"/>
              <w:spacing w:line="360" w:lineRule="auto"/>
              <w:jc w:val="both"/>
              <w:rPr>
                <w:rFonts w:ascii="Book Antiqua" w:hAnsi="Book Antiqua" w:cs="Arial"/>
                <w:lang w:val="es-MX"/>
              </w:rPr>
            </w:pPr>
            <w:r>
              <w:rPr>
                <w:rFonts w:ascii="Book Antiqua" w:hAnsi="Book Antiqua" w:cs="Arial"/>
                <w:lang w:val="es-MX"/>
              </w:rPr>
              <w:t>2.00 (1.15–2.67)</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cs="Arial"/>
                <w:lang w:val="es-MX"/>
              </w:rPr>
              <w:t>&lt; 0.001</w:t>
            </w:r>
            <w:r>
              <w:rPr>
                <w:rFonts w:ascii="Book Antiqua" w:hAnsi="Book Antiqua" w:cs="Arial"/>
                <w:vertAlign w:val="superscript"/>
                <w:lang w:val="es-MX"/>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s-MX"/>
              </w:rPr>
            </w:pPr>
            <w:r>
              <w:rPr>
                <w:rFonts w:ascii="Book Antiqua" w:hAnsi="Book Antiqua" w:cs="Arial"/>
                <w:lang w:val="en-GB"/>
              </w:rPr>
              <w:t>Kurtosis</w:t>
            </w:r>
          </w:p>
        </w:tc>
        <w:tc>
          <w:tcPr>
            <w:tcW w:w="1309" w:type="pct"/>
          </w:tcPr>
          <w:p>
            <w:pPr>
              <w:adjustRightInd w:val="0"/>
              <w:snapToGrid w:val="0"/>
              <w:spacing w:line="360" w:lineRule="auto"/>
              <w:jc w:val="both"/>
              <w:rPr>
                <w:rFonts w:ascii="Book Antiqua" w:hAnsi="Book Antiqua" w:cs="Arial"/>
                <w:lang w:val="es-MX"/>
              </w:rPr>
            </w:pPr>
            <w:r>
              <w:rPr>
                <w:rFonts w:ascii="Book Antiqua" w:hAnsi="Book Antiqua" w:cs="Arial"/>
                <w:lang w:val="es-MX"/>
              </w:rPr>
              <w:t>0.65 (0.59–0.72)</w:t>
            </w:r>
          </w:p>
        </w:tc>
        <w:tc>
          <w:tcPr>
            <w:tcW w:w="1293" w:type="pct"/>
          </w:tcPr>
          <w:p>
            <w:pPr>
              <w:adjustRightInd w:val="0"/>
              <w:snapToGrid w:val="0"/>
              <w:spacing w:line="360" w:lineRule="auto"/>
              <w:jc w:val="both"/>
              <w:rPr>
                <w:rFonts w:ascii="Book Antiqua" w:hAnsi="Book Antiqua" w:cs="Arial"/>
                <w:lang w:val="es-MX"/>
              </w:rPr>
            </w:pPr>
            <w:r>
              <w:rPr>
                <w:rFonts w:ascii="Book Antiqua" w:hAnsi="Book Antiqua" w:cs="Arial"/>
                <w:lang w:val="es-MX"/>
              </w:rPr>
              <w:t>0.90 (0.80–0.90)</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cs="Arial"/>
                <w:lang w:val="es-MX"/>
              </w:rPr>
              <w:t>&lt; 0.001</w:t>
            </w:r>
            <w:r>
              <w:rPr>
                <w:rFonts w:ascii="Book Antiqua" w:hAnsi="Book Antiqua" w:cs="Arial"/>
                <w:vertAlign w:val="superscript"/>
                <w:lang w:val="es-MX"/>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s-MX"/>
              </w:rPr>
            </w:pPr>
            <w:r>
              <w:rPr>
                <w:rFonts w:ascii="Book Antiqua" w:hAnsi="Book Antiqua" w:cs="Arial"/>
                <w:lang w:val="en-GB"/>
              </w:rPr>
              <w:t>ROI ADCmean</w:t>
            </w:r>
          </w:p>
        </w:tc>
        <w:tc>
          <w:tcPr>
            <w:tcW w:w="1309" w:type="pct"/>
          </w:tcPr>
          <w:p>
            <w:pPr>
              <w:adjustRightInd w:val="0"/>
              <w:snapToGrid w:val="0"/>
              <w:spacing w:line="360" w:lineRule="auto"/>
              <w:jc w:val="both"/>
              <w:rPr>
                <w:rFonts w:ascii="Book Antiqua" w:hAnsi="Book Antiqua" w:cs="Arial"/>
                <w:lang w:val="es-MX"/>
              </w:rPr>
            </w:pPr>
            <w:r>
              <w:rPr>
                <w:rFonts w:ascii="Book Antiqua" w:hAnsi="Book Antiqua" w:cs="Arial"/>
                <w:lang w:val="en-GB"/>
              </w:rPr>
              <w:t>2.50 (1.50-2.70)</w:t>
            </w:r>
          </w:p>
        </w:tc>
        <w:tc>
          <w:tcPr>
            <w:tcW w:w="129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2.00 (1.80-2.30)</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cs="Arial"/>
                <w:lang w:val="en-GB"/>
              </w:rPr>
              <w:t>0.056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5000" w:type="pct"/>
            <w:gridSpan w:val="4"/>
          </w:tcPr>
          <w:p>
            <w:pPr>
              <w:adjustRightInd w:val="0"/>
              <w:snapToGrid w:val="0"/>
              <w:spacing w:line="360" w:lineRule="auto"/>
              <w:jc w:val="both"/>
              <w:rPr>
                <w:rFonts w:ascii="Book Antiqua" w:hAnsi="Book Antiqua" w:cs="Arial"/>
                <w:i/>
                <w:iCs/>
                <w:lang w:val="en-GB"/>
              </w:rPr>
            </w:pPr>
            <w:r>
              <w:rPr>
                <w:rFonts w:ascii="Book Antiqua" w:hAnsi="Book Antiqua" w:cs="Arial"/>
                <w:lang w:val="en-GB"/>
              </w:rPr>
              <w:t>Changes between pre-treatment and post-treatment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s-MX"/>
              </w:rPr>
            </w:pPr>
            <w:r>
              <w:rPr>
                <w:rFonts w:ascii="Book Antiqua" w:hAnsi="Book Antiqua" w:cs="Arial"/>
                <w:lang w:val="es-MX"/>
              </w:rPr>
              <w:t>∆%ADCmean</w:t>
            </w:r>
          </w:p>
        </w:tc>
        <w:tc>
          <w:tcPr>
            <w:tcW w:w="1309" w:type="pct"/>
          </w:tcPr>
          <w:p>
            <w:pPr>
              <w:adjustRightInd w:val="0"/>
              <w:snapToGrid w:val="0"/>
              <w:spacing w:line="360" w:lineRule="auto"/>
              <w:jc w:val="both"/>
              <w:rPr>
                <w:rFonts w:ascii="Book Antiqua" w:hAnsi="Book Antiqua" w:cs="Arial"/>
                <w:lang w:val="es-MX"/>
              </w:rPr>
            </w:pPr>
            <w:r>
              <w:rPr>
                <w:rFonts w:ascii="Book Antiqua" w:hAnsi="Book Antiqua" w:cs="Arial"/>
                <w:lang w:val="es-MX"/>
              </w:rPr>
              <w:t>57% (14%–103%)</w:t>
            </w:r>
          </w:p>
        </w:tc>
        <w:tc>
          <w:tcPr>
            <w:tcW w:w="1293" w:type="pct"/>
          </w:tcPr>
          <w:p>
            <w:pPr>
              <w:adjustRightInd w:val="0"/>
              <w:snapToGrid w:val="0"/>
              <w:spacing w:line="360" w:lineRule="auto"/>
              <w:jc w:val="both"/>
              <w:rPr>
                <w:rFonts w:ascii="Book Antiqua" w:hAnsi="Book Antiqua" w:cs="Arial"/>
                <w:lang w:val="es-MX"/>
              </w:rPr>
            </w:pPr>
            <w:r>
              <w:rPr>
                <w:rFonts w:ascii="Book Antiqua" w:hAnsi="Book Antiqua" w:cs="Arial"/>
                <w:lang w:val="es-MX"/>
              </w:rPr>
              <w:t>27% (0%–59%)</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cs="Arial"/>
                <w:lang w:val="es-MX"/>
              </w:rPr>
              <w:t>0.032</w:t>
            </w:r>
            <w:r>
              <w:rPr>
                <w:rFonts w:ascii="Book Antiqua" w:hAnsi="Book Antiqua" w:cs="Arial"/>
                <w:vertAlign w:val="superscript"/>
                <w:lang w:val="es-MX"/>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s-MX"/>
              </w:rPr>
            </w:pPr>
            <w:r>
              <w:rPr>
                <w:rFonts w:ascii="Book Antiqua" w:hAnsi="Book Antiqua" w:cs="Arial"/>
                <w:lang w:val="es-MX"/>
              </w:rPr>
              <w:t>∆%ADC10</w:t>
            </w:r>
            <w:r>
              <w:rPr>
                <w:rFonts w:ascii="Book Antiqua" w:hAnsi="Book Antiqua" w:cs="Arial"/>
                <w:vertAlign w:val="superscript"/>
                <w:lang w:val="es-MX"/>
              </w:rPr>
              <w:t>th</w:t>
            </w:r>
          </w:p>
        </w:tc>
        <w:tc>
          <w:tcPr>
            <w:tcW w:w="1309" w:type="pct"/>
          </w:tcPr>
          <w:p>
            <w:pPr>
              <w:adjustRightInd w:val="0"/>
              <w:snapToGrid w:val="0"/>
              <w:spacing w:line="360" w:lineRule="auto"/>
              <w:jc w:val="both"/>
              <w:rPr>
                <w:rFonts w:ascii="Book Antiqua" w:hAnsi="Book Antiqua" w:cs="Arial"/>
                <w:lang w:val="es-MX"/>
              </w:rPr>
            </w:pPr>
            <w:r>
              <w:rPr>
                <w:rFonts w:ascii="Book Antiqua" w:hAnsi="Book Antiqua" w:cs="Arial"/>
                <w:lang w:val="es-MX"/>
              </w:rPr>
              <w:t>86% (37%–118%)</w:t>
            </w:r>
          </w:p>
        </w:tc>
        <w:tc>
          <w:tcPr>
            <w:tcW w:w="1293" w:type="pct"/>
          </w:tcPr>
          <w:p>
            <w:pPr>
              <w:adjustRightInd w:val="0"/>
              <w:snapToGrid w:val="0"/>
              <w:spacing w:line="360" w:lineRule="auto"/>
              <w:jc w:val="both"/>
              <w:rPr>
                <w:rFonts w:ascii="Book Antiqua" w:hAnsi="Book Antiqua" w:cs="Arial"/>
                <w:lang w:val="es-MX"/>
              </w:rPr>
            </w:pPr>
            <w:r>
              <w:rPr>
                <w:rFonts w:ascii="Book Antiqua" w:hAnsi="Book Antiqua" w:cs="Arial"/>
                <w:lang w:val="es-MX"/>
              </w:rPr>
              <w:t>48% (11%–88%)</w:t>
            </w:r>
          </w:p>
        </w:tc>
        <w:tc>
          <w:tcPr>
            <w:tcW w:w="1043" w:type="pct"/>
          </w:tcPr>
          <w:p>
            <w:pPr>
              <w:adjustRightInd w:val="0"/>
              <w:snapToGrid w:val="0"/>
              <w:spacing w:line="360" w:lineRule="auto"/>
              <w:jc w:val="both"/>
              <w:rPr>
                <w:rFonts w:ascii="Book Antiqua" w:hAnsi="Book Antiqua" w:cs="Arial"/>
                <w:i/>
                <w:iCs/>
                <w:lang w:val="es-MX"/>
              </w:rPr>
            </w:pPr>
            <w:r>
              <w:rPr>
                <w:rFonts w:ascii="Book Antiqua" w:hAnsi="Book Antiqua" w:cs="Arial"/>
                <w:lang w:val="es-MX"/>
              </w:rPr>
              <w:t>0.020</w:t>
            </w:r>
            <w:r>
              <w:rPr>
                <w:rFonts w:ascii="Book Antiqua" w:hAnsi="Book Antiqua" w:cs="Arial"/>
                <w:vertAlign w:val="superscript"/>
                <w:lang w:val="es-MX"/>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∆%ADC25</w:t>
            </w:r>
            <w:r>
              <w:rPr>
                <w:rFonts w:ascii="Book Antiqua" w:hAnsi="Book Antiqua" w:cs="Arial"/>
                <w:vertAlign w:val="superscript"/>
                <w:lang w:val="en-GB"/>
              </w:rPr>
              <w:t>th</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39% (19%-57%)</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22% (0%-58%)</w:t>
            </w:r>
          </w:p>
        </w:tc>
        <w:tc>
          <w:tcPr>
            <w:tcW w:w="104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0.905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∆%ADC50</w:t>
            </w:r>
            <w:r>
              <w:rPr>
                <w:rFonts w:ascii="Book Antiqua" w:hAnsi="Book Antiqua" w:cs="Arial"/>
                <w:vertAlign w:val="superscript"/>
                <w:lang w:val="en-GB"/>
              </w:rPr>
              <w:t>th</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70% (31%-86%)</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31% (2%-65%)</w:t>
            </w:r>
          </w:p>
        </w:tc>
        <w:tc>
          <w:tcPr>
            <w:tcW w:w="104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0.067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∆%ADC75</w:t>
            </w:r>
            <w:r>
              <w:rPr>
                <w:rFonts w:ascii="Book Antiqua" w:hAnsi="Book Antiqua" w:cs="Arial"/>
                <w:vertAlign w:val="superscript"/>
                <w:lang w:val="en-GB"/>
              </w:rPr>
              <w:t>th</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40% (20%-61%)</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37% (0%-57%)</w:t>
            </w:r>
          </w:p>
        </w:tc>
        <w:tc>
          <w:tcPr>
            <w:tcW w:w="104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0.288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∆%ADC90</w:t>
            </w:r>
            <w:r>
              <w:rPr>
                <w:rFonts w:ascii="Book Antiqua" w:hAnsi="Book Antiqua" w:cs="Arial"/>
                <w:vertAlign w:val="superscript"/>
                <w:lang w:val="en-GB"/>
              </w:rPr>
              <w:t>th</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27% (11%-58%)</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9% (7%-119%)</w:t>
            </w:r>
          </w:p>
        </w:tc>
        <w:tc>
          <w:tcPr>
            <w:tcW w:w="1043" w:type="pct"/>
          </w:tcPr>
          <w:p>
            <w:pPr>
              <w:adjustRightInd w:val="0"/>
              <w:snapToGrid w:val="0"/>
              <w:spacing w:line="360" w:lineRule="auto"/>
              <w:jc w:val="both"/>
              <w:rPr>
                <w:rFonts w:ascii="Book Antiqua" w:hAnsi="Book Antiqua" w:cstheme="minorBidi"/>
                <w:lang w:val="es-MX"/>
              </w:rPr>
            </w:pPr>
            <w:r>
              <w:rPr>
                <w:rFonts w:ascii="Book Antiqua" w:hAnsi="Book Antiqua" w:cs="Arial"/>
                <w:lang w:val="en-GB"/>
              </w:rPr>
              <w:t>0.061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1355"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∆skewness</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–0.20 (–0.40–0.00)</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0.49 (0.10–0.50)</w:t>
            </w:r>
          </w:p>
        </w:tc>
        <w:tc>
          <w:tcPr>
            <w:tcW w:w="1043"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&lt; 0.001</w:t>
            </w:r>
            <w:r>
              <w:rPr>
                <w:rFonts w:ascii="Book Antiqua" w:hAnsi="Book Antiqua" w:cs="Arial"/>
                <w:vertAlign w:val="superscript"/>
                <w:lang w:val="es-MX"/>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∆%kurtosis</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41% (18%–54%)</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2.5% (1.4%–5.9%)</w:t>
            </w:r>
          </w:p>
        </w:tc>
        <w:tc>
          <w:tcPr>
            <w:tcW w:w="1043"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&lt; 0.001</w:t>
            </w:r>
            <w:r>
              <w:rPr>
                <w:rFonts w:ascii="Book Antiqua" w:hAnsi="Book Antiqua" w:cs="Arial"/>
                <w:vertAlign w:val="superscript"/>
                <w:lang w:val="es-MX"/>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355"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ROI ∆%ADCmean</w:t>
            </w:r>
          </w:p>
        </w:tc>
        <w:tc>
          <w:tcPr>
            <w:tcW w:w="1309"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55% (48%–60%)</w:t>
            </w:r>
          </w:p>
        </w:tc>
        <w:tc>
          <w:tcPr>
            <w:tcW w:w="1293"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23% (15%–30%)</w:t>
            </w:r>
          </w:p>
        </w:tc>
        <w:tc>
          <w:tcPr>
            <w:tcW w:w="1043" w:type="pct"/>
          </w:tcPr>
          <w:p>
            <w:pPr>
              <w:adjustRightInd w:val="0"/>
              <w:snapToGrid w:val="0"/>
              <w:spacing w:line="360" w:lineRule="auto"/>
              <w:jc w:val="both"/>
              <w:rPr>
                <w:rFonts w:ascii="Book Antiqua" w:hAnsi="Book Antiqua" w:cstheme="minorBidi"/>
                <w:lang w:val="es-MX"/>
              </w:rPr>
            </w:pPr>
            <w:r>
              <w:rPr>
                <w:rFonts w:ascii="Book Antiqua" w:hAnsi="Book Antiqua" w:cs="Arial"/>
                <w:lang w:val="es-MX"/>
              </w:rPr>
              <w:t>0.020</w:t>
            </w:r>
            <w:r>
              <w:rPr>
                <w:rFonts w:ascii="Book Antiqua" w:hAnsi="Book Antiqua" w:cs="Arial"/>
                <w:vertAlign w:val="superscript"/>
                <w:lang w:val="es-MX"/>
              </w:rPr>
              <w:t>1</w:t>
            </w:r>
          </w:p>
        </w:tc>
      </w:tr>
    </w:tbl>
    <w:p>
      <w:pPr>
        <w:adjustRightInd w:val="0"/>
        <w:snapToGrid w:val="0"/>
        <w:spacing w:line="360" w:lineRule="auto"/>
        <w:jc w:val="both"/>
        <w:rPr>
          <w:rFonts w:ascii="Book Antiqua" w:hAnsi="Book Antiqua"/>
        </w:rPr>
      </w:pPr>
      <w:r>
        <w:rPr>
          <w:rFonts w:ascii="Book Antiqua" w:hAnsi="Book Antiqua" w:eastAsia="Book Antiqua" w:cs="Book Antiqua"/>
          <w:color w:val="000000"/>
          <w:vertAlign w:val="superscript"/>
        </w:rPr>
        <w:t>1</w:t>
      </w:r>
      <w:r>
        <w:rPr>
          <w:rFonts w:ascii="Book Antiqua" w:hAnsi="Book Antiqua" w:eastAsia="Book Antiqua" w:cs="Book Antiqua"/>
          <w:color w:val="000000"/>
        </w:rPr>
        <w:t>Statistically significant difference. ADC: Apparent diffusion coefficient; nCRT: Neoadjuvant chemoradiation therapy; ROI: Region</w:t>
      </w:r>
      <w:r>
        <w:rPr>
          <w:rFonts w:ascii="Book Antiqua" w:hAnsi="Book Antiqua" w:eastAsia="Book Antiqua" w:cs="Book Antiqua"/>
          <w:color w:val="000000"/>
          <w:vertAlign w:val="subscript"/>
        </w:rPr>
        <w:t> </w:t>
      </w:r>
      <w:r>
        <w:rPr>
          <w:rFonts w:ascii="Book Antiqua" w:hAnsi="Book Antiqua" w:eastAsia="Book Antiqua" w:cs="Book Antiqua"/>
          <w:color w:val="000000"/>
        </w:rPr>
        <w:t>of interest.</w:t>
      </w:r>
    </w:p>
    <w:p>
      <w:pPr>
        <w:adjustRightInd w:val="0"/>
        <w:snapToGrid w:val="0"/>
        <w:spacing w:line="360" w:lineRule="auto"/>
        <w:jc w:val="both"/>
        <w:rPr>
          <w:rFonts w:ascii="Book Antiqua" w:hAnsi="Book Antiqua" w:cs="Arial"/>
          <w:b/>
          <w:bCs/>
          <w:lang w:val="en-GB"/>
        </w:rPr>
      </w:pPr>
    </w:p>
    <w:p>
      <w:pPr>
        <w:adjustRightInd w:val="0"/>
        <w:snapToGrid w:val="0"/>
        <w:spacing w:line="360" w:lineRule="auto"/>
        <w:jc w:val="both"/>
        <w:rPr>
          <w:rFonts w:ascii="Book Antiqua" w:hAnsi="Book Antiqua" w:cs="Arial"/>
          <w:b/>
          <w:bCs/>
          <w:lang w:val="en-GB"/>
        </w:rPr>
      </w:pPr>
      <w:r>
        <w:rPr>
          <w:rFonts w:ascii="Book Antiqua" w:hAnsi="Book Antiqua" w:cs="Arial"/>
          <w:b/>
          <w:bCs/>
          <w:lang w:val="en-GB"/>
        </w:rPr>
        <w:t xml:space="preserve">Table 4 Diagnostic performance of the best </w:t>
      </w:r>
      <w:r>
        <w:rPr>
          <w:rFonts w:ascii="Book Antiqua" w:hAnsi="Book Antiqua" w:eastAsia="Book Antiqua" w:cs="Book Antiqua"/>
          <w:b/>
          <w:bCs/>
          <w:color w:val="000000"/>
        </w:rPr>
        <w:t>magnetic resonance imaging</w:t>
      </w:r>
      <w:r>
        <w:rPr>
          <w:rFonts w:ascii="Book Antiqua" w:hAnsi="Book Antiqua" w:cs="Arial"/>
          <w:b/>
          <w:bCs/>
          <w:lang w:val="en-GB"/>
        </w:rPr>
        <w:t xml:space="preserve"> histogram derived parameters to detect responder patients</w:t>
      </w:r>
    </w:p>
    <w:tbl>
      <w:tblPr>
        <w:tblStyle w:val="13"/>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04"/>
        <w:gridCol w:w="1235"/>
        <w:gridCol w:w="1434"/>
        <w:gridCol w:w="1421"/>
        <w:gridCol w:w="858"/>
        <w:gridCol w:w="858"/>
        <w:gridCol w:w="1245"/>
        <w:gridCol w:w="112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33" w:type="pct"/>
            <w:tcBorders>
              <w:top w:val="single" w:color="auto" w:sz="4" w:space="0"/>
              <w:bottom w:val="single" w:color="auto" w:sz="4" w:space="0"/>
            </w:tcBorders>
          </w:tcPr>
          <w:p>
            <w:pPr>
              <w:adjustRightInd w:val="0"/>
              <w:snapToGrid w:val="0"/>
              <w:spacing w:line="360" w:lineRule="auto"/>
              <w:jc w:val="both"/>
              <w:rPr>
                <w:rFonts w:ascii="Book Antiqua" w:hAnsi="Book Antiqua" w:cs="Arial"/>
                <w:lang w:val="en-GB"/>
              </w:rPr>
            </w:pPr>
          </w:p>
        </w:tc>
        <w:tc>
          <w:tcPr>
            <w:tcW w:w="645" w:type="pct"/>
            <w:tcBorders>
              <w:top w:val="single" w:color="auto" w:sz="4" w:space="0"/>
              <w:bottom w:val="single" w:color="auto" w:sz="4" w:space="0"/>
            </w:tcBorders>
          </w:tcPr>
          <w:p>
            <w:pPr>
              <w:tabs>
                <w:tab w:val="left" w:pos="1005"/>
              </w:tabs>
              <w:adjustRightInd w:val="0"/>
              <w:snapToGrid w:val="0"/>
              <w:spacing w:line="360" w:lineRule="auto"/>
              <w:jc w:val="both"/>
              <w:rPr>
                <w:rFonts w:ascii="Book Antiqua" w:hAnsi="Book Antiqua" w:cs="Arial"/>
                <w:b/>
                <w:bCs/>
                <w:lang w:val="en-GB"/>
              </w:rPr>
            </w:pPr>
            <w:r>
              <w:rPr>
                <w:rFonts w:ascii="Book Antiqua" w:hAnsi="Book Antiqua" w:cs="Arial"/>
                <w:b/>
                <w:bCs/>
                <w:lang w:val="en-GB"/>
              </w:rPr>
              <w:t>Cutoff</w:t>
            </w:r>
          </w:p>
        </w:tc>
        <w:tc>
          <w:tcPr>
            <w:tcW w:w="749"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lang w:val="en-GB"/>
              </w:rPr>
            </w:pPr>
            <w:r>
              <w:rPr>
                <w:rFonts w:ascii="Book Antiqua" w:hAnsi="Book Antiqua" w:cs="Arial"/>
                <w:b/>
                <w:bCs/>
                <w:lang w:val="en-GB"/>
              </w:rPr>
              <w:t>Sensitivity</w:t>
            </w:r>
          </w:p>
        </w:tc>
        <w:tc>
          <w:tcPr>
            <w:tcW w:w="742"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lang w:val="en-GB"/>
              </w:rPr>
            </w:pPr>
            <w:r>
              <w:rPr>
                <w:rFonts w:ascii="Book Antiqua" w:hAnsi="Book Antiqua" w:cs="Arial"/>
                <w:b/>
                <w:bCs/>
                <w:lang w:val="en-GB"/>
              </w:rPr>
              <w:t>Specificity</w:t>
            </w:r>
          </w:p>
        </w:tc>
        <w:tc>
          <w:tcPr>
            <w:tcW w:w="448"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lang w:val="en-GB"/>
              </w:rPr>
            </w:pPr>
            <w:r>
              <w:rPr>
                <w:rFonts w:ascii="Book Antiqua" w:hAnsi="Book Antiqua" w:cs="Arial"/>
                <w:b/>
                <w:bCs/>
                <w:lang w:val="en-GB"/>
              </w:rPr>
              <w:t>PPV</w:t>
            </w:r>
          </w:p>
        </w:tc>
        <w:tc>
          <w:tcPr>
            <w:tcW w:w="448"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lang w:val="en-GB"/>
              </w:rPr>
            </w:pPr>
            <w:r>
              <w:rPr>
                <w:rFonts w:ascii="Book Antiqua" w:hAnsi="Book Antiqua" w:cs="Arial"/>
                <w:b/>
                <w:bCs/>
                <w:lang w:val="en-GB"/>
              </w:rPr>
              <w:t>NPV</w:t>
            </w:r>
          </w:p>
        </w:tc>
        <w:tc>
          <w:tcPr>
            <w:tcW w:w="650"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lang w:val="en-GB"/>
              </w:rPr>
            </w:pPr>
            <w:r>
              <w:rPr>
                <w:rFonts w:ascii="Book Antiqua" w:hAnsi="Book Antiqua" w:cs="Arial"/>
                <w:b/>
                <w:bCs/>
                <w:lang w:val="en-GB"/>
              </w:rPr>
              <w:t>Accuracy</w:t>
            </w:r>
          </w:p>
        </w:tc>
        <w:tc>
          <w:tcPr>
            <w:tcW w:w="586"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lang w:val="en-GB"/>
              </w:rPr>
            </w:pPr>
            <w:r>
              <w:rPr>
                <w:rFonts w:ascii="Book Antiqua" w:hAnsi="Book Antiqua" w:cs="Arial"/>
                <w:b/>
                <w:bCs/>
                <w:lang w:val="en-GB"/>
              </w:rPr>
              <w:t>AUC (95%CI)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33" w:type="pct"/>
            <w:tcBorders>
              <w:top w:val="single" w:color="auto" w:sz="4" w:space="0"/>
            </w:tcBorders>
          </w:tcPr>
          <w:p>
            <w:pPr>
              <w:adjustRightInd w:val="0"/>
              <w:snapToGrid w:val="0"/>
              <w:spacing w:line="360" w:lineRule="auto"/>
              <w:jc w:val="both"/>
              <w:rPr>
                <w:rFonts w:ascii="Book Antiqua" w:hAnsi="Book Antiqua" w:cs="Arial"/>
                <w:lang w:val="en-GB"/>
              </w:rPr>
            </w:pPr>
            <w:r>
              <w:rPr>
                <w:rFonts w:ascii="Book Antiqua" w:hAnsi="Book Antiqua" w:cs="Arial"/>
                <w:lang w:val="en-GB"/>
              </w:rPr>
              <w:t>∆%</w:t>
            </w:r>
          </w:p>
          <w:p>
            <w:pPr>
              <w:adjustRightInd w:val="0"/>
              <w:snapToGrid w:val="0"/>
              <w:spacing w:line="360" w:lineRule="auto"/>
              <w:jc w:val="both"/>
              <w:rPr>
                <w:rFonts w:ascii="Book Antiqua" w:hAnsi="Book Antiqua" w:cs="Arial"/>
                <w:lang w:val="en-GB"/>
              </w:rPr>
            </w:pPr>
            <w:r>
              <w:rPr>
                <w:rFonts w:ascii="Book Antiqua" w:hAnsi="Book Antiqua" w:cs="Arial"/>
                <w:lang w:val="en-GB"/>
              </w:rPr>
              <w:t>kurtosis</w:t>
            </w:r>
          </w:p>
        </w:tc>
        <w:tc>
          <w:tcPr>
            <w:tcW w:w="645" w:type="pct"/>
            <w:tcBorders>
              <w:top w:val="single" w:color="auto" w:sz="4" w:space="0"/>
            </w:tcBorders>
          </w:tcPr>
          <w:p>
            <w:pPr>
              <w:tabs>
                <w:tab w:val="left" w:pos="1005"/>
              </w:tabs>
              <w:adjustRightInd w:val="0"/>
              <w:snapToGrid w:val="0"/>
              <w:spacing w:line="360" w:lineRule="auto"/>
              <w:jc w:val="both"/>
              <w:rPr>
                <w:rFonts w:ascii="Book Antiqua" w:hAnsi="Book Antiqua" w:cs="Arial"/>
                <w:lang w:val="en-GB"/>
              </w:rPr>
            </w:pPr>
            <w:r>
              <w:rPr>
                <w:rFonts w:ascii="Book Antiqua" w:hAnsi="Book Antiqua" w:cs="Arial"/>
                <w:lang w:val="en-GB"/>
              </w:rPr>
              <w:t>11.85%</w:t>
            </w:r>
          </w:p>
        </w:tc>
        <w:tc>
          <w:tcPr>
            <w:tcW w:w="749" w:type="pct"/>
            <w:tcBorders>
              <w:top w:val="single" w:color="auto" w:sz="4" w:space="0"/>
            </w:tcBorders>
          </w:tcPr>
          <w:p>
            <w:pPr>
              <w:adjustRightInd w:val="0"/>
              <w:snapToGrid w:val="0"/>
              <w:spacing w:line="360" w:lineRule="auto"/>
              <w:jc w:val="both"/>
              <w:rPr>
                <w:rFonts w:ascii="Book Antiqua" w:hAnsi="Book Antiqua" w:cs="Arial"/>
                <w:lang w:val="en-GB"/>
              </w:rPr>
            </w:pPr>
            <w:r>
              <w:rPr>
                <w:rFonts w:ascii="Book Antiqua" w:hAnsi="Book Antiqua" w:cs="Arial"/>
                <w:lang w:val="en-GB"/>
              </w:rPr>
              <w:t>94.4%</w:t>
            </w:r>
          </w:p>
        </w:tc>
        <w:tc>
          <w:tcPr>
            <w:tcW w:w="742" w:type="pct"/>
            <w:tcBorders>
              <w:top w:val="single" w:color="auto" w:sz="4" w:space="0"/>
            </w:tcBorders>
          </w:tcPr>
          <w:p>
            <w:pPr>
              <w:adjustRightInd w:val="0"/>
              <w:snapToGrid w:val="0"/>
              <w:spacing w:line="360" w:lineRule="auto"/>
              <w:jc w:val="both"/>
              <w:rPr>
                <w:rFonts w:ascii="Book Antiqua" w:hAnsi="Book Antiqua" w:cs="Arial"/>
                <w:lang w:val="en-GB"/>
              </w:rPr>
            </w:pPr>
            <w:r>
              <w:rPr>
                <w:rFonts w:ascii="Book Antiqua" w:hAnsi="Book Antiqua" w:cs="Arial"/>
                <w:lang w:val="en-GB"/>
              </w:rPr>
              <w:t>96.7%</w:t>
            </w:r>
          </w:p>
        </w:tc>
        <w:tc>
          <w:tcPr>
            <w:tcW w:w="448" w:type="pct"/>
            <w:tcBorders>
              <w:top w:val="single" w:color="auto" w:sz="4" w:space="0"/>
            </w:tcBorders>
          </w:tcPr>
          <w:p>
            <w:pPr>
              <w:adjustRightInd w:val="0"/>
              <w:snapToGrid w:val="0"/>
              <w:spacing w:line="360" w:lineRule="auto"/>
              <w:jc w:val="both"/>
              <w:rPr>
                <w:rFonts w:ascii="Book Antiqua" w:hAnsi="Book Antiqua" w:cs="Arial"/>
                <w:lang w:val="en-GB"/>
              </w:rPr>
            </w:pPr>
            <w:r>
              <w:rPr>
                <w:rFonts w:ascii="Book Antiqua" w:hAnsi="Book Antiqua" w:cs="Arial"/>
                <w:lang w:val="en-GB"/>
              </w:rPr>
              <w:t>94.4%</w:t>
            </w:r>
          </w:p>
        </w:tc>
        <w:tc>
          <w:tcPr>
            <w:tcW w:w="448" w:type="pct"/>
            <w:tcBorders>
              <w:top w:val="single" w:color="auto" w:sz="4" w:space="0"/>
            </w:tcBorders>
          </w:tcPr>
          <w:p>
            <w:pPr>
              <w:adjustRightInd w:val="0"/>
              <w:snapToGrid w:val="0"/>
              <w:spacing w:line="360" w:lineRule="auto"/>
              <w:jc w:val="both"/>
              <w:rPr>
                <w:rFonts w:ascii="Book Antiqua" w:hAnsi="Book Antiqua" w:cs="Arial"/>
                <w:lang w:val="en-GB"/>
              </w:rPr>
            </w:pPr>
            <w:r>
              <w:rPr>
                <w:rFonts w:ascii="Book Antiqua" w:hAnsi="Book Antiqua" w:cs="Arial"/>
                <w:lang w:val="en-GB"/>
              </w:rPr>
              <w:t>96.7%</w:t>
            </w:r>
          </w:p>
        </w:tc>
        <w:tc>
          <w:tcPr>
            <w:tcW w:w="650" w:type="pct"/>
            <w:tcBorders>
              <w:top w:val="single" w:color="auto" w:sz="4" w:space="0"/>
            </w:tcBorders>
          </w:tcPr>
          <w:p>
            <w:pPr>
              <w:adjustRightInd w:val="0"/>
              <w:snapToGrid w:val="0"/>
              <w:spacing w:line="360" w:lineRule="auto"/>
              <w:jc w:val="both"/>
              <w:rPr>
                <w:rFonts w:ascii="Book Antiqua" w:hAnsi="Book Antiqua" w:cs="Arial"/>
                <w:lang w:val="en-GB"/>
              </w:rPr>
            </w:pPr>
            <w:r>
              <w:rPr>
                <w:rFonts w:ascii="Book Antiqua" w:hAnsi="Book Antiqua" w:cs="Arial"/>
                <w:lang w:val="en-GB"/>
              </w:rPr>
              <w:t>96.0%</w:t>
            </w:r>
          </w:p>
        </w:tc>
        <w:tc>
          <w:tcPr>
            <w:tcW w:w="586" w:type="pct"/>
            <w:tcBorders>
              <w:top w:val="single" w:color="auto" w:sz="4" w:space="0"/>
            </w:tcBorders>
          </w:tcPr>
          <w:p>
            <w:pPr>
              <w:adjustRightInd w:val="0"/>
              <w:snapToGrid w:val="0"/>
              <w:spacing w:line="360" w:lineRule="auto"/>
              <w:jc w:val="both"/>
              <w:rPr>
                <w:rFonts w:ascii="Book Antiqua" w:hAnsi="Book Antiqua" w:cs="Arial"/>
                <w:lang w:val="en-GB"/>
              </w:rPr>
            </w:pPr>
            <w:r>
              <w:rPr>
                <w:rFonts w:ascii="Book Antiqua" w:hAnsi="Book Antiqua" w:cs="Arial"/>
                <w:lang w:val="en-GB"/>
              </w:rPr>
              <w:t>0.991 (0.925-1.000)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3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Post-nCRT kurtosis</w:t>
            </w:r>
          </w:p>
        </w:tc>
        <w:tc>
          <w:tcPr>
            <w:tcW w:w="64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0.78</w:t>
            </w:r>
          </w:p>
        </w:tc>
        <w:tc>
          <w:tcPr>
            <w:tcW w:w="749" w:type="pct"/>
          </w:tcPr>
          <w:p>
            <w:pPr>
              <w:adjustRightInd w:val="0"/>
              <w:snapToGrid w:val="0"/>
              <w:spacing w:line="360" w:lineRule="auto"/>
              <w:jc w:val="both"/>
              <w:rPr>
                <w:rFonts w:ascii="Book Antiqua" w:hAnsi="Book Antiqua" w:cs="Arial"/>
                <w:lang w:val="en-GB"/>
              </w:rPr>
            </w:pPr>
            <w:r>
              <w:rPr>
                <w:rFonts w:ascii="Book Antiqua" w:hAnsi="Book Antiqua" w:cs="Arial"/>
                <w:lang w:val="en-GB"/>
              </w:rPr>
              <w:t>93.3%</w:t>
            </w:r>
          </w:p>
        </w:tc>
        <w:tc>
          <w:tcPr>
            <w:tcW w:w="742" w:type="pct"/>
          </w:tcPr>
          <w:p>
            <w:pPr>
              <w:adjustRightInd w:val="0"/>
              <w:snapToGrid w:val="0"/>
              <w:spacing w:line="360" w:lineRule="auto"/>
              <w:jc w:val="both"/>
              <w:rPr>
                <w:rFonts w:ascii="Book Antiqua" w:hAnsi="Book Antiqua" w:cs="Arial"/>
                <w:lang w:val="en-GB"/>
              </w:rPr>
            </w:pPr>
            <w:r>
              <w:rPr>
                <w:rFonts w:ascii="Book Antiqua" w:hAnsi="Book Antiqua" w:cs="Arial"/>
                <w:lang w:val="en-GB"/>
              </w:rPr>
              <w:t>99.0%</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90%</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99.0%</w:t>
            </w:r>
          </w:p>
        </w:tc>
        <w:tc>
          <w:tcPr>
            <w:tcW w:w="650" w:type="pct"/>
          </w:tcPr>
          <w:p>
            <w:pPr>
              <w:adjustRightInd w:val="0"/>
              <w:snapToGrid w:val="0"/>
              <w:spacing w:line="360" w:lineRule="auto"/>
              <w:jc w:val="both"/>
              <w:rPr>
                <w:rFonts w:ascii="Book Antiqua" w:hAnsi="Book Antiqua" w:cs="Arial"/>
                <w:lang w:val="en-GB"/>
              </w:rPr>
            </w:pPr>
            <w:r>
              <w:rPr>
                <w:rFonts w:ascii="Book Antiqua" w:hAnsi="Book Antiqua" w:cs="Arial"/>
                <w:lang w:val="en-GB"/>
              </w:rPr>
              <w:t>96.0%</w:t>
            </w:r>
          </w:p>
        </w:tc>
        <w:tc>
          <w:tcPr>
            <w:tcW w:w="58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0.985 (0.957-1.000)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3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∆skewness</w:t>
            </w:r>
          </w:p>
        </w:tc>
        <w:tc>
          <w:tcPr>
            <w:tcW w:w="64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0.16</w:t>
            </w:r>
          </w:p>
        </w:tc>
        <w:tc>
          <w:tcPr>
            <w:tcW w:w="749"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66.7%</w:t>
            </w:r>
          </w:p>
        </w:tc>
        <w:tc>
          <w:tcPr>
            <w:tcW w:w="742" w:type="pct"/>
          </w:tcPr>
          <w:p>
            <w:pPr>
              <w:adjustRightInd w:val="0"/>
              <w:snapToGrid w:val="0"/>
              <w:spacing w:line="360" w:lineRule="auto"/>
              <w:jc w:val="both"/>
              <w:rPr>
                <w:rFonts w:ascii="Book Antiqua" w:hAnsi="Book Antiqua" w:cs="Arial"/>
                <w:lang w:val="en-GB"/>
              </w:rPr>
            </w:pPr>
            <w:r>
              <w:rPr>
                <w:rFonts w:ascii="Book Antiqua" w:hAnsi="Book Antiqua" w:cs="Arial"/>
                <w:lang w:val="en-GB"/>
              </w:rPr>
              <w:t>99.0%</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64.3%</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99.0%</w:t>
            </w:r>
          </w:p>
        </w:tc>
        <w:tc>
          <w:tcPr>
            <w:tcW w:w="650"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79.2%</w:t>
            </w:r>
          </w:p>
        </w:tc>
        <w:tc>
          <w:tcPr>
            <w:tcW w:w="58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0.885 (0.795-0.975)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3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Post-nCRT skewness</w:t>
            </w:r>
          </w:p>
        </w:tc>
        <w:tc>
          <w:tcPr>
            <w:tcW w:w="64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1.59</w:t>
            </w:r>
          </w:p>
        </w:tc>
        <w:tc>
          <w:tcPr>
            <w:tcW w:w="749"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63.3%</w:t>
            </w:r>
          </w:p>
        </w:tc>
        <w:tc>
          <w:tcPr>
            <w:tcW w:w="742" w:type="pct"/>
          </w:tcPr>
          <w:p>
            <w:pPr>
              <w:adjustRightInd w:val="0"/>
              <w:snapToGrid w:val="0"/>
              <w:spacing w:line="360" w:lineRule="auto"/>
              <w:jc w:val="both"/>
              <w:rPr>
                <w:rFonts w:ascii="Book Antiqua" w:hAnsi="Book Antiqua" w:cs="Arial"/>
                <w:lang w:val="en-GB"/>
              </w:rPr>
            </w:pPr>
            <w:r>
              <w:rPr>
                <w:rFonts w:ascii="Book Antiqua" w:hAnsi="Book Antiqua" w:cs="Arial"/>
                <w:lang w:val="en-GB"/>
              </w:rPr>
              <w:t>99.0%</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62.0%</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99.0%</w:t>
            </w:r>
          </w:p>
        </w:tc>
        <w:tc>
          <w:tcPr>
            <w:tcW w:w="650"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77.1%</w:t>
            </w:r>
          </w:p>
        </w:tc>
        <w:tc>
          <w:tcPr>
            <w:tcW w:w="58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0.815 (0.795-0.634)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3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Post-nCRT ADC10</w:t>
            </w:r>
            <w:r>
              <w:rPr>
                <w:rFonts w:ascii="Book Antiqua" w:hAnsi="Book Antiqua" w:cs="Arial"/>
                <w:vertAlign w:val="superscript"/>
                <w:lang w:val="en-GB"/>
              </w:rPr>
              <w:t>th</w:t>
            </w:r>
          </w:p>
        </w:tc>
        <w:tc>
          <w:tcPr>
            <w:tcW w:w="645" w:type="pct"/>
          </w:tcPr>
          <w:p>
            <w:pPr>
              <w:adjustRightInd w:val="0"/>
              <w:snapToGrid w:val="0"/>
              <w:spacing w:line="360" w:lineRule="auto"/>
              <w:ind w:left="240" w:hanging="240" w:hangingChars="100"/>
              <w:jc w:val="both"/>
              <w:rPr>
                <w:rFonts w:ascii="Book Antiqua" w:hAnsi="Book Antiqua" w:cs="Arial"/>
                <w:lang w:val="en-GB"/>
              </w:rPr>
            </w:pPr>
            <w:r>
              <w:rPr>
                <w:rFonts w:ascii="Book Antiqua" w:hAnsi="Book Antiqua" w:cs="Arial"/>
                <w:lang w:val="en-GB"/>
              </w:rPr>
              <w:t>0.34</w:t>
            </w:r>
            <w:r>
              <w:rPr>
                <w:rFonts w:ascii="Book Antiqua" w:hAnsi="Book Antiqua" w:cs="Arial"/>
                <w:lang w:val="en-GB" w:eastAsia="zh-CN"/>
              </w:rPr>
              <w:t>×</w:t>
            </w:r>
            <w:r>
              <w:rPr>
                <w:rFonts w:ascii="Book Antiqua" w:hAnsi="Book Antiqua" w:cs="Arial"/>
                <w:lang w:val="en-GB"/>
              </w:rPr>
              <w:t>10</w:t>
            </w:r>
            <w:r>
              <w:rPr>
                <w:rFonts w:ascii="Book Antiqua" w:hAnsi="Book Antiqua" w:cs="Arial"/>
                <w:vertAlign w:val="superscript"/>
                <w:lang w:val="en-GB"/>
              </w:rPr>
              <w:t>-3</w:t>
            </w:r>
            <w:r>
              <w:rPr>
                <w:rFonts w:ascii="Book Antiqua" w:hAnsi="Book Antiqua" w:cs="Arial"/>
                <w:lang w:val="en-GB"/>
              </w:rPr>
              <w:t xml:space="preserve"> mm</w:t>
            </w:r>
            <w:r>
              <w:rPr>
                <w:rFonts w:ascii="Book Antiqua" w:hAnsi="Book Antiqua" w:cs="Arial"/>
                <w:vertAlign w:val="superscript"/>
                <w:lang w:val="en-GB"/>
              </w:rPr>
              <w:t>2</w:t>
            </w:r>
            <w:r>
              <w:rPr>
                <w:rFonts w:ascii="Book Antiqua" w:hAnsi="Book Antiqua" w:cs="Arial"/>
                <w:lang w:val="en-GB"/>
              </w:rPr>
              <w:t>/s</w:t>
            </w:r>
          </w:p>
        </w:tc>
        <w:tc>
          <w:tcPr>
            <w:tcW w:w="749"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66.7%</w:t>
            </w:r>
          </w:p>
        </w:tc>
        <w:tc>
          <w:tcPr>
            <w:tcW w:w="742"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73.3%</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60.0%</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79.0%</w:t>
            </w:r>
          </w:p>
        </w:tc>
        <w:tc>
          <w:tcPr>
            <w:tcW w:w="650"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71.0%</w:t>
            </w:r>
          </w:p>
        </w:tc>
        <w:tc>
          <w:tcPr>
            <w:tcW w:w="58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0.681 (0.509-0.852)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3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∆%ADC</w:t>
            </w:r>
          </w:p>
          <w:p>
            <w:pPr>
              <w:adjustRightInd w:val="0"/>
              <w:snapToGrid w:val="0"/>
              <w:spacing w:line="360" w:lineRule="auto"/>
              <w:jc w:val="both"/>
              <w:rPr>
                <w:rFonts w:ascii="Book Antiqua" w:hAnsi="Book Antiqua" w:cs="Arial"/>
                <w:lang w:val="en-GB"/>
              </w:rPr>
            </w:pPr>
            <w:r>
              <w:rPr>
                <w:rFonts w:ascii="Book Antiqua" w:hAnsi="Book Antiqua" w:cs="Arial"/>
                <w:lang w:val="en-GB"/>
              </w:rPr>
              <w:t>mean</w:t>
            </w:r>
          </w:p>
        </w:tc>
        <w:tc>
          <w:tcPr>
            <w:tcW w:w="64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56.00%</w:t>
            </w:r>
          </w:p>
        </w:tc>
        <w:tc>
          <w:tcPr>
            <w:tcW w:w="749" w:type="pct"/>
          </w:tcPr>
          <w:p>
            <w:pPr>
              <w:adjustRightInd w:val="0"/>
              <w:snapToGrid w:val="0"/>
              <w:spacing w:line="360" w:lineRule="auto"/>
              <w:jc w:val="both"/>
              <w:rPr>
                <w:rFonts w:ascii="Book Antiqua" w:hAnsi="Book Antiqua" w:cs="Arial"/>
                <w:lang w:val="en-GB"/>
              </w:rPr>
            </w:pPr>
            <w:r>
              <w:rPr>
                <w:rFonts w:ascii="Book Antiqua" w:hAnsi="Book Antiqua" w:cs="Arial"/>
                <w:lang w:val="en-GB"/>
              </w:rPr>
              <w:t>56.0%</w:t>
            </w:r>
          </w:p>
        </w:tc>
        <w:tc>
          <w:tcPr>
            <w:tcW w:w="742"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77.0%</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56.0%</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73.3%</w:t>
            </w:r>
          </w:p>
        </w:tc>
        <w:tc>
          <w:tcPr>
            <w:tcW w:w="650"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66.7%</w:t>
            </w:r>
          </w:p>
        </w:tc>
        <w:tc>
          <w:tcPr>
            <w:tcW w:w="58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0.686 (0.500-0.820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3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w:t>
            </w:r>
          </w:p>
          <w:p>
            <w:pPr>
              <w:adjustRightInd w:val="0"/>
              <w:snapToGrid w:val="0"/>
              <w:spacing w:line="360" w:lineRule="auto"/>
              <w:jc w:val="both"/>
              <w:rPr>
                <w:rFonts w:ascii="Book Antiqua" w:hAnsi="Book Antiqua" w:cs="Arial"/>
                <w:lang w:val="en-GB"/>
              </w:rPr>
            </w:pPr>
            <w:r>
              <w:rPr>
                <w:rFonts w:ascii="Book Antiqua" w:hAnsi="Book Antiqua" w:cs="Arial"/>
                <w:lang w:val="en-GB"/>
              </w:rPr>
              <w:t>ADC10</w:t>
            </w:r>
            <w:r>
              <w:rPr>
                <w:rFonts w:ascii="Book Antiqua" w:hAnsi="Book Antiqua" w:cs="Arial"/>
                <w:vertAlign w:val="superscript"/>
                <w:lang w:val="en-GB"/>
              </w:rPr>
              <w:t>th</w:t>
            </w:r>
          </w:p>
        </w:tc>
        <w:tc>
          <w:tcPr>
            <w:tcW w:w="64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74.21%</w:t>
            </w:r>
          </w:p>
        </w:tc>
        <w:tc>
          <w:tcPr>
            <w:tcW w:w="749"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61.1%</w:t>
            </w:r>
          </w:p>
        </w:tc>
        <w:tc>
          <w:tcPr>
            <w:tcW w:w="742"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70.0%</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55.0%</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75.0%</w:t>
            </w:r>
          </w:p>
        </w:tc>
        <w:tc>
          <w:tcPr>
            <w:tcW w:w="650"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66.7%</w:t>
            </w:r>
          </w:p>
        </w:tc>
        <w:tc>
          <w:tcPr>
            <w:tcW w:w="58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0.589 (0.483-0.815)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33" w:type="pct"/>
          </w:tcPr>
          <w:p>
            <w:pPr>
              <w:adjustRightInd w:val="0"/>
              <w:snapToGrid w:val="0"/>
              <w:spacing w:line="360" w:lineRule="auto"/>
              <w:jc w:val="both"/>
              <w:rPr>
                <w:rFonts w:ascii="Book Antiqua" w:hAnsi="Book Antiqua" w:cs="Arial"/>
                <w:lang w:val="en-GB"/>
              </w:rPr>
            </w:pPr>
            <w:r>
              <w:rPr>
                <w:rFonts w:ascii="Book Antiqua" w:hAnsi="Book Antiqua" w:cs="Arial"/>
                <w:lang w:val="en-GB"/>
              </w:rPr>
              <w:t>ROI ∆%ADC</w:t>
            </w:r>
          </w:p>
          <w:p>
            <w:pPr>
              <w:adjustRightInd w:val="0"/>
              <w:snapToGrid w:val="0"/>
              <w:spacing w:line="360" w:lineRule="auto"/>
              <w:jc w:val="both"/>
              <w:rPr>
                <w:rFonts w:ascii="Book Antiqua" w:hAnsi="Book Antiqua" w:cs="Arial"/>
                <w:lang w:val="en-GB"/>
              </w:rPr>
            </w:pPr>
            <w:r>
              <w:rPr>
                <w:rFonts w:ascii="Book Antiqua" w:hAnsi="Book Antiqua" w:cs="Arial"/>
                <w:lang w:val="en-GB"/>
              </w:rPr>
              <w:t>mean</w:t>
            </w:r>
          </w:p>
        </w:tc>
        <w:tc>
          <w:tcPr>
            <w:tcW w:w="645" w:type="pct"/>
          </w:tcPr>
          <w:p>
            <w:pPr>
              <w:adjustRightInd w:val="0"/>
              <w:snapToGrid w:val="0"/>
              <w:spacing w:line="360" w:lineRule="auto"/>
              <w:jc w:val="both"/>
              <w:rPr>
                <w:rFonts w:ascii="Book Antiqua" w:hAnsi="Book Antiqua" w:cs="Arial"/>
                <w:lang w:val="en-GB"/>
              </w:rPr>
            </w:pPr>
            <w:r>
              <w:rPr>
                <w:rFonts w:ascii="Book Antiqua" w:hAnsi="Book Antiqua" w:cs="Arial"/>
                <w:lang w:val="en-GB"/>
              </w:rPr>
              <w:t>55.00%</w:t>
            </w:r>
          </w:p>
        </w:tc>
        <w:tc>
          <w:tcPr>
            <w:tcW w:w="749"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61.0%</w:t>
            </w:r>
          </w:p>
        </w:tc>
        <w:tc>
          <w:tcPr>
            <w:tcW w:w="742"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69.0%</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52.0%</w:t>
            </w:r>
          </w:p>
        </w:tc>
        <w:tc>
          <w:tcPr>
            <w:tcW w:w="448" w:type="pct"/>
          </w:tcPr>
          <w:p>
            <w:pPr>
              <w:adjustRightInd w:val="0"/>
              <w:snapToGrid w:val="0"/>
              <w:spacing w:line="360" w:lineRule="auto"/>
              <w:jc w:val="both"/>
              <w:rPr>
                <w:rFonts w:ascii="Book Antiqua" w:hAnsi="Book Antiqua" w:cs="Arial"/>
                <w:lang w:val="en-GB"/>
              </w:rPr>
            </w:pPr>
            <w:r>
              <w:rPr>
                <w:rFonts w:ascii="Book Antiqua" w:hAnsi="Book Antiqua" w:cs="Arial"/>
                <w:lang w:val="en-GB"/>
              </w:rPr>
              <w:t>72.0%</w:t>
            </w:r>
          </w:p>
        </w:tc>
        <w:tc>
          <w:tcPr>
            <w:tcW w:w="650"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65.3%</w:t>
            </w:r>
          </w:p>
        </w:tc>
        <w:tc>
          <w:tcPr>
            <w:tcW w:w="58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0.583 (0.425-0.715)</w:t>
            </w:r>
          </w:p>
        </w:tc>
      </w:tr>
    </w:tbl>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ADC: Apparent diffusion coefficient; AUC: Area under the receiver operating characteristic curve; nCRT: Neoadjuvant chemoradiation therapy; NPV: Negative predictive value; PPV: Positive predictive value; ROI: Region</w:t>
      </w:r>
      <w:r>
        <w:rPr>
          <w:rFonts w:ascii="Book Antiqua" w:hAnsi="Book Antiqua" w:eastAsia="Book Antiqua" w:cs="Book Antiqua"/>
          <w:color w:val="000000"/>
          <w:vertAlign w:val="subscript"/>
        </w:rPr>
        <w:t> </w:t>
      </w:r>
      <w:r>
        <w:rPr>
          <w:rFonts w:ascii="Book Antiqua" w:hAnsi="Book Antiqua" w:eastAsia="Book Antiqua" w:cs="Book Antiqua"/>
          <w:color w:val="000000"/>
        </w:rPr>
        <w:t>of interest</w:t>
      </w:r>
      <w:r>
        <w:rPr>
          <w:rFonts w:ascii="Book Antiqua" w:hAnsi="Book Antiqua" w:eastAsia="宋体" w:cs="宋体"/>
          <w:color w:val="000000"/>
          <w:lang w:eastAsia="zh-CN"/>
        </w:rPr>
        <w:t xml:space="preserve">. </w:t>
      </w:r>
    </w:p>
    <w:p>
      <w:pPr>
        <w:adjustRightInd w:val="0"/>
        <w:snapToGrid w:val="0"/>
        <w:spacing w:line="360" w:lineRule="auto"/>
        <w:jc w:val="both"/>
        <w:rPr>
          <w:rFonts w:ascii="Book Antiqua" w:hAnsi="Book Antiqua" w:cs="Arial"/>
          <w:b/>
          <w:bCs/>
          <w:lang w:val="en-GB"/>
        </w:rPr>
      </w:pPr>
    </w:p>
    <w:p>
      <w:pPr>
        <w:adjustRightInd w:val="0"/>
        <w:snapToGrid w:val="0"/>
        <w:spacing w:line="360" w:lineRule="auto"/>
        <w:jc w:val="both"/>
        <w:rPr>
          <w:rFonts w:ascii="Book Antiqua" w:hAnsi="Book Antiqua" w:cs="Arial"/>
          <w:b/>
          <w:bCs/>
          <w:lang w:val="en-GB"/>
        </w:rPr>
      </w:pPr>
      <w:r>
        <w:rPr>
          <w:rFonts w:ascii="Book Antiqua" w:hAnsi="Book Antiqua" w:cs="Arial"/>
          <w:b/>
          <w:bCs/>
          <w:lang w:val="en-GB"/>
        </w:rPr>
        <w:t xml:space="preserve">Table 5 </w:t>
      </w:r>
      <w:r>
        <w:rPr>
          <w:rFonts w:ascii="Book Antiqua" w:hAnsi="Book Antiqua" w:eastAsia="Book Antiqua" w:cs="Book Antiqua"/>
          <w:b/>
          <w:bCs/>
          <w:color w:val="000000"/>
        </w:rPr>
        <w:t>Diagnostic odds ratios</w:t>
      </w:r>
      <w:r>
        <w:rPr>
          <w:rFonts w:ascii="Book Antiqua" w:hAnsi="Book Antiqua" w:cs="Arial"/>
          <w:b/>
          <w:bCs/>
          <w:lang w:val="en-GB"/>
        </w:rPr>
        <w:t xml:space="preserve"> of </w:t>
      </w:r>
      <w:r>
        <w:rPr>
          <w:rFonts w:ascii="Book Antiqua" w:hAnsi="Book Antiqua" w:eastAsia="Book Antiqua" w:cs="Book Antiqua"/>
          <w:b/>
          <w:bCs/>
          <w:color w:val="000000"/>
        </w:rPr>
        <w:t>magnetic resonance imaging</w:t>
      </w:r>
      <w:r>
        <w:rPr>
          <w:rFonts w:ascii="Book Antiqua" w:hAnsi="Book Antiqua" w:cs="Arial"/>
          <w:b/>
          <w:bCs/>
          <w:lang w:val="en-GB"/>
        </w:rPr>
        <w:t xml:space="preserve"> parameters in differentiating </w:t>
      </w:r>
      <w:r>
        <w:rPr>
          <w:rFonts w:ascii="Book Antiqua" w:hAnsi="Book Antiqua" w:eastAsia="Book Antiqua" w:cs="Book Antiqua"/>
          <w:b/>
          <w:bCs/>
          <w:color w:val="000000"/>
        </w:rPr>
        <w:t>respond</w:t>
      </w:r>
      <w:r>
        <w:rPr>
          <w:rFonts w:ascii="Book Antiqua" w:hAnsi="Book Antiqua" w:cs="Arial"/>
          <w:b/>
          <w:bCs/>
          <w:lang w:val="en-GB"/>
        </w:rPr>
        <w:t xml:space="preserve"> and non-</w:t>
      </w:r>
      <w:r>
        <w:rPr>
          <w:rFonts w:ascii="Book Antiqua" w:hAnsi="Book Antiqua" w:eastAsia="Book Antiqua" w:cs="Book Antiqua"/>
          <w:b/>
          <w:bCs/>
          <w:color w:val="000000"/>
        </w:rPr>
        <w:t xml:space="preserve"> respond</w:t>
      </w:r>
      <w:r>
        <w:rPr>
          <w:rFonts w:ascii="Book Antiqua" w:hAnsi="Book Antiqua" w:cs="Arial"/>
          <w:b/>
          <w:bCs/>
          <w:lang w:val="en-GB"/>
        </w:rPr>
        <w:t xml:space="preserve"> patients in </w:t>
      </w:r>
      <w:r>
        <w:rPr>
          <w:rFonts w:ascii="Book Antiqua" w:hAnsi="Book Antiqua" w:eastAsia="Book Antiqua" w:cs="Book Antiqua"/>
          <w:b/>
          <w:bCs/>
          <w:color w:val="000000"/>
        </w:rPr>
        <w:t>locally advanced rectal cancer</w:t>
      </w:r>
    </w:p>
    <w:tbl>
      <w:tblPr>
        <w:tblStyle w:val="13"/>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90"/>
        <w:gridCol w:w="3193"/>
        <w:gridCol w:w="319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Borders>
              <w:top w:val="single" w:color="auto" w:sz="4" w:space="0"/>
              <w:bottom w:val="single" w:color="auto" w:sz="4" w:space="0"/>
            </w:tcBorders>
          </w:tcPr>
          <w:p>
            <w:pPr>
              <w:adjustRightInd w:val="0"/>
              <w:snapToGrid w:val="0"/>
              <w:spacing w:line="360" w:lineRule="auto"/>
              <w:jc w:val="both"/>
              <w:rPr>
                <w:rFonts w:ascii="Book Antiqua" w:hAnsi="Book Antiqua" w:cs="Arial"/>
                <w:lang w:val="en-GB"/>
              </w:rPr>
            </w:pPr>
          </w:p>
        </w:tc>
        <w:tc>
          <w:tcPr>
            <w:tcW w:w="1667"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lang w:val="en-GB"/>
              </w:rPr>
            </w:pPr>
            <w:r>
              <w:rPr>
                <w:rFonts w:ascii="Book Antiqua" w:hAnsi="Book Antiqua" w:cs="Arial"/>
                <w:b/>
                <w:bCs/>
                <w:lang w:val="en-GB"/>
              </w:rPr>
              <w:t xml:space="preserve">Diagnostic odds ratio </w:t>
            </w:r>
          </w:p>
        </w:tc>
        <w:tc>
          <w:tcPr>
            <w:tcW w:w="1667"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lang w:val="en-GB"/>
              </w:rPr>
            </w:pPr>
            <w:r>
              <w:rPr>
                <w:rFonts w:ascii="Book Antiqua" w:hAnsi="Book Antiqua" w:cs="Arial"/>
                <w:b/>
                <w:bCs/>
                <w:lang w:val="en-GB"/>
              </w:rPr>
              <w:t>95%CI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Borders>
              <w:top w:val="single" w:color="auto" w:sz="4" w:space="0"/>
            </w:tcBorders>
          </w:tcPr>
          <w:p>
            <w:pPr>
              <w:adjustRightInd w:val="0"/>
              <w:snapToGrid w:val="0"/>
              <w:spacing w:line="360" w:lineRule="auto"/>
              <w:jc w:val="both"/>
              <w:rPr>
                <w:rFonts w:ascii="Book Antiqua" w:hAnsi="Book Antiqua" w:cs="Arial"/>
                <w:lang w:val="en-GB"/>
              </w:rPr>
            </w:pPr>
            <w:r>
              <w:rPr>
                <w:rFonts w:ascii="Book Antiqua" w:hAnsi="Book Antiqua" w:cs="Arial"/>
                <w:lang w:val="en-GB"/>
              </w:rPr>
              <w:t>∆%kurtosis</w:t>
            </w:r>
          </w:p>
        </w:tc>
        <w:tc>
          <w:tcPr>
            <w:tcW w:w="1667" w:type="pct"/>
            <w:tcBorders>
              <w:top w:val="single" w:color="auto" w:sz="4" w:space="0"/>
            </w:tcBorders>
          </w:tcPr>
          <w:p>
            <w:pPr>
              <w:adjustRightInd w:val="0"/>
              <w:snapToGrid w:val="0"/>
              <w:spacing w:line="360" w:lineRule="auto"/>
              <w:jc w:val="both"/>
              <w:rPr>
                <w:rFonts w:ascii="Book Antiqua" w:hAnsi="Book Antiqua" w:cs="Arial"/>
                <w:lang w:val="en-GB"/>
              </w:rPr>
            </w:pPr>
            <w:r>
              <w:rPr>
                <w:rFonts w:ascii="Book Antiqua" w:hAnsi="Book Antiqua" w:cs="Arial"/>
                <w:lang w:val="en-GB"/>
              </w:rPr>
              <w:t>376.0</w:t>
            </w:r>
          </w:p>
        </w:tc>
        <w:tc>
          <w:tcPr>
            <w:tcW w:w="1667" w:type="pct"/>
            <w:tcBorders>
              <w:top w:val="single" w:color="auto" w:sz="4" w:space="0"/>
            </w:tcBorders>
          </w:tcPr>
          <w:p>
            <w:pPr>
              <w:adjustRightInd w:val="0"/>
              <w:snapToGrid w:val="0"/>
              <w:spacing w:line="360" w:lineRule="auto"/>
              <w:jc w:val="both"/>
              <w:rPr>
                <w:rFonts w:ascii="Book Antiqua" w:hAnsi="Book Antiqua" w:cs="Arial"/>
                <w:lang w:val="en-GB"/>
              </w:rPr>
            </w:pPr>
            <w:r>
              <w:rPr>
                <w:rFonts w:ascii="Book Antiqua" w:hAnsi="Book Antiqua" w:cs="Arial"/>
                <w:lang w:val="en-GB"/>
              </w:rPr>
              <w:t>228.9-842.1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 xml:space="preserve">Post-nCRT kurtosis </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375.3</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225.7-887.7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∆skewness</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192.2</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69.0-253.3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Post-nCRT skewness</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168.6</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54.0-251.7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Post-nCRT ADC10</w:t>
            </w:r>
            <w:r>
              <w:rPr>
                <w:rFonts w:ascii="Book Antiqua" w:hAnsi="Book Antiqua" w:cs="Arial"/>
                <w:vertAlign w:val="superscript"/>
                <w:lang w:val="en-GB"/>
              </w:rPr>
              <w:t>th</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5.48</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1.0-19.6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∆%ADCmean</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4.26</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1.0-14.4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∆%ADC10</w:t>
            </w:r>
            <w:r>
              <w:rPr>
                <w:rFonts w:ascii="Book Antiqua" w:hAnsi="Book Antiqua" w:cs="Arial"/>
                <w:vertAlign w:val="superscript"/>
                <w:lang w:val="en-GB"/>
              </w:rPr>
              <w:t>th</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3.65</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1.0-12.5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adjustRightInd w:val="0"/>
              <w:snapToGrid w:val="0"/>
              <w:spacing w:line="360" w:lineRule="auto"/>
              <w:jc w:val="both"/>
              <w:rPr>
                <w:rFonts w:ascii="Book Antiqua" w:hAnsi="Book Antiqua" w:cs="Arial"/>
                <w:lang w:val="en-GB"/>
              </w:rPr>
            </w:pPr>
            <w:r>
              <w:rPr>
                <w:rFonts w:ascii="Book Antiqua" w:hAnsi="Book Antiqua" w:cs="Arial"/>
                <w:lang w:val="en-GB"/>
              </w:rPr>
              <w:t>ROI ∆%ADCmean</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3.47</w:t>
            </w:r>
          </w:p>
        </w:tc>
        <w:tc>
          <w:tcPr>
            <w:tcW w:w="1667" w:type="pct"/>
          </w:tcPr>
          <w:p>
            <w:pPr>
              <w:adjustRightInd w:val="0"/>
              <w:snapToGrid w:val="0"/>
              <w:spacing w:line="360" w:lineRule="auto"/>
              <w:jc w:val="both"/>
              <w:rPr>
                <w:rFonts w:ascii="Book Antiqua" w:hAnsi="Book Antiqua" w:cs="Arial"/>
                <w:lang w:val="en-GB"/>
              </w:rPr>
            </w:pPr>
            <w:r>
              <w:rPr>
                <w:rFonts w:ascii="Book Antiqua" w:hAnsi="Book Antiqua" w:cs="Arial"/>
                <w:lang w:val="en-GB"/>
              </w:rPr>
              <w:t>1.0-11.2</w:t>
            </w:r>
          </w:p>
        </w:tc>
      </w:tr>
    </w:tbl>
    <w:p>
      <w:pPr>
        <w:adjustRightInd w:val="0"/>
        <w:snapToGrid w:val="0"/>
        <w:spacing w:line="360" w:lineRule="auto"/>
        <w:jc w:val="both"/>
        <w:rPr>
          <w:rFonts w:ascii="Book Antiqua" w:hAnsi="Book Antiqua" w:cs="Arial"/>
          <w:lang w:val="en-GB"/>
        </w:rPr>
      </w:pPr>
      <w:r>
        <w:rPr>
          <w:rFonts w:ascii="Book Antiqua" w:hAnsi="Book Antiqua" w:eastAsia="Book Antiqua" w:cs="Book Antiqua"/>
          <w:color w:val="000000"/>
        </w:rPr>
        <w:t>ADC: Apparent diffusion coefficient; nCRT: Neoadjuvant chemoradiation therapy; ROI: Region</w:t>
      </w:r>
      <w:r>
        <w:rPr>
          <w:rFonts w:ascii="Book Antiqua" w:hAnsi="Book Antiqua" w:eastAsia="Book Antiqua" w:cs="Book Antiqua"/>
          <w:color w:val="000000"/>
          <w:vertAlign w:val="subscript"/>
        </w:rPr>
        <w:t> </w:t>
      </w:r>
      <w:r>
        <w:rPr>
          <w:rFonts w:ascii="Book Antiqua" w:hAnsi="Book Antiqua" w:eastAsia="Book Antiqua" w:cs="Book Antiqua"/>
          <w:color w:val="000000"/>
        </w:rPr>
        <w:t>of interest.</w:t>
      </w:r>
    </w:p>
    <w:p>
      <w:pPr>
        <w:adjustRightInd w:val="0"/>
        <w:snapToGrid w:val="0"/>
        <w:spacing w:line="360" w:lineRule="auto"/>
        <w:jc w:val="both"/>
        <w:rPr>
          <w:rFonts w:ascii="Book Antiqua" w:hAnsi="Book Antiqua" w:cs="Arial"/>
          <w:b/>
          <w:bCs/>
          <w:lang w:val="en-GB"/>
        </w:rPr>
      </w:pPr>
    </w:p>
    <w:p>
      <w:pPr>
        <w:adjustRightInd w:val="0"/>
        <w:snapToGrid w:val="0"/>
        <w:spacing w:line="360" w:lineRule="auto"/>
        <w:jc w:val="both"/>
        <w:rPr>
          <w:rFonts w:ascii="Book Antiqua" w:hAnsi="Book Antiqua" w:eastAsia="Times New Roman" w:cs="Arial"/>
          <w:b/>
          <w:bCs/>
          <w:lang w:eastAsia="es-MX"/>
        </w:rPr>
      </w:pPr>
      <w:r>
        <w:rPr>
          <w:rFonts w:ascii="Book Antiqua" w:hAnsi="Book Antiqua" w:eastAsia="Times New Roman" w:cs="Arial"/>
          <w:b/>
          <w:bCs/>
          <w:lang w:eastAsia="es-MX"/>
        </w:rPr>
        <w:br w:type="page"/>
      </w:r>
      <w:r>
        <w:rPr>
          <w:rFonts w:ascii="Book Antiqua" w:hAnsi="Book Antiqua" w:eastAsia="Times New Roman" w:cs="Arial"/>
          <w:b/>
          <w:bCs/>
          <w:lang w:eastAsia="es-MX"/>
        </w:rPr>
        <w:t>Table 6 Intraobserver variability</w:t>
      </w:r>
    </w:p>
    <w:tbl>
      <w:tblPr>
        <w:tblStyle w:val="13"/>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44"/>
        <w:gridCol w:w="1844"/>
        <w:gridCol w:w="2394"/>
        <w:gridCol w:w="239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gridSpan w:val="2"/>
            <w:tcBorders>
              <w:top w:val="single" w:color="auto" w:sz="4" w:space="0"/>
              <w:bottom w:val="single" w:color="auto" w:sz="4" w:space="0"/>
            </w:tcBorders>
          </w:tcPr>
          <w:p>
            <w:pPr>
              <w:adjustRightInd w:val="0"/>
              <w:snapToGrid w:val="0"/>
              <w:spacing w:line="360" w:lineRule="auto"/>
              <w:jc w:val="both"/>
              <w:rPr>
                <w:rFonts w:ascii="Book Antiqua" w:hAnsi="Book Antiqua" w:eastAsia="Times New Roman" w:cs="Arial"/>
                <w:b/>
                <w:bCs/>
                <w:lang w:val="es-MX" w:eastAsia="es-MX"/>
              </w:rPr>
            </w:pPr>
          </w:p>
        </w:tc>
        <w:tc>
          <w:tcPr>
            <w:tcW w:w="1250" w:type="pct"/>
            <w:tcBorders>
              <w:top w:val="single" w:color="auto" w:sz="4" w:space="0"/>
              <w:bottom w:val="single" w:color="auto" w:sz="4" w:space="0"/>
            </w:tcBorders>
          </w:tcPr>
          <w:p>
            <w:pPr>
              <w:adjustRightInd w:val="0"/>
              <w:snapToGrid w:val="0"/>
              <w:spacing w:line="360" w:lineRule="auto"/>
              <w:jc w:val="both"/>
              <w:rPr>
                <w:rFonts w:ascii="Book Antiqua" w:hAnsi="Book Antiqua" w:eastAsia="Times New Roman" w:cs="Arial"/>
                <w:b/>
                <w:bCs/>
                <w:lang w:val="es-MX" w:eastAsia="es-MX"/>
              </w:rPr>
            </w:pPr>
            <w:r>
              <w:rPr>
                <w:rFonts w:ascii="Book Antiqua" w:hAnsi="Book Antiqua" w:eastAsia="Times New Roman" w:cs="Arial"/>
                <w:b/>
                <w:bCs/>
                <w:lang w:val="es-MX" w:eastAsia="es-MX"/>
              </w:rPr>
              <w:t>ICC</w:t>
            </w:r>
          </w:p>
        </w:tc>
        <w:tc>
          <w:tcPr>
            <w:tcW w:w="1250" w:type="pct"/>
            <w:tcBorders>
              <w:top w:val="single" w:color="auto" w:sz="4" w:space="0"/>
              <w:bottom w:val="single" w:color="auto" w:sz="4" w:space="0"/>
            </w:tcBorders>
          </w:tcPr>
          <w:p>
            <w:pPr>
              <w:adjustRightInd w:val="0"/>
              <w:snapToGrid w:val="0"/>
              <w:spacing w:line="360" w:lineRule="auto"/>
              <w:jc w:val="both"/>
              <w:rPr>
                <w:rFonts w:ascii="Book Antiqua" w:hAnsi="Book Antiqua" w:eastAsia="Times New Roman" w:cs="Arial"/>
                <w:b/>
                <w:bCs/>
                <w:lang w:val="es-MX" w:eastAsia="es-MX"/>
              </w:rPr>
            </w:pPr>
            <w:r>
              <w:rPr>
                <w:rFonts w:ascii="Book Antiqua" w:hAnsi="Book Antiqua" w:eastAsia="Times New Roman" w:cs="Arial"/>
                <w:b/>
                <w:bCs/>
                <w:lang w:val="es-MX" w:eastAsia="es-MX"/>
              </w:rPr>
              <w:t>95%CI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000" w:type="pct"/>
            <w:gridSpan w:val="4"/>
            <w:tcBorders>
              <w:top w:val="single" w:color="auto" w:sz="4" w:space="0"/>
            </w:tcBorders>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Basal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ROI ADCmean</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0.850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0.742–0.800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ROI ADCmean</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0.890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0.850-0.820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After treatment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ROI ADCmean</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0.800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0.750-0.819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ROI ADCmean</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0.823</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0.800-0.850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Basal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ADCmean</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0.850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0.756-0.920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ADCmean</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0.777</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0.745-0.812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After treatment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ADCmean</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0.845</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0.830-0.850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ADCmean</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0.823</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0.800-0.833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Basal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10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0.820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0.880-0.950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10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0.880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0.800-0.920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After treatment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10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0.780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0.740-0.853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10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0.853</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0.723-0.901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Basal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25</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0.803</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0.800-0.922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25</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0.863</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0.801-0.895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cs="Arial"/>
                <w:lang w:val="en-GB"/>
              </w:rPr>
              <w:t>After treatment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25</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0.788</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0.750-0.837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25</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0.820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0.780-0.846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Basal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50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0.850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0.840-0.920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50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0.845</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0.790-0.860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cs="Arial"/>
                <w:lang w:val="en-GB"/>
              </w:rPr>
              <w:t>After treatment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50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0.821</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0.800-0.913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50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0.833</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0.800-0.897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Basal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75</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0.821</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0.790-0.860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75</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0.859</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0.820-0.920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cs="Arial"/>
                <w:lang w:val="en-GB"/>
              </w:rPr>
              <w:t>After treatment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75</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0.851</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0.790-0.880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75</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0.837</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0.791-0.856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cs="Arial"/>
                <w:lang w:val="en-GB"/>
              </w:rPr>
              <w:t>Basal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90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0.850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0.820-0.890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90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0.880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0.850-0.960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cs="Arial"/>
                <w:lang w:val="en-GB"/>
              </w:rPr>
              <w:t>After treatment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90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0.831</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0.800-0.902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90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0.901</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0.850-0.975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cs="Arial"/>
                <w:lang w:val="en-GB"/>
              </w:rPr>
              <w:t>Basal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Skewness</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0.920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0.900-0.940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Skewness</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0.901</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0.880-0.923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cs="Arial"/>
                <w:lang w:val="en-GB"/>
              </w:rPr>
              <w:t>After treatment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Skewness</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0.931</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0.920-0.950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Skewness</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0.889</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0.877-0.910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cs="Arial"/>
                <w:lang w:val="en-GB"/>
              </w:rPr>
              <w:t>Basal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Kurtosis</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0.920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0.890-0.950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Kurtosis</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0.910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0.850-0.960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4"/>
          </w:tcPr>
          <w:p>
            <w:pPr>
              <w:adjustRightInd w:val="0"/>
              <w:snapToGrid w:val="0"/>
              <w:spacing w:line="360" w:lineRule="auto"/>
              <w:jc w:val="both"/>
              <w:rPr>
                <w:rFonts w:ascii="Book Antiqua" w:hAnsi="Book Antiqua" w:eastAsia="Times New Roman" w:cs="Arial"/>
                <w:lang w:val="es-MX" w:eastAsia="es-MX"/>
              </w:rPr>
            </w:pPr>
            <w:r>
              <w:rPr>
                <w:rFonts w:ascii="Book Antiqua" w:hAnsi="Book Antiqua" w:cs="Arial"/>
                <w:lang w:val="en-GB"/>
              </w:rPr>
              <w:t>After treatment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reader1</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Kurtosis</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0.890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0.850-0.960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7"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Test1 and test2, reader2</w:t>
            </w:r>
          </w:p>
        </w:tc>
        <w:tc>
          <w:tcPr>
            <w:tcW w:w="963" w:type="pct"/>
          </w:tcPr>
          <w:p>
            <w:pPr>
              <w:adjustRightInd w:val="0"/>
              <w:snapToGrid w:val="0"/>
              <w:spacing w:line="360" w:lineRule="auto"/>
              <w:jc w:val="both"/>
              <w:rPr>
                <w:rFonts w:ascii="Book Antiqua" w:hAnsi="Book Antiqua" w:cs="Arial"/>
                <w:lang w:val="en-GB"/>
              </w:rPr>
            </w:pPr>
            <w:r>
              <w:rPr>
                <w:rFonts w:ascii="Book Antiqua" w:hAnsi="Book Antiqua" w:eastAsia="Times New Roman" w:cs="Arial"/>
                <w:lang w:val="es-MX" w:eastAsia="es-MX"/>
              </w:rPr>
              <w:t>Kurtosis</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0.880</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0.840-0.982</w:t>
            </w:r>
          </w:p>
        </w:tc>
      </w:tr>
    </w:tbl>
    <w:p>
      <w:pPr>
        <w:adjustRightInd w:val="0"/>
        <w:snapToGrid w:val="0"/>
        <w:spacing w:line="360" w:lineRule="auto"/>
        <w:jc w:val="both"/>
        <w:rPr>
          <w:rFonts w:ascii="Book Antiqua" w:hAnsi="Book Antiqua" w:cs="Arial"/>
          <w:lang w:val="en-GB"/>
        </w:rPr>
      </w:pPr>
      <w:r>
        <w:rPr>
          <w:rFonts w:ascii="Book Antiqua" w:hAnsi="Book Antiqua" w:eastAsia="Book Antiqua" w:cs="Book Antiqua"/>
          <w:color w:val="000000"/>
        </w:rPr>
        <w:t>ADC: Apparent diffusion coefficient; ICC: Intraclass correlation coefficient; ROI: Region</w:t>
      </w:r>
      <w:r>
        <w:rPr>
          <w:rFonts w:ascii="Book Antiqua" w:hAnsi="Book Antiqua" w:eastAsia="Book Antiqua" w:cs="Book Antiqua"/>
          <w:color w:val="000000"/>
          <w:vertAlign w:val="subscript"/>
        </w:rPr>
        <w:t> </w:t>
      </w:r>
      <w:r>
        <w:rPr>
          <w:rFonts w:ascii="Book Antiqua" w:hAnsi="Book Antiqua" w:eastAsia="Book Antiqua" w:cs="Book Antiqua"/>
          <w:color w:val="000000"/>
        </w:rPr>
        <w:t>of interest.</w:t>
      </w:r>
    </w:p>
    <w:p>
      <w:pPr>
        <w:adjustRightInd w:val="0"/>
        <w:snapToGrid w:val="0"/>
        <w:spacing w:line="360" w:lineRule="auto"/>
        <w:jc w:val="both"/>
        <w:rPr>
          <w:rFonts w:ascii="Book Antiqua" w:hAnsi="Book Antiqua" w:eastAsia="Times New Roman"/>
          <w:lang w:val="en-GB" w:eastAsia="es-MX"/>
        </w:rPr>
      </w:pPr>
    </w:p>
    <w:p>
      <w:pPr>
        <w:adjustRightInd w:val="0"/>
        <w:snapToGrid w:val="0"/>
        <w:spacing w:line="360" w:lineRule="auto"/>
        <w:jc w:val="both"/>
        <w:rPr>
          <w:rFonts w:ascii="Book Antiqua" w:hAnsi="Book Antiqua" w:eastAsia="Times New Roman" w:cs="Arial"/>
          <w:b/>
          <w:bCs/>
          <w:lang w:eastAsia="es-MX"/>
        </w:rPr>
      </w:pPr>
      <w:r>
        <w:rPr>
          <w:rFonts w:ascii="Book Antiqua" w:hAnsi="Book Antiqua" w:eastAsia="Times New Roman" w:cs="Arial"/>
          <w:b/>
          <w:bCs/>
          <w:lang w:eastAsia="es-MX"/>
        </w:rPr>
        <w:t>Table 7 Interobserver variability (intraclass correlation coefficient and 95% confidence intervals)</w:t>
      </w:r>
    </w:p>
    <w:tbl>
      <w:tblPr>
        <w:tblStyle w:val="13"/>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4"/>
        <w:gridCol w:w="2394"/>
        <w:gridCol w:w="2394"/>
        <w:gridCol w:w="239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bottom w:val="single" w:color="auto" w:sz="4" w:space="0"/>
            </w:tcBorders>
          </w:tcPr>
          <w:p>
            <w:pPr>
              <w:adjustRightInd w:val="0"/>
              <w:snapToGrid w:val="0"/>
              <w:spacing w:line="360" w:lineRule="auto"/>
              <w:jc w:val="both"/>
              <w:rPr>
                <w:rFonts w:ascii="Book Antiqua" w:hAnsi="Book Antiqua" w:eastAsia="Times New Roman" w:cs="Arial"/>
                <w:b/>
                <w:bCs/>
                <w:lang w:val="es-MX" w:eastAsia="es-MX"/>
              </w:rPr>
            </w:pPr>
            <w:r>
              <w:rPr>
                <w:rFonts w:ascii="Book Antiqua" w:hAnsi="Book Antiqua" w:eastAsia="Times New Roman" w:cs="Arial"/>
                <w:b/>
                <w:bCs/>
                <w:lang w:val="es-MX" w:eastAsia="es-MX"/>
              </w:rPr>
              <w:t>Pre-treatment</w:t>
            </w:r>
          </w:p>
        </w:tc>
        <w:tc>
          <w:tcPr>
            <w:tcW w:w="1250" w:type="pct"/>
            <w:tcBorders>
              <w:top w:val="single" w:color="auto" w:sz="4" w:space="0"/>
              <w:bottom w:val="single" w:color="auto" w:sz="4" w:space="0"/>
            </w:tcBorders>
          </w:tcPr>
          <w:p>
            <w:pPr>
              <w:adjustRightInd w:val="0"/>
              <w:snapToGrid w:val="0"/>
              <w:spacing w:line="360" w:lineRule="auto"/>
              <w:jc w:val="both"/>
              <w:rPr>
                <w:rFonts w:ascii="Book Antiqua" w:hAnsi="Book Antiqua" w:eastAsia="Times New Roman" w:cs="Arial"/>
                <w:b/>
                <w:bCs/>
                <w:lang w:val="es-MX" w:eastAsia="es-MX"/>
              </w:rPr>
            </w:pPr>
            <w:r>
              <w:rPr>
                <w:rFonts w:ascii="Book Antiqua" w:hAnsi="Book Antiqua" w:eastAsia="Times New Roman" w:cs="Arial"/>
                <w:b/>
                <w:bCs/>
                <w:lang w:val="es-MX" w:eastAsia="es-MX"/>
              </w:rPr>
              <w:t xml:space="preserve">Reader one </w:t>
            </w:r>
            <w:r>
              <w:rPr>
                <w:rFonts w:ascii="Book Antiqua" w:hAnsi="Book Antiqua" w:eastAsia="Times New Roman" w:cs="Arial"/>
                <w:b/>
                <w:bCs/>
                <w:i/>
                <w:iCs/>
                <w:lang w:val="es-MX" w:eastAsia="es-MX"/>
              </w:rPr>
              <w:t>vs</w:t>
            </w:r>
            <w:r>
              <w:rPr>
                <w:rFonts w:ascii="Book Antiqua" w:hAnsi="Book Antiqua" w:eastAsia="Times New Roman" w:cs="Arial"/>
                <w:b/>
                <w:bCs/>
                <w:lang w:val="es-MX" w:eastAsia="es-MX"/>
              </w:rPr>
              <w:t xml:space="preserve"> reader two</w:t>
            </w:r>
          </w:p>
        </w:tc>
        <w:tc>
          <w:tcPr>
            <w:tcW w:w="1250" w:type="pct"/>
            <w:tcBorders>
              <w:top w:val="single" w:color="auto" w:sz="4" w:space="0"/>
              <w:bottom w:val="single" w:color="auto" w:sz="4" w:space="0"/>
            </w:tcBorders>
          </w:tcPr>
          <w:p>
            <w:pPr>
              <w:adjustRightInd w:val="0"/>
              <w:snapToGrid w:val="0"/>
              <w:spacing w:line="360" w:lineRule="auto"/>
              <w:jc w:val="both"/>
              <w:rPr>
                <w:rFonts w:ascii="Book Antiqua" w:hAnsi="Book Antiqua" w:eastAsia="Times New Roman" w:cs="Arial"/>
                <w:b/>
                <w:bCs/>
                <w:lang w:val="es-MX" w:eastAsia="es-MX"/>
              </w:rPr>
            </w:pPr>
            <w:r>
              <w:rPr>
                <w:rFonts w:ascii="Book Antiqua" w:hAnsi="Book Antiqua" w:eastAsia="Times New Roman" w:cs="Arial"/>
                <w:b/>
                <w:bCs/>
                <w:lang w:val="es-MX" w:eastAsia="es-MX"/>
              </w:rPr>
              <w:t>Post-treatment</w:t>
            </w:r>
          </w:p>
        </w:tc>
        <w:tc>
          <w:tcPr>
            <w:tcW w:w="1250" w:type="pct"/>
            <w:tcBorders>
              <w:top w:val="single" w:color="auto" w:sz="4" w:space="0"/>
              <w:bottom w:val="single" w:color="auto" w:sz="4" w:space="0"/>
            </w:tcBorders>
          </w:tcPr>
          <w:p>
            <w:pPr>
              <w:adjustRightInd w:val="0"/>
              <w:snapToGrid w:val="0"/>
              <w:spacing w:line="360" w:lineRule="auto"/>
              <w:jc w:val="both"/>
              <w:rPr>
                <w:rFonts w:ascii="Book Antiqua" w:hAnsi="Book Antiqua" w:eastAsia="Times New Roman" w:cs="Arial"/>
                <w:b/>
                <w:bCs/>
                <w:lang w:val="es-MX" w:eastAsia="es-MX"/>
              </w:rPr>
            </w:pPr>
            <w:r>
              <w:rPr>
                <w:rFonts w:ascii="Book Antiqua" w:hAnsi="Book Antiqua" w:eastAsia="Times New Roman" w:cs="Arial"/>
                <w:b/>
                <w:bCs/>
                <w:lang w:val="es-MX" w:eastAsia="es-MX"/>
              </w:rPr>
              <w:t xml:space="preserve">Reader one </w:t>
            </w:r>
            <w:r>
              <w:rPr>
                <w:rFonts w:ascii="Book Antiqua" w:hAnsi="Book Antiqua" w:eastAsia="Times New Roman" w:cs="Arial"/>
                <w:b/>
                <w:bCs/>
                <w:i/>
                <w:iCs/>
                <w:lang w:val="es-MX" w:eastAsia="es-MX"/>
              </w:rPr>
              <w:t>vs</w:t>
            </w:r>
            <w:r>
              <w:rPr>
                <w:rFonts w:ascii="Book Antiqua" w:hAnsi="Book Antiqua" w:eastAsia="Times New Roman" w:cs="Arial"/>
                <w:b/>
                <w:bCs/>
                <w:lang w:val="es-MX" w:eastAsia="es-MX"/>
              </w:rPr>
              <w:t xml:space="preserve"> reader two</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tcBorders>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ROI ADCmean</w:t>
            </w:r>
          </w:p>
        </w:tc>
        <w:tc>
          <w:tcPr>
            <w:tcW w:w="1250" w:type="pct"/>
            <w:tcBorders>
              <w:top w:val="single" w:color="auto" w:sz="4" w:space="0"/>
            </w:tcBorders>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0.985 (1.900-0.999)</w:t>
            </w:r>
          </w:p>
        </w:tc>
        <w:tc>
          <w:tcPr>
            <w:tcW w:w="1250" w:type="pct"/>
            <w:tcBorders>
              <w:top w:val="single" w:color="auto" w:sz="4" w:space="0"/>
            </w:tcBorders>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ROI ADCmean</w:t>
            </w:r>
          </w:p>
        </w:tc>
        <w:tc>
          <w:tcPr>
            <w:tcW w:w="1250" w:type="pct"/>
            <w:tcBorders>
              <w:top w:val="single" w:color="auto" w:sz="4" w:space="0"/>
            </w:tcBorders>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0.889 (0.850-0.950)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ADCmean</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0.989 (0.980–0.994)</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ADCmean</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0.990 (0.985-0.995)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10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0.972 (0.951–0.984)</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10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0.992 (0.986–0.996)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25</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0.970 (0.947–0.983)</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25</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0.950 (0.940-0.982)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50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0.986 (0.976–0.992)</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50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0.987 (0.945-0.995)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75</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0.989 (0.980–0.994)</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75</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0.990 (0.982–0.994)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90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0.989 (0.980–0.994)</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90</w:t>
            </w:r>
            <w:r>
              <w:rPr>
                <w:rFonts w:ascii="Book Antiqua" w:hAnsi="Book Antiqua" w:eastAsia="Times New Roman" w:cs="Arial"/>
                <w:vertAlign w:val="superscript"/>
                <w:lang w:val="es-MX" w:eastAsia="es-MX"/>
              </w:rPr>
              <w:t>th</w:t>
            </w:r>
            <w:r>
              <w:rPr>
                <w:rFonts w:ascii="Book Antiqua" w:hAnsi="Book Antiqua" w:eastAsia="Times New Roman" w:cs="Arial"/>
                <w:lang w:val="es-MX" w:eastAsia="es-MX"/>
              </w:rPr>
              <w:t xml:space="preserve"> percentile</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0.972 (0.987–0.996)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Skewness</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0.990 (0.982–0.994)</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Skewness</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0.993 (0.987–0.996)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Kurtosis</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0.992 (0.986–0.995)</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Kurtosis</w:t>
            </w:r>
          </w:p>
        </w:tc>
        <w:tc>
          <w:tcPr>
            <w:tcW w:w="1250" w:type="pct"/>
          </w:tcPr>
          <w:p>
            <w:pPr>
              <w:adjustRightInd w:val="0"/>
              <w:snapToGrid w:val="0"/>
              <w:spacing w:line="360" w:lineRule="auto"/>
              <w:jc w:val="both"/>
              <w:rPr>
                <w:rFonts w:ascii="Book Antiqua" w:hAnsi="Book Antiqua" w:eastAsia="Times New Roman" w:cs="Arial"/>
                <w:lang w:val="es-MX" w:eastAsia="es-MX"/>
              </w:rPr>
            </w:pPr>
            <w:r>
              <w:rPr>
                <w:rFonts w:ascii="Book Antiqua" w:hAnsi="Book Antiqua" w:eastAsia="Times New Roman" w:cs="Arial"/>
                <w:lang w:val="es-MX" w:eastAsia="es-MX"/>
              </w:rPr>
              <w:t>0.972 (0.951–0.984)</w:t>
            </w:r>
          </w:p>
        </w:tc>
      </w:tr>
    </w:tbl>
    <w:p>
      <w:pPr>
        <w:adjustRightInd w:val="0"/>
        <w:snapToGrid w:val="0"/>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rPr>
        <w:t>ADC: Apparent diffusion coefficient; ROI: Region</w:t>
      </w:r>
      <w:r>
        <w:rPr>
          <w:rFonts w:ascii="Book Antiqua" w:hAnsi="Book Antiqua" w:eastAsia="Book Antiqua" w:cs="Book Antiqua"/>
          <w:color w:val="000000"/>
          <w:vertAlign w:val="subscript"/>
        </w:rPr>
        <w:t> </w:t>
      </w:r>
      <w:r>
        <w:rPr>
          <w:rFonts w:ascii="Book Antiqua" w:hAnsi="Book Antiqua" w:eastAsia="Book Antiqua" w:cs="Book Antiqua"/>
          <w:color w:val="000000"/>
        </w:rPr>
        <w:t>of interest.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eastAsia="Book Antiqua" w:cs="Book Antiqua"/>
          <w:color w:val="000000"/>
          <w:lang w:val="en-GB"/>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94398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7"/>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lZTc0NGUyNWIwZjE2NjIyNTdhZTc1NTM4ZTUwOTUifQ=="/>
  </w:docVars>
  <w:rsids>
    <w:rsidRoot w:val="00A77B3E"/>
    <w:rsid w:val="0003561D"/>
    <w:rsid w:val="000364DB"/>
    <w:rsid w:val="00042C35"/>
    <w:rsid w:val="000460F9"/>
    <w:rsid w:val="00046876"/>
    <w:rsid w:val="00085809"/>
    <w:rsid w:val="000A1231"/>
    <w:rsid w:val="000A4A33"/>
    <w:rsid w:val="000A5A12"/>
    <w:rsid w:val="000B080B"/>
    <w:rsid w:val="000B61F4"/>
    <w:rsid w:val="000C0684"/>
    <w:rsid w:val="00103E00"/>
    <w:rsid w:val="00106E6B"/>
    <w:rsid w:val="00117A0B"/>
    <w:rsid w:val="0013328D"/>
    <w:rsid w:val="00147B13"/>
    <w:rsid w:val="001525BC"/>
    <w:rsid w:val="00157DC9"/>
    <w:rsid w:val="001C056C"/>
    <w:rsid w:val="001C1626"/>
    <w:rsid w:val="001E7C71"/>
    <w:rsid w:val="001F04FD"/>
    <w:rsid w:val="001F0CAA"/>
    <w:rsid w:val="001F62BB"/>
    <w:rsid w:val="0024426F"/>
    <w:rsid w:val="00252D74"/>
    <w:rsid w:val="002C2B7E"/>
    <w:rsid w:val="002F7A17"/>
    <w:rsid w:val="003005F2"/>
    <w:rsid w:val="00340D9D"/>
    <w:rsid w:val="00360DEA"/>
    <w:rsid w:val="00366CAE"/>
    <w:rsid w:val="003B69B8"/>
    <w:rsid w:val="003D36E4"/>
    <w:rsid w:val="003F6065"/>
    <w:rsid w:val="00425595"/>
    <w:rsid w:val="00443BD2"/>
    <w:rsid w:val="004648FF"/>
    <w:rsid w:val="00474382"/>
    <w:rsid w:val="00487344"/>
    <w:rsid w:val="004B1022"/>
    <w:rsid w:val="004B2367"/>
    <w:rsid w:val="004D15EB"/>
    <w:rsid w:val="004E698F"/>
    <w:rsid w:val="004F4DAF"/>
    <w:rsid w:val="004F7460"/>
    <w:rsid w:val="00510EEF"/>
    <w:rsid w:val="00523AE1"/>
    <w:rsid w:val="0053190B"/>
    <w:rsid w:val="00535F10"/>
    <w:rsid w:val="00546A5E"/>
    <w:rsid w:val="00551C90"/>
    <w:rsid w:val="00570224"/>
    <w:rsid w:val="00574DAC"/>
    <w:rsid w:val="00577C86"/>
    <w:rsid w:val="005822C6"/>
    <w:rsid w:val="005A5576"/>
    <w:rsid w:val="005B6E19"/>
    <w:rsid w:val="005C3DB8"/>
    <w:rsid w:val="005E2C01"/>
    <w:rsid w:val="005F4CFB"/>
    <w:rsid w:val="00631871"/>
    <w:rsid w:val="00653F21"/>
    <w:rsid w:val="00690A92"/>
    <w:rsid w:val="006A28CF"/>
    <w:rsid w:val="006A4E4A"/>
    <w:rsid w:val="006A57E4"/>
    <w:rsid w:val="006B5282"/>
    <w:rsid w:val="006C02AD"/>
    <w:rsid w:val="006E17F8"/>
    <w:rsid w:val="006E3176"/>
    <w:rsid w:val="0070312D"/>
    <w:rsid w:val="00721DF9"/>
    <w:rsid w:val="007348C0"/>
    <w:rsid w:val="0075236B"/>
    <w:rsid w:val="00760E2F"/>
    <w:rsid w:val="007627B0"/>
    <w:rsid w:val="00775AD9"/>
    <w:rsid w:val="00781043"/>
    <w:rsid w:val="007929EB"/>
    <w:rsid w:val="007E6180"/>
    <w:rsid w:val="007F35A3"/>
    <w:rsid w:val="0080742E"/>
    <w:rsid w:val="00831F50"/>
    <w:rsid w:val="00860915"/>
    <w:rsid w:val="00870FC5"/>
    <w:rsid w:val="00876A42"/>
    <w:rsid w:val="00885C48"/>
    <w:rsid w:val="0088648A"/>
    <w:rsid w:val="008878F9"/>
    <w:rsid w:val="008A4510"/>
    <w:rsid w:val="008B36B1"/>
    <w:rsid w:val="008C53A5"/>
    <w:rsid w:val="008E199D"/>
    <w:rsid w:val="009310FC"/>
    <w:rsid w:val="009341CD"/>
    <w:rsid w:val="00945630"/>
    <w:rsid w:val="00947372"/>
    <w:rsid w:val="00965B4D"/>
    <w:rsid w:val="00967319"/>
    <w:rsid w:val="00993945"/>
    <w:rsid w:val="009C6019"/>
    <w:rsid w:val="009D296A"/>
    <w:rsid w:val="00A16347"/>
    <w:rsid w:val="00A166A4"/>
    <w:rsid w:val="00A23ED4"/>
    <w:rsid w:val="00A24F5E"/>
    <w:rsid w:val="00A77B3E"/>
    <w:rsid w:val="00A84DFF"/>
    <w:rsid w:val="00AB1EDB"/>
    <w:rsid w:val="00AB6AE3"/>
    <w:rsid w:val="00AC193A"/>
    <w:rsid w:val="00AE35C2"/>
    <w:rsid w:val="00AF29B7"/>
    <w:rsid w:val="00B06F00"/>
    <w:rsid w:val="00B25221"/>
    <w:rsid w:val="00B337F5"/>
    <w:rsid w:val="00B8553E"/>
    <w:rsid w:val="00B97101"/>
    <w:rsid w:val="00BD1B15"/>
    <w:rsid w:val="00BD5830"/>
    <w:rsid w:val="00C36199"/>
    <w:rsid w:val="00CA2A55"/>
    <w:rsid w:val="00CA50CA"/>
    <w:rsid w:val="00CD4E00"/>
    <w:rsid w:val="00CE1E8C"/>
    <w:rsid w:val="00CE61FE"/>
    <w:rsid w:val="00CF239B"/>
    <w:rsid w:val="00D04A66"/>
    <w:rsid w:val="00D374C8"/>
    <w:rsid w:val="00D50164"/>
    <w:rsid w:val="00D5771C"/>
    <w:rsid w:val="00D621F4"/>
    <w:rsid w:val="00D64E91"/>
    <w:rsid w:val="00D726B2"/>
    <w:rsid w:val="00D84F6D"/>
    <w:rsid w:val="00DA180B"/>
    <w:rsid w:val="00DE52F2"/>
    <w:rsid w:val="00E0530E"/>
    <w:rsid w:val="00E23279"/>
    <w:rsid w:val="00E359C5"/>
    <w:rsid w:val="00E404B8"/>
    <w:rsid w:val="00EC7AA3"/>
    <w:rsid w:val="00EF1544"/>
    <w:rsid w:val="00F24D5A"/>
    <w:rsid w:val="00F4355E"/>
    <w:rsid w:val="00F647A7"/>
    <w:rsid w:val="00F85B67"/>
    <w:rsid w:val="00F86A60"/>
    <w:rsid w:val="00FA1DD4"/>
    <w:rsid w:val="00FD783F"/>
    <w:rsid w:val="00FE08B2"/>
    <w:rsid w:val="00FF473D"/>
    <w:rsid w:val="1C421779"/>
    <w:rsid w:val="22CF75F4"/>
    <w:rsid w:val="26760952"/>
    <w:rsid w:val="30B972EB"/>
    <w:rsid w:val="4A104852"/>
    <w:rsid w:val="4EDE0D1A"/>
    <w:rsid w:val="50ED643B"/>
    <w:rsid w:val="61311122"/>
    <w:rsid w:val="7BBD3BAF"/>
    <w:rsid w:val="7CC902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name="annotation text"/>
    <w:lsdException w:qFormat="1"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qFormat="1" w:uiPriority="99"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1"/>
    <w:basedOn w:val="1"/>
    <w:next w:val="1"/>
    <w:link w:val="22"/>
    <w:qFormat/>
    <w:uiPriority w:val="9"/>
    <w:pPr>
      <w:spacing w:before="100" w:beforeAutospacing="1" w:after="100" w:afterAutospacing="1"/>
      <w:outlineLvl w:val="0"/>
    </w:pPr>
    <w:rPr>
      <w:rFonts w:eastAsia="Times New Roman"/>
      <w:b/>
      <w:bCs/>
      <w:kern w:val="36"/>
      <w:sz w:val="48"/>
      <w:szCs w:val="48"/>
      <w:lang w:val="es-MX" w:eastAsia="es-MX"/>
    </w:rPr>
  </w:style>
  <w:style w:type="paragraph" w:styleId="3">
    <w:name w:val="heading 2"/>
    <w:basedOn w:val="1"/>
    <w:next w:val="1"/>
    <w:link w:val="23"/>
    <w:unhideWhenUsed/>
    <w:qFormat/>
    <w:uiPriority w:val="9"/>
    <w:pPr>
      <w:keepNext/>
      <w:keepLines/>
      <w:spacing w:before="40" w:line="259" w:lineRule="auto"/>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next w:val="1"/>
    <w:link w:val="24"/>
    <w:semiHidden/>
    <w:unhideWhenUsed/>
    <w:qFormat/>
    <w:uiPriority w:val="9"/>
    <w:pPr>
      <w:keepNext/>
      <w:keepLines/>
      <w:spacing w:before="40" w:line="259" w:lineRule="auto"/>
      <w:outlineLvl w:val="2"/>
    </w:pPr>
    <w:rPr>
      <w:rFonts w:asciiTheme="majorHAnsi" w:hAnsiTheme="majorHAnsi" w:eastAsiaTheme="majorEastAsia" w:cstheme="majorBidi"/>
      <w:color w:val="254061" w:themeColor="accent1" w:themeShade="80"/>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9"/>
    <w:semiHidden/>
    <w:unhideWhenUsed/>
    <w:qFormat/>
    <w:uiPriority w:val="99"/>
    <w:pPr>
      <w:spacing w:after="160"/>
    </w:pPr>
    <w:rPr>
      <w:rFonts w:asciiTheme="minorHAnsi" w:hAnsiTheme="minorHAnsi" w:cstheme="minorBidi"/>
      <w:sz w:val="20"/>
      <w:szCs w:val="20"/>
    </w:rPr>
  </w:style>
  <w:style w:type="paragraph" w:styleId="6">
    <w:name w:val="Balloon Text"/>
    <w:basedOn w:val="1"/>
    <w:link w:val="34"/>
    <w:unhideWhenUsed/>
    <w:qFormat/>
    <w:uiPriority w:val="99"/>
    <w:rPr>
      <w:rFonts w:ascii="Segoe UI" w:hAnsi="Segoe UI" w:cs="Segoe UI"/>
      <w:sz w:val="18"/>
      <w:szCs w:val="18"/>
    </w:rPr>
  </w:style>
  <w:style w:type="paragraph" w:styleId="7">
    <w:name w:val="footer"/>
    <w:basedOn w:val="1"/>
    <w:link w:val="21"/>
    <w:unhideWhenUsed/>
    <w:qFormat/>
    <w:uiPriority w:val="99"/>
    <w:pPr>
      <w:tabs>
        <w:tab w:val="center" w:pos="4153"/>
        <w:tab w:val="right" w:pos="8306"/>
      </w:tabs>
      <w:snapToGrid w:val="0"/>
    </w:pPr>
    <w:rPr>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1"/>
    <w:link w:val="3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lang w:val="es-MX" w:eastAsia="es-MX"/>
    </w:rPr>
  </w:style>
  <w:style w:type="paragraph" w:styleId="10">
    <w:name w:val="Normal (Web)"/>
    <w:basedOn w:val="1"/>
    <w:unhideWhenUsed/>
    <w:qFormat/>
    <w:uiPriority w:val="99"/>
    <w:pPr>
      <w:spacing w:before="100" w:beforeAutospacing="1" w:after="100" w:afterAutospacing="1"/>
    </w:pPr>
    <w:rPr>
      <w:rFonts w:eastAsia="Times New Roman"/>
      <w:lang w:val="es-MX" w:eastAsia="es-MX"/>
    </w:rPr>
  </w:style>
  <w:style w:type="paragraph" w:styleId="11">
    <w:name w:val="annotation subject"/>
    <w:basedOn w:val="5"/>
    <w:next w:val="5"/>
    <w:link w:val="40"/>
    <w:semiHidden/>
    <w:unhideWhenUsed/>
    <w:qFormat/>
    <w:uiPriority w:val="99"/>
    <w:rPr>
      <w:b/>
      <w:bCs/>
    </w:rPr>
  </w:style>
  <w:style w:type="table" w:styleId="13">
    <w:name w:val="Table Grid"/>
    <w:basedOn w:val="12"/>
    <w:qFormat/>
    <w:uiPriority w:val="39"/>
    <w:rPr>
      <w:rFonts w:asciiTheme="minorHAnsi" w:hAnsiTheme="minorHAnsi" w:cstheme="minorBidi"/>
      <w:sz w:val="22"/>
      <w:szCs w:val="22"/>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basedOn w:val="14"/>
    <w:qFormat/>
    <w:uiPriority w:val="20"/>
    <w:rPr>
      <w:i/>
      <w:iCs/>
    </w:rPr>
  </w:style>
  <w:style w:type="character" w:styleId="16">
    <w:name w:val="HTML Acronym"/>
    <w:basedOn w:val="14"/>
    <w:semiHidden/>
    <w:unhideWhenUsed/>
    <w:qFormat/>
    <w:uiPriority w:val="99"/>
  </w:style>
  <w:style w:type="character" w:styleId="17">
    <w:name w:val="Hyperlink"/>
    <w:basedOn w:val="14"/>
    <w:unhideWhenUsed/>
    <w:qFormat/>
    <w:uiPriority w:val="99"/>
    <w:rPr>
      <w:color w:val="0000FF"/>
      <w:u w:val="single"/>
    </w:rPr>
  </w:style>
  <w:style w:type="character" w:styleId="18">
    <w:name w:val="annotation reference"/>
    <w:basedOn w:val="14"/>
    <w:semiHidden/>
    <w:unhideWhenUsed/>
    <w:qFormat/>
    <w:uiPriority w:val="99"/>
    <w:rPr>
      <w:sz w:val="16"/>
      <w:szCs w:val="16"/>
    </w:rPr>
  </w:style>
  <w:style w:type="character" w:customStyle="1" w:styleId="19">
    <w:name w:val="markedcontent"/>
    <w:basedOn w:val="14"/>
    <w:qFormat/>
    <w:uiPriority w:val="0"/>
  </w:style>
  <w:style w:type="character" w:customStyle="1" w:styleId="20">
    <w:name w:val="Header Char"/>
    <w:basedOn w:val="14"/>
    <w:link w:val="8"/>
    <w:qFormat/>
    <w:uiPriority w:val="99"/>
    <w:rPr>
      <w:sz w:val="18"/>
      <w:szCs w:val="18"/>
    </w:rPr>
  </w:style>
  <w:style w:type="character" w:customStyle="1" w:styleId="21">
    <w:name w:val="Footer Char"/>
    <w:basedOn w:val="14"/>
    <w:link w:val="7"/>
    <w:qFormat/>
    <w:uiPriority w:val="99"/>
    <w:rPr>
      <w:sz w:val="18"/>
      <w:szCs w:val="18"/>
    </w:rPr>
  </w:style>
  <w:style w:type="character" w:customStyle="1" w:styleId="22">
    <w:name w:val="Heading 1 Char"/>
    <w:basedOn w:val="14"/>
    <w:link w:val="2"/>
    <w:qFormat/>
    <w:uiPriority w:val="9"/>
    <w:rPr>
      <w:rFonts w:eastAsia="Times New Roman"/>
      <w:b/>
      <w:bCs/>
      <w:kern w:val="36"/>
      <w:sz w:val="48"/>
      <w:szCs w:val="48"/>
      <w:lang w:val="es-MX" w:eastAsia="es-MX"/>
    </w:rPr>
  </w:style>
  <w:style w:type="character" w:customStyle="1" w:styleId="23">
    <w:name w:val="Heading 2 Char"/>
    <w:basedOn w:val="14"/>
    <w:link w:val="3"/>
    <w:qFormat/>
    <w:uiPriority w:val="9"/>
    <w:rPr>
      <w:rFonts w:asciiTheme="majorHAnsi" w:hAnsiTheme="majorHAnsi" w:eastAsiaTheme="majorEastAsia" w:cstheme="majorBidi"/>
      <w:color w:val="376092" w:themeColor="accent1" w:themeShade="BF"/>
      <w:sz w:val="26"/>
      <w:szCs w:val="26"/>
    </w:rPr>
  </w:style>
  <w:style w:type="character" w:customStyle="1" w:styleId="24">
    <w:name w:val="Heading 3 Char"/>
    <w:basedOn w:val="14"/>
    <w:link w:val="4"/>
    <w:semiHidden/>
    <w:qFormat/>
    <w:uiPriority w:val="9"/>
    <w:rPr>
      <w:rFonts w:asciiTheme="majorHAnsi" w:hAnsiTheme="majorHAnsi" w:eastAsiaTheme="majorEastAsia" w:cstheme="majorBidi"/>
      <w:color w:val="254061" w:themeColor="accent1" w:themeShade="80"/>
      <w:sz w:val="24"/>
      <w:szCs w:val="24"/>
    </w:rPr>
  </w:style>
  <w:style w:type="paragraph" w:customStyle="1" w:styleId="25">
    <w:name w:val="Bibliography"/>
    <w:basedOn w:val="1"/>
    <w:next w:val="1"/>
    <w:unhideWhenUsed/>
    <w:qFormat/>
    <w:uiPriority w:val="37"/>
    <w:pPr>
      <w:spacing w:after="160" w:line="259" w:lineRule="auto"/>
    </w:pPr>
    <w:rPr>
      <w:rFonts w:asciiTheme="minorHAnsi" w:hAnsiTheme="minorHAnsi" w:cstheme="minorBidi"/>
      <w:sz w:val="22"/>
      <w:szCs w:val="22"/>
    </w:rPr>
  </w:style>
  <w:style w:type="paragraph" w:styleId="26">
    <w:name w:val="List Paragraph"/>
    <w:basedOn w:val="1"/>
    <w:qFormat/>
    <w:uiPriority w:val="34"/>
    <w:pPr>
      <w:spacing w:after="160" w:line="259" w:lineRule="auto"/>
      <w:ind w:left="720"/>
      <w:contextualSpacing/>
    </w:pPr>
    <w:rPr>
      <w:rFonts w:asciiTheme="minorHAnsi" w:hAnsiTheme="minorHAnsi" w:cstheme="minorBidi"/>
      <w:sz w:val="22"/>
      <w:szCs w:val="22"/>
    </w:rPr>
  </w:style>
  <w:style w:type="paragraph" w:customStyle="1" w:styleId="27">
    <w:name w:val="p"/>
    <w:basedOn w:val="1"/>
    <w:qFormat/>
    <w:uiPriority w:val="0"/>
    <w:pPr>
      <w:spacing w:before="100" w:beforeAutospacing="1" w:after="100" w:afterAutospacing="1"/>
    </w:pPr>
    <w:rPr>
      <w:rFonts w:eastAsia="Times New Roman"/>
      <w:lang w:val="es-MX" w:eastAsia="es-MX"/>
    </w:rPr>
  </w:style>
  <w:style w:type="character" w:customStyle="1" w:styleId="28">
    <w:name w:val="mathjax_preview"/>
    <w:basedOn w:val="14"/>
    <w:qFormat/>
    <w:uiPriority w:val="0"/>
  </w:style>
  <w:style w:type="character" w:customStyle="1" w:styleId="29">
    <w:name w:val="result"/>
    <w:basedOn w:val="14"/>
    <w:qFormat/>
    <w:uiPriority w:val="0"/>
    <w:rPr>
      <w:color w:val="000080"/>
    </w:rPr>
  </w:style>
  <w:style w:type="character" w:customStyle="1" w:styleId="30">
    <w:name w:val="bodyitalics"/>
    <w:basedOn w:val="14"/>
    <w:qFormat/>
    <w:uiPriority w:val="0"/>
  </w:style>
  <w:style w:type="character" w:customStyle="1" w:styleId="31">
    <w:name w:val="bodysub"/>
    <w:basedOn w:val="14"/>
    <w:qFormat/>
    <w:uiPriority w:val="0"/>
  </w:style>
  <w:style w:type="character" w:customStyle="1" w:styleId="32">
    <w:name w:val="figpopup-sensitive-area"/>
    <w:basedOn w:val="14"/>
    <w:qFormat/>
    <w:uiPriority w:val="0"/>
  </w:style>
  <w:style w:type="character" w:customStyle="1" w:styleId="33">
    <w:name w:val="j_biaoti_en"/>
    <w:basedOn w:val="14"/>
    <w:qFormat/>
    <w:uiPriority w:val="0"/>
  </w:style>
  <w:style w:type="character" w:customStyle="1" w:styleId="34">
    <w:name w:val="Balloon Text Char"/>
    <w:basedOn w:val="14"/>
    <w:link w:val="6"/>
    <w:qFormat/>
    <w:uiPriority w:val="99"/>
    <w:rPr>
      <w:rFonts w:ascii="Segoe UI" w:hAnsi="Segoe UI" w:cs="Segoe UI"/>
      <w:sz w:val="18"/>
      <w:szCs w:val="18"/>
    </w:rPr>
  </w:style>
  <w:style w:type="character" w:customStyle="1" w:styleId="35">
    <w:name w:val="acopre"/>
    <w:basedOn w:val="14"/>
    <w:qFormat/>
    <w:uiPriority w:val="0"/>
  </w:style>
  <w:style w:type="character" w:customStyle="1" w:styleId="36">
    <w:name w:val="HTML Preformatted Char"/>
    <w:basedOn w:val="14"/>
    <w:link w:val="9"/>
    <w:qFormat/>
    <w:uiPriority w:val="99"/>
    <w:rPr>
      <w:rFonts w:ascii="Courier New" w:hAnsi="Courier New" w:eastAsia="Times New Roman" w:cs="Courier New"/>
      <w:lang w:val="es-MX" w:eastAsia="es-MX"/>
    </w:rPr>
  </w:style>
  <w:style w:type="character" w:customStyle="1" w:styleId="37">
    <w:name w:val="y2iqfc"/>
    <w:basedOn w:val="14"/>
    <w:qFormat/>
    <w:uiPriority w:val="0"/>
  </w:style>
  <w:style w:type="character" w:customStyle="1" w:styleId="38">
    <w:name w:val="placeholder_begin21"/>
    <w:basedOn w:val="14"/>
    <w:qFormat/>
    <w:uiPriority w:val="0"/>
    <w:rPr>
      <w:vanish/>
    </w:rPr>
  </w:style>
  <w:style w:type="character" w:customStyle="1" w:styleId="39">
    <w:name w:val="Comment Text Char"/>
    <w:basedOn w:val="14"/>
    <w:link w:val="5"/>
    <w:semiHidden/>
    <w:qFormat/>
    <w:uiPriority w:val="99"/>
    <w:rPr>
      <w:rFonts w:asciiTheme="minorHAnsi" w:hAnsiTheme="minorHAnsi" w:cstheme="minorBidi"/>
    </w:rPr>
  </w:style>
  <w:style w:type="character" w:customStyle="1" w:styleId="40">
    <w:name w:val="Comment Subject Char"/>
    <w:basedOn w:val="39"/>
    <w:link w:val="11"/>
    <w:semiHidden/>
    <w:qFormat/>
    <w:uiPriority w:val="99"/>
    <w:rPr>
      <w:rFonts w:asciiTheme="minorHAnsi" w:hAnsiTheme="minorHAnsi" w:cstheme="minorBidi"/>
      <w:b/>
      <w:bCs/>
    </w:rPr>
  </w:style>
  <w:style w:type="paragraph" w:customStyle="1" w:styleId="41">
    <w:name w:val="Revision"/>
    <w:hidden/>
    <w:semiHidden/>
    <w:qFormat/>
    <w:uiPriority w:val="99"/>
    <w:rPr>
      <w:rFonts w:asciiTheme="minorHAnsi" w:hAnsiTheme="minorHAnsi" w:eastAsiaTheme="minorEastAsia" w:cstheme="minorBidi"/>
      <w:sz w:val="22"/>
      <w:szCs w:val="22"/>
      <w:lang w:val="en-US" w:eastAsia="en-US" w:bidi="ar-SA"/>
    </w:rPr>
  </w:style>
  <w:style w:type="character" w:customStyle="1" w:styleId="42">
    <w:name w:val="hlt"/>
    <w:basedOn w:val="14"/>
    <w:qFormat/>
    <w:uiPriority w:val="0"/>
  </w:style>
  <w:style w:type="character" w:customStyle="1" w:styleId="43">
    <w:name w:val="ej-keyword"/>
    <w:basedOn w:val="14"/>
    <w:qFormat/>
    <w:uiPriority w:val="0"/>
  </w:style>
  <w:style w:type="paragraph" w:customStyle="1" w:styleId="44">
    <w:name w:val="bodytext"/>
    <w:basedOn w:val="1"/>
    <w:qFormat/>
    <w:uiPriority w:val="0"/>
    <w:pPr>
      <w:spacing w:before="100" w:beforeAutospacing="1" w:after="100" w:afterAutospacing="1"/>
    </w:pPr>
    <w:rPr>
      <w:rFonts w:eastAsia="Times New Roman"/>
      <w:lang w:val="es-MX" w:eastAsia="es-MX"/>
    </w:rPr>
  </w:style>
  <w:style w:type="character" w:customStyle="1" w:styleId="45">
    <w:name w:val="Unresolved Mention"/>
    <w:basedOn w:val="14"/>
    <w:semiHidden/>
    <w:unhideWhenUsed/>
    <w:qFormat/>
    <w:uiPriority w:val="99"/>
    <w:rPr>
      <w:color w:val="605E5C"/>
      <w:shd w:val="clear" w:color="auto" w:fill="E1DFDD"/>
    </w:rPr>
  </w:style>
  <w:style w:type="character" w:customStyle="1" w:styleId="46">
    <w:name w:val="mixed-citation"/>
    <w:basedOn w:val="14"/>
    <w:qFormat/>
    <w:uiPriority w:val="0"/>
  </w:style>
  <w:style w:type="character" w:customStyle="1" w:styleId="47">
    <w:name w:val="ref-title"/>
    <w:basedOn w:val="14"/>
    <w:qFormat/>
    <w:uiPriority w:val="0"/>
  </w:style>
  <w:style w:type="character" w:customStyle="1" w:styleId="48">
    <w:name w:val="ref-journal"/>
    <w:basedOn w:val="14"/>
    <w:qFormat/>
    <w:uiPriority w:val="0"/>
  </w:style>
  <w:style w:type="character" w:customStyle="1" w:styleId="49">
    <w:name w:val="ref-vol"/>
    <w:basedOn w:val="14"/>
    <w:qFormat/>
    <w:uiPriority w:val="0"/>
  </w:style>
  <w:style w:type="character" w:customStyle="1" w:styleId="50">
    <w:name w:val="id-label"/>
    <w:basedOn w:val="1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8377</Words>
  <Characters>49509</Characters>
  <Lines>1156</Lines>
  <Paragraphs>452</Paragraphs>
  <TotalTime>6</TotalTime>
  <ScaleCrop>false</ScaleCrop>
  <LinksUpToDate>false</LinksUpToDate>
  <CharactersWithSpaces>57145</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2022-05-01T19:11:00Z</dcterms:created>
  <dc:creator>bpg</dc:creator>
  <cp:lastModifiedBy>千</cp:lastModifiedBy>
  <dcterms:modified xsi:type="dcterms:W3CDTF">2022-06-16T07:59:39Z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B2D1EF9506AA4C7FAF4C5604FF9A7E6A</vt:lpwstr>
  </property>
</Properties>
</file>