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97E5"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77B2054"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72020</w:t>
      </w:r>
    </w:p>
    <w:p w14:paraId="79942555"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3692085" w14:textId="77777777" w:rsidR="001135A2" w:rsidRDefault="001135A2">
      <w:pPr>
        <w:spacing w:line="360" w:lineRule="auto"/>
        <w:jc w:val="both"/>
        <w:rPr>
          <w:rFonts w:ascii="Book Antiqua" w:hAnsi="Book Antiqua"/>
        </w:rPr>
      </w:pPr>
    </w:p>
    <w:p w14:paraId="331164DC" w14:textId="77777777" w:rsidR="001135A2" w:rsidRDefault="00CD55CB">
      <w:pPr>
        <w:spacing w:line="360" w:lineRule="auto"/>
        <w:jc w:val="both"/>
        <w:rPr>
          <w:rFonts w:ascii="Book Antiqua" w:hAnsi="Book Antiqua"/>
        </w:rPr>
      </w:pPr>
      <w:r>
        <w:rPr>
          <w:rFonts w:ascii="Book Antiqua" w:eastAsia="Book Antiqua" w:hAnsi="Book Antiqua" w:cs="Book Antiqua"/>
          <w:b/>
          <w:i/>
          <w:color w:val="000000"/>
        </w:rPr>
        <w:t>Observational Study</w:t>
      </w:r>
    </w:p>
    <w:p w14:paraId="3D571DE5"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Benign course of residual inflammation at end of treatment of liver transplant recipients after sofosbuvir based therapy</w:t>
      </w:r>
    </w:p>
    <w:p w14:paraId="5222A917" w14:textId="77777777" w:rsidR="001135A2" w:rsidRDefault="001135A2">
      <w:pPr>
        <w:spacing w:line="360" w:lineRule="auto"/>
        <w:jc w:val="both"/>
        <w:rPr>
          <w:rFonts w:ascii="Book Antiqua" w:hAnsi="Book Antiqua"/>
        </w:rPr>
      </w:pPr>
    </w:p>
    <w:p w14:paraId="16BDBB76"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 xml:space="preserve">Ismail B </w:t>
      </w:r>
      <w:r>
        <w:rPr>
          <w:rFonts w:ascii="Book Antiqua" w:eastAsia="Book Antiqua" w:hAnsi="Book Antiqua" w:cs="Book Antiqua"/>
          <w:i/>
          <w:iCs/>
          <w:color w:val="000000"/>
        </w:rPr>
        <w:t>et al</w:t>
      </w:r>
      <w:r>
        <w:rPr>
          <w:rFonts w:ascii="Book Antiqua" w:eastAsia="Book Antiqua" w:hAnsi="Book Antiqua" w:cs="Book Antiqua"/>
          <w:color w:val="000000"/>
        </w:rPr>
        <w:t>. DAA in liver transplant recipients</w:t>
      </w:r>
    </w:p>
    <w:p w14:paraId="07CD6B1F" w14:textId="77777777" w:rsidR="001135A2" w:rsidRDefault="001135A2">
      <w:pPr>
        <w:spacing w:line="360" w:lineRule="auto"/>
        <w:jc w:val="both"/>
        <w:rPr>
          <w:rFonts w:ascii="Book Antiqua" w:hAnsi="Book Antiqua"/>
        </w:rPr>
      </w:pPr>
    </w:p>
    <w:p w14:paraId="6E934226" w14:textId="77777777" w:rsidR="001135A2" w:rsidRDefault="00CD55CB">
      <w:pPr>
        <w:spacing w:line="360" w:lineRule="auto"/>
        <w:jc w:val="both"/>
        <w:rPr>
          <w:rFonts w:ascii="Book Antiqua" w:hAnsi="Book Antiqua"/>
        </w:rPr>
      </w:pPr>
      <w:proofErr w:type="spellStart"/>
      <w:r>
        <w:rPr>
          <w:rFonts w:ascii="Book Antiqua" w:eastAsia="Book Antiqua" w:hAnsi="Book Antiqua" w:cs="Book Antiqua"/>
          <w:color w:val="000000"/>
        </w:rPr>
        <w:t>Bahaaeldeen</w:t>
      </w:r>
      <w:proofErr w:type="spellEnd"/>
      <w:r>
        <w:rPr>
          <w:rFonts w:ascii="Book Antiqua" w:eastAsia="Book Antiqua" w:hAnsi="Book Antiqua" w:cs="Book Antiqua"/>
          <w:color w:val="000000"/>
        </w:rPr>
        <w:t xml:space="preserve"> Ismail, Karim M </w:t>
      </w:r>
      <w:proofErr w:type="spellStart"/>
      <w:r>
        <w:rPr>
          <w:rFonts w:ascii="Book Antiqua" w:eastAsia="Book Antiqua" w:hAnsi="Book Antiqua" w:cs="Book Antiqua"/>
          <w:color w:val="000000"/>
        </w:rPr>
        <w:t>Benrajab</w:t>
      </w:r>
      <w:proofErr w:type="spellEnd"/>
      <w:r>
        <w:rPr>
          <w:rFonts w:ascii="Book Antiqua" w:eastAsia="Book Antiqua" w:hAnsi="Book Antiqua" w:cs="Book Antiqua"/>
          <w:color w:val="000000"/>
        </w:rPr>
        <w:t xml:space="preserve">, Pablo </w:t>
      </w:r>
      <w:proofErr w:type="spellStart"/>
      <w:r>
        <w:rPr>
          <w:rFonts w:ascii="Book Antiqua" w:eastAsia="Book Antiqua" w:hAnsi="Book Antiqua" w:cs="Book Antiqua"/>
          <w:color w:val="000000"/>
        </w:rPr>
        <w:t>Bejarano</w:t>
      </w:r>
      <w:proofErr w:type="spellEnd"/>
      <w:r>
        <w:rPr>
          <w:rFonts w:ascii="Book Antiqua" w:eastAsia="Book Antiqua" w:hAnsi="Book Antiqua" w:cs="Book Antiqua"/>
          <w:color w:val="000000"/>
        </w:rPr>
        <w:t xml:space="preserve">, Phillip Ruiz, Debbie Sears, Andreas </w:t>
      </w:r>
      <w:proofErr w:type="spellStart"/>
      <w:r>
        <w:rPr>
          <w:rFonts w:ascii="Book Antiqua" w:eastAsia="Book Antiqua" w:hAnsi="Book Antiqua" w:cs="Book Antiqua"/>
          <w:color w:val="000000"/>
        </w:rPr>
        <w:t>Tzakis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Xaralambos</w:t>
      </w:r>
      <w:proofErr w:type="spellEnd"/>
      <w:r>
        <w:rPr>
          <w:rFonts w:ascii="Book Antiqua" w:eastAsia="Book Antiqua" w:hAnsi="Book Antiqua" w:cs="Book Antiqua"/>
          <w:color w:val="000000"/>
        </w:rPr>
        <w:t xml:space="preserve"> Bobby </w:t>
      </w:r>
      <w:proofErr w:type="spellStart"/>
      <w:r>
        <w:rPr>
          <w:rFonts w:ascii="Book Antiqua" w:eastAsia="Book Antiqua" w:hAnsi="Book Antiqua" w:cs="Book Antiqua"/>
          <w:color w:val="000000"/>
        </w:rPr>
        <w:t>Zervos</w:t>
      </w:r>
      <w:proofErr w:type="spellEnd"/>
    </w:p>
    <w:p w14:paraId="225DAD5C" w14:textId="77777777" w:rsidR="001135A2" w:rsidRDefault="001135A2">
      <w:pPr>
        <w:spacing w:line="360" w:lineRule="auto"/>
        <w:jc w:val="both"/>
        <w:rPr>
          <w:rFonts w:ascii="Book Antiqua" w:hAnsi="Book Antiqua"/>
        </w:rPr>
      </w:pPr>
    </w:p>
    <w:p w14:paraId="7ED05824" w14:textId="77777777" w:rsidR="001135A2" w:rsidRDefault="00CD55CB">
      <w:pPr>
        <w:spacing w:line="360" w:lineRule="auto"/>
        <w:jc w:val="both"/>
        <w:rPr>
          <w:rFonts w:ascii="Book Antiqua" w:hAnsi="Book Antiqua"/>
        </w:rPr>
      </w:pPr>
      <w:proofErr w:type="spellStart"/>
      <w:r>
        <w:rPr>
          <w:rFonts w:ascii="Book Antiqua" w:eastAsia="Book Antiqua" w:hAnsi="Book Antiqua" w:cs="Book Antiqua"/>
          <w:b/>
          <w:bCs/>
          <w:color w:val="000000"/>
        </w:rPr>
        <w:t>Bahaaeldeen</w:t>
      </w:r>
      <w:proofErr w:type="spellEnd"/>
      <w:r>
        <w:rPr>
          <w:rFonts w:ascii="Book Antiqua" w:eastAsia="Book Antiqua" w:hAnsi="Book Antiqua" w:cs="Book Antiqua"/>
          <w:b/>
          <w:bCs/>
          <w:color w:val="000000"/>
        </w:rPr>
        <w:t xml:space="preserve"> Ismail, Karim M </w:t>
      </w:r>
      <w:proofErr w:type="spellStart"/>
      <w:r>
        <w:rPr>
          <w:rFonts w:ascii="Book Antiqua" w:eastAsia="Book Antiqua" w:hAnsi="Book Antiqua" w:cs="Book Antiqua"/>
          <w:b/>
          <w:bCs/>
          <w:color w:val="000000"/>
        </w:rPr>
        <w:t>Benrajab</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Digestive Diseases and Nutrition</w:t>
      </w:r>
      <w:r>
        <w:rPr>
          <w:rFonts w:ascii="Book Antiqua" w:eastAsia="Book Antiqua" w:hAnsi="Book Antiqua" w:cs="Book Antiqua"/>
          <w:color w:val="000000"/>
        </w:rPr>
        <w:t>, University of Kentucky College of Medicine, Lexington, KY 40536, United States</w:t>
      </w:r>
    </w:p>
    <w:p w14:paraId="19D26659" w14:textId="77777777" w:rsidR="001135A2" w:rsidRDefault="001135A2">
      <w:pPr>
        <w:spacing w:line="360" w:lineRule="auto"/>
        <w:jc w:val="both"/>
        <w:rPr>
          <w:rFonts w:ascii="Book Antiqua" w:hAnsi="Book Antiqua"/>
        </w:rPr>
      </w:pPr>
    </w:p>
    <w:p w14:paraId="37AD352E"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Pablo </w:t>
      </w:r>
      <w:proofErr w:type="spellStart"/>
      <w:r>
        <w:rPr>
          <w:rFonts w:ascii="Book Antiqua" w:eastAsia="Book Antiqua" w:hAnsi="Book Antiqua" w:cs="Book Antiqua"/>
          <w:b/>
          <w:bCs/>
          <w:color w:val="000000"/>
        </w:rPr>
        <w:t>Bejarano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Pathology, Cleveland Clinic Florida, Weston, FL 33331, United States</w:t>
      </w:r>
    </w:p>
    <w:p w14:paraId="0ADDFF2E" w14:textId="77777777" w:rsidR="001135A2" w:rsidRDefault="001135A2">
      <w:pPr>
        <w:spacing w:line="360" w:lineRule="auto"/>
        <w:jc w:val="both"/>
        <w:rPr>
          <w:rFonts w:ascii="Book Antiqua" w:hAnsi="Book Antiqua"/>
        </w:rPr>
      </w:pPr>
    </w:p>
    <w:p w14:paraId="0193368C"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Phillip Ruiz, </w:t>
      </w:r>
      <w:r>
        <w:rPr>
          <w:rFonts w:ascii="Book Antiqua" w:eastAsia="Book Antiqua" w:hAnsi="Book Antiqua" w:cs="Book Antiqua"/>
          <w:color w:val="000000"/>
        </w:rPr>
        <w:t>Department of Pathology, University of Miami Miller School o</w:t>
      </w:r>
      <w:r>
        <w:rPr>
          <w:rFonts w:ascii="Book Antiqua" w:eastAsia="Book Antiqua" w:hAnsi="Book Antiqua" w:cs="Book Antiqua"/>
          <w:color w:val="000000"/>
        </w:rPr>
        <w:t>f Medicine, Miami, FL 33136, United States</w:t>
      </w:r>
    </w:p>
    <w:p w14:paraId="07A03A22" w14:textId="77777777" w:rsidR="001135A2" w:rsidRDefault="001135A2">
      <w:pPr>
        <w:spacing w:line="360" w:lineRule="auto"/>
        <w:jc w:val="both"/>
        <w:rPr>
          <w:rFonts w:ascii="Book Antiqua" w:hAnsi="Book Antiqua"/>
        </w:rPr>
      </w:pPr>
    </w:p>
    <w:p w14:paraId="28E2D058"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Debbie Sears, Andreas </w:t>
      </w:r>
      <w:proofErr w:type="spellStart"/>
      <w:r>
        <w:rPr>
          <w:rFonts w:ascii="Book Antiqua" w:eastAsia="Book Antiqua" w:hAnsi="Book Antiqua" w:cs="Book Antiqua"/>
          <w:b/>
          <w:bCs/>
          <w:color w:val="000000"/>
        </w:rPr>
        <w:t>Tzakis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Xaralambos</w:t>
      </w:r>
      <w:proofErr w:type="spellEnd"/>
      <w:r>
        <w:rPr>
          <w:rFonts w:ascii="Book Antiqua" w:eastAsia="Book Antiqua" w:hAnsi="Book Antiqua" w:cs="Book Antiqua"/>
          <w:b/>
          <w:bCs/>
          <w:color w:val="000000"/>
        </w:rPr>
        <w:t xml:space="preserve"> Bobby </w:t>
      </w:r>
      <w:proofErr w:type="spellStart"/>
      <w:r>
        <w:rPr>
          <w:rFonts w:ascii="Book Antiqua" w:eastAsia="Book Antiqua" w:hAnsi="Book Antiqua" w:cs="Book Antiqua"/>
          <w:b/>
          <w:bCs/>
          <w:color w:val="000000"/>
        </w:rPr>
        <w:t>Zervos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Liver Transplant, Cleveland Clinic Florida, Weston, FL 33331, United States</w:t>
      </w:r>
    </w:p>
    <w:p w14:paraId="205F8278" w14:textId="77777777" w:rsidR="001135A2" w:rsidRDefault="001135A2">
      <w:pPr>
        <w:spacing w:line="360" w:lineRule="auto"/>
        <w:jc w:val="both"/>
        <w:rPr>
          <w:rFonts w:ascii="Book Antiqua" w:hAnsi="Book Antiqua"/>
        </w:rPr>
      </w:pPr>
    </w:p>
    <w:p w14:paraId="0B1D0429"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hAnsi="Book Antiqua"/>
        </w:rPr>
        <w:t>Zervos</w:t>
      </w:r>
      <w:proofErr w:type="spellEnd"/>
      <w:r>
        <w:rPr>
          <w:rFonts w:ascii="Book Antiqua" w:hAnsi="Book Antiqua"/>
        </w:rPr>
        <w:t xml:space="preserve"> </w:t>
      </w:r>
      <w:r>
        <w:rPr>
          <w:rFonts w:ascii="Book Antiqua" w:eastAsia="Book Antiqua" w:hAnsi="Book Antiqua" w:cs="Book Antiqua"/>
          <w:color w:val="000000"/>
        </w:rPr>
        <w:t xml:space="preserve">XB and </w:t>
      </w:r>
      <w:proofErr w:type="spellStart"/>
      <w:r>
        <w:rPr>
          <w:rFonts w:ascii="Book Antiqua" w:hAnsi="Book Antiqua"/>
        </w:rPr>
        <w:t>Tzakis</w:t>
      </w:r>
      <w:proofErr w:type="spellEnd"/>
      <w:r>
        <w:rPr>
          <w:rFonts w:ascii="Book Antiqua" w:hAnsi="Book Antiqua"/>
        </w:rPr>
        <w:t xml:space="preserve"> A designed the research</w:t>
      </w:r>
      <w:r>
        <w:rPr>
          <w:rFonts w:ascii="Book Antiqua" w:hAnsi="Book Antiqua"/>
        </w:rPr>
        <w:t>; Ismail B, Sears D performed the research;</w:t>
      </w:r>
      <w:r>
        <w:rPr>
          <w:rFonts w:ascii="Book Antiqua" w:eastAsia="Book Antiqua" w:hAnsi="Book Antiqua" w:cs="Book Antiqua"/>
          <w:color w:val="000000"/>
        </w:rPr>
        <w:t xml:space="preserve"> Ismail B, </w:t>
      </w:r>
      <w:proofErr w:type="spellStart"/>
      <w:r>
        <w:rPr>
          <w:rFonts w:ascii="Book Antiqua" w:eastAsia="Book Antiqua" w:hAnsi="Book Antiqua" w:cs="Book Antiqua"/>
          <w:color w:val="000000"/>
        </w:rPr>
        <w:t>Bejarano</w:t>
      </w:r>
      <w:proofErr w:type="spellEnd"/>
      <w:r>
        <w:rPr>
          <w:rFonts w:ascii="Book Antiqua" w:eastAsia="Book Antiqua" w:hAnsi="Book Antiqua" w:cs="Book Antiqua"/>
          <w:color w:val="000000"/>
        </w:rPr>
        <w:t xml:space="preserve"> P, Ruiz</w:t>
      </w:r>
      <w:r>
        <w:rPr>
          <w:rFonts w:ascii="Book Antiqua" w:hAnsi="Book Antiqua"/>
        </w:rPr>
        <w:t xml:space="preserve"> P analyzed the data;</w:t>
      </w:r>
      <w:r>
        <w:rPr>
          <w:rFonts w:ascii="Book Antiqua" w:eastAsia="Book Antiqua" w:hAnsi="Book Antiqua" w:cs="Book Antiqua"/>
          <w:color w:val="000000"/>
        </w:rPr>
        <w:t xml:space="preserve"> Sears D, </w:t>
      </w:r>
      <w:proofErr w:type="spellStart"/>
      <w:r>
        <w:rPr>
          <w:rFonts w:ascii="Book Antiqua" w:eastAsia="Book Antiqua" w:hAnsi="Book Antiqua" w:cs="Book Antiqua"/>
          <w:color w:val="000000"/>
        </w:rPr>
        <w:t>Benrajab</w:t>
      </w:r>
      <w:proofErr w:type="spellEnd"/>
      <w:r>
        <w:rPr>
          <w:rFonts w:ascii="Book Antiqua" w:eastAsia="Book Antiqua" w:hAnsi="Book Antiqua" w:cs="Book Antiqua"/>
          <w:color w:val="000000"/>
        </w:rPr>
        <w:t xml:space="preserve"> KM, Ismail B, and </w:t>
      </w:r>
      <w:proofErr w:type="spellStart"/>
      <w:r>
        <w:rPr>
          <w:rFonts w:ascii="Book Antiqua" w:eastAsia="Book Antiqua" w:hAnsi="Book Antiqua" w:cs="Book Antiqua"/>
          <w:color w:val="000000"/>
        </w:rPr>
        <w:t>Zervos</w:t>
      </w:r>
      <w:proofErr w:type="spellEnd"/>
      <w:r>
        <w:rPr>
          <w:rFonts w:ascii="Book Antiqua" w:eastAsia="Book Antiqua" w:hAnsi="Book Antiqua" w:cs="Book Antiqua"/>
          <w:color w:val="000000"/>
        </w:rPr>
        <w:t xml:space="preserve"> XB </w:t>
      </w:r>
      <w:r>
        <w:rPr>
          <w:rFonts w:ascii="Book Antiqua" w:hAnsi="Book Antiqua"/>
        </w:rPr>
        <w:t xml:space="preserve">wrote the paper; </w:t>
      </w:r>
      <w:r>
        <w:rPr>
          <w:rFonts w:ascii="Book Antiqua" w:hAnsi="Book Antiqua"/>
          <w:color w:val="000000"/>
        </w:rPr>
        <w:t>all authors contributed to critical revision of the manuscript, and saw and approved the final versio</w:t>
      </w:r>
      <w:r>
        <w:rPr>
          <w:rFonts w:ascii="Book Antiqua" w:hAnsi="Book Antiqua"/>
          <w:color w:val="000000"/>
        </w:rPr>
        <w:t>n.</w:t>
      </w:r>
    </w:p>
    <w:p w14:paraId="73354A75" w14:textId="77777777" w:rsidR="001135A2" w:rsidRDefault="001135A2">
      <w:pPr>
        <w:spacing w:line="360" w:lineRule="auto"/>
        <w:jc w:val="both"/>
        <w:rPr>
          <w:rFonts w:ascii="Book Antiqua" w:hAnsi="Book Antiqua"/>
        </w:rPr>
      </w:pPr>
    </w:p>
    <w:p w14:paraId="5E765D7B"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Corresponding author: Karim M </w:t>
      </w:r>
      <w:proofErr w:type="spellStart"/>
      <w:r>
        <w:rPr>
          <w:rFonts w:ascii="Book Antiqua" w:eastAsia="Book Antiqua" w:hAnsi="Book Antiqua" w:cs="Book Antiqua"/>
          <w:b/>
          <w:bCs/>
          <w:color w:val="000000"/>
        </w:rPr>
        <w:t>Benrajab</w:t>
      </w:r>
      <w:proofErr w:type="spellEnd"/>
      <w:r>
        <w:rPr>
          <w:rFonts w:ascii="Book Antiqua" w:eastAsia="Book Antiqua" w:hAnsi="Book Antiqua" w:cs="Book Antiqua"/>
          <w:b/>
          <w:bCs/>
          <w:color w:val="000000"/>
        </w:rPr>
        <w:t xml:space="preserve">, MD, Assistant Professor, </w:t>
      </w:r>
      <w:r>
        <w:rPr>
          <w:rFonts w:ascii="Book Antiqua" w:eastAsia="Book Antiqua" w:hAnsi="Book Antiqua" w:cs="Book Antiqua"/>
          <w:color w:val="000000"/>
        </w:rPr>
        <w:t>Internal Medicine/Division of Digestive Diseases and Nutrition, University of Kentucky College of Medicine, 770 Rose Street, MN649, Lexington, KY 40536, United States. karimbenrajab@gmail</w:t>
      </w:r>
      <w:r>
        <w:rPr>
          <w:rFonts w:ascii="Book Antiqua" w:eastAsia="Book Antiqua" w:hAnsi="Book Antiqua" w:cs="Book Antiqua"/>
          <w:color w:val="000000"/>
        </w:rPr>
        <w:t>.com</w:t>
      </w:r>
    </w:p>
    <w:p w14:paraId="7DED1A5C" w14:textId="77777777" w:rsidR="001135A2" w:rsidRDefault="001135A2">
      <w:pPr>
        <w:spacing w:line="360" w:lineRule="auto"/>
        <w:jc w:val="both"/>
        <w:rPr>
          <w:rFonts w:ascii="Book Antiqua" w:hAnsi="Book Antiqua"/>
        </w:rPr>
      </w:pPr>
    </w:p>
    <w:p w14:paraId="0C194418"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23, 2021</w:t>
      </w:r>
    </w:p>
    <w:p w14:paraId="40560C2F"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16, 2021</w:t>
      </w:r>
    </w:p>
    <w:p w14:paraId="401E3B25"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15, 202</w:t>
      </w:r>
      <w:r>
        <w:rPr>
          <w:rFonts w:ascii="Book Antiqua" w:eastAsia="Book Antiqua" w:hAnsi="Book Antiqua" w:cs="Book Antiqua"/>
          <w:b/>
          <w:bCs/>
          <w:color w:val="000000"/>
        </w:rPr>
        <w:t>2</w:t>
      </w:r>
    </w:p>
    <w:p w14:paraId="62CFCCA3"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March 27, 2022</w:t>
      </w:r>
    </w:p>
    <w:p w14:paraId="58EA6D05" w14:textId="77777777" w:rsidR="001135A2" w:rsidRDefault="001135A2">
      <w:pPr>
        <w:spacing w:line="360" w:lineRule="auto"/>
        <w:jc w:val="both"/>
        <w:rPr>
          <w:rFonts w:ascii="Book Antiqua" w:hAnsi="Book Antiqua"/>
        </w:rPr>
        <w:sectPr w:rsidR="001135A2">
          <w:footerReference w:type="default" r:id="rId8"/>
          <w:pgSz w:w="12240" w:h="15840"/>
          <w:pgMar w:top="1440" w:right="1440" w:bottom="1440" w:left="1440" w:header="720" w:footer="720" w:gutter="0"/>
          <w:cols w:space="720"/>
          <w:docGrid w:linePitch="360"/>
        </w:sectPr>
      </w:pPr>
    </w:p>
    <w:p w14:paraId="3465308F"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904AC53"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BACKGROUND</w:t>
      </w:r>
    </w:p>
    <w:p w14:paraId="3353C5D8"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 xml:space="preserve">Persistent inflammation on histology after successful hepatitis C (HCV) treatment has been reported. However, data regarding the long-term impact in liver transplant recipients is limited, particularly after using direct-acting antiviral (DAA) therapies. </w:t>
      </w:r>
    </w:p>
    <w:p w14:paraId="2FD9B335" w14:textId="77777777" w:rsidR="001135A2" w:rsidRDefault="001135A2">
      <w:pPr>
        <w:spacing w:line="360" w:lineRule="auto"/>
        <w:jc w:val="both"/>
        <w:rPr>
          <w:rFonts w:ascii="Book Antiqua" w:hAnsi="Book Antiqua"/>
        </w:rPr>
      </w:pPr>
    </w:p>
    <w:p w14:paraId="4DBCB386"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AIM</w:t>
      </w:r>
    </w:p>
    <w:p w14:paraId="5B3FE927"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To evaluate the impact of successful treatment with DAAs on histological changes and occult HCV and to describe the clinical course of residual inflammation in liver transplant recipients.</w:t>
      </w:r>
    </w:p>
    <w:p w14:paraId="3DE07654" w14:textId="77777777" w:rsidR="001135A2" w:rsidRDefault="001135A2">
      <w:pPr>
        <w:spacing w:line="360" w:lineRule="auto"/>
        <w:jc w:val="both"/>
        <w:rPr>
          <w:rFonts w:ascii="Book Antiqua" w:hAnsi="Book Antiqua"/>
        </w:rPr>
      </w:pPr>
    </w:p>
    <w:p w14:paraId="67284357"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METHODS</w:t>
      </w:r>
    </w:p>
    <w:p w14:paraId="0EAC3DBF"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We conducted a case series of 13 chronic HCV infected</w:t>
      </w:r>
      <w:r>
        <w:rPr>
          <w:rFonts w:ascii="Book Antiqua" w:eastAsia="Book Antiqua" w:hAnsi="Book Antiqua" w:cs="Book Antiqua"/>
          <w:color w:val="000000"/>
        </w:rPr>
        <w:t xml:space="preserve"> liver transplant recipients successfully treated with DAAs between December 2013 and May 2014. All patients were treated for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had non-detectable serum HCV RNA by the time of biopsy. Only patients with at least one liver biopsy at or after treatme</w:t>
      </w:r>
      <w:r>
        <w:rPr>
          <w:rFonts w:ascii="Book Antiqua" w:eastAsia="Book Antiqua" w:hAnsi="Book Antiqua" w:cs="Book Antiqua"/>
          <w:color w:val="000000"/>
        </w:rPr>
        <w:t>nt were included.  We examined liver biopsies for evidence of residual inflammation and the presence of intrahepatic HCV RNA.</w:t>
      </w:r>
    </w:p>
    <w:p w14:paraId="00C97366" w14:textId="77777777" w:rsidR="001135A2" w:rsidRDefault="001135A2">
      <w:pPr>
        <w:spacing w:line="360" w:lineRule="auto"/>
        <w:jc w:val="both"/>
        <w:rPr>
          <w:rFonts w:ascii="Book Antiqua" w:hAnsi="Book Antiqua"/>
        </w:rPr>
      </w:pPr>
    </w:p>
    <w:p w14:paraId="4B5CCD92"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RESULTS</w:t>
      </w:r>
    </w:p>
    <w:p w14:paraId="424738C0"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Persistent inflammation was seen in 12/13 patients on end of treatment biopsy. Inflammation was still seen in the availab</w:t>
      </w:r>
      <w:r>
        <w:rPr>
          <w:rFonts w:ascii="Book Antiqua" w:eastAsia="Book Antiqua" w:hAnsi="Book Antiqua" w:cs="Book Antiqua"/>
          <w:color w:val="000000"/>
        </w:rPr>
        <w:t xml:space="preserve">le five follow-up biopsies (range 38-48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end of treatment). Intrahepatic HCV RNA was undetectable in all biopsies. All patients had preserved graft function for a mean follow-up of 2.5 years, except one that developed chronic rejection. </w:t>
      </w:r>
    </w:p>
    <w:p w14:paraId="4158F378" w14:textId="77777777" w:rsidR="001135A2" w:rsidRDefault="001135A2">
      <w:pPr>
        <w:spacing w:line="360" w:lineRule="auto"/>
        <w:jc w:val="both"/>
        <w:rPr>
          <w:rFonts w:ascii="Book Antiqua" w:hAnsi="Book Antiqua"/>
        </w:rPr>
      </w:pPr>
    </w:p>
    <w:p w14:paraId="0C8114A5"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CONCLUSION</w:t>
      </w:r>
    </w:p>
    <w:p w14:paraId="4F01AD72"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 xml:space="preserve">After successful HCV treatment with DAAs, liver transplant recipients may have persistent inflammation on biopsy without evidence of intracellular RNA. The clinical </w:t>
      </w:r>
      <w:r>
        <w:rPr>
          <w:rFonts w:ascii="Book Antiqua" w:eastAsia="Book Antiqua" w:hAnsi="Book Antiqua" w:cs="Book Antiqua"/>
          <w:color w:val="000000"/>
        </w:rPr>
        <w:lastRenderedPageBreak/>
        <w:t>outcome remained favorable in most patients.  Further studies with a larger numb</w:t>
      </w:r>
      <w:r>
        <w:rPr>
          <w:rFonts w:ascii="Book Antiqua" w:eastAsia="Book Antiqua" w:hAnsi="Book Antiqua" w:cs="Book Antiqua"/>
          <w:color w:val="000000"/>
        </w:rPr>
        <w:t>er and longer follow-up are needed to establish the implication of this finding on long-term graft function.</w:t>
      </w:r>
    </w:p>
    <w:p w14:paraId="0E67CE67" w14:textId="77777777" w:rsidR="001135A2" w:rsidRDefault="001135A2">
      <w:pPr>
        <w:spacing w:line="360" w:lineRule="auto"/>
        <w:jc w:val="both"/>
        <w:rPr>
          <w:rFonts w:ascii="Book Antiqua" w:hAnsi="Book Antiqua"/>
        </w:rPr>
      </w:pPr>
    </w:p>
    <w:p w14:paraId="3F65ECAE"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Immunosuppression; Liver transplantation; Recurrent hepatitis C; Sustained virologic response; Interferon</w:t>
      </w:r>
    </w:p>
    <w:p w14:paraId="4435AFF2" w14:textId="77777777" w:rsidR="001135A2" w:rsidRDefault="001135A2">
      <w:pPr>
        <w:spacing w:line="360" w:lineRule="auto"/>
        <w:jc w:val="both"/>
        <w:rPr>
          <w:rFonts w:ascii="Book Antiqua" w:hAnsi="Book Antiqua"/>
        </w:rPr>
      </w:pPr>
    </w:p>
    <w:p w14:paraId="5AAB9D7F" w14:textId="77777777" w:rsidR="001135A2" w:rsidRDefault="00CD55CB">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4C5EF07" w14:textId="77777777" w:rsidR="001135A2" w:rsidRDefault="001135A2">
      <w:pPr>
        <w:adjustRightInd w:val="0"/>
        <w:snapToGrid w:val="0"/>
        <w:spacing w:line="360" w:lineRule="auto"/>
        <w:rPr>
          <w:rFonts w:ascii="Book Antiqua" w:hAnsi="Book Antiqua"/>
        </w:rPr>
      </w:pPr>
    </w:p>
    <w:p w14:paraId="386F8382" w14:textId="77777777" w:rsidR="001135A2" w:rsidRDefault="00CD55CB">
      <w:pPr>
        <w:spacing w:line="360" w:lineRule="auto"/>
        <w:jc w:val="both"/>
        <w:rPr>
          <w:rFonts w:ascii="Book Antiqua" w:eastAsia="Book Antiqua" w:hAnsi="Book Antiqua" w:cs="Book Antiqua"/>
          <w:color w:val="000000"/>
        </w:rPr>
      </w:pPr>
      <w:r>
        <w:rPr>
          <w:rFonts w:ascii="Book Antiqua" w:hAnsi="Book Antiqua"/>
          <w:b/>
          <w:bCs/>
        </w:rPr>
        <w:t>Citation:</w:t>
      </w:r>
      <w:bookmarkEnd w:id="0"/>
      <w:r>
        <w:rPr>
          <w:rFonts w:ascii="Book Antiqua" w:hAnsi="Book Antiqua"/>
          <w:b/>
          <w:bCs/>
        </w:rPr>
        <w:t xml:space="preserve"> </w:t>
      </w:r>
      <w:bookmarkEnd w:id="1"/>
      <w:r>
        <w:rPr>
          <w:rFonts w:ascii="Book Antiqua" w:eastAsia="Book Antiqua" w:hAnsi="Book Antiqua" w:cs="Book Antiqua"/>
          <w:color w:val="000000"/>
        </w:rPr>
        <w:t xml:space="preserve">Ismail B, </w:t>
      </w:r>
      <w:proofErr w:type="spellStart"/>
      <w:r>
        <w:rPr>
          <w:rFonts w:ascii="Book Antiqua" w:eastAsia="Book Antiqua" w:hAnsi="Book Antiqua" w:cs="Book Antiqua"/>
          <w:color w:val="000000"/>
        </w:rPr>
        <w:t>Benrajab</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Bejarano</w:t>
      </w:r>
      <w:proofErr w:type="spellEnd"/>
      <w:r>
        <w:rPr>
          <w:rFonts w:ascii="Book Antiqua" w:eastAsia="Book Antiqua" w:hAnsi="Book Antiqua" w:cs="Book Antiqua"/>
          <w:color w:val="000000"/>
        </w:rPr>
        <w:t xml:space="preserve"> P, Ruiz P, Sears D, </w:t>
      </w:r>
      <w:proofErr w:type="spellStart"/>
      <w:r>
        <w:rPr>
          <w:rFonts w:ascii="Book Antiqua" w:eastAsia="Book Antiqua" w:hAnsi="Book Antiqua" w:cs="Book Antiqua"/>
          <w:color w:val="000000"/>
        </w:rPr>
        <w:t>Tzakis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Zervos</w:t>
      </w:r>
      <w:proofErr w:type="spellEnd"/>
      <w:r>
        <w:rPr>
          <w:rFonts w:ascii="Book Antiqua" w:eastAsia="Book Antiqua" w:hAnsi="Book Antiqua" w:cs="Book Antiqua"/>
          <w:color w:val="000000"/>
        </w:rPr>
        <w:t xml:space="preserve"> XB. </w:t>
      </w:r>
      <w:r>
        <w:rPr>
          <w:rFonts w:ascii="Book Antiqua" w:eastAsia="Book Antiqua" w:hAnsi="Book Antiqua" w:cs="Book Antiqua"/>
          <w:bCs/>
          <w:color w:val="000000"/>
        </w:rPr>
        <w:t>Benign course of residual inflammation at end of treatment of liver transplant recipient</w:t>
      </w:r>
      <w:r>
        <w:rPr>
          <w:rFonts w:ascii="Book Antiqua" w:eastAsia="Book Antiqua" w:hAnsi="Book Antiqua" w:cs="Book Antiqua"/>
          <w:bCs/>
          <w:color w:val="000000"/>
        </w:rPr>
        <w:t>s after sofosbuvir based therapy</w:t>
      </w:r>
      <w:r>
        <w:rPr>
          <w:rFonts w:ascii="Book Antiqua" w:hAnsi="Book Antiqua" w:cs="Book Antiqua"/>
          <w:bCs/>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w:t>
      </w:r>
      <w:r>
        <w:rPr>
          <w:rFonts w:ascii="Book Antiqua" w:eastAsia="宋体" w:hAnsi="Book Antiqua" w:cs="Book Antiqua" w:hint="eastAsia"/>
          <w:color w:val="000000"/>
          <w:lang w:eastAsia="zh-CN"/>
        </w:rPr>
        <w:t>14</w:t>
      </w:r>
      <w:r>
        <w:rPr>
          <w:rFonts w:ascii="Book Antiqua" w:eastAsia="Book Antiqua" w:hAnsi="Book Antiqua" w:cs="Book Antiqua" w:hint="eastAsia"/>
          <w:color w:val="000000"/>
        </w:rPr>
        <w:t xml:space="preserve">(3): </w:t>
      </w:r>
      <w:r>
        <w:rPr>
          <w:rFonts w:ascii="Book Antiqua" w:eastAsia="Book Antiqua" w:hAnsi="Book Antiqua" w:cs="Book Antiqua"/>
          <w:color w:val="000000"/>
        </w:rPr>
        <w:t>602-611</w:t>
      </w:r>
    </w:p>
    <w:p w14:paraId="2914F343" w14:textId="77777777" w:rsidR="001135A2" w:rsidRDefault="00CD55CB">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 xml:space="preserve">URL: </w:t>
      </w:r>
      <w:r>
        <w:rPr>
          <w:rFonts w:ascii="Book Antiqua" w:eastAsia="Book Antiqua" w:hAnsi="Book Antiqua" w:cs="Book Antiqua" w:hint="eastAsia"/>
          <w:color w:val="000000"/>
        </w:rPr>
        <w:t>https://www.wjgnet.com/</w:t>
      </w:r>
      <w:r>
        <w:rPr>
          <w:rFonts w:ascii="Book Antiqua" w:eastAsia="宋体" w:hAnsi="Book Antiqua" w:cs="Book Antiqua" w:hint="eastAsia"/>
          <w:color w:val="000000"/>
          <w:lang w:eastAsia="zh-CN"/>
        </w:rPr>
        <w:t>1948</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5182</w:t>
      </w:r>
      <w:r>
        <w:rPr>
          <w:rFonts w:ascii="Book Antiqua" w:eastAsia="Book Antiqua" w:hAnsi="Book Antiqua" w:cs="Book Antiqua" w:hint="eastAsia"/>
          <w:color w:val="000000"/>
        </w:rPr>
        <w:t>/full/v1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/i3/</w:t>
      </w:r>
      <w:r>
        <w:rPr>
          <w:rFonts w:ascii="Book Antiqua" w:eastAsia="Book Antiqua" w:hAnsi="Book Antiqua" w:cs="Book Antiqua"/>
          <w:color w:val="000000"/>
        </w:rPr>
        <w:t>602</w:t>
      </w:r>
      <w:r>
        <w:rPr>
          <w:rFonts w:ascii="Book Antiqua" w:eastAsia="Book Antiqua" w:hAnsi="Book Antiqua" w:cs="Book Antiqua" w:hint="eastAsia"/>
          <w:color w:val="000000"/>
        </w:rPr>
        <w:t>.htm</w:t>
      </w:r>
    </w:p>
    <w:p w14:paraId="23C50D6F" w14:textId="77777777" w:rsidR="001135A2" w:rsidRDefault="00CD55CB">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w:t>
      </w:r>
      <w:r>
        <w:rPr>
          <w:rFonts w:ascii="Book Antiqua" w:eastAsia="宋体" w:hAnsi="Book Antiqua" w:cs="Book Antiqua" w:hint="eastAsia"/>
          <w:color w:val="000000"/>
          <w:lang w:eastAsia="zh-CN"/>
        </w:rPr>
        <w:t>4254</w:t>
      </w:r>
      <w:r>
        <w:rPr>
          <w:rFonts w:ascii="Book Antiqua" w:eastAsia="Book Antiqua" w:hAnsi="Book Antiqua" w:cs="Book Antiqua" w:hint="eastAsia"/>
          <w:color w:val="000000"/>
        </w:rPr>
        <w:t>/wj</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.i3.</w:t>
      </w:r>
      <w:r>
        <w:rPr>
          <w:rFonts w:ascii="Book Antiqua" w:eastAsia="Book Antiqua" w:hAnsi="Book Antiqua" w:cs="Book Antiqua"/>
          <w:color w:val="000000"/>
        </w:rPr>
        <w:t>602</w:t>
      </w:r>
    </w:p>
    <w:p w14:paraId="59A128B9" w14:textId="77777777" w:rsidR="001135A2" w:rsidRDefault="001135A2">
      <w:pPr>
        <w:spacing w:line="360" w:lineRule="auto"/>
        <w:jc w:val="both"/>
        <w:rPr>
          <w:rFonts w:ascii="Book Antiqua" w:hAnsi="Book Antiqua"/>
        </w:rPr>
      </w:pPr>
    </w:p>
    <w:p w14:paraId="16A43367"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Unexplained residual inflammation can be seen in a subset of </w:t>
      </w:r>
      <w:r>
        <w:rPr>
          <w:rFonts w:ascii="Book Antiqua" w:eastAsia="Book Antiqua" w:hAnsi="Book Antiqua" w:cs="Book Antiqua"/>
          <w:color w:val="000000"/>
        </w:rPr>
        <w:t>liver transplant recipients successfully treated with direct-acting antiviral therapies; however, it does not seem to affect graft function. An extensive clinical and histopathologic workup should still be performed to exclude other potentially treatable c</w:t>
      </w:r>
      <w:r>
        <w:rPr>
          <w:rFonts w:ascii="Book Antiqua" w:eastAsia="Book Antiqua" w:hAnsi="Book Antiqua" w:cs="Book Antiqua"/>
          <w:color w:val="000000"/>
        </w:rPr>
        <w:t>onditions.</w:t>
      </w:r>
    </w:p>
    <w:p w14:paraId="3454A300" w14:textId="77777777" w:rsidR="001135A2" w:rsidRDefault="001135A2">
      <w:pPr>
        <w:spacing w:line="360" w:lineRule="auto"/>
        <w:jc w:val="both"/>
        <w:rPr>
          <w:rFonts w:ascii="Book Antiqua" w:hAnsi="Book Antiqua"/>
        </w:rPr>
      </w:pPr>
    </w:p>
    <w:p w14:paraId="2DFE13C3" w14:textId="77777777" w:rsidR="001135A2" w:rsidRDefault="00CD55CB">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748F4BD"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 xml:space="preserve">Until the emergence of direct-acting antivirals (DAAs), hepatitis C virus (HCV) related liver cirrhosis was the most common indication for liver transplant in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Unfortunately, HCV recurrence after transplant is universal</w:t>
      </w:r>
      <w:r>
        <w:rPr>
          <w:rFonts w:ascii="Book Antiqua" w:eastAsia="Book Antiqua" w:hAnsi="Book Antiqua" w:cs="Book Antiqua"/>
          <w:color w:val="000000"/>
        </w:rPr>
        <w:t xml:space="preserve">, with immediate exposure after graft reperfusion, leading to accelerated fibrosis, eventually cirrhosis, and graft failure if </w:t>
      </w:r>
      <w:proofErr w:type="gramStart"/>
      <w:r>
        <w:rPr>
          <w:rFonts w:ascii="Book Antiqua" w:eastAsia="Book Antiqua" w:hAnsi="Book Antiqua" w:cs="Book Antiqua"/>
          <w:color w:val="000000"/>
        </w:rPr>
        <w:t>untreated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Graft survival in HCV infection has been inferior to transplant for other disease </w:t>
      </w:r>
      <w:proofErr w:type="gramStart"/>
      <w:r>
        <w:rPr>
          <w:rFonts w:ascii="Book Antiqua" w:eastAsia="Book Antiqua" w:hAnsi="Book Antiqua" w:cs="Book Antiqua"/>
          <w:color w:val="000000"/>
        </w:rPr>
        <w:t>etiologies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HCV remains a </w:t>
      </w:r>
      <w:r>
        <w:rPr>
          <w:rFonts w:ascii="Book Antiqua" w:eastAsia="Book Antiqua" w:hAnsi="Book Antiqua" w:cs="Book Antiqua"/>
          <w:color w:val="000000"/>
        </w:rPr>
        <w:t>common indication for re-transplantation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leading to a high burden on transplant resources. Eradication of HCV </w:t>
      </w:r>
      <w:r>
        <w:rPr>
          <w:rFonts w:ascii="Book Antiqua" w:eastAsia="Book Antiqua" w:hAnsi="Book Antiqua" w:cs="Book Antiqua"/>
          <w:color w:val="000000"/>
        </w:rPr>
        <w:lastRenderedPageBreak/>
        <w:t>in the immediate pre-or early post-transplant setting can preserve graft function, but historically a difficult goal to achieve. The availabil</w:t>
      </w:r>
      <w:r>
        <w:rPr>
          <w:rFonts w:ascii="Book Antiqua" w:eastAsia="Book Antiqua" w:hAnsi="Book Antiqua" w:cs="Book Antiqua"/>
          <w:color w:val="000000"/>
        </w:rPr>
        <w:t xml:space="preserve">ity of DAAs has made significant improvement in the efficacy and tolerability in the post-transplant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compared to the interferon (IFN) based regimens. The latter had a lower rate of sustained virologic response (SVR) in this unique patient </w:t>
      </w:r>
      <w:r>
        <w:rPr>
          <w:rFonts w:ascii="Book Antiqua" w:eastAsia="Book Antiqua" w:hAnsi="Book Antiqua" w:cs="Book Antiqua"/>
          <w:color w:val="000000"/>
        </w:rPr>
        <w:t xml:space="preserve">population (as low as 30%), with a higher discontinuation rate due to adverse events, including graft </w:t>
      </w:r>
      <w:proofErr w:type="gramStart"/>
      <w:r>
        <w:rPr>
          <w:rFonts w:ascii="Book Antiqua" w:eastAsia="Book Antiqua" w:hAnsi="Book Antiqua" w:cs="Book Antiqua"/>
          <w:color w:val="000000"/>
        </w:rPr>
        <w:t>rejection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
    <w:p w14:paraId="14E1A26C" w14:textId="77777777" w:rsidR="001135A2" w:rsidRDefault="00CD55CB">
      <w:pPr>
        <w:spacing w:line="360" w:lineRule="auto"/>
        <w:ind w:firstLineChars="200" w:firstLine="480"/>
        <w:jc w:val="both"/>
        <w:rPr>
          <w:rFonts w:ascii="Book Antiqua" w:hAnsi="Book Antiqua"/>
        </w:rPr>
      </w:pPr>
      <w:r>
        <w:rPr>
          <w:rFonts w:ascii="Book Antiqua" w:eastAsia="Book Antiqua" w:hAnsi="Book Antiqua" w:cs="Book Antiqua"/>
          <w:color w:val="000000"/>
        </w:rPr>
        <w:t>Although SVR is the critical clinical endpoint, there are mixed results concerning the post-SVR histologic benefit and detection of intra h</w:t>
      </w:r>
      <w:r>
        <w:rPr>
          <w:rFonts w:ascii="Book Antiqua" w:eastAsia="Book Antiqua" w:hAnsi="Book Antiqua" w:cs="Book Antiqua"/>
          <w:color w:val="000000"/>
        </w:rPr>
        <w:t xml:space="preserve">epatocyte HCV (occult HCV). Prior reports on HCV recurrence following liver transplantation showed histological improvement after achieving SVR with IFN based </w:t>
      </w:r>
      <w:proofErr w:type="gramStart"/>
      <w:r>
        <w:rPr>
          <w:rFonts w:ascii="Book Antiqua" w:eastAsia="Book Antiqua" w:hAnsi="Book Antiqua" w:cs="Book Antiqua"/>
          <w:color w:val="000000"/>
        </w:rPr>
        <w:t>regimens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whereas other studies reported ongoing inflammation in a subset of patients</w:t>
      </w:r>
      <w:r>
        <w:rPr>
          <w:rFonts w:ascii="Book Antiqua" w:eastAsia="Book Antiqua" w:hAnsi="Book Antiqua" w:cs="Book Antiqua"/>
          <w:color w:val="000000"/>
          <w:vertAlign w:val="superscript"/>
        </w:rPr>
        <w:t>[10,11]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One study included 36 Liver transplant (LT) recipients treated with IFN based regimens showed persistent inflammation in 69% of the post SVR biopsies and identified occult hepatitis C in only one out of 32 biopsies that were </w:t>
      </w:r>
      <w:proofErr w:type="gramStart"/>
      <w:r>
        <w:rPr>
          <w:rFonts w:ascii="Book Antiqua" w:eastAsia="Book Antiqua" w:hAnsi="Book Antiqua" w:cs="Book Antiqua"/>
          <w:color w:val="000000"/>
          <w:shd w:val="clear" w:color="auto" w:fill="FFFFFF"/>
        </w:rPr>
        <w:t>tested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 xml:space="preserve">. </w:t>
      </w:r>
    </w:p>
    <w:p w14:paraId="2F20BFB5" w14:textId="77777777" w:rsidR="001135A2" w:rsidRDefault="00CD55CB">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Data on inflammati</w:t>
      </w:r>
      <w:r>
        <w:rPr>
          <w:rFonts w:ascii="Book Antiqua" w:eastAsia="Book Antiqua" w:hAnsi="Book Antiqua" w:cs="Book Antiqua"/>
          <w:color w:val="000000"/>
          <w:shd w:val="clear" w:color="auto" w:fill="FFFFFF"/>
        </w:rPr>
        <w:t xml:space="preserve">on following SVR after DAA are scarce. A study that included nine LT recipients treated with DAAs identified residual inflammation after SVR in four patients and HCV RNA in the tissue sample in four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Another study included LT recipients with r</w:t>
      </w:r>
      <w:r>
        <w:rPr>
          <w:rFonts w:ascii="Book Antiqua" w:eastAsia="Book Antiqua" w:hAnsi="Book Antiqua" w:cs="Book Antiqua"/>
          <w:color w:val="000000"/>
          <w:shd w:val="clear" w:color="auto" w:fill="FFFFFF"/>
        </w:rPr>
        <w:t xml:space="preserve">ecurrent HCV and advanced fibrosis (F3-F4) showed improved liver function in the majority of patients; however, regression of fibrosis by elastography (48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after treatment) was only seen in 39/77 subjects (51%). Although details on liver histology for th</w:t>
      </w:r>
      <w:r>
        <w:rPr>
          <w:rFonts w:ascii="Book Antiqua" w:eastAsia="Book Antiqua" w:hAnsi="Book Antiqua" w:cs="Book Antiqua"/>
          <w:color w:val="000000"/>
          <w:shd w:val="clear" w:color="auto" w:fill="FFFFFF"/>
        </w:rPr>
        <w:t xml:space="preserve">ese patients were not reported, this remains concerning for residual inflammation in some patients that could have progressed over </w:t>
      </w:r>
      <w:proofErr w:type="gramStart"/>
      <w:r>
        <w:rPr>
          <w:rFonts w:ascii="Book Antiqua" w:eastAsia="Book Antiqua" w:hAnsi="Book Antiqua" w:cs="Book Antiqua"/>
          <w:color w:val="000000"/>
          <w:shd w:val="clear" w:color="auto" w:fill="FFFFFF"/>
        </w:rPr>
        <w:t>time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w:t>
      </w:r>
    </w:p>
    <w:p w14:paraId="16675E9E" w14:textId="77777777" w:rsidR="001135A2" w:rsidRDefault="00CD55CB">
      <w:pPr>
        <w:spacing w:line="360" w:lineRule="auto"/>
        <w:ind w:firstLineChars="200" w:firstLine="480"/>
        <w:jc w:val="both"/>
        <w:rPr>
          <w:rFonts w:ascii="Book Antiqua" w:hAnsi="Book Antiqua"/>
        </w:rPr>
      </w:pPr>
      <w:r>
        <w:rPr>
          <w:rFonts w:ascii="Book Antiqua" w:eastAsia="Book Antiqua" w:hAnsi="Book Antiqua" w:cs="Book Antiqua"/>
          <w:color w:val="000000"/>
        </w:rPr>
        <w:t>We believe that the finding of persistent inflammation in LT recipients after SVR using DAAs requires further resea</w:t>
      </w:r>
      <w:r>
        <w:rPr>
          <w:rFonts w:ascii="Book Antiqua" w:eastAsia="Book Antiqua" w:hAnsi="Book Antiqua" w:cs="Book Antiqua"/>
          <w:color w:val="000000"/>
        </w:rPr>
        <w:t>rch work as it is of clinical importance to the transplant team. At the same time, many of the available series included a small sample and focused mainly on histology without providing long-term clinical data.</w:t>
      </w:r>
    </w:p>
    <w:p w14:paraId="16A5A167" w14:textId="77777777" w:rsidR="001135A2" w:rsidRDefault="00CD55CB">
      <w:pPr>
        <w:spacing w:line="360" w:lineRule="auto"/>
        <w:ind w:firstLineChars="200" w:firstLine="480"/>
        <w:jc w:val="both"/>
        <w:rPr>
          <w:rFonts w:ascii="Book Antiqua" w:hAnsi="Book Antiqua"/>
        </w:rPr>
      </w:pPr>
      <w:r>
        <w:rPr>
          <w:rFonts w:ascii="Book Antiqua" w:eastAsia="Book Antiqua" w:hAnsi="Book Antiqua" w:cs="Book Antiqua"/>
          <w:color w:val="000000"/>
        </w:rPr>
        <w:t>The study aimed to evaluate the impact of suc</w:t>
      </w:r>
      <w:r>
        <w:rPr>
          <w:rFonts w:ascii="Book Antiqua" w:eastAsia="Book Antiqua" w:hAnsi="Book Antiqua" w:cs="Book Antiqua"/>
          <w:color w:val="000000"/>
        </w:rPr>
        <w:t xml:space="preserve">cessful treatment with DAAs on histologic changes and the occurrence of occult HCV in liver transplant recipients with </w:t>
      </w:r>
      <w:r>
        <w:rPr>
          <w:rFonts w:ascii="Book Antiqua" w:eastAsia="Book Antiqua" w:hAnsi="Book Antiqua" w:cs="Book Antiqua"/>
          <w:color w:val="000000"/>
        </w:rPr>
        <w:lastRenderedPageBreak/>
        <w:t xml:space="preserve">chronic HCV. The secondary aim was to describe the long-term clinical course of residual inflammation if present. </w:t>
      </w:r>
    </w:p>
    <w:p w14:paraId="6B2DA343" w14:textId="77777777" w:rsidR="001135A2" w:rsidRDefault="001135A2">
      <w:pPr>
        <w:spacing w:line="360" w:lineRule="auto"/>
        <w:jc w:val="both"/>
        <w:rPr>
          <w:rFonts w:ascii="Book Antiqua" w:hAnsi="Book Antiqua"/>
        </w:rPr>
      </w:pPr>
    </w:p>
    <w:p w14:paraId="50DD400B" w14:textId="77777777" w:rsidR="001135A2" w:rsidRDefault="00CD55CB">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2EEC5D4" w14:textId="77777777" w:rsidR="001135A2" w:rsidRDefault="00CD55CB">
      <w:pPr>
        <w:spacing w:line="360" w:lineRule="auto"/>
        <w:jc w:val="both"/>
        <w:rPr>
          <w:rFonts w:ascii="Book Antiqua" w:hAnsi="Book Antiqua"/>
          <w:b/>
          <w:bCs/>
          <w:i/>
          <w:iCs/>
        </w:rPr>
      </w:pPr>
      <w:proofErr w:type="gramStart"/>
      <w:r>
        <w:rPr>
          <w:rFonts w:ascii="Book Antiqua" w:hAnsi="Book Antiqua"/>
          <w:b/>
          <w:bCs/>
          <w:i/>
          <w:iCs/>
        </w:rPr>
        <w:t>Patients</w:t>
      </w:r>
      <w:proofErr w:type="gramEnd"/>
      <w:r>
        <w:rPr>
          <w:rFonts w:ascii="Book Antiqua" w:hAnsi="Book Antiqua"/>
          <w:b/>
          <w:bCs/>
          <w:i/>
          <w:iCs/>
        </w:rPr>
        <w:t xml:space="preserve"> population and data collection</w:t>
      </w:r>
    </w:p>
    <w:p w14:paraId="2D283C12" w14:textId="77777777" w:rsidR="001135A2" w:rsidRDefault="00CD55CB">
      <w:pPr>
        <w:spacing w:line="360" w:lineRule="auto"/>
        <w:jc w:val="both"/>
        <w:rPr>
          <w:rFonts w:ascii="Book Antiqua" w:hAnsi="Book Antiqua"/>
          <w:lang w:val="en"/>
        </w:rPr>
      </w:pPr>
      <w:r>
        <w:rPr>
          <w:rFonts w:ascii="Book Antiqua" w:hAnsi="Book Antiqua"/>
        </w:rPr>
        <w:t>We reviewed all chronic HCV infected liver transplant recipients treated with DAA regimens between December 2013 and May 2014. We excluded patients who did not achieve SVR or did not have at least one liver biopsy a</w:t>
      </w:r>
      <w:r>
        <w:rPr>
          <w:rFonts w:ascii="Book Antiqua" w:hAnsi="Book Antiqua"/>
        </w:rPr>
        <w:t>t or after the end of treatment.</w:t>
      </w:r>
      <w:r>
        <w:rPr>
          <w:rFonts w:ascii="Book Antiqua" w:hAnsi="Book Antiqua"/>
          <w:lang w:val="en"/>
        </w:rPr>
        <w:t xml:space="preserve"> The study protocol was approved by the Institutional Review Board of the Cleveland Clinic Foundation in Florida. Data collected at baseline and during patient follow-up included; age, gender, race, date of transplant, baseline and end-of-treatment liver e</w:t>
      </w:r>
      <w:r>
        <w:rPr>
          <w:rFonts w:ascii="Book Antiqua" w:hAnsi="Book Antiqua"/>
          <w:lang w:val="en"/>
        </w:rPr>
        <w:t>nzymes and viral load, HCV treatment regimen, other serologic autoimmune and virological markers, immunosuppression treatment regimen, and liver histology at end-of-treatment. When available, before-treatment and follow-up liver histology were also reporte</w:t>
      </w:r>
      <w:r>
        <w:rPr>
          <w:rFonts w:ascii="Book Antiqua" w:hAnsi="Book Antiqua"/>
          <w:lang w:val="en"/>
        </w:rPr>
        <w:t>d.</w:t>
      </w:r>
    </w:p>
    <w:p w14:paraId="7B954126" w14:textId="77777777" w:rsidR="001135A2" w:rsidRDefault="001135A2">
      <w:pPr>
        <w:spacing w:line="360" w:lineRule="auto"/>
        <w:jc w:val="both"/>
        <w:rPr>
          <w:rFonts w:ascii="Book Antiqua" w:hAnsi="Book Antiqua"/>
          <w:lang w:val="en"/>
        </w:rPr>
      </w:pPr>
    </w:p>
    <w:p w14:paraId="27F13B01" w14:textId="77777777" w:rsidR="001135A2" w:rsidRDefault="00CD55CB">
      <w:pPr>
        <w:spacing w:line="360" w:lineRule="auto"/>
        <w:jc w:val="both"/>
        <w:rPr>
          <w:rFonts w:ascii="Book Antiqua" w:hAnsi="Book Antiqua"/>
          <w:b/>
          <w:bCs/>
          <w:i/>
          <w:iCs/>
          <w:lang w:val="en"/>
        </w:rPr>
      </w:pPr>
      <w:r>
        <w:rPr>
          <w:rFonts w:ascii="Book Antiqua" w:hAnsi="Book Antiqua"/>
          <w:b/>
          <w:bCs/>
          <w:i/>
          <w:iCs/>
          <w:lang w:val="en"/>
        </w:rPr>
        <w:t>Outcome definitions</w:t>
      </w:r>
    </w:p>
    <w:p w14:paraId="6C7153ED" w14:textId="77777777" w:rsidR="001135A2" w:rsidRDefault="00CD55CB">
      <w:pPr>
        <w:spacing w:line="360" w:lineRule="auto"/>
        <w:jc w:val="both"/>
        <w:rPr>
          <w:rFonts w:ascii="Book Antiqua" w:hAnsi="Book Antiqua"/>
        </w:rPr>
      </w:pPr>
      <w:r>
        <w:rPr>
          <w:rFonts w:ascii="Book Antiqua" w:hAnsi="Book Antiqua"/>
          <w:lang w:val="en"/>
        </w:rPr>
        <w:t xml:space="preserve">SVR: Defined as the </w:t>
      </w:r>
      <w:r>
        <w:rPr>
          <w:rFonts w:ascii="Book Antiqua" w:hAnsi="Book Antiqua"/>
        </w:rPr>
        <w:t>absence of HCV RNA by polymerase chain reaction12 and 24 weeks after completion of treatment. The Linear Range of the used assay was 15 IU/mL to 100000000 IU/</w:t>
      </w:r>
      <w:proofErr w:type="spellStart"/>
      <w:r>
        <w:rPr>
          <w:rFonts w:ascii="Book Antiqua" w:hAnsi="Book Antiqua"/>
        </w:rPr>
        <w:t>mL.</w:t>
      </w:r>
      <w:proofErr w:type="spellEnd"/>
    </w:p>
    <w:p w14:paraId="52AD9EA3" w14:textId="77777777" w:rsidR="001135A2" w:rsidRDefault="00CD55CB">
      <w:pPr>
        <w:spacing w:line="360" w:lineRule="auto"/>
        <w:ind w:firstLineChars="200" w:firstLine="480"/>
        <w:jc w:val="both"/>
        <w:rPr>
          <w:rFonts w:ascii="Book Antiqua" w:hAnsi="Book Antiqua"/>
        </w:rPr>
      </w:pPr>
      <w:r>
        <w:rPr>
          <w:rFonts w:ascii="Book Antiqua" w:hAnsi="Book Antiqua"/>
        </w:rPr>
        <w:t xml:space="preserve">End of treatment liver biopsy: for the purpose of our study, this was defined as liver biopsy performed within 12 weeks after HCV RNA becomes undetectable. </w:t>
      </w:r>
    </w:p>
    <w:p w14:paraId="69ABB0A6" w14:textId="77777777" w:rsidR="001135A2" w:rsidRDefault="00CD55CB">
      <w:pPr>
        <w:spacing w:line="360" w:lineRule="auto"/>
        <w:ind w:firstLineChars="200" w:firstLine="480"/>
        <w:jc w:val="both"/>
        <w:rPr>
          <w:rFonts w:ascii="Book Antiqua" w:hAnsi="Book Antiqua"/>
        </w:rPr>
      </w:pPr>
      <w:r>
        <w:rPr>
          <w:rFonts w:ascii="Book Antiqua" w:hAnsi="Book Antiqua"/>
        </w:rPr>
        <w:t xml:space="preserve">Post-treatment liver biopsy: biopsy was done at least 6 </w:t>
      </w:r>
      <w:proofErr w:type="spellStart"/>
      <w:r>
        <w:rPr>
          <w:rFonts w:ascii="Book Antiqua" w:hAnsi="Book Antiqua"/>
        </w:rPr>
        <w:t>mo</w:t>
      </w:r>
      <w:proofErr w:type="spellEnd"/>
      <w:r>
        <w:rPr>
          <w:rFonts w:ascii="Book Antiqua" w:hAnsi="Book Antiqua"/>
        </w:rPr>
        <w:t xml:space="preserve"> after the end of treatment. </w:t>
      </w:r>
    </w:p>
    <w:p w14:paraId="7AA4BD8C" w14:textId="77777777" w:rsidR="001135A2" w:rsidRDefault="00CD55CB">
      <w:pPr>
        <w:spacing w:line="360" w:lineRule="auto"/>
        <w:ind w:firstLineChars="200" w:firstLine="480"/>
        <w:jc w:val="both"/>
        <w:rPr>
          <w:rFonts w:ascii="Book Antiqua" w:hAnsi="Book Antiqua"/>
          <w:lang w:val="en"/>
        </w:rPr>
      </w:pPr>
      <w:r>
        <w:rPr>
          <w:rFonts w:ascii="Book Antiqua" w:hAnsi="Book Antiqua"/>
          <w:lang w:val="en"/>
        </w:rPr>
        <w:t>Biopsy meth</w:t>
      </w:r>
      <w:r>
        <w:rPr>
          <w:rFonts w:ascii="Book Antiqua" w:hAnsi="Book Antiqua"/>
          <w:lang w:val="en"/>
        </w:rPr>
        <w:t xml:space="preserve">od: All biopsies were performed percutaneously using an 18-gauge coaxial needle via ultrasound guidance. Two core tissue samples were obtained and placed in a formalin container. </w:t>
      </w:r>
      <w:r>
        <w:rPr>
          <w:rFonts w:ascii="Book Antiqua" w:hAnsi="Book Antiqua"/>
        </w:rPr>
        <w:t>All samples reviewed by the pathologist contained at least 20 portal tracts t</w:t>
      </w:r>
      <w:r>
        <w:rPr>
          <w:rFonts w:ascii="Book Antiqua" w:hAnsi="Book Antiqua"/>
        </w:rPr>
        <w:t>o be considered adequate</w:t>
      </w:r>
      <w:r>
        <w:rPr>
          <w:rFonts w:ascii="Book Antiqua" w:hAnsi="Book Antiqua"/>
          <w:lang w:val="en"/>
        </w:rPr>
        <w:t xml:space="preserve">. Tissue sections </w:t>
      </w:r>
      <w:r>
        <w:rPr>
          <w:rFonts w:ascii="Book Antiqua" w:hAnsi="Book Antiqua"/>
        </w:rPr>
        <w:t>were processed and stained with hematoxylin-eosin and trichrome stains. For the purpose of this study, the liver biopsies were evaluated by an expert liver pathologist with over 20 years of experience reading liver</w:t>
      </w:r>
      <w:r>
        <w:rPr>
          <w:rFonts w:ascii="Book Antiqua" w:hAnsi="Book Antiqua"/>
        </w:rPr>
        <w:t xml:space="preserve"> biopsies in an academic transplant center. The pathologist was blinded to </w:t>
      </w:r>
      <w:r>
        <w:rPr>
          <w:rFonts w:ascii="Book Antiqua" w:hAnsi="Book Antiqua"/>
        </w:rPr>
        <w:lastRenderedPageBreak/>
        <w:t xml:space="preserve">the patients’ clinical data, diagnoses, and previous biopsy interpretation. </w:t>
      </w:r>
      <w:r>
        <w:rPr>
          <w:rFonts w:ascii="Book Antiqua" w:hAnsi="Book Antiqua"/>
          <w:lang w:val="en"/>
        </w:rPr>
        <w:t xml:space="preserve">Evaluation of fibrosis and inflammation was described using Batts-Ludwig grading and </w:t>
      </w:r>
      <w:proofErr w:type="gramStart"/>
      <w:r>
        <w:rPr>
          <w:rFonts w:ascii="Book Antiqua" w:hAnsi="Book Antiqua"/>
          <w:lang w:val="en"/>
        </w:rPr>
        <w:t>staging</w:t>
      </w:r>
      <w:r>
        <w:rPr>
          <w:rFonts w:ascii="Book Antiqua" w:hAnsi="Book Antiqua"/>
          <w:vertAlign w:val="superscript"/>
          <w:lang w:val="en"/>
        </w:rPr>
        <w:t>[</w:t>
      </w:r>
      <w:proofErr w:type="gramEnd"/>
      <w:r>
        <w:rPr>
          <w:rFonts w:ascii="Book Antiqua" w:hAnsi="Book Antiqua"/>
          <w:vertAlign w:val="superscript"/>
          <w:lang w:val="en"/>
        </w:rPr>
        <w:t>14]</w:t>
      </w:r>
      <w:r>
        <w:rPr>
          <w:rFonts w:ascii="Book Antiqua" w:hAnsi="Book Antiqua"/>
          <w:lang w:val="en"/>
        </w:rPr>
        <w:t>. Biopsie</w:t>
      </w:r>
      <w:r>
        <w:rPr>
          <w:rFonts w:ascii="Book Antiqua" w:hAnsi="Book Antiqua"/>
          <w:lang w:val="en"/>
        </w:rPr>
        <w:t>s showing inflammation were carefully examined by the pathologist for the presence of rejection, de novo autoimmune hepatitis, and evidence of hepatotropic and non-hepatotropic viral hepatitis, including cytomegalovirus, Epstein-Barr virus, and Herpes simp</w:t>
      </w:r>
      <w:r>
        <w:rPr>
          <w:rFonts w:ascii="Book Antiqua" w:hAnsi="Book Antiqua"/>
          <w:lang w:val="en"/>
        </w:rPr>
        <w:t xml:space="preserve">lex virus. </w:t>
      </w:r>
    </w:p>
    <w:p w14:paraId="1D089D9F" w14:textId="77777777" w:rsidR="001135A2" w:rsidRDefault="00CD55CB">
      <w:pPr>
        <w:spacing w:line="360" w:lineRule="auto"/>
        <w:ind w:firstLineChars="200" w:firstLine="480"/>
        <w:jc w:val="both"/>
        <w:rPr>
          <w:rFonts w:ascii="Book Antiqua" w:hAnsi="Book Antiqua"/>
        </w:rPr>
      </w:pPr>
      <w:r>
        <w:rPr>
          <w:rFonts w:ascii="Book Antiqua" w:hAnsi="Book Antiqua"/>
          <w:lang w:val="en"/>
        </w:rPr>
        <w:t>Method for HCV quantification on liver samples: Total RNA was isolated from five to six 10 µm cuts (curls) from formalin-fixed, paraffin-embedded (FFPE) biopsies in a Maxwell 16/LEV instrument using the Maxwell</w:t>
      </w:r>
      <w:r>
        <w:rPr>
          <w:rFonts w:ascii="Book Antiqua" w:hAnsi="Book Antiqua"/>
          <w:vertAlign w:val="superscript"/>
          <w:lang w:val="en"/>
        </w:rPr>
        <w:t>®</w:t>
      </w:r>
      <w:r>
        <w:rPr>
          <w:rFonts w:ascii="Book Antiqua" w:hAnsi="Book Antiqua"/>
          <w:lang w:val="en"/>
        </w:rPr>
        <w:t xml:space="preserve"> 16 LEV RNA FFPE Purification Kit</w:t>
      </w:r>
      <w:r>
        <w:rPr>
          <w:rFonts w:ascii="Book Antiqua" w:hAnsi="Book Antiqua"/>
          <w:lang w:val="en"/>
        </w:rPr>
        <w:t xml:space="preserve"> (Promega). The concentration of purified RNA was quantified in </w:t>
      </w:r>
      <w:proofErr w:type="spellStart"/>
      <w:r>
        <w:rPr>
          <w:rFonts w:ascii="Book Antiqua" w:hAnsi="Book Antiqua"/>
          <w:lang w:val="en"/>
        </w:rPr>
        <w:t>NanoDrop</w:t>
      </w:r>
      <w:proofErr w:type="spellEnd"/>
      <w:r>
        <w:rPr>
          <w:rFonts w:ascii="Book Antiqua" w:hAnsi="Book Antiqua"/>
          <w:lang w:val="en"/>
        </w:rPr>
        <w:t xml:space="preserve"> 2000. 50 µL of each RNA was diluted in 950 µL of SPEX buffer and ran in a COBAS</w:t>
      </w:r>
      <w:r>
        <w:rPr>
          <w:rFonts w:ascii="Book Antiqua" w:hAnsi="Book Antiqua"/>
          <w:vertAlign w:val="superscript"/>
          <w:lang w:val="en"/>
        </w:rPr>
        <w:t>®</w:t>
      </w:r>
      <w:r>
        <w:rPr>
          <w:rFonts w:ascii="Book Antiqua" w:hAnsi="Book Antiqua"/>
          <w:lang w:val="en"/>
        </w:rPr>
        <w:t xml:space="preserve"> </w:t>
      </w:r>
      <w:proofErr w:type="spellStart"/>
      <w:r>
        <w:rPr>
          <w:rFonts w:ascii="Book Antiqua" w:hAnsi="Book Antiqua"/>
          <w:lang w:val="en"/>
        </w:rPr>
        <w:t>AmpliPrep</w:t>
      </w:r>
      <w:proofErr w:type="spellEnd"/>
      <w:r>
        <w:rPr>
          <w:rFonts w:ascii="Book Antiqua" w:hAnsi="Book Antiqua"/>
          <w:lang w:val="en"/>
        </w:rPr>
        <w:t>/COBAS</w:t>
      </w:r>
      <w:r>
        <w:rPr>
          <w:rFonts w:ascii="Book Antiqua" w:hAnsi="Book Antiqua"/>
          <w:vertAlign w:val="superscript"/>
          <w:lang w:val="en"/>
        </w:rPr>
        <w:t>®</w:t>
      </w:r>
      <w:r>
        <w:rPr>
          <w:rFonts w:ascii="Book Antiqua" w:hAnsi="Book Antiqua"/>
          <w:lang w:val="en"/>
        </w:rPr>
        <w:t xml:space="preserve"> TaqMan</w:t>
      </w:r>
      <w:r>
        <w:rPr>
          <w:rFonts w:ascii="Book Antiqua" w:hAnsi="Book Antiqua"/>
          <w:vertAlign w:val="superscript"/>
          <w:lang w:val="en"/>
        </w:rPr>
        <w:t>®</w:t>
      </w:r>
      <w:r>
        <w:rPr>
          <w:rFonts w:ascii="Book Antiqua" w:hAnsi="Book Antiqua"/>
          <w:lang w:val="en"/>
        </w:rPr>
        <w:t xml:space="preserve"> System using the HCV test (Roche Molecular Systems Inc.). The viral load, whe</w:t>
      </w:r>
      <w:r>
        <w:rPr>
          <w:rFonts w:ascii="Book Antiqua" w:hAnsi="Book Antiqua"/>
          <w:lang w:val="en"/>
        </w:rPr>
        <w:t>n detected, was expressed as IU/100 ng of RNA.</w:t>
      </w:r>
    </w:p>
    <w:p w14:paraId="6E9396AE" w14:textId="77777777" w:rsidR="001135A2" w:rsidRDefault="001135A2">
      <w:pPr>
        <w:spacing w:line="360" w:lineRule="auto"/>
        <w:jc w:val="both"/>
        <w:rPr>
          <w:rFonts w:ascii="Book Antiqua" w:hAnsi="Book Antiqua"/>
          <w:lang w:val="en"/>
        </w:rPr>
      </w:pPr>
    </w:p>
    <w:p w14:paraId="2F087AB6" w14:textId="77777777" w:rsidR="001135A2" w:rsidRDefault="00CD55CB">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7358685D" w14:textId="77777777" w:rsidR="001135A2" w:rsidRDefault="00CD55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Out of 46 patients treated for HCV following liver transplant during the study time, 13 patients met the inclusion criteria. Their baseline and demographic characteristics are summarized in Table 1.</w:t>
      </w:r>
    </w:p>
    <w:p w14:paraId="21A8A63B" w14:textId="77777777" w:rsidR="001135A2" w:rsidRDefault="001135A2">
      <w:pPr>
        <w:spacing w:line="360" w:lineRule="auto"/>
        <w:jc w:val="both"/>
        <w:rPr>
          <w:rFonts w:ascii="Book Antiqua" w:hAnsi="Book Antiqua"/>
        </w:rPr>
      </w:pPr>
    </w:p>
    <w:p w14:paraId="5DFDF561" w14:textId="77777777" w:rsidR="001135A2" w:rsidRDefault="00CD55CB">
      <w:pPr>
        <w:spacing w:line="360" w:lineRule="auto"/>
        <w:jc w:val="both"/>
        <w:rPr>
          <w:rFonts w:ascii="Book Antiqua" w:hAnsi="Book Antiqua"/>
          <w:b/>
          <w:bCs/>
          <w:i/>
          <w:iCs/>
        </w:rPr>
      </w:pPr>
      <w:r>
        <w:rPr>
          <w:rFonts w:ascii="Book Antiqua" w:eastAsia="Book Antiqua" w:hAnsi="Book Antiqua" w:cs="Book Antiqua"/>
          <w:b/>
          <w:bCs/>
          <w:i/>
          <w:iCs/>
          <w:color w:val="000000"/>
        </w:rPr>
        <w:t>Treatment regimens</w:t>
      </w:r>
    </w:p>
    <w:p w14:paraId="72BB832B" w14:textId="77777777" w:rsidR="001135A2" w:rsidRDefault="00CD55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One patient started treatment before transplant (125 days before transplant), while 12/13 patients started after transplant (mean 5 years from transplant, range 32 days – 18 years). Eight patients (62%) were treated with Sofosbuvir plus </w:t>
      </w:r>
      <w:r>
        <w:rPr>
          <w:rFonts w:ascii="Book Antiqua" w:eastAsia="Book Antiqua" w:hAnsi="Book Antiqua" w:cs="Book Antiqua"/>
          <w:color w:val="000000"/>
        </w:rPr>
        <w:t xml:space="preserve">Ribavirin, three patients (23%) were treated with Sofosbuvir plus </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and two patients (15%) were started on Sofosbuvir plus Ribavirin then switched to Sofosbuvir plus </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because of worsening anemia. The total treatment duration in all pati</w:t>
      </w:r>
      <w:r>
        <w:rPr>
          <w:rFonts w:ascii="Book Antiqua" w:eastAsia="Book Antiqua" w:hAnsi="Book Antiqua" w:cs="Book Antiqua"/>
          <w:color w:val="000000"/>
        </w:rPr>
        <w:t>ents was 24 wk.</w:t>
      </w:r>
    </w:p>
    <w:p w14:paraId="1EA40F45" w14:textId="77777777" w:rsidR="001135A2" w:rsidRDefault="001135A2">
      <w:pPr>
        <w:spacing w:line="360" w:lineRule="auto"/>
        <w:jc w:val="both"/>
        <w:rPr>
          <w:rFonts w:ascii="Book Antiqua" w:hAnsi="Book Antiqua"/>
        </w:rPr>
      </w:pPr>
    </w:p>
    <w:p w14:paraId="16EA8D48" w14:textId="77777777" w:rsidR="001135A2" w:rsidRDefault="00CD55CB">
      <w:pPr>
        <w:spacing w:line="360" w:lineRule="auto"/>
        <w:jc w:val="both"/>
        <w:rPr>
          <w:rFonts w:ascii="Book Antiqua" w:hAnsi="Book Antiqua"/>
          <w:b/>
          <w:bCs/>
          <w:i/>
          <w:iCs/>
        </w:rPr>
      </w:pPr>
      <w:r>
        <w:rPr>
          <w:rFonts w:ascii="Book Antiqua" w:eastAsia="Book Antiqua" w:hAnsi="Book Antiqua" w:cs="Book Antiqua"/>
          <w:b/>
          <w:bCs/>
          <w:i/>
          <w:iCs/>
          <w:color w:val="000000"/>
        </w:rPr>
        <w:t>Virologic response</w:t>
      </w:r>
    </w:p>
    <w:p w14:paraId="3F3AB403" w14:textId="77777777" w:rsidR="001135A2" w:rsidRDefault="00CD55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Serum HCV RNA was undetectable in all patients at end-of-treatment and remained undetectable for another 12 and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post-treatment, consistent with SVR 12 and 24 (Figure 1). </w:t>
      </w:r>
    </w:p>
    <w:p w14:paraId="4A189B0D" w14:textId="77777777" w:rsidR="001135A2" w:rsidRDefault="001135A2">
      <w:pPr>
        <w:spacing w:line="360" w:lineRule="auto"/>
        <w:jc w:val="both"/>
        <w:rPr>
          <w:rFonts w:ascii="Book Antiqua" w:hAnsi="Book Antiqua"/>
        </w:rPr>
      </w:pPr>
    </w:p>
    <w:p w14:paraId="2D0111E6" w14:textId="77777777" w:rsidR="001135A2" w:rsidRDefault="00CD55CB">
      <w:pPr>
        <w:spacing w:line="360" w:lineRule="auto"/>
        <w:jc w:val="both"/>
        <w:rPr>
          <w:rFonts w:ascii="Book Antiqua" w:hAnsi="Book Antiqua"/>
          <w:b/>
          <w:bCs/>
          <w:i/>
          <w:iCs/>
        </w:rPr>
      </w:pPr>
      <w:r>
        <w:rPr>
          <w:rFonts w:ascii="Book Antiqua" w:eastAsia="Book Antiqua" w:hAnsi="Book Antiqua" w:cs="Book Antiqua"/>
          <w:b/>
          <w:bCs/>
          <w:i/>
          <w:iCs/>
          <w:color w:val="000000"/>
        </w:rPr>
        <w:t>End of treatment biopsy</w:t>
      </w:r>
    </w:p>
    <w:p w14:paraId="1D1865AB" w14:textId="77777777" w:rsidR="001135A2" w:rsidRDefault="00CD55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Biopsies at the end of treatment were reviewed in all </w:t>
      </w:r>
      <w:r>
        <w:rPr>
          <w:rFonts w:ascii="Book Antiqua" w:eastAsia="Book Antiqua" w:hAnsi="Book Antiqua" w:cs="Book Antiqua"/>
          <w:color w:val="000000"/>
        </w:rPr>
        <w:t xml:space="preserve">included patients (mean time from treatment start to biopsy was 25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range 20-33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The biopsies were performed to evaluate abnormal liver function tests or assess the resolution of inflammation after HCV eradication.</w:t>
      </w:r>
    </w:p>
    <w:p w14:paraId="4C01250A" w14:textId="77777777" w:rsidR="001135A2" w:rsidRDefault="00CD55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Although all patients had undetect</w:t>
      </w:r>
      <w:r>
        <w:rPr>
          <w:rFonts w:ascii="Book Antiqua" w:eastAsia="Book Antiqua" w:hAnsi="Book Antiqua" w:cs="Book Antiqua"/>
          <w:color w:val="000000"/>
        </w:rPr>
        <w:t>able RNA by the time of biopsy, active inflammation was present in 12/13 patients. Eight patients (62%) had grade 1-2 inflammation, and four (31%) had grades 3-4, Table 1.</w:t>
      </w:r>
    </w:p>
    <w:p w14:paraId="62F6DB41" w14:textId="77777777" w:rsidR="001135A2" w:rsidRDefault="00CD55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inflammation observed was consistent with chronic HCV with the presence of chron</w:t>
      </w:r>
      <w:r>
        <w:rPr>
          <w:rFonts w:ascii="Book Antiqua" w:eastAsia="Book Antiqua" w:hAnsi="Book Antiqua" w:cs="Book Antiqua"/>
          <w:color w:val="000000"/>
        </w:rPr>
        <w:t>ic portal inflammation, lymphoid aggregates, lobular inflammation, and acidophil bodies (Figures 2). There was a histologic suggestion of mild T cell-mediated rejection on biopsy in 2 patients, but clinically deemed not to have rejection, as one had normal</w:t>
      </w:r>
      <w:r>
        <w:rPr>
          <w:rFonts w:ascii="Book Antiqua" w:eastAsia="Book Antiqua" w:hAnsi="Book Antiqua" w:cs="Book Antiqua"/>
          <w:color w:val="000000"/>
        </w:rPr>
        <w:t xml:space="preserve"> aminotransferases, and the other one had spontaneous normalization of aminotransferases without adjusting their immune suppression regimen. One patient had a mild absence of bile ducts concerning for early chronic rejection. Two patients had occasional no</w:t>
      </w:r>
      <w:r>
        <w:rPr>
          <w:rFonts w:ascii="Book Antiqua" w:eastAsia="Book Antiqua" w:hAnsi="Book Antiqua" w:cs="Book Antiqua"/>
          <w:color w:val="000000"/>
        </w:rPr>
        <w:t xml:space="preserve">n-necrotizing granulomas in portal tracts without an identifiable cause. Steatosis was present in only one patient and was mild &lt; 5%. </w:t>
      </w:r>
    </w:p>
    <w:p w14:paraId="334638A9" w14:textId="77777777" w:rsidR="001135A2" w:rsidRDefault="00CD55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We compared pre- and post-therapy histological grades of inflammation in five patients (biopsies were performed at a mean</w:t>
      </w:r>
      <w:r>
        <w:rPr>
          <w:rFonts w:ascii="Book Antiqua" w:eastAsia="Book Antiqua" w:hAnsi="Book Antiqua" w:cs="Book Antiqua"/>
          <w:color w:val="000000"/>
        </w:rPr>
        <w:t xml:space="preserve"> of 17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treatment start, range 10-26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 mean time between pre and end of treatment biopsies was 43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range 35-55 wk. Inflammation increased in three patients (by one point), decreased in one patient (by one point), and remained the same in</w:t>
      </w:r>
      <w:r>
        <w:rPr>
          <w:rFonts w:ascii="Book Antiqua" w:eastAsia="Book Antiqua" w:hAnsi="Book Antiqua" w:cs="Book Antiqua"/>
          <w:color w:val="000000"/>
        </w:rPr>
        <w:t xml:space="preserve"> one, Table 2.</w:t>
      </w:r>
    </w:p>
    <w:p w14:paraId="27F88263" w14:textId="77777777" w:rsidR="001135A2" w:rsidRDefault="001135A2">
      <w:pPr>
        <w:spacing w:line="360" w:lineRule="auto"/>
        <w:jc w:val="both"/>
        <w:rPr>
          <w:rFonts w:ascii="Book Antiqua" w:eastAsia="Book Antiqua" w:hAnsi="Book Antiqua" w:cs="Book Antiqua"/>
          <w:color w:val="000000"/>
        </w:rPr>
      </w:pPr>
    </w:p>
    <w:p w14:paraId="03AEE563" w14:textId="77777777" w:rsidR="001135A2" w:rsidRDefault="00CD55CB">
      <w:pPr>
        <w:spacing w:line="360" w:lineRule="auto"/>
        <w:jc w:val="both"/>
        <w:rPr>
          <w:rFonts w:ascii="Book Antiqua" w:hAnsi="Book Antiqua"/>
          <w:b/>
          <w:bCs/>
          <w:i/>
          <w:iCs/>
        </w:rPr>
      </w:pPr>
      <w:r>
        <w:rPr>
          <w:rFonts w:ascii="Book Antiqua" w:eastAsia="Book Antiqua" w:hAnsi="Book Antiqua" w:cs="Book Antiqua"/>
          <w:b/>
          <w:bCs/>
          <w:i/>
          <w:iCs/>
          <w:color w:val="000000"/>
        </w:rPr>
        <w:t>Post-treatment liver biopsy</w:t>
      </w:r>
    </w:p>
    <w:p w14:paraId="67A2BD23"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lastRenderedPageBreak/>
        <w:t xml:space="preserve">Post-treatment follow-up biopsies were available in five patients (range 38-48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end of treatment). Compared to end-of-treatment biopsies, inflammation decreased in 4 out of 5 patients (by one point) a</w:t>
      </w:r>
      <w:r>
        <w:rPr>
          <w:rFonts w:ascii="Book Antiqua" w:eastAsia="Book Antiqua" w:hAnsi="Book Antiqua" w:cs="Book Antiqua"/>
          <w:color w:val="000000"/>
        </w:rPr>
        <w:t>nd increased in one patient (by one point). Fibrosis increased by one point in two patients and remained the same in two. No other causes of inflammation were identified clinically or histologically, Table 3.</w:t>
      </w:r>
    </w:p>
    <w:p w14:paraId="693ECE11" w14:textId="77777777" w:rsidR="001135A2" w:rsidRDefault="00CD55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HCV RNA was undetected on all available end-of-</w:t>
      </w:r>
      <w:r>
        <w:rPr>
          <w:rFonts w:ascii="Book Antiqua" w:eastAsia="Book Antiqua" w:hAnsi="Book Antiqua" w:cs="Book Antiqua"/>
          <w:color w:val="000000"/>
        </w:rPr>
        <w:t xml:space="preserve">treatment (13) and post-treatment liver biopsies (5). </w:t>
      </w:r>
    </w:p>
    <w:p w14:paraId="297440A9" w14:textId="77777777" w:rsidR="001135A2" w:rsidRDefault="001135A2">
      <w:pPr>
        <w:spacing w:line="360" w:lineRule="auto"/>
        <w:jc w:val="both"/>
        <w:rPr>
          <w:rFonts w:ascii="Book Antiqua" w:hAnsi="Book Antiqua"/>
        </w:rPr>
      </w:pPr>
    </w:p>
    <w:p w14:paraId="6BE16F1B" w14:textId="77777777" w:rsidR="001135A2" w:rsidRDefault="00CD55CB">
      <w:pPr>
        <w:spacing w:line="360" w:lineRule="auto"/>
        <w:jc w:val="both"/>
        <w:rPr>
          <w:rFonts w:ascii="Book Antiqua" w:hAnsi="Book Antiqua"/>
          <w:b/>
          <w:bCs/>
          <w:i/>
          <w:iCs/>
        </w:rPr>
      </w:pPr>
      <w:r>
        <w:rPr>
          <w:rFonts w:ascii="Book Antiqua" w:eastAsia="Book Antiqua" w:hAnsi="Book Antiqua" w:cs="Book Antiqua"/>
          <w:b/>
          <w:bCs/>
          <w:i/>
          <w:iCs/>
          <w:color w:val="000000"/>
        </w:rPr>
        <w:t>Clinical follow up</w:t>
      </w:r>
    </w:p>
    <w:p w14:paraId="4270453C"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 xml:space="preserve">The clinical course for all patients was tracked for a mean of 2.5 years after the end of treatment. None of the patients had HCV relapse or worsening liver function. All had </w:t>
      </w:r>
      <w:r>
        <w:rPr>
          <w:rFonts w:ascii="Book Antiqua" w:eastAsia="Book Antiqua" w:hAnsi="Book Antiqua" w:cs="Book Antiqua"/>
          <w:color w:val="000000"/>
        </w:rPr>
        <w:t>preserved graft function, normal aminotransferase, and alkaline phosphatase levels except one that had chronically elevated alkaline phosphatase and was later diagnosed with chronic ductopenic rejection (the patient that had a mild absence of bile ducts on</w:t>
      </w:r>
      <w:r>
        <w:rPr>
          <w:rFonts w:ascii="Book Antiqua" w:eastAsia="Book Antiqua" w:hAnsi="Book Antiqua" w:cs="Book Antiqua"/>
          <w:color w:val="000000"/>
        </w:rPr>
        <w:t xml:space="preserve"> the end of treatment biopsy).</w:t>
      </w:r>
    </w:p>
    <w:p w14:paraId="681CF453" w14:textId="77777777" w:rsidR="001135A2" w:rsidRDefault="001135A2">
      <w:pPr>
        <w:spacing w:line="360" w:lineRule="auto"/>
        <w:jc w:val="both"/>
        <w:rPr>
          <w:rFonts w:ascii="Book Antiqua" w:hAnsi="Book Antiqua"/>
        </w:rPr>
      </w:pPr>
    </w:p>
    <w:p w14:paraId="39D5F2B6" w14:textId="77777777" w:rsidR="001135A2" w:rsidRDefault="00CD55CB">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FCD12CC" w14:textId="77777777" w:rsidR="001135A2" w:rsidRDefault="00CD55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Even after the wide use of DAAs, HCV-related cirrhosis remains one of the leading indications for liver transplant and re-transplant in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Due to their safety profile, DAAs allow treating more patients wit</w:t>
      </w:r>
      <w:r>
        <w:rPr>
          <w:rFonts w:ascii="Book Antiqua" w:eastAsia="Book Antiqua" w:hAnsi="Book Antiqua" w:cs="Book Antiqua"/>
          <w:color w:val="000000"/>
        </w:rPr>
        <w:t xml:space="preserve">h decompensated cirrhosis prior to transplant; however, treatment is commonly deferred to the post-transplant period to avoid reducing the transplant priority or allowing receipt of a hepatitis C positive </w:t>
      </w:r>
      <w:proofErr w:type="gramStart"/>
      <w:r>
        <w:rPr>
          <w:rFonts w:ascii="Book Antiqua" w:eastAsia="Book Antiqua" w:hAnsi="Book Antiqua" w:cs="Book Antiqua"/>
          <w:color w:val="000000"/>
        </w:rPr>
        <w:t>organ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DAAs show high SVR rates in transplant r</w:t>
      </w:r>
      <w:r>
        <w:rPr>
          <w:rFonts w:ascii="Book Antiqua" w:eastAsia="Book Antiqua" w:hAnsi="Book Antiqua" w:cs="Book Antiqua"/>
          <w:color w:val="000000"/>
        </w:rPr>
        <w:t>ecipients; however, data regarding the histological impact of these drugs in terms of inflammatory changes is limited. Throughout our early DAA experience, we evaluated end of treatment and follow-up biopsies after achieving undetectable RNA. We noted that</w:t>
      </w:r>
      <w:r>
        <w:rPr>
          <w:rFonts w:ascii="Book Antiqua" w:eastAsia="Book Antiqua" w:hAnsi="Book Antiqua" w:cs="Book Antiqua"/>
          <w:color w:val="000000"/>
        </w:rPr>
        <w:t xml:space="preserve"> biopsies still showed persistent inflammation at the end of treatment in 12/13 patients, with no improvement from pre-treatment in 4/5 patients.</w:t>
      </w:r>
    </w:p>
    <w:p w14:paraId="5956FE6A" w14:textId="77777777" w:rsidR="001135A2" w:rsidRDefault="00CD55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Additionally, all the available follow-up biopsies (up to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the end of treatment) still showed persis</w:t>
      </w:r>
      <w:r>
        <w:rPr>
          <w:rFonts w:ascii="Book Antiqua" w:eastAsia="Book Antiqua" w:hAnsi="Book Antiqua" w:cs="Book Antiqua"/>
          <w:color w:val="000000"/>
        </w:rPr>
        <w:t xml:space="preserve">tent inflammation. We thoroughly evaluated different possibilities that could explain this persistent inflammation. Although no clinically significant drug interactions are reported between immune suppressive regimens and the included DAAs in our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a cure of HCV can potentially influence immune suppression drug levels, and rejection may be a concern. Prior studies have shown an impact of ongoing HCV infection on CYP3A4</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eventually on cyclosporine and tacrolimus levels.  In one report, lower </w:t>
      </w:r>
      <w:r>
        <w:rPr>
          <w:rFonts w:ascii="Book Antiqua" w:eastAsia="Book Antiqua" w:hAnsi="Book Antiqua" w:cs="Book Antiqua"/>
          <w:color w:val="000000"/>
        </w:rPr>
        <w:t xml:space="preserve">doses of these immunosuppressants were needed to reach the same therapeutic level compared to non HCV 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raising the possibility that resolution of HCV infection can lead to lower immunosuppressant level with subsequent rejection. This </w:t>
      </w:r>
      <w:r>
        <w:rPr>
          <w:rFonts w:ascii="Book Antiqua" w:eastAsia="Book Antiqua" w:hAnsi="Book Antiqua" w:cs="Book Antiqua"/>
          <w:color w:val="000000"/>
        </w:rPr>
        <w:t xml:space="preserve">possibility was carefully examined in our patients; findings suggestive of mild T cell-mediated rejection were present only in two patients on end of treatment biopsies. The histological changes present were minimal and, when correlated, clinically deemed </w:t>
      </w:r>
      <w:r>
        <w:rPr>
          <w:rFonts w:ascii="Book Antiqua" w:eastAsia="Book Antiqua" w:hAnsi="Book Antiqua" w:cs="Book Antiqua"/>
          <w:color w:val="000000"/>
        </w:rPr>
        <w:t>insignificant as the patients did well clinically without additional interventions or adjustment of immune suppression regimen. Persistent unexplained hepatitis in the liver allograft has been previously reported as idiopathic post-transplant hepatitis (IP</w:t>
      </w:r>
      <w:r>
        <w:rPr>
          <w:rFonts w:ascii="Book Antiqua" w:eastAsia="Book Antiqua" w:hAnsi="Book Antiqua" w:cs="Book Antiqua"/>
          <w:color w:val="000000"/>
        </w:rPr>
        <w:t xml:space="preserve">TH), chronic hepatitis of unknown etiology, with a variable prevalence ranging from 10%-50% in the adult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implication of this diagnosis in a chronic HCV setting is unclear as most of the studies excluded this patient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w:t>
      </w:r>
    </w:p>
    <w:p w14:paraId="796B0E55" w14:textId="77777777" w:rsidR="001135A2" w:rsidRDefault="00CD55CB">
      <w:pPr>
        <w:spacing w:line="360" w:lineRule="auto"/>
        <w:ind w:firstLineChars="200" w:firstLine="480"/>
        <w:jc w:val="both"/>
        <w:rPr>
          <w:rFonts w:ascii="Book Antiqua" w:hAnsi="Book Antiqua"/>
        </w:rPr>
      </w:pPr>
      <w:r>
        <w:rPr>
          <w:rFonts w:ascii="Book Antiqua" w:eastAsia="Book Antiqua" w:hAnsi="Book Antiqua" w:cs="Book Antiqua"/>
          <w:color w:val="000000"/>
        </w:rPr>
        <w:t>F</w:t>
      </w:r>
      <w:r>
        <w:rPr>
          <w:rFonts w:ascii="Book Antiqua" w:eastAsia="Book Antiqua" w:hAnsi="Book Antiqua" w:cs="Book Antiqua"/>
          <w:color w:val="000000"/>
        </w:rPr>
        <w:t>urthermore, in our study, inflammation was present in higher frequency (in 12/13 end of treatment biopsies and all 5 post-treatment biopsies), suggesting the presence of another etiology. Prior studies also described a characteristic pattern of plasma cell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10,22,23]</w:t>
      </w:r>
      <w:r>
        <w:rPr>
          <w:rFonts w:ascii="Book Antiqua" w:eastAsia="Book Antiqua" w:hAnsi="Book Antiqua" w:cs="Book Antiqua"/>
          <w:color w:val="000000"/>
        </w:rPr>
        <w:t xml:space="preserve"> in patients who achieved SVR after receiving IFN based therapy. This unique pattern was not seen in our patients. One possible explanation is that plasma cell hepatitis is seen more in IFN treated patients, given the immune stimulant e</w:t>
      </w:r>
      <w:r>
        <w:rPr>
          <w:rFonts w:ascii="Book Antiqua" w:eastAsia="Book Antiqua" w:hAnsi="Book Antiqua" w:cs="Book Antiqua"/>
          <w:color w:val="000000"/>
        </w:rPr>
        <w:t xml:space="preserve">ffect of IFN leading to exposure of new antigens on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All our patients treated with IFN free regimens can possibly explain the absence of this histologic pattern. </w:t>
      </w:r>
    </w:p>
    <w:p w14:paraId="1B11CD50" w14:textId="77777777" w:rsidR="001135A2" w:rsidRDefault="00CD55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Prior studies reported occult HCV infection, a “controversial” term, indicati</w:t>
      </w:r>
      <w:r>
        <w:rPr>
          <w:rFonts w:ascii="Book Antiqua" w:eastAsia="Book Antiqua" w:hAnsi="Book Antiqua" w:cs="Book Antiqua"/>
          <w:color w:val="000000"/>
        </w:rPr>
        <w:t xml:space="preserve">ng persistence of HCV RNA within hepatocytes and/or peripheral blood mononuclear cells despite successfully achieving </w:t>
      </w:r>
      <w:proofErr w:type="gramStart"/>
      <w:r>
        <w:rPr>
          <w:rFonts w:ascii="Book Antiqua" w:eastAsia="Book Antiqua" w:hAnsi="Book Antiqua" w:cs="Book Antiqua"/>
          <w:color w:val="000000"/>
        </w:rPr>
        <w:t>SVR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Although the active liver disease has not been reported with this finding, it has been shown that this persistent low-level HCV r</w:t>
      </w:r>
      <w:r>
        <w:rPr>
          <w:rFonts w:ascii="Book Antiqua" w:eastAsia="Book Antiqua" w:hAnsi="Book Antiqua" w:cs="Book Antiqua"/>
          <w:color w:val="000000"/>
        </w:rPr>
        <w:t xml:space="preserve">eplication promotes persistence of both humoral and T-cellular HCV specific markers, that inversely correlated with time from SVR but can persist for up to 9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Our patients, in theory, are at high risk for developing occult HCV for multiple reason</w:t>
      </w:r>
      <w:r>
        <w:rPr>
          <w:rFonts w:ascii="Book Antiqua" w:eastAsia="Book Antiqua" w:hAnsi="Book Antiqua" w:cs="Book Antiqua"/>
          <w:color w:val="000000"/>
        </w:rPr>
        <w:t xml:space="preserve">s. First, it has been proposed that following treatment with DAA, there is a higher potential for developing occult HCV when compared to IFN based treatment due to the lack of induced immunologic response of the interferon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Second, the risk of o</w:t>
      </w:r>
      <w:r>
        <w:rPr>
          <w:rFonts w:ascii="Book Antiqua" w:eastAsia="Book Antiqua" w:hAnsi="Book Antiqua" w:cs="Book Antiqua"/>
          <w:color w:val="000000"/>
        </w:rPr>
        <w:t xml:space="preserve">ccult HCV in the immune-compromised patients is likely increased because of the limited ability of the immune system for complete viral clearance, similar to end-stage renal disease patients on </w:t>
      </w:r>
      <w:proofErr w:type="gramStart"/>
      <w:r>
        <w:rPr>
          <w:rFonts w:ascii="Book Antiqua" w:eastAsia="Book Antiqua" w:hAnsi="Book Antiqua" w:cs="Book Antiqua"/>
          <w:color w:val="000000"/>
        </w:rPr>
        <w:t>dialysis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However, the occurrence of occult </w:t>
      </w:r>
      <w:r>
        <w:rPr>
          <w:rFonts w:ascii="Book Antiqua" w:eastAsia="Book Antiqua" w:hAnsi="Book Antiqua" w:cs="Book Antiqua"/>
          <w:color w:val="000000"/>
        </w:rPr>
        <w:t xml:space="preserve">infection remains </w:t>
      </w:r>
      <w:proofErr w:type="gramStart"/>
      <w:r>
        <w:rPr>
          <w:rFonts w:ascii="Book Antiqua" w:eastAsia="Book Antiqua" w:hAnsi="Book Antiqua" w:cs="Book Antiqua"/>
          <w:color w:val="000000"/>
        </w:rPr>
        <w:t>questionable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and data following DAA have been inconsistent. One study reported detectable HCV RNA in hepatocytes or peripheral blood mononuclear cells in five out of nine post-transplant patients who were treated with DAA and had ele</w:t>
      </w:r>
      <w:r>
        <w:rPr>
          <w:rFonts w:ascii="Book Antiqua" w:eastAsia="Book Antiqua" w:hAnsi="Book Antiqua" w:cs="Book Antiqua"/>
          <w:color w:val="000000"/>
        </w:rPr>
        <w:t xml:space="preserve">vated liver enzymes despite achieving </w:t>
      </w:r>
      <w:proofErr w:type="gramStart"/>
      <w:r>
        <w:rPr>
          <w:rFonts w:ascii="Book Antiqua" w:eastAsia="Book Antiqua" w:hAnsi="Book Antiqua" w:cs="Book Antiqua"/>
          <w:color w:val="000000"/>
        </w:rPr>
        <w:t>SVR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4FE4869" w14:textId="77777777" w:rsidR="001135A2" w:rsidRDefault="00CD55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contrast, another study did not find evidence of intracellular RNA in 4 patients with persistent liver enzyme elevation after </w:t>
      </w:r>
      <w:proofErr w:type="gramStart"/>
      <w:r>
        <w:rPr>
          <w:rFonts w:ascii="Book Antiqua" w:eastAsia="Book Antiqua" w:hAnsi="Book Antiqua" w:cs="Book Antiqua"/>
          <w:color w:val="000000"/>
        </w:rPr>
        <w:t>DAA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The discrepancy in results could be related to the lack of method stand</w:t>
      </w:r>
      <w:r>
        <w:rPr>
          <w:rFonts w:ascii="Book Antiqua" w:eastAsia="Book Antiqua" w:hAnsi="Book Antiqua" w:cs="Book Antiqua"/>
          <w:color w:val="000000"/>
        </w:rPr>
        <w:t xml:space="preserve">ardization used among studies to detect HCV RNA in tissue; different sensitivities have been reported depending on the used method and tissue processing before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27,31]</w:t>
      </w:r>
      <w:r>
        <w:rPr>
          <w:rFonts w:ascii="Book Antiqua" w:eastAsia="Book Antiqua" w:hAnsi="Book Antiqua" w:cs="Book Antiqua"/>
          <w:color w:val="000000"/>
        </w:rPr>
        <w:t xml:space="preserve">. Due to the retrospective nature of our study, we used FFPE specimens. We found </w:t>
      </w:r>
      <w:r>
        <w:rPr>
          <w:rFonts w:ascii="Book Antiqua" w:eastAsia="Book Antiqua" w:hAnsi="Book Antiqua" w:cs="Book Antiqua"/>
          <w:color w:val="000000"/>
        </w:rPr>
        <w:t xml:space="preserve">no HCV RNA particles on the available end of treatment and post-treatment biopsies indicating that occult infection is not the underlying etiology of residual inflammation in our cohort. </w:t>
      </w:r>
    </w:p>
    <w:p w14:paraId="7A2CAF85" w14:textId="77777777" w:rsidR="001135A2" w:rsidRDefault="00CD55CB">
      <w:pPr>
        <w:spacing w:line="360" w:lineRule="auto"/>
        <w:ind w:firstLineChars="200" w:firstLine="480"/>
        <w:jc w:val="both"/>
        <w:rPr>
          <w:rFonts w:ascii="Book Antiqua" w:hAnsi="Book Antiqua"/>
        </w:rPr>
      </w:pPr>
      <w:r>
        <w:rPr>
          <w:rFonts w:ascii="Book Antiqua" w:eastAsia="Book Antiqua" w:hAnsi="Book Antiqua" w:cs="Book Antiqua"/>
          <w:color w:val="000000"/>
        </w:rPr>
        <w:t>The way viral infections induce liver inflammation is complex; one o</w:t>
      </w:r>
      <w:r>
        <w:rPr>
          <w:rFonts w:ascii="Book Antiqua" w:eastAsia="Book Antiqua" w:hAnsi="Book Antiqua" w:cs="Book Antiqua"/>
          <w:color w:val="000000"/>
        </w:rPr>
        <w:t>f the identified triggers of this immune response is the activation of transmembrane and cytosolic receptors that sense both the viral nucleic acid and certain host nucleic acid segments, particularly DNA derived from mitochondrial damage. It has been pres</w:t>
      </w:r>
      <w:r>
        <w:rPr>
          <w:rFonts w:ascii="Book Antiqua" w:eastAsia="Book Antiqua" w:hAnsi="Book Antiqua" w:cs="Book Antiqua"/>
          <w:color w:val="000000"/>
        </w:rPr>
        <w:t xml:space="preserve">umed that this </w:t>
      </w:r>
      <w:r>
        <w:rPr>
          <w:rFonts w:ascii="Book Antiqua" w:eastAsia="Book Antiqua" w:hAnsi="Book Antiqua" w:cs="Book Antiqua"/>
          <w:color w:val="000000"/>
        </w:rPr>
        <w:lastRenderedPageBreak/>
        <w:t xml:space="preserve">plays a role in some non-viral liver injury models as acetaminophen hepatotoxicity and ischemic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The persistent inflammation seen in our subjects could be triggered by the host rather than the remaining viral RNA. However, this is</w:t>
      </w:r>
      <w:r>
        <w:rPr>
          <w:rFonts w:ascii="Book Antiqua" w:eastAsia="Book Antiqua" w:hAnsi="Book Antiqua" w:cs="Book Antiqua"/>
          <w:color w:val="000000"/>
        </w:rPr>
        <w:t xml:space="preserve"> not certain as we did not immunologically characterize the inflammatory cells on liver biopsies for HCV-specific T-cell responses, and this can be an area for future research.</w:t>
      </w:r>
    </w:p>
    <w:p w14:paraId="1F56772E" w14:textId="77777777" w:rsidR="001135A2" w:rsidRDefault="00CD55CB">
      <w:pPr>
        <w:spacing w:line="360" w:lineRule="auto"/>
        <w:ind w:firstLineChars="200" w:firstLine="480"/>
        <w:jc w:val="both"/>
        <w:rPr>
          <w:rFonts w:ascii="Book Antiqua" w:hAnsi="Book Antiqua"/>
        </w:rPr>
      </w:pPr>
      <w:r>
        <w:rPr>
          <w:rFonts w:ascii="Book Antiqua" w:eastAsia="Book Antiqua" w:hAnsi="Book Antiqua" w:cs="Book Antiqua"/>
          <w:color w:val="000000"/>
        </w:rPr>
        <w:t>Another likely explanation for the persistent inflammation in our series can be</w:t>
      </w:r>
      <w:r>
        <w:rPr>
          <w:rFonts w:ascii="Book Antiqua" w:eastAsia="Book Antiqua" w:hAnsi="Book Antiqua" w:cs="Book Antiqua"/>
          <w:color w:val="000000"/>
        </w:rPr>
        <w:t xml:space="preserve"> the lag of the histological improvement behind viral clearance and biochemical improvement. Our study did not show complete resolution of inflammation on the end of treatment biopsies nor on post-treatment biopsies. However, most of our patients had post-</w:t>
      </w:r>
      <w:r>
        <w:rPr>
          <w:rFonts w:ascii="Book Antiqua" w:eastAsia="Book Antiqua" w:hAnsi="Book Antiqua" w:cs="Book Antiqua"/>
          <w:color w:val="000000"/>
        </w:rPr>
        <w:t xml:space="preserve">treatment liver biopsy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completion of treatment, which might not be enough time for inflammation to resolve. Moreover, it should be noted that the change in inflammation grades and fibrosis stages between both biopsies is subtle; hence, we</w:t>
      </w:r>
      <w:r>
        <w:rPr>
          <w:rFonts w:ascii="Book Antiqua" w:eastAsia="Book Antiqua" w:hAnsi="Book Antiqua" w:cs="Book Antiqua"/>
          <w:color w:val="000000"/>
        </w:rPr>
        <w:t xml:space="preserve"> cannot exclude the possibility of this being secondary to sampling variation rather than a true change. </w:t>
      </w:r>
    </w:p>
    <w:p w14:paraId="5326EEE9" w14:textId="77777777" w:rsidR="001135A2" w:rsidRDefault="00CD55CB">
      <w:pPr>
        <w:spacing w:line="360" w:lineRule="auto"/>
        <w:ind w:firstLineChars="200" w:firstLine="480"/>
        <w:jc w:val="both"/>
        <w:rPr>
          <w:rFonts w:ascii="Book Antiqua" w:hAnsi="Book Antiqua"/>
        </w:rPr>
      </w:pPr>
      <w:r>
        <w:rPr>
          <w:rFonts w:ascii="Book Antiqua" w:eastAsia="Book Antiqua" w:hAnsi="Book Antiqua" w:cs="Book Antiqua"/>
          <w:color w:val="000000"/>
        </w:rPr>
        <w:t>Our study limitations include the small number of patients, mostly genotype 1 treated with some early sofosbuvir-based regimens. However, we believe t</w:t>
      </w:r>
      <w:r>
        <w:rPr>
          <w:rFonts w:ascii="Book Antiqua" w:eastAsia="Book Antiqua" w:hAnsi="Book Antiqua" w:cs="Book Antiqua"/>
          <w:color w:val="000000"/>
        </w:rPr>
        <w:t>hat our sample is relatively larger than similar studies that evaluated histologic changes post-transplant in this setting and that the findings are likely generalizable to other DAA regimens. Moreover, we did not check for HCV RNA in peripheral blood mono</w:t>
      </w:r>
      <w:r>
        <w:rPr>
          <w:rFonts w:ascii="Book Antiqua" w:eastAsia="Book Antiqua" w:hAnsi="Book Antiqua" w:cs="Book Antiqua"/>
          <w:color w:val="000000"/>
        </w:rPr>
        <w:t xml:space="preserve">nuclear cells due to the retrospective nature of our study, so there is a possibility that we may have missed occult infection in the mononuclear cells. However, in the setting of residual inflammation on liver biopsy that is consistent with HCV activity, </w:t>
      </w:r>
      <w:r>
        <w:rPr>
          <w:rFonts w:ascii="Book Antiqua" w:eastAsia="Book Antiqua" w:hAnsi="Book Antiqua" w:cs="Book Antiqua"/>
          <w:color w:val="000000"/>
        </w:rPr>
        <w:t>we believe it is more important to examine the liver tissue, which was negative for HCV RNA particles, making occult HCV infection a less likely explanation for this persistent inflammation.</w:t>
      </w:r>
    </w:p>
    <w:p w14:paraId="17A83A43" w14:textId="77777777" w:rsidR="001135A2" w:rsidRDefault="001135A2">
      <w:pPr>
        <w:spacing w:line="360" w:lineRule="auto"/>
        <w:jc w:val="both"/>
        <w:rPr>
          <w:rFonts w:ascii="Book Antiqua" w:hAnsi="Book Antiqua"/>
        </w:rPr>
      </w:pPr>
    </w:p>
    <w:p w14:paraId="2BCFD91C" w14:textId="77777777" w:rsidR="001135A2" w:rsidRDefault="00CD55C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FC8C68F" w14:textId="77777777" w:rsidR="001135A2" w:rsidRDefault="00CD55CB">
      <w:pPr>
        <w:spacing w:line="360" w:lineRule="auto"/>
        <w:jc w:val="both"/>
        <w:rPr>
          <w:rFonts w:ascii="Book Antiqua" w:hAnsi="Book Antiqua"/>
        </w:rPr>
      </w:pPr>
      <w:r>
        <w:rPr>
          <w:rFonts w:ascii="Book Antiqua" w:eastAsia="Book Antiqua" w:hAnsi="Book Antiqua" w:cs="Book Antiqua"/>
          <w:color w:val="000000"/>
          <w:shd w:val="clear" w:color="auto" w:fill="FFFFFF"/>
        </w:rPr>
        <w:t>Our case series is among the few available that repor</w:t>
      </w:r>
      <w:r>
        <w:rPr>
          <w:rFonts w:ascii="Book Antiqua" w:eastAsia="Book Antiqua" w:hAnsi="Book Antiqua" w:cs="Book Antiqua"/>
          <w:color w:val="000000"/>
          <w:shd w:val="clear" w:color="auto" w:fill="FFFFFF"/>
        </w:rPr>
        <w:t xml:space="preserve">t the histologic findings and clinical outcomes in transplant recipients after achieving SVR using DAAs. We were also able to rule out occult HCV, and we followed the patients clinically for 2.5 years showing a </w:t>
      </w:r>
      <w:r>
        <w:rPr>
          <w:rFonts w:ascii="Book Antiqua" w:eastAsia="Book Antiqua" w:hAnsi="Book Antiqua" w:cs="Book Antiqua"/>
          <w:color w:val="000000"/>
          <w:shd w:val="clear" w:color="auto" w:fill="FFFFFF"/>
        </w:rPr>
        <w:lastRenderedPageBreak/>
        <w:t>benign course of the residual inflammation in</w:t>
      </w:r>
      <w:r>
        <w:rPr>
          <w:rFonts w:ascii="Book Antiqua" w:eastAsia="Book Antiqua" w:hAnsi="Book Antiqua" w:cs="Book Antiqua"/>
          <w:color w:val="000000"/>
          <w:shd w:val="clear" w:color="auto" w:fill="FFFFFF"/>
        </w:rPr>
        <w:t xml:space="preserve"> most subjects. Based on our findings, the residual inflammation appears to have a favorable outcome, but it is crucial to exclude other causes of inflammation thoroughly. Moreover, based on our results and prior studies, we believe that checking occult HC</w:t>
      </w:r>
      <w:r>
        <w:rPr>
          <w:rFonts w:ascii="Book Antiqua" w:eastAsia="Book Antiqua" w:hAnsi="Book Antiqua" w:cs="Book Antiqua"/>
          <w:color w:val="000000"/>
          <w:shd w:val="clear" w:color="auto" w:fill="FFFFFF"/>
        </w:rPr>
        <w:t>V is not routinely necessary from a clinical standpoint. Liver transplant recipients often require liver biopsy for various reasons; recognizing the natural history of this residual inflammation is important to the transplant team. Further studies with a l</w:t>
      </w:r>
      <w:r>
        <w:rPr>
          <w:rFonts w:ascii="Book Antiqua" w:eastAsia="Book Antiqua" w:hAnsi="Book Antiqua" w:cs="Book Antiqua"/>
          <w:color w:val="000000"/>
          <w:shd w:val="clear" w:color="auto" w:fill="FFFFFF"/>
        </w:rPr>
        <w:t>arger and more diverse patient population and longer follow-up will help better characterize the long-term outcome of this persistent inflammation following SVR.</w:t>
      </w:r>
    </w:p>
    <w:p w14:paraId="34764F6A" w14:textId="77777777" w:rsidR="001135A2" w:rsidRDefault="001135A2">
      <w:pPr>
        <w:spacing w:line="360" w:lineRule="auto"/>
        <w:jc w:val="both"/>
        <w:rPr>
          <w:rFonts w:ascii="Book Antiqua" w:hAnsi="Book Antiqua"/>
        </w:rPr>
      </w:pPr>
    </w:p>
    <w:p w14:paraId="39D16BD3" w14:textId="77777777" w:rsidR="001135A2" w:rsidRDefault="00CD55CB">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2226115" w14:textId="77777777" w:rsidR="001135A2" w:rsidRDefault="00CD55CB">
      <w:pPr>
        <w:spacing w:line="360" w:lineRule="auto"/>
        <w:jc w:val="both"/>
        <w:rPr>
          <w:rFonts w:ascii="Book Antiqua" w:hAnsi="Book Antiqua"/>
        </w:rPr>
      </w:pPr>
      <w:r>
        <w:rPr>
          <w:rFonts w:ascii="Book Antiqua" w:eastAsia="Book Antiqua" w:hAnsi="Book Antiqua" w:cs="Book Antiqua"/>
          <w:b/>
          <w:i/>
          <w:color w:val="000000"/>
        </w:rPr>
        <w:t>Research background</w:t>
      </w:r>
    </w:p>
    <w:p w14:paraId="6BF33DE4"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Liver transplant recipients may undergo liver biopsy f</w:t>
      </w:r>
      <w:r>
        <w:rPr>
          <w:rFonts w:ascii="Book Antiqua" w:eastAsia="Book Antiqua" w:hAnsi="Book Antiqua" w:cs="Book Antiqua"/>
          <w:color w:val="000000"/>
        </w:rPr>
        <w:t xml:space="preserve">or different indications, and persistent inflammation in patients who receive DAAs can be seen despite achieving sustained virologic response (SVR).  </w:t>
      </w:r>
    </w:p>
    <w:p w14:paraId="6D9A36CE" w14:textId="77777777" w:rsidR="001135A2" w:rsidRDefault="001135A2">
      <w:pPr>
        <w:spacing w:line="360" w:lineRule="auto"/>
        <w:jc w:val="both"/>
        <w:rPr>
          <w:rFonts w:ascii="Book Antiqua" w:hAnsi="Book Antiqua"/>
        </w:rPr>
      </w:pPr>
    </w:p>
    <w:p w14:paraId="50357B17" w14:textId="77777777" w:rsidR="001135A2" w:rsidRDefault="00CD55CB">
      <w:pPr>
        <w:spacing w:line="360" w:lineRule="auto"/>
        <w:jc w:val="both"/>
        <w:rPr>
          <w:rFonts w:ascii="Book Antiqua" w:hAnsi="Book Antiqua"/>
        </w:rPr>
      </w:pPr>
      <w:r>
        <w:rPr>
          <w:rFonts w:ascii="Book Antiqua" w:eastAsia="Book Antiqua" w:hAnsi="Book Antiqua" w:cs="Book Antiqua"/>
          <w:b/>
          <w:i/>
          <w:color w:val="000000"/>
        </w:rPr>
        <w:t>Research motivation</w:t>
      </w:r>
    </w:p>
    <w:p w14:paraId="2EBFFDBE"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Data on the significance of persistent inflammation on histology after successful tr</w:t>
      </w:r>
      <w:r>
        <w:rPr>
          <w:rFonts w:ascii="Book Antiqua" w:eastAsia="Book Antiqua" w:hAnsi="Book Antiqua" w:cs="Book Antiqua"/>
          <w:color w:val="000000"/>
        </w:rPr>
        <w:t xml:space="preserve">eatment of hepatitis C infection with Direct-acting antiviral (DAA) therapies is scarce. </w:t>
      </w:r>
    </w:p>
    <w:p w14:paraId="16763A71" w14:textId="77777777" w:rsidR="001135A2" w:rsidRDefault="001135A2">
      <w:pPr>
        <w:spacing w:line="360" w:lineRule="auto"/>
        <w:jc w:val="both"/>
        <w:rPr>
          <w:rFonts w:ascii="Book Antiqua" w:hAnsi="Book Antiqua"/>
        </w:rPr>
      </w:pPr>
    </w:p>
    <w:p w14:paraId="50ACC16A" w14:textId="77777777" w:rsidR="001135A2" w:rsidRDefault="00CD55CB">
      <w:pPr>
        <w:spacing w:line="360" w:lineRule="auto"/>
        <w:jc w:val="both"/>
        <w:rPr>
          <w:rFonts w:ascii="Book Antiqua" w:hAnsi="Book Antiqua"/>
        </w:rPr>
      </w:pPr>
      <w:r>
        <w:rPr>
          <w:rFonts w:ascii="Book Antiqua" w:eastAsia="Book Antiqua" w:hAnsi="Book Antiqua" w:cs="Book Antiqua"/>
          <w:b/>
          <w:i/>
          <w:color w:val="000000"/>
        </w:rPr>
        <w:t>Research objectives</w:t>
      </w:r>
    </w:p>
    <w:p w14:paraId="0E84DA79"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We aimed to examine the impact of successful treatment with DAAs on histological changes and to describe the clinical course of residual inflamma</w:t>
      </w:r>
      <w:r>
        <w:rPr>
          <w:rFonts w:ascii="Book Antiqua" w:eastAsia="Book Antiqua" w:hAnsi="Book Antiqua" w:cs="Book Antiqua"/>
          <w:color w:val="000000"/>
        </w:rPr>
        <w:t>tion in liver transplant recipients.</w:t>
      </w:r>
    </w:p>
    <w:p w14:paraId="19BE1B11" w14:textId="77777777" w:rsidR="001135A2" w:rsidRDefault="001135A2">
      <w:pPr>
        <w:spacing w:line="360" w:lineRule="auto"/>
        <w:jc w:val="both"/>
        <w:rPr>
          <w:rFonts w:ascii="Book Antiqua" w:hAnsi="Book Antiqua"/>
        </w:rPr>
      </w:pPr>
    </w:p>
    <w:p w14:paraId="2D211D1D" w14:textId="77777777" w:rsidR="001135A2" w:rsidRDefault="00CD55CB">
      <w:pPr>
        <w:spacing w:line="360" w:lineRule="auto"/>
        <w:jc w:val="both"/>
        <w:rPr>
          <w:rFonts w:ascii="Book Antiqua" w:hAnsi="Book Antiqua"/>
        </w:rPr>
      </w:pPr>
      <w:r>
        <w:rPr>
          <w:rFonts w:ascii="Book Antiqua" w:eastAsia="Book Antiqua" w:hAnsi="Book Antiqua" w:cs="Book Antiqua"/>
          <w:b/>
          <w:i/>
          <w:color w:val="000000"/>
        </w:rPr>
        <w:t>Research methods</w:t>
      </w:r>
    </w:p>
    <w:p w14:paraId="6A66B561"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A case series of chronic hepatitis C liver transplant recipients received DAA post-liver transplant and achieved sustained virologic response. Only patients with at least one liver biopsy were included</w:t>
      </w:r>
      <w:r>
        <w:rPr>
          <w:rFonts w:ascii="Book Antiqua" w:eastAsia="Book Antiqua" w:hAnsi="Book Antiqua" w:cs="Book Antiqua"/>
          <w:color w:val="000000"/>
        </w:rPr>
        <w:t xml:space="preserve">. </w:t>
      </w:r>
    </w:p>
    <w:p w14:paraId="01492DE6" w14:textId="77777777" w:rsidR="001135A2" w:rsidRDefault="001135A2">
      <w:pPr>
        <w:spacing w:line="360" w:lineRule="auto"/>
        <w:jc w:val="both"/>
        <w:rPr>
          <w:rFonts w:ascii="Book Antiqua" w:hAnsi="Book Antiqua"/>
        </w:rPr>
      </w:pPr>
    </w:p>
    <w:p w14:paraId="6F7273FE" w14:textId="77777777" w:rsidR="001135A2" w:rsidRDefault="00CD55CB">
      <w:pPr>
        <w:spacing w:line="360" w:lineRule="auto"/>
        <w:jc w:val="both"/>
        <w:rPr>
          <w:rFonts w:ascii="Book Antiqua" w:hAnsi="Book Antiqua"/>
        </w:rPr>
      </w:pPr>
      <w:r>
        <w:rPr>
          <w:rFonts w:ascii="Book Antiqua" w:eastAsia="Book Antiqua" w:hAnsi="Book Antiqua" w:cs="Book Antiqua"/>
          <w:b/>
          <w:i/>
          <w:color w:val="000000"/>
        </w:rPr>
        <w:t>Research results</w:t>
      </w:r>
    </w:p>
    <w:p w14:paraId="14D8D442"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Thirteen patients were included in this case series; all achieved SVR. Twelve patients were found to have persistent inflammation at the end of treatment biopsy. Five patients had follow-up biopsies, all of which had persistent inflammation. However, all p</w:t>
      </w:r>
      <w:r>
        <w:rPr>
          <w:rFonts w:ascii="Book Antiqua" w:eastAsia="Book Antiqua" w:hAnsi="Book Antiqua" w:cs="Book Antiqua"/>
          <w:color w:val="000000"/>
        </w:rPr>
        <w:t xml:space="preserve">atients had preserved graft function up to 2.5 years, except one who had chronic rejection. </w:t>
      </w:r>
    </w:p>
    <w:p w14:paraId="5D53A617" w14:textId="77777777" w:rsidR="001135A2" w:rsidRDefault="001135A2">
      <w:pPr>
        <w:spacing w:line="360" w:lineRule="auto"/>
        <w:jc w:val="both"/>
        <w:rPr>
          <w:rFonts w:ascii="Book Antiqua" w:hAnsi="Book Antiqua"/>
        </w:rPr>
      </w:pPr>
    </w:p>
    <w:p w14:paraId="6D17B072" w14:textId="77777777" w:rsidR="001135A2" w:rsidRDefault="00CD55CB">
      <w:pPr>
        <w:spacing w:line="360" w:lineRule="auto"/>
        <w:jc w:val="both"/>
        <w:rPr>
          <w:rFonts w:ascii="Book Antiqua" w:hAnsi="Book Antiqua"/>
        </w:rPr>
      </w:pPr>
      <w:r>
        <w:rPr>
          <w:rFonts w:ascii="Book Antiqua" w:eastAsia="Book Antiqua" w:hAnsi="Book Antiqua" w:cs="Book Antiqua"/>
          <w:b/>
          <w:i/>
          <w:color w:val="000000"/>
        </w:rPr>
        <w:t>Research conclusions</w:t>
      </w:r>
    </w:p>
    <w:p w14:paraId="40D8FB6D"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Persistent inflammation can be seen in liver transplant recipients treated with DAAs; however, it did not appear to affect the outcome.</w:t>
      </w:r>
    </w:p>
    <w:p w14:paraId="5F3261BB" w14:textId="77777777" w:rsidR="001135A2" w:rsidRDefault="001135A2">
      <w:pPr>
        <w:spacing w:line="360" w:lineRule="auto"/>
        <w:jc w:val="both"/>
        <w:rPr>
          <w:rFonts w:ascii="Book Antiqua" w:hAnsi="Book Antiqua"/>
        </w:rPr>
      </w:pPr>
    </w:p>
    <w:p w14:paraId="2ADC3AAC" w14:textId="77777777" w:rsidR="001135A2" w:rsidRDefault="00CD55CB">
      <w:pPr>
        <w:spacing w:line="360" w:lineRule="auto"/>
        <w:jc w:val="both"/>
        <w:rPr>
          <w:rFonts w:ascii="Book Antiqua" w:hAnsi="Book Antiqua"/>
        </w:rPr>
      </w:pPr>
      <w:r>
        <w:rPr>
          <w:rFonts w:ascii="Book Antiqua" w:eastAsia="Book Antiqua" w:hAnsi="Book Antiqua" w:cs="Book Antiqua"/>
          <w:b/>
          <w:i/>
          <w:color w:val="000000"/>
        </w:rPr>
        <w:t>Rese</w:t>
      </w:r>
      <w:r>
        <w:rPr>
          <w:rFonts w:ascii="Book Antiqua" w:eastAsia="Book Antiqua" w:hAnsi="Book Antiqua" w:cs="Book Antiqua"/>
          <w:b/>
          <w:i/>
          <w:color w:val="000000"/>
        </w:rPr>
        <w:t>arch perspectives</w:t>
      </w:r>
    </w:p>
    <w:p w14:paraId="5DC39600"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The findings of our case series shed light on the significance of persistent inflammation in liver transplant recipients post successful DAAs treatment. Further studies are needed to include a more diverse patient population.</w:t>
      </w:r>
    </w:p>
    <w:p w14:paraId="335E5CB6" w14:textId="77777777" w:rsidR="001135A2" w:rsidRDefault="001135A2">
      <w:pPr>
        <w:spacing w:line="360" w:lineRule="auto"/>
        <w:jc w:val="both"/>
        <w:rPr>
          <w:rFonts w:ascii="Book Antiqua" w:hAnsi="Book Antiqua"/>
        </w:rPr>
      </w:pPr>
    </w:p>
    <w:p w14:paraId="46177C5F"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REFERENCES</w:t>
      </w:r>
    </w:p>
    <w:p w14:paraId="0E0B2294" w14:textId="77777777" w:rsidR="001135A2" w:rsidRDefault="00CD55CB">
      <w:pPr>
        <w:spacing w:line="360" w:lineRule="auto"/>
        <w:jc w:val="both"/>
        <w:rPr>
          <w:rFonts w:ascii="Book Antiqua" w:hAnsi="Book Antiqua"/>
        </w:rPr>
      </w:pPr>
      <w:r>
        <w:rPr>
          <w:rFonts w:ascii="Book Antiqua" w:hAnsi="Book Antiqua"/>
        </w:rPr>
        <w:t xml:space="preserve">1 </w:t>
      </w:r>
      <w:r>
        <w:rPr>
          <w:rFonts w:ascii="Book Antiqua" w:hAnsi="Book Antiqua"/>
          <w:b/>
          <w:bCs/>
        </w:rPr>
        <w:t>Verna EC</w:t>
      </w:r>
      <w:r>
        <w:rPr>
          <w:rFonts w:ascii="Book Antiqua" w:hAnsi="Book Antiqua"/>
        </w:rPr>
        <w:t xml:space="preserve">, Brown RS Jr. Hepatitis C virus and liver transplantation. </w:t>
      </w:r>
      <w:r>
        <w:rPr>
          <w:rFonts w:ascii="Book Antiqua" w:hAnsi="Book Antiqua"/>
          <w:i/>
          <w:iCs/>
        </w:rPr>
        <w:t>Clin Liver Dis</w:t>
      </w:r>
      <w:r>
        <w:rPr>
          <w:rFonts w:ascii="Book Antiqua" w:hAnsi="Book Antiqua"/>
        </w:rPr>
        <w:t xml:space="preserve"> 2006; </w:t>
      </w:r>
      <w:r>
        <w:rPr>
          <w:rFonts w:ascii="Book Antiqua" w:hAnsi="Book Antiqua"/>
          <w:b/>
          <w:bCs/>
        </w:rPr>
        <w:t>10</w:t>
      </w:r>
      <w:r>
        <w:rPr>
          <w:rFonts w:ascii="Book Antiqua" w:hAnsi="Book Antiqua"/>
        </w:rPr>
        <w:t>: 919-940 [PMID: 17164125 DOI: 10.1016/j.cld.2006.08.012]</w:t>
      </w:r>
    </w:p>
    <w:p w14:paraId="5C3A47FA" w14:textId="77777777" w:rsidR="001135A2" w:rsidRDefault="00CD55CB">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Cholankeril</w:t>
      </w:r>
      <w:proofErr w:type="spellEnd"/>
      <w:r>
        <w:rPr>
          <w:rFonts w:ascii="Book Antiqua" w:hAnsi="Book Antiqua"/>
          <w:b/>
          <w:bCs/>
        </w:rPr>
        <w:t xml:space="preserve"> G</w:t>
      </w:r>
      <w:r>
        <w:rPr>
          <w:rFonts w:ascii="Book Antiqua" w:hAnsi="Book Antiqua"/>
        </w:rPr>
        <w:t>, Ahmed A. Alcoholic Liver Disease Replaces Hepatitis C Virus Infection as the Leading Ind</w:t>
      </w:r>
      <w:r>
        <w:rPr>
          <w:rFonts w:ascii="Book Antiqua" w:hAnsi="Book Antiqua"/>
        </w:rPr>
        <w:t xml:space="preserve">ication for Liver Transplantation in the United States. </w:t>
      </w:r>
      <w:r>
        <w:rPr>
          <w:rFonts w:ascii="Book Antiqua" w:hAnsi="Book Antiqua"/>
          <w:i/>
          <w:iCs/>
        </w:rPr>
        <w:t>Clin Gastroenterol Hepatol</w:t>
      </w:r>
      <w:r>
        <w:rPr>
          <w:rFonts w:ascii="Book Antiqua" w:hAnsi="Book Antiqua"/>
        </w:rPr>
        <w:t xml:space="preserve"> 2018; </w:t>
      </w:r>
      <w:r>
        <w:rPr>
          <w:rFonts w:ascii="Book Antiqua" w:hAnsi="Book Antiqua"/>
          <w:b/>
          <w:bCs/>
        </w:rPr>
        <w:t>16</w:t>
      </w:r>
      <w:r>
        <w:rPr>
          <w:rFonts w:ascii="Book Antiqua" w:hAnsi="Book Antiqua"/>
        </w:rPr>
        <w:t>: 1356-1358 [PMID: 29199144 DOI: 10.1016/j.cgh.2017.11.045]</w:t>
      </w:r>
    </w:p>
    <w:p w14:paraId="42E83536" w14:textId="77777777" w:rsidR="001135A2" w:rsidRDefault="00CD55CB">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Firpi</w:t>
      </w:r>
      <w:proofErr w:type="spellEnd"/>
      <w:r>
        <w:rPr>
          <w:rFonts w:ascii="Book Antiqua" w:hAnsi="Book Antiqua"/>
          <w:b/>
          <w:bCs/>
        </w:rPr>
        <w:t xml:space="preserve"> RJ</w:t>
      </w:r>
      <w:r>
        <w:rPr>
          <w:rFonts w:ascii="Book Antiqua" w:hAnsi="Book Antiqua"/>
        </w:rPr>
        <w:t xml:space="preserve">, Clark V, Soldevila-Pico C, Morelli G, Cabrera R, Levy C, </w:t>
      </w:r>
      <w:proofErr w:type="spellStart"/>
      <w:r>
        <w:rPr>
          <w:rFonts w:ascii="Book Antiqua" w:hAnsi="Book Antiqua"/>
        </w:rPr>
        <w:t>Machicao</w:t>
      </w:r>
      <w:proofErr w:type="spellEnd"/>
      <w:r>
        <w:rPr>
          <w:rFonts w:ascii="Book Antiqua" w:hAnsi="Book Antiqua"/>
        </w:rPr>
        <w:t xml:space="preserve"> VI, </w:t>
      </w:r>
      <w:proofErr w:type="spellStart"/>
      <w:r>
        <w:rPr>
          <w:rFonts w:ascii="Book Antiqua" w:hAnsi="Book Antiqua"/>
        </w:rPr>
        <w:t>Chaoru</w:t>
      </w:r>
      <w:proofErr w:type="spellEnd"/>
      <w:r>
        <w:rPr>
          <w:rFonts w:ascii="Book Antiqua" w:hAnsi="Book Antiqua"/>
        </w:rPr>
        <w:t xml:space="preserve"> C, Nelson DR. Th</w:t>
      </w:r>
      <w:r>
        <w:rPr>
          <w:rFonts w:ascii="Book Antiqua" w:hAnsi="Book Antiqua"/>
        </w:rPr>
        <w:t xml:space="preserve">e natural history of hepatitis C cirrhosis after liver transplantation.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2009; </w:t>
      </w:r>
      <w:r>
        <w:rPr>
          <w:rFonts w:ascii="Book Antiqua" w:hAnsi="Book Antiqua"/>
          <w:b/>
          <w:bCs/>
        </w:rPr>
        <w:t>15</w:t>
      </w:r>
      <w:r>
        <w:rPr>
          <w:rFonts w:ascii="Book Antiqua" w:hAnsi="Book Antiqua"/>
        </w:rPr>
        <w:t>: 1063-1071 [PMID: 19718647 DOI: 10.1002/lt.21784]</w:t>
      </w:r>
    </w:p>
    <w:p w14:paraId="614E27F7" w14:textId="77777777" w:rsidR="001135A2" w:rsidRDefault="00CD55CB">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Gane</w:t>
      </w:r>
      <w:proofErr w:type="spellEnd"/>
      <w:r>
        <w:rPr>
          <w:rFonts w:ascii="Book Antiqua" w:hAnsi="Book Antiqua"/>
          <w:b/>
          <w:bCs/>
        </w:rPr>
        <w:t xml:space="preserve"> EJ</w:t>
      </w:r>
      <w:r>
        <w:rPr>
          <w:rFonts w:ascii="Book Antiqua" w:hAnsi="Book Antiqua"/>
        </w:rPr>
        <w:t xml:space="preserve">, </w:t>
      </w:r>
      <w:proofErr w:type="spellStart"/>
      <w:r>
        <w:rPr>
          <w:rFonts w:ascii="Book Antiqua" w:hAnsi="Book Antiqua"/>
        </w:rPr>
        <w:t>Portmann</w:t>
      </w:r>
      <w:proofErr w:type="spellEnd"/>
      <w:r>
        <w:rPr>
          <w:rFonts w:ascii="Book Antiqua" w:hAnsi="Book Antiqua"/>
        </w:rPr>
        <w:t xml:space="preserve"> BC, </w:t>
      </w:r>
      <w:proofErr w:type="spellStart"/>
      <w:r>
        <w:rPr>
          <w:rFonts w:ascii="Book Antiqua" w:hAnsi="Book Antiqua"/>
        </w:rPr>
        <w:t>Naoumov</w:t>
      </w:r>
      <w:proofErr w:type="spellEnd"/>
      <w:r>
        <w:rPr>
          <w:rFonts w:ascii="Book Antiqua" w:hAnsi="Book Antiqua"/>
        </w:rPr>
        <w:t xml:space="preserve"> NV, Smith HM, Underhill JA, Donaldson PT, </w:t>
      </w:r>
      <w:proofErr w:type="spellStart"/>
      <w:r>
        <w:rPr>
          <w:rFonts w:ascii="Book Antiqua" w:hAnsi="Book Antiqua"/>
        </w:rPr>
        <w:t>Maertens</w:t>
      </w:r>
      <w:proofErr w:type="spellEnd"/>
      <w:r>
        <w:rPr>
          <w:rFonts w:ascii="Book Antiqua" w:hAnsi="Book Antiqua"/>
        </w:rPr>
        <w:t xml:space="preserve"> G, Williams R. Long-term out</w:t>
      </w:r>
      <w:r>
        <w:rPr>
          <w:rFonts w:ascii="Book Antiqua" w:hAnsi="Book Antiqua"/>
        </w:rPr>
        <w:t xml:space="preserve">come of hepatitis C infection after liver transplantation.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1996; </w:t>
      </w:r>
      <w:r>
        <w:rPr>
          <w:rFonts w:ascii="Book Antiqua" w:hAnsi="Book Antiqua"/>
          <w:b/>
          <w:bCs/>
        </w:rPr>
        <w:t>334</w:t>
      </w:r>
      <w:r>
        <w:rPr>
          <w:rFonts w:ascii="Book Antiqua" w:hAnsi="Book Antiqua"/>
        </w:rPr>
        <w:t>: 815-820 [PMID: 8596547 DOI: 10.1056/NEJM199603283341302]</w:t>
      </w:r>
    </w:p>
    <w:p w14:paraId="0E601649" w14:textId="77777777" w:rsidR="001135A2" w:rsidRDefault="00CD55CB">
      <w:pPr>
        <w:spacing w:line="360" w:lineRule="auto"/>
        <w:jc w:val="both"/>
        <w:rPr>
          <w:rFonts w:ascii="Book Antiqua" w:hAnsi="Book Antiqua"/>
        </w:rPr>
      </w:pPr>
      <w:r>
        <w:rPr>
          <w:rFonts w:ascii="Book Antiqua" w:hAnsi="Book Antiqua"/>
        </w:rPr>
        <w:lastRenderedPageBreak/>
        <w:t xml:space="preserve">5 </w:t>
      </w:r>
      <w:proofErr w:type="spellStart"/>
      <w:r>
        <w:rPr>
          <w:rFonts w:ascii="Book Antiqua" w:hAnsi="Book Antiqua"/>
          <w:b/>
          <w:bCs/>
        </w:rPr>
        <w:t>Berenguer</w:t>
      </w:r>
      <w:proofErr w:type="spellEnd"/>
      <w:r>
        <w:rPr>
          <w:rFonts w:ascii="Book Antiqua" w:hAnsi="Book Antiqua"/>
          <w:b/>
          <w:bCs/>
        </w:rPr>
        <w:t xml:space="preserve"> M</w:t>
      </w:r>
      <w:r>
        <w:rPr>
          <w:rFonts w:ascii="Book Antiqua" w:hAnsi="Book Antiqua"/>
        </w:rPr>
        <w:t xml:space="preserve">, López-Labrador FX, Wright TL. Hepatitis C and liver transplantation. </w:t>
      </w:r>
      <w:r>
        <w:rPr>
          <w:rFonts w:ascii="Book Antiqua" w:hAnsi="Book Antiqua"/>
          <w:i/>
          <w:iCs/>
        </w:rPr>
        <w:t>J Hepatol</w:t>
      </w:r>
      <w:r>
        <w:rPr>
          <w:rFonts w:ascii="Book Antiqua" w:hAnsi="Book Antiqua"/>
        </w:rPr>
        <w:t xml:space="preserve"> 2001; </w:t>
      </w:r>
      <w:r>
        <w:rPr>
          <w:rFonts w:ascii="Book Antiqua" w:hAnsi="Book Antiqua"/>
          <w:b/>
          <w:bCs/>
        </w:rPr>
        <w:t>35</w:t>
      </w:r>
      <w:r>
        <w:rPr>
          <w:rFonts w:ascii="Book Antiqua" w:hAnsi="Book Antiqua"/>
        </w:rPr>
        <w:t>: 666-678 [PMI</w:t>
      </w:r>
      <w:r>
        <w:rPr>
          <w:rFonts w:ascii="Book Antiqua" w:hAnsi="Book Antiqua"/>
        </w:rPr>
        <w:t>D: 11690716 DOI: 10.1016/s0168-8278(01)00179-9]</w:t>
      </w:r>
    </w:p>
    <w:p w14:paraId="1743A30C" w14:textId="77777777" w:rsidR="001135A2" w:rsidRDefault="00CD55CB">
      <w:pPr>
        <w:spacing w:line="360" w:lineRule="auto"/>
        <w:jc w:val="both"/>
        <w:rPr>
          <w:rFonts w:ascii="Book Antiqua" w:hAnsi="Book Antiqua"/>
        </w:rPr>
      </w:pPr>
      <w:r>
        <w:rPr>
          <w:rFonts w:ascii="Book Antiqua" w:hAnsi="Book Antiqua"/>
        </w:rPr>
        <w:t xml:space="preserve">6 </w:t>
      </w:r>
      <w:r>
        <w:rPr>
          <w:rFonts w:ascii="Book Antiqua" w:hAnsi="Book Antiqua"/>
          <w:b/>
          <w:bCs/>
        </w:rPr>
        <w:t>Peyton A</w:t>
      </w:r>
      <w:r>
        <w:rPr>
          <w:rFonts w:ascii="Book Antiqua" w:hAnsi="Book Antiqua"/>
        </w:rPr>
        <w:t xml:space="preserve">, </w:t>
      </w:r>
      <w:proofErr w:type="spellStart"/>
      <w:r>
        <w:rPr>
          <w:rFonts w:ascii="Book Antiqua" w:hAnsi="Book Antiqua"/>
        </w:rPr>
        <w:t>Bhamidimarri</w:t>
      </w:r>
      <w:proofErr w:type="spellEnd"/>
      <w:r>
        <w:rPr>
          <w:rFonts w:ascii="Book Antiqua" w:hAnsi="Book Antiqua"/>
        </w:rPr>
        <w:t xml:space="preserve"> KR. Hepatitis C treatment in liver transplant setting. </w:t>
      </w:r>
      <w:r>
        <w:rPr>
          <w:rFonts w:ascii="Book Antiqua" w:hAnsi="Book Antiqua"/>
          <w:i/>
          <w:iCs/>
        </w:rPr>
        <w:t>Clin Liver Dis (Hoboken)</w:t>
      </w:r>
      <w:r>
        <w:rPr>
          <w:rFonts w:ascii="Book Antiqua" w:hAnsi="Book Antiqua"/>
        </w:rPr>
        <w:t xml:space="preserve"> 2015; </w:t>
      </w:r>
      <w:r>
        <w:rPr>
          <w:rFonts w:ascii="Book Antiqua" w:hAnsi="Book Antiqua"/>
          <w:b/>
          <w:bCs/>
        </w:rPr>
        <w:t>5</w:t>
      </w:r>
      <w:r>
        <w:rPr>
          <w:rFonts w:ascii="Book Antiqua" w:hAnsi="Book Antiqua"/>
        </w:rPr>
        <w:t>: 145-149 [PMID: 31040972 DOI: 10.1002/cld.475]</w:t>
      </w:r>
    </w:p>
    <w:p w14:paraId="18D2C380" w14:textId="77777777" w:rsidR="001135A2" w:rsidRDefault="00CD55CB">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Coilly</w:t>
      </w:r>
      <w:proofErr w:type="spellEnd"/>
      <w:r>
        <w:rPr>
          <w:rFonts w:ascii="Book Antiqua" w:hAnsi="Book Antiqua"/>
          <w:b/>
          <w:bCs/>
        </w:rPr>
        <w:t xml:space="preserve"> A,</w:t>
      </w:r>
      <w:r>
        <w:rPr>
          <w:rFonts w:ascii="Book Antiqua" w:hAnsi="Book Antiqua"/>
        </w:rPr>
        <w:t xml:space="preserve"> Roche B, Duclos-</w:t>
      </w:r>
      <w:proofErr w:type="spellStart"/>
      <w:r>
        <w:rPr>
          <w:rFonts w:ascii="Book Antiqua" w:hAnsi="Book Antiqua"/>
        </w:rPr>
        <w:t>Vallée</w:t>
      </w:r>
      <w:proofErr w:type="spellEnd"/>
      <w:r>
        <w:rPr>
          <w:rFonts w:ascii="Book Antiqua" w:hAnsi="Book Antiqua"/>
        </w:rPr>
        <w:t xml:space="preserve"> JC, Samuel D.</w:t>
      </w:r>
      <w:r>
        <w:rPr>
          <w:rFonts w:ascii="Book Antiqua" w:hAnsi="Book Antiqua"/>
        </w:rPr>
        <w:t xml:space="preserve"> Optimal therapy in hepatitis C virus liver transplant patients with direct acting anti-</w:t>
      </w:r>
      <w:proofErr w:type="spellStart"/>
      <w:r>
        <w:rPr>
          <w:rFonts w:ascii="Book Antiqua" w:hAnsi="Book Antiqua"/>
        </w:rPr>
        <w:t>virals</w:t>
      </w:r>
      <w:proofErr w:type="spellEnd"/>
      <w:r>
        <w:rPr>
          <w:rFonts w:ascii="Book Antiqua" w:hAnsi="Book Antiqua"/>
        </w:rPr>
        <w:t xml:space="preserve">. </w:t>
      </w:r>
      <w:r>
        <w:rPr>
          <w:rFonts w:ascii="Book Antiqua" w:hAnsi="Book Antiqua"/>
          <w:i/>
          <w:iCs/>
        </w:rPr>
        <w:t>Liver Int</w:t>
      </w:r>
      <w:r>
        <w:rPr>
          <w:rFonts w:ascii="Book Antiqua" w:hAnsi="Book Antiqua"/>
        </w:rPr>
        <w:t xml:space="preserve"> 2015; </w:t>
      </w:r>
      <w:r>
        <w:rPr>
          <w:rFonts w:ascii="Book Antiqua" w:hAnsi="Book Antiqua"/>
          <w:b/>
          <w:bCs/>
        </w:rPr>
        <w:t>35</w:t>
      </w:r>
      <w:r>
        <w:rPr>
          <w:rFonts w:ascii="Book Antiqua" w:hAnsi="Book Antiqua"/>
        </w:rPr>
        <w:t>: 44-50 [DOI:10.1111/liv.12728]</w:t>
      </w:r>
    </w:p>
    <w:p w14:paraId="68A2CB8E" w14:textId="77777777" w:rsidR="001135A2" w:rsidRDefault="00CD55CB">
      <w:pPr>
        <w:spacing w:line="360" w:lineRule="auto"/>
        <w:jc w:val="both"/>
        <w:rPr>
          <w:rFonts w:ascii="Book Antiqua" w:hAnsi="Book Antiqua"/>
        </w:rPr>
      </w:pPr>
      <w:r>
        <w:rPr>
          <w:rFonts w:ascii="Book Antiqua" w:hAnsi="Book Antiqua"/>
        </w:rPr>
        <w:t xml:space="preserve">8 </w:t>
      </w:r>
      <w:r>
        <w:rPr>
          <w:rFonts w:ascii="Book Antiqua" w:hAnsi="Book Antiqua"/>
          <w:b/>
          <w:bCs/>
        </w:rPr>
        <w:t>Wang CS</w:t>
      </w:r>
      <w:r>
        <w:rPr>
          <w:rFonts w:ascii="Book Antiqua" w:hAnsi="Book Antiqua"/>
        </w:rPr>
        <w:t xml:space="preserve">, Ko HH, Yoshida EM, </w:t>
      </w:r>
      <w:proofErr w:type="spellStart"/>
      <w:r>
        <w:rPr>
          <w:rFonts w:ascii="Book Antiqua" w:hAnsi="Book Antiqua"/>
        </w:rPr>
        <w:t>Marra</w:t>
      </w:r>
      <w:proofErr w:type="spellEnd"/>
      <w:r>
        <w:rPr>
          <w:rFonts w:ascii="Book Antiqua" w:hAnsi="Book Antiqua"/>
        </w:rPr>
        <w:t xml:space="preserve"> CA, Richardson K. Interferon-based combination anti-viral therapy for hepa</w:t>
      </w:r>
      <w:r>
        <w:rPr>
          <w:rFonts w:ascii="Book Antiqua" w:hAnsi="Book Antiqua"/>
        </w:rPr>
        <w:t xml:space="preserve">titis C virus after liver transplantation: a review and quantitative analysis. </w:t>
      </w:r>
      <w:r>
        <w:rPr>
          <w:rFonts w:ascii="Book Antiqua" w:hAnsi="Book Antiqua"/>
          <w:i/>
          <w:iCs/>
        </w:rPr>
        <w:t>Am J Transplant</w:t>
      </w:r>
      <w:r>
        <w:rPr>
          <w:rFonts w:ascii="Book Antiqua" w:hAnsi="Book Antiqua"/>
        </w:rPr>
        <w:t xml:space="preserve"> 2006; </w:t>
      </w:r>
      <w:r>
        <w:rPr>
          <w:rFonts w:ascii="Book Antiqua" w:hAnsi="Book Antiqua"/>
          <w:b/>
          <w:bCs/>
        </w:rPr>
        <w:t>6</w:t>
      </w:r>
      <w:r>
        <w:rPr>
          <w:rFonts w:ascii="Book Antiqua" w:hAnsi="Book Antiqua"/>
        </w:rPr>
        <w:t>: 1586-1599 [PMID: 16827859 DOI: 10.1111/j.1600-6143.</w:t>
      </w:r>
      <w:proofErr w:type="gramStart"/>
      <w:r>
        <w:rPr>
          <w:rFonts w:ascii="Book Antiqua" w:hAnsi="Book Antiqua"/>
        </w:rPr>
        <w:t>2006.01362.x</w:t>
      </w:r>
      <w:proofErr w:type="gramEnd"/>
      <w:r>
        <w:rPr>
          <w:rFonts w:ascii="Book Antiqua" w:hAnsi="Book Antiqua"/>
        </w:rPr>
        <w:t>]</w:t>
      </w:r>
    </w:p>
    <w:p w14:paraId="4868006B" w14:textId="77777777" w:rsidR="001135A2" w:rsidRDefault="00CD55CB">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Carrión</w:t>
      </w:r>
      <w:proofErr w:type="spellEnd"/>
      <w:r>
        <w:rPr>
          <w:rFonts w:ascii="Book Antiqua" w:hAnsi="Book Antiqua"/>
          <w:b/>
          <w:bCs/>
        </w:rPr>
        <w:t xml:space="preserve"> JA</w:t>
      </w:r>
      <w:r>
        <w:rPr>
          <w:rFonts w:ascii="Book Antiqua" w:hAnsi="Book Antiqua"/>
        </w:rPr>
        <w:t xml:space="preserve">, </w:t>
      </w:r>
      <w:proofErr w:type="spellStart"/>
      <w:r>
        <w:rPr>
          <w:rFonts w:ascii="Book Antiqua" w:hAnsi="Book Antiqua"/>
        </w:rPr>
        <w:t>Navasa</w:t>
      </w:r>
      <w:proofErr w:type="spellEnd"/>
      <w:r>
        <w:rPr>
          <w:rFonts w:ascii="Book Antiqua" w:hAnsi="Book Antiqua"/>
        </w:rPr>
        <w:t xml:space="preserve"> M, García-</w:t>
      </w:r>
      <w:proofErr w:type="spellStart"/>
      <w:r>
        <w:rPr>
          <w:rFonts w:ascii="Book Antiqua" w:hAnsi="Book Antiqua"/>
        </w:rPr>
        <w:t>Retortillo</w:t>
      </w:r>
      <w:proofErr w:type="spellEnd"/>
      <w:r>
        <w:rPr>
          <w:rFonts w:ascii="Book Antiqua" w:hAnsi="Book Antiqua"/>
        </w:rPr>
        <w:t xml:space="preserve"> M, García-Pagan JC, Crespo G, Bruguera M, Bos</w:t>
      </w:r>
      <w:r>
        <w:rPr>
          <w:rFonts w:ascii="Book Antiqua" w:hAnsi="Book Antiqua"/>
        </w:rPr>
        <w:t xml:space="preserve">ch J, </w:t>
      </w:r>
      <w:proofErr w:type="spellStart"/>
      <w:r>
        <w:rPr>
          <w:rFonts w:ascii="Book Antiqua" w:hAnsi="Book Antiqua"/>
        </w:rPr>
        <w:t>Forns</w:t>
      </w:r>
      <w:proofErr w:type="spellEnd"/>
      <w:r>
        <w:rPr>
          <w:rFonts w:ascii="Book Antiqua" w:hAnsi="Book Antiqua"/>
        </w:rPr>
        <w:t xml:space="preserve"> X. Efficacy of antiviral therapy on hepatitis C recurrence after liver transplantation: a randomized controlled study. </w:t>
      </w:r>
      <w:r>
        <w:rPr>
          <w:rFonts w:ascii="Book Antiqua" w:hAnsi="Book Antiqua"/>
          <w:i/>
          <w:iCs/>
        </w:rPr>
        <w:t>Gastroenterology</w:t>
      </w:r>
      <w:r>
        <w:rPr>
          <w:rFonts w:ascii="Book Antiqua" w:hAnsi="Book Antiqua"/>
        </w:rPr>
        <w:t xml:space="preserve"> 2007; </w:t>
      </w:r>
      <w:r>
        <w:rPr>
          <w:rFonts w:ascii="Book Antiqua" w:hAnsi="Book Antiqua"/>
          <w:b/>
          <w:bCs/>
        </w:rPr>
        <w:t>132</w:t>
      </w:r>
      <w:r>
        <w:rPr>
          <w:rFonts w:ascii="Book Antiqua" w:hAnsi="Book Antiqua"/>
        </w:rPr>
        <w:t>: 1746-1756 [PMID: 17484872 DOI: 10.1053/j.gastro.2007.03.041]</w:t>
      </w:r>
    </w:p>
    <w:p w14:paraId="58E4F00C" w14:textId="77777777" w:rsidR="001135A2" w:rsidRDefault="00CD55CB">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Dhanasekaran</w:t>
      </w:r>
      <w:proofErr w:type="spellEnd"/>
      <w:r>
        <w:rPr>
          <w:rFonts w:ascii="Book Antiqua" w:hAnsi="Book Antiqua"/>
          <w:b/>
          <w:bCs/>
        </w:rPr>
        <w:t xml:space="preserve"> R</w:t>
      </w:r>
      <w:r>
        <w:rPr>
          <w:rFonts w:ascii="Book Antiqua" w:hAnsi="Book Antiqua"/>
        </w:rPr>
        <w:t xml:space="preserve">, Sanchez W, </w:t>
      </w:r>
      <w:proofErr w:type="spellStart"/>
      <w:r>
        <w:rPr>
          <w:rFonts w:ascii="Book Antiqua" w:hAnsi="Book Antiqua"/>
        </w:rPr>
        <w:t>Mounaj</w:t>
      </w:r>
      <w:r>
        <w:rPr>
          <w:rFonts w:ascii="Book Antiqua" w:hAnsi="Book Antiqua"/>
        </w:rPr>
        <w:t>jed</w:t>
      </w:r>
      <w:proofErr w:type="spellEnd"/>
      <w:r>
        <w:rPr>
          <w:rFonts w:ascii="Book Antiqua" w:hAnsi="Book Antiqua"/>
        </w:rPr>
        <w:t xml:space="preserve"> T, Wiesner RH, Watt KD, Charlton MR. Impact of fibrosis progression on clinical outcome in patients treated for post-transplant hepatitis C recurrence. </w:t>
      </w:r>
      <w:r>
        <w:rPr>
          <w:rFonts w:ascii="Book Antiqua" w:hAnsi="Book Antiqua"/>
          <w:i/>
          <w:iCs/>
        </w:rPr>
        <w:t>Liver Int</w:t>
      </w:r>
      <w:r>
        <w:rPr>
          <w:rFonts w:ascii="Book Antiqua" w:hAnsi="Book Antiqua"/>
        </w:rPr>
        <w:t xml:space="preserve"> 2015; </w:t>
      </w:r>
      <w:r>
        <w:rPr>
          <w:rFonts w:ascii="Book Antiqua" w:hAnsi="Book Antiqua"/>
          <w:b/>
          <w:bCs/>
        </w:rPr>
        <w:t>35</w:t>
      </w:r>
      <w:r>
        <w:rPr>
          <w:rFonts w:ascii="Book Antiqua" w:hAnsi="Book Antiqua"/>
        </w:rPr>
        <w:t>: 2433-2441 [PMID: 26058570 DOI: 10.1111/liv.12890]</w:t>
      </w:r>
    </w:p>
    <w:p w14:paraId="61D9DAC4" w14:textId="77777777" w:rsidR="001135A2" w:rsidRDefault="00CD55CB">
      <w:pPr>
        <w:spacing w:line="360" w:lineRule="auto"/>
        <w:jc w:val="both"/>
        <w:rPr>
          <w:rFonts w:ascii="Book Antiqua" w:hAnsi="Book Antiqua"/>
        </w:rPr>
      </w:pPr>
      <w:r>
        <w:rPr>
          <w:rFonts w:ascii="Book Antiqua" w:hAnsi="Book Antiqua"/>
        </w:rPr>
        <w:t xml:space="preserve">11 </w:t>
      </w:r>
      <w:r>
        <w:rPr>
          <w:rFonts w:ascii="Book Antiqua" w:hAnsi="Book Antiqua"/>
          <w:b/>
          <w:bCs/>
        </w:rPr>
        <w:t>Whitcomb E</w:t>
      </w:r>
      <w:r>
        <w:rPr>
          <w:rFonts w:ascii="Book Antiqua" w:hAnsi="Book Antiqua"/>
        </w:rPr>
        <w:t>, Choi WT, Jerome</w:t>
      </w:r>
      <w:r>
        <w:rPr>
          <w:rFonts w:ascii="Book Antiqua" w:hAnsi="Book Antiqua"/>
        </w:rPr>
        <w:t xml:space="preserve"> KR, Cook L, Landis C, </w:t>
      </w:r>
      <w:proofErr w:type="spellStart"/>
      <w:r>
        <w:rPr>
          <w:rFonts w:ascii="Book Antiqua" w:hAnsi="Book Antiqua"/>
        </w:rPr>
        <w:t>Ahn</w:t>
      </w:r>
      <w:proofErr w:type="spellEnd"/>
      <w:r>
        <w:rPr>
          <w:rFonts w:ascii="Book Antiqua" w:hAnsi="Book Antiqua"/>
        </w:rPr>
        <w:t xml:space="preserve"> J, </w:t>
      </w:r>
      <w:proofErr w:type="spellStart"/>
      <w:r>
        <w:rPr>
          <w:rFonts w:ascii="Book Antiqua" w:hAnsi="Book Antiqua"/>
        </w:rPr>
        <w:t>Te</w:t>
      </w:r>
      <w:proofErr w:type="spellEnd"/>
      <w:r>
        <w:rPr>
          <w:rFonts w:ascii="Book Antiqua" w:hAnsi="Book Antiqua"/>
        </w:rPr>
        <w:t xml:space="preserve"> HS, </w:t>
      </w:r>
      <w:proofErr w:type="spellStart"/>
      <w:r>
        <w:rPr>
          <w:rFonts w:ascii="Book Antiqua" w:hAnsi="Book Antiqua"/>
        </w:rPr>
        <w:t>Esfeh</w:t>
      </w:r>
      <w:proofErr w:type="spellEnd"/>
      <w:r>
        <w:rPr>
          <w:rFonts w:ascii="Book Antiqua" w:hAnsi="Book Antiqua"/>
        </w:rPr>
        <w:t xml:space="preserve"> J, </w:t>
      </w:r>
      <w:proofErr w:type="spellStart"/>
      <w:r>
        <w:rPr>
          <w:rFonts w:ascii="Book Antiqua" w:hAnsi="Book Antiqua"/>
        </w:rPr>
        <w:t>Hanouneh</w:t>
      </w:r>
      <w:proofErr w:type="spellEnd"/>
      <w:r>
        <w:rPr>
          <w:rFonts w:ascii="Book Antiqua" w:hAnsi="Book Antiqua"/>
        </w:rPr>
        <w:t xml:space="preserve"> IA, </w:t>
      </w:r>
      <w:proofErr w:type="spellStart"/>
      <w:r>
        <w:rPr>
          <w:rFonts w:ascii="Book Antiqua" w:hAnsi="Book Antiqua"/>
        </w:rPr>
        <w:t>Rayhill</w:t>
      </w:r>
      <w:proofErr w:type="spellEnd"/>
      <w:r>
        <w:rPr>
          <w:rFonts w:ascii="Book Antiqua" w:hAnsi="Book Antiqua"/>
        </w:rPr>
        <w:t xml:space="preserve"> SC, Gibson W, </w:t>
      </w:r>
      <w:proofErr w:type="spellStart"/>
      <w:r>
        <w:rPr>
          <w:rFonts w:ascii="Book Antiqua" w:hAnsi="Book Antiqua"/>
        </w:rPr>
        <w:t>Plesec</w:t>
      </w:r>
      <w:proofErr w:type="spellEnd"/>
      <w:r>
        <w:rPr>
          <w:rFonts w:ascii="Book Antiqua" w:hAnsi="Book Antiqua"/>
        </w:rPr>
        <w:t xml:space="preserve"> T, Koo J, Wang HL, Hart J, Pai RK, </w:t>
      </w:r>
      <w:proofErr w:type="spellStart"/>
      <w:r>
        <w:rPr>
          <w:rFonts w:ascii="Book Antiqua" w:hAnsi="Book Antiqua"/>
        </w:rPr>
        <w:t>Westerhoff</w:t>
      </w:r>
      <w:proofErr w:type="spellEnd"/>
      <w:r>
        <w:rPr>
          <w:rFonts w:ascii="Book Antiqua" w:hAnsi="Book Antiqua"/>
        </w:rPr>
        <w:t xml:space="preserve"> M. Biopsy Specimens </w:t>
      </w:r>
      <w:proofErr w:type="gramStart"/>
      <w:r>
        <w:rPr>
          <w:rFonts w:ascii="Book Antiqua" w:hAnsi="Book Antiqua"/>
        </w:rPr>
        <w:t>From</w:t>
      </w:r>
      <w:proofErr w:type="gramEnd"/>
      <w:r>
        <w:rPr>
          <w:rFonts w:ascii="Book Antiqua" w:hAnsi="Book Antiqua"/>
        </w:rPr>
        <w:t xml:space="preserve"> Allograft Liver Contain Histologic Features of Hepatitis C Virus Infection After Virus Eradicatio</w:t>
      </w:r>
      <w:r>
        <w:rPr>
          <w:rFonts w:ascii="Book Antiqua" w:hAnsi="Book Antiqua"/>
        </w:rPr>
        <w:t xml:space="preserve">n. </w:t>
      </w:r>
      <w:r>
        <w:rPr>
          <w:rFonts w:ascii="Book Antiqua" w:hAnsi="Book Antiqua"/>
          <w:i/>
          <w:iCs/>
        </w:rPr>
        <w:t>Clin Gastroenterol Hepatol</w:t>
      </w:r>
      <w:r>
        <w:rPr>
          <w:rFonts w:ascii="Book Antiqua" w:hAnsi="Book Antiqua"/>
        </w:rPr>
        <w:t xml:space="preserve"> 2017; </w:t>
      </w:r>
      <w:r>
        <w:rPr>
          <w:rFonts w:ascii="Book Antiqua" w:hAnsi="Book Antiqua"/>
          <w:b/>
          <w:bCs/>
        </w:rPr>
        <w:t>15</w:t>
      </w:r>
      <w:r>
        <w:rPr>
          <w:rFonts w:ascii="Book Antiqua" w:hAnsi="Book Antiqua"/>
        </w:rPr>
        <w:t>: 1279-1285 [PMID: 28501538 DOI: 10.1016/j.cgh.2017.04.041]</w:t>
      </w:r>
    </w:p>
    <w:p w14:paraId="7DAA8C4F" w14:textId="77777777" w:rsidR="001135A2" w:rsidRDefault="00CD55CB">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Elmasry</w:t>
      </w:r>
      <w:proofErr w:type="spellEnd"/>
      <w:r>
        <w:rPr>
          <w:rFonts w:ascii="Book Antiqua" w:hAnsi="Book Antiqua"/>
          <w:b/>
          <w:bCs/>
        </w:rPr>
        <w:t xml:space="preserve"> S</w:t>
      </w:r>
      <w:r>
        <w:rPr>
          <w:rFonts w:ascii="Book Antiqua" w:hAnsi="Book Antiqua"/>
        </w:rPr>
        <w:t xml:space="preserve">, Wadhwa S, Bang BR, Cook L, Chopra S, </w:t>
      </w:r>
      <w:proofErr w:type="spellStart"/>
      <w:r>
        <w:rPr>
          <w:rFonts w:ascii="Book Antiqua" w:hAnsi="Book Antiqua"/>
        </w:rPr>
        <w:t>Kanel</w:t>
      </w:r>
      <w:proofErr w:type="spellEnd"/>
      <w:r>
        <w:rPr>
          <w:rFonts w:ascii="Book Antiqua" w:hAnsi="Book Antiqua"/>
        </w:rPr>
        <w:t xml:space="preserve"> G, Kim B, Harper T, Feng Z, Jerome KR, Kahn JA, Saito T. Detection of Occult Hepatitis C Virus Infection in Patients Who Achieved a Sustained Virologic Response to Direct-Acting Antiviral Agents for Recurrent In</w:t>
      </w:r>
      <w:r>
        <w:rPr>
          <w:rFonts w:ascii="Book Antiqua" w:hAnsi="Book Antiqua"/>
        </w:rPr>
        <w:t xml:space="preserve">fection After Liver Transplantation. </w:t>
      </w:r>
      <w:r>
        <w:rPr>
          <w:rFonts w:ascii="Book Antiqua" w:hAnsi="Book Antiqua"/>
          <w:i/>
          <w:iCs/>
        </w:rPr>
        <w:t>Gastroenterology</w:t>
      </w:r>
      <w:r>
        <w:rPr>
          <w:rFonts w:ascii="Book Antiqua" w:hAnsi="Book Antiqua"/>
        </w:rPr>
        <w:t xml:space="preserve"> 2017; </w:t>
      </w:r>
      <w:r>
        <w:rPr>
          <w:rFonts w:ascii="Book Antiqua" w:hAnsi="Book Antiqua"/>
          <w:b/>
          <w:bCs/>
        </w:rPr>
        <w:t>152</w:t>
      </w:r>
      <w:r>
        <w:rPr>
          <w:rFonts w:ascii="Book Antiqua" w:hAnsi="Book Antiqua"/>
        </w:rPr>
        <w:t>: 550-553.e8 [PMID: 27838287 DOI: 10.1053/j.gastro.2016.11.002]</w:t>
      </w:r>
    </w:p>
    <w:p w14:paraId="12D59D40" w14:textId="77777777" w:rsidR="001135A2" w:rsidRDefault="00CD55CB">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Martini S</w:t>
      </w:r>
      <w:r>
        <w:rPr>
          <w:rFonts w:ascii="Book Antiqua" w:hAnsi="Book Antiqua"/>
        </w:rPr>
        <w:t xml:space="preserve">, Sacco M, </w:t>
      </w:r>
      <w:proofErr w:type="spellStart"/>
      <w:r>
        <w:rPr>
          <w:rFonts w:ascii="Book Antiqua" w:hAnsi="Book Antiqua"/>
        </w:rPr>
        <w:t>Strona</w:t>
      </w:r>
      <w:proofErr w:type="spellEnd"/>
      <w:r>
        <w:rPr>
          <w:rFonts w:ascii="Book Antiqua" w:hAnsi="Book Antiqua"/>
        </w:rPr>
        <w:t xml:space="preserve"> S, Arese D, </w:t>
      </w:r>
      <w:proofErr w:type="spellStart"/>
      <w:r>
        <w:rPr>
          <w:rFonts w:ascii="Book Antiqua" w:hAnsi="Book Antiqua"/>
        </w:rPr>
        <w:t>Tandoi</w:t>
      </w:r>
      <w:proofErr w:type="spellEnd"/>
      <w:r>
        <w:rPr>
          <w:rFonts w:ascii="Book Antiqua" w:hAnsi="Book Antiqua"/>
        </w:rPr>
        <w:t xml:space="preserve"> F, Dell Olio D, </w:t>
      </w:r>
      <w:proofErr w:type="spellStart"/>
      <w:r>
        <w:rPr>
          <w:rFonts w:ascii="Book Antiqua" w:hAnsi="Book Antiqua"/>
        </w:rPr>
        <w:t>Stradella</w:t>
      </w:r>
      <w:proofErr w:type="spellEnd"/>
      <w:r>
        <w:rPr>
          <w:rFonts w:ascii="Book Antiqua" w:hAnsi="Book Antiqua"/>
        </w:rPr>
        <w:t xml:space="preserve"> D, </w:t>
      </w:r>
      <w:proofErr w:type="spellStart"/>
      <w:r>
        <w:rPr>
          <w:rFonts w:ascii="Book Antiqua" w:hAnsi="Book Antiqua"/>
        </w:rPr>
        <w:t>Cocchis</w:t>
      </w:r>
      <w:proofErr w:type="spellEnd"/>
      <w:r>
        <w:rPr>
          <w:rFonts w:ascii="Book Antiqua" w:hAnsi="Book Antiqua"/>
        </w:rPr>
        <w:t xml:space="preserve"> D, Mirabella S, Rizza G, </w:t>
      </w:r>
      <w:proofErr w:type="spellStart"/>
      <w:r>
        <w:rPr>
          <w:rFonts w:ascii="Book Antiqua" w:hAnsi="Book Antiqua"/>
        </w:rPr>
        <w:t>Magistroni</w:t>
      </w:r>
      <w:proofErr w:type="spellEnd"/>
      <w:r>
        <w:rPr>
          <w:rFonts w:ascii="Book Antiqua" w:hAnsi="Book Antiqua"/>
        </w:rPr>
        <w:t xml:space="preserve"> P, </w:t>
      </w:r>
      <w:proofErr w:type="spellStart"/>
      <w:r>
        <w:rPr>
          <w:rFonts w:ascii="Book Antiqua" w:hAnsi="Book Antiqua"/>
        </w:rPr>
        <w:t>Mosc</w:t>
      </w:r>
      <w:r>
        <w:rPr>
          <w:rFonts w:ascii="Book Antiqua" w:hAnsi="Book Antiqua"/>
        </w:rPr>
        <w:t>hini</w:t>
      </w:r>
      <w:proofErr w:type="spellEnd"/>
      <w:r>
        <w:rPr>
          <w:rFonts w:ascii="Book Antiqua" w:hAnsi="Book Antiqua"/>
        </w:rPr>
        <w:t xml:space="preserve"> P, </w:t>
      </w:r>
      <w:proofErr w:type="spellStart"/>
      <w:r>
        <w:rPr>
          <w:rFonts w:ascii="Book Antiqua" w:hAnsi="Book Antiqua"/>
        </w:rPr>
        <w:t>Ottobrelli</w:t>
      </w:r>
      <w:proofErr w:type="spellEnd"/>
      <w:r>
        <w:rPr>
          <w:rFonts w:ascii="Book Antiqua" w:hAnsi="Book Antiqua"/>
        </w:rPr>
        <w:t xml:space="preserve"> A, Amoroso A, </w:t>
      </w:r>
      <w:proofErr w:type="spellStart"/>
      <w:r>
        <w:rPr>
          <w:rFonts w:ascii="Book Antiqua" w:hAnsi="Book Antiqua"/>
        </w:rPr>
        <w:t>Rizzetto</w:t>
      </w:r>
      <w:proofErr w:type="spellEnd"/>
      <w:r>
        <w:rPr>
          <w:rFonts w:ascii="Book Antiqua" w:hAnsi="Book Antiqua"/>
        </w:rPr>
        <w:t xml:space="preserve"> M, </w:t>
      </w:r>
      <w:proofErr w:type="spellStart"/>
      <w:r>
        <w:rPr>
          <w:rFonts w:ascii="Book Antiqua" w:hAnsi="Book Antiqua"/>
        </w:rPr>
        <w:t>Salizzoni</w:t>
      </w:r>
      <w:proofErr w:type="spellEnd"/>
      <w:r>
        <w:rPr>
          <w:rFonts w:ascii="Book Antiqua" w:hAnsi="Book Antiqua"/>
        </w:rPr>
        <w:t xml:space="preserve"> M, </w:t>
      </w:r>
      <w:proofErr w:type="spellStart"/>
      <w:r>
        <w:rPr>
          <w:rFonts w:ascii="Book Antiqua" w:hAnsi="Book Antiqua"/>
        </w:rPr>
        <w:t>Saracco</w:t>
      </w:r>
      <w:proofErr w:type="spellEnd"/>
      <w:r>
        <w:rPr>
          <w:rFonts w:ascii="Book Antiqua" w:hAnsi="Book Antiqua"/>
        </w:rPr>
        <w:t xml:space="preserve"> GM, </w:t>
      </w:r>
      <w:proofErr w:type="spellStart"/>
      <w:r>
        <w:rPr>
          <w:rFonts w:ascii="Book Antiqua" w:hAnsi="Book Antiqua"/>
        </w:rPr>
        <w:t>Romagnoli</w:t>
      </w:r>
      <w:proofErr w:type="spellEnd"/>
      <w:r>
        <w:rPr>
          <w:rFonts w:ascii="Book Antiqua" w:hAnsi="Book Antiqua"/>
        </w:rPr>
        <w:t xml:space="preserve"> R. Impact of viral eradication with sofosbuvir-based therapy on the outcome of post-transplant hepatitis C with severe fibrosis. </w:t>
      </w:r>
      <w:r>
        <w:rPr>
          <w:rFonts w:ascii="Book Antiqua" w:hAnsi="Book Antiqua"/>
          <w:i/>
          <w:iCs/>
        </w:rPr>
        <w:t>Liver Int</w:t>
      </w:r>
      <w:r>
        <w:rPr>
          <w:rFonts w:ascii="Book Antiqua" w:hAnsi="Book Antiqua"/>
        </w:rPr>
        <w:t xml:space="preserve"> 2017; </w:t>
      </w:r>
      <w:r>
        <w:rPr>
          <w:rFonts w:ascii="Book Antiqua" w:hAnsi="Book Antiqua"/>
          <w:b/>
          <w:bCs/>
        </w:rPr>
        <w:t>37</w:t>
      </w:r>
      <w:r>
        <w:rPr>
          <w:rFonts w:ascii="Book Antiqua" w:hAnsi="Book Antiqua"/>
        </w:rPr>
        <w:t xml:space="preserve">: 62-70 [PMID: 27344058 DOI: </w:t>
      </w:r>
      <w:r>
        <w:rPr>
          <w:rFonts w:ascii="Book Antiqua" w:hAnsi="Book Antiqua"/>
        </w:rPr>
        <w:t>10.1111/liv.13193]</w:t>
      </w:r>
    </w:p>
    <w:p w14:paraId="27FE5F1E" w14:textId="77777777" w:rsidR="001135A2" w:rsidRDefault="00CD55CB">
      <w:pPr>
        <w:spacing w:line="360" w:lineRule="auto"/>
        <w:jc w:val="both"/>
        <w:rPr>
          <w:rFonts w:ascii="Book Antiqua" w:hAnsi="Book Antiqua"/>
        </w:rPr>
      </w:pPr>
      <w:r>
        <w:rPr>
          <w:rFonts w:ascii="Book Antiqua" w:hAnsi="Book Antiqua"/>
        </w:rPr>
        <w:t xml:space="preserve">14 </w:t>
      </w:r>
      <w:r>
        <w:rPr>
          <w:rFonts w:ascii="Book Antiqua" w:hAnsi="Book Antiqua"/>
          <w:b/>
          <w:bCs/>
        </w:rPr>
        <w:t>Goodman ZD</w:t>
      </w:r>
      <w:r>
        <w:rPr>
          <w:rFonts w:ascii="Book Antiqua" w:hAnsi="Book Antiqua"/>
        </w:rPr>
        <w:t xml:space="preserve">. Grading and staging systems for inflammation and fibrosis in chronic liver diseases. </w:t>
      </w:r>
      <w:r>
        <w:rPr>
          <w:rFonts w:ascii="Book Antiqua" w:hAnsi="Book Antiqua"/>
          <w:i/>
          <w:iCs/>
        </w:rPr>
        <w:t>J Hepatol</w:t>
      </w:r>
      <w:r>
        <w:rPr>
          <w:rFonts w:ascii="Book Antiqua" w:hAnsi="Book Antiqua"/>
        </w:rPr>
        <w:t xml:space="preserve"> 2007; </w:t>
      </w:r>
      <w:r>
        <w:rPr>
          <w:rFonts w:ascii="Book Antiqua" w:hAnsi="Book Antiqua"/>
          <w:b/>
          <w:bCs/>
        </w:rPr>
        <w:t>47</w:t>
      </w:r>
      <w:r>
        <w:rPr>
          <w:rFonts w:ascii="Book Antiqua" w:hAnsi="Book Antiqua"/>
        </w:rPr>
        <w:t>: 598-607 [PMID: 17692984 DOI: 10.1016/j.jhep.2007.07.006]</w:t>
      </w:r>
    </w:p>
    <w:p w14:paraId="6493C495" w14:textId="77777777" w:rsidR="001135A2" w:rsidRDefault="00CD55CB">
      <w:pPr>
        <w:spacing w:line="360" w:lineRule="auto"/>
        <w:jc w:val="both"/>
        <w:rPr>
          <w:rFonts w:ascii="Book Antiqua" w:hAnsi="Book Antiqua"/>
        </w:rPr>
      </w:pPr>
      <w:r>
        <w:rPr>
          <w:rFonts w:ascii="Book Antiqua" w:hAnsi="Book Antiqua"/>
        </w:rPr>
        <w:t xml:space="preserve">15 </w:t>
      </w:r>
      <w:r>
        <w:rPr>
          <w:rFonts w:ascii="Book Antiqua" w:hAnsi="Book Antiqua"/>
          <w:b/>
          <w:bCs/>
        </w:rPr>
        <w:t>AASLD-IDSA HCV Guidance Panel</w:t>
      </w:r>
      <w:r>
        <w:rPr>
          <w:rFonts w:ascii="Book Antiqua" w:hAnsi="Book Antiqua"/>
        </w:rPr>
        <w:t xml:space="preserve">. Hepatitis C Guidance 2018 </w:t>
      </w:r>
      <w:r>
        <w:rPr>
          <w:rFonts w:ascii="Book Antiqua" w:hAnsi="Book Antiqua"/>
        </w:rPr>
        <w:t xml:space="preserve">Update: AASLD-IDSA Recommendations for Testing, Managing, and Treating Hepatitis C Virus Infection. </w:t>
      </w:r>
      <w:r>
        <w:rPr>
          <w:rFonts w:ascii="Book Antiqua" w:hAnsi="Book Antiqua"/>
          <w:i/>
          <w:iCs/>
        </w:rPr>
        <w:t>Clin Infect Dis</w:t>
      </w:r>
      <w:r>
        <w:rPr>
          <w:rFonts w:ascii="Book Antiqua" w:hAnsi="Book Antiqua"/>
        </w:rPr>
        <w:t xml:space="preserve"> 2018; </w:t>
      </w:r>
      <w:r>
        <w:rPr>
          <w:rFonts w:ascii="Book Antiqua" w:hAnsi="Book Antiqua"/>
          <w:b/>
          <w:bCs/>
        </w:rPr>
        <w:t>67</w:t>
      </w:r>
      <w:r>
        <w:rPr>
          <w:rFonts w:ascii="Book Antiqua" w:hAnsi="Book Antiqua"/>
        </w:rPr>
        <w:t>: 1477-1492 [PMID: 30215672 DOI: 10.1093/</w:t>
      </w:r>
      <w:proofErr w:type="spellStart"/>
      <w:r>
        <w:rPr>
          <w:rFonts w:ascii="Book Antiqua" w:hAnsi="Book Antiqua"/>
        </w:rPr>
        <w:t>cid</w:t>
      </w:r>
      <w:proofErr w:type="spellEnd"/>
      <w:r>
        <w:rPr>
          <w:rFonts w:ascii="Book Antiqua" w:hAnsi="Book Antiqua"/>
        </w:rPr>
        <w:t>/ciy585]</w:t>
      </w:r>
    </w:p>
    <w:p w14:paraId="13E97B4C" w14:textId="77777777" w:rsidR="001135A2" w:rsidRDefault="00CD55CB">
      <w:pPr>
        <w:spacing w:line="360" w:lineRule="auto"/>
        <w:jc w:val="both"/>
        <w:rPr>
          <w:rFonts w:ascii="Book Antiqua" w:hAnsi="Book Antiqua"/>
        </w:rPr>
      </w:pPr>
      <w:r>
        <w:rPr>
          <w:rFonts w:ascii="Book Antiqua" w:hAnsi="Book Antiqua"/>
        </w:rPr>
        <w:t xml:space="preserve">16 </w:t>
      </w:r>
      <w:r>
        <w:rPr>
          <w:rFonts w:ascii="Book Antiqua" w:hAnsi="Book Antiqua"/>
          <w:b/>
          <w:bCs/>
        </w:rPr>
        <w:t>Unique patient populations: Patients WHO develop recurrent HCV infection pos</w:t>
      </w:r>
      <w:r>
        <w:rPr>
          <w:rFonts w:ascii="Book Antiqua" w:hAnsi="Book Antiqua"/>
          <w:b/>
          <w:bCs/>
        </w:rPr>
        <w:t>t-liver transplantation</w:t>
      </w:r>
      <w:r>
        <w:rPr>
          <w:rFonts w:ascii="Book Antiqua" w:hAnsi="Book Antiqua"/>
        </w:rPr>
        <w:t xml:space="preserve">. AASLD-IDSA. </w:t>
      </w:r>
      <w:proofErr w:type="spellStart"/>
      <w:r>
        <w:rPr>
          <w:rFonts w:ascii="Book Antiqua" w:hAnsi="Book Antiqua"/>
        </w:rPr>
        <w:t>Recomm</w:t>
      </w:r>
      <w:proofErr w:type="spellEnd"/>
      <w:r>
        <w:rPr>
          <w:rFonts w:ascii="Book Antiqua" w:hAnsi="Book Antiqua"/>
        </w:rPr>
        <w:t xml:space="preserve">. testing, </w:t>
      </w:r>
      <w:proofErr w:type="spellStart"/>
      <w:r>
        <w:rPr>
          <w:rFonts w:ascii="Book Antiqua" w:hAnsi="Book Antiqua"/>
        </w:rPr>
        <w:t>Manag</w:t>
      </w:r>
      <w:proofErr w:type="spellEnd"/>
      <w:r>
        <w:rPr>
          <w:rFonts w:ascii="Book Antiqua" w:hAnsi="Book Antiqua"/>
        </w:rPr>
        <w:t xml:space="preserve">. Treat. </w:t>
      </w:r>
      <w:proofErr w:type="spellStart"/>
      <w:r>
        <w:rPr>
          <w:rFonts w:ascii="Book Antiqua" w:hAnsi="Book Antiqua"/>
        </w:rPr>
        <w:t>Hepat</w:t>
      </w:r>
      <w:proofErr w:type="spellEnd"/>
      <w:r>
        <w:rPr>
          <w:rFonts w:ascii="Book Antiqua" w:hAnsi="Book Antiqua"/>
        </w:rPr>
        <w:t xml:space="preserve"> C [DOI: 10.1002/cld.791]</w:t>
      </w:r>
    </w:p>
    <w:p w14:paraId="7F2BCD0D" w14:textId="77777777" w:rsidR="001135A2" w:rsidRDefault="00CD55CB">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Morcos</w:t>
      </w:r>
      <w:proofErr w:type="spellEnd"/>
      <w:r>
        <w:rPr>
          <w:rFonts w:ascii="Book Antiqua" w:hAnsi="Book Antiqua"/>
          <w:b/>
          <w:bCs/>
        </w:rPr>
        <w:t xml:space="preserve"> PN</w:t>
      </w:r>
      <w:r>
        <w:rPr>
          <w:rFonts w:ascii="Book Antiqua" w:hAnsi="Book Antiqua"/>
        </w:rPr>
        <w:t xml:space="preserve">, Moreira SA, Brennan BJ, </w:t>
      </w:r>
      <w:proofErr w:type="spellStart"/>
      <w:r>
        <w:rPr>
          <w:rFonts w:ascii="Book Antiqua" w:hAnsi="Book Antiqua"/>
        </w:rPr>
        <w:t>Blotner</w:t>
      </w:r>
      <w:proofErr w:type="spellEnd"/>
      <w:r>
        <w:rPr>
          <w:rFonts w:ascii="Book Antiqua" w:hAnsi="Book Antiqua"/>
        </w:rPr>
        <w:t xml:space="preserve"> S, Shulman NS, Smith PF. Influence of chronic hepatitis C infection on cytochrome P450 3A4 activity using midaz</w:t>
      </w:r>
      <w:r>
        <w:rPr>
          <w:rFonts w:ascii="Book Antiqua" w:hAnsi="Book Antiqua"/>
        </w:rPr>
        <w:t xml:space="preserve">olam as an in vivo probe substrate. </w:t>
      </w:r>
      <w:proofErr w:type="spellStart"/>
      <w:r>
        <w:rPr>
          <w:rFonts w:ascii="Book Antiqua" w:hAnsi="Book Antiqua"/>
          <w:i/>
          <w:iCs/>
        </w:rPr>
        <w:t>Eur</w:t>
      </w:r>
      <w:proofErr w:type="spellEnd"/>
      <w:r>
        <w:rPr>
          <w:rFonts w:ascii="Book Antiqua" w:hAnsi="Book Antiqua"/>
          <w:i/>
          <w:iCs/>
        </w:rPr>
        <w:t xml:space="preserve"> J Clin </w:t>
      </w:r>
      <w:proofErr w:type="spellStart"/>
      <w:r>
        <w:rPr>
          <w:rFonts w:ascii="Book Antiqua" w:hAnsi="Book Antiqua"/>
          <w:i/>
          <w:iCs/>
        </w:rPr>
        <w:t>Pharmacol</w:t>
      </w:r>
      <w:proofErr w:type="spellEnd"/>
      <w:r>
        <w:rPr>
          <w:rFonts w:ascii="Book Antiqua" w:hAnsi="Book Antiqua"/>
        </w:rPr>
        <w:t xml:space="preserve"> 2013; </w:t>
      </w:r>
      <w:r>
        <w:rPr>
          <w:rFonts w:ascii="Book Antiqua" w:hAnsi="Book Antiqua"/>
          <w:b/>
          <w:bCs/>
        </w:rPr>
        <w:t>69</w:t>
      </w:r>
      <w:r>
        <w:rPr>
          <w:rFonts w:ascii="Book Antiqua" w:hAnsi="Book Antiqua"/>
        </w:rPr>
        <w:t>: 1777-1784 [PMID: 23765407 DOI: 10.1007/s00228-013-1525-5]</w:t>
      </w:r>
    </w:p>
    <w:p w14:paraId="4E665FA3" w14:textId="77777777" w:rsidR="001135A2" w:rsidRDefault="00CD55CB">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Oo</w:t>
      </w:r>
      <w:proofErr w:type="spellEnd"/>
      <w:r>
        <w:rPr>
          <w:rFonts w:ascii="Book Antiqua" w:hAnsi="Book Antiqua"/>
          <w:b/>
          <w:bCs/>
        </w:rPr>
        <w:t xml:space="preserve"> YH</w:t>
      </w:r>
      <w:r>
        <w:rPr>
          <w:rFonts w:ascii="Book Antiqua" w:hAnsi="Book Antiqua"/>
        </w:rPr>
        <w:t xml:space="preserve">, Dudley T, Nightingale P, Haydon G, </w:t>
      </w:r>
      <w:proofErr w:type="spellStart"/>
      <w:r>
        <w:rPr>
          <w:rFonts w:ascii="Book Antiqua" w:hAnsi="Book Antiqua"/>
        </w:rPr>
        <w:t>Mutimer</w:t>
      </w:r>
      <w:proofErr w:type="spellEnd"/>
      <w:r>
        <w:rPr>
          <w:rFonts w:ascii="Book Antiqua" w:hAnsi="Book Antiqua"/>
        </w:rPr>
        <w:t xml:space="preserve"> D. Tacrolimus and cyclosporin doses and blood levels in hepatitis C and alcoholic liver disease patients after liver transplantation.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2008; </w:t>
      </w:r>
      <w:r>
        <w:rPr>
          <w:rFonts w:ascii="Book Antiqua" w:hAnsi="Book Antiqua"/>
          <w:b/>
          <w:bCs/>
        </w:rPr>
        <w:t>14</w:t>
      </w:r>
      <w:r>
        <w:rPr>
          <w:rFonts w:ascii="Book Antiqua" w:hAnsi="Book Antiqua"/>
        </w:rPr>
        <w:t>: 81-87 [PMID: 18161844 DOI: 10.1002/lt.21387]</w:t>
      </w:r>
    </w:p>
    <w:p w14:paraId="486FCA0E" w14:textId="77777777" w:rsidR="001135A2" w:rsidRDefault="00CD55CB">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Adeyi</w:t>
      </w:r>
      <w:proofErr w:type="spellEnd"/>
      <w:r>
        <w:rPr>
          <w:rFonts w:ascii="Book Antiqua" w:hAnsi="Book Antiqua"/>
          <w:b/>
          <w:bCs/>
        </w:rPr>
        <w:t xml:space="preserve"> O</w:t>
      </w:r>
      <w:r>
        <w:rPr>
          <w:rFonts w:ascii="Book Antiqua" w:hAnsi="Book Antiqua"/>
        </w:rPr>
        <w:t xml:space="preserve">, Fischer SE, </w:t>
      </w:r>
      <w:proofErr w:type="spellStart"/>
      <w:r>
        <w:rPr>
          <w:rFonts w:ascii="Book Antiqua" w:hAnsi="Book Antiqua"/>
        </w:rPr>
        <w:t>Guindi</w:t>
      </w:r>
      <w:proofErr w:type="spellEnd"/>
      <w:r>
        <w:rPr>
          <w:rFonts w:ascii="Book Antiqua" w:hAnsi="Book Antiqua"/>
        </w:rPr>
        <w:t xml:space="preserve"> M. Liver allograft pathology: approach to interpretation of needle biopsies with clinicopathological correlation. </w:t>
      </w:r>
      <w:r>
        <w:rPr>
          <w:rFonts w:ascii="Book Antiqua" w:hAnsi="Book Antiqua"/>
          <w:i/>
          <w:iCs/>
        </w:rPr>
        <w:t xml:space="preserve">J Clin </w:t>
      </w:r>
      <w:proofErr w:type="spellStart"/>
      <w:r>
        <w:rPr>
          <w:rFonts w:ascii="Book Antiqua" w:hAnsi="Book Antiqua"/>
          <w:i/>
          <w:iCs/>
        </w:rPr>
        <w:t>Pathol</w:t>
      </w:r>
      <w:proofErr w:type="spellEnd"/>
      <w:r>
        <w:rPr>
          <w:rFonts w:ascii="Book Antiqua" w:hAnsi="Book Antiqua"/>
        </w:rPr>
        <w:t xml:space="preserve"> 2010; </w:t>
      </w:r>
      <w:r>
        <w:rPr>
          <w:rFonts w:ascii="Book Antiqua" w:hAnsi="Book Antiqua"/>
          <w:b/>
          <w:bCs/>
        </w:rPr>
        <w:t>63</w:t>
      </w:r>
      <w:r>
        <w:rPr>
          <w:rFonts w:ascii="Book Antiqua" w:hAnsi="Book Antiqua"/>
        </w:rPr>
        <w:t>: 47-74 [PMID: 19847014 DOI: 10.1136/jcp.2009.068254]</w:t>
      </w:r>
    </w:p>
    <w:p w14:paraId="03A74CC3" w14:textId="77777777" w:rsidR="001135A2" w:rsidRDefault="00CD55CB">
      <w:pPr>
        <w:spacing w:line="360" w:lineRule="auto"/>
        <w:jc w:val="both"/>
        <w:rPr>
          <w:rFonts w:ascii="Book Antiqua" w:hAnsi="Book Antiqua"/>
        </w:rPr>
      </w:pPr>
      <w:r>
        <w:rPr>
          <w:rFonts w:ascii="Book Antiqua" w:hAnsi="Book Antiqua"/>
        </w:rPr>
        <w:t xml:space="preserve">20 </w:t>
      </w:r>
      <w:r>
        <w:rPr>
          <w:rFonts w:ascii="Book Antiqua" w:hAnsi="Book Antiqua"/>
          <w:b/>
          <w:bCs/>
        </w:rPr>
        <w:t>Miyagawa-</w:t>
      </w:r>
      <w:proofErr w:type="spellStart"/>
      <w:r>
        <w:rPr>
          <w:rFonts w:ascii="Book Antiqua" w:hAnsi="Book Antiqua"/>
          <w:b/>
          <w:bCs/>
        </w:rPr>
        <w:t>Hayashino</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Haga</w:t>
      </w:r>
      <w:proofErr w:type="spellEnd"/>
      <w:r>
        <w:rPr>
          <w:rFonts w:ascii="Book Antiqua" w:hAnsi="Book Antiqua"/>
        </w:rPr>
        <w:t xml:space="preserve"> H, </w:t>
      </w:r>
      <w:proofErr w:type="spellStart"/>
      <w:r>
        <w:rPr>
          <w:rFonts w:ascii="Book Antiqua" w:hAnsi="Book Antiqua"/>
        </w:rPr>
        <w:t>Egawa</w:t>
      </w:r>
      <w:proofErr w:type="spellEnd"/>
      <w:r>
        <w:rPr>
          <w:rFonts w:ascii="Book Antiqua" w:hAnsi="Book Antiqua"/>
        </w:rPr>
        <w:t xml:space="preserve"> H, </w:t>
      </w:r>
      <w:proofErr w:type="spellStart"/>
      <w:r>
        <w:rPr>
          <w:rFonts w:ascii="Book Antiqua" w:hAnsi="Book Antiqua"/>
        </w:rPr>
        <w:t>H</w:t>
      </w:r>
      <w:r>
        <w:rPr>
          <w:rFonts w:ascii="Book Antiqua" w:hAnsi="Book Antiqua"/>
        </w:rPr>
        <w:t>ayashino</w:t>
      </w:r>
      <w:proofErr w:type="spellEnd"/>
      <w:r>
        <w:rPr>
          <w:rFonts w:ascii="Book Antiqua" w:hAnsi="Book Antiqua"/>
        </w:rPr>
        <w:t xml:space="preserve"> Y, </w:t>
      </w:r>
      <w:proofErr w:type="spellStart"/>
      <w:r>
        <w:rPr>
          <w:rFonts w:ascii="Book Antiqua" w:hAnsi="Book Antiqua"/>
        </w:rPr>
        <w:t>Uemoto</w:t>
      </w:r>
      <w:proofErr w:type="spellEnd"/>
      <w:r>
        <w:rPr>
          <w:rFonts w:ascii="Book Antiqua" w:hAnsi="Book Antiqua"/>
        </w:rPr>
        <w:t xml:space="preserve"> S, Manabe T. Idiopathic post-transplantation hepatitis following living donor liver transplantation, and significance of autoantibody </w:t>
      </w:r>
      <w:proofErr w:type="spellStart"/>
      <w:r>
        <w:rPr>
          <w:rFonts w:ascii="Book Antiqua" w:hAnsi="Book Antiqua"/>
        </w:rPr>
        <w:t>titre</w:t>
      </w:r>
      <w:proofErr w:type="spellEnd"/>
      <w:r>
        <w:rPr>
          <w:rFonts w:ascii="Book Antiqua" w:hAnsi="Book Antiqua"/>
        </w:rPr>
        <w:t xml:space="preserve"> for outcome. </w:t>
      </w:r>
      <w:proofErr w:type="spellStart"/>
      <w:r>
        <w:rPr>
          <w:rFonts w:ascii="Book Antiqua" w:hAnsi="Book Antiqua"/>
          <w:i/>
          <w:iCs/>
        </w:rPr>
        <w:t>Transpl</w:t>
      </w:r>
      <w:proofErr w:type="spellEnd"/>
      <w:r>
        <w:rPr>
          <w:rFonts w:ascii="Book Antiqua" w:hAnsi="Book Antiqua"/>
          <w:i/>
          <w:iCs/>
        </w:rPr>
        <w:t xml:space="preserve"> Int</w:t>
      </w:r>
      <w:r>
        <w:rPr>
          <w:rFonts w:ascii="Book Antiqua" w:hAnsi="Book Antiqua"/>
        </w:rPr>
        <w:t xml:space="preserve"> 2009; </w:t>
      </w:r>
      <w:r>
        <w:rPr>
          <w:rFonts w:ascii="Book Antiqua" w:hAnsi="Book Antiqua"/>
          <w:b/>
          <w:bCs/>
        </w:rPr>
        <w:t>22</w:t>
      </w:r>
      <w:r>
        <w:rPr>
          <w:rFonts w:ascii="Book Antiqua" w:hAnsi="Book Antiqua"/>
        </w:rPr>
        <w:t>: 303-312 [PMID: 19040488 DOI: 10.1111/j.1432-2277.</w:t>
      </w:r>
      <w:proofErr w:type="gramStart"/>
      <w:r>
        <w:rPr>
          <w:rFonts w:ascii="Book Antiqua" w:hAnsi="Book Antiqua"/>
        </w:rPr>
        <w:t>2008.00803.x</w:t>
      </w:r>
      <w:proofErr w:type="gramEnd"/>
      <w:r>
        <w:rPr>
          <w:rFonts w:ascii="Book Antiqua" w:hAnsi="Book Antiqua"/>
        </w:rPr>
        <w:t>]</w:t>
      </w:r>
    </w:p>
    <w:p w14:paraId="443887DE" w14:textId="77777777" w:rsidR="001135A2" w:rsidRDefault="00CD55CB">
      <w:pPr>
        <w:spacing w:line="360" w:lineRule="auto"/>
        <w:jc w:val="both"/>
        <w:rPr>
          <w:rFonts w:ascii="Book Antiqua" w:hAnsi="Book Antiqua"/>
        </w:rPr>
      </w:pPr>
      <w:r>
        <w:rPr>
          <w:rFonts w:ascii="Book Antiqua" w:hAnsi="Book Antiqua"/>
        </w:rPr>
        <w:lastRenderedPageBreak/>
        <w:t xml:space="preserve">21 </w:t>
      </w:r>
      <w:r>
        <w:rPr>
          <w:rFonts w:ascii="Book Antiqua" w:hAnsi="Book Antiqua"/>
          <w:b/>
          <w:bCs/>
        </w:rPr>
        <w:t>Syn WK</w:t>
      </w:r>
      <w:r>
        <w:rPr>
          <w:rFonts w:ascii="Book Antiqua" w:hAnsi="Book Antiqua"/>
        </w:rPr>
        <w:t xml:space="preserve">, Nightingale P, </w:t>
      </w:r>
      <w:proofErr w:type="spellStart"/>
      <w:r>
        <w:rPr>
          <w:rFonts w:ascii="Book Antiqua" w:hAnsi="Book Antiqua"/>
        </w:rPr>
        <w:t>Gunson</w:t>
      </w:r>
      <w:proofErr w:type="spellEnd"/>
      <w:r>
        <w:rPr>
          <w:rFonts w:ascii="Book Antiqua" w:hAnsi="Book Antiqua"/>
        </w:rPr>
        <w:t xml:space="preserve"> B, </w:t>
      </w:r>
      <w:proofErr w:type="spellStart"/>
      <w:r>
        <w:rPr>
          <w:rFonts w:ascii="Book Antiqua" w:hAnsi="Book Antiqua"/>
        </w:rPr>
        <w:t>Hubscher</w:t>
      </w:r>
      <w:proofErr w:type="spellEnd"/>
      <w:r>
        <w:rPr>
          <w:rFonts w:ascii="Book Antiqua" w:hAnsi="Book Antiqua"/>
        </w:rPr>
        <w:t xml:space="preserve"> SG, Neuberger JM. Natural history of unexplained chronic hepatitis after liver transplantation.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2007; </w:t>
      </w:r>
      <w:r>
        <w:rPr>
          <w:rFonts w:ascii="Book Antiqua" w:hAnsi="Book Antiqua"/>
          <w:b/>
          <w:bCs/>
        </w:rPr>
        <w:t>13</w:t>
      </w:r>
      <w:r>
        <w:rPr>
          <w:rFonts w:ascii="Book Antiqua" w:hAnsi="Book Antiqua"/>
        </w:rPr>
        <w:t>: 984-989 [PMID: 17520743 DOI: 10.1002/lt.21108]</w:t>
      </w:r>
    </w:p>
    <w:p w14:paraId="47C11DE0" w14:textId="77777777" w:rsidR="001135A2" w:rsidRDefault="00CD55CB">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Cholongitas</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Samonakis</w:t>
      </w:r>
      <w:proofErr w:type="spellEnd"/>
      <w:r>
        <w:rPr>
          <w:rFonts w:ascii="Book Antiqua" w:hAnsi="Book Antiqua"/>
        </w:rPr>
        <w:t xml:space="preserve"> D, Patch D, </w:t>
      </w:r>
      <w:proofErr w:type="spellStart"/>
      <w:r>
        <w:rPr>
          <w:rFonts w:ascii="Book Antiqua" w:hAnsi="Book Antiqua"/>
        </w:rPr>
        <w:t>Sen</w:t>
      </w:r>
      <w:r>
        <w:rPr>
          <w:rFonts w:ascii="Book Antiqua" w:hAnsi="Book Antiqua"/>
        </w:rPr>
        <w:t>zolo</w:t>
      </w:r>
      <w:proofErr w:type="spellEnd"/>
      <w:r>
        <w:rPr>
          <w:rFonts w:ascii="Book Antiqua" w:hAnsi="Book Antiqua"/>
        </w:rPr>
        <w:t xml:space="preserve"> M, Burroughs AK, </w:t>
      </w:r>
      <w:proofErr w:type="spellStart"/>
      <w:r>
        <w:rPr>
          <w:rFonts w:ascii="Book Antiqua" w:hAnsi="Book Antiqua"/>
        </w:rPr>
        <w:t>Quaglia</w:t>
      </w:r>
      <w:proofErr w:type="spellEnd"/>
      <w:r>
        <w:rPr>
          <w:rFonts w:ascii="Book Antiqua" w:hAnsi="Book Antiqua"/>
        </w:rPr>
        <w:t xml:space="preserve"> A, Dhillon A. Induction of autoimmune hepatitis by pegylated interferon in a liver transplant patient with recurrent hepatitis C virus. </w:t>
      </w:r>
      <w:r>
        <w:rPr>
          <w:rFonts w:ascii="Book Antiqua" w:hAnsi="Book Antiqua"/>
          <w:i/>
          <w:iCs/>
        </w:rPr>
        <w:t>Transplantation</w:t>
      </w:r>
      <w:r>
        <w:rPr>
          <w:rFonts w:ascii="Book Antiqua" w:hAnsi="Book Antiqua"/>
        </w:rPr>
        <w:t xml:space="preserve"> 2006; </w:t>
      </w:r>
      <w:r>
        <w:rPr>
          <w:rFonts w:ascii="Book Antiqua" w:hAnsi="Book Antiqua"/>
          <w:b/>
          <w:bCs/>
        </w:rPr>
        <w:t>81</w:t>
      </w:r>
      <w:r>
        <w:rPr>
          <w:rFonts w:ascii="Book Antiqua" w:hAnsi="Book Antiqua"/>
        </w:rPr>
        <w:t>: 488-490 [PMID: 16477242 DOI: 10.1097/</w:t>
      </w:r>
      <w:proofErr w:type="gramStart"/>
      <w:r>
        <w:rPr>
          <w:rFonts w:ascii="Book Antiqua" w:hAnsi="Book Antiqua"/>
        </w:rPr>
        <w:t>01.tp.</w:t>
      </w:r>
      <w:proofErr w:type="gramEnd"/>
      <w:r>
        <w:rPr>
          <w:rFonts w:ascii="Book Antiqua" w:hAnsi="Book Antiqua"/>
        </w:rPr>
        <w:t>0000196716.07188.c4]</w:t>
      </w:r>
    </w:p>
    <w:p w14:paraId="56A3E620" w14:textId="77777777" w:rsidR="001135A2" w:rsidRDefault="00CD55CB">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Fiel</w:t>
      </w:r>
      <w:proofErr w:type="spellEnd"/>
      <w:r>
        <w:rPr>
          <w:rFonts w:ascii="Book Antiqua" w:hAnsi="Book Antiqua"/>
          <w:b/>
          <w:bCs/>
        </w:rPr>
        <w:t xml:space="preserve"> MI</w:t>
      </w:r>
      <w:r>
        <w:rPr>
          <w:rFonts w:ascii="Book Antiqua" w:hAnsi="Book Antiqua"/>
        </w:rPr>
        <w:t xml:space="preserve">, Agarwal K, </w:t>
      </w:r>
      <w:proofErr w:type="spellStart"/>
      <w:r>
        <w:rPr>
          <w:rFonts w:ascii="Book Antiqua" w:hAnsi="Book Antiqua"/>
        </w:rPr>
        <w:t>Stanca</w:t>
      </w:r>
      <w:proofErr w:type="spellEnd"/>
      <w:r>
        <w:rPr>
          <w:rFonts w:ascii="Book Antiqua" w:hAnsi="Book Antiqua"/>
        </w:rPr>
        <w:t xml:space="preserve"> C, </w:t>
      </w:r>
      <w:proofErr w:type="spellStart"/>
      <w:r>
        <w:rPr>
          <w:rFonts w:ascii="Book Antiqua" w:hAnsi="Book Antiqua"/>
        </w:rPr>
        <w:t>Elhajj</w:t>
      </w:r>
      <w:proofErr w:type="spellEnd"/>
      <w:r>
        <w:rPr>
          <w:rFonts w:ascii="Book Antiqua" w:hAnsi="Book Antiqua"/>
        </w:rPr>
        <w:t xml:space="preserve"> N, </w:t>
      </w:r>
      <w:proofErr w:type="spellStart"/>
      <w:r>
        <w:rPr>
          <w:rFonts w:ascii="Book Antiqua" w:hAnsi="Book Antiqua"/>
        </w:rPr>
        <w:t>Kontorinis</w:t>
      </w:r>
      <w:proofErr w:type="spellEnd"/>
      <w:r>
        <w:rPr>
          <w:rFonts w:ascii="Book Antiqua" w:hAnsi="Book Antiqua"/>
        </w:rPr>
        <w:t xml:space="preserve"> N, </w:t>
      </w:r>
      <w:proofErr w:type="spellStart"/>
      <w:r>
        <w:rPr>
          <w:rFonts w:ascii="Book Antiqua" w:hAnsi="Book Antiqua"/>
        </w:rPr>
        <w:t>Thung</w:t>
      </w:r>
      <w:proofErr w:type="spellEnd"/>
      <w:r>
        <w:rPr>
          <w:rFonts w:ascii="Book Antiqua" w:hAnsi="Book Antiqua"/>
        </w:rPr>
        <w:t xml:space="preserve"> SN, Schiano TD. Posttransplant plasma cell hepatitis (de novo autoimmune hepatitis) is a variant of rejection and may lead to a negative outcome in patients with hepatitis C virus.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2008; </w:t>
      </w:r>
      <w:r>
        <w:rPr>
          <w:rFonts w:ascii="Book Antiqua" w:hAnsi="Book Antiqua"/>
          <w:b/>
          <w:bCs/>
        </w:rPr>
        <w:t>14</w:t>
      </w:r>
      <w:r>
        <w:rPr>
          <w:rFonts w:ascii="Book Antiqua" w:hAnsi="Book Antiqua"/>
        </w:rPr>
        <w:t>: 861-871 [PMID: 18508382 DOI: 10.1002/lt.21447]</w:t>
      </w:r>
    </w:p>
    <w:p w14:paraId="68C04BF7" w14:textId="77777777" w:rsidR="001135A2" w:rsidRDefault="00CD55CB">
      <w:pPr>
        <w:spacing w:line="360" w:lineRule="auto"/>
        <w:jc w:val="both"/>
        <w:rPr>
          <w:rFonts w:ascii="Book Antiqua" w:hAnsi="Book Antiqua"/>
        </w:rPr>
      </w:pPr>
      <w:r>
        <w:rPr>
          <w:rFonts w:ascii="Book Antiqua" w:hAnsi="Book Antiqua"/>
        </w:rPr>
        <w:t xml:space="preserve">24 </w:t>
      </w:r>
      <w:r>
        <w:rPr>
          <w:rFonts w:ascii="Book Antiqua" w:hAnsi="Book Antiqua"/>
          <w:b/>
          <w:bCs/>
        </w:rPr>
        <w:t>Berardi S</w:t>
      </w:r>
      <w:r>
        <w:rPr>
          <w:rFonts w:ascii="Book Antiqua" w:hAnsi="Book Antiqua"/>
        </w:rPr>
        <w:t xml:space="preserve">, </w:t>
      </w:r>
      <w:proofErr w:type="spellStart"/>
      <w:r>
        <w:rPr>
          <w:rFonts w:ascii="Book Antiqua" w:hAnsi="Book Antiqua"/>
        </w:rPr>
        <w:t>Lodato</w:t>
      </w:r>
      <w:proofErr w:type="spellEnd"/>
      <w:r>
        <w:rPr>
          <w:rFonts w:ascii="Book Antiqua" w:hAnsi="Book Antiqua"/>
        </w:rPr>
        <w:t xml:space="preserve"> F, </w:t>
      </w:r>
      <w:proofErr w:type="spellStart"/>
      <w:r>
        <w:rPr>
          <w:rFonts w:ascii="Book Antiqua" w:hAnsi="Book Antiqua"/>
        </w:rPr>
        <w:t>Gramenzi</w:t>
      </w:r>
      <w:proofErr w:type="spellEnd"/>
      <w:r>
        <w:rPr>
          <w:rFonts w:ascii="Book Antiqua" w:hAnsi="Book Antiqua"/>
        </w:rPr>
        <w:t xml:space="preserve"> A, </w:t>
      </w:r>
      <w:proofErr w:type="spellStart"/>
      <w:r>
        <w:rPr>
          <w:rFonts w:ascii="Book Antiqua" w:hAnsi="Book Antiqua"/>
        </w:rPr>
        <w:t>D'Errico</w:t>
      </w:r>
      <w:proofErr w:type="spellEnd"/>
      <w:r>
        <w:rPr>
          <w:rFonts w:ascii="Book Antiqua" w:hAnsi="Book Antiqua"/>
        </w:rPr>
        <w:t xml:space="preserve"> A, </w:t>
      </w:r>
      <w:proofErr w:type="spellStart"/>
      <w:r>
        <w:rPr>
          <w:rFonts w:ascii="Book Antiqua" w:hAnsi="Book Antiqua"/>
        </w:rPr>
        <w:t>Lenzi</w:t>
      </w:r>
      <w:proofErr w:type="spellEnd"/>
      <w:r>
        <w:rPr>
          <w:rFonts w:ascii="Book Antiqua" w:hAnsi="Book Antiqua"/>
        </w:rPr>
        <w:t xml:space="preserve"> M, </w:t>
      </w:r>
      <w:proofErr w:type="spellStart"/>
      <w:r>
        <w:rPr>
          <w:rFonts w:ascii="Book Antiqua" w:hAnsi="Book Antiqua"/>
        </w:rPr>
        <w:t>Bontadini</w:t>
      </w:r>
      <w:proofErr w:type="spellEnd"/>
      <w:r>
        <w:rPr>
          <w:rFonts w:ascii="Book Antiqua" w:hAnsi="Book Antiqua"/>
        </w:rPr>
        <w:t xml:space="preserve"> A, Morelli MC, </w:t>
      </w:r>
      <w:proofErr w:type="spellStart"/>
      <w:r>
        <w:rPr>
          <w:rFonts w:ascii="Book Antiqua" w:hAnsi="Book Antiqua"/>
        </w:rPr>
        <w:t>Tamè</w:t>
      </w:r>
      <w:proofErr w:type="spellEnd"/>
      <w:r>
        <w:rPr>
          <w:rFonts w:ascii="Book Antiqua" w:hAnsi="Book Antiqua"/>
        </w:rPr>
        <w:t xml:space="preserve"> MR, </w:t>
      </w:r>
      <w:proofErr w:type="spellStart"/>
      <w:r>
        <w:rPr>
          <w:rFonts w:ascii="Book Antiqua" w:hAnsi="Book Antiqua"/>
        </w:rPr>
        <w:t>Piscaglia</w:t>
      </w:r>
      <w:proofErr w:type="spellEnd"/>
      <w:r>
        <w:rPr>
          <w:rFonts w:ascii="Book Antiqua" w:hAnsi="Book Antiqua"/>
        </w:rPr>
        <w:t xml:space="preserve"> F, </w:t>
      </w:r>
      <w:proofErr w:type="spellStart"/>
      <w:r>
        <w:rPr>
          <w:rFonts w:ascii="Book Antiqua" w:hAnsi="Book Antiqua"/>
        </w:rPr>
        <w:t>Biselli</w:t>
      </w:r>
      <w:proofErr w:type="spellEnd"/>
      <w:r>
        <w:rPr>
          <w:rFonts w:ascii="Book Antiqua" w:hAnsi="Book Antiqua"/>
        </w:rPr>
        <w:t xml:space="preserve"> M, Sama C, Mazzella G, Pinna AD, </w:t>
      </w:r>
      <w:proofErr w:type="spellStart"/>
      <w:r>
        <w:rPr>
          <w:rFonts w:ascii="Book Antiqua" w:hAnsi="Book Antiqua"/>
        </w:rPr>
        <w:t>Grazi</w:t>
      </w:r>
      <w:proofErr w:type="spellEnd"/>
      <w:r>
        <w:rPr>
          <w:rFonts w:ascii="Book Antiqua" w:hAnsi="Book Antiqua"/>
        </w:rPr>
        <w:t xml:space="preserve"> G, </w:t>
      </w:r>
      <w:proofErr w:type="spellStart"/>
      <w:r>
        <w:rPr>
          <w:rFonts w:ascii="Book Antiqua" w:hAnsi="Book Antiqua"/>
        </w:rPr>
        <w:t>Bernardi</w:t>
      </w:r>
      <w:proofErr w:type="spellEnd"/>
      <w:r>
        <w:rPr>
          <w:rFonts w:ascii="Book Antiqua" w:hAnsi="Book Antiqua"/>
        </w:rPr>
        <w:t xml:space="preserve"> M, </w:t>
      </w:r>
      <w:proofErr w:type="spellStart"/>
      <w:r>
        <w:rPr>
          <w:rFonts w:ascii="Book Antiqua" w:hAnsi="Book Antiqua"/>
        </w:rPr>
        <w:t>Andreone</w:t>
      </w:r>
      <w:proofErr w:type="spellEnd"/>
      <w:r>
        <w:rPr>
          <w:rFonts w:ascii="Book Antiqua" w:hAnsi="Book Antiqua"/>
        </w:rPr>
        <w:t xml:space="preserve"> P. High incidence of allograft d</w:t>
      </w:r>
      <w:r>
        <w:rPr>
          <w:rFonts w:ascii="Book Antiqua" w:hAnsi="Book Antiqua"/>
        </w:rPr>
        <w:t xml:space="preserve">ysfunction in liver transplanted patients treated with pegylated-interferon alpha-2b and ribavirin for hepatitis C recurrence: possible de novo autoimmune hepatitis? </w:t>
      </w:r>
      <w:r>
        <w:rPr>
          <w:rFonts w:ascii="Book Antiqua" w:hAnsi="Book Antiqua"/>
          <w:i/>
          <w:iCs/>
        </w:rPr>
        <w:t>Gut</w:t>
      </w:r>
      <w:r>
        <w:rPr>
          <w:rFonts w:ascii="Book Antiqua" w:hAnsi="Book Antiqua"/>
        </w:rPr>
        <w:t xml:space="preserve"> 2007; </w:t>
      </w:r>
      <w:r>
        <w:rPr>
          <w:rFonts w:ascii="Book Antiqua" w:hAnsi="Book Antiqua"/>
          <w:b/>
          <w:bCs/>
        </w:rPr>
        <w:t>56</w:t>
      </w:r>
      <w:r>
        <w:rPr>
          <w:rFonts w:ascii="Book Antiqua" w:hAnsi="Book Antiqua"/>
        </w:rPr>
        <w:t>: 237-242 [PMID: 16798778 DOI: 10.1136/gut.2006.092064]</w:t>
      </w:r>
    </w:p>
    <w:p w14:paraId="342F239D" w14:textId="77777777" w:rsidR="001135A2" w:rsidRDefault="00CD55CB">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Radkowski</w:t>
      </w:r>
      <w:proofErr w:type="spellEnd"/>
      <w:r>
        <w:rPr>
          <w:rFonts w:ascii="Book Antiqua" w:hAnsi="Book Antiqua"/>
          <w:b/>
          <w:bCs/>
        </w:rPr>
        <w:t xml:space="preserve"> M</w:t>
      </w:r>
      <w:r>
        <w:rPr>
          <w:rFonts w:ascii="Book Antiqua" w:hAnsi="Book Antiqua"/>
        </w:rPr>
        <w:t>, Galleg</w:t>
      </w:r>
      <w:r>
        <w:rPr>
          <w:rFonts w:ascii="Book Antiqua" w:hAnsi="Book Antiqua"/>
        </w:rPr>
        <w:t xml:space="preserve">os-Orozco JF, </w:t>
      </w:r>
      <w:proofErr w:type="spellStart"/>
      <w:r>
        <w:rPr>
          <w:rFonts w:ascii="Book Antiqua" w:hAnsi="Book Antiqua"/>
        </w:rPr>
        <w:t>Jablonska</w:t>
      </w:r>
      <w:proofErr w:type="spellEnd"/>
      <w:r>
        <w:rPr>
          <w:rFonts w:ascii="Book Antiqua" w:hAnsi="Book Antiqua"/>
        </w:rPr>
        <w:t xml:space="preserve"> J, Colby TV, </w:t>
      </w:r>
      <w:proofErr w:type="spellStart"/>
      <w:r>
        <w:rPr>
          <w:rFonts w:ascii="Book Antiqua" w:hAnsi="Book Antiqua"/>
        </w:rPr>
        <w:t>Walewska-Zielecka</w:t>
      </w:r>
      <w:proofErr w:type="spellEnd"/>
      <w:r>
        <w:rPr>
          <w:rFonts w:ascii="Book Antiqua" w:hAnsi="Book Antiqua"/>
        </w:rPr>
        <w:t xml:space="preserve"> B, </w:t>
      </w:r>
      <w:proofErr w:type="spellStart"/>
      <w:r>
        <w:rPr>
          <w:rFonts w:ascii="Book Antiqua" w:hAnsi="Book Antiqua"/>
        </w:rPr>
        <w:t>Kubicka</w:t>
      </w:r>
      <w:proofErr w:type="spellEnd"/>
      <w:r>
        <w:rPr>
          <w:rFonts w:ascii="Book Antiqua" w:hAnsi="Book Antiqua"/>
        </w:rPr>
        <w:t xml:space="preserve"> J, Wilkinson J, Adair D, </w:t>
      </w:r>
      <w:proofErr w:type="spellStart"/>
      <w:r>
        <w:rPr>
          <w:rFonts w:ascii="Book Antiqua" w:hAnsi="Book Antiqua"/>
        </w:rPr>
        <w:t>Rakela</w:t>
      </w:r>
      <w:proofErr w:type="spellEnd"/>
      <w:r>
        <w:rPr>
          <w:rFonts w:ascii="Book Antiqua" w:hAnsi="Book Antiqua"/>
        </w:rPr>
        <w:t xml:space="preserve"> J, </w:t>
      </w:r>
      <w:proofErr w:type="spellStart"/>
      <w:r>
        <w:rPr>
          <w:rFonts w:ascii="Book Antiqua" w:hAnsi="Book Antiqua"/>
        </w:rPr>
        <w:t>Laskus</w:t>
      </w:r>
      <w:proofErr w:type="spellEnd"/>
      <w:r>
        <w:rPr>
          <w:rFonts w:ascii="Book Antiqua" w:hAnsi="Book Antiqua"/>
        </w:rPr>
        <w:t xml:space="preserve"> T. Persistence of hepatitis C virus in patients successfully treated for chronic hepatitis C. </w:t>
      </w:r>
      <w:r>
        <w:rPr>
          <w:rFonts w:ascii="Book Antiqua" w:hAnsi="Book Antiqua"/>
          <w:i/>
          <w:iCs/>
        </w:rPr>
        <w:t>Hepatology</w:t>
      </w:r>
      <w:r>
        <w:rPr>
          <w:rFonts w:ascii="Book Antiqua" w:hAnsi="Book Antiqua"/>
        </w:rPr>
        <w:t xml:space="preserve"> 2005; </w:t>
      </w:r>
      <w:r>
        <w:rPr>
          <w:rFonts w:ascii="Book Antiqua" w:hAnsi="Book Antiqua"/>
          <w:b/>
          <w:bCs/>
        </w:rPr>
        <w:t>41</w:t>
      </w:r>
      <w:r>
        <w:rPr>
          <w:rFonts w:ascii="Book Antiqua" w:hAnsi="Book Antiqua"/>
        </w:rPr>
        <w:t>: 106-114 [PMID: 15619235 DOI: 10.1</w:t>
      </w:r>
      <w:r>
        <w:rPr>
          <w:rFonts w:ascii="Book Antiqua" w:hAnsi="Book Antiqua"/>
        </w:rPr>
        <w:t>002/hep.20518]</w:t>
      </w:r>
    </w:p>
    <w:p w14:paraId="0F76128F" w14:textId="77777777" w:rsidR="001135A2" w:rsidRDefault="00CD55CB">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Hedenstierna</w:t>
      </w:r>
      <w:proofErr w:type="spellEnd"/>
      <w:r>
        <w:rPr>
          <w:rFonts w:ascii="Book Antiqua" w:hAnsi="Book Antiqua"/>
          <w:b/>
          <w:bCs/>
        </w:rPr>
        <w:t xml:space="preserve"> M</w:t>
      </w:r>
      <w:r>
        <w:rPr>
          <w:rFonts w:ascii="Book Antiqua" w:hAnsi="Book Antiqua"/>
        </w:rPr>
        <w:t xml:space="preserve">, Weiland O, Brass A, </w:t>
      </w:r>
      <w:proofErr w:type="spellStart"/>
      <w:r>
        <w:rPr>
          <w:rFonts w:ascii="Book Antiqua" w:hAnsi="Book Antiqua"/>
        </w:rPr>
        <w:t>Bankwitz</w:t>
      </w:r>
      <w:proofErr w:type="spellEnd"/>
      <w:r>
        <w:rPr>
          <w:rFonts w:ascii="Book Antiqua" w:hAnsi="Book Antiqua"/>
        </w:rPr>
        <w:t xml:space="preserve"> D, Behrendt P, </w:t>
      </w:r>
      <w:proofErr w:type="spellStart"/>
      <w:r>
        <w:rPr>
          <w:rFonts w:ascii="Book Antiqua" w:hAnsi="Book Antiqua"/>
        </w:rPr>
        <w:t>Uhnoo</w:t>
      </w:r>
      <w:proofErr w:type="spellEnd"/>
      <w:r>
        <w:rPr>
          <w:rFonts w:ascii="Book Antiqua" w:hAnsi="Book Antiqua"/>
        </w:rPr>
        <w:t xml:space="preserve"> I, Aleman S, Cardell K, </w:t>
      </w:r>
      <w:proofErr w:type="spellStart"/>
      <w:r>
        <w:rPr>
          <w:rFonts w:ascii="Book Antiqua" w:hAnsi="Book Antiqua"/>
        </w:rPr>
        <w:t>Fryden</w:t>
      </w:r>
      <w:proofErr w:type="spellEnd"/>
      <w:r>
        <w:rPr>
          <w:rFonts w:ascii="Book Antiqua" w:hAnsi="Book Antiqua"/>
        </w:rPr>
        <w:t xml:space="preserve"> A, </w:t>
      </w:r>
      <w:proofErr w:type="spellStart"/>
      <w:r>
        <w:rPr>
          <w:rFonts w:ascii="Book Antiqua" w:hAnsi="Book Antiqua"/>
        </w:rPr>
        <w:t>Norkrans</w:t>
      </w:r>
      <w:proofErr w:type="spellEnd"/>
      <w:r>
        <w:rPr>
          <w:rFonts w:ascii="Book Antiqua" w:hAnsi="Book Antiqua"/>
        </w:rPr>
        <w:t xml:space="preserve"> G, </w:t>
      </w:r>
      <w:proofErr w:type="spellStart"/>
      <w:r>
        <w:rPr>
          <w:rFonts w:ascii="Book Antiqua" w:hAnsi="Book Antiqua"/>
        </w:rPr>
        <w:t>Eilard</w:t>
      </w:r>
      <w:proofErr w:type="spellEnd"/>
      <w:r>
        <w:rPr>
          <w:rFonts w:ascii="Book Antiqua" w:hAnsi="Book Antiqua"/>
        </w:rPr>
        <w:t xml:space="preserve"> A, </w:t>
      </w:r>
      <w:proofErr w:type="spellStart"/>
      <w:r>
        <w:rPr>
          <w:rFonts w:ascii="Book Antiqua" w:hAnsi="Book Antiqua"/>
        </w:rPr>
        <w:t>Glaumann</w:t>
      </w:r>
      <w:proofErr w:type="spellEnd"/>
      <w:r>
        <w:rPr>
          <w:rFonts w:ascii="Book Antiqua" w:hAnsi="Book Antiqua"/>
        </w:rPr>
        <w:t xml:space="preserve"> H, Pietschmann T, </w:t>
      </w:r>
      <w:proofErr w:type="spellStart"/>
      <w:r>
        <w:rPr>
          <w:rFonts w:ascii="Book Antiqua" w:hAnsi="Book Antiqua"/>
        </w:rPr>
        <w:t>Sällberg</w:t>
      </w:r>
      <w:proofErr w:type="spellEnd"/>
      <w:r>
        <w:rPr>
          <w:rFonts w:ascii="Book Antiqua" w:hAnsi="Book Antiqua"/>
        </w:rPr>
        <w:t xml:space="preserve"> M, </w:t>
      </w:r>
      <w:proofErr w:type="spellStart"/>
      <w:r>
        <w:rPr>
          <w:rFonts w:ascii="Book Antiqua" w:hAnsi="Book Antiqua"/>
        </w:rPr>
        <w:t>Brenndörfer</w:t>
      </w:r>
      <w:proofErr w:type="spellEnd"/>
      <w:r>
        <w:rPr>
          <w:rFonts w:ascii="Book Antiqua" w:hAnsi="Book Antiqua"/>
        </w:rPr>
        <w:t xml:space="preserve"> ED. Long-term follow-up of successful hepatitis C virus therapy: </w:t>
      </w:r>
      <w:r>
        <w:rPr>
          <w:rFonts w:ascii="Book Antiqua" w:hAnsi="Book Antiqua"/>
        </w:rPr>
        <w:t xml:space="preserve">waning immune responses and disappearance of liver disease are consistent with cure.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2015; </w:t>
      </w:r>
      <w:r>
        <w:rPr>
          <w:rFonts w:ascii="Book Antiqua" w:hAnsi="Book Antiqua"/>
          <w:b/>
          <w:bCs/>
        </w:rPr>
        <w:t>41</w:t>
      </w:r>
      <w:r>
        <w:rPr>
          <w:rFonts w:ascii="Book Antiqua" w:hAnsi="Book Antiqua"/>
        </w:rPr>
        <w:t>: 532-543 [PMID: 25627143 DOI: 10.1111/apt.13096]</w:t>
      </w:r>
    </w:p>
    <w:p w14:paraId="3FB2A73B" w14:textId="77777777" w:rsidR="001135A2" w:rsidRDefault="00CD55CB">
      <w:pPr>
        <w:spacing w:line="360" w:lineRule="auto"/>
        <w:jc w:val="both"/>
        <w:rPr>
          <w:rFonts w:ascii="Book Antiqua" w:hAnsi="Book Antiqua"/>
        </w:rPr>
      </w:pPr>
      <w:r>
        <w:rPr>
          <w:rFonts w:ascii="Book Antiqua" w:hAnsi="Book Antiqua"/>
        </w:rPr>
        <w:t xml:space="preserve">27 </w:t>
      </w:r>
      <w:r>
        <w:rPr>
          <w:rFonts w:ascii="Book Antiqua" w:hAnsi="Book Antiqua"/>
          <w:b/>
          <w:bCs/>
        </w:rPr>
        <w:t>Attar BM</w:t>
      </w:r>
      <w:r>
        <w:rPr>
          <w:rFonts w:ascii="Book Antiqua" w:hAnsi="Book Antiqua"/>
        </w:rPr>
        <w:t xml:space="preserve">, Van Thiel D. A New Twist to a Chronic HCV Infection: Occult Hepatitis C. </w:t>
      </w:r>
      <w:r>
        <w:rPr>
          <w:rFonts w:ascii="Book Antiqua" w:hAnsi="Book Antiqua"/>
          <w:i/>
          <w:iCs/>
        </w:rPr>
        <w:t>Gast</w:t>
      </w:r>
      <w:r>
        <w:rPr>
          <w:rFonts w:ascii="Book Antiqua" w:hAnsi="Book Antiqua"/>
          <w:i/>
          <w:iCs/>
        </w:rPr>
        <w:t xml:space="preserve">roenterol Res </w:t>
      </w:r>
      <w:proofErr w:type="spellStart"/>
      <w:r>
        <w:rPr>
          <w:rFonts w:ascii="Book Antiqua" w:hAnsi="Book Antiqua"/>
          <w:i/>
          <w:iCs/>
        </w:rPr>
        <w:t>Pract</w:t>
      </w:r>
      <w:proofErr w:type="spellEnd"/>
      <w:r>
        <w:rPr>
          <w:rFonts w:ascii="Book Antiqua" w:hAnsi="Book Antiqua"/>
        </w:rPr>
        <w:t xml:space="preserve"> 2015; </w:t>
      </w:r>
      <w:r>
        <w:rPr>
          <w:rFonts w:ascii="Book Antiqua" w:hAnsi="Book Antiqua"/>
          <w:b/>
          <w:bCs/>
        </w:rPr>
        <w:t>2015</w:t>
      </w:r>
      <w:r>
        <w:rPr>
          <w:rFonts w:ascii="Book Antiqua" w:hAnsi="Book Antiqua"/>
        </w:rPr>
        <w:t>: 579147 [PMID: 26221136 DOI: 10.1155/2015/579147]</w:t>
      </w:r>
    </w:p>
    <w:p w14:paraId="43C64D83" w14:textId="77777777" w:rsidR="001135A2" w:rsidRDefault="00CD55CB">
      <w:pPr>
        <w:spacing w:line="360" w:lineRule="auto"/>
        <w:jc w:val="both"/>
        <w:rPr>
          <w:rFonts w:ascii="Book Antiqua" w:hAnsi="Book Antiqua"/>
        </w:rPr>
      </w:pPr>
      <w:r>
        <w:rPr>
          <w:rFonts w:ascii="Book Antiqua" w:hAnsi="Book Antiqua"/>
        </w:rPr>
        <w:lastRenderedPageBreak/>
        <w:t xml:space="preserve">28 </w:t>
      </w:r>
      <w:proofErr w:type="spellStart"/>
      <w:r>
        <w:rPr>
          <w:rFonts w:ascii="Book Antiqua" w:hAnsi="Book Antiqua"/>
          <w:b/>
          <w:bCs/>
        </w:rPr>
        <w:t>Barril</w:t>
      </w:r>
      <w:proofErr w:type="spellEnd"/>
      <w:r>
        <w:rPr>
          <w:rFonts w:ascii="Book Antiqua" w:hAnsi="Book Antiqua"/>
          <w:b/>
          <w:bCs/>
        </w:rPr>
        <w:t xml:space="preserve"> G</w:t>
      </w:r>
      <w:r>
        <w:rPr>
          <w:rFonts w:ascii="Book Antiqua" w:hAnsi="Book Antiqua"/>
        </w:rPr>
        <w:t>, Castillo I, Arenas MD, Espinosa M, Garcia-</w:t>
      </w:r>
      <w:proofErr w:type="spellStart"/>
      <w:r>
        <w:rPr>
          <w:rFonts w:ascii="Book Antiqua" w:hAnsi="Book Antiqua"/>
        </w:rPr>
        <w:t>Valdecasas</w:t>
      </w:r>
      <w:proofErr w:type="spellEnd"/>
      <w:r>
        <w:rPr>
          <w:rFonts w:ascii="Book Antiqua" w:hAnsi="Book Antiqua"/>
        </w:rPr>
        <w:t xml:space="preserve"> J, Garcia-Fernández N, González-Parra E, Alcazar JM, Sánchez C, Diez-</w:t>
      </w:r>
      <w:proofErr w:type="spellStart"/>
      <w:r>
        <w:rPr>
          <w:rFonts w:ascii="Book Antiqua" w:hAnsi="Book Antiqua"/>
        </w:rPr>
        <w:t>Baylón</w:t>
      </w:r>
      <w:proofErr w:type="spellEnd"/>
      <w:r>
        <w:rPr>
          <w:rFonts w:ascii="Book Antiqua" w:hAnsi="Book Antiqua"/>
        </w:rPr>
        <w:t xml:space="preserve"> JC, Martinez P, Bartolomé J, </w:t>
      </w:r>
      <w:proofErr w:type="spellStart"/>
      <w:r>
        <w:rPr>
          <w:rFonts w:ascii="Book Antiqua" w:hAnsi="Book Antiqua"/>
        </w:rPr>
        <w:t>Carr</w:t>
      </w:r>
      <w:r>
        <w:rPr>
          <w:rFonts w:ascii="Book Antiqua" w:hAnsi="Book Antiqua"/>
        </w:rPr>
        <w:t>eño</w:t>
      </w:r>
      <w:proofErr w:type="spellEnd"/>
      <w:r>
        <w:rPr>
          <w:rFonts w:ascii="Book Antiqua" w:hAnsi="Book Antiqua"/>
        </w:rPr>
        <w:t xml:space="preserve"> V. Occult hepatitis C virus infection among hemodialysis patients. </w:t>
      </w:r>
      <w:r>
        <w:rPr>
          <w:rFonts w:ascii="Book Antiqua" w:hAnsi="Book Antiqua"/>
          <w:i/>
          <w:iCs/>
        </w:rPr>
        <w:t>J Am Soc Nephrol</w:t>
      </w:r>
      <w:r>
        <w:rPr>
          <w:rFonts w:ascii="Book Antiqua" w:hAnsi="Book Antiqua"/>
        </w:rPr>
        <w:t xml:space="preserve"> 2008; </w:t>
      </w:r>
      <w:r>
        <w:rPr>
          <w:rFonts w:ascii="Book Antiqua" w:hAnsi="Book Antiqua"/>
          <w:b/>
          <w:bCs/>
        </w:rPr>
        <w:t>19</w:t>
      </w:r>
      <w:r>
        <w:rPr>
          <w:rFonts w:ascii="Book Antiqua" w:hAnsi="Book Antiqua"/>
        </w:rPr>
        <w:t>: 2288-2292 [PMID: 18684893 DOI: 10.1681/ASN.2008030293]</w:t>
      </w:r>
    </w:p>
    <w:p w14:paraId="29987495" w14:textId="77777777" w:rsidR="001135A2" w:rsidRDefault="00CD55CB">
      <w:pPr>
        <w:spacing w:line="360" w:lineRule="auto"/>
        <w:jc w:val="both"/>
        <w:rPr>
          <w:rFonts w:ascii="Book Antiqua" w:hAnsi="Book Antiqua"/>
        </w:rPr>
      </w:pPr>
      <w:r>
        <w:rPr>
          <w:rFonts w:ascii="Book Antiqua" w:hAnsi="Book Antiqua"/>
        </w:rPr>
        <w:t xml:space="preserve">29 </w:t>
      </w:r>
      <w:r>
        <w:rPr>
          <w:rFonts w:ascii="Book Antiqua" w:hAnsi="Book Antiqua"/>
          <w:b/>
          <w:bCs/>
        </w:rPr>
        <w:t>Coppola N</w:t>
      </w:r>
      <w:r>
        <w:rPr>
          <w:rFonts w:ascii="Book Antiqua" w:hAnsi="Book Antiqua"/>
        </w:rPr>
        <w:t xml:space="preserve">, </w:t>
      </w:r>
      <w:proofErr w:type="spellStart"/>
      <w:r>
        <w:rPr>
          <w:rFonts w:ascii="Book Antiqua" w:hAnsi="Book Antiqua"/>
        </w:rPr>
        <w:t>Pisaturo</w:t>
      </w:r>
      <w:proofErr w:type="spellEnd"/>
      <w:r>
        <w:rPr>
          <w:rFonts w:ascii="Book Antiqua" w:hAnsi="Book Antiqua"/>
        </w:rPr>
        <w:t xml:space="preserve"> M, </w:t>
      </w:r>
      <w:proofErr w:type="spellStart"/>
      <w:r>
        <w:rPr>
          <w:rFonts w:ascii="Book Antiqua" w:hAnsi="Book Antiqua"/>
        </w:rPr>
        <w:t>Guastafierro</w:t>
      </w:r>
      <w:proofErr w:type="spellEnd"/>
      <w:r>
        <w:rPr>
          <w:rFonts w:ascii="Book Antiqua" w:hAnsi="Book Antiqua"/>
        </w:rPr>
        <w:t xml:space="preserve"> S, </w:t>
      </w:r>
      <w:proofErr w:type="spellStart"/>
      <w:r>
        <w:rPr>
          <w:rFonts w:ascii="Book Antiqua" w:hAnsi="Book Antiqua"/>
        </w:rPr>
        <w:t>Tonziello</w:t>
      </w:r>
      <w:proofErr w:type="spellEnd"/>
      <w:r>
        <w:rPr>
          <w:rFonts w:ascii="Book Antiqua" w:hAnsi="Book Antiqua"/>
        </w:rPr>
        <w:t xml:space="preserve"> G, </w:t>
      </w:r>
      <w:proofErr w:type="spellStart"/>
      <w:r>
        <w:rPr>
          <w:rFonts w:ascii="Book Antiqua" w:hAnsi="Book Antiqua"/>
        </w:rPr>
        <w:t>Sica</w:t>
      </w:r>
      <w:proofErr w:type="spellEnd"/>
      <w:r>
        <w:rPr>
          <w:rFonts w:ascii="Book Antiqua" w:hAnsi="Book Antiqua"/>
        </w:rPr>
        <w:t xml:space="preserve"> A, </w:t>
      </w:r>
      <w:proofErr w:type="spellStart"/>
      <w:r>
        <w:rPr>
          <w:rFonts w:ascii="Book Antiqua" w:hAnsi="Book Antiqua"/>
        </w:rPr>
        <w:t>Sagnelli</w:t>
      </w:r>
      <w:proofErr w:type="spellEnd"/>
      <w:r>
        <w:rPr>
          <w:rFonts w:ascii="Book Antiqua" w:hAnsi="Book Antiqua"/>
        </w:rPr>
        <w:t xml:space="preserve"> C, Ferrara MG, </w:t>
      </w:r>
      <w:proofErr w:type="spellStart"/>
      <w:r>
        <w:rPr>
          <w:rFonts w:ascii="Book Antiqua" w:hAnsi="Book Antiqua"/>
        </w:rPr>
        <w:t>Sagnelli</w:t>
      </w:r>
      <w:proofErr w:type="spellEnd"/>
      <w:r>
        <w:rPr>
          <w:rFonts w:ascii="Book Antiqua" w:hAnsi="Book Antiqua"/>
        </w:rPr>
        <w:t xml:space="preserve"> E. Abse</w:t>
      </w:r>
      <w:r>
        <w:rPr>
          <w:rFonts w:ascii="Book Antiqua" w:hAnsi="Book Antiqua"/>
        </w:rPr>
        <w:t xml:space="preserve">nce of occult hepatitis C virus infection in patients under </w:t>
      </w:r>
      <w:proofErr w:type="spellStart"/>
      <w:r>
        <w:rPr>
          <w:rFonts w:ascii="Book Antiqua" w:hAnsi="Book Antiqua"/>
        </w:rPr>
        <w:t>immunosupressive</w:t>
      </w:r>
      <w:proofErr w:type="spellEnd"/>
      <w:r>
        <w:rPr>
          <w:rFonts w:ascii="Book Antiqua" w:hAnsi="Book Antiqua"/>
        </w:rPr>
        <w:t xml:space="preserve"> therapy for </w:t>
      </w:r>
      <w:proofErr w:type="spellStart"/>
      <w:r>
        <w:rPr>
          <w:rFonts w:ascii="Book Antiqua" w:hAnsi="Book Antiqua"/>
        </w:rPr>
        <w:t>oncohematological</w:t>
      </w:r>
      <w:proofErr w:type="spellEnd"/>
      <w:r>
        <w:rPr>
          <w:rFonts w:ascii="Book Antiqua" w:hAnsi="Book Antiqua"/>
        </w:rPr>
        <w:t xml:space="preserve"> diseases. </w:t>
      </w:r>
      <w:r>
        <w:rPr>
          <w:rFonts w:ascii="Book Antiqua" w:hAnsi="Book Antiqua"/>
          <w:i/>
          <w:iCs/>
        </w:rPr>
        <w:t>Hepatology</w:t>
      </w:r>
      <w:r>
        <w:rPr>
          <w:rFonts w:ascii="Book Antiqua" w:hAnsi="Book Antiqua"/>
        </w:rPr>
        <w:t xml:space="preserve"> 2011; </w:t>
      </w:r>
      <w:r>
        <w:rPr>
          <w:rFonts w:ascii="Book Antiqua" w:hAnsi="Book Antiqua"/>
          <w:b/>
          <w:bCs/>
        </w:rPr>
        <w:t>54</w:t>
      </w:r>
      <w:r>
        <w:rPr>
          <w:rFonts w:ascii="Book Antiqua" w:hAnsi="Book Antiqua"/>
        </w:rPr>
        <w:t>: 1487-1489 [PMID: 21608002 DOI: 10.1002/hep.24436]</w:t>
      </w:r>
    </w:p>
    <w:p w14:paraId="58BD315F" w14:textId="77777777" w:rsidR="001135A2" w:rsidRDefault="00CD55CB">
      <w:pPr>
        <w:spacing w:line="360" w:lineRule="auto"/>
        <w:jc w:val="both"/>
        <w:rPr>
          <w:rFonts w:ascii="Book Antiqua" w:hAnsi="Book Antiqua"/>
        </w:rPr>
      </w:pPr>
      <w:r>
        <w:rPr>
          <w:rFonts w:ascii="Book Antiqua" w:hAnsi="Book Antiqua"/>
        </w:rPr>
        <w:t xml:space="preserve">30 </w:t>
      </w:r>
      <w:r>
        <w:rPr>
          <w:rFonts w:ascii="Book Antiqua" w:hAnsi="Book Antiqua"/>
          <w:b/>
          <w:bCs/>
        </w:rPr>
        <w:t>Del Bello A</w:t>
      </w:r>
      <w:r>
        <w:rPr>
          <w:rFonts w:ascii="Book Antiqua" w:hAnsi="Book Antiqua"/>
        </w:rPr>
        <w:t xml:space="preserve">, Abravanel F, </w:t>
      </w:r>
      <w:proofErr w:type="spellStart"/>
      <w:r>
        <w:rPr>
          <w:rFonts w:ascii="Book Antiqua" w:hAnsi="Book Antiqua"/>
        </w:rPr>
        <w:t>Alric</w:t>
      </w:r>
      <w:proofErr w:type="spellEnd"/>
      <w:r>
        <w:rPr>
          <w:rFonts w:ascii="Book Antiqua" w:hAnsi="Book Antiqua"/>
        </w:rPr>
        <w:t xml:space="preserve"> L, </w:t>
      </w:r>
      <w:proofErr w:type="spellStart"/>
      <w:r>
        <w:rPr>
          <w:rFonts w:ascii="Book Antiqua" w:hAnsi="Book Antiqua"/>
        </w:rPr>
        <w:t>Lavayssiere</w:t>
      </w:r>
      <w:proofErr w:type="spellEnd"/>
      <w:r>
        <w:rPr>
          <w:rFonts w:ascii="Book Antiqua" w:hAnsi="Book Antiqua"/>
        </w:rPr>
        <w:t xml:space="preserve"> L, </w:t>
      </w:r>
      <w:proofErr w:type="spellStart"/>
      <w:r>
        <w:rPr>
          <w:rFonts w:ascii="Book Antiqua" w:hAnsi="Book Antiqua"/>
        </w:rPr>
        <w:t>Lhomme</w:t>
      </w:r>
      <w:proofErr w:type="spellEnd"/>
      <w:r>
        <w:rPr>
          <w:rFonts w:ascii="Book Antiqua" w:hAnsi="Book Antiqua"/>
        </w:rPr>
        <w:t xml:space="preserve"> S, </w:t>
      </w:r>
      <w:proofErr w:type="spellStart"/>
      <w:r>
        <w:rPr>
          <w:rFonts w:ascii="Book Antiqua" w:hAnsi="Book Antiqua"/>
        </w:rPr>
        <w:t>Belli</w:t>
      </w:r>
      <w:r>
        <w:rPr>
          <w:rFonts w:ascii="Book Antiqua" w:hAnsi="Book Antiqua"/>
        </w:rPr>
        <w:t>ère</w:t>
      </w:r>
      <w:proofErr w:type="spellEnd"/>
      <w:r>
        <w:rPr>
          <w:rFonts w:ascii="Book Antiqua" w:hAnsi="Book Antiqua"/>
        </w:rPr>
        <w:t xml:space="preserve"> J, </w:t>
      </w:r>
      <w:proofErr w:type="spellStart"/>
      <w:r>
        <w:rPr>
          <w:rFonts w:ascii="Book Antiqua" w:hAnsi="Book Antiqua"/>
        </w:rPr>
        <w:t>Izopet</w:t>
      </w:r>
      <w:proofErr w:type="spellEnd"/>
      <w:r>
        <w:rPr>
          <w:rFonts w:ascii="Book Antiqua" w:hAnsi="Book Antiqua"/>
        </w:rPr>
        <w:t xml:space="preserve"> J, Kamar N. No evidence of occult hepatitis C or E virus infections in liver-transplant patients with sustained virological response after therapy with direct acting agents. </w:t>
      </w:r>
      <w:proofErr w:type="spellStart"/>
      <w:r>
        <w:rPr>
          <w:rFonts w:ascii="Book Antiqua" w:hAnsi="Book Antiqua"/>
          <w:i/>
          <w:iCs/>
        </w:rPr>
        <w:t>Transpl</w:t>
      </w:r>
      <w:proofErr w:type="spellEnd"/>
      <w:r>
        <w:rPr>
          <w:rFonts w:ascii="Book Antiqua" w:hAnsi="Book Antiqua"/>
          <w:i/>
          <w:iCs/>
        </w:rPr>
        <w:t xml:space="preserve"> Infect Dis</w:t>
      </w:r>
      <w:r>
        <w:rPr>
          <w:rFonts w:ascii="Book Antiqua" w:hAnsi="Book Antiqua"/>
        </w:rPr>
        <w:t xml:space="preserve"> 2019; </w:t>
      </w:r>
      <w:r>
        <w:rPr>
          <w:rFonts w:ascii="Book Antiqua" w:hAnsi="Book Antiqua"/>
          <w:b/>
          <w:bCs/>
        </w:rPr>
        <w:t>21</w:t>
      </w:r>
      <w:r>
        <w:rPr>
          <w:rFonts w:ascii="Book Antiqua" w:hAnsi="Book Antiqua"/>
        </w:rPr>
        <w:t>: e13093 [PMID: 30972874 DOI: 10.1111/tid</w:t>
      </w:r>
      <w:r>
        <w:rPr>
          <w:rFonts w:ascii="Book Antiqua" w:hAnsi="Book Antiqua"/>
        </w:rPr>
        <w:t>.13093]</w:t>
      </w:r>
    </w:p>
    <w:p w14:paraId="6D1C0105" w14:textId="77777777" w:rsidR="001135A2" w:rsidRDefault="00CD55CB">
      <w:pPr>
        <w:spacing w:line="360" w:lineRule="auto"/>
        <w:jc w:val="both"/>
        <w:rPr>
          <w:rFonts w:ascii="Book Antiqua" w:hAnsi="Book Antiqua"/>
        </w:rPr>
      </w:pPr>
      <w:r>
        <w:rPr>
          <w:rFonts w:ascii="Book Antiqua" w:hAnsi="Book Antiqua"/>
        </w:rPr>
        <w:t xml:space="preserve">31 </w:t>
      </w:r>
      <w:r>
        <w:rPr>
          <w:rFonts w:ascii="Book Antiqua" w:hAnsi="Book Antiqua"/>
          <w:b/>
          <w:bCs/>
        </w:rPr>
        <w:t>Guerrero RB</w:t>
      </w:r>
      <w:r>
        <w:rPr>
          <w:rFonts w:ascii="Book Antiqua" w:hAnsi="Book Antiqua"/>
        </w:rPr>
        <w:t xml:space="preserve">, Batts KP, Brandhagen DJ, </w:t>
      </w:r>
      <w:proofErr w:type="spellStart"/>
      <w:r>
        <w:rPr>
          <w:rFonts w:ascii="Book Antiqua" w:hAnsi="Book Antiqua"/>
        </w:rPr>
        <w:t>Germer</w:t>
      </w:r>
      <w:proofErr w:type="spellEnd"/>
      <w:r>
        <w:rPr>
          <w:rFonts w:ascii="Book Antiqua" w:hAnsi="Book Antiqua"/>
        </w:rPr>
        <w:t xml:space="preserve"> JJ, Perez RG, </w:t>
      </w:r>
      <w:proofErr w:type="spellStart"/>
      <w:r>
        <w:rPr>
          <w:rFonts w:ascii="Book Antiqua" w:hAnsi="Book Antiqua"/>
        </w:rPr>
        <w:t>Persing</w:t>
      </w:r>
      <w:proofErr w:type="spellEnd"/>
      <w:r>
        <w:rPr>
          <w:rFonts w:ascii="Book Antiqua" w:hAnsi="Book Antiqua"/>
        </w:rPr>
        <w:t xml:space="preserve"> DH. Effects of formalin fixation and prolonged block storage on detection of hepatitis C virus RNA in liver tissue. </w:t>
      </w:r>
      <w:proofErr w:type="spellStart"/>
      <w:r>
        <w:rPr>
          <w:rFonts w:ascii="Book Antiqua" w:hAnsi="Book Antiqua"/>
          <w:i/>
          <w:iCs/>
        </w:rPr>
        <w:t>Diagn</w:t>
      </w:r>
      <w:proofErr w:type="spellEnd"/>
      <w:r>
        <w:rPr>
          <w:rFonts w:ascii="Book Antiqua" w:hAnsi="Book Antiqua"/>
          <w:i/>
          <w:iCs/>
        </w:rPr>
        <w:t xml:space="preserve"> Mol </w:t>
      </w:r>
      <w:proofErr w:type="spellStart"/>
      <w:r>
        <w:rPr>
          <w:rFonts w:ascii="Book Antiqua" w:hAnsi="Book Antiqua"/>
          <w:i/>
          <w:iCs/>
        </w:rPr>
        <w:t>Pathol</w:t>
      </w:r>
      <w:proofErr w:type="spellEnd"/>
      <w:r>
        <w:rPr>
          <w:rFonts w:ascii="Book Antiqua" w:hAnsi="Book Antiqua"/>
        </w:rPr>
        <w:t xml:space="preserve"> 1997; </w:t>
      </w:r>
      <w:r>
        <w:rPr>
          <w:rFonts w:ascii="Book Antiqua" w:hAnsi="Book Antiqua"/>
          <w:b/>
          <w:bCs/>
        </w:rPr>
        <w:t>6</w:t>
      </w:r>
      <w:r>
        <w:rPr>
          <w:rFonts w:ascii="Book Antiqua" w:hAnsi="Book Antiqua"/>
        </w:rPr>
        <w:t>: 277-281 [PMID: 9458386 DOI: 10.1097/</w:t>
      </w:r>
      <w:r>
        <w:rPr>
          <w:rFonts w:ascii="Book Antiqua" w:hAnsi="Book Antiqua"/>
        </w:rPr>
        <w:t>00019606-199710000-00005]</w:t>
      </w:r>
    </w:p>
    <w:p w14:paraId="66601227" w14:textId="77777777" w:rsidR="001135A2" w:rsidRDefault="00CD55CB">
      <w:pPr>
        <w:spacing w:line="360" w:lineRule="auto"/>
        <w:jc w:val="both"/>
        <w:rPr>
          <w:rFonts w:ascii="Book Antiqua" w:hAnsi="Book Antiqua"/>
        </w:rPr>
      </w:pPr>
      <w:r>
        <w:rPr>
          <w:rFonts w:ascii="Book Antiqua" w:hAnsi="Book Antiqua"/>
        </w:rPr>
        <w:t xml:space="preserve">32 </w:t>
      </w:r>
      <w:r>
        <w:rPr>
          <w:rFonts w:ascii="Book Antiqua" w:hAnsi="Book Antiqua"/>
          <w:b/>
          <w:bCs/>
        </w:rPr>
        <w:t>Sun Q</w:t>
      </w:r>
      <w:r>
        <w:rPr>
          <w:rFonts w:ascii="Book Antiqua" w:hAnsi="Book Antiqua"/>
        </w:rPr>
        <w:t xml:space="preserve">, Wang Q, Scott MJ, </w:t>
      </w:r>
      <w:proofErr w:type="spellStart"/>
      <w:r>
        <w:rPr>
          <w:rFonts w:ascii="Book Antiqua" w:hAnsi="Book Antiqua"/>
        </w:rPr>
        <w:t>Billiar</w:t>
      </w:r>
      <w:proofErr w:type="spellEnd"/>
      <w:r>
        <w:rPr>
          <w:rFonts w:ascii="Book Antiqua" w:hAnsi="Book Antiqua"/>
        </w:rPr>
        <w:t xml:space="preserve"> TR. Immune Activation in the Liver by Nucleic Acids. </w:t>
      </w:r>
      <w:r>
        <w:rPr>
          <w:rFonts w:ascii="Book Antiqua" w:hAnsi="Book Antiqua"/>
          <w:i/>
          <w:iCs/>
        </w:rPr>
        <w:t xml:space="preserve">J Clin </w:t>
      </w:r>
      <w:proofErr w:type="spellStart"/>
      <w:r>
        <w:rPr>
          <w:rFonts w:ascii="Book Antiqua" w:hAnsi="Book Antiqua"/>
          <w:i/>
          <w:iCs/>
        </w:rPr>
        <w:t>Transl</w:t>
      </w:r>
      <w:proofErr w:type="spellEnd"/>
      <w:r>
        <w:rPr>
          <w:rFonts w:ascii="Book Antiqua" w:hAnsi="Book Antiqua"/>
          <w:i/>
          <w:iCs/>
        </w:rPr>
        <w:t xml:space="preserve"> Hepatol</w:t>
      </w:r>
      <w:r>
        <w:rPr>
          <w:rFonts w:ascii="Book Antiqua" w:hAnsi="Book Antiqua"/>
        </w:rPr>
        <w:t xml:space="preserve"> 2016; </w:t>
      </w:r>
      <w:r>
        <w:rPr>
          <w:rFonts w:ascii="Book Antiqua" w:hAnsi="Book Antiqua"/>
          <w:b/>
          <w:bCs/>
        </w:rPr>
        <w:t>4</w:t>
      </w:r>
      <w:r>
        <w:rPr>
          <w:rFonts w:ascii="Book Antiqua" w:hAnsi="Book Antiqua"/>
        </w:rPr>
        <w:t>: 151-157 [PMID: 27350945 DOI: 10.14218/JCTH.2016.00003]</w:t>
      </w:r>
    </w:p>
    <w:p w14:paraId="0EA54D65" w14:textId="77777777" w:rsidR="001135A2" w:rsidRDefault="001135A2">
      <w:pPr>
        <w:spacing w:line="360" w:lineRule="auto"/>
        <w:jc w:val="both"/>
        <w:rPr>
          <w:rFonts w:ascii="Book Antiqua" w:hAnsi="Book Antiqua"/>
        </w:rPr>
        <w:sectPr w:rsidR="001135A2">
          <w:pgSz w:w="12240" w:h="15840"/>
          <w:pgMar w:top="1440" w:right="1440" w:bottom="1440" w:left="1440" w:header="720" w:footer="720" w:gutter="0"/>
          <w:cols w:space="720"/>
          <w:docGrid w:linePitch="360"/>
        </w:sectPr>
      </w:pPr>
    </w:p>
    <w:p w14:paraId="7696CC64"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22C1B15" w14:textId="77777777" w:rsidR="001135A2" w:rsidRDefault="00CD55C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Cleveland Clinic Institutional Review Board. </w:t>
      </w:r>
    </w:p>
    <w:p w14:paraId="4117A6C2" w14:textId="77777777" w:rsidR="001135A2" w:rsidRDefault="001135A2">
      <w:pPr>
        <w:spacing w:line="360" w:lineRule="auto"/>
        <w:jc w:val="both"/>
        <w:rPr>
          <w:rFonts w:ascii="Book Antiqua" w:eastAsia="Book Antiqua" w:hAnsi="Book Antiqua" w:cs="Book Antiqua"/>
          <w:color w:val="000000"/>
        </w:rPr>
      </w:pPr>
    </w:p>
    <w:p w14:paraId="436527CF" w14:textId="69F97E8C" w:rsidR="001135A2" w:rsidRDefault="00CD55CB" w:rsidP="006559C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Informed</w:t>
      </w:r>
      <w:r w:rsidR="006559C4">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6559C4">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6559C4">
        <w:rPr>
          <w:rFonts w:ascii="Book Antiqua" w:eastAsia="Book Antiqua" w:hAnsi="Book Antiqua" w:cs="Book Antiqua"/>
          <w:b/>
          <w:bCs/>
          <w:color w:val="000000"/>
        </w:rPr>
        <w:t xml:space="preserve"> </w:t>
      </w:r>
      <w:r>
        <w:rPr>
          <w:rFonts w:ascii="Book Antiqua" w:eastAsia="Book Antiqua" w:hAnsi="Book Antiqua" w:cs="Book Antiqua"/>
          <w:color w:val="000000"/>
        </w:rPr>
        <w:t>All</w:t>
      </w:r>
      <w:r w:rsidR="006559C4">
        <w:rPr>
          <w:rFonts w:ascii="Book Antiqua" w:eastAsia="Book Antiqua" w:hAnsi="Book Antiqua" w:cs="Book Antiqua"/>
          <w:color w:val="000000"/>
        </w:rPr>
        <w:t xml:space="preserve"> </w:t>
      </w:r>
      <w:r>
        <w:rPr>
          <w:rFonts w:ascii="Book Antiqua" w:eastAsia="Book Antiqua" w:hAnsi="Book Antiqua" w:cs="Book Antiqua"/>
          <w:color w:val="000000"/>
        </w:rPr>
        <w:t>study</w:t>
      </w:r>
      <w:r w:rsidR="006559C4">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559C4">
        <w:rPr>
          <w:rFonts w:ascii="Book Antiqua" w:eastAsia="Book Antiqua" w:hAnsi="Book Antiqua" w:cs="Book Antiqua"/>
          <w:color w:val="000000"/>
        </w:rPr>
        <w:t xml:space="preserve"> </w:t>
      </w:r>
      <w:r>
        <w:rPr>
          <w:rFonts w:ascii="Book Antiqua" w:eastAsia="Book Antiqua" w:hAnsi="Book Antiqua" w:cs="Book Antiqua"/>
          <w:color w:val="000000"/>
        </w:rPr>
        <w:t>or</w:t>
      </w:r>
      <w:r w:rsidR="006559C4">
        <w:rPr>
          <w:rFonts w:ascii="Book Antiqua" w:eastAsia="Book Antiqua" w:hAnsi="Book Antiqua" w:cs="Book Antiqua"/>
          <w:color w:val="000000"/>
        </w:rPr>
        <w:t xml:space="preserve"> </w:t>
      </w:r>
      <w:r>
        <w:rPr>
          <w:rFonts w:ascii="Book Antiqua" w:eastAsia="Book Antiqua" w:hAnsi="Book Antiqua" w:cs="Book Antiqua"/>
          <w:color w:val="000000"/>
        </w:rPr>
        <w:t>their</w:t>
      </w:r>
      <w:r w:rsidR="006559C4">
        <w:rPr>
          <w:rFonts w:ascii="Book Antiqua" w:eastAsia="Book Antiqua" w:hAnsi="Book Antiqua" w:cs="Book Antiqua"/>
          <w:color w:val="000000"/>
        </w:rPr>
        <w:t xml:space="preserve"> </w:t>
      </w:r>
      <w:r>
        <w:rPr>
          <w:rFonts w:ascii="Book Antiqua" w:eastAsia="Book Antiqua" w:hAnsi="Book Antiqua" w:cs="Book Antiqua"/>
          <w:color w:val="000000"/>
        </w:rPr>
        <w:t>legal</w:t>
      </w:r>
      <w:r w:rsidR="006559C4">
        <w:rPr>
          <w:rFonts w:ascii="Book Antiqua" w:eastAsia="Book Antiqua" w:hAnsi="Book Antiqua" w:cs="Book Antiqua"/>
          <w:color w:val="000000"/>
        </w:rPr>
        <w:t xml:space="preserve"> </w:t>
      </w:r>
      <w:r>
        <w:rPr>
          <w:rFonts w:ascii="Book Antiqua" w:eastAsia="Book Antiqua" w:hAnsi="Book Antiqua" w:cs="Book Antiqua"/>
          <w:color w:val="000000"/>
        </w:rPr>
        <w:t>guardian,</w:t>
      </w:r>
      <w:r w:rsidR="006559C4">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6559C4">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6559C4">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6559C4">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6559C4">
        <w:rPr>
          <w:rFonts w:ascii="Book Antiqua" w:eastAsia="Book Antiqua" w:hAnsi="Book Antiqua" w:cs="Book Antiqua"/>
          <w:color w:val="000000"/>
        </w:rPr>
        <w:t xml:space="preserve"> </w:t>
      </w:r>
      <w:r>
        <w:rPr>
          <w:rFonts w:ascii="Book Antiqua" w:eastAsia="Book Antiqua" w:hAnsi="Book Antiqua" w:cs="Book Antiqua"/>
          <w:color w:val="000000"/>
        </w:rPr>
        <w:t>prior</w:t>
      </w:r>
      <w:r w:rsidR="006559C4">
        <w:rPr>
          <w:rFonts w:ascii="Book Antiqua" w:eastAsia="Book Antiqua" w:hAnsi="Book Antiqua" w:cs="Book Antiqua"/>
          <w:color w:val="000000"/>
        </w:rPr>
        <w:t xml:space="preserve"> </w:t>
      </w:r>
      <w:r>
        <w:rPr>
          <w:rFonts w:ascii="Book Antiqua" w:eastAsia="Book Antiqua" w:hAnsi="Book Antiqua" w:cs="Book Antiqua"/>
          <w:color w:val="000000"/>
        </w:rPr>
        <w:t>to</w:t>
      </w:r>
      <w:r w:rsidR="006559C4">
        <w:rPr>
          <w:rFonts w:ascii="Book Antiqua" w:eastAsia="Book Antiqua" w:hAnsi="Book Antiqua" w:cs="Book Antiqua"/>
          <w:color w:val="000000"/>
        </w:rPr>
        <w:t xml:space="preserve"> </w:t>
      </w:r>
      <w:r>
        <w:rPr>
          <w:rFonts w:ascii="Book Antiqua" w:eastAsia="Book Antiqua" w:hAnsi="Book Antiqua" w:cs="Book Antiqua"/>
          <w:color w:val="000000"/>
        </w:rPr>
        <w:t>study</w:t>
      </w:r>
      <w:r w:rsidR="006559C4">
        <w:rPr>
          <w:rFonts w:ascii="Book Antiqua" w:eastAsia="Book Antiqua" w:hAnsi="Book Antiqua" w:cs="Book Antiqua"/>
          <w:color w:val="000000"/>
        </w:rPr>
        <w:t xml:space="preserve"> </w:t>
      </w:r>
      <w:r>
        <w:rPr>
          <w:rFonts w:ascii="Book Antiqua" w:eastAsia="Book Antiqua" w:hAnsi="Book Antiqua" w:cs="Book Antiqua"/>
          <w:color w:val="000000"/>
        </w:rPr>
        <w:t>enroll</w:t>
      </w:r>
      <w:r>
        <w:rPr>
          <w:rFonts w:ascii="Book Antiqua" w:eastAsia="Book Antiqua" w:hAnsi="Book Antiqua" w:cs="Book Antiqua"/>
          <w:color w:val="000000"/>
        </w:rPr>
        <w:t>ment.</w:t>
      </w:r>
    </w:p>
    <w:p w14:paraId="1AB5070B" w14:textId="77777777" w:rsidR="001135A2" w:rsidRDefault="001135A2">
      <w:pPr>
        <w:spacing w:line="360" w:lineRule="auto"/>
        <w:jc w:val="both"/>
        <w:rPr>
          <w:rFonts w:ascii="Book Antiqua" w:hAnsi="Book Antiqua"/>
        </w:rPr>
      </w:pPr>
    </w:p>
    <w:p w14:paraId="2DDBF87B"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have no relevant relationships or conflict of interest to disclose.</w:t>
      </w:r>
    </w:p>
    <w:p w14:paraId="6AD84519" w14:textId="77777777" w:rsidR="001135A2" w:rsidRDefault="001135A2">
      <w:pPr>
        <w:spacing w:line="360" w:lineRule="auto"/>
        <w:jc w:val="both"/>
        <w:rPr>
          <w:rFonts w:ascii="Book Antiqua" w:hAnsi="Book Antiqua"/>
        </w:rPr>
      </w:pPr>
    </w:p>
    <w:p w14:paraId="05DFB5B0" w14:textId="77777777" w:rsidR="001135A2" w:rsidRDefault="00CD55C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No additional data are available. </w:t>
      </w:r>
    </w:p>
    <w:p w14:paraId="7249E019" w14:textId="77777777" w:rsidR="001135A2" w:rsidRDefault="001135A2">
      <w:pPr>
        <w:spacing w:line="360" w:lineRule="auto"/>
        <w:jc w:val="both"/>
        <w:rPr>
          <w:rFonts w:ascii="Book Antiqua" w:eastAsia="Book Antiqua" w:hAnsi="Book Antiqua" w:cs="Book Antiqua"/>
          <w:color w:val="000000"/>
        </w:rPr>
      </w:pPr>
    </w:p>
    <w:p w14:paraId="17272402" w14:textId="77777777" w:rsidR="001135A2" w:rsidRDefault="00CD55CB">
      <w:pPr>
        <w:spacing w:line="360" w:lineRule="auto"/>
        <w:jc w:val="both"/>
        <w:rPr>
          <w:rFonts w:ascii="Book Antiqua" w:hAnsi="Book Antiqua"/>
        </w:rPr>
      </w:pPr>
      <w:r>
        <w:rPr>
          <w:rFonts w:ascii="Book Antiqua" w:hAnsi="Book Antiqua"/>
          <w:b/>
          <w:color w:val="000000"/>
        </w:rPr>
        <w:t xml:space="preserve">STROBE statement: </w:t>
      </w:r>
      <w:r>
        <w:rPr>
          <w:rFonts w:ascii="Book Antiqua" w:hAnsi="Book Antiqua"/>
          <w:bCs/>
          <w:color w:val="000000"/>
        </w:rPr>
        <w:t>The authors have read the STROBE Statement—checklist of items,</w:t>
      </w:r>
      <w:r>
        <w:rPr>
          <w:rFonts w:ascii="Book Antiqua" w:hAnsi="Book Antiqua"/>
          <w:bCs/>
          <w:color w:val="000000"/>
        </w:rPr>
        <w:t xml:space="preserve"> and the manuscript was prepared and revised according to the STROBE Statement—checklist of items.</w:t>
      </w:r>
    </w:p>
    <w:p w14:paraId="539D1D31" w14:textId="77777777" w:rsidR="001135A2" w:rsidRDefault="001135A2">
      <w:pPr>
        <w:spacing w:line="360" w:lineRule="auto"/>
        <w:jc w:val="both"/>
        <w:rPr>
          <w:rFonts w:ascii="Book Antiqua" w:hAnsi="Book Antiqua"/>
        </w:rPr>
      </w:pPr>
    </w:p>
    <w:p w14:paraId="4D75D10B" w14:textId="77777777" w:rsidR="001135A2" w:rsidRDefault="00CD55C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w:t>
      </w:r>
      <w:r>
        <w:rPr>
          <w:rFonts w:ascii="Book Antiqua" w:eastAsia="Book Antiqua" w:hAnsi="Book Antiqua" w:cs="Book Antiqua"/>
          <w:color w:val="000000"/>
        </w:rPr>
        <w:t xml:space="preserve">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w:t>
      </w:r>
      <w:r>
        <w:rPr>
          <w:rFonts w:ascii="Book Antiqua" w:eastAsia="Book Antiqua" w:hAnsi="Book Antiqua" w:cs="Book Antiqua"/>
          <w:color w:val="000000"/>
        </w:rPr>
        <w:t xml:space="preserve"> work is properly cited and the use is non-commercial. See: https://creativecommons.org/Licenses/by-nc/4.0/</w:t>
      </w:r>
    </w:p>
    <w:p w14:paraId="3BE17095" w14:textId="77777777" w:rsidR="001135A2" w:rsidRDefault="001135A2">
      <w:pPr>
        <w:spacing w:line="360" w:lineRule="auto"/>
        <w:jc w:val="both"/>
        <w:rPr>
          <w:rFonts w:ascii="Book Antiqua" w:hAnsi="Book Antiqua"/>
        </w:rPr>
      </w:pPr>
    </w:p>
    <w:p w14:paraId="52A8D8F2"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297AD6E"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FE535EA" w14:textId="77777777" w:rsidR="001135A2" w:rsidRDefault="001135A2">
      <w:pPr>
        <w:spacing w:line="360" w:lineRule="auto"/>
        <w:jc w:val="both"/>
        <w:rPr>
          <w:rFonts w:ascii="Book Antiqua" w:hAnsi="Book Antiqua"/>
        </w:rPr>
      </w:pPr>
    </w:p>
    <w:p w14:paraId="175253DD"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23, 2021</w:t>
      </w:r>
    </w:p>
    <w:p w14:paraId="4C67F085"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 2021</w:t>
      </w:r>
    </w:p>
    <w:p w14:paraId="4A82F0BD"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February 15, 202</w:t>
      </w:r>
      <w:r>
        <w:rPr>
          <w:rFonts w:ascii="Book Antiqua" w:eastAsia="Book Antiqua" w:hAnsi="Book Antiqua" w:cs="Book Antiqua"/>
          <w:b/>
          <w:bCs/>
          <w:color w:val="000000"/>
        </w:rPr>
        <w:t>2</w:t>
      </w:r>
    </w:p>
    <w:p w14:paraId="1C5A5502" w14:textId="77777777" w:rsidR="001135A2" w:rsidRDefault="001135A2">
      <w:pPr>
        <w:spacing w:line="360" w:lineRule="auto"/>
        <w:jc w:val="both"/>
        <w:rPr>
          <w:rFonts w:ascii="Book Antiqua" w:hAnsi="Book Antiqua"/>
        </w:rPr>
      </w:pPr>
    </w:p>
    <w:p w14:paraId="507BF91B"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F10504F"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FE5B5D2" w14:textId="77777777" w:rsidR="001135A2" w:rsidRDefault="00CD55C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A7D324C"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Gr</w:t>
      </w:r>
      <w:r>
        <w:rPr>
          <w:rFonts w:ascii="Book Antiqua" w:eastAsia="Book Antiqua" w:hAnsi="Book Antiqua" w:cs="Book Antiqua"/>
          <w:color w:val="000000"/>
        </w:rPr>
        <w:t>ade A (Excellent): A</w:t>
      </w:r>
    </w:p>
    <w:p w14:paraId="0FFF74F0"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Grade B (Very good): B</w:t>
      </w:r>
    </w:p>
    <w:p w14:paraId="5635E12B"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Grade C (Good): 0</w:t>
      </w:r>
    </w:p>
    <w:p w14:paraId="6C0C217C"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Grade D (Fair): 0</w:t>
      </w:r>
    </w:p>
    <w:p w14:paraId="286D7D59" w14:textId="77777777" w:rsidR="001135A2" w:rsidRDefault="00CD55CB">
      <w:pPr>
        <w:spacing w:line="360" w:lineRule="auto"/>
        <w:jc w:val="both"/>
        <w:rPr>
          <w:rFonts w:ascii="Book Antiqua" w:hAnsi="Book Antiqua"/>
        </w:rPr>
      </w:pPr>
      <w:r>
        <w:rPr>
          <w:rFonts w:ascii="Book Antiqua" w:eastAsia="Book Antiqua" w:hAnsi="Book Antiqua" w:cs="Book Antiqua"/>
          <w:color w:val="000000"/>
        </w:rPr>
        <w:t>Grade E (Poor): 0</w:t>
      </w:r>
    </w:p>
    <w:p w14:paraId="0B6E7702" w14:textId="77777777" w:rsidR="001135A2" w:rsidRDefault="001135A2">
      <w:pPr>
        <w:spacing w:line="360" w:lineRule="auto"/>
        <w:jc w:val="both"/>
        <w:rPr>
          <w:rFonts w:ascii="Book Antiqua" w:hAnsi="Book Antiqua"/>
        </w:rPr>
      </w:pPr>
    </w:p>
    <w:p w14:paraId="27D839A1" w14:textId="77777777" w:rsidR="001135A2" w:rsidRDefault="00CD55CB">
      <w:pPr>
        <w:spacing w:line="360" w:lineRule="auto"/>
        <w:jc w:val="both"/>
        <w:rPr>
          <w:rFonts w:ascii="Book Antiqua" w:hAnsi="Book Antiqua"/>
        </w:rPr>
        <w:sectPr w:rsidR="001135A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Ferreira GSA,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M</w:t>
      </w:r>
      <w:r>
        <w:rPr>
          <w:rFonts w:ascii="Book Antiqua" w:eastAsia="宋体" w:hAnsi="Book Antiqua" w:cs="宋体"/>
          <w:bCs/>
          <w:color w:val="000000"/>
          <w:lang w:eastAsia="zh-CN"/>
        </w:rPr>
        <w:t>a YJ</w:t>
      </w:r>
    </w:p>
    <w:p w14:paraId="2D27AE48" w14:textId="77777777" w:rsidR="001135A2" w:rsidRDefault="00CD55C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655BCFF" w14:textId="77777777" w:rsidR="001135A2" w:rsidRDefault="001135A2">
      <w:pPr>
        <w:spacing w:line="360" w:lineRule="auto"/>
        <w:jc w:val="both"/>
        <w:rPr>
          <w:rFonts w:ascii="Book Antiqua" w:eastAsia="Book Antiqua" w:hAnsi="Book Antiqua" w:cs="Book Antiqua"/>
          <w:b/>
          <w:color w:val="000000"/>
        </w:rPr>
      </w:pPr>
    </w:p>
    <w:p w14:paraId="02406F5D" w14:textId="77777777" w:rsidR="001135A2" w:rsidRDefault="00CD55CB">
      <w:pPr>
        <w:spacing w:line="360" w:lineRule="auto"/>
        <w:jc w:val="both"/>
        <w:rPr>
          <w:rFonts w:ascii="Book Antiqua" w:hAnsi="Book Antiqua"/>
        </w:rPr>
      </w:pPr>
      <w:r>
        <w:t xml:space="preserve"> </w:t>
      </w:r>
      <w:r>
        <w:rPr>
          <w:noProof/>
        </w:rPr>
        <w:drawing>
          <wp:inline distT="0" distB="0" distL="0" distR="0" wp14:anchorId="33662EF7" wp14:editId="722486D4">
            <wp:extent cx="3429000" cy="2057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429000" cy="2057400"/>
                    </a:xfrm>
                    <a:prstGeom prst="rect">
                      <a:avLst/>
                    </a:prstGeom>
                    <a:noFill/>
                    <a:ln>
                      <a:noFill/>
                    </a:ln>
                  </pic:spPr>
                </pic:pic>
              </a:graphicData>
            </a:graphic>
          </wp:inline>
        </w:drawing>
      </w:r>
    </w:p>
    <w:p w14:paraId="7CFCE566" w14:textId="77777777" w:rsidR="001135A2" w:rsidRDefault="00CD55C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Hepatitis C RNA during and after </w:t>
      </w:r>
      <w:r>
        <w:rPr>
          <w:rFonts w:ascii="Book Antiqua" w:eastAsia="Book Antiqua" w:hAnsi="Book Antiqua" w:cs="Book Antiqua"/>
          <w:b/>
          <w:bCs/>
          <w:color w:val="000000"/>
        </w:rPr>
        <w:t>treatment.</w:t>
      </w:r>
    </w:p>
    <w:p w14:paraId="0CF9771E" w14:textId="77777777" w:rsidR="001135A2" w:rsidRDefault="001135A2">
      <w:pPr>
        <w:spacing w:line="360" w:lineRule="auto"/>
        <w:jc w:val="both"/>
        <w:rPr>
          <w:rFonts w:ascii="Book Antiqua" w:eastAsia="Book Antiqua" w:hAnsi="Book Antiqua" w:cs="Book Antiqua"/>
          <w:b/>
          <w:bCs/>
          <w:color w:val="000000"/>
        </w:rPr>
      </w:pPr>
    </w:p>
    <w:p w14:paraId="595B6415" w14:textId="77777777" w:rsidR="001135A2" w:rsidRDefault="00CD55CB">
      <w:pPr>
        <w:spacing w:line="360" w:lineRule="auto"/>
        <w:jc w:val="both"/>
        <w:rPr>
          <w:rFonts w:ascii="Book Antiqua" w:hAnsi="Book Antiqua"/>
          <w:b/>
          <w:bCs/>
        </w:rPr>
      </w:pPr>
      <w:r>
        <w:rPr>
          <w:rFonts w:ascii="Book Antiqua" w:hAnsi="Book Antiqua"/>
        </w:rPr>
        <w:t xml:space="preserve"> </w:t>
      </w:r>
      <w:r>
        <w:rPr>
          <w:noProof/>
        </w:rPr>
        <w:drawing>
          <wp:inline distT="0" distB="0" distL="0" distR="0" wp14:anchorId="7E556FB1" wp14:editId="2EAAE318">
            <wp:extent cx="5638800" cy="2209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638800" cy="2209800"/>
                    </a:xfrm>
                    <a:prstGeom prst="rect">
                      <a:avLst/>
                    </a:prstGeom>
                    <a:noFill/>
                    <a:ln>
                      <a:noFill/>
                    </a:ln>
                  </pic:spPr>
                </pic:pic>
              </a:graphicData>
            </a:graphic>
          </wp:inline>
        </w:drawing>
      </w:r>
    </w:p>
    <w:p w14:paraId="221B5D96" w14:textId="77777777" w:rsidR="001135A2" w:rsidRDefault="00CD55C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End of treatment liver biopsy</w:t>
      </w:r>
      <w:r>
        <w:rPr>
          <w:rFonts w:ascii="Book Antiqua" w:eastAsia="Book Antiqua" w:hAnsi="Book Antiqua" w:cs="Book Antiqua"/>
          <w:color w:val="000000"/>
        </w:rPr>
        <w:t xml:space="preserve"> A: Portal tract showing fibrosis and a robust lymphoid aggregate reminiscent of a germinal center in the biopsy tissue from patient 12 who completed treatment for hepatitis C (Hematoxylin and eosin, X50</w:t>
      </w:r>
      <w:r>
        <w:rPr>
          <w:rFonts w:ascii="Book Antiqua" w:eastAsia="Book Antiqua" w:hAnsi="Book Antiqua" w:cs="Book Antiqua"/>
          <w:color w:val="000000"/>
        </w:rPr>
        <w:t>); B: There is interface hepatitis as the portal lymphocytic infiltrates spill into the surrounding liver parenchyma in the biopsy tissue from patient 9 (Hematoxylin and eosin, 100X).</w:t>
      </w:r>
    </w:p>
    <w:p w14:paraId="0EE202CF" w14:textId="77777777" w:rsidR="001135A2" w:rsidRDefault="001135A2">
      <w:pPr>
        <w:spacing w:line="360" w:lineRule="auto"/>
        <w:jc w:val="both"/>
        <w:rPr>
          <w:rFonts w:ascii="Book Antiqua" w:eastAsia="Book Antiqua" w:hAnsi="Book Antiqua" w:cs="Book Antiqua"/>
          <w:color w:val="000000"/>
        </w:rPr>
        <w:sectPr w:rsidR="001135A2">
          <w:pgSz w:w="12240" w:h="15840"/>
          <w:pgMar w:top="1440" w:right="1440" w:bottom="1440" w:left="1440" w:header="720" w:footer="720" w:gutter="0"/>
          <w:cols w:space="720"/>
          <w:docGrid w:linePitch="360"/>
        </w:sectPr>
      </w:pPr>
    </w:p>
    <w:p w14:paraId="0F928556" w14:textId="77777777" w:rsidR="001135A2" w:rsidRDefault="00CD55CB">
      <w:pPr>
        <w:tabs>
          <w:tab w:val="left" w:pos="513"/>
        </w:tabs>
        <w:spacing w:line="360" w:lineRule="auto"/>
        <w:jc w:val="both"/>
        <w:rPr>
          <w:rFonts w:ascii="Book Antiqua" w:hAnsi="Book Antiqua"/>
          <w:b/>
          <w:bCs/>
        </w:rPr>
      </w:pPr>
      <w:r>
        <w:rPr>
          <w:rFonts w:ascii="Book Antiqua" w:hAnsi="Book Antiqua"/>
          <w:b/>
          <w:bCs/>
        </w:rPr>
        <w:lastRenderedPageBreak/>
        <w:t xml:space="preserve">Table 1 Patients baseline and end of treatment </w:t>
      </w:r>
      <w:proofErr w:type="spellStart"/>
      <w:r>
        <w:rPr>
          <w:rFonts w:ascii="Book Antiqua" w:hAnsi="Book Antiqua"/>
          <w:b/>
          <w:bCs/>
        </w:rPr>
        <w:t>charactarestics</w:t>
      </w:r>
      <w:proofErr w:type="spellEnd"/>
    </w:p>
    <w:tbl>
      <w:tblPr>
        <w:tblStyle w:val="1-31"/>
        <w:tblW w:w="136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475"/>
        <w:gridCol w:w="941"/>
        <w:gridCol w:w="914"/>
        <w:gridCol w:w="1183"/>
        <w:gridCol w:w="859"/>
        <w:gridCol w:w="932"/>
        <w:gridCol w:w="986"/>
        <w:gridCol w:w="1755"/>
        <w:gridCol w:w="941"/>
        <w:gridCol w:w="996"/>
        <w:gridCol w:w="1260"/>
        <w:gridCol w:w="823"/>
        <w:gridCol w:w="1156"/>
      </w:tblGrid>
      <w:tr w:rsidR="001135A2" w14:paraId="71605332" w14:textId="77777777" w:rsidTr="001135A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3" w:type="dxa"/>
            <w:gridSpan w:val="2"/>
            <w:vMerge w:val="restart"/>
            <w:tcBorders>
              <w:top w:val="single" w:sz="4" w:space="0" w:color="auto"/>
            </w:tcBorders>
          </w:tcPr>
          <w:p w14:paraId="0311E852" w14:textId="77777777" w:rsidR="001135A2" w:rsidRDefault="00CD55CB">
            <w:pPr>
              <w:spacing w:line="360" w:lineRule="auto"/>
              <w:jc w:val="both"/>
              <w:rPr>
                <w:rFonts w:ascii="Book Antiqua" w:hAnsi="Book Antiqua" w:cstheme="majorBidi"/>
              </w:rPr>
            </w:pPr>
            <w:r>
              <w:rPr>
                <w:rFonts w:ascii="Book Antiqua" w:hAnsi="Book Antiqua" w:cstheme="majorBidi"/>
              </w:rPr>
              <w:t>Gender</w:t>
            </w:r>
          </w:p>
        </w:tc>
        <w:tc>
          <w:tcPr>
            <w:tcW w:w="1270" w:type="dxa"/>
            <w:vMerge w:val="restart"/>
            <w:tcBorders>
              <w:top w:val="single" w:sz="4" w:space="0" w:color="auto"/>
              <w:bottom w:val="single" w:sz="4" w:space="0" w:color="auto"/>
            </w:tcBorders>
          </w:tcPr>
          <w:p w14:paraId="610A4E7B" w14:textId="77777777" w:rsidR="001135A2" w:rsidRDefault="00CD55CB">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Bidi"/>
                <w:color w:val="000000"/>
              </w:rPr>
            </w:pPr>
            <w:r>
              <w:rPr>
                <w:rFonts w:ascii="Book Antiqua" w:eastAsia="Times New Roman" w:hAnsi="Book Antiqua" w:cstheme="minorBidi"/>
                <w:color w:val="000000"/>
              </w:rPr>
              <w:t>Age at</w:t>
            </w:r>
          </w:p>
          <w:p w14:paraId="6371A378" w14:textId="77777777" w:rsidR="001135A2" w:rsidRDefault="00CD55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eastAsia="Times New Roman" w:hAnsi="Book Antiqua" w:cstheme="minorBidi"/>
                <w:color w:val="000000"/>
              </w:rPr>
              <w:t>treatment start</w:t>
            </w:r>
          </w:p>
        </w:tc>
        <w:tc>
          <w:tcPr>
            <w:tcW w:w="1230" w:type="dxa"/>
            <w:vMerge w:val="restart"/>
            <w:tcBorders>
              <w:top w:val="single" w:sz="4" w:space="0" w:color="auto"/>
              <w:bottom w:val="single" w:sz="4" w:space="0" w:color="auto"/>
            </w:tcBorders>
          </w:tcPr>
          <w:p w14:paraId="19991AD2" w14:textId="77777777" w:rsidR="001135A2" w:rsidRDefault="00CD55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HCV genotype</w:t>
            </w:r>
          </w:p>
        </w:tc>
        <w:tc>
          <w:tcPr>
            <w:tcW w:w="1624" w:type="dxa"/>
            <w:vMerge w:val="restart"/>
            <w:tcBorders>
              <w:top w:val="single" w:sz="4" w:space="0" w:color="auto"/>
              <w:bottom w:val="single" w:sz="4" w:space="0" w:color="auto"/>
            </w:tcBorders>
          </w:tcPr>
          <w:p w14:paraId="21A6B72B" w14:textId="77777777" w:rsidR="001135A2" w:rsidRDefault="00CD55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Immune</w:t>
            </w:r>
          </w:p>
          <w:p w14:paraId="13CDAE09" w14:textId="77777777" w:rsidR="001135A2" w:rsidRDefault="00CD55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suppression</w:t>
            </w:r>
          </w:p>
        </w:tc>
        <w:tc>
          <w:tcPr>
            <w:tcW w:w="1150" w:type="dxa"/>
            <w:vMerge w:val="restart"/>
            <w:tcBorders>
              <w:top w:val="single" w:sz="4" w:space="0" w:color="auto"/>
              <w:bottom w:val="single" w:sz="4" w:space="0" w:color="auto"/>
            </w:tcBorders>
          </w:tcPr>
          <w:p w14:paraId="549A58B3" w14:textId="77777777" w:rsidR="001135A2" w:rsidRDefault="00CD55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Baseline</w:t>
            </w:r>
          </w:p>
          <w:p w14:paraId="4049A52B" w14:textId="77777777" w:rsidR="001135A2" w:rsidRDefault="00CD55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ALT U/L</w:t>
            </w:r>
          </w:p>
        </w:tc>
        <w:tc>
          <w:tcPr>
            <w:tcW w:w="1256" w:type="dxa"/>
            <w:vMerge w:val="restart"/>
            <w:tcBorders>
              <w:top w:val="single" w:sz="4" w:space="0" w:color="auto"/>
              <w:bottom w:val="single" w:sz="4" w:space="0" w:color="auto"/>
            </w:tcBorders>
          </w:tcPr>
          <w:p w14:paraId="645229CD" w14:textId="77777777" w:rsidR="001135A2" w:rsidRDefault="00CD55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vertAlign w:val="superscript"/>
              </w:rPr>
            </w:pPr>
            <w:r>
              <w:rPr>
                <w:rFonts w:ascii="Book Antiqua" w:hAnsi="Book Antiqua" w:cstheme="majorBidi"/>
              </w:rPr>
              <w:t>Baseline RNAX10</w:t>
            </w:r>
            <w:r>
              <w:rPr>
                <w:rFonts w:ascii="Book Antiqua" w:hAnsi="Book Antiqua" w:cstheme="majorBidi"/>
                <w:vertAlign w:val="superscript"/>
              </w:rPr>
              <w:t>6</w:t>
            </w:r>
          </w:p>
        </w:tc>
        <w:tc>
          <w:tcPr>
            <w:tcW w:w="1336" w:type="dxa"/>
            <w:vMerge w:val="restart"/>
            <w:tcBorders>
              <w:top w:val="single" w:sz="4" w:space="0" w:color="auto"/>
              <w:bottom w:val="single" w:sz="4" w:space="0" w:color="auto"/>
            </w:tcBorders>
          </w:tcPr>
          <w:p w14:paraId="3F1A8CBE" w14:textId="77777777" w:rsidR="001135A2" w:rsidRDefault="00CD55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Time transplant to treatment (m)</w:t>
            </w:r>
          </w:p>
        </w:tc>
        <w:tc>
          <w:tcPr>
            <w:tcW w:w="2463" w:type="dxa"/>
            <w:vMerge w:val="restart"/>
            <w:tcBorders>
              <w:top w:val="single" w:sz="4" w:space="0" w:color="auto"/>
              <w:bottom w:val="single" w:sz="4" w:space="0" w:color="auto"/>
            </w:tcBorders>
          </w:tcPr>
          <w:p w14:paraId="789624BE" w14:textId="77777777" w:rsidR="001135A2" w:rsidRDefault="00CD55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Treatment regimen</w:t>
            </w:r>
          </w:p>
        </w:tc>
        <w:tc>
          <w:tcPr>
            <w:tcW w:w="1270" w:type="dxa"/>
            <w:vMerge w:val="restart"/>
            <w:tcBorders>
              <w:top w:val="single" w:sz="4" w:space="0" w:color="auto"/>
              <w:bottom w:val="single" w:sz="4" w:space="0" w:color="auto"/>
            </w:tcBorders>
          </w:tcPr>
          <w:p w14:paraId="330C976B" w14:textId="77777777" w:rsidR="001135A2" w:rsidRDefault="00CD55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End of treatment</w:t>
            </w:r>
          </w:p>
          <w:p w14:paraId="0519AA3C" w14:textId="77777777" w:rsidR="001135A2" w:rsidRDefault="00CD55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ALT U/L</w:t>
            </w:r>
          </w:p>
        </w:tc>
        <w:tc>
          <w:tcPr>
            <w:tcW w:w="5767" w:type="dxa"/>
            <w:gridSpan w:val="4"/>
            <w:tcBorders>
              <w:top w:val="single" w:sz="4" w:space="0" w:color="auto"/>
              <w:bottom w:val="single" w:sz="4" w:space="0" w:color="auto"/>
            </w:tcBorders>
          </w:tcPr>
          <w:p w14:paraId="44A4626A" w14:textId="77777777" w:rsidR="001135A2" w:rsidRDefault="00CD55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End of treatment biopsy</w:t>
            </w:r>
          </w:p>
        </w:tc>
      </w:tr>
      <w:tr w:rsidR="001135A2" w14:paraId="534A1DA4" w14:textId="77777777" w:rsidTr="001135A2">
        <w:trPr>
          <w:trHeight w:val="535"/>
        </w:trPr>
        <w:tc>
          <w:tcPr>
            <w:cnfStyle w:val="001000000000" w:firstRow="0" w:lastRow="0" w:firstColumn="1" w:lastColumn="0" w:oddVBand="0" w:evenVBand="0" w:oddHBand="0" w:evenHBand="0" w:firstRowFirstColumn="0" w:firstRowLastColumn="0" w:lastRowFirstColumn="0" w:lastRowLastColumn="0"/>
            <w:tcW w:w="1043" w:type="dxa"/>
            <w:gridSpan w:val="2"/>
            <w:vMerge/>
            <w:tcBorders>
              <w:bottom w:val="single" w:sz="4" w:space="0" w:color="auto"/>
            </w:tcBorders>
          </w:tcPr>
          <w:p w14:paraId="1764AB70" w14:textId="77777777" w:rsidR="001135A2" w:rsidRDefault="001135A2">
            <w:pPr>
              <w:spacing w:line="360" w:lineRule="auto"/>
              <w:jc w:val="both"/>
              <w:rPr>
                <w:rFonts w:ascii="Book Antiqua" w:hAnsi="Book Antiqua" w:cstheme="majorBidi"/>
              </w:rPr>
            </w:pPr>
          </w:p>
        </w:tc>
        <w:tc>
          <w:tcPr>
            <w:tcW w:w="1270" w:type="dxa"/>
            <w:vMerge/>
            <w:tcBorders>
              <w:top w:val="single" w:sz="4" w:space="0" w:color="auto"/>
              <w:bottom w:val="single" w:sz="4" w:space="0" w:color="auto"/>
            </w:tcBorders>
          </w:tcPr>
          <w:p w14:paraId="0C11AE59"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230" w:type="dxa"/>
            <w:vMerge/>
            <w:tcBorders>
              <w:top w:val="single" w:sz="4" w:space="0" w:color="auto"/>
              <w:bottom w:val="single" w:sz="4" w:space="0" w:color="auto"/>
            </w:tcBorders>
          </w:tcPr>
          <w:p w14:paraId="1D5A4AD3"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624" w:type="dxa"/>
            <w:vMerge/>
            <w:tcBorders>
              <w:top w:val="single" w:sz="4" w:space="0" w:color="auto"/>
              <w:bottom w:val="single" w:sz="4" w:space="0" w:color="auto"/>
            </w:tcBorders>
          </w:tcPr>
          <w:p w14:paraId="2BF546DD"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150" w:type="dxa"/>
            <w:vMerge/>
            <w:tcBorders>
              <w:top w:val="single" w:sz="4" w:space="0" w:color="auto"/>
              <w:bottom w:val="single" w:sz="4" w:space="0" w:color="auto"/>
            </w:tcBorders>
          </w:tcPr>
          <w:p w14:paraId="7BAC4753"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256" w:type="dxa"/>
            <w:vMerge/>
            <w:tcBorders>
              <w:top w:val="single" w:sz="4" w:space="0" w:color="auto"/>
              <w:bottom w:val="single" w:sz="4" w:space="0" w:color="auto"/>
            </w:tcBorders>
          </w:tcPr>
          <w:p w14:paraId="1B394074"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336" w:type="dxa"/>
            <w:vMerge/>
            <w:tcBorders>
              <w:top w:val="single" w:sz="4" w:space="0" w:color="auto"/>
              <w:bottom w:val="single" w:sz="4" w:space="0" w:color="auto"/>
            </w:tcBorders>
          </w:tcPr>
          <w:p w14:paraId="7E6A5B02"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463" w:type="dxa"/>
            <w:vMerge/>
            <w:tcBorders>
              <w:top w:val="single" w:sz="4" w:space="0" w:color="auto"/>
              <w:bottom w:val="single" w:sz="4" w:space="0" w:color="auto"/>
            </w:tcBorders>
          </w:tcPr>
          <w:p w14:paraId="513256C2"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270" w:type="dxa"/>
            <w:vMerge/>
            <w:tcBorders>
              <w:top w:val="single" w:sz="4" w:space="0" w:color="auto"/>
              <w:bottom w:val="single" w:sz="4" w:space="0" w:color="auto"/>
            </w:tcBorders>
          </w:tcPr>
          <w:p w14:paraId="13373436"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350" w:type="dxa"/>
            <w:tcBorders>
              <w:top w:val="single" w:sz="4" w:space="0" w:color="auto"/>
              <w:bottom w:val="single" w:sz="4" w:space="0" w:color="auto"/>
            </w:tcBorders>
          </w:tcPr>
          <w:p w14:paraId="47DAA60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Pr>
                <w:rFonts w:ascii="Book Antiqua" w:hAnsi="Book Antiqua" w:cstheme="majorBidi"/>
                <w:b/>
                <w:bCs/>
              </w:rPr>
              <w:t>Treatment to biopsy (weeks)</w:t>
            </w:r>
          </w:p>
        </w:tc>
        <w:tc>
          <w:tcPr>
            <w:tcW w:w="1737" w:type="dxa"/>
            <w:tcBorders>
              <w:top w:val="single" w:sz="4" w:space="0" w:color="auto"/>
              <w:bottom w:val="single" w:sz="4" w:space="0" w:color="auto"/>
            </w:tcBorders>
          </w:tcPr>
          <w:p w14:paraId="2A202D0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Pr>
                <w:rFonts w:ascii="Book Antiqua" w:hAnsi="Book Antiqua" w:cstheme="majorBidi"/>
                <w:b/>
                <w:bCs/>
              </w:rPr>
              <w:t>Inflammation grade</w:t>
            </w:r>
          </w:p>
        </w:tc>
        <w:tc>
          <w:tcPr>
            <w:tcW w:w="1096" w:type="dxa"/>
            <w:tcBorders>
              <w:top w:val="single" w:sz="4" w:space="0" w:color="auto"/>
              <w:bottom w:val="single" w:sz="4" w:space="0" w:color="auto"/>
            </w:tcBorders>
          </w:tcPr>
          <w:p w14:paraId="2F6CB1F3"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Pr>
                <w:rFonts w:ascii="Book Antiqua" w:hAnsi="Book Antiqua" w:cstheme="majorBidi"/>
                <w:b/>
                <w:bCs/>
              </w:rPr>
              <w:t>Fibrosis stage</w:t>
            </w:r>
          </w:p>
        </w:tc>
        <w:tc>
          <w:tcPr>
            <w:tcW w:w="1584" w:type="dxa"/>
            <w:tcBorders>
              <w:top w:val="single" w:sz="4" w:space="0" w:color="auto"/>
              <w:bottom w:val="single" w:sz="4" w:space="0" w:color="auto"/>
            </w:tcBorders>
          </w:tcPr>
          <w:p w14:paraId="77F37E88"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Pr>
                <w:rFonts w:ascii="Book Antiqua" w:hAnsi="Book Antiqua" w:cstheme="majorBidi"/>
                <w:b/>
                <w:bCs/>
              </w:rPr>
              <w:t>Other findings</w:t>
            </w:r>
          </w:p>
        </w:tc>
      </w:tr>
      <w:tr w:rsidR="001135A2" w14:paraId="60560890" w14:textId="77777777" w:rsidTr="001135A2">
        <w:trPr>
          <w:trHeight w:val="298"/>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auto"/>
            </w:tcBorders>
          </w:tcPr>
          <w:p w14:paraId="5D600EB1"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t>1</w:t>
            </w:r>
          </w:p>
        </w:tc>
        <w:tc>
          <w:tcPr>
            <w:tcW w:w="587" w:type="dxa"/>
            <w:tcBorders>
              <w:top w:val="single" w:sz="4" w:space="0" w:color="auto"/>
            </w:tcBorders>
          </w:tcPr>
          <w:p w14:paraId="49208EA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F</w:t>
            </w:r>
          </w:p>
        </w:tc>
        <w:tc>
          <w:tcPr>
            <w:tcW w:w="1270" w:type="dxa"/>
            <w:tcBorders>
              <w:top w:val="single" w:sz="4" w:space="0" w:color="auto"/>
            </w:tcBorders>
          </w:tcPr>
          <w:p w14:paraId="010D0A7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59</w:t>
            </w:r>
          </w:p>
        </w:tc>
        <w:tc>
          <w:tcPr>
            <w:tcW w:w="1230" w:type="dxa"/>
            <w:tcBorders>
              <w:top w:val="single" w:sz="4" w:space="0" w:color="auto"/>
            </w:tcBorders>
          </w:tcPr>
          <w:p w14:paraId="6C57256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1a</w:t>
            </w:r>
          </w:p>
        </w:tc>
        <w:tc>
          <w:tcPr>
            <w:tcW w:w="1624" w:type="dxa"/>
            <w:tcBorders>
              <w:top w:val="single" w:sz="4" w:space="0" w:color="auto"/>
            </w:tcBorders>
          </w:tcPr>
          <w:p w14:paraId="66421C9B"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MMF, tacrolimus</w:t>
            </w:r>
          </w:p>
        </w:tc>
        <w:tc>
          <w:tcPr>
            <w:tcW w:w="1150" w:type="dxa"/>
            <w:tcBorders>
              <w:top w:val="single" w:sz="4" w:space="0" w:color="auto"/>
            </w:tcBorders>
          </w:tcPr>
          <w:p w14:paraId="1150635E"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57</w:t>
            </w:r>
          </w:p>
        </w:tc>
        <w:tc>
          <w:tcPr>
            <w:tcW w:w="1256" w:type="dxa"/>
            <w:tcBorders>
              <w:top w:val="single" w:sz="4" w:space="0" w:color="auto"/>
            </w:tcBorders>
          </w:tcPr>
          <w:p w14:paraId="5400C6B1"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1.3</w:t>
            </w:r>
          </w:p>
        </w:tc>
        <w:tc>
          <w:tcPr>
            <w:tcW w:w="1336" w:type="dxa"/>
            <w:tcBorders>
              <w:top w:val="single" w:sz="4" w:space="0" w:color="auto"/>
            </w:tcBorders>
          </w:tcPr>
          <w:p w14:paraId="3CD3615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22 </w:t>
            </w:r>
            <w:proofErr w:type="spellStart"/>
            <w:r>
              <w:rPr>
                <w:rFonts w:ascii="Book Antiqua" w:hAnsi="Book Antiqua" w:cstheme="majorBidi"/>
              </w:rPr>
              <w:t>mo</w:t>
            </w:r>
            <w:proofErr w:type="spellEnd"/>
          </w:p>
        </w:tc>
        <w:tc>
          <w:tcPr>
            <w:tcW w:w="2463" w:type="dxa"/>
            <w:tcBorders>
              <w:top w:val="single" w:sz="4" w:space="0" w:color="auto"/>
            </w:tcBorders>
          </w:tcPr>
          <w:p w14:paraId="14496BA5"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SOF/SIM</w:t>
            </w:r>
          </w:p>
        </w:tc>
        <w:tc>
          <w:tcPr>
            <w:tcW w:w="1270" w:type="dxa"/>
            <w:tcBorders>
              <w:top w:val="single" w:sz="4" w:space="0" w:color="auto"/>
            </w:tcBorders>
          </w:tcPr>
          <w:p w14:paraId="5FB35F26"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18</w:t>
            </w:r>
          </w:p>
        </w:tc>
        <w:tc>
          <w:tcPr>
            <w:tcW w:w="1350" w:type="dxa"/>
            <w:tcBorders>
              <w:top w:val="single" w:sz="4" w:space="0" w:color="auto"/>
            </w:tcBorders>
          </w:tcPr>
          <w:p w14:paraId="7F561635"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25</w:t>
            </w:r>
          </w:p>
        </w:tc>
        <w:tc>
          <w:tcPr>
            <w:tcW w:w="1737" w:type="dxa"/>
            <w:tcBorders>
              <w:top w:val="single" w:sz="4" w:space="0" w:color="auto"/>
            </w:tcBorders>
          </w:tcPr>
          <w:p w14:paraId="249EF48E"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w:t>
            </w:r>
          </w:p>
        </w:tc>
        <w:tc>
          <w:tcPr>
            <w:tcW w:w="1096" w:type="dxa"/>
            <w:tcBorders>
              <w:top w:val="single" w:sz="4" w:space="0" w:color="auto"/>
            </w:tcBorders>
          </w:tcPr>
          <w:p w14:paraId="0118A476"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w:t>
            </w:r>
          </w:p>
        </w:tc>
        <w:tc>
          <w:tcPr>
            <w:tcW w:w="1584" w:type="dxa"/>
            <w:tcBorders>
              <w:top w:val="single" w:sz="4" w:space="0" w:color="auto"/>
            </w:tcBorders>
          </w:tcPr>
          <w:p w14:paraId="2969F12D"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35A2" w14:paraId="786001C6" w14:textId="77777777" w:rsidTr="001135A2">
        <w:trPr>
          <w:trHeight w:val="775"/>
        </w:trPr>
        <w:tc>
          <w:tcPr>
            <w:cnfStyle w:val="001000000000" w:firstRow="0" w:lastRow="0" w:firstColumn="1" w:lastColumn="0" w:oddVBand="0" w:evenVBand="0" w:oddHBand="0" w:evenHBand="0" w:firstRowFirstColumn="0" w:firstRowLastColumn="0" w:lastRowFirstColumn="0" w:lastRowLastColumn="0"/>
            <w:tcW w:w="456" w:type="dxa"/>
          </w:tcPr>
          <w:p w14:paraId="5F937103"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t>2</w:t>
            </w:r>
          </w:p>
        </w:tc>
        <w:tc>
          <w:tcPr>
            <w:tcW w:w="587" w:type="dxa"/>
          </w:tcPr>
          <w:p w14:paraId="36636971"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w:t>
            </w:r>
          </w:p>
        </w:tc>
        <w:tc>
          <w:tcPr>
            <w:tcW w:w="1270" w:type="dxa"/>
          </w:tcPr>
          <w:p w14:paraId="1ED0D65D"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57</w:t>
            </w:r>
          </w:p>
        </w:tc>
        <w:tc>
          <w:tcPr>
            <w:tcW w:w="1230" w:type="dxa"/>
          </w:tcPr>
          <w:p w14:paraId="4CBC7E1C"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1a</w:t>
            </w:r>
          </w:p>
        </w:tc>
        <w:tc>
          <w:tcPr>
            <w:tcW w:w="1624" w:type="dxa"/>
          </w:tcPr>
          <w:p w14:paraId="763EC738"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Tacrolimus</w:t>
            </w:r>
          </w:p>
        </w:tc>
        <w:tc>
          <w:tcPr>
            <w:tcW w:w="1150" w:type="dxa"/>
          </w:tcPr>
          <w:p w14:paraId="616DA16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12</w:t>
            </w:r>
          </w:p>
        </w:tc>
        <w:tc>
          <w:tcPr>
            <w:tcW w:w="1256" w:type="dxa"/>
          </w:tcPr>
          <w:p w14:paraId="45D51820"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0.3</w:t>
            </w:r>
          </w:p>
        </w:tc>
        <w:tc>
          <w:tcPr>
            <w:tcW w:w="1336" w:type="dxa"/>
          </w:tcPr>
          <w:p w14:paraId="1B0B503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32 d</w:t>
            </w:r>
          </w:p>
        </w:tc>
        <w:tc>
          <w:tcPr>
            <w:tcW w:w="2463" w:type="dxa"/>
          </w:tcPr>
          <w:p w14:paraId="1C10A6CC"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SOF/RBV</w:t>
            </w:r>
          </w:p>
        </w:tc>
        <w:tc>
          <w:tcPr>
            <w:tcW w:w="1270" w:type="dxa"/>
          </w:tcPr>
          <w:p w14:paraId="45DB93A9"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17</w:t>
            </w:r>
          </w:p>
        </w:tc>
        <w:tc>
          <w:tcPr>
            <w:tcW w:w="1350" w:type="dxa"/>
          </w:tcPr>
          <w:p w14:paraId="13BC930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22</w:t>
            </w:r>
          </w:p>
        </w:tc>
        <w:tc>
          <w:tcPr>
            <w:tcW w:w="1737" w:type="dxa"/>
          </w:tcPr>
          <w:p w14:paraId="4461958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c>
          <w:tcPr>
            <w:tcW w:w="1096" w:type="dxa"/>
          </w:tcPr>
          <w:p w14:paraId="6EB29DBB"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c>
          <w:tcPr>
            <w:tcW w:w="1584" w:type="dxa"/>
          </w:tcPr>
          <w:p w14:paraId="5559FD8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Mild centrilobular dilatation with focal hemorrhage</w:t>
            </w:r>
          </w:p>
        </w:tc>
      </w:tr>
      <w:tr w:rsidR="001135A2" w14:paraId="6511B2D7" w14:textId="77777777" w:rsidTr="001135A2">
        <w:trPr>
          <w:trHeight w:val="677"/>
        </w:trPr>
        <w:tc>
          <w:tcPr>
            <w:cnfStyle w:val="001000000000" w:firstRow="0" w:lastRow="0" w:firstColumn="1" w:lastColumn="0" w:oddVBand="0" w:evenVBand="0" w:oddHBand="0" w:evenHBand="0" w:firstRowFirstColumn="0" w:firstRowLastColumn="0" w:lastRowFirstColumn="0" w:lastRowLastColumn="0"/>
            <w:tcW w:w="456" w:type="dxa"/>
          </w:tcPr>
          <w:p w14:paraId="1631120D"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lastRenderedPageBreak/>
              <w:t>3</w:t>
            </w:r>
          </w:p>
        </w:tc>
        <w:tc>
          <w:tcPr>
            <w:tcW w:w="587" w:type="dxa"/>
          </w:tcPr>
          <w:p w14:paraId="738E3FC8"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w:t>
            </w:r>
          </w:p>
        </w:tc>
        <w:tc>
          <w:tcPr>
            <w:tcW w:w="1270" w:type="dxa"/>
          </w:tcPr>
          <w:p w14:paraId="3331CB4D"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59</w:t>
            </w:r>
          </w:p>
        </w:tc>
        <w:tc>
          <w:tcPr>
            <w:tcW w:w="1230" w:type="dxa"/>
          </w:tcPr>
          <w:p w14:paraId="1851155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1a</w:t>
            </w:r>
          </w:p>
        </w:tc>
        <w:tc>
          <w:tcPr>
            <w:tcW w:w="1624" w:type="dxa"/>
          </w:tcPr>
          <w:p w14:paraId="79ABEE83"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MMF, tacrolimus</w:t>
            </w:r>
          </w:p>
        </w:tc>
        <w:tc>
          <w:tcPr>
            <w:tcW w:w="1150" w:type="dxa"/>
          </w:tcPr>
          <w:p w14:paraId="53E9FDDE"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85</w:t>
            </w:r>
          </w:p>
        </w:tc>
        <w:tc>
          <w:tcPr>
            <w:tcW w:w="1256" w:type="dxa"/>
          </w:tcPr>
          <w:p w14:paraId="52BD053D"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4.0</w:t>
            </w:r>
          </w:p>
        </w:tc>
        <w:tc>
          <w:tcPr>
            <w:tcW w:w="1336" w:type="dxa"/>
          </w:tcPr>
          <w:p w14:paraId="387EDBF6"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13 </w:t>
            </w:r>
            <w:proofErr w:type="spellStart"/>
            <w:r>
              <w:rPr>
                <w:rFonts w:ascii="Book Antiqua" w:hAnsi="Book Antiqua" w:cstheme="majorBidi"/>
              </w:rPr>
              <w:t>mo</w:t>
            </w:r>
            <w:proofErr w:type="spellEnd"/>
          </w:p>
        </w:tc>
        <w:tc>
          <w:tcPr>
            <w:tcW w:w="2463" w:type="dxa"/>
          </w:tcPr>
          <w:p w14:paraId="75C94E4C"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SOF/RBV&gt;SOF/SIM</w:t>
            </w:r>
          </w:p>
        </w:tc>
        <w:tc>
          <w:tcPr>
            <w:tcW w:w="1270" w:type="dxa"/>
          </w:tcPr>
          <w:p w14:paraId="46CDA2F5"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11</w:t>
            </w:r>
          </w:p>
        </w:tc>
        <w:tc>
          <w:tcPr>
            <w:tcW w:w="1350" w:type="dxa"/>
          </w:tcPr>
          <w:p w14:paraId="59F179D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32</w:t>
            </w:r>
          </w:p>
        </w:tc>
        <w:tc>
          <w:tcPr>
            <w:tcW w:w="1737" w:type="dxa"/>
          </w:tcPr>
          <w:p w14:paraId="1FDB984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w:t>
            </w:r>
          </w:p>
        </w:tc>
        <w:tc>
          <w:tcPr>
            <w:tcW w:w="1096" w:type="dxa"/>
          </w:tcPr>
          <w:p w14:paraId="466DA29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c>
          <w:tcPr>
            <w:tcW w:w="1584" w:type="dxa"/>
          </w:tcPr>
          <w:p w14:paraId="7703BA5E"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35A2" w14:paraId="3A32A90F" w14:textId="77777777" w:rsidTr="001135A2">
        <w:trPr>
          <w:trHeight w:val="451"/>
        </w:trPr>
        <w:tc>
          <w:tcPr>
            <w:cnfStyle w:val="001000000000" w:firstRow="0" w:lastRow="0" w:firstColumn="1" w:lastColumn="0" w:oddVBand="0" w:evenVBand="0" w:oddHBand="0" w:evenHBand="0" w:firstRowFirstColumn="0" w:firstRowLastColumn="0" w:lastRowFirstColumn="0" w:lastRowLastColumn="0"/>
            <w:tcW w:w="456" w:type="dxa"/>
          </w:tcPr>
          <w:p w14:paraId="7306C455"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t>4</w:t>
            </w:r>
          </w:p>
        </w:tc>
        <w:tc>
          <w:tcPr>
            <w:tcW w:w="587" w:type="dxa"/>
          </w:tcPr>
          <w:p w14:paraId="65A6F619"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w:t>
            </w:r>
          </w:p>
        </w:tc>
        <w:tc>
          <w:tcPr>
            <w:tcW w:w="1270" w:type="dxa"/>
          </w:tcPr>
          <w:p w14:paraId="513C1BC9"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61</w:t>
            </w:r>
          </w:p>
        </w:tc>
        <w:tc>
          <w:tcPr>
            <w:tcW w:w="1230" w:type="dxa"/>
          </w:tcPr>
          <w:p w14:paraId="0A02CDC8"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1a or 1b</w:t>
            </w:r>
          </w:p>
        </w:tc>
        <w:tc>
          <w:tcPr>
            <w:tcW w:w="1624" w:type="dxa"/>
          </w:tcPr>
          <w:p w14:paraId="289D2A61"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Tacrolimus</w:t>
            </w:r>
          </w:p>
        </w:tc>
        <w:tc>
          <w:tcPr>
            <w:tcW w:w="1150" w:type="dxa"/>
          </w:tcPr>
          <w:p w14:paraId="306F91F9"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20</w:t>
            </w:r>
          </w:p>
        </w:tc>
        <w:tc>
          <w:tcPr>
            <w:tcW w:w="1256" w:type="dxa"/>
          </w:tcPr>
          <w:p w14:paraId="433FC2E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0.1</w:t>
            </w:r>
          </w:p>
        </w:tc>
        <w:tc>
          <w:tcPr>
            <w:tcW w:w="1336" w:type="dxa"/>
          </w:tcPr>
          <w:p w14:paraId="00257376"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5 </w:t>
            </w:r>
            <w:proofErr w:type="spellStart"/>
            <w:r>
              <w:rPr>
                <w:rFonts w:ascii="Book Antiqua" w:hAnsi="Book Antiqua" w:cstheme="majorBidi"/>
              </w:rPr>
              <w:t>mo</w:t>
            </w:r>
            <w:proofErr w:type="spellEnd"/>
          </w:p>
        </w:tc>
        <w:tc>
          <w:tcPr>
            <w:tcW w:w="2463" w:type="dxa"/>
          </w:tcPr>
          <w:p w14:paraId="37CB3149"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SOF/RBV</w:t>
            </w:r>
          </w:p>
        </w:tc>
        <w:tc>
          <w:tcPr>
            <w:tcW w:w="1270" w:type="dxa"/>
          </w:tcPr>
          <w:p w14:paraId="092E98F0"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16</w:t>
            </w:r>
          </w:p>
        </w:tc>
        <w:tc>
          <w:tcPr>
            <w:tcW w:w="1350" w:type="dxa"/>
          </w:tcPr>
          <w:p w14:paraId="5BADE1C3"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22</w:t>
            </w:r>
          </w:p>
        </w:tc>
        <w:tc>
          <w:tcPr>
            <w:tcW w:w="1737" w:type="dxa"/>
          </w:tcPr>
          <w:p w14:paraId="38BAE6FB"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w:t>
            </w:r>
          </w:p>
        </w:tc>
        <w:tc>
          <w:tcPr>
            <w:tcW w:w="1096" w:type="dxa"/>
          </w:tcPr>
          <w:p w14:paraId="753C0FA9"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c>
          <w:tcPr>
            <w:tcW w:w="1584" w:type="dxa"/>
          </w:tcPr>
          <w:p w14:paraId="1C31B67D"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35A2" w14:paraId="39ACF42C" w14:textId="77777777" w:rsidTr="001135A2">
        <w:trPr>
          <w:trHeight w:val="460"/>
        </w:trPr>
        <w:tc>
          <w:tcPr>
            <w:cnfStyle w:val="001000000000" w:firstRow="0" w:lastRow="0" w:firstColumn="1" w:lastColumn="0" w:oddVBand="0" w:evenVBand="0" w:oddHBand="0" w:evenHBand="0" w:firstRowFirstColumn="0" w:firstRowLastColumn="0" w:lastRowFirstColumn="0" w:lastRowLastColumn="0"/>
            <w:tcW w:w="456" w:type="dxa"/>
          </w:tcPr>
          <w:p w14:paraId="448C8183"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t>5</w:t>
            </w:r>
          </w:p>
        </w:tc>
        <w:tc>
          <w:tcPr>
            <w:tcW w:w="587" w:type="dxa"/>
          </w:tcPr>
          <w:p w14:paraId="5D5148FE"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w:t>
            </w:r>
          </w:p>
        </w:tc>
        <w:tc>
          <w:tcPr>
            <w:tcW w:w="1270" w:type="dxa"/>
          </w:tcPr>
          <w:p w14:paraId="126A204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68</w:t>
            </w:r>
          </w:p>
        </w:tc>
        <w:tc>
          <w:tcPr>
            <w:tcW w:w="1230" w:type="dxa"/>
          </w:tcPr>
          <w:p w14:paraId="0C64FBC5"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1a or 1b</w:t>
            </w:r>
          </w:p>
        </w:tc>
        <w:tc>
          <w:tcPr>
            <w:tcW w:w="1624" w:type="dxa"/>
          </w:tcPr>
          <w:p w14:paraId="191B5BFB"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Tacrolimus</w:t>
            </w:r>
          </w:p>
        </w:tc>
        <w:tc>
          <w:tcPr>
            <w:tcW w:w="1150" w:type="dxa"/>
          </w:tcPr>
          <w:p w14:paraId="49A4747D"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44</w:t>
            </w:r>
          </w:p>
        </w:tc>
        <w:tc>
          <w:tcPr>
            <w:tcW w:w="1256" w:type="dxa"/>
          </w:tcPr>
          <w:p w14:paraId="4515C41D"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1.2</w:t>
            </w:r>
          </w:p>
        </w:tc>
        <w:tc>
          <w:tcPr>
            <w:tcW w:w="1336" w:type="dxa"/>
          </w:tcPr>
          <w:p w14:paraId="6F116B2B"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8.5 </w:t>
            </w:r>
            <w:proofErr w:type="spellStart"/>
            <w:r>
              <w:rPr>
                <w:rFonts w:ascii="Book Antiqua" w:hAnsi="Book Antiqua" w:cstheme="majorBidi"/>
              </w:rPr>
              <w:t>yr</w:t>
            </w:r>
            <w:proofErr w:type="spellEnd"/>
          </w:p>
        </w:tc>
        <w:tc>
          <w:tcPr>
            <w:tcW w:w="2463" w:type="dxa"/>
          </w:tcPr>
          <w:p w14:paraId="0A493A46"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SOF/RBV</w:t>
            </w:r>
          </w:p>
        </w:tc>
        <w:tc>
          <w:tcPr>
            <w:tcW w:w="1270" w:type="dxa"/>
          </w:tcPr>
          <w:p w14:paraId="364D476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18</w:t>
            </w:r>
          </w:p>
        </w:tc>
        <w:tc>
          <w:tcPr>
            <w:tcW w:w="1350" w:type="dxa"/>
          </w:tcPr>
          <w:p w14:paraId="4DB90831"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25</w:t>
            </w:r>
          </w:p>
        </w:tc>
        <w:tc>
          <w:tcPr>
            <w:tcW w:w="1737" w:type="dxa"/>
          </w:tcPr>
          <w:p w14:paraId="4E7C2E78"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w:t>
            </w:r>
          </w:p>
        </w:tc>
        <w:tc>
          <w:tcPr>
            <w:tcW w:w="1096" w:type="dxa"/>
          </w:tcPr>
          <w:p w14:paraId="0D0F964D"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w:t>
            </w:r>
          </w:p>
        </w:tc>
        <w:tc>
          <w:tcPr>
            <w:tcW w:w="1584" w:type="dxa"/>
          </w:tcPr>
          <w:p w14:paraId="2A05C03F"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35A2" w14:paraId="129DB3B2" w14:textId="77777777" w:rsidTr="001135A2">
        <w:trPr>
          <w:trHeight w:val="312"/>
        </w:trPr>
        <w:tc>
          <w:tcPr>
            <w:cnfStyle w:val="001000000000" w:firstRow="0" w:lastRow="0" w:firstColumn="1" w:lastColumn="0" w:oddVBand="0" w:evenVBand="0" w:oddHBand="0" w:evenHBand="0" w:firstRowFirstColumn="0" w:firstRowLastColumn="0" w:lastRowFirstColumn="0" w:lastRowLastColumn="0"/>
            <w:tcW w:w="456" w:type="dxa"/>
          </w:tcPr>
          <w:p w14:paraId="3B201A2B"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t>6</w:t>
            </w:r>
          </w:p>
        </w:tc>
        <w:tc>
          <w:tcPr>
            <w:tcW w:w="587" w:type="dxa"/>
          </w:tcPr>
          <w:p w14:paraId="5998C9D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F</w:t>
            </w:r>
          </w:p>
        </w:tc>
        <w:tc>
          <w:tcPr>
            <w:tcW w:w="1270" w:type="dxa"/>
          </w:tcPr>
          <w:p w14:paraId="55837433"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76</w:t>
            </w:r>
          </w:p>
        </w:tc>
        <w:tc>
          <w:tcPr>
            <w:tcW w:w="1230" w:type="dxa"/>
          </w:tcPr>
          <w:p w14:paraId="2F0DAC7C"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1a</w:t>
            </w:r>
          </w:p>
        </w:tc>
        <w:tc>
          <w:tcPr>
            <w:tcW w:w="1624" w:type="dxa"/>
          </w:tcPr>
          <w:p w14:paraId="3A9ED05D"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Tacrolimus</w:t>
            </w:r>
          </w:p>
        </w:tc>
        <w:tc>
          <w:tcPr>
            <w:tcW w:w="1150" w:type="dxa"/>
          </w:tcPr>
          <w:p w14:paraId="79AC45E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20</w:t>
            </w:r>
          </w:p>
        </w:tc>
        <w:tc>
          <w:tcPr>
            <w:tcW w:w="1256" w:type="dxa"/>
          </w:tcPr>
          <w:p w14:paraId="610322CF"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10.6</w:t>
            </w:r>
          </w:p>
        </w:tc>
        <w:tc>
          <w:tcPr>
            <w:tcW w:w="1336" w:type="dxa"/>
          </w:tcPr>
          <w:p w14:paraId="505B425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5.5 </w:t>
            </w:r>
            <w:proofErr w:type="spellStart"/>
            <w:r>
              <w:rPr>
                <w:rFonts w:ascii="Book Antiqua" w:hAnsi="Book Antiqua" w:cstheme="majorBidi"/>
              </w:rPr>
              <w:t>mo</w:t>
            </w:r>
            <w:proofErr w:type="spellEnd"/>
          </w:p>
        </w:tc>
        <w:tc>
          <w:tcPr>
            <w:tcW w:w="2463" w:type="dxa"/>
          </w:tcPr>
          <w:p w14:paraId="580C764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SOF/SIM</w:t>
            </w:r>
          </w:p>
        </w:tc>
        <w:tc>
          <w:tcPr>
            <w:tcW w:w="1270" w:type="dxa"/>
          </w:tcPr>
          <w:p w14:paraId="7122022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48</w:t>
            </w:r>
          </w:p>
        </w:tc>
        <w:tc>
          <w:tcPr>
            <w:tcW w:w="1350" w:type="dxa"/>
          </w:tcPr>
          <w:p w14:paraId="40BA01F0"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25</w:t>
            </w:r>
          </w:p>
        </w:tc>
        <w:tc>
          <w:tcPr>
            <w:tcW w:w="1737" w:type="dxa"/>
          </w:tcPr>
          <w:p w14:paraId="3AE9379E"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w:t>
            </w:r>
          </w:p>
        </w:tc>
        <w:tc>
          <w:tcPr>
            <w:tcW w:w="1096" w:type="dxa"/>
          </w:tcPr>
          <w:p w14:paraId="200783A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c>
          <w:tcPr>
            <w:tcW w:w="1584" w:type="dxa"/>
          </w:tcPr>
          <w:p w14:paraId="5B52CD60"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Histocytes granuloma</w:t>
            </w:r>
          </w:p>
        </w:tc>
      </w:tr>
      <w:tr w:rsidR="001135A2" w14:paraId="771496F4" w14:textId="77777777" w:rsidTr="001135A2">
        <w:trPr>
          <w:trHeight w:val="338"/>
        </w:trPr>
        <w:tc>
          <w:tcPr>
            <w:cnfStyle w:val="001000000000" w:firstRow="0" w:lastRow="0" w:firstColumn="1" w:lastColumn="0" w:oddVBand="0" w:evenVBand="0" w:oddHBand="0" w:evenHBand="0" w:firstRowFirstColumn="0" w:firstRowLastColumn="0" w:lastRowFirstColumn="0" w:lastRowLastColumn="0"/>
            <w:tcW w:w="456" w:type="dxa"/>
          </w:tcPr>
          <w:p w14:paraId="470362A5"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t>7</w:t>
            </w:r>
          </w:p>
        </w:tc>
        <w:tc>
          <w:tcPr>
            <w:tcW w:w="587" w:type="dxa"/>
          </w:tcPr>
          <w:p w14:paraId="67EC298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F</w:t>
            </w:r>
          </w:p>
        </w:tc>
        <w:tc>
          <w:tcPr>
            <w:tcW w:w="1270" w:type="dxa"/>
          </w:tcPr>
          <w:p w14:paraId="6A014AB3"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80</w:t>
            </w:r>
          </w:p>
        </w:tc>
        <w:tc>
          <w:tcPr>
            <w:tcW w:w="1230" w:type="dxa"/>
          </w:tcPr>
          <w:p w14:paraId="4E9B9323"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1a</w:t>
            </w:r>
          </w:p>
        </w:tc>
        <w:tc>
          <w:tcPr>
            <w:tcW w:w="1624" w:type="dxa"/>
          </w:tcPr>
          <w:p w14:paraId="416884F3"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Tacrolimus</w:t>
            </w:r>
          </w:p>
        </w:tc>
        <w:tc>
          <w:tcPr>
            <w:tcW w:w="1150" w:type="dxa"/>
          </w:tcPr>
          <w:p w14:paraId="61C132F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12</w:t>
            </w:r>
          </w:p>
        </w:tc>
        <w:tc>
          <w:tcPr>
            <w:tcW w:w="1256" w:type="dxa"/>
          </w:tcPr>
          <w:p w14:paraId="4BCC517E"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5.2</w:t>
            </w:r>
          </w:p>
        </w:tc>
        <w:tc>
          <w:tcPr>
            <w:tcW w:w="1336" w:type="dxa"/>
          </w:tcPr>
          <w:p w14:paraId="785F37F8"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18 </w:t>
            </w:r>
            <w:proofErr w:type="spellStart"/>
            <w:r>
              <w:rPr>
                <w:rFonts w:ascii="Book Antiqua" w:hAnsi="Book Antiqua" w:cstheme="majorBidi"/>
              </w:rPr>
              <w:t>yr</w:t>
            </w:r>
            <w:proofErr w:type="spellEnd"/>
          </w:p>
        </w:tc>
        <w:tc>
          <w:tcPr>
            <w:tcW w:w="2463" w:type="dxa"/>
          </w:tcPr>
          <w:p w14:paraId="77F32631"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SOF/SIM</w:t>
            </w:r>
          </w:p>
        </w:tc>
        <w:tc>
          <w:tcPr>
            <w:tcW w:w="1270" w:type="dxa"/>
          </w:tcPr>
          <w:p w14:paraId="460D24CE"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15</w:t>
            </w:r>
          </w:p>
        </w:tc>
        <w:tc>
          <w:tcPr>
            <w:tcW w:w="1350" w:type="dxa"/>
          </w:tcPr>
          <w:p w14:paraId="0149C82F"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24</w:t>
            </w:r>
          </w:p>
        </w:tc>
        <w:tc>
          <w:tcPr>
            <w:tcW w:w="1737" w:type="dxa"/>
          </w:tcPr>
          <w:p w14:paraId="06916248"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w:t>
            </w:r>
          </w:p>
        </w:tc>
        <w:tc>
          <w:tcPr>
            <w:tcW w:w="1096" w:type="dxa"/>
          </w:tcPr>
          <w:p w14:paraId="12742845"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w:t>
            </w:r>
          </w:p>
        </w:tc>
        <w:tc>
          <w:tcPr>
            <w:tcW w:w="1584" w:type="dxa"/>
          </w:tcPr>
          <w:p w14:paraId="0D39A250"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35A2" w14:paraId="3F2932FD" w14:textId="77777777" w:rsidTr="001135A2">
        <w:trPr>
          <w:trHeight w:val="312"/>
        </w:trPr>
        <w:tc>
          <w:tcPr>
            <w:cnfStyle w:val="001000000000" w:firstRow="0" w:lastRow="0" w:firstColumn="1" w:lastColumn="0" w:oddVBand="0" w:evenVBand="0" w:oddHBand="0" w:evenHBand="0" w:firstRowFirstColumn="0" w:firstRowLastColumn="0" w:lastRowFirstColumn="0" w:lastRowLastColumn="0"/>
            <w:tcW w:w="456" w:type="dxa"/>
          </w:tcPr>
          <w:p w14:paraId="6BF0145E"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t>8</w:t>
            </w:r>
          </w:p>
        </w:tc>
        <w:tc>
          <w:tcPr>
            <w:tcW w:w="587" w:type="dxa"/>
          </w:tcPr>
          <w:p w14:paraId="744A449E"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w:t>
            </w:r>
          </w:p>
        </w:tc>
        <w:tc>
          <w:tcPr>
            <w:tcW w:w="1270" w:type="dxa"/>
          </w:tcPr>
          <w:p w14:paraId="603765F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62</w:t>
            </w:r>
          </w:p>
        </w:tc>
        <w:tc>
          <w:tcPr>
            <w:tcW w:w="1230" w:type="dxa"/>
          </w:tcPr>
          <w:p w14:paraId="484EDB31"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1a</w:t>
            </w:r>
          </w:p>
        </w:tc>
        <w:tc>
          <w:tcPr>
            <w:tcW w:w="1624" w:type="dxa"/>
          </w:tcPr>
          <w:p w14:paraId="143BBE5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MMF, tacrolimus</w:t>
            </w:r>
          </w:p>
        </w:tc>
        <w:tc>
          <w:tcPr>
            <w:tcW w:w="1150" w:type="dxa"/>
          </w:tcPr>
          <w:p w14:paraId="5301094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166</w:t>
            </w:r>
          </w:p>
        </w:tc>
        <w:tc>
          <w:tcPr>
            <w:tcW w:w="1256" w:type="dxa"/>
          </w:tcPr>
          <w:p w14:paraId="69CD0F0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1.7</w:t>
            </w:r>
          </w:p>
        </w:tc>
        <w:tc>
          <w:tcPr>
            <w:tcW w:w="1336" w:type="dxa"/>
          </w:tcPr>
          <w:p w14:paraId="7AC6688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43 d</w:t>
            </w:r>
          </w:p>
        </w:tc>
        <w:tc>
          <w:tcPr>
            <w:tcW w:w="2463" w:type="dxa"/>
          </w:tcPr>
          <w:p w14:paraId="28A47C2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SOF/RBV</w:t>
            </w:r>
          </w:p>
        </w:tc>
        <w:tc>
          <w:tcPr>
            <w:tcW w:w="1270" w:type="dxa"/>
          </w:tcPr>
          <w:p w14:paraId="493BA2BC"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9</w:t>
            </w:r>
          </w:p>
        </w:tc>
        <w:tc>
          <w:tcPr>
            <w:tcW w:w="1350" w:type="dxa"/>
          </w:tcPr>
          <w:p w14:paraId="0FDED37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30</w:t>
            </w:r>
          </w:p>
        </w:tc>
        <w:tc>
          <w:tcPr>
            <w:tcW w:w="1737" w:type="dxa"/>
          </w:tcPr>
          <w:p w14:paraId="7263A63D"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w:t>
            </w:r>
          </w:p>
        </w:tc>
        <w:tc>
          <w:tcPr>
            <w:tcW w:w="1096" w:type="dxa"/>
          </w:tcPr>
          <w:p w14:paraId="73ED77D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c>
          <w:tcPr>
            <w:tcW w:w="1584" w:type="dxa"/>
          </w:tcPr>
          <w:p w14:paraId="781B0203"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Steatosis (&lt; 5%)</w:t>
            </w:r>
          </w:p>
        </w:tc>
      </w:tr>
      <w:tr w:rsidR="001135A2" w14:paraId="38D6B343" w14:textId="77777777" w:rsidTr="001135A2">
        <w:trPr>
          <w:trHeight w:val="462"/>
        </w:trPr>
        <w:tc>
          <w:tcPr>
            <w:cnfStyle w:val="001000000000" w:firstRow="0" w:lastRow="0" w:firstColumn="1" w:lastColumn="0" w:oddVBand="0" w:evenVBand="0" w:oddHBand="0" w:evenHBand="0" w:firstRowFirstColumn="0" w:firstRowLastColumn="0" w:lastRowFirstColumn="0" w:lastRowLastColumn="0"/>
            <w:tcW w:w="456" w:type="dxa"/>
          </w:tcPr>
          <w:p w14:paraId="2A95DE2A"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t>9</w:t>
            </w:r>
          </w:p>
        </w:tc>
        <w:tc>
          <w:tcPr>
            <w:tcW w:w="587" w:type="dxa"/>
          </w:tcPr>
          <w:p w14:paraId="5278CB5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w:t>
            </w:r>
          </w:p>
        </w:tc>
        <w:tc>
          <w:tcPr>
            <w:tcW w:w="1270" w:type="dxa"/>
          </w:tcPr>
          <w:p w14:paraId="7F1CEF5D"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60</w:t>
            </w:r>
          </w:p>
        </w:tc>
        <w:tc>
          <w:tcPr>
            <w:tcW w:w="1230" w:type="dxa"/>
          </w:tcPr>
          <w:p w14:paraId="1417B62D"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3a</w:t>
            </w:r>
          </w:p>
        </w:tc>
        <w:tc>
          <w:tcPr>
            <w:tcW w:w="1624" w:type="dxa"/>
          </w:tcPr>
          <w:p w14:paraId="6CB4ABB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Tacrolimus, prednisone</w:t>
            </w:r>
          </w:p>
        </w:tc>
        <w:tc>
          <w:tcPr>
            <w:tcW w:w="1150" w:type="dxa"/>
          </w:tcPr>
          <w:p w14:paraId="6A2BB336"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23</w:t>
            </w:r>
          </w:p>
        </w:tc>
        <w:tc>
          <w:tcPr>
            <w:tcW w:w="1256" w:type="dxa"/>
          </w:tcPr>
          <w:p w14:paraId="29872005"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0.9</w:t>
            </w:r>
          </w:p>
        </w:tc>
        <w:tc>
          <w:tcPr>
            <w:tcW w:w="1336" w:type="dxa"/>
          </w:tcPr>
          <w:p w14:paraId="3FE42DE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4 </w:t>
            </w:r>
            <w:proofErr w:type="spellStart"/>
            <w:r>
              <w:rPr>
                <w:rFonts w:ascii="Book Antiqua" w:hAnsi="Book Antiqua" w:cstheme="majorBidi"/>
              </w:rPr>
              <w:t>mo</w:t>
            </w:r>
            <w:proofErr w:type="spellEnd"/>
          </w:p>
        </w:tc>
        <w:tc>
          <w:tcPr>
            <w:tcW w:w="2463" w:type="dxa"/>
          </w:tcPr>
          <w:p w14:paraId="2FC1680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SOF/RBV</w:t>
            </w:r>
          </w:p>
        </w:tc>
        <w:tc>
          <w:tcPr>
            <w:tcW w:w="1270" w:type="dxa"/>
          </w:tcPr>
          <w:p w14:paraId="29BFE8F3"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82</w:t>
            </w:r>
          </w:p>
        </w:tc>
        <w:tc>
          <w:tcPr>
            <w:tcW w:w="1350" w:type="dxa"/>
          </w:tcPr>
          <w:p w14:paraId="42586C0C"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33</w:t>
            </w:r>
          </w:p>
        </w:tc>
        <w:tc>
          <w:tcPr>
            <w:tcW w:w="1737" w:type="dxa"/>
          </w:tcPr>
          <w:p w14:paraId="5535E3EC"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w:t>
            </w:r>
          </w:p>
        </w:tc>
        <w:tc>
          <w:tcPr>
            <w:tcW w:w="1096" w:type="dxa"/>
          </w:tcPr>
          <w:p w14:paraId="0F75AD3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c>
          <w:tcPr>
            <w:tcW w:w="1584" w:type="dxa"/>
          </w:tcPr>
          <w:p w14:paraId="3083516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Rare councilmen bodies</w:t>
            </w:r>
          </w:p>
        </w:tc>
      </w:tr>
      <w:tr w:rsidR="001135A2" w14:paraId="634C7C20" w14:textId="77777777" w:rsidTr="001135A2">
        <w:trPr>
          <w:trHeight w:val="462"/>
        </w:trPr>
        <w:tc>
          <w:tcPr>
            <w:cnfStyle w:val="001000000000" w:firstRow="0" w:lastRow="0" w:firstColumn="1" w:lastColumn="0" w:oddVBand="0" w:evenVBand="0" w:oddHBand="0" w:evenHBand="0" w:firstRowFirstColumn="0" w:firstRowLastColumn="0" w:lastRowFirstColumn="0" w:lastRowLastColumn="0"/>
            <w:tcW w:w="456" w:type="dxa"/>
          </w:tcPr>
          <w:p w14:paraId="1FA7D8D3"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lastRenderedPageBreak/>
              <w:t>10</w:t>
            </w:r>
          </w:p>
        </w:tc>
        <w:tc>
          <w:tcPr>
            <w:tcW w:w="587" w:type="dxa"/>
          </w:tcPr>
          <w:p w14:paraId="0535D51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w:t>
            </w:r>
          </w:p>
        </w:tc>
        <w:tc>
          <w:tcPr>
            <w:tcW w:w="1270" w:type="dxa"/>
          </w:tcPr>
          <w:p w14:paraId="7D3BD2C6"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58</w:t>
            </w:r>
          </w:p>
        </w:tc>
        <w:tc>
          <w:tcPr>
            <w:tcW w:w="1230" w:type="dxa"/>
          </w:tcPr>
          <w:p w14:paraId="7B1201D1"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1a</w:t>
            </w:r>
          </w:p>
        </w:tc>
        <w:tc>
          <w:tcPr>
            <w:tcW w:w="1624" w:type="dxa"/>
          </w:tcPr>
          <w:p w14:paraId="7CDCB3EC"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Tacrolimus</w:t>
            </w:r>
          </w:p>
        </w:tc>
        <w:tc>
          <w:tcPr>
            <w:tcW w:w="1150" w:type="dxa"/>
          </w:tcPr>
          <w:p w14:paraId="39EF4E75"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25</w:t>
            </w:r>
          </w:p>
        </w:tc>
        <w:tc>
          <w:tcPr>
            <w:tcW w:w="1256" w:type="dxa"/>
          </w:tcPr>
          <w:p w14:paraId="2CA1C3BC"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1.7</w:t>
            </w:r>
          </w:p>
        </w:tc>
        <w:tc>
          <w:tcPr>
            <w:tcW w:w="1336" w:type="dxa"/>
          </w:tcPr>
          <w:p w14:paraId="54DEC5FB"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20 </w:t>
            </w:r>
            <w:proofErr w:type="spellStart"/>
            <w:r>
              <w:rPr>
                <w:rFonts w:ascii="Book Antiqua" w:hAnsi="Book Antiqua" w:cstheme="majorBidi"/>
              </w:rPr>
              <w:t>mo</w:t>
            </w:r>
            <w:proofErr w:type="spellEnd"/>
          </w:p>
        </w:tc>
        <w:tc>
          <w:tcPr>
            <w:tcW w:w="2463" w:type="dxa"/>
          </w:tcPr>
          <w:p w14:paraId="015E215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SOF/RBV</w:t>
            </w:r>
          </w:p>
        </w:tc>
        <w:tc>
          <w:tcPr>
            <w:tcW w:w="1270" w:type="dxa"/>
          </w:tcPr>
          <w:p w14:paraId="1332342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30</w:t>
            </w:r>
          </w:p>
        </w:tc>
        <w:tc>
          <w:tcPr>
            <w:tcW w:w="1350" w:type="dxa"/>
          </w:tcPr>
          <w:p w14:paraId="080716A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25</w:t>
            </w:r>
          </w:p>
        </w:tc>
        <w:tc>
          <w:tcPr>
            <w:tcW w:w="1737" w:type="dxa"/>
          </w:tcPr>
          <w:p w14:paraId="12FC03C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4</w:t>
            </w:r>
          </w:p>
        </w:tc>
        <w:tc>
          <w:tcPr>
            <w:tcW w:w="1096" w:type="dxa"/>
          </w:tcPr>
          <w:p w14:paraId="6928DC7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w:t>
            </w:r>
          </w:p>
        </w:tc>
        <w:tc>
          <w:tcPr>
            <w:tcW w:w="1584" w:type="dxa"/>
          </w:tcPr>
          <w:p w14:paraId="5F9E9F2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Mild TCMR cannot be ruled out </w:t>
            </w:r>
          </w:p>
        </w:tc>
      </w:tr>
      <w:tr w:rsidR="001135A2" w14:paraId="68DB8B71" w14:textId="77777777" w:rsidTr="001135A2">
        <w:trPr>
          <w:trHeight w:val="1253"/>
        </w:trPr>
        <w:tc>
          <w:tcPr>
            <w:cnfStyle w:val="001000000000" w:firstRow="0" w:lastRow="0" w:firstColumn="1" w:lastColumn="0" w:oddVBand="0" w:evenVBand="0" w:oddHBand="0" w:evenHBand="0" w:firstRowFirstColumn="0" w:firstRowLastColumn="0" w:lastRowFirstColumn="0" w:lastRowLastColumn="0"/>
            <w:tcW w:w="456" w:type="dxa"/>
          </w:tcPr>
          <w:p w14:paraId="0842B31E"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t>11</w:t>
            </w:r>
          </w:p>
        </w:tc>
        <w:tc>
          <w:tcPr>
            <w:tcW w:w="587" w:type="dxa"/>
          </w:tcPr>
          <w:p w14:paraId="01DE3110"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w:t>
            </w:r>
          </w:p>
        </w:tc>
        <w:tc>
          <w:tcPr>
            <w:tcW w:w="1270" w:type="dxa"/>
          </w:tcPr>
          <w:p w14:paraId="440CD7E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53</w:t>
            </w:r>
          </w:p>
        </w:tc>
        <w:tc>
          <w:tcPr>
            <w:tcW w:w="1230" w:type="dxa"/>
          </w:tcPr>
          <w:p w14:paraId="3BC38F63"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3a</w:t>
            </w:r>
          </w:p>
        </w:tc>
        <w:tc>
          <w:tcPr>
            <w:tcW w:w="1624" w:type="dxa"/>
          </w:tcPr>
          <w:p w14:paraId="5860AAF8"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Cyclosporine</w:t>
            </w:r>
          </w:p>
        </w:tc>
        <w:tc>
          <w:tcPr>
            <w:tcW w:w="1150" w:type="dxa"/>
          </w:tcPr>
          <w:p w14:paraId="0F8BDC6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78</w:t>
            </w:r>
          </w:p>
        </w:tc>
        <w:tc>
          <w:tcPr>
            <w:tcW w:w="1256" w:type="dxa"/>
          </w:tcPr>
          <w:p w14:paraId="03938CB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5.2</w:t>
            </w:r>
          </w:p>
        </w:tc>
        <w:tc>
          <w:tcPr>
            <w:tcW w:w="1336" w:type="dxa"/>
          </w:tcPr>
          <w:p w14:paraId="4E897FB9"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4.5 </w:t>
            </w:r>
            <w:proofErr w:type="spellStart"/>
            <w:r>
              <w:rPr>
                <w:rFonts w:ascii="Book Antiqua" w:hAnsi="Book Antiqua" w:cstheme="majorBidi"/>
              </w:rPr>
              <w:t>yr</w:t>
            </w:r>
            <w:proofErr w:type="spellEnd"/>
          </w:p>
        </w:tc>
        <w:tc>
          <w:tcPr>
            <w:tcW w:w="2463" w:type="dxa"/>
          </w:tcPr>
          <w:p w14:paraId="0BF5CE1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SOF/RBV</w:t>
            </w:r>
          </w:p>
        </w:tc>
        <w:tc>
          <w:tcPr>
            <w:tcW w:w="1270" w:type="dxa"/>
          </w:tcPr>
          <w:p w14:paraId="6FF0728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37</w:t>
            </w:r>
          </w:p>
        </w:tc>
        <w:tc>
          <w:tcPr>
            <w:tcW w:w="1350" w:type="dxa"/>
          </w:tcPr>
          <w:p w14:paraId="76661F3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23</w:t>
            </w:r>
          </w:p>
        </w:tc>
        <w:tc>
          <w:tcPr>
            <w:tcW w:w="1737" w:type="dxa"/>
          </w:tcPr>
          <w:p w14:paraId="46C7BB13"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4</w:t>
            </w:r>
          </w:p>
        </w:tc>
        <w:tc>
          <w:tcPr>
            <w:tcW w:w="1096" w:type="dxa"/>
          </w:tcPr>
          <w:p w14:paraId="77608FC1"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w:t>
            </w:r>
          </w:p>
        </w:tc>
        <w:tc>
          <w:tcPr>
            <w:tcW w:w="1584" w:type="dxa"/>
          </w:tcPr>
          <w:p w14:paraId="4E77E6BC"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Mild TCMR cannot be ruled out. Two portal tracts show non-necrotizing granulomas</w:t>
            </w:r>
          </w:p>
        </w:tc>
      </w:tr>
      <w:tr w:rsidR="001135A2" w14:paraId="1B4EECF0" w14:textId="77777777" w:rsidTr="001135A2">
        <w:trPr>
          <w:trHeight w:val="413"/>
        </w:trPr>
        <w:tc>
          <w:tcPr>
            <w:cnfStyle w:val="001000000000" w:firstRow="0" w:lastRow="0" w:firstColumn="1" w:lastColumn="0" w:oddVBand="0" w:evenVBand="0" w:oddHBand="0" w:evenHBand="0" w:firstRowFirstColumn="0" w:firstRowLastColumn="0" w:lastRowFirstColumn="0" w:lastRowLastColumn="0"/>
            <w:tcW w:w="456" w:type="dxa"/>
          </w:tcPr>
          <w:p w14:paraId="49816363"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t>12</w:t>
            </w:r>
          </w:p>
        </w:tc>
        <w:tc>
          <w:tcPr>
            <w:tcW w:w="587" w:type="dxa"/>
          </w:tcPr>
          <w:p w14:paraId="03CEB80B"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F</w:t>
            </w:r>
          </w:p>
        </w:tc>
        <w:tc>
          <w:tcPr>
            <w:tcW w:w="1270" w:type="dxa"/>
          </w:tcPr>
          <w:p w14:paraId="2C7720C4"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61</w:t>
            </w:r>
          </w:p>
        </w:tc>
        <w:tc>
          <w:tcPr>
            <w:tcW w:w="1230" w:type="dxa"/>
          </w:tcPr>
          <w:p w14:paraId="7130BD7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2b</w:t>
            </w:r>
          </w:p>
        </w:tc>
        <w:tc>
          <w:tcPr>
            <w:tcW w:w="1624" w:type="dxa"/>
          </w:tcPr>
          <w:p w14:paraId="75E17C4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Tacrolimus</w:t>
            </w:r>
          </w:p>
        </w:tc>
        <w:tc>
          <w:tcPr>
            <w:tcW w:w="1150" w:type="dxa"/>
          </w:tcPr>
          <w:p w14:paraId="6668DDE5"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43</w:t>
            </w:r>
          </w:p>
        </w:tc>
        <w:tc>
          <w:tcPr>
            <w:tcW w:w="1256" w:type="dxa"/>
          </w:tcPr>
          <w:p w14:paraId="60158603"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7.6</w:t>
            </w:r>
          </w:p>
        </w:tc>
        <w:tc>
          <w:tcPr>
            <w:tcW w:w="1336" w:type="dxa"/>
          </w:tcPr>
          <w:p w14:paraId="34C3098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6 </w:t>
            </w:r>
            <w:proofErr w:type="spellStart"/>
            <w:r>
              <w:rPr>
                <w:rFonts w:ascii="Book Antiqua" w:hAnsi="Book Antiqua" w:cstheme="majorBidi"/>
              </w:rPr>
              <w:t>mo</w:t>
            </w:r>
            <w:proofErr w:type="spellEnd"/>
          </w:p>
        </w:tc>
        <w:tc>
          <w:tcPr>
            <w:tcW w:w="2463" w:type="dxa"/>
          </w:tcPr>
          <w:p w14:paraId="3951D4E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SOF/RBV</w:t>
            </w:r>
          </w:p>
        </w:tc>
        <w:tc>
          <w:tcPr>
            <w:tcW w:w="1270" w:type="dxa"/>
          </w:tcPr>
          <w:p w14:paraId="1361F06C"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34</w:t>
            </w:r>
          </w:p>
        </w:tc>
        <w:tc>
          <w:tcPr>
            <w:tcW w:w="1350" w:type="dxa"/>
          </w:tcPr>
          <w:p w14:paraId="2F5129C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20</w:t>
            </w:r>
          </w:p>
        </w:tc>
        <w:tc>
          <w:tcPr>
            <w:tcW w:w="1737" w:type="dxa"/>
          </w:tcPr>
          <w:p w14:paraId="57BCF9F5"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w:t>
            </w:r>
          </w:p>
        </w:tc>
        <w:tc>
          <w:tcPr>
            <w:tcW w:w="1096" w:type="dxa"/>
          </w:tcPr>
          <w:p w14:paraId="07CE021A"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w:t>
            </w:r>
          </w:p>
        </w:tc>
        <w:tc>
          <w:tcPr>
            <w:tcW w:w="1584" w:type="dxa"/>
          </w:tcPr>
          <w:p w14:paraId="0533479C" w14:textId="77777777" w:rsidR="001135A2" w:rsidRDefault="001135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35A2" w14:paraId="49FF5539" w14:textId="77777777" w:rsidTr="001135A2">
        <w:trPr>
          <w:trHeight w:val="611"/>
        </w:trPr>
        <w:tc>
          <w:tcPr>
            <w:cnfStyle w:val="001000000000" w:firstRow="0" w:lastRow="0" w:firstColumn="1" w:lastColumn="0" w:oddVBand="0" w:evenVBand="0" w:oddHBand="0" w:evenHBand="0" w:firstRowFirstColumn="0" w:firstRowLastColumn="0" w:lastRowFirstColumn="0" w:lastRowLastColumn="0"/>
            <w:tcW w:w="456" w:type="dxa"/>
          </w:tcPr>
          <w:p w14:paraId="3DE46EAE" w14:textId="77777777" w:rsidR="001135A2" w:rsidRDefault="00CD55CB">
            <w:pPr>
              <w:spacing w:line="360" w:lineRule="auto"/>
              <w:jc w:val="both"/>
              <w:rPr>
                <w:rFonts w:ascii="Book Antiqua" w:hAnsi="Book Antiqua" w:cstheme="minorBidi"/>
                <w:b w:val="0"/>
                <w:bCs w:val="0"/>
              </w:rPr>
            </w:pPr>
            <w:r>
              <w:rPr>
                <w:rFonts w:ascii="Book Antiqua" w:hAnsi="Book Antiqua" w:cstheme="minorBidi"/>
                <w:b w:val="0"/>
                <w:bCs w:val="0"/>
              </w:rPr>
              <w:lastRenderedPageBreak/>
              <w:t>13</w:t>
            </w:r>
          </w:p>
        </w:tc>
        <w:tc>
          <w:tcPr>
            <w:tcW w:w="587" w:type="dxa"/>
          </w:tcPr>
          <w:p w14:paraId="7F76EB9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w:t>
            </w:r>
          </w:p>
        </w:tc>
        <w:tc>
          <w:tcPr>
            <w:tcW w:w="1270" w:type="dxa"/>
          </w:tcPr>
          <w:p w14:paraId="1038ECA8"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65</w:t>
            </w:r>
          </w:p>
        </w:tc>
        <w:tc>
          <w:tcPr>
            <w:tcW w:w="1230" w:type="dxa"/>
          </w:tcPr>
          <w:p w14:paraId="72DB929D"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1a</w:t>
            </w:r>
          </w:p>
        </w:tc>
        <w:tc>
          <w:tcPr>
            <w:tcW w:w="1624" w:type="dxa"/>
          </w:tcPr>
          <w:p w14:paraId="6C9489F8"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Tacrolimus</w:t>
            </w:r>
          </w:p>
        </w:tc>
        <w:tc>
          <w:tcPr>
            <w:tcW w:w="1150" w:type="dxa"/>
          </w:tcPr>
          <w:p w14:paraId="197DCF8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94</w:t>
            </w:r>
          </w:p>
        </w:tc>
        <w:tc>
          <w:tcPr>
            <w:tcW w:w="1256" w:type="dxa"/>
          </w:tcPr>
          <w:p w14:paraId="0A8F3F32"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2.0</w:t>
            </w:r>
          </w:p>
        </w:tc>
        <w:tc>
          <w:tcPr>
            <w:tcW w:w="1336" w:type="dxa"/>
          </w:tcPr>
          <w:p w14:paraId="347809C7"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xml:space="preserve">7.5 </w:t>
            </w:r>
            <w:proofErr w:type="spellStart"/>
            <w:r>
              <w:rPr>
                <w:rFonts w:ascii="Book Antiqua" w:hAnsi="Book Antiqua" w:cstheme="majorBidi"/>
              </w:rPr>
              <w:t>yr</w:t>
            </w:r>
            <w:proofErr w:type="spellEnd"/>
          </w:p>
        </w:tc>
        <w:tc>
          <w:tcPr>
            <w:tcW w:w="2463" w:type="dxa"/>
          </w:tcPr>
          <w:p w14:paraId="7C1BDC00"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SOF/RBV&gt;SOF/SIM</w:t>
            </w:r>
          </w:p>
        </w:tc>
        <w:tc>
          <w:tcPr>
            <w:tcW w:w="1270" w:type="dxa"/>
          </w:tcPr>
          <w:p w14:paraId="53D3DB7E"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14</w:t>
            </w:r>
          </w:p>
        </w:tc>
        <w:tc>
          <w:tcPr>
            <w:tcW w:w="1350" w:type="dxa"/>
          </w:tcPr>
          <w:p w14:paraId="01985568"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29</w:t>
            </w:r>
          </w:p>
        </w:tc>
        <w:tc>
          <w:tcPr>
            <w:tcW w:w="1737" w:type="dxa"/>
          </w:tcPr>
          <w:p w14:paraId="4C112815"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w:t>
            </w:r>
          </w:p>
        </w:tc>
        <w:tc>
          <w:tcPr>
            <w:tcW w:w="1096" w:type="dxa"/>
          </w:tcPr>
          <w:p w14:paraId="493B9B66"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2</w:t>
            </w:r>
          </w:p>
        </w:tc>
        <w:tc>
          <w:tcPr>
            <w:tcW w:w="1584" w:type="dxa"/>
          </w:tcPr>
          <w:p w14:paraId="0EC58155" w14:textId="77777777" w:rsidR="001135A2" w:rsidRDefault="00CD55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Mild absence of bile ducts</w:t>
            </w:r>
          </w:p>
        </w:tc>
      </w:tr>
    </w:tbl>
    <w:p w14:paraId="63754026" w14:textId="77777777" w:rsidR="001135A2" w:rsidRDefault="00CD55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ALT: Alanine aminotransferase; MMF: </w:t>
      </w:r>
      <w:r>
        <w:rPr>
          <w:rStyle w:val="ati8gc"/>
          <w:rFonts w:ascii="Book Antiqua" w:hAnsi="Book Antiqua"/>
        </w:rPr>
        <w:t xml:space="preserve">Mycophenolate mofetil; </w:t>
      </w:r>
      <w:r>
        <w:rPr>
          <w:rFonts w:ascii="Book Antiqua" w:eastAsia="Book Antiqua" w:hAnsi="Book Antiqua" w:cs="Book Antiqua"/>
          <w:color w:val="000000"/>
        </w:rPr>
        <w:t xml:space="preserve">RBV: Ribavirin; SIM: </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SOF: Sofosbuvir. </w:t>
      </w:r>
    </w:p>
    <w:p w14:paraId="242AE6D8" w14:textId="77777777" w:rsidR="001135A2" w:rsidRDefault="001135A2">
      <w:pPr>
        <w:widowControl w:val="0"/>
        <w:autoSpaceDE w:val="0"/>
        <w:autoSpaceDN w:val="0"/>
        <w:adjustRightInd w:val="0"/>
        <w:spacing w:line="360" w:lineRule="auto"/>
        <w:jc w:val="both"/>
        <w:rPr>
          <w:rFonts w:ascii="Book Antiqua" w:eastAsia="Times New Roman" w:hAnsi="Book Antiqua"/>
          <w:b/>
          <w:bCs/>
          <w:color w:val="000000"/>
        </w:rPr>
        <w:sectPr w:rsidR="001135A2">
          <w:pgSz w:w="15840" w:h="12240" w:orient="landscape"/>
          <w:pgMar w:top="1440" w:right="1440" w:bottom="1440" w:left="1440" w:header="720" w:footer="720" w:gutter="0"/>
          <w:cols w:space="720"/>
          <w:docGrid w:linePitch="360"/>
        </w:sectPr>
      </w:pPr>
    </w:p>
    <w:p w14:paraId="1CE6BBAC" w14:textId="77777777" w:rsidR="001135A2" w:rsidRDefault="00CD55CB">
      <w:pPr>
        <w:widowControl w:val="0"/>
        <w:autoSpaceDE w:val="0"/>
        <w:autoSpaceDN w:val="0"/>
        <w:adjustRightInd w:val="0"/>
        <w:spacing w:line="360" w:lineRule="auto"/>
        <w:jc w:val="both"/>
        <w:rPr>
          <w:rFonts w:ascii="Book Antiqua" w:hAnsi="Book Antiqua"/>
          <w:b/>
          <w:bCs/>
        </w:rPr>
      </w:pPr>
      <w:r>
        <w:rPr>
          <w:rFonts w:ascii="Book Antiqua" w:eastAsia="Times New Roman" w:hAnsi="Book Antiqua"/>
          <w:b/>
          <w:bCs/>
          <w:color w:val="000000"/>
        </w:rPr>
        <w:lastRenderedPageBreak/>
        <w:t xml:space="preserve">Table 2 End of treatment biopsy compared to prior to treatment biopsy </w:t>
      </w:r>
    </w:p>
    <w:tbl>
      <w:tblPr>
        <w:tblW w:w="6028" w:type="dxa"/>
        <w:tblBorders>
          <w:top w:val="single" w:sz="4" w:space="0" w:color="auto"/>
          <w:bottom w:val="single" w:sz="4" w:space="0" w:color="auto"/>
        </w:tblBorders>
        <w:tblLook w:val="04A0" w:firstRow="1" w:lastRow="0" w:firstColumn="1" w:lastColumn="0" w:noHBand="0" w:noVBand="1"/>
      </w:tblPr>
      <w:tblGrid>
        <w:gridCol w:w="1083"/>
        <w:gridCol w:w="1270"/>
        <w:gridCol w:w="1723"/>
        <w:gridCol w:w="896"/>
        <w:gridCol w:w="1056"/>
      </w:tblGrid>
      <w:tr w:rsidR="001135A2" w14:paraId="489C736D" w14:textId="77777777">
        <w:trPr>
          <w:trHeight w:val="1220"/>
        </w:trPr>
        <w:tc>
          <w:tcPr>
            <w:tcW w:w="1083" w:type="dxa"/>
            <w:vMerge w:val="restart"/>
            <w:tcBorders>
              <w:top w:val="single" w:sz="4" w:space="0" w:color="auto"/>
              <w:bottom w:val="nil"/>
            </w:tcBorders>
            <w:shd w:val="clear" w:color="auto" w:fill="auto"/>
            <w:vAlign w:val="center"/>
          </w:tcPr>
          <w:p w14:paraId="5ABA68BC" w14:textId="77777777" w:rsidR="001135A2" w:rsidRDefault="00CD55CB">
            <w:pPr>
              <w:spacing w:line="360" w:lineRule="auto"/>
              <w:jc w:val="both"/>
              <w:rPr>
                <w:rFonts w:ascii="Book Antiqua" w:eastAsia="宋体" w:hAnsi="Book Antiqua" w:cs="宋体"/>
                <w:b/>
                <w:bCs/>
                <w:color w:val="000000"/>
                <w:lang w:eastAsia="zh-CN"/>
              </w:rPr>
            </w:pPr>
            <w:bookmarkStart w:id="2" w:name="RANGE!A1"/>
            <w:r>
              <w:rPr>
                <w:rFonts w:ascii="Book Antiqua" w:eastAsia="宋体" w:hAnsi="Book Antiqua" w:cs="宋体"/>
                <w:b/>
                <w:bCs/>
                <w:color w:val="000000"/>
                <w:lang w:eastAsia="zh-CN"/>
              </w:rPr>
              <w:t>Patient number</w:t>
            </w:r>
            <w:bookmarkEnd w:id="2"/>
          </w:p>
        </w:tc>
        <w:tc>
          <w:tcPr>
            <w:tcW w:w="1270" w:type="dxa"/>
            <w:vMerge w:val="restart"/>
            <w:tcBorders>
              <w:top w:val="single" w:sz="4" w:space="0" w:color="auto"/>
              <w:bottom w:val="nil"/>
            </w:tcBorders>
            <w:shd w:val="clear" w:color="auto" w:fill="auto"/>
            <w:vAlign w:val="center"/>
          </w:tcPr>
          <w:p w14:paraId="3C50D76D" w14:textId="77777777" w:rsidR="001135A2" w:rsidRDefault="00CD55C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Weeks from biopsy to treatment start</w:t>
            </w:r>
          </w:p>
        </w:tc>
        <w:tc>
          <w:tcPr>
            <w:tcW w:w="1723" w:type="dxa"/>
            <w:vMerge w:val="restart"/>
            <w:tcBorders>
              <w:top w:val="single" w:sz="4" w:space="0" w:color="auto"/>
              <w:bottom w:val="nil"/>
            </w:tcBorders>
            <w:shd w:val="clear" w:color="auto" w:fill="auto"/>
            <w:vAlign w:val="center"/>
          </w:tcPr>
          <w:p w14:paraId="0465565B" w14:textId="77777777" w:rsidR="001135A2" w:rsidRDefault="00CD55C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Prior to treatment inflammation grade</w:t>
            </w:r>
          </w:p>
        </w:tc>
        <w:tc>
          <w:tcPr>
            <w:tcW w:w="1952" w:type="dxa"/>
            <w:gridSpan w:val="2"/>
            <w:tcBorders>
              <w:top w:val="single" w:sz="4" w:space="0" w:color="auto"/>
              <w:bottom w:val="single" w:sz="4" w:space="0" w:color="auto"/>
            </w:tcBorders>
            <w:shd w:val="clear" w:color="auto" w:fill="auto"/>
            <w:vAlign w:val="center"/>
          </w:tcPr>
          <w:p w14:paraId="3EAE87CC" w14:textId="77777777" w:rsidR="001135A2" w:rsidRDefault="00CD55C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 xml:space="preserve">End of treatment </w:t>
            </w:r>
          </w:p>
        </w:tc>
      </w:tr>
      <w:tr w:rsidR="001135A2" w14:paraId="3EF43F5E" w14:textId="77777777">
        <w:trPr>
          <w:trHeight w:val="320"/>
        </w:trPr>
        <w:tc>
          <w:tcPr>
            <w:tcW w:w="1083" w:type="dxa"/>
            <w:vMerge/>
            <w:tcBorders>
              <w:top w:val="nil"/>
              <w:bottom w:val="nil"/>
            </w:tcBorders>
            <w:vAlign w:val="center"/>
          </w:tcPr>
          <w:p w14:paraId="35050007" w14:textId="77777777" w:rsidR="001135A2" w:rsidRDefault="001135A2">
            <w:pPr>
              <w:spacing w:line="360" w:lineRule="auto"/>
              <w:jc w:val="both"/>
              <w:rPr>
                <w:rFonts w:ascii="Book Antiqua" w:eastAsia="宋体" w:hAnsi="Book Antiqua" w:cs="宋体"/>
                <w:color w:val="000000"/>
                <w:lang w:eastAsia="zh-CN"/>
              </w:rPr>
            </w:pPr>
          </w:p>
        </w:tc>
        <w:tc>
          <w:tcPr>
            <w:tcW w:w="1270" w:type="dxa"/>
            <w:vMerge/>
            <w:tcBorders>
              <w:top w:val="nil"/>
              <w:bottom w:val="nil"/>
            </w:tcBorders>
            <w:vAlign w:val="center"/>
          </w:tcPr>
          <w:p w14:paraId="1BDEE7CF" w14:textId="77777777" w:rsidR="001135A2" w:rsidRDefault="001135A2">
            <w:pPr>
              <w:spacing w:line="360" w:lineRule="auto"/>
              <w:jc w:val="both"/>
              <w:rPr>
                <w:rFonts w:ascii="Book Antiqua" w:eastAsia="宋体" w:hAnsi="Book Antiqua" w:cs="宋体"/>
                <w:color w:val="000000"/>
                <w:lang w:eastAsia="zh-CN"/>
              </w:rPr>
            </w:pPr>
          </w:p>
        </w:tc>
        <w:tc>
          <w:tcPr>
            <w:tcW w:w="1723" w:type="dxa"/>
            <w:vMerge/>
            <w:tcBorders>
              <w:top w:val="nil"/>
              <w:bottom w:val="nil"/>
            </w:tcBorders>
            <w:vAlign w:val="center"/>
          </w:tcPr>
          <w:p w14:paraId="516FACD1" w14:textId="77777777" w:rsidR="001135A2" w:rsidRDefault="001135A2">
            <w:pPr>
              <w:spacing w:line="360" w:lineRule="auto"/>
              <w:jc w:val="both"/>
              <w:rPr>
                <w:rFonts w:ascii="Book Antiqua" w:eastAsia="宋体" w:hAnsi="Book Antiqua" w:cs="宋体"/>
                <w:color w:val="000000"/>
                <w:lang w:eastAsia="zh-CN"/>
              </w:rPr>
            </w:pPr>
          </w:p>
        </w:tc>
        <w:tc>
          <w:tcPr>
            <w:tcW w:w="1952" w:type="dxa"/>
            <w:gridSpan w:val="2"/>
            <w:tcBorders>
              <w:top w:val="single" w:sz="4" w:space="0" w:color="auto"/>
              <w:bottom w:val="single" w:sz="4" w:space="0" w:color="auto"/>
            </w:tcBorders>
            <w:shd w:val="clear" w:color="auto" w:fill="auto"/>
            <w:vAlign w:val="center"/>
          </w:tcPr>
          <w:p w14:paraId="4445A5BE" w14:textId="77777777" w:rsidR="001135A2" w:rsidRDefault="00CD55C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Inflammation</w:t>
            </w:r>
          </w:p>
        </w:tc>
      </w:tr>
      <w:tr w:rsidR="001135A2" w14:paraId="4DC80F6E" w14:textId="77777777">
        <w:trPr>
          <w:trHeight w:val="320"/>
        </w:trPr>
        <w:tc>
          <w:tcPr>
            <w:tcW w:w="1083" w:type="dxa"/>
            <w:vMerge/>
            <w:tcBorders>
              <w:top w:val="nil"/>
              <w:bottom w:val="single" w:sz="4" w:space="0" w:color="auto"/>
            </w:tcBorders>
            <w:vAlign w:val="center"/>
          </w:tcPr>
          <w:p w14:paraId="3B2FCEB8" w14:textId="77777777" w:rsidR="001135A2" w:rsidRDefault="001135A2">
            <w:pPr>
              <w:spacing w:line="360" w:lineRule="auto"/>
              <w:jc w:val="both"/>
              <w:rPr>
                <w:rFonts w:ascii="Book Antiqua" w:eastAsia="宋体" w:hAnsi="Book Antiqua" w:cs="宋体"/>
                <w:color w:val="000000"/>
                <w:lang w:eastAsia="zh-CN"/>
              </w:rPr>
            </w:pPr>
          </w:p>
        </w:tc>
        <w:tc>
          <w:tcPr>
            <w:tcW w:w="1270" w:type="dxa"/>
            <w:vMerge/>
            <w:tcBorders>
              <w:top w:val="nil"/>
              <w:bottom w:val="single" w:sz="4" w:space="0" w:color="auto"/>
            </w:tcBorders>
            <w:vAlign w:val="center"/>
          </w:tcPr>
          <w:p w14:paraId="341A2CF4" w14:textId="77777777" w:rsidR="001135A2" w:rsidRDefault="001135A2">
            <w:pPr>
              <w:spacing w:line="360" w:lineRule="auto"/>
              <w:jc w:val="both"/>
              <w:rPr>
                <w:rFonts w:ascii="Book Antiqua" w:eastAsia="宋体" w:hAnsi="Book Antiqua" w:cs="宋体"/>
                <w:color w:val="000000"/>
                <w:lang w:eastAsia="zh-CN"/>
              </w:rPr>
            </w:pPr>
          </w:p>
        </w:tc>
        <w:tc>
          <w:tcPr>
            <w:tcW w:w="1723" w:type="dxa"/>
            <w:vMerge/>
            <w:tcBorders>
              <w:top w:val="nil"/>
              <w:bottom w:val="single" w:sz="4" w:space="0" w:color="auto"/>
            </w:tcBorders>
            <w:vAlign w:val="center"/>
          </w:tcPr>
          <w:p w14:paraId="6B3B6AC0" w14:textId="77777777" w:rsidR="001135A2" w:rsidRDefault="001135A2">
            <w:pPr>
              <w:spacing w:line="360" w:lineRule="auto"/>
              <w:jc w:val="both"/>
              <w:rPr>
                <w:rFonts w:ascii="Book Antiqua" w:eastAsia="宋体" w:hAnsi="Book Antiqua" w:cs="宋体"/>
                <w:color w:val="000000"/>
                <w:lang w:eastAsia="zh-CN"/>
              </w:rPr>
            </w:pPr>
          </w:p>
        </w:tc>
        <w:tc>
          <w:tcPr>
            <w:tcW w:w="896" w:type="dxa"/>
            <w:tcBorders>
              <w:top w:val="single" w:sz="4" w:space="0" w:color="auto"/>
              <w:bottom w:val="single" w:sz="4" w:space="0" w:color="auto"/>
            </w:tcBorders>
            <w:shd w:val="clear" w:color="auto" w:fill="auto"/>
            <w:vAlign w:val="center"/>
          </w:tcPr>
          <w:p w14:paraId="617B26FB" w14:textId="77777777" w:rsidR="001135A2" w:rsidRDefault="00CD55C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Grade</w:t>
            </w:r>
          </w:p>
        </w:tc>
        <w:tc>
          <w:tcPr>
            <w:tcW w:w="1056" w:type="dxa"/>
            <w:tcBorders>
              <w:top w:val="single" w:sz="4" w:space="0" w:color="auto"/>
              <w:bottom w:val="single" w:sz="4" w:space="0" w:color="auto"/>
            </w:tcBorders>
            <w:shd w:val="clear" w:color="auto" w:fill="auto"/>
            <w:vAlign w:val="center"/>
          </w:tcPr>
          <w:p w14:paraId="4C93664A" w14:textId="77777777" w:rsidR="001135A2" w:rsidRDefault="00CD55CB">
            <w:pPr>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 xml:space="preserve">Change </w:t>
            </w:r>
          </w:p>
        </w:tc>
      </w:tr>
      <w:tr w:rsidR="001135A2" w14:paraId="3C819AC2" w14:textId="77777777">
        <w:trPr>
          <w:trHeight w:val="310"/>
        </w:trPr>
        <w:tc>
          <w:tcPr>
            <w:tcW w:w="1083" w:type="dxa"/>
            <w:tcBorders>
              <w:top w:val="single" w:sz="4" w:space="0" w:color="auto"/>
            </w:tcBorders>
            <w:shd w:val="clear" w:color="auto" w:fill="auto"/>
            <w:vAlign w:val="center"/>
          </w:tcPr>
          <w:p w14:paraId="0F04D40B"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1270" w:type="dxa"/>
            <w:tcBorders>
              <w:top w:val="single" w:sz="4" w:space="0" w:color="auto"/>
            </w:tcBorders>
            <w:shd w:val="clear" w:color="auto" w:fill="auto"/>
            <w:vAlign w:val="center"/>
          </w:tcPr>
          <w:p w14:paraId="47475EBF"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w:t>
            </w:r>
          </w:p>
        </w:tc>
        <w:tc>
          <w:tcPr>
            <w:tcW w:w="1723" w:type="dxa"/>
            <w:tcBorders>
              <w:top w:val="single" w:sz="4" w:space="0" w:color="auto"/>
            </w:tcBorders>
            <w:shd w:val="clear" w:color="auto" w:fill="auto"/>
            <w:vAlign w:val="center"/>
          </w:tcPr>
          <w:p w14:paraId="180A9A6F"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896" w:type="dxa"/>
            <w:tcBorders>
              <w:top w:val="single" w:sz="4" w:space="0" w:color="auto"/>
            </w:tcBorders>
            <w:shd w:val="clear" w:color="auto" w:fill="auto"/>
            <w:vAlign w:val="center"/>
          </w:tcPr>
          <w:p w14:paraId="69D34E04"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1056" w:type="dxa"/>
            <w:tcBorders>
              <w:top w:val="single" w:sz="4" w:space="0" w:color="auto"/>
            </w:tcBorders>
            <w:shd w:val="clear" w:color="auto" w:fill="auto"/>
            <w:vAlign w:val="center"/>
          </w:tcPr>
          <w:p w14:paraId="6A64EA68"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w:t>
            </w:r>
          </w:p>
        </w:tc>
      </w:tr>
      <w:tr w:rsidR="001135A2" w14:paraId="6FE36591" w14:textId="77777777">
        <w:trPr>
          <w:trHeight w:val="320"/>
        </w:trPr>
        <w:tc>
          <w:tcPr>
            <w:tcW w:w="1083" w:type="dxa"/>
            <w:shd w:val="clear" w:color="auto" w:fill="auto"/>
            <w:vAlign w:val="center"/>
          </w:tcPr>
          <w:p w14:paraId="531ACB6F"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w:t>
            </w:r>
          </w:p>
        </w:tc>
        <w:tc>
          <w:tcPr>
            <w:tcW w:w="1270" w:type="dxa"/>
            <w:shd w:val="clear" w:color="auto" w:fill="auto"/>
            <w:vAlign w:val="center"/>
          </w:tcPr>
          <w:p w14:paraId="45FB3BB0"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w:t>
            </w:r>
          </w:p>
        </w:tc>
        <w:tc>
          <w:tcPr>
            <w:tcW w:w="1723" w:type="dxa"/>
            <w:shd w:val="clear" w:color="auto" w:fill="auto"/>
            <w:vAlign w:val="center"/>
          </w:tcPr>
          <w:p w14:paraId="522DAB06"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896" w:type="dxa"/>
            <w:shd w:val="clear" w:color="auto" w:fill="auto"/>
            <w:vAlign w:val="center"/>
          </w:tcPr>
          <w:p w14:paraId="3D06E816"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1056" w:type="dxa"/>
            <w:shd w:val="clear" w:color="auto" w:fill="auto"/>
            <w:vAlign w:val="center"/>
          </w:tcPr>
          <w:p w14:paraId="4D0264D7"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 ↓</w:t>
            </w:r>
          </w:p>
        </w:tc>
      </w:tr>
      <w:tr w:rsidR="001135A2" w14:paraId="08466FA7" w14:textId="77777777">
        <w:trPr>
          <w:trHeight w:val="280"/>
        </w:trPr>
        <w:tc>
          <w:tcPr>
            <w:tcW w:w="1083" w:type="dxa"/>
            <w:shd w:val="clear" w:color="auto" w:fill="auto"/>
            <w:vAlign w:val="center"/>
          </w:tcPr>
          <w:p w14:paraId="01BC673D" w14:textId="77777777" w:rsidR="001135A2" w:rsidRDefault="00CD55CB">
            <w:pPr>
              <w:spacing w:line="360" w:lineRule="auto"/>
              <w:jc w:val="both"/>
              <w:rPr>
                <w:rFonts w:ascii="Book Antiqua" w:eastAsia="宋体" w:hAnsi="Book Antiqua" w:cs="宋体"/>
                <w:color w:val="000000"/>
                <w:lang w:eastAsia="zh-CN"/>
              </w:rPr>
            </w:pPr>
            <w:bookmarkStart w:id="3" w:name="RANGE!C3"/>
            <w:bookmarkStart w:id="4" w:name="RANGE!A6"/>
            <w:bookmarkEnd w:id="3"/>
            <w:r>
              <w:rPr>
                <w:rFonts w:ascii="Book Antiqua" w:eastAsia="宋体" w:hAnsi="Book Antiqua" w:cs="宋体"/>
                <w:color w:val="000000"/>
                <w:lang w:eastAsia="zh-CN"/>
              </w:rPr>
              <w:t>10</w:t>
            </w:r>
            <w:bookmarkEnd w:id="4"/>
          </w:p>
        </w:tc>
        <w:tc>
          <w:tcPr>
            <w:tcW w:w="1270" w:type="dxa"/>
            <w:shd w:val="clear" w:color="auto" w:fill="auto"/>
            <w:vAlign w:val="center"/>
          </w:tcPr>
          <w:p w14:paraId="33D13081"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w:t>
            </w:r>
          </w:p>
        </w:tc>
        <w:tc>
          <w:tcPr>
            <w:tcW w:w="1723" w:type="dxa"/>
            <w:shd w:val="clear" w:color="auto" w:fill="auto"/>
            <w:vAlign w:val="center"/>
          </w:tcPr>
          <w:p w14:paraId="7B3E982F"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896" w:type="dxa"/>
            <w:shd w:val="clear" w:color="auto" w:fill="auto"/>
            <w:vAlign w:val="center"/>
          </w:tcPr>
          <w:p w14:paraId="2B613352"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1056" w:type="dxa"/>
            <w:shd w:val="clear" w:color="auto" w:fill="auto"/>
            <w:vAlign w:val="center"/>
          </w:tcPr>
          <w:p w14:paraId="4AFA8829"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w:t>
            </w:r>
          </w:p>
        </w:tc>
      </w:tr>
      <w:tr w:rsidR="001135A2" w14:paraId="147D22FD" w14:textId="77777777">
        <w:trPr>
          <w:trHeight w:val="290"/>
        </w:trPr>
        <w:tc>
          <w:tcPr>
            <w:tcW w:w="1083" w:type="dxa"/>
            <w:shd w:val="clear" w:color="auto" w:fill="auto"/>
            <w:vAlign w:val="center"/>
          </w:tcPr>
          <w:p w14:paraId="11361C95" w14:textId="77777777" w:rsidR="001135A2" w:rsidRDefault="00CD55CB">
            <w:pPr>
              <w:spacing w:line="360" w:lineRule="auto"/>
              <w:jc w:val="both"/>
              <w:rPr>
                <w:rFonts w:ascii="Book Antiqua" w:eastAsia="宋体" w:hAnsi="Book Antiqua" w:cs="宋体"/>
                <w:color w:val="000000"/>
                <w:lang w:eastAsia="zh-CN"/>
              </w:rPr>
            </w:pPr>
            <w:bookmarkStart w:id="5" w:name="RANGE!A7"/>
            <w:r>
              <w:rPr>
                <w:rFonts w:ascii="Book Antiqua" w:eastAsia="宋体" w:hAnsi="Book Antiqua" w:cs="宋体"/>
                <w:color w:val="000000"/>
                <w:lang w:eastAsia="zh-CN"/>
              </w:rPr>
              <w:t>11</w:t>
            </w:r>
            <w:bookmarkEnd w:id="5"/>
          </w:p>
        </w:tc>
        <w:tc>
          <w:tcPr>
            <w:tcW w:w="1270" w:type="dxa"/>
            <w:shd w:val="clear" w:color="auto" w:fill="auto"/>
            <w:vAlign w:val="center"/>
          </w:tcPr>
          <w:p w14:paraId="63F33B78"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w:t>
            </w:r>
          </w:p>
        </w:tc>
        <w:tc>
          <w:tcPr>
            <w:tcW w:w="1723" w:type="dxa"/>
            <w:shd w:val="clear" w:color="auto" w:fill="auto"/>
            <w:vAlign w:val="center"/>
          </w:tcPr>
          <w:p w14:paraId="053D6568"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896" w:type="dxa"/>
            <w:shd w:val="clear" w:color="auto" w:fill="auto"/>
            <w:vAlign w:val="center"/>
          </w:tcPr>
          <w:p w14:paraId="1F67EF18" w14:textId="77777777" w:rsidR="001135A2" w:rsidRDefault="00CD55CB">
            <w:pPr>
              <w:spacing w:line="360" w:lineRule="auto"/>
              <w:jc w:val="both"/>
              <w:rPr>
                <w:rFonts w:ascii="Book Antiqua" w:eastAsia="宋体" w:hAnsi="Book Antiqua" w:cs="宋体"/>
                <w:color w:val="000000"/>
                <w:lang w:eastAsia="zh-CN"/>
              </w:rPr>
            </w:pPr>
            <w:bookmarkStart w:id="6" w:name="RANGE!D7"/>
            <w:r>
              <w:rPr>
                <w:rFonts w:ascii="Book Antiqua" w:eastAsia="宋体" w:hAnsi="Book Antiqua" w:cs="宋体"/>
                <w:color w:val="000000"/>
                <w:lang w:eastAsia="zh-CN"/>
              </w:rPr>
              <w:t>4</w:t>
            </w:r>
            <w:bookmarkEnd w:id="6"/>
          </w:p>
        </w:tc>
        <w:tc>
          <w:tcPr>
            <w:tcW w:w="1056" w:type="dxa"/>
            <w:shd w:val="clear" w:color="auto" w:fill="auto"/>
            <w:vAlign w:val="center"/>
          </w:tcPr>
          <w:p w14:paraId="714C3AEA"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w:t>
            </w:r>
          </w:p>
        </w:tc>
      </w:tr>
      <w:tr w:rsidR="001135A2" w14:paraId="3A77180E" w14:textId="77777777">
        <w:trPr>
          <w:trHeight w:val="260"/>
        </w:trPr>
        <w:tc>
          <w:tcPr>
            <w:tcW w:w="1083" w:type="dxa"/>
            <w:shd w:val="clear" w:color="auto" w:fill="auto"/>
            <w:vAlign w:val="center"/>
          </w:tcPr>
          <w:p w14:paraId="1FB400AE"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w:t>
            </w:r>
          </w:p>
        </w:tc>
        <w:tc>
          <w:tcPr>
            <w:tcW w:w="1270" w:type="dxa"/>
            <w:shd w:val="clear" w:color="auto" w:fill="auto"/>
            <w:vAlign w:val="center"/>
          </w:tcPr>
          <w:p w14:paraId="578AD299"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26</w:t>
            </w:r>
          </w:p>
        </w:tc>
        <w:tc>
          <w:tcPr>
            <w:tcW w:w="1723" w:type="dxa"/>
            <w:shd w:val="clear" w:color="auto" w:fill="auto"/>
            <w:vAlign w:val="center"/>
          </w:tcPr>
          <w:p w14:paraId="03BE2B0D"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896" w:type="dxa"/>
            <w:shd w:val="clear" w:color="auto" w:fill="auto"/>
            <w:vAlign w:val="center"/>
          </w:tcPr>
          <w:p w14:paraId="318641AE"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1056" w:type="dxa"/>
            <w:shd w:val="clear" w:color="auto" w:fill="auto"/>
            <w:vAlign w:val="center"/>
          </w:tcPr>
          <w:p w14:paraId="06926D48" w14:textId="77777777" w:rsidR="001135A2" w:rsidRDefault="00CD55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w:t>
            </w:r>
          </w:p>
        </w:tc>
      </w:tr>
    </w:tbl>
    <w:p w14:paraId="05E2B412" w14:textId="77777777" w:rsidR="001135A2" w:rsidRDefault="00CD55CB">
      <w:pPr>
        <w:widowControl w:val="0"/>
        <w:autoSpaceDE w:val="0"/>
        <w:autoSpaceDN w:val="0"/>
        <w:adjustRightInd w:val="0"/>
        <w:spacing w:line="360" w:lineRule="auto"/>
        <w:jc w:val="both"/>
        <w:rPr>
          <w:rFonts w:ascii="Book Antiqua" w:hAnsi="Book Antiqua"/>
        </w:rPr>
      </w:pPr>
      <w:r>
        <w:rPr>
          <w:rFonts w:ascii="Book Antiqua" w:eastAsia="Times New Roman" w:hAnsi="Book Antiqua"/>
          <w:color w:val="000000"/>
        </w:rPr>
        <w:t xml:space="preserve">↑:  Increased; </w:t>
      </w:r>
      <w:proofErr w:type="gramStart"/>
      <w:r>
        <w:rPr>
          <w:rFonts w:ascii="Book Antiqua" w:eastAsia="Times New Roman" w:hAnsi="Book Antiqua"/>
          <w:color w:val="000000"/>
        </w:rPr>
        <w:t>↔ :</w:t>
      </w:r>
      <w:proofErr w:type="gramEnd"/>
      <w:r>
        <w:rPr>
          <w:rFonts w:ascii="Book Antiqua" w:eastAsia="Times New Roman" w:hAnsi="Book Antiqua"/>
          <w:color w:val="000000"/>
        </w:rPr>
        <w:t xml:space="preserve"> Unchanged; ↓: Improved.</w:t>
      </w:r>
    </w:p>
    <w:p w14:paraId="6522C7FD" w14:textId="77777777" w:rsidR="001135A2" w:rsidRDefault="00CD55CB">
      <w:pPr>
        <w:spacing w:line="360" w:lineRule="auto"/>
        <w:jc w:val="both"/>
        <w:rPr>
          <w:rFonts w:ascii="Book Antiqua" w:hAnsi="Book Antiqua"/>
        </w:rPr>
      </w:pPr>
      <w:r>
        <w:rPr>
          <w:rFonts w:ascii="Book Antiqua" w:hAnsi="Book Antiqua"/>
        </w:rPr>
        <w:br w:type="page"/>
      </w:r>
    </w:p>
    <w:p w14:paraId="025F309F" w14:textId="77777777" w:rsidR="001135A2" w:rsidRDefault="00CD55CB">
      <w:pPr>
        <w:widowControl w:val="0"/>
        <w:autoSpaceDE w:val="0"/>
        <w:autoSpaceDN w:val="0"/>
        <w:adjustRightInd w:val="0"/>
        <w:spacing w:line="360" w:lineRule="auto"/>
        <w:jc w:val="both"/>
        <w:rPr>
          <w:rFonts w:ascii="Book Antiqua" w:eastAsia="Times New Roman" w:hAnsi="Book Antiqua"/>
          <w:b/>
          <w:bCs/>
          <w:color w:val="000000"/>
        </w:rPr>
      </w:pPr>
      <w:r>
        <w:rPr>
          <w:rFonts w:ascii="Book Antiqua" w:eastAsia="Times New Roman" w:hAnsi="Book Antiqua"/>
          <w:b/>
          <w:bCs/>
          <w:color w:val="000000"/>
        </w:rPr>
        <w:lastRenderedPageBreak/>
        <w:t>Table 3 End of treatment biopsy compared to follow up biopsy</w:t>
      </w:r>
    </w:p>
    <w:tbl>
      <w:tblPr>
        <w:tblStyle w:val="10"/>
        <w:tblW w:w="860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737"/>
        <w:gridCol w:w="1096"/>
        <w:gridCol w:w="1150"/>
        <w:gridCol w:w="710"/>
        <w:gridCol w:w="1737"/>
        <w:gridCol w:w="1096"/>
      </w:tblGrid>
      <w:tr w:rsidR="001135A2" w14:paraId="7BD93AAD" w14:textId="77777777">
        <w:trPr>
          <w:trHeight w:val="400"/>
        </w:trPr>
        <w:tc>
          <w:tcPr>
            <w:tcW w:w="1083" w:type="dxa"/>
            <w:vMerge w:val="restart"/>
            <w:tcBorders>
              <w:top w:val="single" w:sz="4" w:space="0" w:color="auto"/>
              <w:bottom w:val="single" w:sz="4" w:space="0" w:color="auto"/>
            </w:tcBorders>
          </w:tcPr>
          <w:p w14:paraId="18D8F2F8" w14:textId="77777777" w:rsidR="001135A2" w:rsidRDefault="00CD55CB">
            <w:pPr>
              <w:spacing w:line="360" w:lineRule="auto"/>
              <w:jc w:val="both"/>
              <w:rPr>
                <w:rFonts w:ascii="Book Antiqua" w:eastAsia="Calibri" w:hAnsi="Book Antiqua" w:cstheme="majorBidi"/>
                <w:b/>
                <w:bCs/>
                <w:color w:val="000000"/>
              </w:rPr>
            </w:pPr>
            <w:r>
              <w:rPr>
                <w:rFonts w:ascii="Book Antiqua" w:eastAsia="Times New Roman" w:hAnsi="Book Antiqua" w:cstheme="majorBidi"/>
                <w:b/>
                <w:bCs/>
                <w:color w:val="000000"/>
              </w:rPr>
              <w:t>Patient number</w:t>
            </w:r>
          </w:p>
          <w:p w14:paraId="55EDD834" w14:textId="77777777" w:rsidR="001135A2" w:rsidRDefault="00CD55CB">
            <w:pPr>
              <w:spacing w:line="360" w:lineRule="auto"/>
              <w:jc w:val="both"/>
              <w:rPr>
                <w:rFonts w:ascii="Book Antiqua" w:eastAsia="Calibri" w:hAnsi="Book Antiqua" w:cstheme="majorBidi"/>
                <w:b/>
                <w:bCs/>
                <w:color w:val="000000"/>
              </w:rPr>
            </w:pPr>
            <w:r>
              <w:rPr>
                <w:rFonts w:ascii="Book Antiqua" w:eastAsia="Calibri" w:hAnsi="Book Antiqua" w:cstheme="majorBidi"/>
                <w:b/>
                <w:bCs/>
                <w:color w:val="000000"/>
              </w:rPr>
              <w:t xml:space="preserve"> </w:t>
            </w:r>
          </w:p>
        </w:tc>
        <w:tc>
          <w:tcPr>
            <w:tcW w:w="2833" w:type="dxa"/>
            <w:gridSpan w:val="2"/>
            <w:tcBorders>
              <w:top w:val="single" w:sz="4" w:space="0" w:color="auto"/>
              <w:bottom w:val="single" w:sz="4" w:space="0" w:color="auto"/>
            </w:tcBorders>
          </w:tcPr>
          <w:p w14:paraId="208C3801" w14:textId="77777777" w:rsidR="001135A2" w:rsidRDefault="00CD55CB">
            <w:pPr>
              <w:spacing w:line="360" w:lineRule="auto"/>
              <w:jc w:val="both"/>
              <w:rPr>
                <w:rFonts w:ascii="Book Antiqua" w:eastAsia="Calibri" w:hAnsi="Book Antiqua" w:cstheme="majorBidi"/>
                <w:b/>
                <w:bCs/>
                <w:color w:val="000000"/>
              </w:rPr>
            </w:pPr>
            <w:r>
              <w:rPr>
                <w:rFonts w:ascii="Book Antiqua" w:eastAsia="Times New Roman" w:hAnsi="Book Antiqua" w:cstheme="majorBidi"/>
                <w:b/>
                <w:bCs/>
                <w:color w:val="000000"/>
              </w:rPr>
              <w:t>End of treatment biopsy</w:t>
            </w:r>
          </w:p>
        </w:tc>
        <w:tc>
          <w:tcPr>
            <w:tcW w:w="1150" w:type="dxa"/>
            <w:vMerge w:val="restart"/>
            <w:tcBorders>
              <w:top w:val="single" w:sz="4" w:space="0" w:color="auto"/>
              <w:bottom w:val="single" w:sz="4" w:space="0" w:color="auto"/>
            </w:tcBorders>
          </w:tcPr>
          <w:p w14:paraId="3E4D5488" w14:textId="77777777" w:rsidR="001135A2" w:rsidRDefault="00CD55CB">
            <w:pPr>
              <w:spacing w:line="360" w:lineRule="auto"/>
              <w:jc w:val="both"/>
              <w:rPr>
                <w:rFonts w:ascii="Book Antiqua" w:eastAsia="Calibri" w:hAnsi="Book Antiqua" w:cstheme="majorBidi"/>
                <w:b/>
                <w:bCs/>
                <w:color w:val="000000"/>
              </w:rPr>
            </w:pPr>
            <w:r>
              <w:rPr>
                <w:rFonts w:ascii="Book Antiqua" w:eastAsia="Times New Roman" w:hAnsi="Book Antiqua" w:cstheme="majorBidi"/>
                <w:b/>
                <w:bCs/>
                <w:color w:val="000000"/>
              </w:rPr>
              <w:t>Weeks between both biopsies</w:t>
            </w:r>
          </w:p>
        </w:tc>
        <w:tc>
          <w:tcPr>
            <w:tcW w:w="710" w:type="dxa"/>
            <w:vMerge w:val="restart"/>
            <w:tcBorders>
              <w:top w:val="single" w:sz="4" w:space="0" w:color="auto"/>
              <w:bottom w:val="single" w:sz="4" w:space="0" w:color="auto"/>
            </w:tcBorders>
          </w:tcPr>
          <w:p w14:paraId="37B0BAE6" w14:textId="77777777" w:rsidR="001135A2" w:rsidRDefault="00CD55CB">
            <w:pPr>
              <w:spacing w:line="360" w:lineRule="auto"/>
              <w:jc w:val="both"/>
              <w:rPr>
                <w:rFonts w:ascii="Book Antiqua" w:eastAsia="Calibri" w:hAnsi="Book Antiqua" w:cstheme="majorBidi"/>
                <w:b/>
                <w:bCs/>
                <w:color w:val="000000"/>
              </w:rPr>
            </w:pPr>
            <w:r>
              <w:rPr>
                <w:rFonts w:ascii="Book Antiqua" w:eastAsia="Times New Roman" w:hAnsi="Book Antiqua" w:cstheme="majorBidi"/>
                <w:b/>
                <w:bCs/>
                <w:color w:val="000000"/>
              </w:rPr>
              <w:t>ALT</w:t>
            </w:r>
          </w:p>
        </w:tc>
        <w:tc>
          <w:tcPr>
            <w:tcW w:w="2833" w:type="dxa"/>
            <w:gridSpan w:val="2"/>
            <w:tcBorders>
              <w:top w:val="single" w:sz="4" w:space="0" w:color="auto"/>
              <w:bottom w:val="single" w:sz="4" w:space="0" w:color="auto"/>
            </w:tcBorders>
          </w:tcPr>
          <w:p w14:paraId="11FEED10" w14:textId="77777777" w:rsidR="001135A2" w:rsidRDefault="00CD55CB">
            <w:pPr>
              <w:spacing w:line="360" w:lineRule="auto"/>
              <w:jc w:val="both"/>
              <w:rPr>
                <w:rFonts w:ascii="Book Antiqua" w:eastAsia="Calibri" w:hAnsi="Book Antiqua" w:cstheme="majorBidi"/>
                <w:b/>
                <w:bCs/>
                <w:color w:val="000000"/>
              </w:rPr>
            </w:pPr>
            <w:r>
              <w:rPr>
                <w:rFonts w:ascii="Book Antiqua" w:eastAsia="Times New Roman" w:hAnsi="Book Antiqua" w:cstheme="majorBidi"/>
                <w:b/>
                <w:bCs/>
                <w:color w:val="000000"/>
              </w:rPr>
              <w:t>Follow up biopsy</w:t>
            </w:r>
          </w:p>
        </w:tc>
      </w:tr>
      <w:tr w:rsidR="001135A2" w14:paraId="2499DEA2" w14:textId="77777777">
        <w:trPr>
          <w:trHeight w:val="801"/>
        </w:trPr>
        <w:tc>
          <w:tcPr>
            <w:tcW w:w="0" w:type="auto"/>
            <w:vMerge/>
            <w:tcBorders>
              <w:top w:val="single" w:sz="4" w:space="0" w:color="auto"/>
              <w:bottom w:val="single" w:sz="4" w:space="0" w:color="auto"/>
            </w:tcBorders>
          </w:tcPr>
          <w:p w14:paraId="57AD0412" w14:textId="77777777" w:rsidR="001135A2" w:rsidRDefault="001135A2">
            <w:pPr>
              <w:spacing w:line="360" w:lineRule="auto"/>
              <w:jc w:val="both"/>
              <w:rPr>
                <w:rFonts w:ascii="Book Antiqua" w:eastAsia="Calibri" w:hAnsi="Book Antiqua" w:cstheme="majorBidi"/>
                <w:b/>
                <w:bCs/>
                <w:color w:val="000000"/>
              </w:rPr>
            </w:pPr>
          </w:p>
        </w:tc>
        <w:tc>
          <w:tcPr>
            <w:tcW w:w="1737" w:type="dxa"/>
            <w:tcBorders>
              <w:top w:val="single" w:sz="4" w:space="0" w:color="auto"/>
              <w:bottom w:val="single" w:sz="4" w:space="0" w:color="auto"/>
            </w:tcBorders>
          </w:tcPr>
          <w:p w14:paraId="2381FEE2" w14:textId="77777777" w:rsidR="001135A2" w:rsidRDefault="00CD55CB">
            <w:pPr>
              <w:spacing w:line="360" w:lineRule="auto"/>
              <w:jc w:val="both"/>
              <w:rPr>
                <w:rFonts w:ascii="Book Antiqua" w:eastAsia="Calibri" w:hAnsi="Book Antiqua" w:cstheme="majorBidi"/>
                <w:b/>
                <w:bCs/>
                <w:color w:val="000000"/>
              </w:rPr>
            </w:pPr>
            <w:r>
              <w:rPr>
                <w:rFonts w:ascii="Book Antiqua" w:eastAsia="Times New Roman" w:hAnsi="Book Antiqua" w:cstheme="majorBidi"/>
                <w:b/>
                <w:bCs/>
                <w:color w:val="000000"/>
              </w:rPr>
              <w:t>Inflammation</w:t>
            </w:r>
          </w:p>
        </w:tc>
        <w:tc>
          <w:tcPr>
            <w:tcW w:w="1096" w:type="dxa"/>
            <w:tcBorders>
              <w:top w:val="single" w:sz="4" w:space="0" w:color="auto"/>
              <w:bottom w:val="single" w:sz="4" w:space="0" w:color="auto"/>
            </w:tcBorders>
          </w:tcPr>
          <w:p w14:paraId="4D1BDD7F" w14:textId="77777777" w:rsidR="001135A2" w:rsidRDefault="00CD55CB">
            <w:pPr>
              <w:spacing w:line="360" w:lineRule="auto"/>
              <w:jc w:val="both"/>
              <w:rPr>
                <w:rFonts w:ascii="Book Antiqua" w:eastAsia="Calibri" w:hAnsi="Book Antiqua" w:cstheme="majorBidi"/>
                <w:b/>
                <w:bCs/>
                <w:color w:val="000000"/>
              </w:rPr>
            </w:pPr>
            <w:r>
              <w:rPr>
                <w:rFonts w:ascii="Book Antiqua" w:eastAsia="Times New Roman" w:hAnsi="Book Antiqua" w:cstheme="majorBidi"/>
                <w:b/>
                <w:bCs/>
                <w:color w:val="000000"/>
              </w:rPr>
              <w:t xml:space="preserve">Fibrosis </w:t>
            </w:r>
          </w:p>
        </w:tc>
        <w:tc>
          <w:tcPr>
            <w:tcW w:w="0" w:type="auto"/>
            <w:vMerge/>
            <w:tcBorders>
              <w:top w:val="single" w:sz="4" w:space="0" w:color="auto"/>
              <w:bottom w:val="single" w:sz="4" w:space="0" w:color="auto"/>
            </w:tcBorders>
          </w:tcPr>
          <w:p w14:paraId="410D3039" w14:textId="77777777" w:rsidR="001135A2" w:rsidRDefault="001135A2">
            <w:pPr>
              <w:spacing w:line="360" w:lineRule="auto"/>
              <w:jc w:val="both"/>
              <w:rPr>
                <w:rFonts w:ascii="Book Antiqua" w:eastAsia="Calibri" w:hAnsi="Book Antiqua" w:cstheme="majorBidi"/>
                <w:b/>
                <w:bCs/>
                <w:color w:val="000000"/>
              </w:rPr>
            </w:pPr>
          </w:p>
        </w:tc>
        <w:tc>
          <w:tcPr>
            <w:tcW w:w="0" w:type="auto"/>
            <w:vMerge/>
            <w:tcBorders>
              <w:top w:val="single" w:sz="4" w:space="0" w:color="auto"/>
              <w:bottom w:val="single" w:sz="4" w:space="0" w:color="auto"/>
            </w:tcBorders>
          </w:tcPr>
          <w:p w14:paraId="31FFC171" w14:textId="77777777" w:rsidR="001135A2" w:rsidRDefault="001135A2">
            <w:pPr>
              <w:spacing w:line="360" w:lineRule="auto"/>
              <w:jc w:val="both"/>
              <w:rPr>
                <w:rFonts w:ascii="Book Antiqua" w:eastAsia="Calibri" w:hAnsi="Book Antiqua" w:cstheme="majorBidi"/>
                <w:b/>
                <w:bCs/>
                <w:color w:val="000000"/>
              </w:rPr>
            </w:pPr>
          </w:p>
        </w:tc>
        <w:tc>
          <w:tcPr>
            <w:tcW w:w="1737" w:type="dxa"/>
            <w:tcBorders>
              <w:top w:val="single" w:sz="4" w:space="0" w:color="auto"/>
              <w:bottom w:val="single" w:sz="4" w:space="0" w:color="auto"/>
            </w:tcBorders>
          </w:tcPr>
          <w:p w14:paraId="3BACD183" w14:textId="77777777" w:rsidR="001135A2" w:rsidRDefault="00CD55CB">
            <w:pPr>
              <w:spacing w:line="360" w:lineRule="auto"/>
              <w:jc w:val="both"/>
              <w:rPr>
                <w:rFonts w:ascii="Book Antiqua" w:eastAsia="Calibri" w:hAnsi="Book Antiqua" w:cstheme="majorBidi"/>
                <w:b/>
                <w:bCs/>
                <w:color w:val="000000"/>
              </w:rPr>
            </w:pPr>
            <w:r>
              <w:rPr>
                <w:rFonts w:ascii="Book Antiqua" w:eastAsia="Times New Roman" w:hAnsi="Book Antiqua" w:cstheme="majorBidi"/>
                <w:b/>
                <w:bCs/>
                <w:color w:val="000000"/>
              </w:rPr>
              <w:t>Inflammation</w:t>
            </w:r>
          </w:p>
        </w:tc>
        <w:tc>
          <w:tcPr>
            <w:tcW w:w="1096" w:type="dxa"/>
            <w:tcBorders>
              <w:top w:val="single" w:sz="4" w:space="0" w:color="auto"/>
              <w:bottom w:val="single" w:sz="4" w:space="0" w:color="auto"/>
            </w:tcBorders>
          </w:tcPr>
          <w:p w14:paraId="6FEE50AD" w14:textId="77777777" w:rsidR="001135A2" w:rsidRDefault="00CD55CB">
            <w:pPr>
              <w:spacing w:line="360" w:lineRule="auto"/>
              <w:jc w:val="both"/>
              <w:rPr>
                <w:rFonts w:ascii="Book Antiqua" w:eastAsia="Calibri" w:hAnsi="Book Antiqua" w:cstheme="majorBidi"/>
                <w:b/>
                <w:bCs/>
                <w:color w:val="000000"/>
              </w:rPr>
            </w:pPr>
            <w:r>
              <w:rPr>
                <w:rFonts w:ascii="Book Antiqua" w:eastAsia="Times New Roman" w:hAnsi="Book Antiqua" w:cstheme="majorBidi"/>
                <w:b/>
                <w:bCs/>
                <w:color w:val="000000"/>
              </w:rPr>
              <w:t>Fibrosis</w:t>
            </w:r>
          </w:p>
        </w:tc>
      </w:tr>
      <w:tr w:rsidR="001135A2" w14:paraId="1B46F3FA" w14:textId="77777777">
        <w:trPr>
          <w:trHeight w:val="946"/>
        </w:trPr>
        <w:tc>
          <w:tcPr>
            <w:tcW w:w="1083" w:type="dxa"/>
            <w:tcBorders>
              <w:top w:val="single" w:sz="4" w:space="0" w:color="auto"/>
            </w:tcBorders>
          </w:tcPr>
          <w:p w14:paraId="3DFEA1FA"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3</w:t>
            </w:r>
          </w:p>
        </w:tc>
        <w:tc>
          <w:tcPr>
            <w:tcW w:w="1737" w:type="dxa"/>
            <w:tcBorders>
              <w:top w:val="single" w:sz="4" w:space="0" w:color="auto"/>
            </w:tcBorders>
          </w:tcPr>
          <w:p w14:paraId="6C98C557"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2</w:t>
            </w:r>
          </w:p>
        </w:tc>
        <w:tc>
          <w:tcPr>
            <w:tcW w:w="1096" w:type="dxa"/>
            <w:tcBorders>
              <w:top w:val="single" w:sz="4" w:space="0" w:color="auto"/>
            </w:tcBorders>
          </w:tcPr>
          <w:p w14:paraId="3BD78C6C"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0</w:t>
            </w:r>
          </w:p>
        </w:tc>
        <w:tc>
          <w:tcPr>
            <w:tcW w:w="1150" w:type="dxa"/>
            <w:tcBorders>
              <w:top w:val="single" w:sz="4" w:space="0" w:color="auto"/>
            </w:tcBorders>
          </w:tcPr>
          <w:p w14:paraId="5732E1C7"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38</w:t>
            </w:r>
          </w:p>
        </w:tc>
        <w:tc>
          <w:tcPr>
            <w:tcW w:w="710" w:type="dxa"/>
            <w:tcBorders>
              <w:top w:val="single" w:sz="4" w:space="0" w:color="auto"/>
            </w:tcBorders>
          </w:tcPr>
          <w:p w14:paraId="560C6143"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20</w:t>
            </w:r>
          </w:p>
        </w:tc>
        <w:tc>
          <w:tcPr>
            <w:tcW w:w="1737" w:type="dxa"/>
            <w:tcBorders>
              <w:top w:val="single" w:sz="4" w:space="0" w:color="auto"/>
            </w:tcBorders>
          </w:tcPr>
          <w:p w14:paraId="33FC3C9B"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1 ↓</w:t>
            </w:r>
          </w:p>
        </w:tc>
        <w:tc>
          <w:tcPr>
            <w:tcW w:w="1096" w:type="dxa"/>
            <w:tcBorders>
              <w:top w:val="single" w:sz="4" w:space="0" w:color="auto"/>
            </w:tcBorders>
          </w:tcPr>
          <w:p w14:paraId="6EADC40C"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0 ↔</w:t>
            </w:r>
          </w:p>
        </w:tc>
      </w:tr>
      <w:tr w:rsidR="001135A2" w14:paraId="5C9AE7C4" w14:textId="77777777">
        <w:trPr>
          <w:trHeight w:val="946"/>
        </w:trPr>
        <w:tc>
          <w:tcPr>
            <w:tcW w:w="1083" w:type="dxa"/>
          </w:tcPr>
          <w:p w14:paraId="0C0A7BCA"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4</w:t>
            </w:r>
          </w:p>
        </w:tc>
        <w:tc>
          <w:tcPr>
            <w:tcW w:w="1737" w:type="dxa"/>
          </w:tcPr>
          <w:p w14:paraId="093BB02E"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3</w:t>
            </w:r>
          </w:p>
        </w:tc>
        <w:tc>
          <w:tcPr>
            <w:tcW w:w="1096" w:type="dxa"/>
          </w:tcPr>
          <w:p w14:paraId="51E2863D"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0</w:t>
            </w:r>
          </w:p>
        </w:tc>
        <w:tc>
          <w:tcPr>
            <w:tcW w:w="1150" w:type="dxa"/>
          </w:tcPr>
          <w:p w14:paraId="7A44AE78"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42</w:t>
            </w:r>
          </w:p>
        </w:tc>
        <w:tc>
          <w:tcPr>
            <w:tcW w:w="710" w:type="dxa"/>
          </w:tcPr>
          <w:p w14:paraId="37E62968"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15</w:t>
            </w:r>
          </w:p>
        </w:tc>
        <w:tc>
          <w:tcPr>
            <w:tcW w:w="1737" w:type="dxa"/>
          </w:tcPr>
          <w:p w14:paraId="13CF3F58"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2 ↓</w:t>
            </w:r>
          </w:p>
        </w:tc>
        <w:tc>
          <w:tcPr>
            <w:tcW w:w="1096" w:type="dxa"/>
          </w:tcPr>
          <w:p w14:paraId="10BDCE2A"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1 ↑</w:t>
            </w:r>
          </w:p>
        </w:tc>
      </w:tr>
      <w:tr w:rsidR="001135A2" w14:paraId="34740F41" w14:textId="77777777">
        <w:trPr>
          <w:trHeight w:val="946"/>
        </w:trPr>
        <w:tc>
          <w:tcPr>
            <w:tcW w:w="1083" w:type="dxa"/>
          </w:tcPr>
          <w:p w14:paraId="3DBA211F"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5</w:t>
            </w:r>
          </w:p>
        </w:tc>
        <w:tc>
          <w:tcPr>
            <w:tcW w:w="1737" w:type="dxa"/>
          </w:tcPr>
          <w:p w14:paraId="289570B7"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1</w:t>
            </w:r>
          </w:p>
        </w:tc>
        <w:tc>
          <w:tcPr>
            <w:tcW w:w="1096" w:type="dxa"/>
          </w:tcPr>
          <w:p w14:paraId="0811D6C7"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3</w:t>
            </w:r>
          </w:p>
        </w:tc>
        <w:tc>
          <w:tcPr>
            <w:tcW w:w="1150" w:type="dxa"/>
          </w:tcPr>
          <w:p w14:paraId="2F694FE9"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43</w:t>
            </w:r>
          </w:p>
        </w:tc>
        <w:tc>
          <w:tcPr>
            <w:tcW w:w="710" w:type="dxa"/>
          </w:tcPr>
          <w:p w14:paraId="762B5949"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20</w:t>
            </w:r>
          </w:p>
        </w:tc>
        <w:tc>
          <w:tcPr>
            <w:tcW w:w="1737" w:type="dxa"/>
          </w:tcPr>
          <w:p w14:paraId="780D35D5"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2 ↑</w:t>
            </w:r>
          </w:p>
        </w:tc>
        <w:tc>
          <w:tcPr>
            <w:tcW w:w="1096" w:type="dxa"/>
          </w:tcPr>
          <w:p w14:paraId="2DD7375F"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3 ↔</w:t>
            </w:r>
          </w:p>
        </w:tc>
      </w:tr>
      <w:tr w:rsidR="001135A2" w14:paraId="1DCE7BB0" w14:textId="77777777">
        <w:trPr>
          <w:trHeight w:val="946"/>
        </w:trPr>
        <w:tc>
          <w:tcPr>
            <w:tcW w:w="1083" w:type="dxa"/>
          </w:tcPr>
          <w:p w14:paraId="6379FEFD" w14:textId="77777777" w:rsidR="001135A2" w:rsidRDefault="00CD55CB">
            <w:pPr>
              <w:spacing w:line="360" w:lineRule="auto"/>
              <w:jc w:val="both"/>
              <w:rPr>
                <w:rFonts w:ascii="Book Antiqua" w:eastAsia="Times New Roman" w:hAnsi="Book Antiqua" w:cstheme="majorBidi"/>
                <w:color w:val="000000"/>
              </w:rPr>
            </w:pPr>
            <w:r>
              <w:rPr>
                <w:rFonts w:ascii="Book Antiqua" w:eastAsia="Times New Roman" w:hAnsi="Book Antiqua" w:cstheme="majorBidi"/>
                <w:color w:val="000000"/>
              </w:rPr>
              <w:t>10</w:t>
            </w:r>
          </w:p>
        </w:tc>
        <w:tc>
          <w:tcPr>
            <w:tcW w:w="1737" w:type="dxa"/>
          </w:tcPr>
          <w:p w14:paraId="5A380999" w14:textId="77777777" w:rsidR="001135A2" w:rsidRDefault="00CD55CB">
            <w:pPr>
              <w:spacing w:line="360" w:lineRule="auto"/>
              <w:jc w:val="both"/>
              <w:rPr>
                <w:rFonts w:ascii="Book Antiqua" w:eastAsia="Times New Roman" w:hAnsi="Book Antiqua" w:cstheme="majorBidi"/>
                <w:color w:val="000000"/>
              </w:rPr>
            </w:pPr>
            <w:r>
              <w:rPr>
                <w:rFonts w:ascii="Book Antiqua" w:eastAsia="Times New Roman" w:hAnsi="Book Antiqua" w:cstheme="majorBidi"/>
                <w:color w:val="000000"/>
              </w:rPr>
              <w:t>4</w:t>
            </w:r>
          </w:p>
        </w:tc>
        <w:tc>
          <w:tcPr>
            <w:tcW w:w="1096" w:type="dxa"/>
          </w:tcPr>
          <w:p w14:paraId="32D51CAE" w14:textId="77777777" w:rsidR="001135A2" w:rsidRDefault="00CD55CB">
            <w:pPr>
              <w:spacing w:line="360" w:lineRule="auto"/>
              <w:jc w:val="both"/>
              <w:rPr>
                <w:rFonts w:ascii="Book Antiqua" w:eastAsia="Times New Roman" w:hAnsi="Book Antiqua" w:cstheme="majorBidi"/>
                <w:color w:val="000000"/>
              </w:rPr>
            </w:pPr>
            <w:r>
              <w:rPr>
                <w:rFonts w:ascii="Book Antiqua" w:eastAsia="Times New Roman" w:hAnsi="Book Antiqua" w:cstheme="majorBidi"/>
                <w:color w:val="000000"/>
              </w:rPr>
              <w:t>3</w:t>
            </w:r>
          </w:p>
        </w:tc>
        <w:tc>
          <w:tcPr>
            <w:tcW w:w="1150" w:type="dxa"/>
          </w:tcPr>
          <w:p w14:paraId="34BA20D8" w14:textId="77777777" w:rsidR="001135A2" w:rsidRDefault="00CD55CB">
            <w:pPr>
              <w:spacing w:line="360" w:lineRule="auto"/>
              <w:jc w:val="both"/>
              <w:rPr>
                <w:rFonts w:ascii="Book Antiqua" w:eastAsia="Times New Roman" w:hAnsi="Book Antiqua" w:cstheme="majorBidi"/>
                <w:color w:val="000000"/>
              </w:rPr>
            </w:pPr>
            <w:r>
              <w:rPr>
                <w:rFonts w:ascii="Book Antiqua" w:eastAsia="Times New Roman" w:hAnsi="Book Antiqua" w:cstheme="majorBidi"/>
                <w:color w:val="000000"/>
              </w:rPr>
              <w:t>48</w:t>
            </w:r>
          </w:p>
        </w:tc>
        <w:tc>
          <w:tcPr>
            <w:tcW w:w="710" w:type="dxa"/>
          </w:tcPr>
          <w:p w14:paraId="638ACBF1" w14:textId="77777777" w:rsidR="001135A2" w:rsidRDefault="00CD55CB">
            <w:pPr>
              <w:spacing w:line="360" w:lineRule="auto"/>
              <w:jc w:val="both"/>
              <w:rPr>
                <w:rFonts w:ascii="Book Antiqua" w:eastAsia="Times New Roman" w:hAnsi="Book Antiqua" w:cstheme="majorBidi"/>
                <w:color w:val="000000"/>
              </w:rPr>
            </w:pPr>
            <w:r>
              <w:rPr>
                <w:rFonts w:ascii="Book Antiqua" w:eastAsia="Times New Roman" w:hAnsi="Book Antiqua" w:cstheme="majorBidi"/>
                <w:color w:val="000000"/>
              </w:rPr>
              <w:t>22</w:t>
            </w:r>
          </w:p>
        </w:tc>
        <w:tc>
          <w:tcPr>
            <w:tcW w:w="1737" w:type="dxa"/>
          </w:tcPr>
          <w:p w14:paraId="5EBED5B5" w14:textId="77777777" w:rsidR="001135A2" w:rsidRDefault="00CD55CB">
            <w:pPr>
              <w:spacing w:line="360" w:lineRule="auto"/>
              <w:jc w:val="both"/>
              <w:rPr>
                <w:rFonts w:ascii="Book Antiqua" w:eastAsia="Times New Roman" w:hAnsi="Book Antiqua" w:cstheme="majorBidi"/>
                <w:color w:val="000000"/>
              </w:rPr>
            </w:pPr>
            <w:r>
              <w:rPr>
                <w:rFonts w:ascii="Book Antiqua" w:eastAsia="Times New Roman" w:hAnsi="Book Antiqua" w:cstheme="majorBidi"/>
                <w:color w:val="000000"/>
              </w:rPr>
              <w:t>2 ↓</w:t>
            </w:r>
          </w:p>
        </w:tc>
        <w:tc>
          <w:tcPr>
            <w:tcW w:w="1096" w:type="dxa"/>
          </w:tcPr>
          <w:p w14:paraId="5A1975F1" w14:textId="77777777" w:rsidR="001135A2" w:rsidRDefault="00CD55CB">
            <w:pPr>
              <w:spacing w:line="360" w:lineRule="auto"/>
              <w:jc w:val="both"/>
              <w:rPr>
                <w:rFonts w:ascii="Book Antiqua" w:eastAsia="Times New Roman" w:hAnsi="Book Antiqua" w:cstheme="majorBidi"/>
                <w:color w:val="000000"/>
              </w:rPr>
            </w:pPr>
            <w:r>
              <w:rPr>
                <w:rFonts w:ascii="Book Antiqua" w:eastAsia="Times New Roman" w:hAnsi="Book Antiqua" w:cstheme="majorBidi"/>
                <w:color w:val="000000"/>
              </w:rPr>
              <w:t>3↔</w:t>
            </w:r>
          </w:p>
        </w:tc>
      </w:tr>
      <w:tr w:rsidR="001135A2" w14:paraId="09345A6C" w14:textId="77777777">
        <w:trPr>
          <w:trHeight w:val="946"/>
        </w:trPr>
        <w:tc>
          <w:tcPr>
            <w:tcW w:w="1083" w:type="dxa"/>
          </w:tcPr>
          <w:p w14:paraId="156BE050"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11</w:t>
            </w:r>
          </w:p>
        </w:tc>
        <w:tc>
          <w:tcPr>
            <w:tcW w:w="1737" w:type="dxa"/>
          </w:tcPr>
          <w:p w14:paraId="66891A94"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4</w:t>
            </w:r>
          </w:p>
        </w:tc>
        <w:tc>
          <w:tcPr>
            <w:tcW w:w="1096" w:type="dxa"/>
          </w:tcPr>
          <w:p w14:paraId="34CD7E7A"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2</w:t>
            </w:r>
          </w:p>
        </w:tc>
        <w:tc>
          <w:tcPr>
            <w:tcW w:w="1150" w:type="dxa"/>
          </w:tcPr>
          <w:p w14:paraId="4A79D893"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44</w:t>
            </w:r>
          </w:p>
        </w:tc>
        <w:tc>
          <w:tcPr>
            <w:tcW w:w="710" w:type="dxa"/>
          </w:tcPr>
          <w:p w14:paraId="3F765977"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71</w:t>
            </w:r>
          </w:p>
        </w:tc>
        <w:tc>
          <w:tcPr>
            <w:tcW w:w="1737" w:type="dxa"/>
          </w:tcPr>
          <w:p w14:paraId="3A5310CF"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3 ↓</w:t>
            </w:r>
          </w:p>
        </w:tc>
        <w:tc>
          <w:tcPr>
            <w:tcW w:w="1096" w:type="dxa"/>
          </w:tcPr>
          <w:p w14:paraId="1FB8A23A" w14:textId="77777777" w:rsidR="001135A2" w:rsidRDefault="00CD55CB">
            <w:pPr>
              <w:spacing w:line="360" w:lineRule="auto"/>
              <w:jc w:val="both"/>
              <w:rPr>
                <w:rFonts w:ascii="Book Antiqua" w:eastAsia="Calibri" w:hAnsi="Book Antiqua" w:cstheme="majorBidi"/>
                <w:color w:val="000000"/>
              </w:rPr>
            </w:pPr>
            <w:r>
              <w:rPr>
                <w:rFonts w:ascii="Book Antiqua" w:eastAsia="Times New Roman" w:hAnsi="Book Antiqua" w:cstheme="majorBidi"/>
                <w:color w:val="000000"/>
              </w:rPr>
              <w:t>3 ↑</w:t>
            </w:r>
          </w:p>
        </w:tc>
      </w:tr>
    </w:tbl>
    <w:p w14:paraId="387DA26C" w14:textId="77777777" w:rsidR="001135A2" w:rsidRDefault="00CD55CB">
      <w:pPr>
        <w:widowControl w:val="0"/>
        <w:autoSpaceDE w:val="0"/>
        <w:autoSpaceDN w:val="0"/>
        <w:adjustRightInd w:val="0"/>
        <w:spacing w:line="360" w:lineRule="auto"/>
        <w:jc w:val="both"/>
        <w:rPr>
          <w:rFonts w:ascii="Book Antiqua" w:eastAsia="Times New Roman" w:hAnsi="Book Antiqua"/>
          <w:color w:val="000000"/>
        </w:rPr>
      </w:pPr>
      <w:r>
        <w:rPr>
          <w:rFonts w:ascii="Book Antiqua" w:eastAsia="Times New Roman" w:hAnsi="Book Antiqua"/>
          <w:color w:val="000000"/>
        </w:rPr>
        <w:t xml:space="preserve">↑:  Increased; </w:t>
      </w:r>
      <w:proofErr w:type="gramStart"/>
      <w:r>
        <w:rPr>
          <w:rFonts w:ascii="Book Antiqua" w:eastAsia="Times New Roman" w:hAnsi="Book Antiqua"/>
          <w:color w:val="000000"/>
        </w:rPr>
        <w:t>↔ :</w:t>
      </w:r>
      <w:proofErr w:type="gramEnd"/>
      <w:r>
        <w:rPr>
          <w:rFonts w:ascii="Book Antiqua" w:eastAsia="Times New Roman" w:hAnsi="Book Antiqua"/>
          <w:color w:val="000000"/>
        </w:rPr>
        <w:t xml:space="preserve"> Unchanged; ↓: Improved.</w:t>
      </w:r>
    </w:p>
    <w:p w14:paraId="46CCE41F" w14:textId="77777777" w:rsidR="001135A2" w:rsidRDefault="00CD55CB">
      <w:pPr>
        <w:widowControl w:val="0"/>
        <w:autoSpaceDE w:val="0"/>
        <w:autoSpaceDN w:val="0"/>
        <w:adjustRightInd w:val="0"/>
        <w:spacing w:line="360" w:lineRule="auto"/>
        <w:jc w:val="both"/>
        <w:rPr>
          <w:rFonts w:ascii="Book Antiqua" w:eastAsia="Book Antiqua" w:hAnsi="Book Antiqua" w:cs="Book Antiqua"/>
          <w:color w:val="000000"/>
        </w:rPr>
        <w:sectPr w:rsidR="001135A2">
          <w:pgSz w:w="12240" w:h="15840"/>
          <w:pgMar w:top="1440" w:right="1440" w:bottom="1440" w:left="1440" w:header="720" w:footer="720" w:gutter="0"/>
          <w:cols w:space="720"/>
          <w:docGrid w:linePitch="360"/>
        </w:sectPr>
      </w:pPr>
      <w:r>
        <w:rPr>
          <w:rFonts w:ascii="Book Antiqua" w:eastAsia="Book Antiqua" w:hAnsi="Book Antiqua" w:cs="Book Antiqua"/>
          <w:color w:val="000000"/>
        </w:rPr>
        <w:t>ALT: Alanine aminotransferase.</w:t>
      </w:r>
    </w:p>
    <w:p w14:paraId="3D585FC4" w14:textId="77777777" w:rsidR="001135A2" w:rsidRDefault="001135A2">
      <w:pPr>
        <w:jc w:val="center"/>
        <w:rPr>
          <w:rFonts w:ascii="Book Antiqua" w:hAnsi="Book Antiqua"/>
        </w:rPr>
      </w:pPr>
      <w:bookmarkStart w:id="7" w:name="_Hlk91601026"/>
      <w:bookmarkStart w:id="8" w:name="_Hlk91629846"/>
    </w:p>
    <w:p w14:paraId="025EA844" w14:textId="77777777" w:rsidR="001135A2" w:rsidRDefault="001135A2">
      <w:pPr>
        <w:jc w:val="center"/>
        <w:rPr>
          <w:rFonts w:ascii="Book Antiqua" w:hAnsi="Book Antiqua"/>
        </w:rPr>
      </w:pPr>
    </w:p>
    <w:p w14:paraId="0469E5D0" w14:textId="77777777" w:rsidR="001135A2" w:rsidRDefault="001135A2">
      <w:pPr>
        <w:jc w:val="center"/>
        <w:rPr>
          <w:rFonts w:ascii="Book Antiqua" w:hAnsi="Book Antiqua"/>
        </w:rPr>
      </w:pPr>
    </w:p>
    <w:p w14:paraId="6DA21D60" w14:textId="77777777" w:rsidR="001135A2" w:rsidRDefault="001135A2">
      <w:pPr>
        <w:jc w:val="center"/>
        <w:rPr>
          <w:rFonts w:ascii="Book Antiqua" w:hAnsi="Book Antiqua"/>
        </w:rPr>
      </w:pPr>
    </w:p>
    <w:p w14:paraId="7F4DE146" w14:textId="77777777" w:rsidR="001135A2" w:rsidRDefault="00CD55CB">
      <w:pPr>
        <w:jc w:val="center"/>
        <w:rPr>
          <w:rFonts w:ascii="Book Antiqua" w:hAnsi="Book Antiqua"/>
        </w:rPr>
      </w:pPr>
      <w:r>
        <w:rPr>
          <w:rFonts w:ascii="Book Antiqua" w:hAnsi="Book Antiqua"/>
          <w:noProof/>
        </w:rPr>
        <w:drawing>
          <wp:inline distT="0" distB="0" distL="0" distR="0" wp14:anchorId="6CD6EB0E" wp14:editId="0C04620A">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9C8439F" w14:textId="77777777" w:rsidR="001135A2" w:rsidRDefault="001135A2">
      <w:pPr>
        <w:jc w:val="center"/>
        <w:rPr>
          <w:rFonts w:ascii="Book Antiqua" w:hAnsi="Book Antiqua"/>
        </w:rPr>
      </w:pPr>
    </w:p>
    <w:p w14:paraId="42D71B14" w14:textId="77777777" w:rsidR="001135A2" w:rsidRDefault="00CD55C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w:t>
      </w:r>
      <w:r>
        <w:rPr>
          <w:rFonts w:ascii="Book Antiqua" w:eastAsia="Garamond-Bold" w:hAnsi="Book Antiqua" w:cs="Garamond-Bold"/>
          <w:b/>
          <w:bCs/>
          <w:color w:val="000000"/>
          <w:sz w:val="28"/>
          <w:szCs w:val="28"/>
        </w:rPr>
        <w:t>Publishing Group Inc</w:t>
      </w:r>
    </w:p>
    <w:p w14:paraId="5136B2D2" w14:textId="77777777" w:rsidR="001135A2" w:rsidRDefault="00CD55C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76F2FD" w14:textId="77777777" w:rsidR="001135A2" w:rsidRDefault="00CD55C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549F71" w14:textId="77777777" w:rsidR="001135A2" w:rsidRDefault="00CD55C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975691F" w14:textId="77777777" w:rsidR="001135A2" w:rsidRDefault="00CD55C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84EB782" w14:textId="77777777" w:rsidR="001135A2" w:rsidRDefault="00CD55CB">
      <w:pPr>
        <w:jc w:val="center"/>
        <w:rPr>
          <w:rFonts w:ascii="Book Antiqua" w:hAnsi="Book Antiqua"/>
        </w:rPr>
      </w:pPr>
      <w:r>
        <w:rPr>
          <w:rFonts w:ascii="Book Antiqua" w:eastAsia="TimesNewRomanPSMT" w:hAnsi="Book Antiqua" w:cs="Garamond"/>
          <w:color w:val="D56400"/>
          <w:sz w:val="28"/>
          <w:szCs w:val="28"/>
        </w:rPr>
        <w:t>https://www.wjgnet.com</w:t>
      </w:r>
    </w:p>
    <w:p w14:paraId="3EE2D802" w14:textId="77777777" w:rsidR="001135A2" w:rsidRDefault="001135A2">
      <w:pPr>
        <w:jc w:val="center"/>
        <w:rPr>
          <w:rFonts w:ascii="Book Antiqua" w:hAnsi="Book Antiqua"/>
        </w:rPr>
      </w:pPr>
    </w:p>
    <w:p w14:paraId="1F85A024" w14:textId="77777777" w:rsidR="001135A2" w:rsidRDefault="001135A2">
      <w:pPr>
        <w:jc w:val="center"/>
        <w:rPr>
          <w:rFonts w:ascii="Book Antiqua" w:hAnsi="Book Antiqua"/>
        </w:rPr>
      </w:pPr>
    </w:p>
    <w:p w14:paraId="645D4FA1" w14:textId="77777777" w:rsidR="001135A2" w:rsidRDefault="001135A2">
      <w:pPr>
        <w:jc w:val="center"/>
        <w:rPr>
          <w:rFonts w:ascii="Book Antiqua" w:hAnsi="Book Antiqua"/>
        </w:rPr>
      </w:pPr>
    </w:p>
    <w:p w14:paraId="6AC4C96C" w14:textId="77777777" w:rsidR="001135A2" w:rsidRDefault="00CD55CB">
      <w:pPr>
        <w:jc w:val="center"/>
        <w:rPr>
          <w:rFonts w:ascii="Book Antiqua" w:hAnsi="Book Antiqua"/>
        </w:rPr>
      </w:pPr>
      <w:r>
        <w:rPr>
          <w:rFonts w:ascii="Book Antiqua" w:hAnsi="Book Antiqua"/>
          <w:noProof/>
        </w:rPr>
        <w:drawing>
          <wp:inline distT="0" distB="0" distL="0" distR="0" wp14:anchorId="1F31C71E" wp14:editId="53B0873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A7030B1" w14:textId="77777777" w:rsidR="001135A2" w:rsidRDefault="001135A2">
      <w:pPr>
        <w:jc w:val="center"/>
        <w:rPr>
          <w:rFonts w:ascii="Book Antiqua" w:hAnsi="Book Antiqua"/>
        </w:rPr>
      </w:pPr>
    </w:p>
    <w:p w14:paraId="5D08C4E6" w14:textId="77777777" w:rsidR="001135A2" w:rsidRDefault="001135A2">
      <w:pPr>
        <w:jc w:val="center"/>
        <w:rPr>
          <w:rFonts w:ascii="Book Antiqua" w:hAnsi="Book Antiqua"/>
        </w:rPr>
      </w:pPr>
    </w:p>
    <w:p w14:paraId="34769A26" w14:textId="77777777" w:rsidR="001135A2" w:rsidRDefault="001135A2">
      <w:pPr>
        <w:jc w:val="center"/>
        <w:rPr>
          <w:rFonts w:ascii="Book Antiqua" w:hAnsi="Book Antiqua"/>
        </w:rPr>
      </w:pPr>
    </w:p>
    <w:p w14:paraId="4504818A" w14:textId="77777777" w:rsidR="001135A2" w:rsidRDefault="001135A2">
      <w:pPr>
        <w:jc w:val="center"/>
        <w:rPr>
          <w:rFonts w:ascii="Book Antiqua" w:hAnsi="Book Antiqua"/>
        </w:rPr>
      </w:pPr>
    </w:p>
    <w:p w14:paraId="58EA6DE3" w14:textId="77777777" w:rsidR="001135A2" w:rsidRDefault="001135A2">
      <w:pPr>
        <w:jc w:val="center"/>
        <w:rPr>
          <w:rFonts w:ascii="Book Antiqua" w:hAnsi="Book Antiqua"/>
        </w:rPr>
      </w:pPr>
    </w:p>
    <w:p w14:paraId="348686BD" w14:textId="77777777" w:rsidR="001135A2" w:rsidRDefault="001135A2">
      <w:pPr>
        <w:jc w:val="center"/>
        <w:rPr>
          <w:rFonts w:ascii="Book Antiqua" w:hAnsi="Book Antiqua"/>
        </w:rPr>
      </w:pPr>
    </w:p>
    <w:p w14:paraId="27EBE25E" w14:textId="77777777" w:rsidR="001135A2" w:rsidRDefault="001135A2">
      <w:pPr>
        <w:jc w:val="center"/>
        <w:rPr>
          <w:rFonts w:ascii="Book Antiqua" w:hAnsi="Book Antiqua"/>
        </w:rPr>
      </w:pPr>
    </w:p>
    <w:p w14:paraId="1F580498" w14:textId="77777777" w:rsidR="001135A2" w:rsidRDefault="001135A2">
      <w:pPr>
        <w:jc w:val="center"/>
        <w:rPr>
          <w:rFonts w:ascii="Book Antiqua" w:hAnsi="Book Antiqua"/>
        </w:rPr>
      </w:pPr>
    </w:p>
    <w:p w14:paraId="0EB509E6" w14:textId="77777777" w:rsidR="001135A2" w:rsidRDefault="001135A2">
      <w:pPr>
        <w:jc w:val="center"/>
        <w:rPr>
          <w:rFonts w:ascii="Book Antiqua" w:hAnsi="Book Antiqua"/>
        </w:rPr>
      </w:pPr>
    </w:p>
    <w:p w14:paraId="52496564" w14:textId="77777777" w:rsidR="001135A2" w:rsidRDefault="001135A2">
      <w:pPr>
        <w:jc w:val="right"/>
        <w:rPr>
          <w:rFonts w:ascii="Book Antiqua" w:hAnsi="Book Antiqua"/>
          <w:color w:val="000000" w:themeColor="text1"/>
        </w:rPr>
      </w:pPr>
    </w:p>
    <w:p w14:paraId="64C386F1" w14:textId="77777777" w:rsidR="001135A2" w:rsidRDefault="00CD55CB">
      <w:pPr>
        <w:jc w:val="center"/>
        <w:rPr>
          <w:rFonts w:ascii="Book Antiqua" w:eastAsia="BookAntiqua-Bold" w:hAnsi="Book Antiqua" w:cs="BookAntiqua-Bold"/>
          <w:b/>
          <w:bCs/>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w:t>
      </w:r>
      <w:r>
        <w:rPr>
          <w:rFonts w:ascii="Book Antiqua" w:eastAsia="BookAntiqua-Bold" w:hAnsi="Book Antiqua" w:cs="BookAntiqua-Bold"/>
          <w:b/>
          <w:bCs/>
          <w:color w:val="000000" w:themeColor="text1"/>
        </w:rPr>
        <w:t>Publishing Group Inc. All rights reserved.</w:t>
      </w:r>
      <w:bookmarkEnd w:id="7"/>
      <w:r>
        <w:rPr>
          <w:rFonts w:ascii="Book Antiqua" w:eastAsia="BookAntiqua-Bold" w:hAnsi="Book Antiqua" w:cs="BookAntiqua-Bold"/>
          <w:b/>
          <w:bCs/>
          <w:color w:val="000000" w:themeColor="text1"/>
        </w:rPr>
        <w:t xml:space="preserve"> </w:t>
      </w:r>
      <w:bookmarkEnd w:id="8"/>
    </w:p>
    <w:p w14:paraId="3C1CAEAE" w14:textId="77777777" w:rsidR="001135A2" w:rsidRDefault="001135A2">
      <w:pPr>
        <w:widowControl w:val="0"/>
        <w:autoSpaceDE w:val="0"/>
        <w:autoSpaceDN w:val="0"/>
        <w:adjustRightInd w:val="0"/>
        <w:spacing w:line="360" w:lineRule="auto"/>
        <w:jc w:val="both"/>
        <w:rPr>
          <w:rFonts w:ascii="Book Antiqua" w:hAnsi="Book Antiqua"/>
          <w:lang w:eastAsia="zh-CN"/>
        </w:rPr>
      </w:pPr>
    </w:p>
    <w:sectPr w:rsidR="001135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EF3C" w14:textId="77777777" w:rsidR="00CD55CB" w:rsidRDefault="00CD55CB">
      <w:r>
        <w:separator/>
      </w:r>
    </w:p>
  </w:endnote>
  <w:endnote w:type="continuationSeparator" w:id="0">
    <w:p w14:paraId="56CA39CA" w14:textId="77777777" w:rsidR="00CD55CB" w:rsidRDefault="00CD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0" w:usb1="00000000" w:usb2="00000010" w:usb3="00000000" w:csb0="00060002" w:csb1="00000000"/>
  </w:font>
  <w:font w:name="Garamond-Bold">
    <w:altName w:val="Roanoke Scrip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2ED4" w14:textId="77777777" w:rsidR="001135A2" w:rsidRDefault="00CD55CB">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574F6304" w14:textId="77777777" w:rsidR="001135A2" w:rsidRDefault="001135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EC4A" w14:textId="77777777" w:rsidR="00CD55CB" w:rsidRDefault="00CD55CB">
      <w:r>
        <w:separator/>
      </w:r>
    </w:p>
  </w:footnote>
  <w:footnote w:type="continuationSeparator" w:id="0">
    <w:p w14:paraId="1658D0DB" w14:textId="77777777" w:rsidR="00CD55CB" w:rsidRDefault="00CD5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DMyMDc0MTYyNDFT0lEKTi0uzszPAykwrgUAY6vZlywAAAA="/>
  </w:docVars>
  <w:rsids>
    <w:rsidRoot w:val="00A77B3E"/>
    <w:rsid w:val="00005D71"/>
    <w:rsid w:val="00025F24"/>
    <w:rsid w:val="00030615"/>
    <w:rsid w:val="000449EF"/>
    <w:rsid w:val="00044F64"/>
    <w:rsid w:val="000454E4"/>
    <w:rsid w:val="0006478B"/>
    <w:rsid w:val="0007161F"/>
    <w:rsid w:val="0007255C"/>
    <w:rsid w:val="000741E1"/>
    <w:rsid w:val="00077FE2"/>
    <w:rsid w:val="00080112"/>
    <w:rsid w:val="00085F9A"/>
    <w:rsid w:val="000920CF"/>
    <w:rsid w:val="0009384E"/>
    <w:rsid w:val="00097C07"/>
    <w:rsid w:val="000E6FC1"/>
    <w:rsid w:val="000F1DBE"/>
    <w:rsid w:val="000F5656"/>
    <w:rsid w:val="00102C67"/>
    <w:rsid w:val="001135A2"/>
    <w:rsid w:val="00125A14"/>
    <w:rsid w:val="00131DF0"/>
    <w:rsid w:val="00136C1B"/>
    <w:rsid w:val="00143804"/>
    <w:rsid w:val="001522D5"/>
    <w:rsid w:val="001525D6"/>
    <w:rsid w:val="001663C7"/>
    <w:rsid w:val="00173A39"/>
    <w:rsid w:val="00182D3E"/>
    <w:rsid w:val="001928E4"/>
    <w:rsid w:val="001C28DD"/>
    <w:rsid w:val="001C7C81"/>
    <w:rsid w:val="001D6DF7"/>
    <w:rsid w:val="001F3805"/>
    <w:rsid w:val="00206870"/>
    <w:rsid w:val="00210C94"/>
    <w:rsid w:val="00221452"/>
    <w:rsid w:val="00232845"/>
    <w:rsid w:val="00234A58"/>
    <w:rsid w:val="00250793"/>
    <w:rsid w:val="002546EF"/>
    <w:rsid w:val="002609F3"/>
    <w:rsid w:val="00261920"/>
    <w:rsid w:val="00274D68"/>
    <w:rsid w:val="002852E6"/>
    <w:rsid w:val="0028651E"/>
    <w:rsid w:val="002A5302"/>
    <w:rsid w:val="002D1D61"/>
    <w:rsid w:val="002E7EAF"/>
    <w:rsid w:val="002F2A6C"/>
    <w:rsid w:val="002F3919"/>
    <w:rsid w:val="002F4A46"/>
    <w:rsid w:val="002F726C"/>
    <w:rsid w:val="003231BA"/>
    <w:rsid w:val="00336E8F"/>
    <w:rsid w:val="0033713D"/>
    <w:rsid w:val="00344A40"/>
    <w:rsid w:val="003453F8"/>
    <w:rsid w:val="003456CD"/>
    <w:rsid w:val="003468F9"/>
    <w:rsid w:val="003519C5"/>
    <w:rsid w:val="003663BD"/>
    <w:rsid w:val="003B6A3D"/>
    <w:rsid w:val="003B6F7F"/>
    <w:rsid w:val="003C5717"/>
    <w:rsid w:val="003C70F8"/>
    <w:rsid w:val="003C781B"/>
    <w:rsid w:val="003D60C0"/>
    <w:rsid w:val="003D6972"/>
    <w:rsid w:val="003E1145"/>
    <w:rsid w:val="003E1728"/>
    <w:rsid w:val="003E2D93"/>
    <w:rsid w:val="003E4C7A"/>
    <w:rsid w:val="00411834"/>
    <w:rsid w:val="00416D3D"/>
    <w:rsid w:val="00440E0A"/>
    <w:rsid w:val="00451EB9"/>
    <w:rsid w:val="004526E9"/>
    <w:rsid w:val="004550F1"/>
    <w:rsid w:val="004636A5"/>
    <w:rsid w:val="00467B22"/>
    <w:rsid w:val="0048730E"/>
    <w:rsid w:val="00497AC4"/>
    <w:rsid w:val="004A1102"/>
    <w:rsid w:val="004A225A"/>
    <w:rsid w:val="004A3655"/>
    <w:rsid w:val="004B4047"/>
    <w:rsid w:val="004D02FA"/>
    <w:rsid w:val="004E0C34"/>
    <w:rsid w:val="004E0CF7"/>
    <w:rsid w:val="004E65B7"/>
    <w:rsid w:val="00500284"/>
    <w:rsid w:val="005200E3"/>
    <w:rsid w:val="005211A1"/>
    <w:rsid w:val="005238CD"/>
    <w:rsid w:val="00545BB7"/>
    <w:rsid w:val="00550B87"/>
    <w:rsid w:val="0055449F"/>
    <w:rsid w:val="00560336"/>
    <w:rsid w:val="00561B8A"/>
    <w:rsid w:val="00565B2F"/>
    <w:rsid w:val="005746FA"/>
    <w:rsid w:val="0058245E"/>
    <w:rsid w:val="005A7809"/>
    <w:rsid w:val="005B606F"/>
    <w:rsid w:val="005C1272"/>
    <w:rsid w:val="005C3D0D"/>
    <w:rsid w:val="005C4A75"/>
    <w:rsid w:val="005F08BF"/>
    <w:rsid w:val="005F2FE5"/>
    <w:rsid w:val="0060002B"/>
    <w:rsid w:val="00607B8D"/>
    <w:rsid w:val="00610BCE"/>
    <w:rsid w:val="00611220"/>
    <w:rsid w:val="00617DA3"/>
    <w:rsid w:val="006211EC"/>
    <w:rsid w:val="00622E7B"/>
    <w:rsid w:val="00624311"/>
    <w:rsid w:val="00624504"/>
    <w:rsid w:val="00646DA1"/>
    <w:rsid w:val="00651B38"/>
    <w:rsid w:val="006559C4"/>
    <w:rsid w:val="00662CAE"/>
    <w:rsid w:val="006657EE"/>
    <w:rsid w:val="00666D6A"/>
    <w:rsid w:val="0066759E"/>
    <w:rsid w:val="00670797"/>
    <w:rsid w:val="006719DF"/>
    <w:rsid w:val="0067482C"/>
    <w:rsid w:val="00675F64"/>
    <w:rsid w:val="00680433"/>
    <w:rsid w:val="00686F8F"/>
    <w:rsid w:val="00691D80"/>
    <w:rsid w:val="006967C0"/>
    <w:rsid w:val="006B2ECE"/>
    <w:rsid w:val="006C0127"/>
    <w:rsid w:val="006D2389"/>
    <w:rsid w:val="006E371A"/>
    <w:rsid w:val="006F0823"/>
    <w:rsid w:val="00711F0E"/>
    <w:rsid w:val="00712154"/>
    <w:rsid w:val="00714C13"/>
    <w:rsid w:val="00720F54"/>
    <w:rsid w:val="00724B26"/>
    <w:rsid w:val="00724BA9"/>
    <w:rsid w:val="00735D9F"/>
    <w:rsid w:val="00736817"/>
    <w:rsid w:val="00766013"/>
    <w:rsid w:val="007667A2"/>
    <w:rsid w:val="007673E7"/>
    <w:rsid w:val="0077018B"/>
    <w:rsid w:val="00774E24"/>
    <w:rsid w:val="007821B4"/>
    <w:rsid w:val="007825BE"/>
    <w:rsid w:val="00782798"/>
    <w:rsid w:val="0078595A"/>
    <w:rsid w:val="007B0279"/>
    <w:rsid w:val="007C0CAE"/>
    <w:rsid w:val="007F4B57"/>
    <w:rsid w:val="00800E2D"/>
    <w:rsid w:val="008019C1"/>
    <w:rsid w:val="0082136B"/>
    <w:rsid w:val="00825C51"/>
    <w:rsid w:val="0083192E"/>
    <w:rsid w:val="008329B4"/>
    <w:rsid w:val="0085639A"/>
    <w:rsid w:val="00863177"/>
    <w:rsid w:val="008633DF"/>
    <w:rsid w:val="00873268"/>
    <w:rsid w:val="00880550"/>
    <w:rsid w:val="00881788"/>
    <w:rsid w:val="008A7DFD"/>
    <w:rsid w:val="008E0BD3"/>
    <w:rsid w:val="008E0F11"/>
    <w:rsid w:val="008E2600"/>
    <w:rsid w:val="008E41CA"/>
    <w:rsid w:val="00910C2D"/>
    <w:rsid w:val="009161DE"/>
    <w:rsid w:val="009420E2"/>
    <w:rsid w:val="00957908"/>
    <w:rsid w:val="0098283B"/>
    <w:rsid w:val="00990522"/>
    <w:rsid w:val="00994DB4"/>
    <w:rsid w:val="009A5188"/>
    <w:rsid w:val="009B44E8"/>
    <w:rsid w:val="009C46C9"/>
    <w:rsid w:val="009D79DA"/>
    <w:rsid w:val="009E2FF1"/>
    <w:rsid w:val="009E532A"/>
    <w:rsid w:val="009F38AC"/>
    <w:rsid w:val="009F5B1F"/>
    <w:rsid w:val="00A255A9"/>
    <w:rsid w:val="00A272DC"/>
    <w:rsid w:val="00A275F0"/>
    <w:rsid w:val="00A3293A"/>
    <w:rsid w:val="00A41623"/>
    <w:rsid w:val="00A4497B"/>
    <w:rsid w:val="00A45040"/>
    <w:rsid w:val="00A504AD"/>
    <w:rsid w:val="00A55B2E"/>
    <w:rsid w:val="00A7028C"/>
    <w:rsid w:val="00A77B3E"/>
    <w:rsid w:val="00A8650F"/>
    <w:rsid w:val="00A90133"/>
    <w:rsid w:val="00AB247F"/>
    <w:rsid w:val="00AB61DE"/>
    <w:rsid w:val="00AC4412"/>
    <w:rsid w:val="00AD2740"/>
    <w:rsid w:val="00B02FC4"/>
    <w:rsid w:val="00B054F6"/>
    <w:rsid w:val="00B17245"/>
    <w:rsid w:val="00B209B6"/>
    <w:rsid w:val="00B26290"/>
    <w:rsid w:val="00B42399"/>
    <w:rsid w:val="00B4245A"/>
    <w:rsid w:val="00B443AD"/>
    <w:rsid w:val="00B44995"/>
    <w:rsid w:val="00B50E96"/>
    <w:rsid w:val="00B5193E"/>
    <w:rsid w:val="00B56DFB"/>
    <w:rsid w:val="00B57911"/>
    <w:rsid w:val="00B63B84"/>
    <w:rsid w:val="00B676A2"/>
    <w:rsid w:val="00B7106F"/>
    <w:rsid w:val="00B71E88"/>
    <w:rsid w:val="00B72786"/>
    <w:rsid w:val="00B801AC"/>
    <w:rsid w:val="00B820A7"/>
    <w:rsid w:val="00B83B51"/>
    <w:rsid w:val="00B8410A"/>
    <w:rsid w:val="00B97027"/>
    <w:rsid w:val="00BB13BB"/>
    <w:rsid w:val="00BE5743"/>
    <w:rsid w:val="00BF74D5"/>
    <w:rsid w:val="00C125B9"/>
    <w:rsid w:val="00C30F6F"/>
    <w:rsid w:val="00C45074"/>
    <w:rsid w:val="00C56AF4"/>
    <w:rsid w:val="00C56E43"/>
    <w:rsid w:val="00C60CEA"/>
    <w:rsid w:val="00C67ABA"/>
    <w:rsid w:val="00C700E8"/>
    <w:rsid w:val="00C72483"/>
    <w:rsid w:val="00CA2A55"/>
    <w:rsid w:val="00CA36DD"/>
    <w:rsid w:val="00CA756B"/>
    <w:rsid w:val="00CB0FA8"/>
    <w:rsid w:val="00CB1A73"/>
    <w:rsid w:val="00CB6A71"/>
    <w:rsid w:val="00CD1FBA"/>
    <w:rsid w:val="00CD55CB"/>
    <w:rsid w:val="00CE306E"/>
    <w:rsid w:val="00CE7E12"/>
    <w:rsid w:val="00CF56A3"/>
    <w:rsid w:val="00D0639E"/>
    <w:rsid w:val="00D11AB7"/>
    <w:rsid w:val="00D17057"/>
    <w:rsid w:val="00D17AEE"/>
    <w:rsid w:val="00D42142"/>
    <w:rsid w:val="00D50F42"/>
    <w:rsid w:val="00D611AA"/>
    <w:rsid w:val="00D64039"/>
    <w:rsid w:val="00D72875"/>
    <w:rsid w:val="00D828BE"/>
    <w:rsid w:val="00D84FF6"/>
    <w:rsid w:val="00D8571D"/>
    <w:rsid w:val="00D937B3"/>
    <w:rsid w:val="00DA0455"/>
    <w:rsid w:val="00DA3F41"/>
    <w:rsid w:val="00DA3F72"/>
    <w:rsid w:val="00DB4020"/>
    <w:rsid w:val="00DB57D8"/>
    <w:rsid w:val="00DB7659"/>
    <w:rsid w:val="00DB7F28"/>
    <w:rsid w:val="00DF46EE"/>
    <w:rsid w:val="00E030A7"/>
    <w:rsid w:val="00E2268B"/>
    <w:rsid w:val="00E30B06"/>
    <w:rsid w:val="00E6034E"/>
    <w:rsid w:val="00E60ACE"/>
    <w:rsid w:val="00E96FF5"/>
    <w:rsid w:val="00EB37B6"/>
    <w:rsid w:val="00EC57A8"/>
    <w:rsid w:val="00EC5E5C"/>
    <w:rsid w:val="00EE225B"/>
    <w:rsid w:val="00EF0FF4"/>
    <w:rsid w:val="00EF15D5"/>
    <w:rsid w:val="00F02563"/>
    <w:rsid w:val="00F20537"/>
    <w:rsid w:val="00F21377"/>
    <w:rsid w:val="00F22386"/>
    <w:rsid w:val="00F26C77"/>
    <w:rsid w:val="00F30896"/>
    <w:rsid w:val="00F5522B"/>
    <w:rsid w:val="00F6321B"/>
    <w:rsid w:val="00F73389"/>
    <w:rsid w:val="00F75D93"/>
    <w:rsid w:val="00F85131"/>
    <w:rsid w:val="00F87641"/>
    <w:rsid w:val="00F87900"/>
    <w:rsid w:val="00F91852"/>
    <w:rsid w:val="00F95BD6"/>
    <w:rsid w:val="00FA052C"/>
    <w:rsid w:val="00FA1D99"/>
    <w:rsid w:val="00FA1FA5"/>
    <w:rsid w:val="00FB088E"/>
    <w:rsid w:val="00FB34AF"/>
    <w:rsid w:val="00FB420E"/>
    <w:rsid w:val="00FC10BC"/>
    <w:rsid w:val="00FC7052"/>
    <w:rsid w:val="00FD66FB"/>
    <w:rsid w:val="00FF0E54"/>
    <w:rsid w:val="00FF52C9"/>
    <w:rsid w:val="03FF5A08"/>
    <w:rsid w:val="1CF47387"/>
    <w:rsid w:val="263D0A98"/>
    <w:rsid w:val="3CBC3E83"/>
    <w:rsid w:val="4C360F71"/>
    <w:rsid w:val="57680E26"/>
    <w:rsid w:val="61F96E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B34E"/>
  <w15:docId w15:val="{18314BDD-4D70-43F9-9FEF-14D868C6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rPr>
      <w:rFonts w:eastAsiaTheme="minorEastAsia"/>
      <w:sz w:val="24"/>
      <w:szCs w:val="24"/>
      <w:lang w:eastAsia="en-US"/>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table" w:customStyle="1" w:styleId="1-31">
    <w:name w:val="网格表 1 浅色 - 着色 31"/>
    <w:basedOn w:val="a1"/>
    <w:uiPriority w:val="46"/>
    <w:rPr>
      <w:rFonts w:asciiTheme="minorHAnsi" w:hAnsiTheme="minorHAnsi" w:cstheme="minorBidi"/>
      <w:sz w:val="24"/>
      <w:szCs w:val="24"/>
    </w:rPr>
    <w:tblPr>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0">
    <w:name w:val="网格型浅色1"/>
    <w:basedOn w:val="a1"/>
    <w:uiPriority w:val="40"/>
    <w:rPr>
      <w:rFonts w:ascii="Calibri" w:eastAsia="Calibri" w:hAnsi="Calibr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ti8gc">
    <w:name w:val="ati8gc"/>
    <w:basedOn w:val="a0"/>
  </w:style>
  <w:style w:type="paragraph" w:customStyle="1" w:styleId="2">
    <w:name w:val="修订2"/>
    <w:hidden/>
    <w:uiPriority w:val="99"/>
    <w:semiHidden/>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FBFCB64C-A20F-463D-BF2C-521CC131D3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28</Pages>
  <Words>5559</Words>
  <Characters>31688</Characters>
  <Application>Microsoft Office Word</Application>
  <DocSecurity>0</DocSecurity>
  <Lines>264</Lines>
  <Paragraphs>74</Paragraphs>
  <ScaleCrop>false</ScaleCrop>
  <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Yanckowitz, Jillian</dc:creator>
  <cp:lastModifiedBy>Wu ruirui</cp:lastModifiedBy>
  <cp:revision>36</cp:revision>
  <dcterms:created xsi:type="dcterms:W3CDTF">2022-02-15T15:38:00Z</dcterms:created>
  <dcterms:modified xsi:type="dcterms:W3CDTF">2022-04-25T13:30:00Z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documentId_4151</vt:lpwstr>
  </property>
  <property fmtid="{D5CDD505-2E9C-101B-9397-08002B2CF9AE}" pid="3" name="grammarly_documentContext">
    <vt:lpwstr>{"goals":[],"domain":"general","emotions":[],"dialect":"american"}</vt:lpwstr>
  </property>
  <property fmtid="{D5CDD505-2E9C-101B-9397-08002B2CF9AE}" pid="4" name="KSOProductBuildVer">
    <vt:lpwstr>2052-11.1.0.11365</vt:lpwstr>
  </property>
  <property fmtid="{D5CDD505-2E9C-101B-9397-08002B2CF9AE}" pid="5" name="ICV">
    <vt:lpwstr>DED095D2AD6248CFB8988617C4F403C3</vt:lpwstr>
  </property>
</Properties>
</file>