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AE" w:rsidRPr="005D78CD" w:rsidRDefault="000B0CAE" w:rsidP="00335D38">
      <w:pPr>
        <w:widowControl w:val="0"/>
        <w:adjustRightInd w:val="0"/>
        <w:snapToGrid w:val="0"/>
        <w:spacing w:line="360" w:lineRule="auto"/>
        <w:jc w:val="both"/>
        <w:rPr>
          <w:rFonts w:ascii="Book Antiqua" w:hAnsi="Book Antiqua"/>
          <w:b/>
          <w:lang w:eastAsia="zh-CN"/>
        </w:rPr>
      </w:pPr>
      <w:bookmarkStart w:id="0" w:name="OLE_LINK19"/>
      <w:bookmarkStart w:id="1" w:name="OLE_LINK20"/>
      <w:bookmarkStart w:id="2" w:name="OLE_LINK28"/>
      <w:bookmarkStart w:id="3" w:name="OLE_LINK29"/>
      <w:r w:rsidRPr="005D78CD">
        <w:rPr>
          <w:rFonts w:ascii="Book Antiqua" w:eastAsia="BatangChe" w:hAnsi="Book Antiqua"/>
          <w:b/>
        </w:rPr>
        <w:t>Name of journal:  World Journal of Gastrointestinal Endoscopy</w:t>
      </w:r>
    </w:p>
    <w:p w:rsidR="000B0CAE" w:rsidRPr="005D78CD" w:rsidRDefault="000B0CAE" w:rsidP="00335D38">
      <w:pPr>
        <w:widowControl w:val="0"/>
        <w:adjustRightInd w:val="0"/>
        <w:snapToGrid w:val="0"/>
        <w:spacing w:line="360" w:lineRule="auto"/>
        <w:jc w:val="both"/>
        <w:rPr>
          <w:rFonts w:ascii="Book Antiqua" w:hAnsi="Book Antiqua"/>
          <w:b/>
          <w:lang w:eastAsia="zh-CN"/>
        </w:rPr>
      </w:pPr>
      <w:r w:rsidRPr="005D78CD">
        <w:rPr>
          <w:rFonts w:ascii="Book Antiqua" w:eastAsia="BatangChe" w:hAnsi="Book Antiqua"/>
          <w:b/>
        </w:rPr>
        <w:t>ESPS Manuscript NO:</w:t>
      </w:r>
      <w:r w:rsidR="005D78CD" w:rsidRPr="00254BC7">
        <w:rPr>
          <w:rFonts w:ascii="Book Antiqua" w:hAnsi="Book Antiqua" w:hint="eastAsia"/>
          <w:b/>
          <w:lang w:eastAsia="zh-CN"/>
        </w:rPr>
        <w:t xml:space="preserve"> </w:t>
      </w:r>
      <w:r w:rsidRPr="005D78CD">
        <w:rPr>
          <w:rFonts w:ascii="Book Antiqua" w:hAnsi="Book Antiqua"/>
          <w:b/>
          <w:lang w:eastAsia="zh-CN"/>
        </w:rPr>
        <w:t>7208</w:t>
      </w:r>
    </w:p>
    <w:p w:rsidR="000B0CAE" w:rsidRPr="005D78CD" w:rsidRDefault="000B0CAE" w:rsidP="00335D38">
      <w:pPr>
        <w:widowControl w:val="0"/>
        <w:adjustRightInd w:val="0"/>
        <w:snapToGrid w:val="0"/>
        <w:spacing w:line="360" w:lineRule="auto"/>
        <w:jc w:val="both"/>
        <w:rPr>
          <w:rFonts w:ascii="Book Antiqua" w:hAnsi="Book Antiqua"/>
          <w:b/>
          <w:lang w:eastAsia="zh-CN"/>
        </w:rPr>
      </w:pPr>
      <w:r w:rsidRPr="005D78CD">
        <w:rPr>
          <w:rFonts w:ascii="Book Antiqua" w:eastAsia="BatangChe" w:hAnsi="Book Antiqua"/>
          <w:b/>
        </w:rPr>
        <w:t>Columns:</w:t>
      </w:r>
      <w:bookmarkEnd w:id="0"/>
      <w:bookmarkEnd w:id="1"/>
      <w:bookmarkEnd w:id="2"/>
      <w:bookmarkEnd w:id="3"/>
      <w:r w:rsidR="005D78CD" w:rsidRPr="00254BC7">
        <w:rPr>
          <w:rFonts w:ascii="Book Antiqua" w:hAnsi="Book Antiqua" w:hint="eastAsia"/>
          <w:b/>
          <w:lang w:eastAsia="zh-CN"/>
        </w:rPr>
        <w:t xml:space="preserve"> </w:t>
      </w:r>
      <w:r w:rsidRPr="005D78CD">
        <w:rPr>
          <w:rFonts w:ascii="Book Antiqua" w:hAnsi="Book Antiqua"/>
          <w:b/>
          <w:lang w:eastAsia="zh-CN"/>
        </w:rPr>
        <w:t>M</w:t>
      </w:r>
      <w:r w:rsidR="005D78CD" w:rsidRPr="005D78CD">
        <w:rPr>
          <w:rFonts w:ascii="Book Antiqua" w:hAnsi="Book Antiqua"/>
          <w:b/>
          <w:lang w:eastAsia="zh-CN"/>
        </w:rPr>
        <w:t>inireview</w:t>
      </w:r>
      <w:r w:rsidR="005D78CD" w:rsidRPr="005D78CD">
        <w:rPr>
          <w:rFonts w:ascii="Book Antiqua" w:hAnsi="Book Antiqua" w:hint="eastAsia"/>
          <w:b/>
          <w:lang w:eastAsia="zh-CN"/>
        </w:rPr>
        <w:t>s</w:t>
      </w:r>
    </w:p>
    <w:p w:rsidR="000B0CAE" w:rsidRPr="005D78CD" w:rsidRDefault="000B0CAE" w:rsidP="00335D38">
      <w:pPr>
        <w:widowControl w:val="0"/>
        <w:adjustRightInd w:val="0"/>
        <w:snapToGrid w:val="0"/>
        <w:spacing w:line="360" w:lineRule="auto"/>
        <w:jc w:val="both"/>
        <w:rPr>
          <w:rFonts w:ascii="Book Antiqua" w:hAnsi="Book Antiqua"/>
          <w:lang w:eastAsia="zh-CN"/>
        </w:rPr>
      </w:pPr>
    </w:p>
    <w:p w:rsidR="000B0CAE" w:rsidRPr="005D78CD" w:rsidRDefault="000B0CAE" w:rsidP="00335D38">
      <w:pPr>
        <w:widowControl w:val="0"/>
        <w:adjustRightInd w:val="0"/>
        <w:snapToGrid w:val="0"/>
        <w:spacing w:line="360" w:lineRule="auto"/>
        <w:jc w:val="both"/>
        <w:rPr>
          <w:rFonts w:ascii="Book Antiqua" w:hAnsi="Book Antiqua"/>
        </w:rPr>
      </w:pPr>
      <w:r w:rsidRPr="005D78CD">
        <w:rPr>
          <w:rFonts w:ascii="Book Antiqua" w:hAnsi="Book Antiqua"/>
        </w:rPr>
        <w:t xml:space="preserve">Update on </w:t>
      </w:r>
      <w:r w:rsidR="005D78CD" w:rsidRPr="005D78CD">
        <w:rPr>
          <w:rFonts w:ascii="Book Antiqua" w:hAnsi="Book Antiqua" w:hint="eastAsia"/>
          <w:lang w:eastAsia="zh-CN"/>
        </w:rPr>
        <w:t>g</w:t>
      </w:r>
      <w:r w:rsidRPr="005D78CD">
        <w:rPr>
          <w:rFonts w:ascii="Book Antiqua" w:hAnsi="Book Antiqua"/>
        </w:rPr>
        <w:t>astric varices</w:t>
      </w:r>
    </w:p>
    <w:p w:rsidR="000B0CAE" w:rsidRDefault="000B0CAE" w:rsidP="00335D38">
      <w:pPr>
        <w:widowControl w:val="0"/>
        <w:adjustRightInd w:val="0"/>
        <w:snapToGrid w:val="0"/>
        <w:spacing w:line="360" w:lineRule="auto"/>
        <w:jc w:val="both"/>
        <w:rPr>
          <w:rFonts w:ascii="Book Antiqua" w:hAnsi="Book Antiqua"/>
          <w:lang w:eastAsia="zh-CN"/>
        </w:rPr>
      </w:pPr>
    </w:p>
    <w:p w:rsidR="005D78CD" w:rsidRPr="005D78CD" w:rsidRDefault="005D78CD" w:rsidP="00335D38">
      <w:pPr>
        <w:widowControl w:val="0"/>
        <w:adjustRightInd w:val="0"/>
        <w:snapToGrid w:val="0"/>
        <w:spacing w:line="360" w:lineRule="auto"/>
        <w:jc w:val="both"/>
        <w:rPr>
          <w:rFonts w:ascii="Book Antiqua" w:hAnsi="Book Antiqua"/>
          <w:lang w:eastAsia="zh-CN"/>
        </w:rPr>
      </w:pPr>
      <w:r w:rsidRPr="005D78CD">
        <w:rPr>
          <w:rFonts w:ascii="Book Antiqua" w:hAnsi="Book Antiqua"/>
        </w:rPr>
        <w:t>Triantafyllou</w:t>
      </w:r>
      <w:r>
        <w:rPr>
          <w:rFonts w:ascii="Book Antiqua" w:hAnsi="Book Antiqua" w:hint="eastAsia"/>
          <w:lang w:eastAsia="zh-CN"/>
        </w:rPr>
        <w:t xml:space="preserve"> M </w:t>
      </w:r>
      <w:r w:rsidRPr="005D78CD">
        <w:rPr>
          <w:rFonts w:ascii="Book Antiqua" w:hAnsi="Book Antiqua" w:hint="eastAsia"/>
          <w:i/>
          <w:lang w:eastAsia="zh-CN"/>
        </w:rPr>
        <w:t>et al</w:t>
      </w:r>
      <w:r>
        <w:rPr>
          <w:rFonts w:ascii="Book Antiqua" w:hAnsi="Book Antiqua" w:hint="eastAsia"/>
          <w:lang w:eastAsia="zh-CN"/>
        </w:rPr>
        <w:t xml:space="preserve">. </w:t>
      </w:r>
      <w:r w:rsidRPr="005D78CD">
        <w:rPr>
          <w:rFonts w:ascii="Book Antiqua" w:hAnsi="Book Antiqua"/>
        </w:rPr>
        <w:t xml:space="preserve">Update on </w:t>
      </w:r>
      <w:r w:rsidRPr="005D78CD">
        <w:rPr>
          <w:rFonts w:ascii="Book Antiqua" w:hAnsi="Book Antiqua" w:hint="eastAsia"/>
          <w:lang w:eastAsia="zh-CN"/>
        </w:rPr>
        <w:t>g</w:t>
      </w:r>
      <w:r w:rsidRPr="005D78CD">
        <w:rPr>
          <w:rFonts w:ascii="Book Antiqua" w:hAnsi="Book Antiqua"/>
        </w:rPr>
        <w:t>astric varices</w:t>
      </w:r>
    </w:p>
    <w:p w:rsidR="005D78CD" w:rsidRPr="005D78CD" w:rsidRDefault="005D78CD" w:rsidP="00335D38">
      <w:pPr>
        <w:widowControl w:val="0"/>
        <w:adjustRightInd w:val="0"/>
        <w:snapToGrid w:val="0"/>
        <w:spacing w:line="360" w:lineRule="auto"/>
        <w:jc w:val="both"/>
        <w:rPr>
          <w:rFonts w:ascii="Book Antiqua" w:hAnsi="Book Antiqua"/>
          <w:lang w:eastAsia="zh-CN"/>
        </w:rPr>
      </w:pPr>
    </w:p>
    <w:p w:rsidR="005D78CD" w:rsidRDefault="000B0CAE" w:rsidP="00335D38">
      <w:pPr>
        <w:widowControl w:val="0"/>
        <w:adjustRightInd w:val="0"/>
        <w:snapToGrid w:val="0"/>
        <w:spacing w:line="360" w:lineRule="auto"/>
        <w:jc w:val="both"/>
        <w:rPr>
          <w:rFonts w:ascii="Book Antiqua" w:hAnsi="Book Antiqua"/>
          <w:lang w:eastAsia="zh-CN"/>
        </w:rPr>
      </w:pPr>
      <w:r w:rsidRPr="005D78CD">
        <w:rPr>
          <w:rFonts w:ascii="Book Antiqua" w:hAnsi="Book Antiqua"/>
        </w:rPr>
        <w:t>Maria Triantafyllou, Adrian J Stanley</w:t>
      </w:r>
    </w:p>
    <w:p w:rsidR="005D78CD" w:rsidRPr="005D78CD" w:rsidRDefault="005D78CD" w:rsidP="00335D38">
      <w:pPr>
        <w:widowControl w:val="0"/>
        <w:adjustRightInd w:val="0"/>
        <w:snapToGrid w:val="0"/>
        <w:spacing w:line="360" w:lineRule="auto"/>
        <w:jc w:val="both"/>
        <w:rPr>
          <w:rFonts w:ascii="Book Antiqua" w:hAnsi="Book Antiqua"/>
          <w:lang w:eastAsia="zh-CN"/>
        </w:rPr>
      </w:pPr>
    </w:p>
    <w:p w:rsidR="005D78CD" w:rsidRPr="005D78CD" w:rsidRDefault="005D78CD" w:rsidP="00335D38">
      <w:pPr>
        <w:widowControl w:val="0"/>
        <w:adjustRightInd w:val="0"/>
        <w:snapToGrid w:val="0"/>
        <w:spacing w:line="360" w:lineRule="auto"/>
        <w:jc w:val="both"/>
        <w:rPr>
          <w:rFonts w:ascii="Book Antiqua" w:hAnsi="Book Antiqua"/>
          <w:lang w:eastAsia="zh-CN"/>
        </w:rPr>
      </w:pPr>
      <w:r w:rsidRPr="005D78CD">
        <w:rPr>
          <w:rFonts w:ascii="Book Antiqua" w:hAnsi="Book Antiqua"/>
          <w:b/>
        </w:rPr>
        <w:t>Maria Triantafyllou, Adrian J Stanley</w:t>
      </w:r>
      <w:r w:rsidRPr="005D78CD">
        <w:rPr>
          <w:rFonts w:ascii="Book Antiqua" w:hAnsi="Book Antiqua" w:hint="eastAsia"/>
          <w:b/>
          <w:lang w:eastAsia="zh-CN"/>
        </w:rPr>
        <w:t>,</w:t>
      </w:r>
      <w:r>
        <w:rPr>
          <w:rFonts w:ascii="Book Antiqua" w:hAnsi="Book Antiqua" w:hint="eastAsia"/>
          <w:lang w:eastAsia="zh-CN"/>
        </w:rPr>
        <w:t xml:space="preserve"> </w:t>
      </w:r>
      <w:r w:rsidR="000B0CAE" w:rsidRPr="005D78CD">
        <w:rPr>
          <w:rFonts w:ascii="Book Antiqua" w:hAnsi="Book Antiqua"/>
        </w:rPr>
        <w:t xml:space="preserve">Department of Gastroenterology, Glasgow Royal Infirmary, Glasgow, </w:t>
      </w:r>
      <w:r w:rsidRPr="005D78CD">
        <w:rPr>
          <w:rFonts w:ascii="Book Antiqua" w:hAnsi="Book Antiqua"/>
        </w:rPr>
        <w:t>G4 OSF</w:t>
      </w:r>
      <w:r>
        <w:rPr>
          <w:rFonts w:ascii="Book Antiqua" w:hAnsi="Book Antiqua" w:hint="eastAsia"/>
          <w:lang w:eastAsia="zh-CN"/>
        </w:rPr>
        <w:t>,</w:t>
      </w:r>
      <w:r w:rsidRPr="005D78CD">
        <w:rPr>
          <w:rFonts w:ascii="Book Antiqua" w:hAnsi="Book Antiqua"/>
        </w:rPr>
        <w:t xml:space="preserve"> </w:t>
      </w:r>
      <w:r w:rsidR="000B0CAE" w:rsidRPr="005D78CD">
        <w:rPr>
          <w:rFonts w:ascii="Book Antiqua" w:hAnsi="Book Antiqua"/>
        </w:rPr>
        <w:t xml:space="preserve">United </w:t>
      </w:r>
      <w:r>
        <w:rPr>
          <w:rFonts w:ascii="Book Antiqua" w:hAnsi="Book Antiqua"/>
        </w:rPr>
        <w:t>Kingdom</w:t>
      </w:r>
      <w:bookmarkStart w:id="4" w:name="OLE_LINK47"/>
      <w:bookmarkStart w:id="5" w:name="OLE_LINK48"/>
    </w:p>
    <w:p w:rsidR="005D78CD" w:rsidRDefault="005D78CD" w:rsidP="00335D38">
      <w:pPr>
        <w:widowControl w:val="0"/>
        <w:adjustRightInd w:val="0"/>
        <w:snapToGrid w:val="0"/>
        <w:spacing w:line="360" w:lineRule="auto"/>
        <w:jc w:val="both"/>
        <w:rPr>
          <w:rFonts w:ascii="Book Antiqua" w:hAnsi="Book Antiqua"/>
          <w:b/>
          <w:lang w:eastAsia="zh-CN"/>
        </w:rPr>
      </w:pPr>
    </w:p>
    <w:p w:rsidR="000B0CAE" w:rsidRPr="005D78CD" w:rsidRDefault="000B0CAE" w:rsidP="00335D38">
      <w:pPr>
        <w:widowControl w:val="0"/>
        <w:adjustRightInd w:val="0"/>
        <w:snapToGrid w:val="0"/>
        <w:spacing w:line="360" w:lineRule="auto"/>
        <w:jc w:val="both"/>
        <w:rPr>
          <w:rFonts w:ascii="Book Antiqua" w:hAnsi="Book Antiqua"/>
          <w:lang w:eastAsia="zh-CN"/>
        </w:rPr>
      </w:pPr>
      <w:r w:rsidRPr="005D78CD">
        <w:rPr>
          <w:rFonts w:ascii="Book Antiqua" w:hAnsi="Book Antiqua"/>
          <w:b/>
        </w:rPr>
        <w:t>Author contributions:</w:t>
      </w:r>
      <w:r w:rsidRPr="005D78CD">
        <w:rPr>
          <w:rFonts w:ascii="Book Antiqua" w:hAnsi="Book Antiqua"/>
        </w:rPr>
        <w:t xml:space="preserve"> Stanley </w:t>
      </w:r>
      <w:r w:rsidR="005D78CD">
        <w:rPr>
          <w:rFonts w:ascii="Book Antiqua" w:hAnsi="Book Antiqua" w:hint="eastAsia"/>
          <w:lang w:eastAsia="zh-CN"/>
        </w:rPr>
        <w:t xml:space="preserve">AJ </w:t>
      </w:r>
      <w:r w:rsidRPr="005D78CD">
        <w:rPr>
          <w:rFonts w:ascii="Book Antiqua" w:hAnsi="Book Antiqua"/>
        </w:rPr>
        <w:t>designed the paper</w:t>
      </w:r>
      <w:r w:rsidR="005D78CD">
        <w:rPr>
          <w:rFonts w:ascii="Book Antiqua" w:hAnsi="Book Antiqua" w:hint="eastAsia"/>
          <w:lang w:eastAsia="zh-CN"/>
        </w:rPr>
        <w:t>;</w:t>
      </w:r>
      <w:r w:rsidRPr="005D78CD">
        <w:rPr>
          <w:rFonts w:ascii="Book Antiqua" w:hAnsi="Book Antiqua"/>
        </w:rPr>
        <w:t xml:space="preserve"> Stanley </w:t>
      </w:r>
      <w:r w:rsidR="005D78CD">
        <w:rPr>
          <w:rFonts w:ascii="Book Antiqua" w:hAnsi="Book Antiqua" w:hint="eastAsia"/>
          <w:lang w:eastAsia="zh-CN"/>
        </w:rPr>
        <w:t xml:space="preserve">AJ </w:t>
      </w:r>
      <w:r w:rsidRPr="005D78CD">
        <w:rPr>
          <w:rFonts w:ascii="Book Antiqua" w:hAnsi="Book Antiqua"/>
        </w:rPr>
        <w:t xml:space="preserve">and Triantafyllou </w:t>
      </w:r>
      <w:r w:rsidR="005D78CD">
        <w:rPr>
          <w:rFonts w:ascii="Book Antiqua" w:hAnsi="Book Antiqua" w:hint="eastAsia"/>
          <w:lang w:eastAsia="zh-CN"/>
        </w:rPr>
        <w:t xml:space="preserve">M </w:t>
      </w:r>
      <w:r w:rsidRPr="005D78CD">
        <w:rPr>
          <w:rFonts w:ascii="Book Antiqua" w:hAnsi="Book Antiqua"/>
        </w:rPr>
        <w:t>wrote the manuscript and both approved the final copy</w:t>
      </w:r>
      <w:r w:rsidR="005D78CD">
        <w:rPr>
          <w:rFonts w:ascii="Book Antiqua" w:hAnsi="Book Antiqua" w:hint="eastAsia"/>
          <w:lang w:eastAsia="zh-CN"/>
        </w:rPr>
        <w:t>.</w:t>
      </w:r>
    </w:p>
    <w:bookmarkEnd w:id="4"/>
    <w:bookmarkEnd w:id="5"/>
    <w:p w:rsidR="000B0CAE" w:rsidRPr="005D78CD" w:rsidRDefault="000B0CAE" w:rsidP="00335D38">
      <w:pPr>
        <w:widowControl w:val="0"/>
        <w:adjustRightInd w:val="0"/>
        <w:snapToGrid w:val="0"/>
        <w:spacing w:line="360" w:lineRule="auto"/>
        <w:jc w:val="both"/>
        <w:rPr>
          <w:rFonts w:ascii="Book Antiqua" w:hAnsi="Book Antiqua"/>
        </w:rPr>
      </w:pPr>
    </w:p>
    <w:p w:rsidR="005D78CD" w:rsidRDefault="005D78CD" w:rsidP="00335D38">
      <w:pPr>
        <w:widowControl w:val="0"/>
        <w:adjustRightInd w:val="0"/>
        <w:snapToGrid w:val="0"/>
        <w:spacing w:line="360" w:lineRule="auto"/>
        <w:jc w:val="both"/>
        <w:rPr>
          <w:rFonts w:ascii="Book Antiqua" w:hAnsi="Book Antiqua"/>
        </w:rPr>
      </w:pPr>
      <w:r w:rsidRPr="007350B6">
        <w:rPr>
          <w:rFonts w:ascii="Book Antiqua" w:eastAsia="Times New Roman" w:hAnsi="Book Antiqua" w:cs="Gulim"/>
          <w:b/>
          <w:color w:val="000000"/>
        </w:rPr>
        <w:t>Correspondence to</w:t>
      </w:r>
      <w:r w:rsidRPr="007350B6">
        <w:rPr>
          <w:rFonts w:ascii="Book Antiqua" w:eastAsia="Times New Roman" w:hAnsi="Book Antiqua" w:cs="Gulim"/>
          <w:b/>
          <w:bCs/>
          <w:color w:val="000000"/>
        </w:rPr>
        <w:t>:</w:t>
      </w:r>
      <w:r w:rsidRPr="00254BC7">
        <w:rPr>
          <w:rFonts w:ascii="Book Antiqua" w:hAnsi="Book Antiqua" w:cs="Gulim" w:hint="eastAsia"/>
          <w:b/>
          <w:bCs/>
          <w:color w:val="000000"/>
          <w:lang w:eastAsia="zh-CN"/>
        </w:rPr>
        <w:t xml:space="preserve"> </w:t>
      </w:r>
      <w:r w:rsidR="000B0CAE" w:rsidRPr="005D78CD">
        <w:rPr>
          <w:rFonts w:ascii="Book Antiqua" w:hAnsi="Book Antiqua"/>
          <w:b/>
        </w:rPr>
        <w:t>Dr</w:t>
      </w:r>
      <w:r w:rsidRPr="005D78CD">
        <w:rPr>
          <w:rFonts w:ascii="Book Antiqua" w:hAnsi="Book Antiqua" w:hint="eastAsia"/>
          <w:b/>
          <w:lang w:eastAsia="zh-CN"/>
        </w:rPr>
        <w:t>.</w:t>
      </w:r>
      <w:r w:rsidR="000B0CAE" w:rsidRPr="005D78CD">
        <w:rPr>
          <w:rFonts w:ascii="Book Antiqua" w:hAnsi="Book Antiqua"/>
          <w:b/>
        </w:rPr>
        <w:t xml:space="preserve"> Adrian </w:t>
      </w:r>
      <w:r w:rsidRPr="005D78CD">
        <w:rPr>
          <w:rFonts w:ascii="Book Antiqua" w:hAnsi="Book Antiqua" w:hint="eastAsia"/>
          <w:b/>
          <w:lang w:eastAsia="zh-CN"/>
        </w:rPr>
        <w:t xml:space="preserve">J </w:t>
      </w:r>
      <w:r w:rsidR="000B0CAE" w:rsidRPr="005D78CD">
        <w:rPr>
          <w:rFonts w:ascii="Book Antiqua" w:hAnsi="Book Antiqua"/>
          <w:b/>
        </w:rPr>
        <w:t xml:space="preserve">Stanley, </w:t>
      </w:r>
      <w:r w:rsidRPr="005D78CD">
        <w:rPr>
          <w:rFonts w:ascii="Book Antiqua" w:hAnsi="Book Antiqua"/>
        </w:rPr>
        <w:t>Department of Gastroenterology,</w:t>
      </w:r>
      <w:r>
        <w:rPr>
          <w:rFonts w:ascii="Book Antiqua" w:hAnsi="Book Antiqua" w:hint="eastAsia"/>
          <w:lang w:eastAsia="zh-CN"/>
        </w:rPr>
        <w:t xml:space="preserve"> </w:t>
      </w:r>
      <w:r w:rsidR="000B0CAE" w:rsidRPr="005D78CD">
        <w:rPr>
          <w:rFonts w:ascii="Book Antiqua" w:hAnsi="Book Antiqua"/>
        </w:rPr>
        <w:t xml:space="preserve">Glasgow Royal Infirmary, 84 Castle Street, Glasgow, G4OSF, United Kingdom. </w:t>
      </w:r>
      <w:r w:rsidRPr="005D78CD">
        <w:rPr>
          <w:rFonts w:ascii="Book Antiqua" w:hAnsi="Book Antiqua"/>
        </w:rPr>
        <w:t>adrian.stanley@ggc.scot.nhs.uk</w:t>
      </w:r>
    </w:p>
    <w:p w:rsidR="005D78CD" w:rsidRDefault="005D78CD" w:rsidP="00335D38">
      <w:pPr>
        <w:widowControl w:val="0"/>
        <w:adjustRightInd w:val="0"/>
        <w:snapToGrid w:val="0"/>
        <w:spacing w:line="360" w:lineRule="auto"/>
        <w:jc w:val="both"/>
        <w:rPr>
          <w:rFonts w:ascii="Book Antiqua" w:hAnsi="Book Antiqua"/>
          <w:lang w:eastAsia="zh-CN"/>
        </w:rPr>
      </w:pPr>
    </w:p>
    <w:p w:rsidR="005D78CD" w:rsidRDefault="005D78CD" w:rsidP="00335D38">
      <w:pPr>
        <w:widowControl w:val="0"/>
        <w:adjustRightInd w:val="0"/>
        <w:snapToGrid w:val="0"/>
        <w:spacing w:line="360" w:lineRule="auto"/>
        <w:jc w:val="both"/>
        <w:rPr>
          <w:rFonts w:ascii="Book Antiqua" w:hAnsi="Book Antiqua"/>
          <w:lang w:eastAsia="zh-CN"/>
        </w:rPr>
      </w:pPr>
      <w:r w:rsidRPr="007350B6">
        <w:rPr>
          <w:rFonts w:ascii="Book Antiqua" w:hAnsi="Book Antiqua"/>
          <w:b/>
          <w:bCs/>
          <w:color w:val="000000"/>
        </w:rPr>
        <w:t>Telephone:</w:t>
      </w:r>
      <w:r>
        <w:rPr>
          <w:rFonts w:ascii="Book Antiqua" w:hAnsi="Book Antiqua" w:hint="eastAsia"/>
          <w:color w:val="000000"/>
        </w:rPr>
        <w:t xml:space="preserve"> </w:t>
      </w:r>
      <w:r>
        <w:rPr>
          <w:rFonts w:ascii="Book Antiqua" w:hAnsi="Book Antiqua" w:hint="eastAsia"/>
          <w:color w:val="000000"/>
          <w:lang w:eastAsia="zh-CN"/>
        </w:rPr>
        <w:t>+44-</w:t>
      </w:r>
      <w:r>
        <w:rPr>
          <w:rFonts w:ascii="Book Antiqua" w:hAnsi="Book Antiqua"/>
        </w:rPr>
        <w:t>141</w:t>
      </w:r>
      <w:r>
        <w:rPr>
          <w:rFonts w:ascii="Book Antiqua" w:hAnsi="Book Antiqua" w:hint="eastAsia"/>
          <w:lang w:eastAsia="zh-CN"/>
        </w:rPr>
        <w:t>-</w:t>
      </w:r>
      <w:r>
        <w:rPr>
          <w:rFonts w:ascii="Book Antiqua" w:hAnsi="Book Antiqua"/>
        </w:rPr>
        <w:t>211</w:t>
      </w:r>
      <w:r w:rsidRPr="005D78CD">
        <w:rPr>
          <w:rFonts w:ascii="Book Antiqua" w:hAnsi="Book Antiqua"/>
        </w:rPr>
        <w:t>4073</w:t>
      </w:r>
      <w:r w:rsidRPr="005D78CD">
        <w:rPr>
          <w:rFonts w:ascii="Book Antiqua" w:hAnsi="Book Antiqua" w:hint="eastAsia"/>
          <w:b/>
          <w:lang w:eastAsia="zh-CN"/>
        </w:rPr>
        <w:t xml:space="preserve"> </w:t>
      </w:r>
      <w:r w:rsidRPr="005D78CD">
        <w:rPr>
          <w:rFonts w:ascii="Book Antiqua" w:hAnsi="Book Antiqua"/>
          <w:b/>
        </w:rPr>
        <w:t xml:space="preserve">Fax: </w:t>
      </w:r>
      <w:r>
        <w:rPr>
          <w:rFonts w:ascii="Book Antiqua" w:hAnsi="Book Antiqua" w:hint="eastAsia"/>
          <w:lang w:eastAsia="zh-CN"/>
        </w:rPr>
        <w:t>+44-</w:t>
      </w:r>
      <w:r>
        <w:rPr>
          <w:rFonts w:ascii="Book Antiqua" w:hAnsi="Book Antiqua"/>
        </w:rPr>
        <w:t>141</w:t>
      </w:r>
      <w:r>
        <w:rPr>
          <w:rFonts w:ascii="Book Antiqua" w:hAnsi="Book Antiqua" w:hint="eastAsia"/>
          <w:lang w:eastAsia="zh-CN"/>
        </w:rPr>
        <w:t>-</w:t>
      </w:r>
      <w:r>
        <w:rPr>
          <w:rFonts w:ascii="Book Antiqua" w:hAnsi="Book Antiqua"/>
        </w:rPr>
        <w:t>211</w:t>
      </w:r>
      <w:r w:rsidRPr="005D78CD">
        <w:rPr>
          <w:rFonts w:ascii="Book Antiqua" w:hAnsi="Book Antiqua"/>
        </w:rPr>
        <w:t>5131</w:t>
      </w:r>
    </w:p>
    <w:p w:rsidR="005D78CD" w:rsidRDefault="005D78CD" w:rsidP="00335D38">
      <w:pPr>
        <w:widowControl w:val="0"/>
        <w:adjustRightInd w:val="0"/>
        <w:snapToGrid w:val="0"/>
        <w:spacing w:line="360" w:lineRule="auto"/>
        <w:jc w:val="both"/>
        <w:rPr>
          <w:rFonts w:ascii="Book Antiqua" w:hAnsi="Book Antiqua"/>
          <w:lang w:eastAsia="zh-CN"/>
        </w:rPr>
      </w:pPr>
    </w:p>
    <w:p w:rsidR="005D78CD" w:rsidRPr="005D78CD" w:rsidRDefault="005D78CD" w:rsidP="00335D38">
      <w:pPr>
        <w:widowControl w:val="0"/>
        <w:adjustRightInd w:val="0"/>
        <w:snapToGrid w:val="0"/>
        <w:spacing w:line="360" w:lineRule="auto"/>
        <w:rPr>
          <w:rFonts w:ascii="Book Antiqua" w:hAnsi="Book Antiqua"/>
          <w:color w:val="000000"/>
        </w:rPr>
      </w:pPr>
      <w:r w:rsidRPr="007350B6">
        <w:rPr>
          <w:rFonts w:ascii="Book Antiqua" w:hAnsi="Book Antiqua"/>
          <w:b/>
          <w:color w:val="000000"/>
        </w:rPr>
        <w:t xml:space="preserve">Received: </w:t>
      </w:r>
      <w:r w:rsidRPr="005D78CD">
        <w:rPr>
          <w:rFonts w:ascii="Book Antiqua" w:hAnsi="Book Antiqua" w:hint="eastAsia"/>
          <w:color w:val="000000"/>
          <w:lang w:eastAsia="zh-CN"/>
        </w:rPr>
        <w:t>November 8, 2013</w:t>
      </w:r>
      <w:r>
        <w:rPr>
          <w:rFonts w:ascii="Book Antiqua" w:hAnsi="Book Antiqua"/>
          <w:b/>
          <w:color w:val="000000"/>
        </w:rPr>
        <w:t xml:space="preserve"> Revised: </w:t>
      </w:r>
      <w:r w:rsidRPr="005D78CD">
        <w:rPr>
          <w:rFonts w:ascii="Book Antiqua" w:hAnsi="Book Antiqua" w:hint="eastAsia"/>
          <w:color w:val="000000"/>
          <w:lang w:eastAsia="zh-CN"/>
        </w:rPr>
        <w:t>April 3, 2014</w:t>
      </w:r>
      <w:r w:rsidRPr="005D78CD">
        <w:rPr>
          <w:rFonts w:ascii="Book Antiqua" w:hAnsi="Book Antiqua"/>
          <w:color w:val="000000"/>
        </w:rPr>
        <w:t xml:space="preserve"> </w:t>
      </w:r>
    </w:p>
    <w:p w:rsidR="00981F76" w:rsidRPr="00D65D8F" w:rsidRDefault="005D78CD" w:rsidP="00981F76">
      <w:pPr>
        <w:rPr>
          <w:rFonts w:ascii="Book Antiqua" w:hAnsi="Book Antiqua"/>
        </w:rPr>
      </w:pPr>
      <w:r w:rsidRPr="007350B6">
        <w:rPr>
          <w:rFonts w:ascii="Book Antiqua" w:hAnsi="Book Antiqua"/>
          <w:b/>
          <w:color w:val="000000"/>
        </w:rPr>
        <w:t xml:space="preserve">Accepted: </w:t>
      </w:r>
      <w:bookmarkStart w:id="6" w:name="OLE_LINK1"/>
      <w:bookmarkStart w:id="7" w:name="OLE_LINK2"/>
      <w:r w:rsidR="00981F76" w:rsidRPr="00D65D8F">
        <w:rPr>
          <w:rFonts w:ascii="Book Antiqua" w:hAnsi="Book Antiqua"/>
        </w:rPr>
        <w:t>April 16, 2014</w:t>
      </w:r>
      <w:bookmarkEnd w:id="6"/>
      <w:bookmarkEnd w:id="7"/>
    </w:p>
    <w:p w:rsidR="005D78CD" w:rsidRPr="007350B6" w:rsidRDefault="005D78CD" w:rsidP="00335D38">
      <w:pPr>
        <w:widowControl w:val="0"/>
        <w:adjustRightInd w:val="0"/>
        <w:snapToGrid w:val="0"/>
        <w:spacing w:line="360" w:lineRule="auto"/>
        <w:rPr>
          <w:rFonts w:ascii="Book Antiqua" w:hAnsi="Book Antiqua"/>
          <w:b/>
          <w:color w:val="000000"/>
        </w:rPr>
      </w:pPr>
      <w:bookmarkStart w:id="8" w:name="_GoBack"/>
      <w:bookmarkEnd w:id="8"/>
      <w:r w:rsidRPr="007350B6">
        <w:rPr>
          <w:rFonts w:ascii="Book Antiqua" w:hAnsi="Book Antiqua"/>
          <w:b/>
          <w:color w:val="000000"/>
        </w:rPr>
        <w:t xml:space="preserve">                          </w:t>
      </w:r>
    </w:p>
    <w:p w:rsidR="005D78CD" w:rsidRPr="007350B6" w:rsidRDefault="005D78CD" w:rsidP="00335D38">
      <w:pPr>
        <w:widowControl w:val="0"/>
        <w:adjustRightInd w:val="0"/>
        <w:snapToGrid w:val="0"/>
        <w:spacing w:line="360" w:lineRule="auto"/>
        <w:rPr>
          <w:rFonts w:ascii="Book Antiqua" w:hAnsi="Book Antiqua"/>
          <w:b/>
          <w:color w:val="000000"/>
          <w:lang w:val="en-GB"/>
        </w:rPr>
      </w:pPr>
      <w:r w:rsidRPr="007350B6">
        <w:rPr>
          <w:rFonts w:ascii="Book Antiqua" w:hAnsi="Book Antiqua"/>
          <w:b/>
          <w:color w:val="000000"/>
          <w:lang w:val="en-GB"/>
        </w:rPr>
        <w:t xml:space="preserve">Published online: </w:t>
      </w:r>
    </w:p>
    <w:p w:rsidR="005D78CD" w:rsidRPr="005D78CD" w:rsidRDefault="005D78CD" w:rsidP="00335D38">
      <w:pPr>
        <w:widowControl w:val="0"/>
        <w:adjustRightInd w:val="0"/>
        <w:snapToGrid w:val="0"/>
        <w:spacing w:line="360" w:lineRule="auto"/>
        <w:jc w:val="both"/>
        <w:rPr>
          <w:rFonts w:ascii="Book Antiqua" w:hAnsi="Book Antiqua"/>
          <w:lang w:val="en-GB" w:eastAsia="zh-CN"/>
        </w:rPr>
      </w:pPr>
    </w:p>
    <w:p w:rsidR="000B0CAE" w:rsidRPr="005D78CD" w:rsidRDefault="000B0CAE" w:rsidP="00335D38">
      <w:pPr>
        <w:widowControl w:val="0"/>
        <w:adjustRightInd w:val="0"/>
        <w:snapToGrid w:val="0"/>
        <w:spacing w:line="360" w:lineRule="auto"/>
        <w:jc w:val="both"/>
        <w:rPr>
          <w:rFonts w:ascii="Book Antiqua" w:hAnsi="Book Antiqua"/>
          <w:b/>
          <w:lang w:eastAsia="zh-CN"/>
        </w:rPr>
      </w:pPr>
      <w:r w:rsidRPr="005D78CD">
        <w:rPr>
          <w:rFonts w:ascii="Book Antiqua" w:hAnsi="Book Antiqua"/>
          <w:b/>
        </w:rPr>
        <w:t>Abstract</w:t>
      </w:r>
    </w:p>
    <w:p w:rsidR="000B0CAE" w:rsidRPr="005D78CD" w:rsidRDefault="000B0CAE" w:rsidP="00335D38">
      <w:pPr>
        <w:widowControl w:val="0"/>
        <w:adjustRightInd w:val="0"/>
        <w:snapToGrid w:val="0"/>
        <w:spacing w:line="360" w:lineRule="auto"/>
        <w:jc w:val="both"/>
        <w:rPr>
          <w:rFonts w:ascii="Book Antiqua" w:hAnsi="Book Antiqua"/>
        </w:rPr>
      </w:pPr>
      <w:r w:rsidRPr="005D78CD">
        <w:rPr>
          <w:rFonts w:ascii="Book Antiqua" w:hAnsi="Book Antiqua"/>
        </w:rPr>
        <w:t xml:space="preserve">Although less common than oesophageal variceal haemorrhage, gastric variceal bleeding remains a serious complication of portal hypertension, with a high associated mortality. In this review we provide an update on the aetiology, classification and management of gastric varices, including acute </w:t>
      </w:r>
      <w:r w:rsidRPr="005D78CD">
        <w:rPr>
          <w:rFonts w:ascii="Book Antiqua" w:hAnsi="Book Antiqua"/>
        </w:rPr>
        <w:lastRenderedPageBreak/>
        <w:t>bleeding, prevention of rebleeding and primary prophylaxis. We describe the optimum management strategies for gastric varices including drug, endoscopic and radiological therapies, focusing on recent published evidence.</w:t>
      </w:r>
    </w:p>
    <w:p w:rsidR="005D78CD" w:rsidRDefault="005D78CD" w:rsidP="00335D38">
      <w:pPr>
        <w:widowControl w:val="0"/>
        <w:adjustRightInd w:val="0"/>
        <w:snapToGrid w:val="0"/>
        <w:spacing w:line="360" w:lineRule="auto"/>
        <w:jc w:val="both"/>
        <w:rPr>
          <w:rFonts w:ascii="Book Antiqua" w:hAnsi="Book Antiqua" w:cs="Tahoma"/>
          <w:lang w:eastAsia="zh-CN"/>
        </w:rPr>
      </w:pPr>
    </w:p>
    <w:p w:rsidR="000B0CAE" w:rsidRPr="005D78CD" w:rsidRDefault="005D78CD" w:rsidP="00335D38">
      <w:pPr>
        <w:widowControl w:val="0"/>
        <w:adjustRightInd w:val="0"/>
        <w:snapToGrid w:val="0"/>
        <w:spacing w:line="360" w:lineRule="auto"/>
        <w:jc w:val="both"/>
        <w:rPr>
          <w:rFonts w:ascii="Book Antiqua" w:hAnsi="Book Antiqua"/>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Baishideng Publishing Group Co., Limited. All rights</w:t>
      </w:r>
      <w:r>
        <w:rPr>
          <w:rFonts w:ascii="Book Antiqua" w:hAnsi="Book Antiqua" w:cs="Tahoma"/>
        </w:rPr>
        <w:t xml:space="preserve"> </w:t>
      </w:r>
      <w:r>
        <w:rPr>
          <w:rFonts w:ascii="Book Antiqua" w:hAnsi="Book Antiqua" w:cs="Tahoma"/>
          <w:lang w:eastAsia="ja-JP"/>
        </w:rPr>
        <w:t>reserved.</w:t>
      </w:r>
    </w:p>
    <w:p w:rsidR="005D78CD" w:rsidRDefault="005D78CD" w:rsidP="00335D38">
      <w:pPr>
        <w:widowControl w:val="0"/>
        <w:adjustRightInd w:val="0"/>
        <w:snapToGrid w:val="0"/>
        <w:spacing w:line="360" w:lineRule="auto"/>
        <w:jc w:val="both"/>
        <w:rPr>
          <w:rFonts w:ascii="Book Antiqua" w:eastAsia="Arial Unicode MS" w:hAnsi="Book Antiqua" w:cs="Arial Unicode MS"/>
          <w:b/>
          <w:lang w:eastAsia="zh-CN"/>
        </w:rPr>
      </w:pPr>
    </w:p>
    <w:p w:rsidR="000B0CAE" w:rsidRPr="005D78CD" w:rsidRDefault="000B0CAE" w:rsidP="00335D38">
      <w:pPr>
        <w:widowControl w:val="0"/>
        <w:adjustRightInd w:val="0"/>
        <w:snapToGrid w:val="0"/>
        <w:spacing w:line="360" w:lineRule="auto"/>
        <w:jc w:val="both"/>
        <w:rPr>
          <w:rFonts w:ascii="Book Antiqua" w:eastAsia="Arial Unicode MS" w:hAnsi="Book Antiqua" w:cs="Arial Unicode MS"/>
        </w:rPr>
      </w:pPr>
      <w:r w:rsidRPr="005D78CD">
        <w:rPr>
          <w:rFonts w:ascii="Book Antiqua" w:eastAsia="Arial Unicode MS" w:hAnsi="Book Antiqua" w:cs="Arial Unicode MS"/>
          <w:b/>
        </w:rPr>
        <w:t xml:space="preserve">Key words: </w:t>
      </w:r>
      <w:r w:rsidR="005D78CD" w:rsidRPr="005D78CD">
        <w:rPr>
          <w:rFonts w:ascii="Book Antiqua" w:eastAsia="Arial Unicode MS" w:hAnsi="Book Antiqua" w:cs="Arial Unicode MS"/>
        </w:rPr>
        <w:t>V</w:t>
      </w:r>
      <w:r w:rsidRPr="005D78CD">
        <w:rPr>
          <w:rFonts w:ascii="Book Antiqua" w:eastAsia="Arial Unicode MS" w:hAnsi="Book Antiqua" w:cs="Arial Unicode MS"/>
        </w:rPr>
        <w:t xml:space="preserve">arices; </w:t>
      </w:r>
      <w:r w:rsidR="005D78CD" w:rsidRPr="005D78CD">
        <w:rPr>
          <w:rFonts w:ascii="Book Antiqua" w:eastAsia="Arial Unicode MS" w:hAnsi="Book Antiqua" w:cs="Arial Unicode MS"/>
        </w:rPr>
        <w:t>G</w:t>
      </w:r>
      <w:r w:rsidRPr="005D78CD">
        <w:rPr>
          <w:rFonts w:ascii="Book Antiqua" w:eastAsia="Arial Unicode MS" w:hAnsi="Book Antiqua" w:cs="Arial Unicode MS"/>
        </w:rPr>
        <w:t xml:space="preserve">astric; </w:t>
      </w:r>
      <w:r w:rsidR="005D78CD" w:rsidRPr="005D78CD">
        <w:rPr>
          <w:rFonts w:ascii="Book Antiqua" w:eastAsia="Arial Unicode MS" w:hAnsi="Book Antiqua" w:cs="Arial Unicode MS"/>
        </w:rPr>
        <w:t>P</w:t>
      </w:r>
      <w:r w:rsidRPr="005D78CD">
        <w:rPr>
          <w:rFonts w:ascii="Book Antiqua" w:eastAsia="Arial Unicode MS" w:hAnsi="Book Antiqua" w:cs="Arial Unicode MS"/>
        </w:rPr>
        <w:t xml:space="preserve">ortal hypertension; </w:t>
      </w:r>
      <w:r w:rsidR="005D78CD" w:rsidRPr="005D78CD">
        <w:rPr>
          <w:rFonts w:ascii="Book Antiqua" w:eastAsia="Arial Unicode MS" w:hAnsi="Book Antiqua" w:cs="Arial Unicode MS"/>
        </w:rPr>
        <w:t>T</w:t>
      </w:r>
      <w:r w:rsidRPr="005D78CD">
        <w:rPr>
          <w:rFonts w:ascii="Book Antiqua" w:eastAsia="Arial Unicode MS" w:hAnsi="Book Antiqua" w:cs="Arial Unicode MS"/>
        </w:rPr>
        <w:t xml:space="preserve">issue glue; </w:t>
      </w:r>
      <w:r w:rsidR="005D78CD" w:rsidRPr="005D78CD">
        <w:rPr>
          <w:rFonts w:ascii="Book Antiqua" w:hAnsi="Book Antiqua"/>
        </w:rPr>
        <w:t>Transjugular intrahepatic portosystemic shunt</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rPr>
      </w:pPr>
      <w:bookmarkStart w:id="9" w:name="OLE_LINK103"/>
      <w:bookmarkStart w:id="10" w:name="OLE_LINK104"/>
      <w:bookmarkStart w:id="11" w:name="OLE_LINK30"/>
      <w:bookmarkStart w:id="12" w:name="OLE_LINK31"/>
      <w:bookmarkStart w:id="13" w:name="OLE_LINK119"/>
      <w:r w:rsidRPr="005D78CD">
        <w:rPr>
          <w:rFonts w:ascii="Book Antiqua" w:hAnsi="Book Antiqua"/>
          <w:b/>
        </w:rPr>
        <w:t>Core tip:</w:t>
      </w:r>
      <w:bookmarkEnd w:id="9"/>
      <w:bookmarkEnd w:id="10"/>
      <w:r w:rsidR="005D78CD">
        <w:rPr>
          <w:rFonts w:ascii="Book Antiqua" w:hAnsi="Book Antiqua" w:hint="eastAsia"/>
          <w:b/>
          <w:lang w:eastAsia="zh-CN"/>
        </w:rPr>
        <w:t xml:space="preserve"> </w:t>
      </w:r>
      <w:r w:rsidRPr="005D78CD">
        <w:rPr>
          <w:rFonts w:ascii="Book Antiqua" w:hAnsi="Book Antiqua"/>
        </w:rPr>
        <w:t>Endoscopic injection of cyanoacrylate is currently the optimum, evidenced based approach to control active bleeding from gastric varices, apart from bleeding from GOV-1 which can be treat</w:t>
      </w:r>
      <w:r w:rsidR="00335D38">
        <w:rPr>
          <w:rFonts w:ascii="Book Antiqua" w:hAnsi="Book Antiqua"/>
        </w:rPr>
        <w:t>ed with variceal band ligation.</w:t>
      </w:r>
      <w:r w:rsidR="00335D38">
        <w:rPr>
          <w:rFonts w:ascii="Book Antiqua" w:hAnsi="Book Antiqua" w:hint="eastAsia"/>
          <w:lang w:eastAsia="zh-CN"/>
        </w:rPr>
        <w:t xml:space="preserve"> </w:t>
      </w:r>
      <w:r w:rsidR="00335D38" w:rsidRPr="005D78CD">
        <w:rPr>
          <w:rFonts w:ascii="Book Antiqua" w:hAnsi="Book Antiqua"/>
        </w:rPr>
        <w:t>Transjugular intrahepatic portosystemic shunt</w:t>
      </w:r>
      <w:r w:rsidRPr="005D78CD">
        <w:rPr>
          <w:rFonts w:ascii="Book Antiqua" w:hAnsi="Book Antiqua"/>
        </w:rPr>
        <w:t xml:space="preserve"> (or </w:t>
      </w:r>
      <w:r w:rsidR="00335D38">
        <w:rPr>
          <w:rFonts w:ascii="Book Antiqua" w:hAnsi="Book Antiqua" w:hint="eastAsia"/>
          <w:lang w:eastAsia="zh-CN"/>
        </w:rPr>
        <w:t>b</w:t>
      </w:r>
      <w:r w:rsidR="00335D38" w:rsidRPr="00335D38">
        <w:rPr>
          <w:rFonts w:ascii="Book Antiqua" w:hAnsi="Book Antiqua"/>
        </w:rPr>
        <w:t>alloon-occluded retrograde transvenous obliteration</w:t>
      </w:r>
      <w:r w:rsidRPr="005D78CD">
        <w:rPr>
          <w:rFonts w:ascii="Book Antiqua" w:hAnsi="Book Antiqua"/>
        </w:rPr>
        <w:t xml:space="preserve"> in experienced units) can be effective for ongoing bleeding. Cyanoacrylate or TIPS can prevent rebleeding from GOV-2 or </w:t>
      </w:r>
      <w:r w:rsidR="00335D38" w:rsidRPr="005D78CD">
        <w:rPr>
          <w:rFonts w:ascii="Book Antiqua" w:hAnsi="Book Antiqua"/>
        </w:rPr>
        <w:t>isolated gastric varice</w:t>
      </w:r>
      <w:r w:rsidRPr="005D78CD">
        <w:rPr>
          <w:rFonts w:ascii="Book Antiqua" w:hAnsi="Book Antiqua"/>
        </w:rPr>
        <w:t xml:space="preserve">, although variceal band ligation, cyanoacrylate or </w:t>
      </w:r>
      <w:r w:rsidRPr="005D78CD">
        <w:rPr>
          <w:rFonts w:ascii="Book Antiqua" w:hAnsi="Book Antiqua"/>
          <w:lang w:val="el-GR"/>
        </w:rPr>
        <w:t>β</w:t>
      </w:r>
      <w:r w:rsidRPr="005D78CD">
        <w:rPr>
          <w:rFonts w:ascii="Book Antiqua" w:hAnsi="Book Antiqua"/>
        </w:rPr>
        <w:t xml:space="preserve">-blockers can be used after bleeding from GOV-1. Non-selective </w:t>
      </w:r>
      <w:r w:rsidRPr="005D78CD">
        <w:rPr>
          <w:rFonts w:ascii="Book Antiqua" w:hAnsi="Book Antiqua"/>
          <w:lang w:val="el-GR"/>
        </w:rPr>
        <w:t>β</w:t>
      </w:r>
      <w:r w:rsidRPr="005D78CD">
        <w:rPr>
          <w:rFonts w:ascii="Book Antiqua" w:hAnsi="Book Antiqua"/>
        </w:rPr>
        <w:t>-blockers or cyanoacrylate may be used as primary prophylaxis in patients with known gastric varices, with the choice dependent on clinical and endoscopic findings.</w:t>
      </w:r>
    </w:p>
    <w:bookmarkEnd w:id="11"/>
    <w:bookmarkEnd w:id="12"/>
    <w:bookmarkEnd w:id="13"/>
    <w:p w:rsidR="000B0CAE" w:rsidRDefault="000B0CAE" w:rsidP="00335D38">
      <w:pPr>
        <w:pStyle w:val="1"/>
        <w:keepNext w:val="0"/>
        <w:widowControl w:val="0"/>
        <w:adjustRightInd w:val="0"/>
        <w:snapToGrid w:val="0"/>
        <w:spacing w:before="0" w:after="0" w:line="360" w:lineRule="auto"/>
        <w:jc w:val="both"/>
        <w:rPr>
          <w:rFonts w:ascii="Book Antiqua" w:hAnsi="Book Antiqua"/>
          <w:sz w:val="24"/>
          <w:szCs w:val="24"/>
          <w:lang w:eastAsia="zh-CN"/>
        </w:rPr>
      </w:pPr>
    </w:p>
    <w:p w:rsidR="00335D38" w:rsidRPr="005D78CD" w:rsidRDefault="00335D38" w:rsidP="00335D38">
      <w:pPr>
        <w:widowControl w:val="0"/>
        <w:adjustRightInd w:val="0"/>
        <w:snapToGrid w:val="0"/>
        <w:spacing w:line="360" w:lineRule="auto"/>
        <w:jc w:val="both"/>
        <w:rPr>
          <w:rFonts w:ascii="Book Antiqua" w:hAnsi="Book Antiqua"/>
          <w:lang w:eastAsia="zh-CN"/>
        </w:rPr>
      </w:pPr>
      <w:r w:rsidRPr="005D78CD">
        <w:rPr>
          <w:rFonts w:ascii="Book Antiqua" w:hAnsi="Book Antiqua"/>
        </w:rPr>
        <w:t>Triantafyllou</w:t>
      </w:r>
      <w:r>
        <w:rPr>
          <w:rFonts w:ascii="Book Antiqua" w:hAnsi="Book Antiqua" w:hint="eastAsia"/>
          <w:lang w:eastAsia="zh-CN"/>
        </w:rPr>
        <w:t xml:space="preserve"> M,</w:t>
      </w:r>
      <w:r w:rsidRPr="00335D38">
        <w:rPr>
          <w:rFonts w:ascii="Book Antiqua" w:hAnsi="Book Antiqua"/>
        </w:rPr>
        <w:t xml:space="preserve"> </w:t>
      </w:r>
      <w:r w:rsidRPr="005D78CD">
        <w:rPr>
          <w:rFonts w:ascii="Book Antiqua" w:hAnsi="Book Antiqua"/>
        </w:rPr>
        <w:t>Stanley</w:t>
      </w:r>
      <w:r>
        <w:rPr>
          <w:rFonts w:ascii="Book Antiqua" w:hAnsi="Book Antiqua" w:hint="eastAsia"/>
          <w:lang w:eastAsia="zh-CN"/>
        </w:rPr>
        <w:t xml:space="preserve">AJ. </w:t>
      </w:r>
      <w:r w:rsidRPr="005D78CD">
        <w:rPr>
          <w:rFonts w:ascii="Book Antiqua" w:hAnsi="Book Antiqua"/>
        </w:rPr>
        <w:t xml:space="preserve">Update on </w:t>
      </w:r>
      <w:r w:rsidRPr="005D78CD">
        <w:rPr>
          <w:rFonts w:ascii="Book Antiqua" w:hAnsi="Book Antiqua" w:hint="eastAsia"/>
          <w:lang w:eastAsia="zh-CN"/>
        </w:rPr>
        <w:t>g</w:t>
      </w:r>
      <w:r w:rsidRPr="005D78CD">
        <w:rPr>
          <w:rFonts w:ascii="Book Antiqua" w:hAnsi="Book Antiqua"/>
        </w:rPr>
        <w:t>astric varices</w:t>
      </w:r>
    </w:p>
    <w:p w:rsidR="00335D38" w:rsidRPr="007350B6" w:rsidRDefault="00335D38" w:rsidP="00335D38">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335D38" w:rsidRPr="007350B6" w:rsidRDefault="00335D38" w:rsidP="00335D38">
      <w:pPr>
        <w:adjustRightInd w:val="0"/>
        <w:snapToGrid w:val="0"/>
        <w:spacing w:line="360" w:lineRule="auto"/>
        <w:rPr>
          <w:rFonts w:ascii="Book Antiqua" w:hAnsi="Book Antiqua"/>
          <w:color w:val="000000"/>
        </w:rPr>
      </w:pPr>
      <w:r w:rsidRPr="007350B6">
        <w:rPr>
          <w:rFonts w:ascii="Book Antiqua" w:hAnsi="Book Antiqua"/>
          <w:b/>
          <w:bCs/>
          <w:color w:val="000000"/>
        </w:rPr>
        <w:t xml:space="preserve">DOI: </w:t>
      </w:r>
    </w:p>
    <w:p w:rsidR="00335D38" w:rsidRPr="00335D38" w:rsidRDefault="00335D38" w:rsidP="00335D38">
      <w:pPr>
        <w:rPr>
          <w:lang w:val="en-GB" w:eastAsia="zh-CN"/>
        </w:rPr>
      </w:pPr>
    </w:p>
    <w:p w:rsidR="000B0CAE" w:rsidRPr="005D78CD" w:rsidRDefault="000B0CAE" w:rsidP="00335D38">
      <w:pPr>
        <w:pStyle w:val="1"/>
        <w:keepNext w:val="0"/>
        <w:widowControl w:val="0"/>
        <w:adjustRightInd w:val="0"/>
        <w:snapToGrid w:val="0"/>
        <w:spacing w:before="0" w:after="0" w:line="360" w:lineRule="auto"/>
        <w:jc w:val="both"/>
        <w:rPr>
          <w:rFonts w:ascii="Book Antiqua" w:hAnsi="Book Antiqua"/>
          <w:sz w:val="24"/>
          <w:szCs w:val="24"/>
        </w:rPr>
      </w:pPr>
      <w:r w:rsidRPr="005D78CD">
        <w:rPr>
          <w:rFonts w:ascii="Book Antiqua" w:hAnsi="Book Antiqua"/>
          <w:sz w:val="24"/>
          <w:szCs w:val="24"/>
        </w:rPr>
        <w:t>INTRODUCTION</w:t>
      </w:r>
    </w:p>
    <w:p w:rsidR="000B0CAE" w:rsidRPr="005D78CD" w:rsidRDefault="000B0CAE" w:rsidP="00335D38">
      <w:pPr>
        <w:widowControl w:val="0"/>
        <w:adjustRightInd w:val="0"/>
        <w:snapToGrid w:val="0"/>
        <w:spacing w:line="360" w:lineRule="auto"/>
        <w:jc w:val="both"/>
        <w:rPr>
          <w:rFonts w:ascii="Book Antiqua" w:hAnsi="Book Antiqua"/>
        </w:rPr>
      </w:pPr>
      <w:r w:rsidRPr="005D78CD">
        <w:rPr>
          <w:rFonts w:ascii="Book Antiqua" w:hAnsi="Book Antiqua"/>
        </w:rPr>
        <w:t>Gastric varices occur in around 20% of patients with portal hypertension, mostly secondary to liver cirrhosis</w:t>
      </w:r>
      <w:r w:rsidRPr="005D78CD">
        <w:rPr>
          <w:rFonts w:ascii="Book Antiqua" w:hAnsi="Book Antiqua"/>
          <w:vertAlign w:val="superscript"/>
          <w:lang w:eastAsia="zh-CN"/>
        </w:rPr>
        <w:t>[</w:t>
      </w:r>
      <w:r w:rsidRPr="005D78CD">
        <w:rPr>
          <w:rFonts w:ascii="Book Antiqua" w:hAnsi="Book Antiqua"/>
          <w:vertAlign w:val="superscript"/>
        </w:rPr>
        <w:t>1</w:t>
      </w:r>
      <w:r w:rsidRPr="005D78CD">
        <w:rPr>
          <w:rFonts w:ascii="Book Antiqua" w:hAnsi="Book Antiqua"/>
          <w:vertAlign w:val="superscript"/>
          <w:lang w:eastAsia="zh-CN"/>
        </w:rPr>
        <w:t>]</w:t>
      </w:r>
      <w:r w:rsidRPr="005D78CD">
        <w:rPr>
          <w:rFonts w:ascii="Book Antiqua" w:hAnsi="Book Antiqua"/>
        </w:rPr>
        <w:t>. Although they bleed less frequently than oesophageal varices, gastric variceal bleeding tends to be more severe with a reported mortality of approximately 45%. In this review, we describe the causes, classification and management of gastric variceal bleeding.</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rPr>
      </w:pPr>
      <w:r w:rsidRPr="005D78CD">
        <w:rPr>
          <w:rStyle w:val="1Char"/>
          <w:rFonts w:ascii="Book Antiqua" w:hAnsi="Book Antiqua"/>
          <w:bCs/>
          <w:sz w:val="24"/>
        </w:rPr>
        <w:lastRenderedPageBreak/>
        <w:t>AETIOLOGY AND RISK FACTORS</w:t>
      </w:r>
    </w:p>
    <w:p w:rsidR="000B0CAE" w:rsidRPr="005D78CD" w:rsidRDefault="000B0CAE" w:rsidP="00335D38">
      <w:pPr>
        <w:widowControl w:val="0"/>
        <w:adjustRightInd w:val="0"/>
        <w:snapToGrid w:val="0"/>
        <w:spacing w:line="360" w:lineRule="auto"/>
        <w:jc w:val="both"/>
        <w:rPr>
          <w:rFonts w:ascii="Book Antiqua" w:hAnsi="Book Antiqua"/>
          <w:lang w:eastAsia="zh-CN"/>
        </w:rPr>
      </w:pPr>
      <w:r w:rsidRPr="005D78CD">
        <w:rPr>
          <w:rFonts w:ascii="Book Antiqua" w:hAnsi="Book Antiqua"/>
        </w:rPr>
        <w:t>Pathogenesis of portal hypertension can be secondary to intra-hepatic (</w:t>
      </w:r>
      <w:r w:rsidRPr="00335D38">
        <w:rPr>
          <w:rFonts w:ascii="Book Antiqua" w:hAnsi="Book Antiqua"/>
          <w:i/>
        </w:rPr>
        <w:t>e</w:t>
      </w:r>
      <w:r w:rsidR="00335D38" w:rsidRPr="00335D38">
        <w:rPr>
          <w:rFonts w:ascii="Book Antiqua" w:hAnsi="Book Antiqua" w:hint="eastAsia"/>
          <w:i/>
          <w:lang w:eastAsia="zh-CN"/>
        </w:rPr>
        <w:t>.</w:t>
      </w:r>
      <w:r w:rsidRPr="00335D38">
        <w:rPr>
          <w:rFonts w:ascii="Book Antiqua" w:hAnsi="Book Antiqua"/>
          <w:i/>
        </w:rPr>
        <w:t>g</w:t>
      </w:r>
      <w:r w:rsidR="00335D38" w:rsidRPr="00335D38">
        <w:rPr>
          <w:rFonts w:ascii="Book Antiqua" w:hAnsi="Book Antiqua" w:hint="eastAsia"/>
          <w:i/>
          <w:lang w:eastAsia="zh-CN"/>
        </w:rPr>
        <w:t>.</w:t>
      </w:r>
      <w:r w:rsidR="00335D38">
        <w:rPr>
          <w:rFonts w:ascii="Book Antiqua" w:hAnsi="Book Antiqua" w:hint="eastAsia"/>
          <w:lang w:eastAsia="zh-CN"/>
        </w:rPr>
        <w:t>,</w:t>
      </w:r>
      <w:r w:rsidRPr="005D78CD">
        <w:rPr>
          <w:rFonts w:ascii="Book Antiqua" w:hAnsi="Book Antiqua"/>
        </w:rPr>
        <w:t xml:space="preserve"> cirrhosis, nodular regenerative hyperplasia), pre-hepatic (</w:t>
      </w:r>
      <w:r w:rsidRPr="00335D38">
        <w:rPr>
          <w:rFonts w:ascii="Book Antiqua" w:hAnsi="Book Antiqua"/>
          <w:i/>
        </w:rPr>
        <w:t>e</w:t>
      </w:r>
      <w:r w:rsidR="00335D38" w:rsidRPr="00335D38">
        <w:rPr>
          <w:rFonts w:ascii="Book Antiqua" w:hAnsi="Book Antiqua" w:hint="eastAsia"/>
          <w:i/>
          <w:lang w:eastAsia="zh-CN"/>
        </w:rPr>
        <w:t>.</w:t>
      </w:r>
      <w:r w:rsidRPr="00335D38">
        <w:rPr>
          <w:rFonts w:ascii="Book Antiqua" w:hAnsi="Book Antiqua"/>
          <w:i/>
        </w:rPr>
        <w:t>g</w:t>
      </w:r>
      <w:r w:rsidR="00335D38" w:rsidRPr="00335D38">
        <w:rPr>
          <w:rFonts w:ascii="Book Antiqua" w:hAnsi="Book Antiqua" w:hint="eastAsia"/>
          <w:i/>
          <w:lang w:eastAsia="zh-CN"/>
        </w:rPr>
        <w:t>.</w:t>
      </w:r>
      <w:r w:rsidR="00335D38">
        <w:rPr>
          <w:rFonts w:ascii="Book Antiqua" w:hAnsi="Book Antiqua" w:hint="eastAsia"/>
          <w:lang w:eastAsia="zh-CN"/>
        </w:rPr>
        <w:t>,</w:t>
      </w:r>
      <w:r w:rsidRPr="005D78CD">
        <w:rPr>
          <w:rFonts w:ascii="Book Antiqua" w:hAnsi="Book Antiqua"/>
        </w:rPr>
        <w:t xml:space="preserve"> portal or splenic venous obstruction) or post-hepatic (</w:t>
      </w:r>
      <w:r w:rsidRPr="00335D38">
        <w:rPr>
          <w:rFonts w:ascii="Book Antiqua" w:hAnsi="Book Antiqua"/>
          <w:i/>
        </w:rPr>
        <w:t>e</w:t>
      </w:r>
      <w:r w:rsidR="00335D38" w:rsidRPr="00335D38">
        <w:rPr>
          <w:rFonts w:ascii="Book Antiqua" w:hAnsi="Book Antiqua" w:hint="eastAsia"/>
          <w:i/>
          <w:lang w:eastAsia="zh-CN"/>
        </w:rPr>
        <w:t>.</w:t>
      </w:r>
      <w:r w:rsidRPr="00335D38">
        <w:rPr>
          <w:rFonts w:ascii="Book Antiqua" w:hAnsi="Book Antiqua"/>
          <w:i/>
        </w:rPr>
        <w:t>g</w:t>
      </w:r>
      <w:r w:rsidR="00335D38" w:rsidRPr="00335D38">
        <w:rPr>
          <w:rFonts w:ascii="Book Antiqua" w:hAnsi="Book Antiqua" w:hint="eastAsia"/>
          <w:i/>
          <w:lang w:eastAsia="zh-CN"/>
        </w:rPr>
        <w:t>.</w:t>
      </w:r>
      <w:r w:rsidR="00335D38">
        <w:rPr>
          <w:rFonts w:ascii="Book Antiqua" w:hAnsi="Book Antiqua" w:hint="eastAsia"/>
          <w:lang w:eastAsia="zh-CN"/>
        </w:rPr>
        <w:t>,</w:t>
      </w:r>
      <w:r w:rsidRPr="005D78CD">
        <w:rPr>
          <w:rFonts w:ascii="Book Antiqua" w:hAnsi="Book Antiqua"/>
        </w:rPr>
        <w:t xml:space="preserve"> hepatic venous obstruction) aetiology. Gastric varices can arise due to any of these causes of portal hypertension, but are particularly frequent in patients with splenic or portal ve</w:t>
      </w:r>
      <w:r w:rsidR="00335D38">
        <w:rPr>
          <w:rFonts w:ascii="Book Antiqua" w:hAnsi="Book Antiqua"/>
        </w:rPr>
        <w:t>nous obstruction.</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Risk factors for gastric variceal bleeding include variceal size (large, medium and small defined as &gt;</w:t>
      </w:r>
      <w:r w:rsidR="00335D38">
        <w:rPr>
          <w:rFonts w:ascii="Book Antiqua" w:hAnsi="Book Antiqua" w:hint="eastAsia"/>
          <w:lang w:eastAsia="zh-CN"/>
        </w:rPr>
        <w:t xml:space="preserve"> </w:t>
      </w:r>
      <w:r w:rsidRPr="005D78CD">
        <w:rPr>
          <w:rFonts w:ascii="Book Antiqua" w:hAnsi="Book Antiqua"/>
        </w:rPr>
        <w:t>10</w:t>
      </w:r>
      <w:r w:rsidR="00335D38">
        <w:rPr>
          <w:rFonts w:ascii="Book Antiqua" w:hAnsi="Book Antiqua" w:hint="eastAsia"/>
          <w:lang w:eastAsia="zh-CN"/>
        </w:rPr>
        <w:t xml:space="preserve"> </w:t>
      </w:r>
      <w:r w:rsidRPr="005D78CD">
        <w:rPr>
          <w:rFonts w:ascii="Book Antiqua" w:hAnsi="Book Antiqua"/>
        </w:rPr>
        <w:t>mm, 5-10</w:t>
      </w:r>
      <w:r w:rsidR="00335D38">
        <w:rPr>
          <w:rFonts w:ascii="Book Antiqua" w:hAnsi="Book Antiqua" w:hint="eastAsia"/>
          <w:lang w:eastAsia="zh-CN"/>
        </w:rPr>
        <w:t xml:space="preserve"> </w:t>
      </w:r>
      <w:r w:rsidRPr="005D78CD">
        <w:rPr>
          <w:rFonts w:ascii="Book Antiqua" w:hAnsi="Book Antiqua"/>
        </w:rPr>
        <w:t>mm and &lt;</w:t>
      </w:r>
      <w:r w:rsidR="00335D38">
        <w:rPr>
          <w:rFonts w:ascii="Book Antiqua" w:hAnsi="Book Antiqua" w:hint="eastAsia"/>
          <w:lang w:eastAsia="zh-CN"/>
        </w:rPr>
        <w:t xml:space="preserve"> </w:t>
      </w:r>
      <w:r w:rsidRPr="005D78CD">
        <w:rPr>
          <w:rFonts w:ascii="Book Antiqua" w:hAnsi="Book Antiqua"/>
        </w:rPr>
        <w:t>5 mm respectively), advanced Child’s grade of cirrhosis, presence of hepatocellular carcinoma, location of gastric varices (see below) and presence of red spots</w:t>
      </w:r>
      <w:r w:rsidRPr="005D78CD">
        <w:rPr>
          <w:rFonts w:ascii="Book Antiqua" w:hAnsi="Book Antiqua"/>
          <w:vertAlign w:val="superscript"/>
        </w:rPr>
        <w:t>[1,2]</w:t>
      </w:r>
      <w:r w:rsidRPr="005D78CD">
        <w:rPr>
          <w:rFonts w:ascii="Book Antiqua" w:hAnsi="Book Antiqua"/>
        </w:rPr>
        <w:t>.</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pStyle w:val="1"/>
        <w:keepNext w:val="0"/>
        <w:widowControl w:val="0"/>
        <w:adjustRightInd w:val="0"/>
        <w:snapToGrid w:val="0"/>
        <w:spacing w:before="0" w:after="0" w:line="360" w:lineRule="auto"/>
        <w:jc w:val="both"/>
        <w:rPr>
          <w:rFonts w:ascii="Book Antiqua" w:hAnsi="Book Antiqua"/>
          <w:sz w:val="24"/>
          <w:szCs w:val="24"/>
        </w:rPr>
      </w:pPr>
      <w:r w:rsidRPr="005D78CD">
        <w:rPr>
          <w:rFonts w:ascii="Book Antiqua" w:hAnsi="Book Antiqua"/>
          <w:sz w:val="24"/>
          <w:szCs w:val="24"/>
        </w:rPr>
        <w:t>CLASSIFICATION</w:t>
      </w:r>
    </w:p>
    <w:p w:rsidR="00335D38" w:rsidRDefault="000B0CAE" w:rsidP="00335D38">
      <w:pPr>
        <w:widowControl w:val="0"/>
        <w:adjustRightInd w:val="0"/>
        <w:snapToGrid w:val="0"/>
        <w:spacing w:line="360" w:lineRule="auto"/>
        <w:jc w:val="both"/>
        <w:rPr>
          <w:rFonts w:ascii="Book Antiqua" w:hAnsi="Book Antiqua"/>
          <w:lang w:eastAsia="zh-CN"/>
        </w:rPr>
      </w:pPr>
      <w:r w:rsidRPr="005D78CD">
        <w:rPr>
          <w:rFonts w:ascii="Book Antiqua" w:hAnsi="Book Antiqua"/>
        </w:rPr>
        <w:t>Gastric varices are most commonly described using Sarin’s classification</w:t>
      </w:r>
      <w:r w:rsidRPr="005D78CD">
        <w:rPr>
          <w:rFonts w:ascii="Book Antiqua" w:hAnsi="Book Antiqua"/>
          <w:vertAlign w:val="superscript"/>
        </w:rPr>
        <w:t>[1]</w:t>
      </w:r>
      <w:r w:rsidRPr="005D78CD">
        <w:rPr>
          <w:rFonts w:ascii="Book Antiqua" w:hAnsi="Book Antiqua"/>
        </w:rPr>
        <w:t>. This system uses their location in the stomach and their relationship to oesophageal varices. It divides them into gastro-oesophageal varices (GOVs) or isolated gastric varices (IGVs). GOVs are further sub-divided into GOV-1 which extend for 2-5</w:t>
      </w:r>
      <w:r w:rsidR="00335D38">
        <w:rPr>
          <w:rFonts w:ascii="Book Antiqua" w:hAnsi="Book Antiqua" w:hint="eastAsia"/>
          <w:lang w:eastAsia="zh-CN"/>
        </w:rPr>
        <w:t xml:space="preserve"> </w:t>
      </w:r>
      <w:r w:rsidRPr="005D78CD">
        <w:rPr>
          <w:rFonts w:ascii="Book Antiqua" w:hAnsi="Book Antiqua"/>
        </w:rPr>
        <w:t>cm along the lesser curve of the stomach and GOV-2 which extend beyond the gastro-oesophageal junction into the fundus of the stomach. IGVs are sub-divided into IGV-1 located in the fundus and IGV-2 located in the gastric body, antrum or pylorus (</w:t>
      </w:r>
      <w:r w:rsidR="00335D38">
        <w:rPr>
          <w:rFonts w:ascii="Book Antiqua" w:hAnsi="Book Antiqua" w:hint="eastAsia"/>
          <w:lang w:eastAsia="zh-CN"/>
        </w:rPr>
        <w:t>F</w:t>
      </w:r>
      <w:r w:rsidRPr="005D78CD">
        <w:rPr>
          <w:rFonts w:ascii="Book Antiqua" w:hAnsi="Book Antiqua"/>
        </w:rPr>
        <w:t>igure 1)</w:t>
      </w:r>
      <w:r w:rsidRPr="005D78CD">
        <w:rPr>
          <w:rFonts w:ascii="Book Antiqua" w:hAnsi="Book Antiqua"/>
          <w:vertAlign w:val="superscript"/>
        </w:rPr>
        <w:t>[1,3]</w:t>
      </w:r>
      <w:r w:rsidRPr="005D78CD">
        <w:rPr>
          <w:rFonts w:ascii="Book Antiqua" w:hAnsi="Book Antiqua"/>
        </w:rPr>
        <w:t>. Figure 2 shows an endoscopic picture of IGV-1. Hashizume and colleagues also described a classification of gastric varices including their form, location and color, although this is less commonly used</w:t>
      </w:r>
      <w:r w:rsidRPr="005D78CD">
        <w:rPr>
          <w:rFonts w:ascii="Book Antiqua" w:hAnsi="Book Antiqua"/>
          <w:vertAlign w:val="superscript"/>
        </w:rPr>
        <w:t>[4]</w:t>
      </w:r>
      <w:r w:rsidR="00335D38">
        <w:rPr>
          <w:rFonts w:ascii="Book Antiqua" w:hAnsi="Book Antiqua"/>
        </w:rPr>
        <w:t>.</w:t>
      </w:r>
    </w:p>
    <w:p w:rsidR="00335D38" w:rsidRDefault="00335D38" w:rsidP="00335D38">
      <w:pPr>
        <w:widowControl w:val="0"/>
        <w:adjustRightInd w:val="0"/>
        <w:snapToGrid w:val="0"/>
        <w:spacing w:line="360" w:lineRule="auto"/>
        <w:jc w:val="both"/>
        <w:rPr>
          <w:rFonts w:ascii="Book Antiqua" w:hAnsi="Book Antiqua"/>
          <w:lang w:eastAsia="zh-CN"/>
        </w:rPr>
      </w:pPr>
    </w:p>
    <w:p w:rsidR="000B0CAE" w:rsidRPr="00335D38" w:rsidRDefault="000B0CAE" w:rsidP="00335D38">
      <w:pPr>
        <w:widowControl w:val="0"/>
        <w:adjustRightInd w:val="0"/>
        <w:snapToGrid w:val="0"/>
        <w:spacing w:line="360" w:lineRule="auto"/>
        <w:jc w:val="both"/>
        <w:rPr>
          <w:rFonts w:ascii="Book Antiqua" w:hAnsi="Book Antiqua"/>
        </w:rPr>
      </w:pPr>
      <w:r w:rsidRPr="005D78CD">
        <w:rPr>
          <w:rStyle w:val="1Char"/>
          <w:rFonts w:ascii="Book Antiqua" w:hAnsi="Book Antiqua"/>
          <w:sz w:val="24"/>
        </w:rPr>
        <w:t>TREATMENT OF ACUTE BLEEDING</w:t>
      </w:r>
    </w:p>
    <w:p w:rsidR="000B0CAE" w:rsidRPr="00335D38" w:rsidRDefault="000B0CAE" w:rsidP="00335D38">
      <w:pPr>
        <w:widowControl w:val="0"/>
        <w:adjustRightInd w:val="0"/>
        <w:snapToGrid w:val="0"/>
        <w:spacing w:line="360" w:lineRule="auto"/>
        <w:jc w:val="both"/>
        <w:rPr>
          <w:rFonts w:ascii="Book Antiqua" w:hAnsi="Book Antiqua"/>
          <w:b/>
          <w:i/>
        </w:rPr>
      </w:pPr>
      <w:r w:rsidRPr="00335D38">
        <w:rPr>
          <w:rFonts w:ascii="Book Antiqua" w:hAnsi="Book Antiqua"/>
          <w:b/>
          <w:i/>
        </w:rPr>
        <w:t>Initial management including drug therapy</w:t>
      </w:r>
    </w:p>
    <w:p w:rsidR="000B0CAE" w:rsidRPr="005D78CD" w:rsidRDefault="000B0CAE" w:rsidP="00335D38">
      <w:pPr>
        <w:widowControl w:val="0"/>
        <w:adjustRightInd w:val="0"/>
        <w:snapToGrid w:val="0"/>
        <w:spacing w:line="360" w:lineRule="auto"/>
        <w:jc w:val="both"/>
        <w:rPr>
          <w:rFonts w:ascii="Book Antiqua" w:hAnsi="Book Antiqua"/>
          <w:lang w:eastAsia="zh-CN"/>
        </w:rPr>
      </w:pPr>
      <w:r w:rsidRPr="005D78CD">
        <w:rPr>
          <w:rFonts w:ascii="Book Antiqua" w:hAnsi="Book Antiqua"/>
        </w:rPr>
        <w:t xml:space="preserve">Variceal haemorrhage should be suspected when a patient with known cirrhosis or evidence of portal hypertension presents with upper gastrointestinal haemorrhage. Volume restitution should be commenced immediately to maintain haemodynamic stability with blood transfusion as </w:t>
      </w:r>
      <w:r w:rsidRPr="005D78CD">
        <w:rPr>
          <w:rFonts w:ascii="Book Antiqua" w:hAnsi="Book Antiqua"/>
        </w:rPr>
        <w:lastRenderedPageBreak/>
        <w:t>necessary aiming for target haemoglobin of 7-8</w:t>
      </w:r>
      <w:r w:rsidR="00335D38">
        <w:rPr>
          <w:rFonts w:ascii="Book Antiqua" w:hAnsi="Book Antiqua" w:hint="eastAsia"/>
          <w:lang w:eastAsia="zh-CN"/>
        </w:rPr>
        <w:t xml:space="preserve"> </w:t>
      </w:r>
      <w:r w:rsidRPr="005D78CD">
        <w:rPr>
          <w:rFonts w:ascii="Book Antiqua" w:hAnsi="Book Antiqua"/>
        </w:rPr>
        <w:t>g/d</w:t>
      </w:r>
      <w:r w:rsidR="00335D38">
        <w:rPr>
          <w:rFonts w:ascii="Book Antiqua" w:hAnsi="Book Antiqua" w:hint="eastAsia"/>
          <w:lang w:eastAsia="zh-CN"/>
        </w:rPr>
        <w:t>L</w:t>
      </w:r>
      <w:r w:rsidRPr="005D78CD">
        <w:rPr>
          <w:rFonts w:ascii="Book Antiqua" w:hAnsi="Book Antiqua"/>
          <w:vertAlign w:val="superscript"/>
        </w:rPr>
        <w:t>[5,6]</w:t>
      </w:r>
      <w:r w:rsidRPr="005D78CD">
        <w:rPr>
          <w:rFonts w:ascii="Book Antiqua" w:hAnsi="Book Antiqua"/>
        </w:rPr>
        <w:t>. A recent Spanish randomized controlled trial showed that in Childs grade A or B cirrhotic patients with oesophageal or gastric variceal bleeding, transfusing below a threshold of 7</w:t>
      </w:r>
      <w:r w:rsidR="00335D38">
        <w:rPr>
          <w:rFonts w:ascii="Book Antiqua" w:hAnsi="Book Antiqua" w:hint="eastAsia"/>
          <w:lang w:eastAsia="zh-CN"/>
        </w:rPr>
        <w:t xml:space="preserve"> </w:t>
      </w:r>
      <w:r w:rsidRPr="005D78CD">
        <w:rPr>
          <w:rFonts w:ascii="Book Antiqua" w:hAnsi="Book Antiqua"/>
        </w:rPr>
        <w:t>g/d</w:t>
      </w:r>
      <w:r w:rsidR="00335D38">
        <w:rPr>
          <w:rFonts w:ascii="Book Antiqua" w:hAnsi="Book Antiqua" w:hint="eastAsia"/>
          <w:lang w:eastAsia="zh-CN"/>
        </w:rPr>
        <w:t>L</w:t>
      </w:r>
      <w:r w:rsidRPr="005D78CD">
        <w:rPr>
          <w:rFonts w:ascii="Book Antiqua" w:hAnsi="Book Antiqua"/>
        </w:rPr>
        <w:t xml:space="preserve"> is safe and reduces rebleeding, need for rescue therapy and mortality</w:t>
      </w:r>
      <w:r w:rsidRPr="005D78CD">
        <w:rPr>
          <w:rFonts w:ascii="Book Antiqua" w:hAnsi="Book Antiqua"/>
          <w:vertAlign w:val="superscript"/>
        </w:rPr>
        <w:t>[6]</w:t>
      </w:r>
      <w:r w:rsidR="00335D38">
        <w:rPr>
          <w:rFonts w:ascii="Book Antiqua" w:hAnsi="Book Antiqua"/>
        </w:rPr>
        <w:t>.</w:t>
      </w:r>
    </w:p>
    <w:p w:rsidR="000B0CAE" w:rsidRPr="005D78CD" w:rsidRDefault="000B0CAE" w:rsidP="00335D38">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Prophylactic antibiotics should be administrated early to patients with suspected or confirmed variceal bleeding as this has been shown to reduce mortality and risk of infection</w:t>
      </w:r>
      <w:r w:rsidRPr="005D78CD">
        <w:rPr>
          <w:rFonts w:ascii="Book Antiqua" w:hAnsi="Book Antiqua"/>
          <w:vertAlign w:val="superscript"/>
        </w:rPr>
        <w:t>[7,8]</w:t>
      </w:r>
      <w:r w:rsidRPr="005D78CD">
        <w:rPr>
          <w:rFonts w:ascii="Book Antiqua" w:hAnsi="Book Antiqua"/>
        </w:rPr>
        <w:t>. Oral quinolones are often recommended, however the antibiotic choice is often guided by local microbiological advice</w:t>
      </w:r>
      <w:r w:rsidRPr="005D78CD">
        <w:rPr>
          <w:rFonts w:ascii="Book Antiqua" w:hAnsi="Book Antiqua"/>
          <w:vertAlign w:val="superscript"/>
        </w:rPr>
        <w:t>[5]</w:t>
      </w:r>
      <w:r w:rsidRPr="005D78CD">
        <w:rPr>
          <w:rFonts w:ascii="Book Antiqua" w:hAnsi="Book Antiqua"/>
        </w:rPr>
        <w:t xml:space="preserve">. </w:t>
      </w:r>
    </w:p>
    <w:p w:rsidR="000B0CAE" w:rsidRPr="005D78CD" w:rsidRDefault="000B0CAE" w:rsidP="00335D38">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Vasoactive drugs should be commenced as soon as possible if variceal bleeding is suspected</w:t>
      </w:r>
      <w:r w:rsidRPr="005D78CD">
        <w:rPr>
          <w:rFonts w:ascii="Book Antiqua" w:hAnsi="Book Antiqua"/>
          <w:vertAlign w:val="superscript"/>
        </w:rPr>
        <w:t>[5,9]</w:t>
      </w:r>
      <w:r w:rsidRPr="005D78CD">
        <w:rPr>
          <w:rFonts w:ascii="Book Antiqua" w:hAnsi="Book Antiqua"/>
        </w:rPr>
        <w:t>. A meta-analysis comparing emergency sclerotherapy with pharmacologic treatment (including terlipressin, somatostatin or octreotide) for variceal bleeding in cirrhosis showed that vasoactive drugs are beneficial as first-line treatment</w:t>
      </w:r>
      <w:r w:rsidRPr="005D78CD">
        <w:rPr>
          <w:rFonts w:ascii="Book Antiqua" w:hAnsi="Book Antiqua"/>
          <w:vertAlign w:val="superscript"/>
        </w:rPr>
        <w:t>[10]</w:t>
      </w:r>
      <w:r w:rsidRPr="005D78CD">
        <w:rPr>
          <w:rFonts w:ascii="Book Antiqua" w:hAnsi="Book Antiqua"/>
        </w:rPr>
        <w:t>. However, most patients had oesophagealvariceal bleeding. To date, no studies have investigated the use of vasoactive drugs specifically for gastric variceal bleeding. Early endoscopy should be undertaken to confirm the diagnosis and allow endoscopic therapy as required (see below).</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Although no formal studies have assessed its use in gastric varices, the temporary use of an intra-gastric balloon such as the Sengstaken-Blackmore tube to tamponade fundal varices may be helpful if bleeding continues despite pharmacologic and endoscopic therapies. This is often used as a bridge to more definitive therapy including placement of a transjugular intrahepatic portosystemic shunt (TIPS; see below)</w:t>
      </w:r>
      <w:r w:rsidRPr="005D78CD">
        <w:rPr>
          <w:rFonts w:ascii="Book Antiqua" w:hAnsi="Book Antiqua"/>
          <w:vertAlign w:val="superscript"/>
        </w:rPr>
        <w:t>[9,11]</w:t>
      </w:r>
      <w:r w:rsidRPr="005D78CD">
        <w:rPr>
          <w:rFonts w:ascii="Book Antiqua" w:hAnsi="Book Antiqua"/>
        </w:rPr>
        <w:t>.</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335D38" w:rsidRDefault="000B0CAE" w:rsidP="00335D38">
      <w:pPr>
        <w:pStyle w:val="1"/>
        <w:keepNext w:val="0"/>
        <w:widowControl w:val="0"/>
        <w:adjustRightInd w:val="0"/>
        <w:snapToGrid w:val="0"/>
        <w:spacing w:before="0" w:after="0" w:line="360" w:lineRule="auto"/>
        <w:jc w:val="both"/>
        <w:rPr>
          <w:rFonts w:ascii="Book Antiqua" w:hAnsi="Book Antiqua"/>
          <w:i/>
          <w:sz w:val="24"/>
          <w:szCs w:val="24"/>
        </w:rPr>
      </w:pPr>
      <w:r w:rsidRPr="00335D38">
        <w:rPr>
          <w:rFonts w:ascii="Book Antiqua" w:hAnsi="Book Antiqua"/>
          <w:i/>
          <w:sz w:val="24"/>
          <w:szCs w:val="24"/>
        </w:rPr>
        <w:t>Endoscopic therapies</w:t>
      </w:r>
    </w:p>
    <w:p w:rsidR="000B0CAE" w:rsidRPr="005D78CD" w:rsidRDefault="000B0CAE" w:rsidP="00335D38">
      <w:pPr>
        <w:widowControl w:val="0"/>
        <w:adjustRightInd w:val="0"/>
        <w:snapToGrid w:val="0"/>
        <w:spacing w:line="360" w:lineRule="auto"/>
        <w:jc w:val="both"/>
        <w:rPr>
          <w:rFonts w:ascii="Book Antiqua" w:hAnsi="Book Antiqua"/>
        </w:rPr>
      </w:pPr>
      <w:r w:rsidRPr="005D78CD">
        <w:rPr>
          <w:rFonts w:ascii="Book Antiqua" w:hAnsi="Book Antiqua"/>
        </w:rPr>
        <w:t>Endoscopic treatment for gastric variceal bleeding includes endoscopic band ligation, sclerotherapy and endoscopic injection of tissue adhesives or thrombin.</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lang w:eastAsia="zh-CN"/>
        </w:rPr>
      </w:pPr>
      <w:r w:rsidRPr="00335D38">
        <w:rPr>
          <w:rFonts w:ascii="Book Antiqua" w:hAnsi="Book Antiqua"/>
          <w:b/>
        </w:rPr>
        <w:lastRenderedPageBreak/>
        <w:t>Variceal band ligation</w:t>
      </w:r>
      <w:r w:rsidR="00335D38">
        <w:rPr>
          <w:rFonts w:ascii="Book Antiqua" w:hAnsi="Book Antiqua" w:hint="eastAsia"/>
          <w:b/>
          <w:lang w:eastAsia="zh-CN"/>
        </w:rPr>
        <w:t xml:space="preserve">: </w:t>
      </w:r>
      <w:r w:rsidRPr="005D78CD">
        <w:rPr>
          <w:rFonts w:ascii="Book Antiqua" w:hAnsi="Book Antiqua"/>
        </w:rPr>
        <w:t>Variceal band ligation is the gold standard for the endoscopic management of oesophageal variceal haemorrhage</w:t>
      </w:r>
      <w:r w:rsidRPr="005D78CD">
        <w:rPr>
          <w:rFonts w:ascii="Book Antiqua" w:hAnsi="Book Antiqua"/>
          <w:vertAlign w:val="superscript"/>
        </w:rPr>
        <w:t>[5,7]</w:t>
      </w:r>
      <w:r w:rsidRPr="005D78CD">
        <w:rPr>
          <w:rFonts w:ascii="Book Antiqua" w:hAnsi="Book Antiqua"/>
        </w:rPr>
        <w:t xml:space="preserve">, but its role in gastric variceal bleeding is less clear. In a prospective randomized trial by Tan </w:t>
      </w:r>
      <w:r w:rsidRPr="00335D38">
        <w:rPr>
          <w:rFonts w:ascii="Book Antiqua" w:hAnsi="Book Antiqua"/>
          <w:i/>
        </w:rPr>
        <w:t>et al</w:t>
      </w:r>
      <w:r w:rsidR="00335D38" w:rsidRPr="005D78CD">
        <w:rPr>
          <w:rFonts w:ascii="Book Antiqua" w:hAnsi="Book Antiqua"/>
          <w:vertAlign w:val="superscript"/>
        </w:rPr>
        <w:t>[12]</w:t>
      </w:r>
      <w:r w:rsidRPr="005D78CD">
        <w:rPr>
          <w:rFonts w:ascii="Book Antiqua" w:hAnsi="Book Antiqua"/>
        </w:rPr>
        <w:t>, the efficacy of band ligation to arrest active gastric variceal bleeding in cirrhotic patients was comparable to cyanoacrylate injection, but the rebleeding rate was higher in the banding group. No difference in complications was found between the groups</w:t>
      </w:r>
      <w:r w:rsidRPr="005D78CD">
        <w:rPr>
          <w:rFonts w:ascii="Book Antiqua" w:hAnsi="Book Antiqua"/>
          <w:vertAlign w:val="superscript"/>
        </w:rPr>
        <w:t>[12]</w:t>
      </w:r>
      <w:r w:rsidR="00335D38">
        <w:rPr>
          <w:rFonts w:ascii="Book Antiqua" w:hAnsi="Book Antiqua"/>
        </w:rPr>
        <w:t>.</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A study comparing variceal band ligation with the endoscopic use of detachable snares in controlling acute gastric and oesophageal variceal bleeding showed no difference between the two approaches in achieving haemostasis</w:t>
      </w:r>
      <w:r w:rsidRPr="005D78CD">
        <w:rPr>
          <w:rFonts w:ascii="Book Antiqua" w:hAnsi="Book Antiqua"/>
          <w:vertAlign w:val="superscript"/>
        </w:rPr>
        <w:t>[13]</w:t>
      </w:r>
      <w:r w:rsidRPr="005D78CD">
        <w:rPr>
          <w:rFonts w:ascii="Book Antiqua" w:hAnsi="Book Antiqua"/>
        </w:rPr>
        <w:t>. However variceal recurrence and rebleeding rates were relatively high in both groups. Band ligation is not covered by NICE guidelines for the management of gastric variceal bleeding. However, Baveno V and AASLD guidelines suggest this type of treatment is of particular use in the endoscopic management of bleeding GOV-I, as these are generally considered extensions of oesophageal varices</w:t>
      </w:r>
      <w:r w:rsidRPr="005D78CD">
        <w:rPr>
          <w:rFonts w:ascii="Book Antiqua" w:hAnsi="Book Antiqua"/>
          <w:vertAlign w:val="superscript"/>
        </w:rPr>
        <w:t>[5,9]</w:t>
      </w:r>
      <w:r w:rsidRPr="005D78CD">
        <w:rPr>
          <w:rFonts w:ascii="Book Antiqua" w:hAnsi="Book Antiqua"/>
        </w:rPr>
        <w:t>. AASLD guidelines also suggest that endoscopic variceal band ligation is an option for patients who bleed from gastric fundal varices if cyanoacrylate is not available</w:t>
      </w:r>
      <w:r w:rsidRPr="005D78CD">
        <w:rPr>
          <w:rFonts w:ascii="Book Antiqua" w:hAnsi="Book Antiqua"/>
          <w:vertAlign w:val="superscript"/>
        </w:rPr>
        <w:t>[9]</w:t>
      </w:r>
      <w:r w:rsidRPr="005D78CD">
        <w:rPr>
          <w:rFonts w:ascii="Book Antiqua" w:hAnsi="Book Antiqua"/>
        </w:rPr>
        <w:t xml:space="preserve">. However band ligation is not of proven efficacy for non GOV-1 gastric variceal bleeding. </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rPr>
      </w:pPr>
      <w:r w:rsidRPr="00335D38">
        <w:rPr>
          <w:rFonts w:ascii="Book Antiqua" w:hAnsi="Book Antiqua"/>
          <w:b/>
        </w:rPr>
        <w:t>Sclerotherapy</w:t>
      </w:r>
      <w:r w:rsidR="00335D38">
        <w:rPr>
          <w:rFonts w:ascii="Book Antiqua" w:hAnsi="Book Antiqua" w:hint="eastAsia"/>
          <w:b/>
          <w:lang w:eastAsia="zh-CN"/>
        </w:rPr>
        <w:t xml:space="preserve">: </w:t>
      </w:r>
      <w:r w:rsidRPr="005D78CD">
        <w:rPr>
          <w:rFonts w:ascii="Book Antiqua" w:hAnsi="Book Antiqua"/>
        </w:rPr>
        <w:t>A study of gastric varicealsclerotherapy with pure alcohol for acute gastric variceal bleeding reported a haemostatic rate of 66%</w:t>
      </w:r>
      <w:r w:rsidRPr="005D78CD">
        <w:rPr>
          <w:rFonts w:ascii="Book Antiqua" w:hAnsi="Book Antiqua"/>
          <w:vertAlign w:val="superscript"/>
        </w:rPr>
        <w:t>[3]</w:t>
      </w:r>
      <w:r w:rsidRPr="005D78CD">
        <w:rPr>
          <w:rFonts w:ascii="Book Antiqua" w:hAnsi="Book Antiqua"/>
        </w:rPr>
        <w:t>. Gastric varicealsclerotherapy appears more effective in GOV-1 than GOV-2 or IGV-1</w:t>
      </w:r>
      <w:r w:rsidRPr="005D78CD">
        <w:rPr>
          <w:rFonts w:ascii="Book Antiqua" w:hAnsi="Book Antiqua"/>
          <w:vertAlign w:val="superscript"/>
        </w:rPr>
        <w:t>[3]</w:t>
      </w:r>
      <w:r w:rsidRPr="005D78CD">
        <w:rPr>
          <w:rFonts w:ascii="Book Antiqua" w:hAnsi="Book Antiqua"/>
        </w:rPr>
        <w:t>. However complications associated with the procedure include fever, retrosternal and abdominal pain, dysphagia, rebleeding and ulceration. Similar to the management of oesophageal variceal bleeding, sclerotherapy has been largely replaced by band ligation when appropriate, due to the latter’s lower complication and rebleeding rates.</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lang w:eastAsia="zh-CN"/>
        </w:rPr>
      </w:pPr>
      <w:r w:rsidRPr="00335D38">
        <w:rPr>
          <w:rFonts w:ascii="Book Antiqua" w:hAnsi="Book Antiqua"/>
          <w:b/>
        </w:rPr>
        <w:t xml:space="preserve">Tissue </w:t>
      </w:r>
      <w:r w:rsidR="00335D38" w:rsidRPr="00335D38">
        <w:rPr>
          <w:rFonts w:ascii="Book Antiqua" w:hAnsi="Book Antiqua" w:hint="eastAsia"/>
          <w:b/>
          <w:lang w:eastAsia="zh-CN"/>
        </w:rPr>
        <w:t>g</w:t>
      </w:r>
      <w:r w:rsidRPr="00335D38">
        <w:rPr>
          <w:rFonts w:ascii="Book Antiqua" w:hAnsi="Book Antiqua"/>
          <w:b/>
        </w:rPr>
        <w:t>lues</w:t>
      </w:r>
      <w:r w:rsidR="00335D38">
        <w:rPr>
          <w:rFonts w:ascii="Book Antiqua" w:hAnsi="Book Antiqua" w:hint="eastAsia"/>
          <w:b/>
          <w:lang w:eastAsia="zh-CN"/>
        </w:rPr>
        <w:t xml:space="preserve">: </w:t>
      </w:r>
      <w:r w:rsidRPr="005D78CD">
        <w:rPr>
          <w:rFonts w:ascii="Book Antiqua" w:hAnsi="Book Antiqua"/>
        </w:rPr>
        <w:t xml:space="preserve">Cyanoacrylate is a monomer that undergoes rapid </w:t>
      </w:r>
      <w:r w:rsidRPr="005D78CD">
        <w:rPr>
          <w:rFonts w:ascii="Book Antiqua" w:hAnsi="Book Antiqua"/>
        </w:rPr>
        <w:lastRenderedPageBreak/>
        <w:t>polymerization in presence of ionic substances including blood or tissue fluids. Tissue adhesives include histoacryl (N-butyl-cyanoacrylate) and bucrylate (isobutyl -2-cyanoacrylate) and both have been used with success for gastric varices obliteration. A standard forward viewing endoscope is used and the accessory channel and needle catheter are first flushed with lipiodol. The needle is then inserted into the gastric varix and a mixture of lipiodol and tissue adhesive is administered into the varix followed by a flush of saline or sterile water. The needle should be withdrawn immediately to prevent adherence to the varix, then flushed again with saline or sterile water. Injections can be repeated until obliteration of the varices is achieved. Obturation can be confirmed by palpation of the varices using the pr</w:t>
      </w:r>
      <w:r w:rsidR="00335D38">
        <w:rPr>
          <w:rFonts w:ascii="Book Antiqua" w:hAnsi="Book Antiqua"/>
        </w:rPr>
        <w:t xml:space="preserve">obe with the needle retracted. </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 xml:space="preserve">Paik </w:t>
      </w:r>
      <w:r w:rsidR="00335D38" w:rsidRPr="00335D38">
        <w:rPr>
          <w:rFonts w:ascii="Book Antiqua" w:hAnsi="Book Antiqua" w:hint="eastAsia"/>
          <w:i/>
          <w:lang w:eastAsia="zh-CN"/>
        </w:rPr>
        <w:t>et al</w:t>
      </w:r>
      <w:r w:rsidR="00335D38" w:rsidRPr="005D78CD">
        <w:rPr>
          <w:rFonts w:ascii="Book Antiqua" w:hAnsi="Book Antiqua"/>
          <w:vertAlign w:val="superscript"/>
        </w:rPr>
        <w:t>[14]</w:t>
      </w:r>
      <w:r w:rsidRPr="005D78CD">
        <w:rPr>
          <w:rFonts w:ascii="Book Antiqua" w:hAnsi="Book Antiqua"/>
        </w:rPr>
        <w:t xml:space="preserve"> retrospectively reviewed 121 patients with active or recent gastric variceal bleeding who were treated with n-butyl 2-cyanoacrylate. Bleeding control was achieved in 91% of patients with a 4-week rebleeding rate of 13%. Fever occurred in 11% of patients and 2% had severe complications attributed to cyanoacrylate embolisms, which however resolved with conservative management. Kang</w:t>
      </w:r>
      <w:r w:rsidRPr="00335D38">
        <w:rPr>
          <w:rFonts w:ascii="Book Antiqua" w:hAnsi="Book Antiqua"/>
          <w:i/>
        </w:rPr>
        <w:t xml:space="preserve"> et al</w:t>
      </w:r>
      <w:r w:rsidR="00335D38" w:rsidRPr="005D78CD">
        <w:rPr>
          <w:rFonts w:ascii="Book Antiqua" w:hAnsi="Book Antiqua"/>
          <w:vertAlign w:val="superscript"/>
        </w:rPr>
        <w:t>[15]</w:t>
      </w:r>
      <w:r w:rsidRPr="005D78CD">
        <w:rPr>
          <w:rFonts w:ascii="Book Antiqua" w:hAnsi="Book Antiqua"/>
        </w:rPr>
        <w:t xml:space="preserve"> reported a 98% rate of haemostasis with histoacryl, with few complications. Similar to other studies, fever and abdominal pain were observed, but several uncommon complications were also reported including pulmonary embolism, splenic infarction and adrenal abscess. Case reports of thromboembolic episodes to the pulmonary cerebral and coronary circulation after tissue adhesive injection have also been described</w:t>
      </w:r>
      <w:r w:rsidRPr="005D78CD">
        <w:rPr>
          <w:rFonts w:ascii="Book Antiqua" w:hAnsi="Book Antiqua"/>
          <w:vertAlign w:val="superscript"/>
        </w:rPr>
        <w:t>[16]</w:t>
      </w:r>
      <w:r w:rsidRPr="005D78CD">
        <w:rPr>
          <w:rFonts w:ascii="Book Antiqua" w:hAnsi="Book Antiqua"/>
        </w:rPr>
        <w:t>. A U</w:t>
      </w:r>
      <w:r w:rsidR="00335D38">
        <w:rPr>
          <w:rFonts w:ascii="Book Antiqua" w:hAnsi="Book Antiqua" w:hint="eastAsia"/>
          <w:lang w:eastAsia="zh-CN"/>
        </w:rPr>
        <w:t>nited Kingdom</w:t>
      </w:r>
      <w:r w:rsidRPr="005D78CD">
        <w:rPr>
          <w:rFonts w:ascii="Book Antiqua" w:hAnsi="Book Antiqua"/>
        </w:rPr>
        <w:t xml:space="preserve"> study achieved an immediate haemostasis rate of 100% with endoscopic histoacryl injection in gastric variceal bleeding</w:t>
      </w:r>
      <w:r w:rsidRPr="005D78CD">
        <w:rPr>
          <w:rFonts w:ascii="Book Antiqua" w:hAnsi="Book Antiqua"/>
          <w:vertAlign w:val="superscript"/>
        </w:rPr>
        <w:t>[17]</w:t>
      </w:r>
      <w:r w:rsidRPr="005D78CD">
        <w:rPr>
          <w:rFonts w:ascii="Book Antiqua" w:hAnsi="Book Antiqua"/>
        </w:rPr>
        <w:t xml:space="preserve">, and Al-Ali </w:t>
      </w:r>
      <w:r w:rsidRPr="005D78CD">
        <w:rPr>
          <w:rFonts w:ascii="Book Antiqua" w:hAnsi="Book Antiqua"/>
          <w:i/>
        </w:rPr>
        <w:t>et al</w:t>
      </w:r>
      <w:r w:rsidR="00335D38" w:rsidRPr="005D78CD">
        <w:rPr>
          <w:rFonts w:ascii="Book Antiqua" w:hAnsi="Book Antiqua"/>
          <w:vertAlign w:val="superscript"/>
        </w:rPr>
        <w:t>[18]</w:t>
      </w:r>
      <w:r w:rsidRPr="005D78CD">
        <w:rPr>
          <w:rFonts w:ascii="Book Antiqua" w:hAnsi="Book Antiqua"/>
        </w:rPr>
        <w:t xml:space="preserve"> reported a haemostasis rate of 95% in a Canadian population. Both studies reported no significant complications. A high haemostasis rate of 95% was also reported in a large study performed by Cheng and colleagues</w:t>
      </w:r>
      <w:r w:rsidRPr="005D78CD">
        <w:rPr>
          <w:rFonts w:ascii="Book Antiqua" w:hAnsi="Book Antiqua"/>
          <w:vertAlign w:val="superscript"/>
        </w:rPr>
        <w:t>[19]</w:t>
      </w:r>
      <w:r w:rsidRPr="005D78CD">
        <w:rPr>
          <w:rFonts w:ascii="Book Antiqua" w:hAnsi="Book Antiqua"/>
        </w:rPr>
        <w:t>.</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Current evidence of the use of tissue adhesives for gastric variceal bleeding suggests haemostasis control in &gt;</w:t>
      </w:r>
      <w:r w:rsidR="00335D38">
        <w:rPr>
          <w:rFonts w:ascii="Book Antiqua" w:hAnsi="Book Antiqua" w:hint="eastAsia"/>
          <w:lang w:eastAsia="zh-CN"/>
        </w:rPr>
        <w:t xml:space="preserve"> </w:t>
      </w:r>
      <w:r w:rsidRPr="005D78CD">
        <w:rPr>
          <w:rFonts w:ascii="Book Antiqua" w:hAnsi="Book Antiqua"/>
        </w:rPr>
        <w:t xml:space="preserve">90%. Table 1 summarizes some of the larger </w:t>
      </w:r>
      <w:r w:rsidRPr="005D78CD">
        <w:rPr>
          <w:rFonts w:ascii="Book Antiqua" w:hAnsi="Book Antiqua"/>
        </w:rPr>
        <w:lastRenderedPageBreak/>
        <w:t>and most recent studies using cyanoacrylate for the treatment of gastric varices</w:t>
      </w:r>
      <w:r w:rsidRPr="005D78CD">
        <w:rPr>
          <w:rFonts w:ascii="Book Antiqua" w:hAnsi="Book Antiqua"/>
          <w:vertAlign w:val="superscript"/>
        </w:rPr>
        <w:t>[14</w:t>
      </w:r>
      <w:r w:rsidR="00335D38">
        <w:rPr>
          <w:rFonts w:ascii="Book Antiqua" w:hAnsi="Book Antiqua" w:hint="eastAsia"/>
          <w:vertAlign w:val="superscript"/>
          <w:lang w:eastAsia="zh-CN"/>
        </w:rPr>
        <w:t>,</w:t>
      </w:r>
      <w:r w:rsidRPr="005D78CD">
        <w:rPr>
          <w:rFonts w:ascii="Book Antiqua" w:hAnsi="Book Antiqua"/>
          <w:vertAlign w:val="superscript"/>
        </w:rPr>
        <w:t>15,17-21]</w:t>
      </w:r>
      <w:r w:rsidRPr="005D78CD">
        <w:rPr>
          <w:rFonts w:ascii="Book Antiqua" w:hAnsi="Book Antiqua"/>
        </w:rPr>
        <w:t>.</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 xml:space="preserve">A randomized trial of cyanoacrylate injection </w:t>
      </w:r>
      <w:r w:rsidRPr="00335D38">
        <w:rPr>
          <w:rFonts w:ascii="Book Antiqua" w:hAnsi="Book Antiqua"/>
          <w:i/>
        </w:rPr>
        <w:t xml:space="preserve">vs </w:t>
      </w:r>
      <w:r w:rsidRPr="005D78CD">
        <w:rPr>
          <w:rFonts w:ascii="Book Antiqua" w:hAnsi="Book Antiqua"/>
        </w:rPr>
        <w:t xml:space="preserve">TIPS for gastric variceal bleeding showed similar survival and complication rates in both groups, but TIPS was more effective in preventing rebleeding (11% </w:t>
      </w:r>
      <w:r w:rsidRPr="00335D38">
        <w:rPr>
          <w:rFonts w:ascii="Book Antiqua" w:hAnsi="Book Antiqua"/>
          <w:i/>
        </w:rPr>
        <w:t>vs</w:t>
      </w:r>
      <w:r w:rsidRPr="005D78CD">
        <w:rPr>
          <w:rFonts w:ascii="Book Antiqua" w:hAnsi="Book Antiqua"/>
        </w:rPr>
        <w:t xml:space="preserve"> 38%)</w:t>
      </w:r>
      <w:r w:rsidRPr="005D78CD">
        <w:rPr>
          <w:rFonts w:ascii="Book Antiqua" w:hAnsi="Book Antiqua"/>
          <w:vertAlign w:val="superscript"/>
        </w:rPr>
        <w:t>[22]</w:t>
      </w:r>
      <w:r w:rsidRPr="005D78CD">
        <w:rPr>
          <w:rFonts w:ascii="Book Antiqua" w:hAnsi="Book Antiqua"/>
        </w:rPr>
        <w:t>. Cyanoacrylate was also compared to TIPS in another two (non-randomised) studies, again with similar haemostasis rates reported between both groups</w:t>
      </w:r>
      <w:r w:rsidRPr="005D78CD">
        <w:rPr>
          <w:rFonts w:ascii="Book Antiqua" w:hAnsi="Book Antiqua"/>
          <w:vertAlign w:val="superscript"/>
        </w:rPr>
        <w:t>[23,24]</w:t>
      </w:r>
      <w:r w:rsidRPr="005D78CD">
        <w:rPr>
          <w:rFonts w:ascii="Book Antiqua" w:hAnsi="Book Antiqua"/>
        </w:rPr>
        <w:t xml:space="preserve">. </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Tissue adhesives appear to be relatively safe and effective in the management of bleeding gastric varices and are generally the endoscopic treatment of choice for bleeding from IGVs and GOV-2. They are recommended by the Baveno V, NICE and AASLD guidelines</w:t>
      </w:r>
      <w:r w:rsidRPr="005D78CD">
        <w:rPr>
          <w:rFonts w:ascii="Book Antiqua" w:hAnsi="Book Antiqua"/>
          <w:vertAlign w:val="superscript"/>
        </w:rPr>
        <w:t>[5,7,9]</w:t>
      </w:r>
      <w:r w:rsidRPr="005D78CD">
        <w:rPr>
          <w:rFonts w:ascii="Book Antiqua" w:hAnsi="Book Antiqua"/>
        </w:rPr>
        <w:t>. Although there are a few technical issues, appropriate training and use of a unit protocol enable most centers to use it safely and effectively.</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rPr>
      </w:pPr>
      <w:r w:rsidRPr="00335D38">
        <w:rPr>
          <w:rFonts w:ascii="Book Antiqua" w:hAnsi="Book Antiqua"/>
          <w:b/>
        </w:rPr>
        <w:t>Thrombin</w:t>
      </w:r>
      <w:r w:rsidR="00335D38">
        <w:rPr>
          <w:rFonts w:ascii="Book Antiqua" w:hAnsi="Book Antiqua" w:hint="eastAsia"/>
          <w:b/>
          <w:lang w:eastAsia="zh-CN"/>
        </w:rPr>
        <w:t xml:space="preserve">: </w:t>
      </w:r>
      <w:r w:rsidRPr="005D78CD">
        <w:rPr>
          <w:rFonts w:ascii="Book Antiqua" w:hAnsi="Book Antiqua"/>
        </w:rPr>
        <w:t>Thrombin affects haemostasis by converting fibrinogen to fibrin clot and also influences platelet aggregation</w:t>
      </w:r>
      <w:r w:rsidRPr="005D78CD">
        <w:rPr>
          <w:rFonts w:ascii="Book Antiqua" w:hAnsi="Book Antiqua"/>
          <w:vertAlign w:val="superscript"/>
        </w:rPr>
        <w:t>[25]</w:t>
      </w:r>
      <w:r w:rsidRPr="005D78CD">
        <w:rPr>
          <w:rFonts w:ascii="Book Antiqua" w:hAnsi="Book Antiqua"/>
        </w:rPr>
        <w:t>. A standard gastroscope is used for the procedure and no specific preparation is required.</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 xml:space="preserve">Williams </w:t>
      </w:r>
      <w:r w:rsidRPr="00335D38">
        <w:rPr>
          <w:rFonts w:ascii="Book Antiqua" w:hAnsi="Book Antiqua"/>
          <w:i/>
        </w:rPr>
        <w:t>et al</w:t>
      </w:r>
      <w:r w:rsidR="00335D38" w:rsidRPr="005D78CD">
        <w:rPr>
          <w:rFonts w:ascii="Book Antiqua" w:hAnsi="Book Antiqua"/>
          <w:vertAlign w:val="superscript"/>
        </w:rPr>
        <w:t>[26]</w:t>
      </w:r>
      <w:r w:rsidRPr="005D78CD">
        <w:rPr>
          <w:rFonts w:ascii="Book Antiqua" w:hAnsi="Book Antiqua"/>
        </w:rPr>
        <w:t xml:space="preserve"> used bovine thrombin for control of gastric variceal bleeding and reported 100% haemostasis with no significant complications and a low rebleeding rate. Ramesh and colleagues also studied bovine thrombin in the management of bleeding gastric varices</w:t>
      </w:r>
      <w:r w:rsidRPr="005D78CD">
        <w:rPr>
          <w:rFonts w:ascii="Book Antiqua" w:hAnsi="Book Antiqua"/>
          <w:vertAlign w:val="superscript"/>
        </w:rPr>
        <w:t>[27]</w:t>
      </w:r>
      <w:r w:rsidRPr="005D78CD">
        <w:rPr>
          <w:rFonts w:ascii="Book Antiqua" w:hAnsi="Book Antiqua"/>
        </w:rPr>
        <w:t>. They reported 92% haemostasis in the acute setting, with no rebleeding during follow-up. No patient had an adverse event and no technical problems were encountered. More recent studies have used human rather than bovine thrombin because of the concerns of spongiform encephalopathy.</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The largest study to evaluate the efficacy of human thrombin in the management of gastric and ectopic varices bleeding suggests that human thrombin is safe and effective</w:t>
      </w:r>
      <w:r w:rsidRPr="005D78CD">
        <w:rPr>
          <w:rFonts w:ascii="Book Antiqua" w:hAnsi="Book Antiqua"/>
          <w:vertAlign w:val="superscript"/>
        </w:rPr>
        <w:t>[28]</w:t>
      </w:r>
      <w:r w:rsidRPr="005D78CD">
        <w:rPr>
          <w:rFonts w:ascii="Book Antiqua" w:hAnsi="Book Antiqua"/>
        </w:rPr>
        <w:t xml:space="preserve">. Thrombin is a promising therapy for bleeding gastric varices but to date no randomized data on its use are available and longer term follow-up is required, therefore more studies are </w:t>
      </w:r>
      <w:r w:rsidRPr="005D78CD">
        <w:rPr>
          <w:rFonts w:ascii="Book Antiqua" w:hAnsi="Book Antiqua"/>
        </w:rPr>
        <w:lastRenderedPageBreak/>
        <w:t>required. Table 2 summarizes some of the largest and more recent studies reporting thrombin use in gastric variceal bleeding</w:t>
      </w:r>
      <w:r w:rsidRPr="005D78CD">
        <w:rPr>
          <w:rFonts w:ascii="Book Antiqua" w:hAnsi="Book Antiqua"/>
          <w:vertAlign w:val="superscript"/>
        </w:rPr>
        <w:t>[26-29]</w:t>
      </w:r>
      <w:r w:rsidRPr="005D78CD">
        <w:rPr>
          <w:rFonts w:ascii="Book Antiqua" w:hAnsi="Book Antiqua"/>
        </w:rPr>
        <w:t>.</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335D38" w:rsidRDefault="000B0CAE" w:rsidP="00335D38">
      <w:pPr>
        <w:pStyle w:val="1"/>
        <w:keepNext w:val="0"/>
        <w:widowControl w:val="0"/>
        <w:adjustRightInd w:val="0"/>
        <w:snapToGrid w:val="0"/>
        <w:spacing w:before="0" w:after="0" w:line="360" w:lineRule="auto"/>
        <w:jc w:val="both"/>
        <w:rPr>
          <w:rFonts w:ascii="Book Antiqua" w:hAnsi="Book Antiqua"/>
          <w:i/>
          <w:sz w:val="24"/>
          <w:szCs w:val="24"/>
        </w:rPr>
      </w:pPr>
      <w:r w:rsidRPr="00335D38">
        <w:rPr>
          <w:rFonts w:ascii="Book Antiqua" w:hAnsi="Book Antiqua"/>
          <w:i/>
          <w:sz w:val="24"/>
          <w:szCs w:val="24"/>
        </w:rPr>
        <w:t>Radiologic therapies</w:t>
      </w:r>
    </w:p>
    <w:p w:rsidR="000B0CAE" w:rsidRPr="005D78CD" w:rsidRDefault="000B0CAE" w:rsidP="00335D38">
      <w:pPr>
        <w:widowControl w:val="0"/>
        <w:adjustRightInd w:val="0"/>
        <w:snapToGrid w:val="0"/>
        <w:spacing w:line="360" w:lineRule="auto"/>
        <w:jc w:val="both"/>
        <w:rPr>
          <w:rFonts w:ascii="Book Antiqua" w:hAnsi="Book Antiqua"/>
        </w:rPr>
      </w:pPr>
      <w:r w:rsidRPr="005D78CD">
        <w:rPr>
          <w:rFonts w:ascii="Book Antiqua" w:hAnsi="Book Antiqua"/>
        </w:rPr>
        <w:t>Radiologic therapies for gastric varices include TIPS and BRTO (balloon-occluded retrograde transvenous obliteration).</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lang w:eastAsia="zh-CN"/>
        </w:rPr>
      </w:pPr>
      <w:r w:rsidRPr="00335D38">
        <w:rPr>
          <w:rFonts w:ascii="Book Antiqua" w:hAnsi="Book Antiqua"/>
          <w:b/>
        </w:rPr>
        <w:t>TIPS</w:t>
      </w:r>
      <w:r w:rsidR="00335D38">
        <w:rPr>
          <w:rFonts w:ascii="Book Antiqua" w:hAnsi="Book Antiqua" w:hint="eastAsia"/>
          <w:b/>
          <w:lang w:eastAsia="zh-CN"/>
        </w:rPr>
        <w:t xml:space="preserve">: </w:t>
      </w:r>
      <w:r w:rsidRPr="005D78CD">
        <w:rPr>
          <w:rFonts w:ascii="Book Antiqua" w:hAnsi="Book Antiqua"/>
        </w:rPr>
        <w:t>TIPS has been well studied in the management of oesophageal varices, with fewer studies undertaken on its use in bleeding gastric varices. An American retrospective comparative study compared TIPS with cyanoacrylate injection for gastric variceal bleeding. No differences were found in survival or rebleeding, but the group treated with TIPS had an increased morbidity requiring prolonged hospitalization because of encephalopathy</w:t>
      </w:r>
      <w:r w:rsidRPr="005D78CD">
        <w:rPr>
          <w:rFonts w:ascii="Book Antiqua" w:hAnsi="Book Antiqua"/>
          <w:vertAlign w:val="superscript"/>
        </w:rPr>
        <w:t>[23]</w:t>
      </w:r>
      <w:r w:rsidR="00335D38">
        <w:rPr>
          <w:rFonts w:ascii="Book Antiqua" w:hAnsi="Book Antiqua"/>
        </w:rPr>
        <w:t>.</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Another study compared the clinical outcome of PTFE-coated stent-grafts with bare stents in patients who required emergency or elective TIPS for portal hypertension related complications</w:t>
      </w:r>
      <w:r w:rsidRPr="005D78CD">
        <w:rPr>
          <w:rFonts w:ascii="Book Antiqua" w:hAnsi="Book Antiqua"/>
          <w:vertAlign w:val="superscript"/>
        </w:rPr>
        <w:t>[30]</w:t>
      </w:r>
      <w:r w:rsidRPr="005D78CD">
        <w:rPr>
          <w:rFonts w:ascii="Book Antiqua" w:hAnsi="Book Antiqua"/>
        </w:rPr>
        <w:t>. During follow-up, 22% of the patients with bare stents had clinically relevant TIPS dysfunction, but no dysfunction was observed in patients treated with coated stent-grafts. Encephalopathy rates were similar. TIPS can also be used if bleeding from gastric varices is not controlled with N-butyl-cyanoacrylate injection, however the portal vein must be patent and careful patient selection is required to minimize risks of encephalopathy</w:t>
      </w:r>
      <w:r w:rsidRPr="005D78CD">
        <w:rPr>
          <w:rFonts w:ascii="Book Antiqua" w:hAnsi="Book Antiqua"/>
          <w:vertAlign w:val="superscript"/>
        </w:rPr>
        <w:t>[7,31]</w:t>
      </w:r>
      <w:r w:rsidRPr="005D78CD">
        <w:rPr>
          <w:rFonts w:ascii="Book Antiqua" w:hAnsi="Book Antiqua"/>
        </w:rPr>
        <w:t xml:space="preserve"> .</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335D38" w:rsidRDefault="000B0CAE" w:rsidP="00335D38">
      <w:pPr>
        <w:pStyle w:val="1"/>
        <w:keepNext w:val="0"/>
        <w:widowControl w:val="0"/>
        <w:adjustRightInd w:val="0"/>
        <w:snapToGrid w:val="0"/>
        <w:spacing w:before="0" w:after="0" w:line="360" w:lineRule="auto"/>
        <w:jc w:val="both"/>
        <w:rPr>
          <w:rFonts w:ascii="Book Antiqua" w:hAnsi="Book Antiqua"/>
          <w:b w:val="0"/>
          <w:sz w:val="24"/>
          <w:szCs w:val="24"/>
          <w:lang w:eastAsia="zh-CN"/>
        </w:rPr>
      </w:pPr>
      <w:r w:rsidRPr="00335D38">
        <w:rPr>
          <w:rFonts w:ascii="Book Antiqua" w:hAnsi="Book Antiqua"/>
          <w:sz w:val="24"/>
          <w:szCs w:val="24"/>
        </w:rPr>
        <w:t>Balloon-occluded retrograde transvenous obliteration</w:t>
      </w:r>
      <w:r w:rsidR="00335D38">
        <w:rPr>
          <w:rFonts w:ascii="Book Antiqua" w:hAnsi="Book Antiqua" w:hint="eastAsia"/>
          <w:sz w:val="24"/>
          <w:szCs w:val="24"/>
          <w:lang w:eastAsia="zh-CN"/>
        </w:rPr>
        <w:t xml:space="preserve">: </w:t>
      </w:r>
      <w:r w:rsidR="00335D38" w:rsidRPr="00335D38">
        <w:rPr>
          <w:rFonts w:ascii="Book Antiqua" w:hAnsi="Book Antiqua"/>
          <w:b w:val="0"/>
          <w:sz w:val="24"/>
          <w:szCs w:val="24"/>
        </w:rPr>
        <w:t>Balloon-occluded retrograde transvenous obliteration (BRTO)</w:t>
      </w:r>
      <w:r w:rsidR="00335D38">
        <w:rPr>
          <w:rFonts w:ascii="Book Antiqua" w:hAnsi="Book Antiqua" w:hint="eastAsia"/>
          <w:b w:val="0"/>
          <w:sz w:val="24"/>
          <w:szCs w:val="24"/>
          <w:lang w:eastAsia="zh-CN"/>
        </w:rPr>
        <w:t xml:space="preserve"> </w:t>
      </w:r>
      <w:r w:rsidR="00335D38" w:rsidRPr="00335D38">
        <w:rPr>
          <w:rFonts w:ascii="Book Antiqua" w:hAnsi="Book Antiqua" w:hint="eastAsia"/>
          <w:b w:val="0"/>
          <w:sz w:val="24"/>
          <w:szCs w:val="24"/>
          <w:lang w:eastAsia="zh-CN"/>
        </w:rPr>
        <w:t>i</w:t>
      </w:r>
      <w:r w:rsidRPr="00335D38">
        <w:rPr>
          <w:rFonts w:ascii="Book Antiqua" w:hAnsi="Book Antiqua"/>
          <w:b w:val="0"/>
          <w:sz w:val="24"/>
          <w:szCs w:val="24"/>
        </w:rPr>
        <w:t xml:space="preserve">s a radiologic technique used for the treatment of gastric varices. The right femoral or internal jugular vein is punctured and a balloon catheter is inserted into the left renal vein. After balloon inflation, venography is performed to identify gastric varices, gastrorenal shunts and collateral veins. The veins draining gastric varices are embolised with microcoils and a sclerosant agent is injected until all varices are obliterated. </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lastRenderedPageBreak/>
        <w:t xml:space="preserve">Hong </w:t>
      </w:r>
      <w:r w:rsidRPr="00335D38">
        <w:rPr>
          <w:rFonts w:ascii="Book Antiqua" w:hAnsi="Book Antiqua"/>
          <w:i/>
        </w:rPr>
        <w:t>et al</w:t>
      </w:r>
      <w:r w:rsidR="00335D38" w:rsidRPr="005D78CD">
        <w:rPr>
          <w:rFonts w:ascii="Book Antiqua" w:hAnsi="Book Antiqua"/>
          <w:vertAlign w:val="superscript"/>
        </w:rPr>
        <w:t>[32]</w:t>
      </w:r>
      <w:r w:rsidRPr="005D78CD">
        <w:rPr>
          <w:rFonts w:ascii="Book Antiqua" w:hAnsi="Book Antiqua"/>
        </w:rPr>
        <w:t xml:space="preserve"> compared BRTO with endoscopic injection of cyanoacrylate in the management of acute gastric variceal bleeding and high risk varices (≥ 5</w:t>
      </w:r>
      <w:r w:rsidR="00335D38">
        <w:rPr>
          <w:rFonts w:ascii="Book Antiqua" w:hAnsi="Book Antiqua" w:hint="eastAsia"/>
          <w:lang w:eastAsia="zh-CN"/>
        </w:rPr>
        <w:t xml:space="preserve"> </w:t>
      </w:r>
      <w:r w:rsidRPr="005D78CD">
        <w:rPr>
          <w:rFonts w:ascii="Book Antiqua" w:hAnsi="Book Antiqua"/>
        </w:rPr>
        <w:t xml:space="preserve">mm with red spots and Child’s grade B or C). The haemostasis and rebleeding rates of cyanocrylate were 100% and 71.4% respectively compared with 76.9% and 15.4% respectively for BRTO. This was a surprising high rate of rebleeding after cyanoacrylate treatment, but included a higher proportion of patients with active bleeding than most studies. Complications were similar. The patients who rebled were treated with rescue cyanoacrylate or BRTO. These results suggest that BRTO may have a role as rescue therapy in patients with gastric variceal bleeding. </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 xml:space="preserve">In a small randomized study performed by Choi </w:t>
      </w:r>
      <w:r w:rsidRPr="005D78CD">
        <w:rPr>
          <w:rFonts w:ascii="Book Antiqua" w:hAnsi="Book Antiqua"/>
          <w:i/>
        </w:rPr>
        <w:t>et al</w:t>
      </w:r>
      <w:r w:rsidR="00335D38" w:rsidRPr="005D78CD">
        <w:rPr>
          <w:rFonts w:ascii="Book Antiqua" w:hAnsi="Book Antiqua"/>
          <w:vertAlign w:val="superscript"/>
        </w:rPr>
        <w:t>[33]</w:t>
      </w:r>
      <w:r w:rsidRPr="005D78CD">
        <w:rPr>
          <w:rFonts w:ascii="Book Antiqua" w:hAnsi="Book Antiqua"/>
        </w:rPr>
        <w:t>, BRTO was compared with TIPS for the urgent treatment of active gastric variceal haemorrhage. No differences were found between the groups in immediate haemostasis, rebleeding or encephalopathy. BRTO can be an alternative to TIPS for the management of acute gastric variceal bleeding if gastro-renal shunts are present</w:t>
      </w:r>
      <w:r w:rsidRPr="005D78CD">
        <w:rPr>
          <w:rFonts w:ascii="Book Antiqua" w:hAnsi="Book Antiqua"/>
          <w:vertAlign w:val="superscript"/>
        </w:rPr>
        <w:t>[33]</w:t>
      </w:r>
      <w:r w:rsidRPr="005D78CD">
        <w:rPr>
          <w:rFonts w:ascii="Book Antiqua" w:hAnsi="Book Antiqua"/>
        </w:rPr>
        <w:t>. However it is rarely performed outside Asian centers</w:t>
      </w:r>
      <w:r w:rsidRPr="005D78CD">
        <w:rPr>
          <w:rFonts w:ascii="Book Antiqua" w:hAnsi="Book Antiqua"/>
          <w:vertAlign w:val="superscript"/>
        </w:rPr>
        <w:t>[34]</w:t>
      </w:r>
      <w:r w:rsidRPr="005D78CD">
        <w:rPr>
          <w:rFonts w:ascii="Book Antiqua" w:hAnsi="Book Antiqua"/>
        </w:rPr>
        <w:t>. None of AASLD, NICE or Baveno V guidelines specifically recommend BRTO as treatment for gastric varices.</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5D78CD" w:rsidRDefault="000B0CAE" w:rsidP="00335D38">
      <w:pPr>
        <w:widowControl w:val="0"/>
        <w:adjustRightInd w:val="0"/>
        <w:snapToGrid w:val="0"/>
        <w:spacing w:line="360" w:lineRule="auto"/>
        <w:jc w:val="both"/>
        <w:rPr>
          <w:rFonts w:ascii="Book Antiqua" w:hAnsi="Book Antiqua"/>
        </w:rPr>
      </w:pPr>
      <w:r w:rsidRPr="005D78CD">
        <w:rPr>
          <w:rFonts w:ascii="Book Antiqua" w:hAnsi="Book Antiqua"/>
          <w:b/>
        </w:rPr>
        <w:t>PREVENTION OF REBLEEDING (SECONDARY PROPHYLAXIS)</w:t>
      </w:r>
    </w:p>
    <w:p w:rsidR="000B0CAE" w:rsidRPr="005D78CD" w:rsidRDefault="000B0CAE" w:rsidP="00335D38">
      <w:pPr>
        <w:widowControl w:val="0"/>
        <w:adjustRightInd w:val="0"/>
        <w:snapToGrid w:val="0"/>
        <w:spacing w:line="360" w:lineRule="auto"/>
        <w:jc w:val="both"/>
        <w:rPr>
          <w:rFonts w:ascii="Book Antiqua" w:hAnsi="Book Antiqua"/>
        </w:rPr>
      </w:pPr>
      <w:r w:rsidRPr="005D78CD">
        <w:rPr>
          <w:rFonts w:ascii="Book Antiqua" w:hAnsi="Book Antiqua"/>
        </w:rPr>
        <w:t xml:space="preserve">Therapeutic options for the prevention of gastric variceal rebleeding include use of non-selective </w:t>
      </w:r>
      <w:r w:rsidRPr="005D78CD">
        <w:rPr>
          <w:rFonts w:ascii="Book Antiqua" w:hAnsi="Book Antiqua"/>
          <w:lang w:val="el-GR"/>
        </w:rPr>
        <w:t>β</w:t>
      </w:r>
      <w:r w:rsidRPr="005D78CD">
        <w:rPr>
          <w:rFonts w:ascii="Book Antiqua" w:hAnsi="Book Antiqua"/>
        </w:rPr>
        <w:t>-blockers, repeated endoscopic injection of tissue adhes</w:t>
      </w:r>
      <w:r w:rsidR="00335D38">
        <w:rPr>
          <w:rFonts w:ascii="Book Antiqua" w:hAnsi="Book Antiqua"/>
        </w:rPr>
        <w:t>ives, endoscopic band ligation</w:t>
      </w:r>
      <w:r w:rsidR="00335D38">
        <w:rPr>
          <w:rFonts w:ascii="Book Antiqua" w:hAnsi="Book Antiqua" w:hint="eastAsia"/>
          <w:lang w:eastAsia="zh-CN"/>
        </w:rPr>
        <w:t xml:space="preserve"> (</w:t>
      </w:r>
      <w:r w:rsidRPr="005D78CD">
        <w:rPr>
          <w:rFonts w:ascii="Book Antiqua" w:hAnsi="Book Antiqua"/>
        </w:rPr>
        <w:t>TIPS, BRTO), surgical intervention and liver transplantation.</w:t>
      </w:r>
    </w:p>
    <w:p w:rsidR="000B0CAE" w:rsidRPr="00335D38" w:rsidRDefault="000B0CAE" w:rsidP="00335D38">
      <w:pPr>
        <w:widowControl w:val="0"/>
        <w:adjustRightInd w:val="0"/>
        <w:snapToGrid w:val="0"/>
        <w:spacing w:line="360" w:lineRule="auto"/>
        <w:jc w:val="both"/>
        <w:rPr>
          <w:rFonts w:ascii="Book Antiqua" w:hAnsi="Book Antiqua"/>
          <w:b/>
          <w:i/>
        </w:rPr>
      </w:pPr>
    </w:p>
    <w:p w:rsidR="000B0CAE" w:rsidRPr="00335D38" w:rsidRDefault="000B0CAE" w:rsidP="00335D38">
      <w:pPr>
        <w:pStyle w:val="1"/>
        <w:keepNext w:val="0"/>
        <w:widowControl w:val="0"/>
        <w:adjustRightInd w:val="0"/>
        <w:snapToGrid w:val="0"/>
        <w:spacing w:before="0" w:after="0" w:line="360" w:lineRule="auto"/>
        <w:jc w:val="both"/>
        <w:rPr>
          <w:rFonts w:ascii="Book Antiqua" w:hAnsi="Book Antiqua"/>
          <w:i/>
          <w:sz w:val="24"/>
          <w:szCs w:val="24"/>
        </w:rPr>
      </w:pPr>
      <w:r w:rsidRPr="00335D38">
        <w:rPr>
          <w:rFonts w:ascii="Book Antiqua" w:hAnsi="Book Antiqua"/>
          <w:i/>
          <w:sz w:val="24"/>
          <w:szCs w:val="24"/>
        </w:rPr>
        <w:t xml:space="preserve">Non selective </w:t>
      </w:r>
      <w:r w:rsidRPr="00335D38">
        <w:rPr>
          <w:rFonts w:ascii="Book Antiqua" w:hAnsi="Book Antiqua"/>
          <w:i/>
          <w:sz w:val="24"/>
          <w:szCs w:val="24"/>
          <w:lang w:val="el-GR"/>
        </w:rPr>
        <w:t>β</w:t>
      </w:r>
      <w:r w:rsidRPr="00335D38">
        <w:rPr>
          <w:rFonts w:ascii="Book Antiqua" w:hAnsi="Book Antiqua"/>
          <w:i/>
          <w:sz w:val="24"/>
          <w:szCs w:val="24"/>
        </w:rPr>
        <w:t>-blockers</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 xml:space="preserve">A randomized controlled trial compared endoscopic cyanoacrylate injection with non-selective </w:t>
      </w:r>
      <w:r w:rsidRPr="005D78CD">
        <w:rPr>
          <w:rFonts w:ascii="Book Antiqua" w:hAnsi="Book Antiqua"/>
          <w:lang w:val="el-GR"/>
        </w:rPr>
        <w:t>β</w:t>
      </w:r>
      <w:r w:rsidRPr="005D78CD">
        <w:rPr>
          <w:rFonts w:ascii="Book Antiqua" w:hAnsi="Book Antiqua"/>
        </w:rPr>
        <w:t>-blockers in the secondary prevention of gastric variceal bleeding</w:t>
      </w:r>
      <w:r w:rsidRPr="005D78CD">
        <w:rPr>
          <w:rFonts w:ascii="Book Antiqua" w:hAnsi="Book Antiqua"/>
          <w:vertAlign w:val="superscript"/>
        </w:rPr>
        <w:t>[35]</w:t>
      </w:r>
      <w:r w:rsidRPr="005D78CD">
        <w:rPr>
          <w:rFonts w:ascii="Book Antiqua" w:hAnsi="Book Antiqua"/>
        </w:rPr>
        <w:t xml:space="preserve">. Patients with GOV-2 or IGV-1 were included and HVPG measurement was undertaken to assess the response to </w:t>
      </w:r>
      <w:r w:rsidRPr="005D78CD">
        <w:rPr>
          <w:rFonts w:ascii="Book Antiqua" w:hAnsi="Book Antiqua"/>
          <w:lang w:val="el-GR"/>
        </w:rPr>
        <w:t>β</w:t>
      </w:r>
      <w:r w:rsidRPr="005D78CD">
        <w:rPr>
          <w:rFonts w:ascii="Book Antiqua" w:hAnsi="Book Antiqua"/>
        </w:rPr>
        <w:t xml:space="preserve">-blockade. The cumulative two year survival rates in the cyanoacrylate and </w:t>
      </w:r>
      <w:r w:rsidRPr="005D78CD">
        <w:rPr>
          <w:rFonts w:ascii="Book Antiqua" w:hAnsi="Book Antiqua"/>
          <w:lang w:val="el-GR"/>
        </w:rPr>
        <w:t>β</w:t>
      </w:r>
      <w:r w:rsidRPr="005D78CD">
        <w:rPr>
          <w:rFonts w:ascii="Book Antiqua" w:hAnsi="Book Antiqua"/>
        </w:rPr>
        <w:t xml:space="preserve">-blocker groups </w:t>
      </w:r>
      <w:r w:rsidRPr="005D78CD">
        <w:rPr>
          <w:rFonts w:ascii="Book Antiqua" w:hAnsi="Book Antiqua"/>
        </w:rPr>
        <w:lastRenderedPageBreak/>
        <w:t xml:space="preserve">were 90% and 52% respectively, with the difference linked to higher rebleeding in the </w:t>
      </w:r>
      <w:r w:rsidRPr="005D78CD">
        <w:rPr>
          <w:rFonts w:ascii="Book Antiqua" w:hAnsi="Book Antiqua"/>
          <w:lang w:val="el-GR"/>
        </w:rPr>
        <w:t>β</w:t>
      </w:r>
      <w:r w:rsidRPr="005D78CD">
        <w:rPr>
          <w:rFonts w:ascii="Book Antiqua" w:hAnsi="Book Antiqua"/>
        </w:rPr>
        <w:t xml:space="preserve">-blocker group. The median HVPG in the group treated with </w:t>
      </w:r>
      <w:r w:rsidRPr="005D78CD">
        <w:rPr>
          <w:rFonts w:ascii="Book Antiqua" w:hAnsi="Book Antiqua"/>
          <w:lang w:val="el-GR"/>
        </w:rPr>
        <w:t>β</w:t>
      </w:r>
      <w:r w:rsidRPr="005D78CD">
        <w:rPr>
          <w:rFonts w:ascii="Book Antiqua" w:hAnsi="Book Antiqua"/>
        </w:rPr>
        <w:t>-blockers fell on follow-up but rose in the cyanoacrylate group, which may be attributed to redistribution of blood flow in the portal system after variceal obturation. There was no di</w:t>
      </w:r>
      <w:r w:rsidR="00335D38">
        <w:rPr>
          <w:rFonts w:ascii="Book Antiqua" w:hAnsi="Book Antiqua"/>
        </w:rPr>
        <w:t>fference in complication rates.</w:t>
      </w:r>
    </w:p>
    <w:p w:rsidR="000B0CAE" w:rsidRPr="005D78CD" w:rsidRDefault="000B0CAE" w:rsidP="00335D3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 xml:space="preserve">Another recent randomized controlled trial was reported by Hung </w:t>
      </w:r>
      <w:r w:rsidRPr="005D78CD">
        <w:rPr>
          <w:rFonts w:ascii="Book Antiqua" w:hAnsi="Book Antiqua"/>
          <w:i/>
        </w:rPr>
        <w:t>et al</w:t>
      </w:r>
      <w:r w:rsidR="00335D38" w:rsidRPr="005D78CD">
        <w:rPr>
          <w:rFonts w:ascii="Book Antiqua" w:hAnsi="Book Antiqua"/>
          <w:vertAlign w:val="superscript"/>
        </w:rPr>
        <w:t>[36]</w:t>
      </w:r>
      <w:r w:rsidRPr="005D78CD">
        <w:rPr>
          <w:rFonts w:ascii="Book Antiqua" w:hAnsi="Book Antiqua"/>
        </w:rPr>
        <w:t xml:space="preserve"> compared repeated gastric variceal obturation with or without non-selective </w:t>
      </w:r>
      <w:r w:rsidRPr="005D78CD">
        <w:rPr>
          <w:rFonts w:ascii="Book Antiqua" w:hAnsi="Book Antiqua"/>
          <w:lang w:val="el-GR"/>
        </w:rPr>
        <w:t>β</w:t>
      </w:r>
      <w:r w:rsidRPr="005D78CD">
        <w:rPr>
          <w:rFonts w:ascii="Book Antiqua" w:hAnsi="Book Antiqua"/>
        </w:rPr>
        <w:t xml:space="preserve">-blockers in patients with bleeding GOV-2 and IGV-1. The overall mortality and rebleeding rates during follow-up were similar in the two groups although adverse effects were more common in the combination group. Therefore combining non-selective </w:t>
      </w:r>
      <w:r w:rsidRPr="005D78CD">
        <w:rPr>
          <w:rFonts w:ascii="Book Antiqua" w:hAnsi="Book Antiqua"/>
          <w:lang w:val="el-GR"/>
        </w:rPr>
        <w:t>β</w:t>
      </w:r>
      <w:r w:rsidRPr="005D78CD">
        <w:rPr>
          <w:rFonts w:ascii="Book Antiqua" w:hAnsi="Book Antiqua"/>
        </w:rPr>
        <w:t xml:space="preserve">-blockers with gastric variceal obturation does not appear to have a role in preventing GOV-2 or IGV-1 rebleeding. However the use of non-selective </w:t>
      </w:r>
      <w:r w:rsidRPr="005D78CD">
        <w:rPr>
          <w:rFonts w:ascii="Book Antiqua" w:hAnsi="Book Antiqua"/>
          <w:lang w:val="el-GR"/>
        </w:rPr>
        <w:t>β</w:t>
      </w:r>
      <w:r w:rsidRPr="005D78CD">
        <w:rPr>
          <w:rFonts w:ascii="Book Antiqua" w:hAnsi="Book Antiqua"/>
        </w:rPr>
        <w:t>-blockers may have a role in GOV-1, similar to the management of oesophageal varices</w:t>
      </w:r>
      <w:r w:rsidRPr="005D78CD">
        <w:rPr>
          <w:rFonts w:ascii="Book Antiqua" w:hAnsi="Book Antiqua"/>
          <w:vertAlign w:val="superscript"/>
        </w:rPr>
        <w:t>[5]</w:t>
      </w:r>
      <w:r w:rsidRPr="005D78CD">
        <w:rPr>
          <w:rFonts w:ascii="Book Antiqua" w:hAnsi="Book Antiqua"/>
        </w:rPr>
        <w:t>.</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335D38" w:rsidRDefault="000B0CAE" w:rsidP="00335D38">
      <w:pPr>
        <w:widowControl w:val="0"/>
        <w:adjustRightInd w:val="0"/>
        <w:snapToGrid w:val="0"/>
        <w:spacing w:line="360" w:lineRule="auto"/>
        <w:jc w:val="both"/>
        <w:rPr>
          <w:rFonts w:ascii="Book Antiqua" w:hAnsi="Book Antiqua"/>
          <w:b/>
          <w:i/>
        </w:rPr>
      </w:pPr>
      <w:r w:rsidRPr="00335D38">
        <w:rPr>
          <w:rFonts w:ascii="Book Antiqua" w:hAnsi="Book Antiqua"/>
          <w:b/>
          <w:i/>
        </w:rPr>
        <w:t>Endoscopic therapies</w:t>
      </w:r>
    </w:p>
    <w:p w:rsidR="000B0CAE" w:rsidRPr="005D78CD" w:rsidRDefault="000B0CAE" w:rsidP="00335D38">
      <w:pPr>
        <w:widowControl w:val="0"/>
        <w:adjustRightInd w:val="0"/>
        <w:snapToGrid w:val="0"/>
        <w:spacing w:line="360" w:lineRule="auto"/>
        <w:jc w:val="both"/>
        <w:rPr>
          <w:rFonts w:ascii="Book Antiqua" w:hAnsi="Book Antiqua"/>
          <w:bCs/>
        </w:rPr>
      </w:pPr>
      <w:r w:rsidRPr="00335D38">
        <w:rPr>
          <w:rStyle w:val="1Char"/>
          <w:rFonts w:ascii="Book Antiqua" w:hAnsi="Book Antiqua"/>
          <w:bCs/>
          <w:sz w:val="24"/>
        </w:rPr>
        <w:t>Variceal banding</w:t>
      </w:r>
      <w:r w:rsidR="00335D38">
        <w:rPr>
          <w:rStyle w:val="1Char"/>
          <w:rFonts w:ascii="Book Antiqua" w:hAnsi="Book Antiqua" w:hint="eastAsia"/>
          <w:bCs/>
          <w:sz w:val="24"/>
          <w:lang w:eastAsia="zh-CN"/>
        </w:rPr>
        <w:t xml:space="preserve">: </w:t>
      </w:r>
      <w:r w:rsidRPr="005D78CD">
        <w:rPr>
          <w:rFonts w:ascii="Book Antiqua" w:hAnsi="Book Antiqua"/>
          <w:bCs/>
        </w:rPr>
        <w:t>Due to the issues described above, variceal banding is generally only used as secondary prophylaxis for GOV-1 varices, but not for other types of gastric varices.</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E22178" w:rsidRDefault="000B0CAE" w:rsidP="00E22178">
      <w:pPr>
        <w:pStyle w:val="1"/>
        <w:keepNext w:val="0"/>
        <w:widowControl w:val="0"/>
        <w:adjustRightInd w:val="0"/>
        <w:snapToGrid w:val="0"/>
        <w:spacing w:before="0" w:after="0" w:line="360" w:lineRule="auto"/>
        <w:jc w:val="both"/>
        <w:rPr>
          <w:rFonts w:ascii="Book Antiqua" w:hAnsi="Book Antiqua"/>
          <w:b w:val="0"/>
          <w:sz w:val="24"/>
          <w:szCs w:val="24"/>
          <w:lang w:eastAsia="zh-CN"/>
        </w:rPr>
      </w:pPr>
      <w:r w:rsidRPr="00335D38">
        <w:rPr>
          <w:rFonts w:ascii="Book Antiqua" w:hAnsi="Book Antiqua"/>
          <w:sz w:val="24"/>
          <w:szCs w:val="24"/>
        </w:rPr>
        <w:t>Tissue adhesives</w:t>
      </w:r>
      <w:r w:rsidR="00335D38">
        <w:rPr>
          <w:rFonts w:ascii="Book Antiqua" w:hAnsi="Book Antiqua" w:hint="eastAsia"/>
          <w:sz w:val="24"/>
          <w:szCs w:val="24"/>
          <w:lang w:eastAsia="zh-CN"/>
        </w:rPr>
        <w:t xml:space="preserve">: </w:t>
      </w:r>
      <w:r w:rsidRPr="00335D38">
        <w:rPr>
          <w:rFonts w:ascii="Book Antiqua" w:hAnsi="Book Antiqua"/>
          <w:b w:val="0"/>
          <w:sz w:val="24"/>
          <w:szCs w:val="24"/>
        </w:rPr>
        <w:t xml:space="preserve">As noted above, cyanoacrylate injection is significantly more effective than </w:t>
      </w:r>
      <w:r w:rsidRPr="00335D38">
        <w:rPr>
          <w:rFonts w:ascii="Book Antiqua" w:hAnsi="Book Antiqua"/>
          <w:b w:val="0"/>
          <w:sz w:val="24"/>
          <w:szCs w:val="24"/>
          <w:lang w:val="el-GR"/>
        </w:rPr>
        <w:t>β</w:t>
      </w:r>
      <w:r w:rsidRPr="00335D38">
        <w:rPr>
          <w:rFonts w:ascii="Book Antiqua" w:hAnsi="Book Antiqua"/>
          <w:b w:val="0"/>
          <w:sz w:val="24"/>
          <w:szCs w:val="24"/>
        </w:rPr>
        <w:t>-blocker treatment for the prevention of rebleeding from gastric varices</w:t>
      </w:r>
      <w:r w:rsidRPr="00335D38">
        <w:rPr>
          <w:rFonts w:ascii="Book Antiqua" w:hAnsi="Book Antiqua"/>
          <w:b w:val="0"/>
          <w:sz w:val="24"/>
          <w:szCs w:val="24"/>
          <w:vertAlign w:val="superscript"/>
        </w:rPr>
        <w:t>[35]</w:t>
      </w:r>
      <w:r w:rsidRPr="00335D38">
        <w:rPr>
          <w:rFonts w:ascii="Book Antiqua" w:hAnsi="Book Antiqua"/>
          <w:b w:val="0"/>
          <w:sz w:val="24"/>
          <w:szCs w:val="24"/>
        </w:rPr>
        <w:t xml:space="preserve"> and has a lower rebleeding rate compared with band ligation in this situation</w:t>
      </w:r>
      <w:r w:rsidRPr="00335D38">
        <w:rPr>
          <w:rFonts w:ascii="Book Antiqua" w:hAnsi="Book Antiqua"/>
          <w:b w:val="0"/>
          <w:sz w:val="24"/>
          <w:szCs w:val="24"/>
          <w:vertAlign w:val="superscript"/>
        </w:rPr>
        <w:t>[12]</w:t>
      </w:r>
      <w:r w:rsidRPr="00335D38">
        <w:rPr>
          <w:rFonts w:ascii="Book Antiqua" w:hAnsi="Book Antiqua"/>
          <w:b w:val="0"/>
          <w:sz w:val="24"/>
          <w:szCs w:val="24"/>
        </w:rPr>
        <w:t>. As stated above, in a randomized study, rebleeding was higher in patients treated with cyanocrylate compared with TIPS</w:t>
      </w:r>
      <w:r w:rsidRPr="00335D38">
        <w:rPr>
          <w:rFonts w:ascii="Book Antiqua" w:hAnsi="Book Antiqua"/>
          <w:b w:val="0"/>
          <w:sz w:val="24"/>
          <w:szCs w:val="24"/>
          <w:vertAlign w:val="superscript"/>
        </w:rPr>
        <w:t>[22]</w:t>
      </w:r>
      <w:r w:rsidRPr="00335D38">
        <w:rPr>
          <w:rFonts w:ascii="Book Antiqua" w:hAnsi="Book Antiqua"/>
          <w:b w:val="0"/>
          <w:sz w:val="24"/>
          <w:szCs w:val="24"/>
        </w:rPr>
        <w:t>. However both therapies have similar survival, and there are fewer complications with cyanocrylate which also appears more cost-effective</w:t>
      </w:r>
      <w:r w:rsidRPr="00335D38">
        <w:rPr>
          <w:rFonts w:ascii="Book Antiqua" w:hAnsi="Book Antiqua"/>
          <w:b w:val="0"/>
          <w:sz w:val="24"/>
          <w:szCs w:val="24"/>
          <w:vertAlign w:val="superscript"/>
        </w:rPr>
        <w:t>[22-24]</w:t>
      </w:r>
      <w:r w:rsidRPr="00335D38">
        <w:rPr>
          <w:rFonts w:ascii="Book Antiqua" w:hAnsi="Book Antiqua"/>
          <w:b w:val="0"/>
          <w:sz w:val="24"/>
          <w:szCs w:val="24"/>
        </w:rPr>
        <w:t xml:space="preserve">. </w:t>
      </w:r>
    </w:p>
    <w:p w:rsidR="000B0CAE" w:rsidRPr="005D78CD" w:rsidRDefault="000B0CAE" w:rsidP="00E2217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The U</w:t>
      </w:r>
      <w:r w:rsidR="00E22178">
        <w:rPr>
          <w:rFonts w:ascii="Book Antiqua" w:hAnsi="Book Antiqua" w:hint="eastAsia"/>
          <w:lang w:eastAsia="zh-CN"/>
        </w:rPr>
        <w:t>nited Kingdom</w:t>
      </w:r>
      <w:r w:rsidRPr="005D78CD">
        <w:rPr>
          <w:rFonts w:ascii="Book Antiqua" w:hAnsi="Book Antiqua"/>
        </w:rPr>
        <w:t xml:space="preserve"> study reporting long-term results of endoscopic histoacryl injection in gastric variceal bleeding reported a rebleeding rate of 16%. The mean overall follow-up was 35 mo</w:t>
      </w:r>
      <w:r w:rsidR="00E22178" w:rsidRPr="005D78CD">
        <w:rPr>
          <w:rFonts w:ascii="Book Antiqua" w:hAnsi="Book Antiqua"/>
          <w:vertAlign w:val="superscript"/>
        </w:rPr>
        <w:t xml:space="preserve"> </w:t>
      </w:r>
      <w:r w:rsidRPr="005D78CD">
        <w:rPr>
          <w:rFonts w:ascii="Book Antiqua" w:hAnsi="Book Antiqua"/>
          <w:vertAlign w:val="superscript"/>
        </w:rPr>
        <w:t>[17]</w:t>
      </w:r>
      <w:r w:rsidR="00E22178">
        <w:rPr>
          <w:rFonts w:ascii="Book Antiqua" w:hAnsi="Book Antiqua"/>
        </w:rPr>
        <w:t>. The Canadian study</w:t>
      </w:r>
      <w:r w:rsidRPr="005D78CD">
        <w:rPr>
          <w:rFonts w:ascii="Book Antiqua" w:hAnsi="Book Antiqua"/>
        </w:rPr>
        <w:t>, with a median follow-up period of 14 mo, reported a late rebleeding rate of 28%</w:t>
      </w:r>
      <w:r w:rsidRPr="005D78CD">
        <w:rPr>
          <w:rFonts w:ascii="Book Antiqua" w:hAnsi="Book Antiqua"/>
          <w:vertAlign w:val="superscript"/>
        </w:rPr>
        <w:t>[18]</w:t>
      </w:r>
      <w:r w:rsidRPr="005D78CD">
        <w:rPr>
          <w:rFonts w:ascii="Book Antiqua" w:hAnsi="Book Antiqua"/>
        </w:rPr>
        <w:t xml:space="preserve">. </w:t>
      </w:r>
      <w:r w:rsidRPr="005D78CD">
        <w:rPr>
          <w:rFonts w:ascii="Book Antiqua" w:hAnsi="Book Antiqua"/>
        </w:rPr>
        <w:lastRenderedPageBreak/>
        <w:t>During a follow-up period of 30 mo, 8% of the patients in Cheng’s study had recurrent bleeding</w:t>
      </w:r>
      <w:r w:rsidRPr="005D78CD">
        <w:rPr>
          <w:rFonts w:ascii="Book Antiqua" w:hAnsi="Book Antiqua"/>
          <w:vertAlign w:val="superscript"/>
        </w:rPr>
        <w:t>[19]</w:t>
      </w:r>
      <w:r w:rsidRPr="005D78CD">
        <w:rPr>
          <w:rFonts w:ascii="Book Antiqua" w:hAnsi="Book Antiqua"/>
        </w:rPr>
        <w:t>.</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Current evidence on the use of tissue adhesives for gastric variceal bleeding report re-bleeding rates of 7</w:t>
      </w:r>
      <w:r w:rsidR="00E22178">
        <w:rPr>
          <w:rFonts w:ascii="Book Antiqua" w:hAnsi="Book Antiqua" w:hint="eastAsia"/>
          <w:lang w:eastAsia="zh-CN"/>
        </w:rPr>
        <w:t>%</w:t>
      </w:r>
      <w:r w:rsidRPr="005D78CD">
        <w:rPr>
          <w:rFonts w:ascii="Book Antiqua" w:hAnsi="Book Antiqua"/>
        </w:rPr>
        <w:t>-38%, with relatively few complications (Table 1).</w:t>
      </w:r>
    </w:p>
    <w:p w:rsidR="00E22178" w:rsidRPr="00E22178" w:rsidRDefault="00E22178" w:rsidP="00335D38">
      <w:pPr>
        <w:pStyle w:val="1"/>
        <w:keepNext w:val="0"/>
        <w:widowControl w:val="0"/>
        <w:adjustRightInd w:val="0"/>
        <w:snapToGrid w:val="0"/>
        <w:spacing w:before="0" w:after="0" w:line="360" w:lineRule="auto"/>
        <w:jc w:val="both"/>
        <w:rPr>
          <w:rFonts w:ascii="Book Antiqua" w:hAnsi="Book Antiqua"/>
          <w:sz w:val="24"/>
          <w:szCs w:val="24"/>
          <w:lang w:eastAsia="zh-CN"/>
        </w:rPr>
      </w:pPr>
    </w:p>
    <w:p w:rsidR="000B0CAE" w:rsidRPr="00E22178" w:rsidRDefault="000B0CAE" w:rsidP="00E22178">
      <w:pPr>
        <w:pStyle w:val="1"/>
        <w:keepNext w:val="0"/>
        <w:widowControl w:val="0"/>
        <w:adjustRightInd w:val="0"/>
        <w:snapToGrid w:val="0"/>
        <w:spacing w:before="0" w:after="0" w:line="360" w:lineRule="auto"/>
        <w:jc w:val="both"/>
        <w:rPr>
          <w:rFonts w:ascii="Book Antiqua" w:hAnsi="Book Antiqua"/>
          <w:b w:val="0"/>
          <w:sz w:val="24"/>
          <w:szCs w:val="24"/>
        </w:rPr>
      </w:pPr>
      <w:r w:rsidRPr="00E22178">
        <w:rPr>
          <w:rFonts w:ascii="Book Antiqua" w:hAnsi="Book Antiqua"/>
          <w:sz w:val="24"/>
          <w:szCs w:val="24"/>
        </w:rPr>
        <w:t>Thrombin</w:t>
      </w:r>
      <w:r w:rsidR="00E22178">
        <w:rPr>
          <w:rFonts w:ascii="Book Antiqua" w:hAnsi="Book Antiqua" w:hint="eastAsia"/>
          <w:sz w:val="24"/>
          <w:szCs w:val="24"/>
          <w:lang w:eastAsia="zh-CN"/>
        </w:rPr>
        <w:t xml:space="preserve">: </w:t>
      </w:r>
      <w:r w:rsidRPr="00E22178">
        <w:rPr>
          <w:rFonts w:ascii="Book Antiqua" w:hAnsi="Book Antiqua"/>
          <w:b w:val="0"/>
          <w:sz w:val="24"/>
          <w:szCs w:val="24"/>
        </w:rPr>
        <w:t>Thrombin seems to be an effective and safe treatment to reduce gastric variceal rebleeding and repeated injections to achieve eradication may not be necessary</w:t>
      </w:r>
      <w:r w:rsidRPr="00E22178">
        <w:rPr>
          <w:rFonts w:ascii="Book Antiqua" w:hAnsi="Book Antiqua"/>
          <w:b w:val="0"/>
          <w:sz w:val="24"/>
          <w:szCs w:val="24"/>
          <w:vertAlign w:val="superscript"/>
        </w:rPr>
        <w:t>[25-29]</w:t>
      </w:r>
      <w:r w:rsidRPr="00E22178">
        <w:rPr>
          <w:rFonts w:ascii="Book Antiqua" w:hAnsi="Book Antiqua"/>
          <w:b w:val="0"/>
          <w:sz w:val="24"/>
          <w:szCs w:val="24"/>
        </w:rPr>
        <w:t>. Reported rates of rebleeding vary from 0-27% (Table 2)</w:t>
      </w:r>
      <w:r w:rsidRPr="00E22178">
        <w:rPr>
          <w:rFonts w:ascii="Book Antiqua" w:hAnsi="Book Antiqua"/>
          <w:b w:val="0"/>
          <w:sz w:val="24"/>
          <w:szCs w:val="24"/>
          <w:vertAlign w:val="superscript"/>
        </w:rPr>
        <w:t>[26-29]</w:t>
      </w:r>
      <w:r w:rsidRPr="00E22178">
        <w:rPr>
          <w:rFonts w:ascii="Book Antiqua" w:hAnsi="Book Antiqua"/>
          <w:b w:val="0"/>
          <w:sz w:val="24"/>
          <w:szCs w:val="24"/>
        </w:rPr>
        <w:t>. As indicated above, more studies are needed to provide comparative data with other treatment modalities before thrombin injection can be routinely used for prevention of gastric variceal rebleeding.</w:t>
      </w:r>
    </w:p>
    <w:p w:rsidR="000B0CAE" w:rsidRPr="005D78CD" w:rsidRDefault="000B0CAE" w:rsidP="00335D38">
      <w:pPr>
        <w:widowControl w:val="0"/>
        <w:adjustRightInd w:val="0"/>
        <w:snapToGrid w:val="0"/>
        <w:spacing w:line="360" w:lineRule="auto"/>
        <w:jc w:val="both"/>
        <w:rPr>
          <w:rFonts w:ascii="Book Antiqua" w:hAnsi="Book Antiqua"/>
          <w:lang w:eastAsia="zh-CN"/>
        </w:rPr>
      </w:pPr>
    </w:p>
    <w:p w:rsidR="000B0CAE" w:rsidRPr="00E22178" w:rsidRDefault="000B0CAE" w:rsidP="00335D38">
      <w:pPr>
        <w:widowControl w:val="0"/>
        <w:adjustRightInd w:val="0"/>
        <w:snapToGrid w:val="0"/>
        <w:spacing w:line="360" w:lineRule="auto"/>
        <w:jc w:val="both"/>
        <w:rPr>
          <w:rFonts w:ascii="Book Antiqua" w:hAnsi="Book Antiqua"/>
          <w:b/>
          <w:i/>
        </w:rPr>
      </w:pPr>
      <w:r w:rsidRPr="00E22178">
        <w:rPr>
          <w:rFonts w:ascii="Book Antiqua" w:hAnsi="Book Antiqua"/>
          <w:b/>
          <w:i/>
        </w:rPr>
        <w:t>Radiologic therapies</w:t>
      </w:r>
    </w:p>
    <w:p w:rsidR="000B0CAE" w:rsidRPr="00E22178" w:rsidRDefault="000B0CAE" w:rsidP="00E22178">
      <w:pPr>
        <w:pStyle w:val="1"/>
        <w:keepNext w:val="0"/>
        <w:widowControl w:val="0"/>
        <w:adjustRightInd w:val="0"/>
        <w:snapToGrid w:val="0"/>
        <w:spacing w:before="0" w:after="0" w:line="360" w:lineRule="auto"/>
        <w:jc w:val="both"/>
        <w:rPr>
          <w:rFonts w:ascii="Book Antiqua" w:hAnsi="Book Antiqua"/>
          <w:b w:val="0"/>
          <w:sz w:val="24"/>
          <w:szCs w:val="24"/>
        </w:rPr>
      </w:pPr>
      <w:r w:rsidRPr="00E22178">
        <w:rPr>
          <w:rFonts w:ascii="Book Antiqua" w:hAnsi="Book Antiqua"/>
          <w:sz w:val="24"/>
          <w:szCs w:val="24"/>
        </w:rPr>
        <w:t>TIPS</w:t>
      </w:r>
      <w:r w:rsidR="00E22178">
        <w:rPr>
          <w:rFonts w:ascii="Book Antiqua" w:hAnsi="Book Antiqua" w:hint="eastAsia"/>
          <w:sz w:val="24"/>
          <w:szCs w:val="24"/>
          <w:lang w:eastAsia="zh-CN"/>
        </w:rPr>
        <w:t xml:space="preserve">: </w:t>
      </w:r>
      <w:r w:rsidRPr="00E22178">
        <w:rPr>
          <w:rFonts w:ascii="Book Antiqua" w:hAnsi="Book Antiqua"/>
          <w:b w:val="0"/>
          <w:sz w:val="24"/>
          <w:szCs w:val="24"/>
        </w:rPr>
        <w:t>Tripathi described TIPS placement in 40 patients with gastric variceal bleeding, 232 with oesophageal, 12 with oesophageal and gastric and 8 with ectopic variceal bleeding</w:t>
      </w:r>
      <w:r w:rsidRPr="00E22178">
        <w:rPr>
          <w:rFonts w:ascii="Book Antiqua" w:hAnsi="Book Antiqua"/>
          <w:b w:val="0"/>
          <w:sz w:val="24"/>
          <w:szCs w:val="24"/>
          <w:vertAlign w:val="superscript"/>
        </w:rPr>
        <w:t>[37]</w:t>
      </w:r>
      <w:r w:rsidRPr="00E22178">
        <w:rPr>
          <w:rFonts w:ascii="Book Antiqua" w:hAnsi="Book Antiqua"/>
          <w:b w:val="0"/>
          <w:sz w:val="24"/>
          <w:szCs w:val="24"/>
        </w:rPr>
        <w:t>. All of the patients had portal hypertension due to parenchymal liver disease. The portal pressure gradient (PPG) before TIPS was lower in the patients with gastric variceal bleeding. 14.7% of the patients with oesophageal varices and 20% with gastric varices rebled. Complication rates were similar. Mortality was lower in patients with gastric varices, but only if pre-TIPS PPG was ≥</w:t>
      </w:r>
      <w:r w:rsidR="00E22178">
        <w:rPr>
          <w:rFonts w:ascii="Book Antiqua" w:hAnsi="Book Antiqua" w:hint="eastAsia"/>
          <w:b w:val="0"/>
          <w:sz w:val="24"/>
          <w:szCs w:val="24"/>
          <w:lang w:eastAsia="zh-CN"/>
        </w:rPr>
        <w:t xml:space="preserve"> </w:t>
      </w:r>
      <w:r w:rsidRPr="00E22178">
        <w:rPr>
          <w:rFonts w:ascii="Book Antiqua" w:hAnsi="Book Antiqua"/>
          <w:b w:val="0"/>
          <w:sz w:val="24"/>
          <w:szCs w:val="24"/>
        </w:rPr>
        <w:t>12 mmHg. Most patients who bled after TIPS had a PPG &gt; 7 mmHg suggesting this may be the target to protect against gastric variceal rebleeding. TIPS insertion appears effective for the prevention of gastric variceal rebleeding, although it is more invasive than endoscopic methods, has associated risks of encephalopathy and is not always available</w:t>
      </w:r>
      <w:r w:rsidRPr="00E22178">
        <w:rPr>
          <w:rFonts w:ascii="Book Antiqua" w:hAnsi="Book Antiqua"/>
          <w:b w:val="0"/>
          <w:sz w:val="24"/>
          <w:szCs w:val="24"/>
          <w:vertAlign w:val="superscript"/>
        </w:rPr>
        <w:t>[22,30,37]</w:t>
      </w:r>
      <w:r w:rsidRPr="00E22178">
        <w:rPr>
          <w:rFonts w:ascii="Book Antiqua" w:hAnsi="Book Antiqua"/>
          <w:b w:val="0"/>
          <w:sz w:val="24"/>
          <w:szCs w:val="24"/>
        </w:rPr>
        <w:t xml:space="preserve">. </w:t>
      </w:r>
    </w:p>
    <w:p w:rsidR="00E22178" w:rsidRDefault="00E22178" w:rsidP="00335D38">
      <w:pPr>
        <w:pStyle w:val="1"/>
        <w:keepNext w:val="0"/>
        <w:widowControl w:val="0"/>
        <w:adjustRightInd w:val="0"/>
        <w:snapToGrid w:val="0"/>
        <w:spacing w:before="0" w:after="0" w:line="360" w:lineRule="auto"/>
        <w:jc w:val="both"/>
        <w:rPr>
          <w:rFonts w:ascii="Book Antiqua" w:hAnsi="Book Antiqua"/>
          <w:b w:val="0"/>
          <w:i/>
          <w:sz w:val="24"/>
          <w:szCs w:val="24"/>
          <w:lang w:eastAsia="zh-CN"/>
        </w:rPr>
      </w:pPr>
    </w:p>
    <w:p w:rsidR="000B0CAE" w:rsidRPr="005D78CD" w:rsidRDefault="00E22178" w:rsidP="00335D38">
      <w:pPr>
        <w:widowControl w:val="0"/>
        <w:adjustRightInd w:val="0"/>
        <w:snapToGrid w:val="0"/>
        <w:spacing w:line="360" w:lineRule="auto"/>
        <w:jc w:val="both"/>
        <w:rPr>
          <w:rFonts w:ascii="Book Antiqua" w:hAnsi="Book Antiqua"/>
          <w:lang w:eastAsia="zh-CN"/>
        </w:rPr>
      </w:pPr>
      <w:r w:rsidRPr="00E22178">
        <w:rPr>
          <w:rFonts w:ascii="Book Antiqua" w:hAnsi="Book Antiqua" w:hint="eastAsia"/>
          <w:b/>
          <w:lang w:eastAsia="zh-CN"/>
        </w:rPr>
        <w:t>BRTO:</w:t>
      </w:r>
      <w:r>
        <w:rPr>
          <w:rFonts w:ascii="Book Antiqua" w:hAnsi="Book Antiqua" w:hint="eastAsia"/>
          <w:lang w:eastAsia="zh-CN"/>
        </w:rPr>
        <w:t xml:space="preserve"> </w:t>
      </w:r>
      <w:r w:rsidR="000B0CAE" w:rsidRPr="005D78CD">
        <w:rPr>
          <w:rFonts w:ascii="Book Antiqua" w:hAnsi="Book Antiqua"/>
        </w:rPr>
        <w:t>A retrospective study performed by Jang evaluated the clinical outcomes of BRTO for the management of gastric variceal hemorrhage</w:t>
      </w:r>
      <w:r w:rsidR="000B0CAE" w:rsidRPr="005D78CD">
        <w:rPr>
          <w:rFonts w:ascii="Book Antiqua" w:hAnsi="Book Antiqua"/>
          <w:vertAlign w:val="superscript"/>
        </w:rPr>
        <w:t>[38]</w:t>
      </w:r>
      <w:r w:rsidR="000B0CAE" w:rsidRPr="005D78CD">
        <w:rPr>
          <w:rFonts w:ascii="Book Antiqua" w:hAnsi="Book Antiqua"/>
        </w:rPr>
        <w:t xml:space="preserve">. In 183 patents with confirmed gastric variceal bleeding, BRTO was performed </w:t>
      </w:r>
      <w:r w:rsidR="000B0CAE" w:rsidRPr="005D78CD">
        <w:rPr>
          <w:rFonts w:ascii="Book Antiqua" w:hAnsi="Book Antiqua"/>
        </w:rPr>
        <w:lastRenderedPageBreak/>
        <w:t xml:space="preserve">with a technical success of 96.7%, and procedure-related complications occurred in 4.4%.Overall rebleeding rate was 22%. </w:t>
      </w:r>
    </w:p>
    <w:p w:rsidR="000B0CAE" w:rsidRPr="005D78CD" w:rsidRDefault="000B0CAE" w:rsidP="00E22178">
      <w:pPr>
        <w:widowControl w:val="0"/>
        <w:autoSpaceDE w:val="0"/>
        <w:autoSpaceDN w:val="0"/>
        <w:adjustRightInd w:val="0"/>
        <w:snapToGrid w:val="0"/>
        <w:spacing w:line="360" w:lineRule="auto"/>
        <w:ind w:firstLineChars="100" w:firstLine="240"/>
        <w:jc w:val="both"/>
        <w:rPr>
          <w:rFonts w:ascii="Book Antiqua" w:hAnsi="Book Antiqua"/>
        </w:rPr>
      </w:pPr>
      <w:r w:rsidRPr="005D78CD">
        <w:rPr>
          <w:rFonts w:ascii="Book Antiqua" w:hAnsi="Book Antiqua"/>
        </w:rPr>
        <w:t>Cho</w:t>
      </w:r>
      <w:r w:rsidR="00E22178" w:rsidRPr="005D78CD">
        <w:rPr>
          <w:rFonts w:ascii="Book Antiqua" w:hAnsi="Book Antiqua"/>
          <w:vertAlign w:val="superscript"/>
        </w:rPr>
        <w:t>[39]</w:t>
      </w:r>
      <w:r w:rsidRPr="005D78CD">
        <w:rPr>
          <w:rFonts w:ascii="Book Antiqua" w:hAnsi="Book Antiqua"/>
        </w:rPr>
        <w:t xml:space="preserve"> evaluated clinical outcomes of BRTO in 49 patients who had gastric varices with spontaneous gastro-systemic shunts. Procedural success rate was 83.7% but there were two procedure-related deaths. Other complications included fever, ascites, pleural effusion, portal vein thrombosis, pulmonary thromboembolism and hemoglobinuria. No variceal recurrence or rebleedingwas noted. </w:t>
      </w:r>
      <w:r w:rsidRPr="005D78CD">
        <w:rPr>
          <w:rFonts w:ascii="Book Antiqua" w:hAnsi="Book Antiqua"/>
          <w:bCs/>
        </w:rPr>
        <w:t>BRTO can increase PPG, secondary to increased hepato-portal flow and may aggravate pre-existing oesophageal varices and ascites</w:t>
      </w:r>
      <w:r w:rsidRPr="005D78CD">
        <w:rPr>
          <w:rFonts w:ascii="Book Antiqua" w:hAnsi="Book Antiqua"/>
          <w:vertAlign w:val="superscript"/>
        </w:rPr>
        <w:t>[39,40]</w:t>
      </w:r>
      <w:r w:rsidRPr="005D78CD">
        <w:rPr>
          <w:rFonts w:ascii="Book Antiqua" w:hAnsi="Book Antiqua"/>
          <w:bCs/>
        </w:rPr>
        <w:t>. However BRTO is a procedure that preserves hepatic function and can be used in patients with gastric varices and gastrorenal shunts if TIPS is not possible</w:t>
      </w:r>
      <w:r w:rsidRPr="005D78CD">
        <w:rPr>
          <w:rFonts w:ascii="Book Antiqua" w:hAnsi="Book Antiqua"/>
          <w:vertAlign w:val="superscript"/>
        </w:rPr>
        <w:t>[34]</w:t>
      </w:r>
      <w:r w:rsidRPr="005D78CD">
        <w:rPr>
          <w:rFonts w:ascii="Book Antiqua" w:hAnsi="Book Antiqua"/>
          <w:bCs/>
        </w:rPr>
        <w:t xml:space="preserve">. </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E22178" w:rsidRDefault="000B0CAE" w:rsidP="00335D38">
      <w:pPr>
        <w:widowControl w:val="0"/>
        <w:adjustRightInd w:val="0"/>
        <w:snapToGrid w:val="0"/>
        <w:spacing w:line="360" w:lineRule="auto"/>
        <w:jc w:val="both"/>
        <w:rPr>
          <w:rFonts w:ascii="Book Antiqua" w:hAnsi="Book Antiqua"/>
          <w:b/>
          <w:bCs/>
          <w:i/>
        </w:rPr>
      </w:pPr>
      <w:r w:rsidRPr="00E22178">
        <w:rPr>
          <w:rFonts w:ascii="Book Antiqua" w:hAnsi="Book Antiqua"/>
          <w:b/>
          <w:i/>
        </w:rPr>
        <w:t>Use of EUS</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The Hong Kong group suggested that patients who undergo EUS-guided cyanoacrylate injection have a significantly lower risk of recurrent bleeding from gastric varices during subsequent follow-up</w:t>
      </w:r>
      <w:r w:rsidRPr="005D78CD">
        <w:rPr>
          <w:rFonts w:ascii="Book Antiqua" w:hAnsi="Book Antiqua"/>
          <w:vertAlign w:val="superscript"/>
        </w:rPr>
        <w:t>[41]</w:t>
      </w:r>
      <w:r w:rsidRPr="005D78CD">
        <w:rPr>
          <w:rFonts w:ascii="Book Antiqua" w:hAnsi="Book Antiqua"/>
        </w:rPr>
        <w:t>. However others have not confirmed this</w:t>
      </w:r>
      <w:r w:rsidRPr="005D78CD">
        <w:rPr>
          <w:rFonts w:ascii="Book Antiqua" w:hAnsi="Book Antiqua"/>
          <w:vertAlign w:val="superscript"/>
        </w:rPr>
        <w:t>[17]</w:t>
      </w:r>
      <w:r w:rsidRPr="005D78CD">
        <w:rPr>
          <w:rFonts w:ascii="Book Antiqua" w:hAnsi="Book Antiqua"/>
        </w:rPr>
        <w:t>. There may be a role for ultrasound mini-probes in the future to assess variceal obliteration, but at present this remains an investigative technique.</w:t>
      </w:r>
    </w:p>
    <w:p w:rsidR="000B0CAE" w:rsidRPr="005D78CD" w:rsidRDefault="000B0CAE" w:rsidP="00E2217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A new method has been reported for the management of gastric varices with EUS which is a combination of 2-octyl-cyanoacrylate and coils</w:t>
      </w:r>
      <w:r w:rsidRPr="005D78CD">
        <w:rPr>
          <w:rFonts w:ascii="Book Antiqua" w:hAnsi="Book Antiqua"/>
          <w:vertAlign w:val="superscript"/>
        </w:rPr>
        <w:t>[42]</w:t>
      </w:r>
      <w:r w:rsidRPr="005D78CD">
        <w:rPr>
          <w:rFonts w:ascii="Book Antiqua" w:hAnsi="Book Antiqua"/>
        </w:rPr>
        <w:t xml:space="preserve">. Thirty patients with acute or recent bleeding from GOV-2 and IGV-1 were treated and use of coils seemed to retain cyanoacrylate with a lower volume required to obliterate varices. Haemostasis was achieved in 100% of patients with a 96% variceal obliteration rate and no procedure related complications. More studies are needed to determine the efficacy of this treatment. </w:t>
      </w:r>
    </w:p>
    <w:p w:rsidR="000B0CAE" w:rsidRPr="005D78CD" w:rsidRDefault="000B0CAE" w:rsidP="00335D38">
      <w:pPr>
        <w:widowControl w:val="0"/>
        <w:adjustRightInd w:val="0"/>
        <w:snapToGrid w:val="0"/>
        <w:spacing w:line="360" w:lineRule="auto"/>
        <w:jc w:val="both"/>
        <w:rPr>
          <w:rFonts w:ascii="Book Antiqua" w:hAnsi="Book Antiqua"/>
        </w:rPr>
      </w:pPr>
    </w:p>
    <w:p w:rsidR="000B0CAE" w:rsidRPr="00E22178" w:rsidRDefault="00E22178" w:rsidP="00335D38">
      <w:pPr>
        <w:widowControl w:val="0"/>
        <w:adjustRightInd w:val="0"/>
        <w:snapToGrid w:val="0"/>
        <w:spacing w:line="360" w:lineRule="auto"/>
        <w:jc w:val="both"/>
        <w:rPr>
          <w:rFonts w:ascii="Book Antiqua" w:hAnsi="Book Antiqua"/>
          <w:b/>
          <w:bCs/>
          <w:i/>
          <w:lang w:eastAsia="zh-CN"/>
        </w:rPr>
      </w:pPr>
      <w:r w:rsidRPr="00E22178">
        <w:rPr>
          <w:rFonts w:ascii="Book Antiqua" w:hAnsi="Book Antiqua"/>
          <w:b/>
          <w:i/>
        </w:rPr>
        <w:t>Surgery</w:t>
      </w:r>
    </w:p>
    <w:p w:rsidR="000B0CAE" w:rsidRPr="005D78CD" w:rsidRDefault="000B0CAE" w:rsidP="00335D38">
      <w:pPr>
        <w:widowControl w:val="0"/>
        <w:adjustRightInd w:val="0"/>
        <w:snapToGrid w:val="0"/>
        <w:spacing w:line="360" w:lineRule="auto"/>
        <w:jc w:val="both"/>
        <w:rPr>
          <w:rFonts w:ascii="Book Antiqua" w:hAnsi="Book Antiqua"/>
          <w:lang w:eastAsia="zh-CN"/>
        </w:rPr>
      </w:pPr>
      <w:r w:rsidRPr="005D78CD">
        <w:rPr>
          <w:rFonts w:ascii="Book Antiqua" w:hAnsi="Book Antiqua"/>
        </w:rPr>
        <w:t xml:space="preserve">Surgical therapies include total shunts, partial (lower diameter) shunts, selective shunts and devascularization procedures. Total shunts control and </w:t>
      </w:r>
      <w:r w:rsidRPr="005D78CD">
        <w:rPr>
          <w:rFonts w:ascii="Book Antiqua" w:hAnsi="Book Antiqua"/>
        </w:rPr>
        <w:lastRenderedPageBreak/>
        <w:t>prevent variceal bleeding but do not improve survival and often precipitate encephalopathy. Selective shunts have lower rates of encephalopathy and are more commonly used</w:t>
      </w:r>
      <w:r w:rsidRPr="005D78CD">
        <w:rPr>
          <w:rFonts w:ascii="Book Antiqua" w:hAnsi="Book Antiqua"/>
          <w:vertAlign w:val="superscript"/>
        </w:rPr>
        <w:t>[43]</w:t>
      </w:r>
      <w:r w:rsidRPr="005D78CD">
        <w:rPr>
          <w:rFonts w:ascii="Book Antiqua" w:hAnsi="Book Antiqua"/>
        </w:rPr>
        <w:t xml:space="preserve">. </w:t>
      </w:r>
      <w:r w:rsidR="00E22178">
        <w:rPr>
          <w:rFonts w:ascii="Book Antiqua" w:hAnsi="Book Antiqua" w:hint="eastAsia"/>
          <w:lang w:eastAsia="zh-CN"/>
        </w:rPr>
        <w:t>Eighty percent</w:t>
      </w:r>
      <w:r w:rsidRPr="005D78CD">
        <w:rPr>
          <w:rFonts w:ascii="Book Antiqua" w:hAnsi="Book Antiqua"/>
        </w:rPr>
        <w:t xml:space="preserve"> of patients have good control of bleeding and maintenance of portal perfusion with a selective distal splenorenal shunt</w:t>
      </w:r>
      <w:r w:rsidRPr="005D78CD">
        <w:rPr>
          <w:rFonts w:ascii="Book Antiqua" w:hAnsi="Book Antiqua"/>
          <w:vertAlign w:val="superscript"/>
        </w:rPr>
        <w:t>[44]</w:t>
      </w:r>
      <w:r w:rsidRPr="005D78CD">
        <w:rPr>
          <w:rFonts w:ascii="Book Antiqua" w:hAnsi="Book Antiqua"/>
        </w:rPr>
        <w:t>. Orloff reported that a portal-systemic shunt can be an effective therapy for bleeding varices in patients with portal vein thrombosis and preserved liver function</w:t>
      </w:r>
      <w:r w:rsidRPr="005D78CD">
        <w:rPr>
          <w:rFonts w:ascii="Book Antiqua" w:hAnsi="Book Antiqua"/>
          <w:vertAlign w:val="superscript"/>
        </w:rPr>
        <w:t>[45]</w:t>
      </w:r>
      <w:r w:rsidRPr="005D78CD">
        <w:rPr>
          <w:rFonts w:ascii="Book Antiqua" w:hAnsi="Book Antiqua"/>
        </w:rPr>
        <w:t>. They reported no recurrent bleeding or encephalopathy and good survival rates. Splenectomy may have a role if there are IGV-1 secondary to an isolated splenic vein thrombosis</w:t>
      </w:r>
      <w:r w:rsidRPr="005D78CD">
        <w:rPr>
          <w:rFonts w:ascii="Book Antiqua" w:hAnsi="Book Antiqua"/>
          <w:vertAlign w:val="superscript"/>
        </w:rPr>
        <w:t>[9]</w:t>
      </w:r>
      <w:r w:rsidR="00E22178">
        <w:rPr>
          <w:rFonts w:ascii="Book Antiqua" w:hAnsi="Book Antiqua"/>
        </w:rPr>
        <w:t>.</w:t>
      </w:r>
    </w:p>
    <w:p w:rsidR="000B0CAE" w:rsidRPr="005D78CD" w:rsidRDefault="000B0CAE" w:rsidP="00E2217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Surgery for portal hypertension should be performed by experienced surgeons, in lower risk patients</w:t>
      </w:r>
      <w:r w:rsidRPr="005D78CD">
        <w:rPr>
          <w:rFonts w:ascii="Book Antiqua" w:hAnsi="Book Antiqua"/>
          <w:vertAlign w:val="superscript"/>
        </w:rPr>
        <w:t>[43]</w:t>
      </w:r>
      <w:r w:rsidRPr="005D78CD">
        <w:rPr>
          <w:rFonts w:ascii="Book Antiqua" w:hAnsi="Book Antiqua"/>
        </w:rPr>
        <w:t>. It is generally considered as rescue therapy, due to the associated risks and the increasing use of simpler endoscopic and radiologic procedures as described above. Liver transplantation should also be considered for eligible patients.</w:t>
      </w:r>
    </w:p>
    <w:p w:rsidR="000B0CAE" w:rsidRPr="005D78CD" w:rsidRDefault="000B0CAE" w:rsidP="00E22178">
      <w:pPr>
        <w:widowControl w:val="0"/>
        <w:adjustRightInd w:val="0"/>
        <w:snapToGrid w:val="0"/>
        <w:spacing w:line="360" w:lineRule="auto"/>
        <w:ind w:firstLineChars="100" w:firstLine="240"/>
        <w:jc w:val="both"/>
        <w:rPr>
          <w:rFonts w:ascii="Book Antiqua" w:hAnsi="Book Antiqua"/>
        </w:rPr>
      </w:pPr>
      <w:r w:rsidRPr="005D78CD">
        <w:rPr>
          <w:rFonts w:ascii="Book Antiqua" w:hAnsi="Book Antiqua"/>
        </w:rPr>
        <w:t xml:space="preserve">The Baveno V guidelines suggest use of cyanoacrylate or TIPS for the prevention of rebleeding in patients with IGV-1 and GOV-2. The AASLD guidelines consider TIPS as a treatment in patients with recurrent bleeding from fundal varices despite pharmacological and endoscopic therapy. </w:t>
      </w:r>
    </w:p>
    <w:p w:rsidR="00E22178" w:rsidRDefault="00E22178" w:rsidP="00E22178">
      <w:pPr>
        <w:pStyle w:val="1"/>
        <w:keepNext w:val="0"/>
        <w:widowControl w:val="0"/>
        <w:adjustRightInd w:val="0"/>
        <w:snapToGrid w:val="0"/>
        <w:spacing w:before="0" w:after="0" w:line="360" w:lineRule="auto"/>
        <w:jc w:val="both"/>
        <w:rPr>
          <w:rFonts w:ascii="Book Antiqua" w:hAnsi="Book Antiqua"/>
          <w:sz w:val="24"/>
          <w:szCs w:val="24"/>
          <w:lang w:eastAsia="zh-CN"/>
        </w:rPr>
      </w:pPr>
    </w:p>
    <w:p w:rsidR="000B0CAE" w:rsidRPr="00E22178" w:rsidRDefault="000B0CAE" w:rsidP="00E22178">
      <w:pPr>
        <w:pStyle w:val="1"/>
        <w:keepNext w:val="0"/>
        <w:widowControl w:val="0"/>
        <w:adjustRightInd w:val="0"/>
        <w:snapToGrid w:val="0"/>
        <w:spacing w:before="0" w:after="0" w:line="360" w:lineRule="auto"/>
        <w:jc w:val="both"/>
        <w:rPr>
          <w:rFonts w:ascii="Book Antiqua" w:hAnsi="Book Antiqua"/>
          <w:sz w:val="24"/>
          <w:szCs w:val="24"/>
          <w:lang w:eastAsia="zh-CN"/>
        </w:rPr>
      </w:pPr>
      <w:r w:rsidRPr="005D78CD">
        <w:rPr>
          <w:rFonts w:ascii="Book Antiqua" w:hAnsi="Book Antiqua"/>
          <w:sz w:val="24"/>
          <w:szCs w:val="24"/>
        </w:rPr>
        <w:t>PRIMARY PROPHYLAXIS</w:t>
      </w:r>
    </w:p>
    <w:p w:rsidR="000B0CAE" w:rsidRPr="00E22178"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 xml:space="preserve">A recent randomized study compared the efficacy of </w:t>
      </w:r>
      <w:r w:rsidRPr="005D78CD">
        <w:rPr>
          <w:rFonts w:ascii="Book Antiqua" w:hAnsi="Book Antiqua"/>
          <w:lang w:val="el-GR"/>
        </w:rPr>
        <w:t>β</w:t>
      </w:r>
      <w:r w:rsidRPr="005D78CD">
        <w:rPr>
          <w:rFonts w:ascii="Book Antiqua" w:hAnsi="Book Antiqua"/>
        </w:rPr>
        <w:t>-blockers, cyanoacrylate injection and no active treatment in the primary prevention of GOV-2 and IGV-1 gastric variceal bleeding</w:t>
      </w:r>
      <w:r w:rsidRPr="005D78CD">
        <w:rPr>
          <w:rFonts w:ascii="Book Antiqua" w:hAnsi="Book Antiqua"/>
          <w:vertAlign w:val="superscript"/>
        </w:rPr>
        <w:t>[46]</w:t>
      </w:r>
      <w:r w:rsidRPr="005D78CD">
        <w:rPr>
          <w:rFonts w:ascii="Book Antiqua" w:hAnsi="Book Antiqua"/>
        </w:rPr>
        <w:t xml:space="preserve">. 38%, 10% and 53% of the patients bled in the </w:t>
      </w:r>
      <w:r w:rsidRPr="005D78CD">
        <w:rPr>
          <w:rFonts w:ascii="Book Antiqua" w:hAnsi="Book Antiqua"/>
          <w:lang w:val="el-GR"/>
        </w:rPr>
        <w:t>β</w:t>
      </w:r>
      <w:r w:rsidRPr="005D78CD">
        <w:rPr>
          <w:rFonts w:ascii="Book Antiqua" w:hAnsi="Book Antiqua"/>
        </w:rPr>
        <w:t xml:space="preserve">-blocker, cyanoacrylate and no-treatment groups respectively, over a median follow-up period of 26 mo. The cyanoacrylate group had significantly lower bleeding rates than the other groups for GOV-2, but not for IGV-1 patients. Mortality was significantly lower in the group treated with cyanoacrylate (7%) compared with those given no-treatment (26%) but was not significant compared with the </w:t>
      </w:r>
      <w:r w:rsidRPr="005D78CD">
        <w:rPr>
          <w:rFonts w:ascii="Book Antiqua" w:hAnsi="Book Antiqua"/>
          <w:lang w:val="el-GR"/>
        </w:rPr>
        <w:t>β</w:t>
      </w:r>
      <w:r w:rsidRPr="005D78CD">
        <w:rPr>
          <w:rFonts w:ascii="Book Antiqua" w:hAnsi="Book Antiqua"/>
        </w:rPr>
        <w:t xml:space="preserve">-blockers group (17%). </w:t>
      </w:r>
      <w:r w:rsidRPr="005D78CD">
        <w:rPr>
          <w:rFonts w:ascii="Book Antiqua" w:hAnsi="Book Antiqua"/>
          <w:lang w:val="el-GR"/>
        </w:rPr>
        <w:t>β</w:t>
      </w:r>
      <w:r w:rsidRPr="005D78CD">
        <w:rPr>
          <w:rFonts w:ascii="Book Antiqua" w:hAnsi="Book Antiqua"/>
        </w:rPr>
        <w:t xml:space="preserve">-blockers, even if HPVG fell, did not reduce the incidence of first bleeding or mortality. Therefore other factors including high variceal flow or size of </w:t>
      </w:r>
      <w:r w:rsidRPr="005D78CD">
        <w:rPr>
          <w:rFonts w:ascii="Book Antiqua" w:hAnsi="Book Antiqua"/>
        </w:rPr>
        <w:lastRenderedPageBreak/>
        <w:t>gastric varices ma</w:t>
      </w:r>
      <w:r w:rsidR="00E22178">
        <w:rPr>
          <w:rFonts w:ascii="Book Antiqua" w:hAnsi="Book Antiqua"/>
        </w:rPr>
        <w:t xml:space="preserve">y be responsible for bleeding. </w:t>
      </w:r>
    </w:p>
    <w:p w:rsidR="000B0CAE" w:rsidRPr="005D78CD" w:rsidRDefault="000B0CAE" w:rsidP="00E22178">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 xml:space="preserve">Kang </w:t>
      </w:r>
      <w:r w:rsidR="00E22178" w:rsidRPr="00E22178">
        <w:rPr>
          <w:rFonts w:ascii="Book Antiqua" w:hAnsi="Book Antiqua" w:hint="eastAsia"/>
          <w:i/>
          <w:lang w:eastAsia="zh-CN"/>
        </w:rPr>
        <w:t>et al</w:t>
      </w:r>
      <w:r w:rsidR="00E22178" w:rsidRPr="005D78CD">
        <w:rPr>
          <w:rFonts w:ascii="Book Antiqua" w:hAnsi="Book Antiqua"/>
          <w:vertAlign w:val="superscript"/>
        </w:rPr>
        <w:t>[15]</w:t>
      </w:r>
      <w:r w:rsidRPr="005D78CD">
        <w:rPr>
          <w:rFonts w:ascii="Book Antiqua" w:hAnsi="Book Antiqua"/>
        </w:rPr>
        <w:t xml:space="preserve"> retrospectively analyzed patients with cirrhosis and suggested that cyanoacrylate injection is a valuable treatment for gastric varices and also an effective prophylactic treatment for high risk gastric varices.</w:t>
      </w:r>
    </w:p>
    <w:p w:rsidR="000B0CAE" w:rsidRPr="005D78CD" w:rsidRDefault="000B0CAE" w:rsidP="00E22178">
      <w:pPr>
        <w:widowControl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A retrospective study by Katoh</w:t>
      </w:r>
      <w:r w:rsidR="00E22178" w:rsidRPr="005D78CD">
        <w:rPr>
          <w:rFonts w:ascii="Book Antiqua" w:hAnsi="Book Antiqua"/>
          <w:vertAlign w:val="superscript"/>
        </w:rPr>
        <w:t>[47]</w:t>
      </w:r>
      <w:r w:rsidRPr="005D78CD">
        <w:rPr>
          <w:rFonts w:ascii="Book Antiqua" w:hAnsi="Book Antiqua"/>
        </w:rPr>
        <w:t xml:space="preserve"> evaluated the clinical outcomes of BRTO for the treatment of gastric varices. </w:t>
      </w:r>
      <w:r w:rsidR="00E22178">
        <w:rPr>
          <w:rFonts w:ascii="Book Antiqua" w:hAnsi="Book Antiqua" w:hint="eastAsia"/>
          <w:lang w:eastAsia="zh-CN"/>
        </w:rPr>
        <w:t>Forty-seven</w:t>
      </w:r>
      <w:r w:rsidRPr="005D78CD">
        <w:rPr>
          <w:rFonts w:ascii="Book Antiqua" w:hAnsi="Book Antiqua"/>
        </w:rPr>
        <w:t xml:space="preserve"> patients were included and it was performed as a primary prophylactic treatment in 40 patients</w:t>
      </w:r>
      <w:r w:rsidRPr="005D78CD">
        <w:rPr>
          <w:rFonts w:ascii="Book Antiqua" w:hAnsi="Book Antiqua"/>
          <w:vertAlign w:val="superscript"/>
        </w:rPr>
        <w:t>[47]</w:t>
      </w:r>
      <w:r w:rsidRPr="005D78CD">
        <w:rPr>
          <w:rFonts w:ascii="Book Antiqua" w:hAnsi="Book Antiqua"/>
        </w:rPr>
        <w:t>. Technique was successful in 79% with 1 and 5 year survival of 92% and 73% respectively. However this procedure is rarely performed outside Asia. Whilst relatively invasive endoscopic and radiologic procedures may have a future role in the primary prophylaxis of gastric variceal bleeding, more comparative studies are needed.</w:t>
      </w:r>
    </w:p>
    <w:p w:rsidR="00E22178" w:rsidRDefault="000B0CAE" w:rsidP="00E22178">
      <w:pPr>
        <w:widowControl w:val="0"/>
        <w:autoSpaceDE w:val="0"/>
        <w:autoSpaceDN w:val="0"/>
        <w:adjustRightInd w:val="0"/>
        <w:snapToGrid w:val="0"/>
        <w:spacing w:line="360" w:lineRule="auto"/>
        <w:ind w:firstLineChars="100" w:firstLine="240"/>
        <w:jc w:val="both"/>
        <w:rPr>
          <w:rFonts w:ascii="Book Antiqua" w:hAnsi="Book Antiqua"/>
          <w:lang w:eastAsia="zh-CN"/>
        </w:rPr>
      </w:pPr>
      <w:r w:rsidRPr="005D78CD">
        <w:rPr>
          <w:rFonts w:ascii="Book Antiqua" w:hAnsi="Book Antiqua"/>
        </w:rPr>
        <w:t xml:space="preserve">Despite the paucity of high quality studies assessing primary prophylactic therapy for gastric variceal bleeding, the Baveno V guidelines recommended that patients with gastric varices may be treated with non-selective </w:t>
      </w:r>
      <w:r w:rsidRPr="005D78CD">
        <w:rPr>
          <w:rFonts w:ascii="Book Antiqua" w:hAnsi="Book Antiqua"/>
          <w:lang w:val="el-GR"/>
        </w:rPr>
        <w:t>β</w:t>
      </w:r>
      <w:r w:rsidRPr="005D78CD">
        <w:rPr>
          <w:rFonts w:ascii="Book Antiqua" w:hAnsi="Book Antiqua"/>
        </w:rPr>
        <w:t>-blockers</w:t>
      </w:r>
      <w:r w:rsidRPr="005D78CD">
        <w:rPr>
          <w:rFonts w:ascii="Book Antiqua" w:hAnsi="Book Antiqua"/>
          <w:vertAlign w:val="superscript"/>
        </w:rPr>
        <w:t>[5]</w:t>
      </w:r>
      <w:r w:rsidRPr="005D78CD">
        <w:rPr>
          <w:rFonts w:ascii="Book Antiqua" w:hAnsi="Book Antiqua"/>
        </w:rPr>
        <w:t>. However these guidelines were published prior to the Indian RCT which suggested a role for cyanoacrylate in this situation</w:t>
      </w:r>
      <w:r w:rsidRPr="005D78CD">
        <w:rPr>
          <w:rFonts w:ascii="Book Antiqua" w:hAnsi="Book Antiqua"/>
          <w:vertAlign w:val="superscript"/>
        </w:rPr>
        <w:t>[46]</w:t>
      </w:r>
      <w:r w:rsidRPr="005D78CD">
        <w:rPr>
          <w:rFonts w:ascii="Book Antiqua" w:hAnsi="Book Antiqua"/>
        </w:rPr>
        <w:t>. The choice of therapy in this situation may well depend on variceal size, underlying liver function and other clinical factors.</w:t>
      </w:r>
    </w:p>
    <w:p w:rsidR="00E22178" w:rsidRDefault="00E22178" w:rsidP="00E22178">
      <w:pPr>
        <w:widowControl w:val="0"/>
        <w:autoSpaceDE w:val="0"/>
        <w:autoSpaceDN w:val="0"/>
        <w:adjustRightInd w:val="0"/>
        <w:snapToGrid w:val="0"/>
        <w:spacing w:line="360" w:lineRule="auto"/>
        <w:jc w:val="both"/>
        <w:rPr>
          <w:rFonts w:ascii="Book Antiqua" w:hAnsi="Book Antiqua"/>
          <w:lang w:eastAsia="zh-CN"/>
        </w:rPr>
      </w:pPr>
    </w:p>
    <w:p w:rsidR="000B0CAE" w:rsidRPr="00E22178" w:rsidRDefault="00E22178" w:rsidP="00E22178">
      <w:pPr>
        <w:widowControl w:val="0"/>
        <w:autoSpaceDE w:val="0"/>
        <w:autoSpaceDN w:val="0"/>
        <w:adjustRightInd w:val="0"/>
        <w:snapToGrid w:val="0"/>
        <w:spacing w:line="360" w:lineRule="auto"/>
        <w:jc w:val="both"/>
        <w:rPr>
          <w:rFonts w:ascii="Book Antiqua" w:hAnsi="Book Antiqua"/>
          <w:b/>
          <w:lang w:eastAsia="zh-CN"/>
        </w:rPr>
      </w:pPr>
      <w:r w:rsidRPr="00E22178">
        <w:rPr>
          <w:rFonts w:ascii="Book Antiqua" w:hAnsi="Book Antiqua"/>
          <w:b/>
        </w:rPr>
        <w:t>CONCLUSION</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Gastric variceal bleeding is a medical emergency with a high mortality. There are relatively few randomized studies assessing management of this condition, therefore guidance on therapy is based on relatively low quality data. However endoscopic injection of tissue glue or thrombin, appear effective in control of bleeding, with TIPS (or BRTO) an option if bleeding continues. To prevent rebleeding from IGV or GOV-2, cyanoacrylate or TIPS is recommended and after bleeding from GOV-1, band ligation, cyanoacrylate, or </w:t>
      </w:r>
      <w:r w:rsidRPr="005D78CD">
        <w:rPr>
          <w:rFonts w:ascii="Book Antiqua" w:hAnsi="Book Antiqua"/>
          <w:lang w:val="el-GR"/>
        </w:rPr>
        <w:t>β</w:t>
      </w:r>
      <w:r w:rsidRPr="005D78CD">
        <w:rPr>
          <w:rFonts w:ascii="Book Antiqua" w:hAnsi="Book Antiqua"/>
        </w:rPr>
        <w:t xml:space="preserve">-blockers may be used. For primary prophylaxis, patients with gastric varices may be treated with non-selective </w:t>
      </w:r>
      <w:r w:rsidRPr="005D78CD">
        <w:rPr>
          <w:rFonts w:ascii="Book Antiqua" w:hAnsi="Book Antiqua"/>
          <w:lang w:val="el-GR"/>
        </w:rPr>
        <w:t>β</w:t>
      </w:r>
      <w:r w:rsidRPr="005D78CD">
        <w:rPr>
          <w:rFonts w:ascii="Book Antiqua" w:hAnsi="Book Antiqua"/>
        </w:rPr>
        <w:t xml:space="preserve">-blockers, or possibly cyanoacrylate in selected cases. However further high quality studies are </w:t>
      </w:r>
      <w:r w:rsidRPr="005D78CD">
        <w:rPr>
          <w:rFonts w:ascii="Book Antiqua" w:hAnsi="Book Antiqua"/>
        </w:rPr>
        <w:lastRenderedPageBreak/>
        <w:t>required to help clarify therapeutic strategies in this condition.</w:t>
      </w:r>
    </w:p>
    <w:p w:rsidR="000B0CAE" w:rsidRPr="005D78CD" w:rsidRDefault="000B0CAE" w:rsidP="00E22178">
      <w:pPr>
        <w:widowControl w:val="0"/>
        <w:autoSpaceDE w:val="0"/>
        <w:autoSpaceDN w:val="0"/>
        <w:adjustRightInd w:val="0"/>
        <w:snapToGrid w:val="0"/>
        <w:spacing w:line="360" w:lineRule="auto"/>
        <w:ind w:firstLineChars="100" w:firstLine="240"/>
        <w:jc w:val="both"/>
        <w:rPr>
          <w:rFonts w:ascii="Book Antiqua" w:hAnsi="Book Antiqua"/>
        </w:rPr>
      </w:pPr>
      <w:r w:rsidRPr="005D78CD">
        <w:rPr>
          <w:rFonts w:ascii="Book Antiqua" w:hAnsi="Book Antiqua"/>
        </w:rPr>
        <w:t xml:space="preserve">A suggested algorithm for the management of gastric varices is shown in </w:t>
      </w:r>
      <w:r w:rsidR="00E22178" w:rsidRPr="005D78CD">
        <w:rPr>
          <w:rFonts w:ascii="Book Antiqua" w:hAnsi="Book Antiqua"/>
        </w:rPr>
        <w:t>F</w:t>
      </w:r>
      <w:r w:rsidRPr="005D78CD">
        <w:rPr>
          <w:rFonts w:ascii="Book Antiqua" w:hAnsi="Book Antiqua"/>
        </w:rPr>
        <w:t>igure 3.</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E22178" w:rsidRPr="00E22178" w:rsidRDefault="00E22178" w:rsidP="00335D38">
      <w:pPr>
        <w:widowControl w:val="0"/>
        <w:autoSpaceDE w:val="0"/>
        <w:autoSpaceDN w:val="0"/>
        <w:adjustRightInd w:val="0"/>
        <w:snapToGrid w:val="0"/>
        <w:spacing w:line="360" w:lineRule="auto"/>
        <w:jc w:val="both"/>
        <w:rPr>
          <w:rFonts w:ascii="Book Antiqua" w:hAnsi="Book Antiqua"/>
          <w:b/>
          <w:lang w:eastAsia="zh-CN"/>
        </w:rPr>
      </w:pPr>
      <w:r w:rsidRPr="00E22178">
        <w:rPr>
          <w:rFonts w:ascii="Book Antiqua" w:hAnsi="宋体"/>
          <w:b/>
          <w:color w:val="000000"/>
        </w:rPr>
        <w:t>ACKNOWLEDGMENTS</w:t>
      </w:r>
      <w:r w:rsidRPr="00E22178">
        <w:rPr>
          <w:rFonts w:ascii="Book Antiqua" w:hAnsi="Book Antiqua"/>
          <w:b/>
        </w:rPr>
        <w:t xml:space="preserve"> </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Dr Maria Triantafyllou, co-authored this article while she had an attachment in Glasgow Royal Infirmary, which was supported by the Hellenic Society of Gastroenterology and Nutrition (ELIGAST).</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E22178" w:rsidRDefault="000B0CAE" w:rsidP="00E22178">
      <w:pPr>
        <w:pStyle w:val="1"/>
        <w:keepNext w:val="0"/>
        <w:widowControl w:val="0"/>
        <w:adjustRightInd w:val="0"/>
        <w:snapToGrid w:val="0"/>
        <w:spacing w:before="0" w:after="0" w:line="360" w:lineRule="auto"/>
        <w:jc w:val="both"/>
        <w:rPr>
          <w:rFonts w:ascii="Book Antiqua" w:hAnsi="Book Antiqua"/>
          <w:sz w:val="24"/>
          <w:szCs w:val="24"/>
          <w:lang w:eastAsia="zh-CN"/>
        </w:rPr>
      </w:pPr>
      <w:r w:rsidRPr="00E22178">
        <w:rPr>
          <w:rFonts w:ascii="Book Antiqua" w:hAnsi="Book Antiqua"/>
          <w:sz w:val="24"/>
          <w:szCs w:val="24"/>
        </w:rPr>
        <w:t>REFERENCES</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1 </w:t>
      </w:r>
      <w:r w:rsidRPr="00E22178">
        <w:rPr>
          <w:rFonts w:ascii="Book Antiqua" w:hAnsi="Book Antiqua" w:cs="宋体"/>
          <w:b/>
          <w:bCs/>
          <w:color w:val="000000"/>
          <w:lang w:eastAsia="zh-CN"/>
        </w:rPr>
        <w:t>Sarin SK</w:t>
      </w:r>
      <w:r w:rsidRPr="00E22178">
        <w:rPr>
          <w:rFonts w:ascii="Book Antiqua" w:hAnsi="Book Antiqua" w:cs="宋体"/>
          <w:color w:val="000000"/>
          <w:lang w:eastAsia="zh-CN"/>
        </w:rPr>
        <w:t>, Lahoti D, Saxena SP, Murthy NS, Makwana UK. Prevalence, classification and natural history of gastric varices: a long-term follow-up study in 568 portal hypertension patients. </w:t>
      </w:r>
      <w:r w:rsidRPr="00E22178">
        <w:rPr>
          <w:rFonts w:ascii="Book Antiqua" w:hAnsi="Book Antiqua" w:cs="宋体"/>
          <w:i/>
          <w:iCs/>
          <w:color w:val="000000"/>
          <w:lang w:eastAsia="zh-CN"/>
        </w:rPr>
        <w:t>Hepatology</w:t>
      </w:r>
      <w:r w:rsidRPr="00E22178">
        <w:rPr>
          <w:rFonts w:ascii="Book Antiqua" w:hAnsi="Book Antiqua" w:cs="宋体"/>
          <w:color w:val="000000"/>
          <w:lang w:eastAsia="zh-CN"/>
        </w:rPr>
        <w:t> 1992; </w:t>
      </w:r>
      <w:r w:rsidRPr="00E22178">
        <w:rPr>
          <w:rFonts w:ascii="Book Antiqua" w:hAnsi="Book Antiqua" w:cs="宋体"/>
          <w:b/>
          <w:bCs/>
          <w:color w:val="000000"/>
          <w:lang w:eastAsia="zh-CN"/>
        </w:rPr>
        <w:t>16</w:t>
      </w:r>
      <w:r w:rsidRPr="00E22178">
        <w:rPr>
          <w:rFonts w:ascii="Book Antiqua" w:hAnsi="Book Antiqua" w:cs="宋体"/>
          <w:color w:val="000000"/>
          <w:lang w:eastAsia="zh-CN"/>
        </w:rPr>
        <w:t>: 1343-1349 [PMID: 1446890]</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2 </w:t>
      </w:r>
      <w:r w:rsidRPr="00E22178">
        <w:rPr>
          <w:rFonts w:ascii="Book Antiqua" w:hAnsi="Book Antiqua" w:cs="宋体"/>
          <w:b/>
          <w:bCs/>
          <w:color w:val="000000"/>
          <w:lang w:eastAsia="zh-CN"/>
        </w:rPr>
        <w:t>Kim T</w:t>
      </w:r>
      <w:r w:rsidRPr="00E22178">
        <w:rPr>
          <w:rFonts w:ascii="Book Antiqua" w:hAnsi="Book Antiqua" w:cs="宋体"/>
          <w:color w:val="000000"/>
          <w:lang w:eastAsia="zh-CN"/>
        </w:rPr>
        <w:t>, Shijo H, Kokawa H, Tokumitsu H, Kubara K, Ota K, Akiyoshi N, Iida T, Yokoyama M, Okumura M. Risk factors for hemorrhage from gastric fundal varices. </w:t>
      </w:r>
      <w:r w:rsidRPr="00E22178">
        <w:rPr>
          <w:rFonts w:ascii="Book Antiqua" w:hAnsi="Book Antiqua" w:cs="宋体"/>
          <w:i/>
          <w:iCs/>
          <w:color w:val="000000"/>
          <w:lang w:eastAsia="zh-CN"/>
        </w:rPr>
        <w:t>Hepatology</w:t>
      </w:r>
      <w:r w:rsidRPr="00E22178">
        <w:rPr>
          <w:rFonts w:ascii="Book Antiqua" w:hAnsi="Book Antiqua" w:cs="宋体"/>
          <w:color w:val="000000"/>
          <w:lang w:eastAsia="zh-CN"/>
        </w:rPr>
        <w:t> 1997; </w:t>
      </w:r>
      <w:r w:rsidRPr="00E22178">
        <w:rPr>
          <w:rFonts w:ascii="Book Antiqua" w:hAnsi="Book Antiqua" w:cs="宋体"/>
          <w:b/>
          <w:bCs/>
          <w:color w:val="000000"/>
          <w:lang w:eastAsia="zh-CN"/>
        </w:rPr>
        <w:t>25</w:t>
      </w:r>
      <w:r w:rsidRPr="00E22178">
        <w:rPr>
          <w:rFonts w:ascii="Book Antiqua" w:hAnsi="Book Antiqua" w:cs="宋体"/>
          <w:color w:val="000000"/>
          <w:lang w:eastAsia="zh-CN"/>
        </w:rPr>
        <w:t>: 307-312 [PMID: 9021939]</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3 </w:t>
      </w:r>
      <w:r w:rsidRPr="00E22178">
        <w:rPr>
          <w:rFonts w:ascii="Book Antiqua" w:hAnsi="Book Antiqua" w:cs="宋体"/>
          <w:b/>
          <w:bCs/>
          <w:color w:val="000000"/>
          <w:lang w:eastAsia="zh-CN"/>
        </w:rPr>
        <w:t>Sarin SK</w:t>
      </w:r>
      <w:r w:rsidRPr="00E22178">
        <w:rPr>
          <w:rFonts w:ascii="Book Antiqua" w:hAnsi="Book Antiqua" w:cs="宋体"/>
          <w:color w:val="000000"/>
          <w:lang w:eastAsia="zh-CN"/>
        </w:rPr>
        <w:t>. Long-term follow-up of gastric variceal sclerotherapy: an eleven-year experience.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1997; </w:t>
      </w:r>
      <w:r w:rsidRPr="00E22178">
        <w:rPr>
          <w:rFonts w:ascii="Book Antiqua" w:hAnsi="Book Antiqua" w:cs="宋体"/>
          <w:b/>
          <w:bCs/>
          <w:color w:val="000000"/>
          <w:lang w:eastAsia="zh-CN"/>
        </w:rPr>
        <w:t>46</w:t>
      </w:r>
      <w:r w:rsidRPr="00E22178">
        <w:rPr>
          <w:rFonts w:ascii="Book Antiqua" w:hAnsi="Book Antiqua" w:cs="宋体"/>
          <w:color w:val="000000"/>
          <w:lang w:eastAsia="zh-CN"/>
        </w:rPr>
        <w:t>: 8-14 [PMID: 9260698]</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4 </w:t>
      </w:r>
      <w:r w:rsidRPr="00E22178">
        <w:rPr>
          <w:rFonts w:ascii="Book Antiqua" w:hAnsi="Book Antiqua" w:cs="宋体"/>
          <w:b/>
          <w:bCs/>
          <w:color w:val="000000"/>
          <w:lang w:eastAsia="zh-CN"/>
        </w:rPr>
        <w:t>Hashizume M</w:t>
      </w:r>
      <w:r w:rsidRPr="00E22178">
        <w:rPr>
          <w:rFonts w:ascii="Book Antiqua" w:hAnsi="Book Antiqua" w:cs="宋体"/>
          <w:color w:val="000000"/>
          <w:lang w:eastAsia="zh-CN"/>
        </w:rPr>
        <w:t>, Kitano S, Yamaga H, Koyanagi N, Sugimachi K. Endoscopic classification of gastric varices.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w:t>
      </w:r>
      <w:r>
        <w:rPr>
          <w:rFonts w:ascii="Book Antiqua" w:hAnsi="Book Antiqua" w:cs="宋体" w:hint="eastAsia"/>
          <w:color w:val="000000"/>
          <w:lang w:eastAsia="zh-CN"/>
        </w:rPr>
        <w:t>1990</w:t>
      </w:r>
      <w:r w:rsidRPr="00E22178">
        <w:rPr>
          <w:rFonts w:ascii="Book Antiqua" w:hAnsi="Book Antiqua" w:cs="宋体"/>
          <w:color w:val="000000"/>
          <w:lang w:eastAsia="zh-CN"/>
        </w:rPr>
        <w:t>; </w:t>
      </w:r>
      <w:r w:rsidRPr="00E22178">
        <w:rPr>
          <w:rFonts w:ascii="Book Antiqua" w:hAnsi="Book Antiqua" w:cs="宋体"/>
          <w:b/>
          <w:bCs/>
          <w:color w:val="000000"/>
          <w:lang w:eastAsia="zh-CN"/>
        </w:rPr>
        <w:t>36</w:t>
      </w:r>
      <w:r w:rsidRPr="00E22178">
        <w:rPr>
          <w:rFonts w:ascii="Book Antiqua" w:hAnsi="Book Antiqua" w:cs="宋体"/>
          <w:color w:val="000000"/>
          <w:lang w:eastAsia="zh-CN"/>
        </w:rPr>
        <w:t>: 276-280 [PMID: 2365213]</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5 </w:t>
      </w:r>
      <w:r w:rsidRPr="00E22178">
        <w:rPr>
          <w:rFonts w:ascii="Book Antiqua" w:hAnsi="Book Antiqua" w:cs="宋体"/>
          <w:b/>
          <w:bCs/>
          <w:color w:val="000000"/>
          <w:lang w:eastAsia="zh-CN"/>
        </w:rPr>
        <w:t>de Franchis R</w:t>
      </w:r>
      <w:r w:rsidRPr="00E22178">
        <w:rPr>
          <w:rFonts w:ascii="Book Antiqua" w:hAnsi="Book Antiqua" w:cs="宋体"/>
          <w:color w:val="000000"/>
          <w:lang w:eastAsia="zh-CN"/>
        </w:rPr>
        <w:t>. Revising consensus in portal hypertension: report of the Baveno V consensus workshop on methodology of diagnosis and therapy in portal hypertension. </w:t>
      </w:r>
      <w:r w:rsidRPr="00E22178">
        <w:rPr>
          <w:rFonts w:ascii="Book Antiqua" w:hAnsi="Book Antiqua" w:cs="宋体"/>
          <w:i/>
          <w:iCs/>
          <w:color w:val="000000"/>
          <w:lang w:eastAsia="zh-CN"/>
        </w:rPr>
        <w:t>J Hepatol</w:t>
      </w:r>
      <w:r w:rsidRPr="00E22178">
        <w:rPr>
          <w:rFonts w:ascii="Book Antiqua" w:hAnsi="Book Antiqua" w:cs="宋体"/>
          <w:color w:val="000000"/>
          <w:lang w:eastAsia="zh-CN"/>
        </w:rPr>
        <w:t> 2010; </w:t>
      </w:r>
      <w:r w:rsidRPr="00E22178">
        <w:rPr>
          <w:rFonts w:ascii="Book Antiqua" w:hAnsi="Book Antiqua" w:cs="宋体"/>
          <w:b/>
          <w:bCs/>
          <w:color w:val="000000"/>
          <w:lang w:eastAsia="zh-CN"/>
        </w:rPr>
        <w:t>53</w:t>
      </w:r>
      <w:r w:rsidRPr="00E22178">
        <w:rPr>
          <w:rFonts w:ascii="Book Antiqua" w:hAnsi="Book Antiqua" w:cs="宋体"/>
          <w:color w:val="000000"/>
          <w:lang w:eastAsia="zh-CN"/>
        </w:rPr>
        <w:t>: 762-768 [PMID: 20638742 DOI: 10.1016/j.jhep.2010.06.004]</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6 </w:t>
      </w:r>
      <w:r w:rsidRPr="00E22178">
        <w:rPr>
          <w:rFonts w:ascii="Book Antiqua" w:hAnsi="Book Antiqua" w:cs="宋体"/>
          <w:b/>
          <w:bCs/>
          <w:color w:val="000000"/>
          <w:lang w:eastAsia="zh-CN"/>
        </w:rPr>
        <w:t>Villanueva C</w:t>
      </w:r>
      <w:r w:rsidRPr="00E22178">
        <w:rPr>
          <w:rFonts w:ascii="Book Antiqua" w:hAnsi="Book Antiqua" w:cs="宋体"/>
          <w:color w:val="000000"/>
          <w:lang w:eastAsia="zh-CN"/>
        </w:rPr>
        <w:t>, Colomo A, Bosch A, Concepción M, Hernandez-Gea V, Aracil C, Graupera I, Poca M, Alvarez-Urturi C, Gordillo J, Guarner-Argente C, Santaló M, Muñiz E, Guarner C. Transfusion strategies for acute upper gastrointestinal bleeding. </w:t>
      </w:r>
      <w:r w:rsidRPr="00E22178">
        <w:rPr>
          <w:rFonts w:ascii="Book Antiqua" w:hAnsi="Book Antiqua" w:cs="宋体"/>
          <w:i/>
          <w:iCs/>
          <w:color w:val="000000"/>
          <w:lang w:eastAsia="zh-CN"/>
        </w:rPr>
        <w:t>N Engl J Med</w:t>
      </w:r>
      <w:r w:rsidRPr="00E22178">
        <w:rPr>
          <w:rFonts w:ascii="Book Antiqua" w:hAnsi="Book Antiqua" w:cs="宋体"/>
          <w:color w:val="000000"/>
          <w:lang w:eastAsia="zh-CN"/>
        </w:rPr>
        <w:t> 2013; </w:t>
      </w:r>
      <w:r w:rsidRPr="00E22178">
        <w:rPr>
          <w:rFonts w:ascii="Book Antiqua" w:hAnsi="Book Antiqua" w:cs="宋体"/>
          <w:b/>
          <w:bCs/>
          <w:color w:val="000000"/>
          <w:lang w:eastAsia="zh-CN"/>
        </w:rPr>
        <w:t>368</w:t>
      </w:r>
      <w:r w:rsidRPr="00E22178">
        <w:rPr>
          <w:rFonts w:ascii="Book Antiqua" w:hAnsi="Book Antiqua" w:cs="宋体"/>
          <w:color w:val="000000"/>
          <w:lang w:eastAsia="zh-CN"/>
        </w:rPr>
        <w:t>: 11-21 [PMID: 23281973 DOI: 10.1056/NEJMoa1211801]</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lastRenderedPageBreak/>
        <w:t>7 </w:t>
      </w:r>
      <w:r w:rsidRPr="00E22178">
        <w:rPr>
          <w:rFonts w:ascii="Book Antiqua" w:hAnsi="Book Antiqua" w:cs="宋体"/>
          <w:b/>
          <w:bCs/>
          <w:color w:val="000000"/>
          <w:lang w:eastAsia="zh-CN"/>
        </w:rPr>
        <w:t>Dworzynski K</w:t>
      </w:r>
      <w:r w:rsidRPr="00E22178">
        <w:rPr>
          <w:rFonts w:ascii="Book Antiqua" w:hAnsi="Book Antiqua" w:cs="宋体"/>
          <w:color w:val="000000"/>
          <w:lang w:eastAsia="zh-CN"/>
        </w:rPr>
        <w:t>, Pollit V, Kelsey A, Higgins B, Palmer K</w:t>
      </w:r>
      <w:r w:rsidRPr="005D78CD">
        <w:rPr>
          <w:rFonts w:ascii="Book Antiqua" w:hAnsi="Book Antiqua"/>
        </w:rPr>
        <w:t xml:space="preserve">; </w:t>
      </w:r>
      <w:hyperlink r:id="rId8" w:history="1">
        <w:r>
          <w:rPr>
            <w:rFonts w:ascii="Book Antiqua" w:hAnsi="Book Antiqua"/>
          </w:rPr>
          <w:t xml:space="preserve">Guideline      </w:t>
        </w:r>
        <w:r w:rsidRPr="005D78CD">
          <w:rPr>
            <w:rFonts w:ascii="Book Antiqua" w:hAnsi="Book Antiqua"/>
          </w:rPr>
          <w:t>Development Group</w:t>
        </w:r>
      </w:hyperlink>
      <w:r w:rsidRPr="00E22178">
        <w:rPr>
          <w:rFonts w:ascii="Book Antiqua" w:hAnsi="Book Antiqua" w:cs="宋体"/>
          <w:color w:val="000000"/>
          <w:lang w:eastAsia="zh-CN"/>
        </w:rPr>
        <w:t>. Management of acute upper gastrointestinal bleeding: summary of NICE guidance. </w:t>
      </w:r>
      <w:r w:rsidRPr="00E22178">
        <w:rPr>
          <w:rFonts w:ascii="Book Antiqua" w:hAnsi="Book Antiqua" w:cs="宋体"/>
          <w:i/>
          <w:iCs/>
          <w:color w:val="000000"/>
          <w:lang w:eastAsia="zh-CN"/>
        </w:rPr>
        <w:t>BMJ</w:t>
      </w:r>
      <w:r w:rsidRPr="00E22178">
        <w:rPr>
          <w:rFonts w:ascii="Book Antiqua" w:hAnsi="Book Antiqua" w:cs="宋体"/>
          <w:color w:val="000000"/>
          <w:lang w:eastAsia="zh-CN"/>
        </w:rPr>
        <w:t> 2012; </w:t>
      </w:r>
      <w:r w:rsidRPr="00E22178">
        <w:rPr>
          <w:rFonts w:ascii="Book Antiqua" w:hAnsi="Book Antiqua" w:cs="宋体"/>
          <w:b/>
          <w:bCs/>
          <w:color w:val="000000"/>
          <w:lang w:eastAsia="zh-CN"/>
        </w:rPr>
        <w:t>344</w:t>
      </w:r>
      <w:r w:rsidRPr="00E22178">
        <w:rPr>
          <w:rFonts w:ascii="Book Antiqua" w:hAnsi="Book Antiqua" w:cs="宋体"/>
          <w:color w:val="000000"/>
          <w:lang w:eastAsia="zh-CN"/>
        </w:rPr>
        <w:t>: e3412 [PMID: 22695897 DOI: 10.1136/bmj.e3412]</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8 </w:t>
      </w:r>
      <w:r w:rsidRPr="00E22178">
        <w:rPr>
          <w:rFonts w:ascii="Book Antiqua" w:hAnsi="Book Antiqua" w:cs="宋体"/>
          <w:b/>
          <w:bCs/>
          <w:color w:val="000000"/>
          <w:lang w:eastAsia="zh-CN"/>
        </w:rPr>
        <w:t>Bernard B</w:t>
      </w:r>
      <w:r w:rsidRPr="00E22178">
        <w:rPr>
          <w:rFonts w:ascii="Book Antiqua" w:hAnsi="Book Antiqua" w:cs="宋体"/>
          <w:color w:val="000000"/>
          <w:lang w:eastAsia="zh-CN"/>
        </w:rPr>
        <w:t>, Grangé JD, Khac EN, Amiot X, Opolon P, Poynard T. Antibiotic prophylaxis for the prevention of bacterial infections in cirrhotic patients with gastrointestinal bleeding: a meta-analysis. </w:t>
      </w:r>
      <w:r w:rsidRPr="00E22178">
        <w:rPr>
          <w:rFonts w:ascii="Book Antiqua" w:hAnsi="Book Antiqua" w:cs="宋体"/>
          <w:i/>
          <w:iCs/>
          <w:color w:val="000000"/>
          <w:lang w:eastAsia="zh-CN"/>
        </w:rPr>
        <w:t>Hepatology</w:t>
      </w:r>
      <w:r w:rsidRPr="00E22178">
        <w:rPr>
          <w:rFonts w:ascii="Book Antiqua" w:hAnsi="Book Antiqua" w:cs="宋体"/>
          <w:color w:val="000000"/>
          <w:lang w:eastAsia="zh-CN"/>
        </w:rPr>
        <w:t> 1999; </w:t>
      </w:r>
      <w:r w:rsidRPr="00E22178">
        <w:rPr>
          <w:rFonts w:ascii="Book Antiqua" w:hAnsi="Book Antiqua" w:cs="宋体"/>
          <w:b/>
          <w:bCs/>
          <w:color w:val="000000"/>
          <w:lang w:eastAsia="zh-CN"/>
        </w:rPr>
        <w:t>29</w:t>
      </w:r>
      <w:r w:rsidRPr="00E22178">
        <w:rPr>
          <w:rFonts w:ascii="Book Antiqua" w:hAnsi="Book Antiqua" w:cs="宋体"/>
          <w:color w:val="000000"/>
          <w:lang w:eastAsia="zh-CN"/>
        </w:rPr>
        <w:t>: 1655-1661 [PMID: 10347104]</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9 </w:t>
      </w:r>
      <w:r w:rsidRPr="00E22178">
        <w:rPr>
          <w:rFonts w:ascii="Book Antiqua" w:hAnsi="Book Antiqua" w:cs="宋体"/>
          <w:b/>
          <w:bCs/>
          <w:color w:val="000000"/>
          <w:lang w:eastAsia="zh-CN"/>
        </w:rPr>
        <w:t>Garcia-Tsao G</w:t>
      </w:r>
      <w:r w:rsidRPr="00E22178">
        <w:rPr>
          <w:rFonts w:ascii="Book Antiqua" w:hAnsi="Book Antiqua" w:cs="宋体"/>
          <w:color w:val="000000"/>
          <w:lang w:eastAsia="zh-CN"/>
        </w:rPr>
        <w:t>, Sanyal AJ, Grace ND, Carey WD</w:t>
      </w:r>
      <w:r w:rsidR="006D57CD">
        <w:rPr>
          <w:rFonts w:ascii="Book Antiqua" w:hAnsi="Book Antiqua" w:cs="宋体" w:hint="eastAsia"/>
          <w:color w:val="000000"/>
          <w:lang w:eastAsia="zh-CN"/>
        </w:rPr>
        <w:t>;</w:t>
      </w:r>
      <w:r w:rsidR="006D57CD" w:rsidRPr="006D57CD">
        <w:rPr>
          <w:rFonts w:ascii="Book Antiqua" w:hAnsi="Book Antiqua"/>
        </w:rPr>
        <w:t xml:space="preserve"> </w:t>
      </w:r>
      <w:r w:rsidR="006D57CD" w:rsidRPr="005D78CD">
        <w:rPr>
          <w:rFonts w:ascii="Book Antiqua" w:hAnsi="Book Antiqua"/>
        </w:rPr>
        <w:t>Practice Guidelines Committee of American Association for Study of Liver Diseases; Practice Parameters Committee of Ameri</w:t>
      </w:r>
      <w:r w:rsidR="006D57CD">
        <w:rPr>
          <w:rFonts w:ascii="Book Antiqua" w:hAnsi="Book Antiqua"/>
        </w:rPr>
        <w:t>can College of Gastroenterology</w:t>
      </w:r>
      <w:r w:rsidRPr="00E22178">
        <w:rPr>
          <w:rFonts w:ascii="Book Antiqua" w:hAnsi="Book Antiqua" w:cs="宋体"/>
          <w:color w:val="000000"/>
          <w:lang w:eastAsia="zh-CN"/>
        </w:rPr>
        <w:t>. Prevention and management of gastroesophageal varices and variceal hemorrhage in cirrhosis. </w:t>
      </w:r>
      <w:r w:rsidRPr="00E22178">
        <w:rPr>
          <w:rFonts w:ascii="Book Antiqua" w:hAnsi="Book Antiqua" w:cs="宋体"/>
          <w:i/>
          <w:iCs/>
          <w:color w:val="000000"/>
          <w:lang w:eastAsia="zh-CN"/>
        </w:rPr>
        <w:t>Am J Gastroenterol</w:t>
      </w:r>
      <w:r w:rsidRPr="00E22178">
        <w:rPr>
          <w:rFonts w:ascii="Book Antiqua" w:hAnsi="Book Antiqua" w:cs="宋体"/>
          <w:color w:val="000000"/>
          <w:lang w:eastAsia="zh-CN"/>
        </w:rPr>
        <w:t> 2007; </w:t>
      </w:r>
      <w:r w:rsidRPr="00E22178">
        <w:rPr>
          <w:rFonts w:ascii="Book Antiqua" w:hAnsi="Book Antiqua" w:cs="宋体"/>
          <w:b/>
          <w:bCs/>
          <w:color w:val="000000"/>
          <w:lang w:eastAsia="zh-CN"/>
        </w:rPr>
        <w:t>102</w:t>
      </w:r>
      <w:r w:rsidRPr="00E22178">
        <w:rPr>
          <w:rFonts w:ascii="Book Antiqua" w:hAnsi="Book Antiqua" w:cs="宋体"/>
          <w:color w:val="000000"/>
          <w:lang w:eastAsia="zh-CN"/>
        </w:rPr>
        <w:t>: 2086-2102 [PMID: 17727436]</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10 </w:t>
      </w:r>
      <w:r w:rsidRPr="00E22178">
        <w:rPr>
          <w:rFonts w:ascii="Book Antiqua" w:hAnsi="Book Antiqua" w:cs="宋体"/>
          <w:b/>
          <w:bCs/>
          <w:color w:val="000000"/>
          <w:lang w:eastAsia="zh-CN"/>
        </w:rPr>
        <w:t>D'Amico G</w:t>
      </w:r>
      <w:r w:rsidRPr="00E22178">
        <w:rPr>
          <w:rFonts w:ascii="Book Antiqua" w:hAnsi="Book Antiqua" w:cs="宋体"/>
          <w:color w:val="000000"/>
          <w:lang w:eastAsia="zh-CN"/>
        </w:rPr>
        <w:t>, Pietrosi G, Tarantino I, Pagliaro L. Emergency sclerotherapy versus vasoactive drugs for variceal bleeding in cirrhosis: a Cochrane meta-analysis. </w:t>
      </w:r>
      <w:r w:rsidRPr="00E22178">
        <w:rPr>
          <w:rFonts w:ascii="Book Antiqua" w:hAnsi="Book Antiqua" w:cs="宋体"/>
          <w:i/>
          <w:iCs/>
          <w:color w:val="000000"/>
          <w:lang w:eastAsia="zh-CN"/>
        </w:rPr>
        <w:t>Gastroenterology</w:t>
      </w:r>
      <w:r w:rsidRPr="00E22178">
        <w:rPr>
          <w:rFonts w:ascii="Book Antiqua" w:hAnsi="Book Antiqua" w:cs="宋体"/>
          <w:color w:val="000000"/>
          <w:lang w:eastAsia="zh-CN"/>
        </w:rPr>
        <w:t> 2003; </w:t>
      </w:r>
      <w:r w:rsidRPr="00E22178">
        <w:rPr>
          <w:rFonts w:ascii="Book Antiqua" w:hAnsi="Book Antiqua" w:cs="宋体"/>
          <w:b/>
          <w:bCs/>
          <w:color w:val="000000"/>
          <w:lang w:eastAsia="zh-CN"/>
        </w:rPr>
        <w:t>124</w:t>
      </w:r>
      <w:r w:rsidRPr="00E22178">
        <w:rPr>
          <w:rFonts w:ascii="Book Antiqua" w:hAnsi="Book Antiqua" w:cs="宋体"/>
          <w:color w:val="000000"/>
          <w:lang w:eastAsia="zh-CN"/>
        </w:rPr>
        <w:t>: 1277-1291 [PMID: 12730868]</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11 </w:t>
      </w:r>
      <w:r w:rsidRPr="00E22178">
        <w:rPr>
          <w:rFonts w:ascii="Book Antiqua" w:hAnsi="Book Antiqua" w:cs="宋体"/>
          <w:b/>
          <w:bCs/>
          <w:color w:val="000000"/>
          <w:lang w:eastAsia="zh-CN"/>
        </w:rPr>
        <w:t>Al-Osaimi AM</w:t>
      </w:r>
      <w:r w:rsidRPr="00E22178">
        <w:rPr>
          <w:rFonts w:ascii="Book Antiqua" w:hAnsi="Book Antiqua" w:cs="宋体"/>
          <w:color w:val="000000"/>
          <w:lang w:eastAsia="zh-CN"/>
        </w:rPr>
        <w:t>, Caldwell SH. Medical and endoscopic management of gastric varices. </w:t>
      </w:r>
      <w:r w:rsidRPr="00E22178">
        <w:rPr>
          <w:rFonts w:ascii="Book Antiqua" w:hAnsi="Book Antiqua" w:cs="宋体"/>
          <w:i/>
          <w:iCs/>
          <w:color w:val="000000"/>
          <w:lang w:eastAsia="zh-CN"/>
        </w:rPr>
        <w:t>Semin Intervent Radiol</w:t>
      </w:r>
      <w:r w:rsidRPr="00E22178">
        <w:rPr>
          <w:rFonts w:ascii="Book Antiqua" w:hAnsi="Book Antiqua" w:cs="宋体"/>
          <w:color w:val="000000"/>
          <w:lang w:eastAsia="zh-CN"/>
        </w:rPr>
        <w:t> 2011; </w:t>
      </w:r>
      <w:r w:rsidRPr="00E22178">
        <w:rPr>
          <w:rFonts w:ascii="Book Antiqua" w:hAnsi="Book Antiqua" w:cs="宋体"/>
          <w:b/>
          <w:bCs/>
          <w:color w:val="000000"/>
          <w:lang w:eastAsia="zh-CN"/>
        </w:rPr>
        <w:t>28</w:t>
      </w:r>
      <w:r w:rsidRPr="00E22178">
        <w:rPr>
          <w:rFonts w:ascii="Book Antiqua" w:hAnsi="Book Antiqua" w:cs="宋体"/>
          <w:color w:val="000000"/>
          <w:lang w:eastAsia="zh-CN"/>
        </w:rPr>
        <w:t>: 273-282 [PMID: 22942544 DOI: 10.1055/s-0031-1284453]</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12 </w:t>
      </w:r>
      <w:r w:rsidRPr="00E22178">
        <w:rPr>
          <w:rFonts w:ascii="Book Antiqua" w:hAnsi="Book Antiqua" w:cs="宋体"/>
          <w:b/>
          <w:bCs/>
          <w:color w:val="000000"/>
          <w:lang w:eastAsia="zh-CN"/>
        </w:rPr>
        <w:t>Tan PC</w:t>
      </w:r>
      <w:r w:rsidRPr="00E22178">
        <w:rPr>
          <w:rFonts w:ascii="Book Antiqua" w:hAnsi="Book Antiqua" w:cs="宋体"/>
          <w:color w:val="000000"/>
          <w:lang w:eastAsia="zh-CN"/>
        </w:rPr>
        <w:t>, Hou MC, Lin HC, Liu TT, Lee FY, Chang FY, Lee SD. A randomized trial of endoscopic treatment of acute gastric variceal hemorrhage: N-butyl-2-cyanoacrylate injection versus band ligation. </w:t>
      </w:r>
      <w:r w:rsidRPr="00E22178">
        <w:rPr>
          <w:rFonts w:ascii="Book Antiqua" w:hAnsi="Book Antiqua" w:cs="宋体"/>
          <w:i/>
          <w:iCs/>
          <w:color w:val="000000"/>
          <w:lang w:eastAsia="zh-CN"/>
        </w:rPr>
        <w:t>Hepatology</w:t>
      </w:r>
      <w:r w:rsidRPr="00E22178">
        <w:rPr>
          <w:rFonts w:ascii="Book Antiqua" w:hAnsi="Book Antiqua" w:cs="宋体"/>
          <w:color w:val="000000"/>
          <w:lang w:eastAsia="zh-CN"/>
        </w:rPr>
        <w:t> 2006; </w:t>
      </w:r>
      <w:r w:rsidRPr="00E22178">
        <w:rPr>
          <w:rFonts w:ascii="Book Antiqua" w:hAnsi="Book Antiqua" w:cs="宋体"/>
          <w:b/>
          <w:bCs/>
          <w:color w:val="000000"/>
          <w:lang w:eastAsia="zh-CN"/>
        </w:rPr>
        <w:t>43</w:t>
      </w:r>
      <w:r w:rsidRPr="00E22178">
        <w:rPr>
          <w:rFonts w:ascii="Book Antiqua" w:hAnsi="Book Antiqua" w:cs="宋体"/>
          <w:color w:val="000000"/>
          <w:lang w:eastAsia="zh-CN"/>
        </w:rPr>
        <w:t>: 690-697 [PMID: 16557539]</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13 </w:t>
      </w:r>
      <w:r w:rsidRPr="00E22178">
        <w:rPr>
          <w:rFonts w:ascii="Book Antiqua" w:hAnsi="Book Antiqua" w:cs="宋体"/>
          <w:b/>
          <w:bCs/>
          <w:color w:val="000000"/>
          <w:lang w:eastAsia="zh-CN"/>
        </w:rPr>
        <w:t>Harada T</w:t>
      </w:r>
      <w:r w:rsidRPr="00E22178">
        <w:rPr>
          <w:rFonts w:ascii="Book Antiqua" w:hAnsi="Book Antiqua" w:cs="宋体"/>
          <w:color w:val="000000"/>
          <w:lang w:eastAsia="zh-CN"/>
        </w:rPr>
        <w:t>, Yoshida T, Shigemitsu T, Takeo Y, Tada M, Okita K. Therapeutic results of endoscopic variceal ligation for acute bleeding of oesophageal and gastric varices. </w:t>
      </w:r>
      <w:r w:rsidRPr="00E22178">
        <w:rPr>
          <w:rFonts w:ascii="Book Antiqua" w:hAnsi="Book Antiqua" w:cs="宋体"/>
          <w:i/>
          <w:iCs/>
          <w:color w:val="000000"/>
          <w:lang w:eastAsia="zh-CN"/>
        </w:rPr>
        <w:t>J Gastroenterol Hepatol</w:t>
      </w:r>
      <w:r w:rsidRPr="00E22178">
        <w:rPr>
          <w:rFonts w:ascii="Book Antiqua" w:hAnsi="Book Antiqua" w:cs="宋体"/>
          <w:color w:val="000000"/>
          <w:lang w:eastAsia="zh-CN"/>
        </w:rPr>
        <w:t> 1997; </w:t>
      </w:r>
      <w:r w:rsidRPr="00E22178">
        <w:rPr>
          <w:rFonts w:ascii="Book Antiqua" w:hAnsi="Book Antiqua" w:cs="宋体"/>
          <w:b/>
          <w:bCs/>
          <w:color w:val="000000"/>
          <w:lang w:eastAsia="zh-CN"/>
        </w:rPr>
        <w:t>12</w:t>
      </w:r>
      <w:r w:rsidRPr="00E22178">
        <w:rPr>
          <w:rFonts w:ascii="Book Antiqua" w:hAnsi="Book Antiqua" w:cs="宋体"/>
          <w:color w:val="000000"/>
          <w:lang w:eastAsia="zh-CN"/>
        </w:rPr>
        <w:t>: 331-335 [PMID: 9195375]</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14 </w:t>
      </w:r>
      <w:r w:rsidRPr="00E22178">
        <w:rPr>
          <w:rFonts w:ascii="Book Antiqua" w:hAnsi="Book Antiqua" w:cs="宋体"/>
          <w:b/>
          <w:bCs/>
          <w:color w:val="000000"/>
          <w:lang w:eastAsia="zh-CN"/>
        </w:rPr>
        <w:t>Paik CN</w:t>
      </w:r>
      <w:r w:rsidRPr="00E22178">
        <w:rPr>
          <w:rFonts w:ascii="Book Antiqua" w:hAnsi="Book Antiqua" w:cs="宋体"/>
          <w:color w:val="000000"/>
          <w:lang w:eastAsia="zh-CN"/>
        </w:rPr>
        <w:t>, Kim SW, Lee IS, Park JM, Cho YK, Choi MG, Chung IS. The therapeutic effect of cyanoacrylate on gastric variceal bleeding and factors related to clinical outcome. </w:t>
      </w:r>
      <w:r w:rsidRPr="00E22178">
        <w:rPr>
          <w:rFonts w:ascii="Book Antiqua" w:hAnsi="Book Antiqua" w:cs="宋体"/>
          <w:i/>
          <w:iCs/>
          <w:color w:val="000000"/>
          <w:lang w:eastAsia="zh-CN"/>
        </w:rPr>
        <w:t>J Clin Gastroenterol</w:t>
      </w:r>
      <w:r w:rsidRPr="00E22178">
        <w:rPr>
          <w:rFonts w:ascii="Book Antiqua" w:hAnsi="Book Antiqua" w:cs="宋体"/>
          <w:color w:val="000000"/>
          <w:lang w:eastAsia="zh-CN"/>
        </w:rPr>
        <w:t> 2008; </w:t>
      </w:r>
      <w:r w:rsidRPr="00E22178">
        <w:rPr>
          <w:rFonts w:ascii="Book Antiqua" w:hAnsi="Book Antiqua" w:cs="宋体"/>
          <w:b/>
          <w:bCs/>
          <w:color w:val="000000"/>
          <w:lang w:eastAsia="zh-CN"/>
        </w:rPr>
        <w:t>42</w:t>
      </w:r>
      <w:r w:rsidRPr="00E22178">
        <w:rPr>
          <w:rFonts w:ascii="Book Antiqua" w:hAnsi="Book Antiqua" w:cs="宋体"/>
          <w:color w:val="000000"/>
          <w:lang w:eastAsia="zh-CN"/>
        </w:rPr>
        <w:t>: 916-922 [PMID: 18645533 DOI: 10.1097/MCG.0b013e31811edcd1]</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lastRenderedPageBreak/>
        <w:t>15 </w:t>
      </w:r>
      <w:r w:rsidRPr="00E22178">
        <w:rPr>
          <w:rFonts w:ascii="Book Antiqua" w:hAnsi="Book Antiqua" w:cs="宋体"/>
          <w:b/>
          <w:bCs/>
          <w:color w:val="000000"/>
          <w:lang w:eastAsia="zh-CN"/>
        </w:rPr>
        <w:t>Kang EJ</w:t>
      </w:r>
      <w:r w:rsidRPr="00E22178">
        <w:rPr>
          <w:rFonts w:ascii="Book Antiqua" w:hAnsi="Book Antiqua" w:cs="宋体"/>
          <w:color w:val="000000"/>
          <w:lang w:eastAsia="zh-CN"/>
        </w:rPr>
        <w:t>, Jeong SW, Jang JY, Cho JY, Lee SH, Kim HG, Kim SG, Kim YS, Cheon YK, Cho YD, Kim HS, Kim BS. Long-term result of endoscopic Histoacryl (N-butyl-2-cyanoacrylate) injection for treatment of gastric varices. </w:t>
      </w:r>
      <w:r w:rsidRPr="00E22178">
        <w:rPr>
          <w:rFonts w:ascii="Book Antiqua" w:hAnsi="Book Antiqua" w:cs="宋体"/>
          <w:i/>
          <w:iCs/>
          <w:color w:val="000000"/>
          <w:lang w:eastAsia="zh-CN"/>
        </w:rPr>
        <w:t>World J Gastroenterol</w:t>
      </w:r>
      <w:r w:rsidRPr="00E22178">
        <w:rPr>
          <w:rFonts w:ascii="Book Antiqua" w:hAnsi="Book Antiqua" w:cs="宋体"/>
          <w:color w:val="000000"/>
          <w:lang w:eastAsia="zh-CN"/>
        </w:rPr>
        <w:t> 2011; </w:t>
      </w:r>
      <w:r w:rsidRPr="00E22178">
        <w:rPr>
          <w:rFonts w:ascii="Book Antiqua" w:hAnsi="Book Antiqua" w:cs="宋体"/>
          <w:b/>
          <w:bCs/>
          <w:color w:val="000000"/>
          <w:lang w:eastAsia="zh-CN"/>
        </w:rPr>
        <w:t>17</w:t>
      </w:r>
      <w:r w:rsidRPr="00E22178">
        <w:rPr>
          <w:rFonts w:ascii="Book Antiqua" w:hAnsi="Book Antiqua" w:cs="宋体"/>
          <w:color w:val="000000"/>
          <w:lang w:eastAsia="zh-CN"/>
        </w:rPr>
        <w:t>: 1494-1500 [PMID: 21472110 DOI: 10.3748/wjg.v17.i11.1494]</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16 </w:t>
      </w:r>
      <w:r w:rsidRPr="00E22178">
        <w:rPr>
          <w:rFonts w:ascii="Book Antiqua" w:hAnsi="Book Antiqua" w:cs="宋体"/>
          <w:b/>
          <w:bCs/>
          <w:color w:val="000000"/>
          <w:lang w:eastAsia="zh-CN"/>
        </w:rPr>
        <w:t>Roesch W</w:t>
      </w:r>
      <w:r w:rsidRPr="00E22178">
        <w:rPr>
          <w:rFonts w:ascii="Book Antiqua" w:hAnsi="Book Antiqua" w:cs="宋体"/>
          <w:color w:val="000000"/>
          <w:lang w:eastAsia="zh-CN"/>
        </w:rPr>
        <w:t>, Rexroth G. Pulmonary, cerebral and coronary emboli during bucrylate injection of bleeding fundic varices. </w:t>
      </w:r>
      <w:r w:rsidRPr="00E22178">
        <w:rPr>
          <w:rFonts w:ascii="Book Antiqua" w:hAnsi="Book Antiqua" w:cs="宋体"/>
          <w:i/>
          <w:iCs/>
          <w:color w:val="000000"/>
          <w:lang w:eastAsia="zh-CN"/>
        </w:rPr>
        <w:t>Endoscopy</w:t>
      </w:r>
      <w:r w:rsidRPr="00E22178">
        <w:rPr>
          <w:rFonts w:ascii="Book Antiqua" w:hAnsi="Book Antiqua" w:cs="宋体"/>
          <w:color w:val="000000"/>
          <w:lang w:eastAsia="zh-CN"/>
        </w:rPr>
        <w:t> 1998; </w:t>
      </w:r>
      <w:r w:rsidRPr="00E22178">
        <w:rPr>
          <w:rFonts w:ascii="Book Antiqua" w:hAnsi="Book Antiqua" w:cs="宋体"/>
          <w:b/>
          <w:bCs/>
          <w:color w:val="000000"/>
          <w:lang w:eastAsia="zh-CN"/>
        </w:rPr>
        <w:t>30</w:t>
      </w:r>
      <w:r w:rsidRPr="00E22178">
        <w:rPr>
          <w:rFonts w:ascii="Book Antiqua" w:hAnsi="Book Antiqua" w:cs="宋体"/>
          <w:color w:val="000000"/>
          <w:lang w:eastAsia="zh-CN"/>
        </w:rPr>
        <w:t>: S89-S90 [PMID: 9865574]</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17 </w:t>
      </w:r>
      <w:r w:rsidRPr="00E22178">
        <w:rPr>
          <w:rFonts w:ascii="Book Antiqua" w:hAnsi="Book Antiqua" w:cs="宋体"/>
          <w:b/>
          <w:bCs/>
          <w:color w:val="000000"/>
          <w:lang w:eastAsia="zh-CN"/>
        </w:rPr>
        <w:t>Rajoriya N</w:t>
      </w:r>
      <w:r w:rsidRPr="00E22178">
        <w:rPr>
          <w:rFonts w:ascii="Book Antiqua" w:hAnsi="Book Antiqua" w:cs="宋体"/>
          <w:color w:val="000000"/>
          <w:lang w:eastAsia="zh-CN"/>
        </w:rPr>
        <w:t>, Forrest EH, Gray J, Stuart RC, Carter RC, McKay CJ, Gaya DR, Morris AJ, Stanley AJ. Long-term follow-up of endoscopic Histoacryl glue injection for the management of gastric variceal bleeding. </w:t>
      </w:r>
      <w:r w:rsidRPr="00E22178">
        <w:rPr>
          <w:rFonts w:ascii="Book Antiqua" w:hAnsi="Book Antiqua" w:cs="宋体"/>
          <w:i/>
          <w:iCs/>
          <w:color w:val="000000"/>
          <w:lang w:eastAsia="zh-CN"/>
        </w:rPr>
        <w:t>QJM</w:t>
      </w:r>
      <w:r w:rsidRPr="00E22178">
        <w:rPr>
          <w:rFonts w:ascii="Book Antiqua" w:hAnsi="Book Antiqua" w:cs="宋体"/>
          <w:color w:val="000000"/>
          <w:lang w:eastAsia="zh-CN"/>
        </w:rPr>
        <w:t> 2011; </w:t>
      </w:r>
      <w:r w:rsidRPr="00E22178">
        <w:rPr>
          <w:rFonts w:ascii="Book Antiqua" w:hAnsi="Book Antiqua" w:cs="宋体"/>
          <w:b/>
          <w:bCs/>
          <w:color w:val="000000"/>
          <w:lang w:eastAsia="zh-CN"/>
        </w:rPr>
        <w:t>104</w:t>
      </w:r>
      <w:r w:rsidRPr="00E22178">
        <w:rPr>
          <w:rFonts w:ascii="Book Antiqua" w:hAnsi="Book Antiqua" w:cs="宋体"/>
          <w:color w:val="000000"/>
          <w:lang w:eastAsia="zh-CN"/>
        </w:rPr>
        <w:t>: 41-47 [PMID: 20871126 DOI: 10.1093/qjmed/hcq161]</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18 </w:t>
      </w:r>
      <w:r w:rsidRPr="00E22178">
        <w:rPr>
          <w:rFonts w:ascii="Book Antiqua" w:hAnsi="Book Antiqua" w:cs="宋体"/>
          <w:b/>
          <w:bCs/>
          <w:color w:val="000000"/>
          <w:lang w:eastAsia="zh-CN"/>
        </w:rPr>
        <w:t>Al-Ali J</w:t>
      </w:r>
      <w:r w:rsidRPr="00E22178">
        <w:rPr>
          <w:rFonts w:ascii="Book Antiqua" w:hAnsi="Book Antiqua" w:cs="宋体"/>
          <w:color w:val="000000"/>
          <w:lang w:eastAsia="zh-CN"/>
        </w:rPr>
        <w:t>, Pawlowska M, Coss A, Svarta S, Byrne M, Enns R. Endoscopic management of gastric variceal bleeding with cyanoacrylate glue injection: safety and efficacy in a Canadian population. </w:t>
      </w:r>
      <w:r w:rsidRPr="00E22178">
        <w:rPr>
          <w:rFonts w:ascii="Book Antiqua" w:hAnsi="Book Antiqua" w:cs="宋体"/>
          <w:i/>
          <w:iCs/>
          <w:color w:val="000000"/>
          <w:lang w:eastAsia="zh-CN"/>
        </w:rPr>
        <w:t>Can J Gastroenterol</w:t>
      </w:r>
      <w:r w:rsidRPr="00E22178">
        <w:rPr>
          <w:rFonts w:ascii="Book Antiqua" w:hAnsi="Book Antiqua" w:cs="宋体"/>
          <w:color w:val="000000"/>
          <w:lang w:eastAsia="zh-CN"/>
        </w:rPr>
        <w:t> 2010; </w:t>
      </w:r>
      <w:r w:rsidRPr="00E22178">
        <w:rPr>
          <w:rFonts w:ascii="Book Antiqua" w:hAnsi="Book Antiqua" w:cs="宋体"/>
          <w:b/>
          <w:bCs/>
          <w:color w:val="000000"/>
          <w:lang w:eastAsia="zh-CN"/>
        </w:rPr>
        <w:t>24</w:t>
      </w:r>
      <w:r w:rsidRPr="00E22178">
        <w:rPr>
          <w:rFonts w:ascii="Book Antiqua" w:hAnsi="Book Antiqua" w:cs="宋体"/>
          <w:color w:val="000000"/>
          <w:lang w:eastAsia="zh-CN"/>
        </w:rPr>
        <w:t>: 593-596 [PMID: 21037987]</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19 </w:t>
      </w:r>
      <w:r w:rsidRPr="00E22178">
        <w:rPr>
          <w:rFonts w:ascii="Book Antiqua" w:hAnsi="Book Antiqua" w:cs="宋体"/>
          <w:b/>
          <w:bCs/>
          <w:color w:val="000000"/>
          <w:lang w:eastAsia="zh-CN"/>
        </w:rPr>
        <w:t>Cheng LF</w:t>
      </w:r>
      <w:r w:rsidRPr="00E22178">
        <w:rPr>
          <w:rFonts w:ascii="Book Antiqua" w:hAnsi="Book Antiqua" w:cs="宋体"/>
          <w:color w:val="000000"/>
          <w:lang w:eastAsia="zh-CN"/>
        </w:rPr>
        <w:t>, Wang ZQ, Li CZ, Cai FC, Huang QY, Linghu EQ, Li W, Chai GJ, Sun GH, Mao YP, Wang YM, Li J, Gao P, Fan TY. Treatment of gastric varices by endoscopic sclerotherapy using butyl cyanoacrylate: 10 years' experience of 635 cases. </w:t>
      </w:r>
      <w:r w:rsidRPr="00E22178">
        <w:rPr>
          <w:rFonts w:ascii="Book Antiqua" w:hAnsi="Book Antiqua" w:cs="宋体"/>
          <w:i/>
          <w:iCs/>
          <w:color w:val="000000"/>
          <w:lang w:eastAsia="zh-CN"/>
        </w:rPr>
        <w:t>Chin Med J (Engl)</w:t>
      </w:r>
      <w:r w:rsidRPr="00E22178">
        <w:rPr>
          <w:rFonts w:ascii="Book Antiqua" w:hAnsi="Book Antiqua" w:cs="宋体"/>
          <w:color w:val="000000"/>
          <w:lang w:eastAsia="zh-CN"/>
        </w:rPr>
        <w:t> 2007; </w:t>
      </w:r>
      <w:r w:rsidRPr="00E22178">
        <w:rPr>
          <w:rFonts w:ascii="Book Antiqua" w:hAnsi="Book Antiqua" w:cs="宋体"/>
          <w:b/>
          <w:bCs/>
          <w:color w:val="000000"/>
          <w:lang w:eastAsia="zh-CN"/>
        </w:rPr>
        <w:t>120</w:t>
      </w:r>
      <w:r w:rsidRPr="00E22178">
        <w:rPr>
          <w:rFonts w:ascii="Book Antiqua" w:hAnsi="Book Antiqua" w:cs="宋体"/>
          <w:color w:val="000000"/>
          <w:lang w:eastAsia="zh-CN"/>
        </w:rPr>
        <w:t>: 2081-2085 [PMID: 18167180]</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20 </w:t>
      </w:r>
      <w:r w:rsidRPr="00E22178">
        <w:rPr>
          <w:rFonts w:ascii="Book Antiqua" w:hAnsi="Book Antiqua" w:cs="宋体"/>
          <w:b/>
          <w:bCs/>
          <w:color w:val="000000"/>
          <w:lang w:eastAsia="zh-CN"/>
        </w:rPr>
        <w:t>Seewald S</w:t>
      </w:r>
      <w:r w:rsidRPr="00E22178">
        <w:rPr>
          <w:rFonts w:ascii="Book Antiqua" w:hAnsi="Book Antiqua" w:cs="宋体"/>
          <w:color w:val="000000"/>
          <w:lang w:eastAsia="zh-CN"/>
        </w:rPr>
        <w:t>, Ang TL, Imazu H, Naga M, Omar S, Groth S, Seitz U, Zhong Y, Thonke F, Soehendra N. A standardized injection technique and regimen ensures success and safety of N-butyl-2-cyanoacrylate injection for the treatment of gastric fundal varices (with videos).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2008; </w:t>
      </w:r>
      <w:r w:rsidRPr="00E22178">
        <w:rPr>
          <w:rFonts w:ascii="Book Antiqua" w:hAnsi="Book Antiqua" w:cs="宋体"/>
          <w:b/>
          <w:bCs/>
          <w:color w:val="000000"/>
          <w:lang w:eastAsia="zh-CN"/>
        </w:rPr>
        <w:t>68</w:t>
      </w:r>
      <w:r w:rsidRPr="00E22178">
        <w:rPr>
          <w:rFonts w:ascii="Book Antiqua" w:hAnsi="Book Antiqua" w:cs="宋体"/>
          <w:color w:val="000000"/>
          <w:lang w:eastAsia="zh-CN"/>
        </w:rPr>
        <w:t>: 447-454 [PMID: 18760173 DOI: 10.1016/j.gie.2008.02.050]</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21 </w:t>
      </w:r>
      <w:r w:rsidRPr="00E22178">
        <w:rPr>
          <w:rFonts w:ascii="Book Antiqua" w:hAnsi="Book Antiqua" w:cs="宋体"/>
          <w:b/>
          <w:bCs/>
          <w:color w:val="000000"/>
          <w:lang w:eastAsia="zh-CN"/>
        </w:rPr>
        <w:t>Kind R</w:t>
      </w:r>
      <w:r w:rsidRPr="00E22178">
        <w:rPr>
          <w:rFonts w:ascii="Book Antiqua" w:hAnsi="Book Antiqua" w:cs="宋体"/>
          <w:color w:val="000000"/>
          <w:lang w:eastAsia="zh-CN"/>
        </w:rPr>
        <w:t>, Guglielmi A, Rodella L, Lombardo F, Catalano F, Ruzzenente A, Borzellino G, Girlanda R, Leopardi F, Pratticò F, Cordiano C. Bucrylate treatment of bleeding gastric varices: 12 years' experience. </w:t>
      </w:r>
      <w:r w:rsidRPr="00E22178">
        <w:rPr>
          <w:rFonts w:ascii="Book Antiqua" w:hAnsi="Book Antiqua" w:cs="宋体"/>
          <w:i/>
          <w:iCs/>
          <w:color w:val="000000"/>
          <w:lang w:eastAsia="zh-CN"/>
        </w:rPr>
        <w:t>Endoscopy</w:t>
      </w:r>
      <w:r w:rsidRPr="00E22178">
        <w:rPr>
          <w:rFonts w:ascii="Book Antiqua" w:hAnsi="Book Antiqua" w:cs="宋体"/>
          <w:color w:val="000000"/>
          <w:lang w:eastAsia="zh-CN"/>
        </w:rPr>
        <w:t> 2000; </w:t>
      </w:r>
      <w:r w:rsidRPr="00E22178">
        <w:rPr>
          <w:rFonts w:ascii="Book Antiqua" w:hAnsi="Book Antiqua" w:cs="宋体"/>
          <w:b/>
          <w:bCs/>
          <w:color w:val="000000"/>
          <w:lang w:eastAsia="zh-CN"/>
        </w:rPr>
        <w:t>32</w:t>
      </w:r>
      <w:r w:rsidRPr="00E22178">
        <w:rPr>
          <w:rFonts w:ascii="Book Antiqua" w:hAnsi="Book Antiqua" w:cs="宋体"/>
          <w:color w:val="000000"/>
          <w:lang w:eastAsia="zh-CN"/>
        </w:rPr>
        <w:t>: 512-519 [PMID: 10917182]</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22 </w:t>
      </w:r>
      <w:r w:rsidRPr="00E22178">
        <w:rPr>
          <w:rFonts w:ascii="Book Antiqua" w:hAnsi="Book Antiqua" w:cs="宋体"/>
          <w:b/>
          <w:bCs/>
          <w:color w:val="000000"/>
          <w:lang w:eastAsia="zh-CN"/>
        </w:rPr>
        <w:t>Lo GH</w:t>
      </w:r>
      <w:r w:rsidRPr="00E22178">
        <w:rPr>
          <w:rFonts w:ascii="Book Antiqua" w:hAnsi="Book Antiqua" w:cs="宋体"/>
          <w:color w:val="000000"/>
          <w:lang w:eastAsia="zh-CN"/>
        </w:rPr>
        <w:t xml:space="preserve">, Liang HL, Chen WC, Chen MH, Lai KH, Hsu PI, Lin CK, Chan HH, Pan HB. A prospective, randomized controlled trial of transjugular </w:t>
      </w:r>
      <w:r w:rsidRPr="00E22178">
        <w:rPr>
          <w:rFonts w:ascii="Book Antiqua" w:hAnsi="Book Antiqua" w:cs="宋体"/>
          <w:color w:val="000000"/>
          <w:lang w:eastAsia="zh-CN"/>
        </w:rPr>
        <w:lastRenderedPageBreak/>
        <w:t>intrahepatic portosystemic shunt versus cyanoacrylate injection in the prevention of gastric variceal rebleeding. </w:t>
      </w:r>
      <w:r w:rsidRPr="00E22178">
        <w:rPr>
          <w:rFonts w:ascii="Book Antiqua" w:hAnsi="Book Antiqua" w:cs="宋体"/>
          <w:i/>
          <w:iCs/>
          <w:color w:val="000000"/>
          <w:lang w:eastAsia="zh-CN"/>
        </w:rPr>
        <w:t>Endoscopy</w:t>
      </w:r>
      <w:r w:rsidRPr="00E22178">
        <w:rPr>
          <w:rFonts w:ascii="Book Antiqua" w:hAnsi="Book Antiqua" w:cs="宋体"/>
          <w:color w:val="000000"/>
          <w:lang w:eastAsia="zh-CN"/>
        </w:rPr>
        <w:t> 2007; </w:t>
      </w:r>
      <w:r w:rsidRPr="00E22178">
        <w:rPr>
          <w:rFonts w:ascii="Book Antiqua" w:hAnsi="Book Antiqua" w:cs="宋体"/>
          <w:b/>
          <w:bCs/>
          <w:color w:val="000000"/>
          <w:lang w:eastAsia="zh-CN"/>
        </w:rPr>
        <w:t>39</w:t>
      </w:r>
      <w:r w:rsidRPr="00E22178">
        <w:rPr>
          <w:rFonts w:ascii="Book Antiqua" w:hAnsi="Book Antiqua" w:cs="宋体"/>
          <w:color w:val="000000"/>
          <w:lang w:eastAsia="zh-CN"/>
        </w:rPr>
        <w:t>: 679-685 [PMID: 17661241]</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23 </w:t>
      </w:r>
      <w:r w:rsidRPr="00E22178">
        <w:rPr>
          <w:rFonts w:ascii="Book Antiqua" w:hAnsi="Book Antiqua" w:cs="宋体"/>
          <w:b/>
          <w:bCs/>
          <w:color w:val="000000"/>
          <w:lang w:eastAsia="zh-CN"/>
        </w:rPr>
        <w:t>Procaccini NJ</w:t>
      </w:r>
      <w:r w:rsidRPr="00E22178">
        <w:rPr>
          <w:rFonts w:ascii="Book Antiqua" w:hAnsi="Book Antiqua" w:cs="宋体"/>
          <w:color w:val="000000"/>
          <w:lang w:eastAsia="zh-CN"/>
        </w:rPr>
        <w:t>, Al-Osaimi AM, Northup P, Argo C, Caldwell SH. Endoscopic cyanoacrylate versus transjugular intrahepatic portosystemic shunt for gastric variceal bleeding: a single-center U.S. analysis.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2009; </w:t>
      </w:r>
      <w:r w:rsidRPr="00E22178">
        <w:rPr>
          <w:rFonts w:ascii="Book Antiqua" w:hAnsi="Book Antiqua" w:cs="宋体"/>
          <w:b/>
          <w:bCs/>
          <w:color w:val="000000"/>
          <w:lang w:eastAsia="zh-CN"/>
        </w:rPr>
        <w:t>70</w:t>
      </w:r>
      <w:r w:rsidRPr="00E22178">
        <w:rPr>
          <w:rFonts w:ascii="Book Antiqua" w:hAnsi="Book Antiqua" w:cs="宋体"/>
          <w:color w:val="000000"/>
          <w:lang w:eastAsia="zh-CN"/>
        </w:rPr>
        <w:t>: 881-887 [PMID: 19559425 DOI: 10.1016/j.gie.2009.03.1169]</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24 </w:t>
      </w:r>
      <w:r w:rsidRPr="00E22178">
        <w:rPr>
          <w:rFonts w:ascii="Book Antiqua" w:hAnsi="Book Antiqua" w:cs="宋体"/>
          <w:b/>
          <w:bCs/>
          <w:color w:val="000000"/>
          <w:lang w:eastAsia="zh-CN"/>
        </w:rPr>
        <w:t>Mahadeva S</w:t>
      </w:r>
      <w:r w:rsidRPr="00E22178">
        <w:rPr>
          <w:rFonts w:ascii="Book Antiqua" w:hAnsi="Book Antiqua" w:cs="宋体"/>
          <w:color w:val="000000"/>
          <w:lang w:eastAsia="zh-CN"/>
        </w:rPr>
        <w:t>, Bellamy MC, Kessel D, Davies MH, Millson CE. Cost-effectiveness of N-butyl-2-cyanoacrylate (histoacryl) glue injections versus transjugular intrahepatic portosystemic shunt in the management of acute gastric variceal bleeding. </w:t>
      </w:r>
      <w:r w:rsidRPr="00E22178">
        <w:rPr>
          <w:rFonts w:ascii="Book Antiqua" w:hAnsi="Book Antiqua" w:cs="宋体"/>
          <w:i/>
          <w:iCs/>
          <w:color w:val="000000"/>
          <w:lang w:eastAsia="zh-CN"/>
        </w:rPr>
        <w:t>Am J Gastroenterol</w:t>
      </w:r>
      <w:r w:rsidRPr="00E22178">
        <w:rPr>
          <w:rFonts w:ascii="Book Antiqua" w:hAnsi="Book Antiqua" w:cs="宋体"/>
          <w:color w:val="000000"/>
          <w:lang w:eastAsia="zh-CN"/>
        </w:rPr>
        <w:t> 2003; </w:t>
      </w:r>
      <w:r w:rsidRPr="00E22178">
        <w:rPr>
          <w:rFonts w:ascii="Book Antiqua" w:hAnsi="Book Antiqua" w:cs="宋体"/>
          <w:b/>
          <w:bCs/>
          <w:color w:val="000000"/>
          <w:lang w:eastAsia="zh-CN"/>
        </w:rPr>
        <w:t>98</w:t>
      </w:r>
      <w:r w:rsidRPr="00E22178">
        <w:rPr>
          <w:rFonts w:ascii="Book Antiqua" w:hAnsi="Book Antiqua" w:cs="宋体"/>
          <w:color w:val="000000"/>
          <w:lang w:eastAsia="zh-CN"/>
        </w:rPr>
        <w:t>: 2688-2693 [PMID: 14687818]</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25 </w:t>
      </w:r>
      <w:r w:rsidRPr="00E22178">
        <w:rPr>
          <w:rFonts w:ascii="Book Antiqua" w:hAnsi="Book Antiqua" w:cs="宋体"/>
          <w:b/>
          <w:bCs/>
          <w:color w:val="000000"/>
          <w:lang w:eastAsia="zh-CN"/>
        </w:rPr>
        <w:t>Tripathi D</w:t>
      </w:r>
      <w:r w:rsidRPr="00E22178">
        <w:rPr>
          <w:rFonts w:ascii="Book Antiqua" w:hAnsi="Book Antiqua" w:cs="宋体"/>
          <w:color w:val="000000"/>
          <w:lang w:eastAsia="zh-CN"/>
        </w:rPr>
        <w:t>, Hayes PC. Endoscopic therapy for bleeding gastric varices: to clot or glue?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2008; </w:t>
      </w:r>
      <w:r w:rsidRPr="00E22178">
        <w:rPr>
          <w:rFonts w:ascii="Book Antiqua" w:hAnsi="Book Antiqua" w:cs="宋体"/>
          <w:b/>
          <w:bCs/>
          <w:color w:val="000000"/>
          <w:lang w:eastAsia="zh-CN"/>
        </w:rPr>
        <w:t>68</w:t>
      </w:r>
      <w:r w:rsidRPr="00E22178">
        <w:rPr>
          <w:rFonts w:ascii="Book Antiqua" w:hAnsi="Book Antiqua" w:cs="宋体"/>
          <w:color w:val="000000"/>
          <w:lang w:eastAsia="zh-CN"/>
        </w:rPr>
        <w:t>: 883-886 [PMID: 18984100 DOI: 10.1016/j.gie.2008.04.040]</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26 </w:t>
      </w:r>
      <w:r w:rsidRPr="00E22178">
        <w:rPr>
          <w:rFonts w:ascii="Book Antiqua" w:hAnsi="Book Antiqua" w:cs="宋体"/>
          <w:b/>
          <w:bCs/>
          <w:color w:val="000000"/>
          <w:lang w:eastAsia="zh-CN"/>
        </w:rPr>
        <w:t>Williams SG</w:t>
      </w:r>
      <w:r w:rsidRPr="00E22178">
        <w:rPr>
          <w:rFonts w:ascii="Book Antiqua" w:hAnsi="Book Antiqua" w:cs="宋体"/>
          <w:color w:val="000000"/>
          <w:lang w:eastAsia="zh-CN"/>
        </w:rPr>
        <w:t>, Peters RA, Westaby D. Thrombin--an effective treatment for gastric variceal haemorrhage. </w:t>
      </w:r>
      <w:r w:rsidRPr="00E22178">
        <w:rPr>
          <w:rFonts w:ascii="Book Antiqua" w:hAnsi="Book Antiqua" w:cs="宋体"/>
          <w:i/>
          <w:iCs/>
          <w:color w:val="000000"/>
          <w:lang w:eastAsia="zh-CN"/>
        </w:rPr>
        <w:t>Gut</w:t>
      </w:r>
      <w:r w:rsidRPr="00E22178">
        <w:rPr>
          <w:rFonts w:ascii="Book Antiqua" w:hAnsi="Book Antiqua" w:cs="宋体"/>
          <w:color w:val="000000"/>
          <w:lang w:eastAsia="zh-CN"/>
        </w:rPr>
        <w:t> 1994; </w:t>
      </w:r>
      <w:r w:rsidRPr="00E22178">
        <w:rPr>
          <w:rFonts w:ascii="Book Antiqua" w:hAnsi="Book Antiqua" w:cs="宋体"/>
          <w:b/>
          <w:bCs/>
          <w:color w:val="000000"/>
          <w:lang w:eastAsia="zh-CN"/>
        </w:rPr>
        <w:t>35</w:t>
      </w:r>
      <w:r w:rsidRPr="00E22178">
        <w:rPr>
          <w:rFonts w:ascii="Book Antiqua" w:hAnsi="Book Antiqua" w:cs="宋体"/>
          <w:color w:val="000000"/>
          <w:lang w:eastAsia="zh-CN"/>
        </w:rPr>
        <w:t>: 1287-1289 [PMID: 7959239]</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27 </w:t>
      </w:r>
      <w:r w:rsidRPr="00E22178">
        <w:rPr>
          <w:rFonts w:ascii="Book Antiqua" w:hAnsi="Book Antiqua" w:cs="宋体"/>
          <w:b/>
          <w:bCs/>
          <w:color w:val="000000"/>
          <w:lang w:eastAsia="zh-CN"/>
        </w:rPr>
        <w:t>Ramesh J</w:t>
      </w:r>
      <w:r w:rsidRPr="00E22178">
        <w:rPr>
          <w:rFonts w:ascii="Book Antiqua" w:hAnsi="Book Antiqua" w:cs="宋体"/>
          <w:color w:val="000000"/>
          <w:lang w:eastAsia="zh-CN"/>
        </w:rPr>
        <w:t>, Limdi JK, Sharma V, Makin AJ. The use of thrombin injections in the management of bleeding gastric varices: a single-center experience.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2008; </w:t>
      </w:r>
      <w:r w:rsidRPr="00E22178">
        <w:rPr>
          <w:rFonts w:ascii="Book Antiqua" w:hAnsi="Book Antiqua" w:cs="宋体"/>
          <w:b/>
          <w:bCs/>
          <w:color w:val="000000"/>
          <w:lang w:eastAsia="zh-CN"/>
        </w:rPr>
        <w:t>68</w:t>
      </w:r>
      <w:r w:rsidRPr="00E22178">
        <w:rPr>
          <w:rFonts w:ascii="Book Antiqua" w:hAnsi="Book Antiqua" w:cs="宋体"/>
          <w:color w:val="000000"/>
          <w:lang w:eastAsia="zh-CN"/>
        </w:rPr>
        <w:t>: 877-882 [PMID: 18534583 DOI: 10.1016/j.gie.2008.02.065]</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28 </w:t>
      </w:r>
      <w:r w:rsidRPr="00E22178">
        <w:rPr>
          <w:rFonts w:ascii="Book Antiqua" w:hAnsi="Book Antiqua" w:cs="宋体"/>
          <w:b/>
          <w:bCs/>
          <w:color w:val="000000"/>
          <w:lang w:eastAsia="zh-CN"/>
        </w:rPr>
        <w:t>McAvoy NC</w:t>
      </w:r>
      <w:r w:rsidRPr="00E22178">
        <w:rPr>
          <w:rFonts w:ascii="Book Antiqua" w:hAnsi="Book Antiqua" w:cs="宋体"/>
          <w:color w:val="000000"/>
          <w:lang w:eastAsia="zh-CN"/>
        </w:rPr>
        <w:t>, Plevris JN, Hayes PC. Human thrombin for the treatment of gastric and ectopic varices. </w:t>
      </w:r>
      <w:r w:rsidRPr="00E22178">
        <w:rPr>
          <w:rFonts w:ascii="Book Antiqua" w:hAnsi="Book Antiqua" w:cs="宋体"/>
          <w:i/>
          <w:iCs/>
          <w:color w:val="000000"/>
          <w:lang w:eastAsia="zh-CN"/>
        </w:rPr>
        <w:t>World J Gastroenterol</w:t>
      </w:r>
      <w:r w:rsidRPr="00E22178">
        <w:rPr>
          <w:rFonts w:ascii="Book Antiqua" w:hAnsi="Book Antiqua" w:cs="宋体"/>
          <w:color w:val="000000"/>
          <w:lang w:eastAsia="zh-CN"/>
        </w:rPr>
        <w:t> 2012; </w:t>
      </w:r>
      <w:r w:rsidRPr="00E22178">
        <w:rPr>
          <w:rFonts w:ascii="Book Antiqua" w:hAnsi="Book Antiqua" w:cs="宋体"/>
          <w:b/>
          <w:bCs/>
          <w:color w:val="000000"/>
          <w:lang w:eastAsia="zh-CN"/>
        </w:rPr>
        <w:t>18</w:t>
      </w:r>
      <w:r w:rsidRPr="00E22178">
        <w:rPr>
          <w:rFonts w:ascii="Book Antiqua" w:hAnsi="Book Antiqua" w:cs="宋体"/>
          <w:color w:val="000000"/>
          <w:lang w:eastAsia="zh-CN"/>
        </w:rPr>
        <w:t>: 5912-5917 [PMID: 23139607 DOI: 10.3748/wjg.v18.i41.5912]</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29 </w:t>
      </w:r>
      <w:r w:rsidRPr="00E22178">
        <w:rPr>
          <w:rFonts w:ascii="Book Antiqua" w:hAnsi="Book Antiqua" w:cs="宋体"/>
          <w:b/>
          <w:bCs/>
          <w:color w:val="000000"/>
          <w:lang w:eastAsia="zh-CN"/>
        </w:rPr>
        <w:t>Przemioslo RT</w:t>
      </w:r>
      <w:r w:rsidRPr="00E22178">
        <w:rPr>
          <w:rFonts w:ascii="Book Antiqua" w:hAnsi="Book Antiqua" w:cs="宋体"/>
          <w:color w:val="000000"/>
          <w:lang w:eastAsia="zh-CN"/>
        </w:rPr>
        <w:t>, McNair A, Williams R. Thrombin is effective in arresting bleeding from gastric variceal hemorrhage. </w:t>
      </w:r>
      <w:r w:rsidRPr="00E22178">
        <w:rPr>
          <w:rFonts w:ascii="Book Antiqua" w:hAnsi="Book Antiqua" w:cs="宋体"/>
          <w:i/>
          <w:iCs/>
          <w:color w:val="000000"/>
          <w:lang w:eastAsia="zh-CN"/>
        </w:rPr>
        <w:t>Dig Dis Sci</w:t>
      </w:r>
      <w:r w:rsidRPr="00E22178">
        <w:rPr>
          <w:rFonts w:ascii="Book Antiqua" w:hAnsi="Book Antiqua" w:cs="宋体"/>
          <w:color w:val="000000"/>
          <w:lang w:eastAsia="zh-CN"/>
        </w:rPr>
        <w:t> 1999; </w:t>
      </w:r>
      <w:r w:rsidRPr="00E22178">
        <w:rPr>
          <w:rFonts w:ascii="Book Antiqua" w:hAnsi="Book Antiqua" w:cs="宋体"/>
          <w:b/>
          <w:bCs/>
          <w:color w:val="000000"/>
          <w:lang w:eastAsia="zh-CN"/>
        </w:rPr>
        <w:t>44</w:t>
      </w:r>
      <w:r w:rsidRPr="00E22178">
        <w:rPr>
          <w:rFonts w:ascii="Book Antiqua" w:hAnsi="Book Antiqua" w:cs="宋体"/>
          <w:color w:val="000000"/>
          <w:lang w:eastAsia="zh-CN"/>
        </w:rPr>
        <w:t>: 778-781 [PMID: 10219838]</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30 </w:t>
      </w:r>
      <w:r w:rsidRPr="00E22178">
        <w:rPr>
          <w:rFonts w:ascii="Book Antiqua" w:hAnsi="Book Antiqua" w:cs="宋体"/>
          <w:b/>
          <w:bCs/>
          <w:color w:val="000000"/>
          <w:lang w:eastAsia="zh-CN"/>
        </w:rPr>
        <w:t>Barrio J</w:t>
      </w:r>
      <w:r w:rsidRPr="00E22178">
        <w:rPr>
          <w:rFonts w:ascii="Book Antiqua" w:hAnsi="Book Antiqua" w:cs="宋体"/>
          <w:color w:val="000000"/>
          <w:lang w:eastAsia="zh-CN"/>
        </w:rPr>
        <w:t>, Ripoll C, Bañares R, Echenagusia A, Catalina MV, Camúñez F, Simó G, Santos L. Comparison of transjugular intrahepatic portosystemic shunt dysfunction in PTFE-covered stent-grafts versus bare stents. </w:t>
      </w:r>
      <w:r w:rsidRPr="00E22178">
        <w:rPr>
          <w:rFonts w:ascii="Book Antiqua" w:hAnsi="Book Antiqua" w:cs="宋体"/>
          <w:i/>
          <w:iCs/>
          <w:color w:val="000000"/>
          <w:lang w:eastAsia="zh-CN"/>
        </w:rPr>
        <w:t>Eur J Radiol</w:t>
      </w:r>
      <w:r w:rsidRPr="00E22178">
        <w:rPr>
          <w:rFonts w:ascii="Book Antiqua" w:hAnsi="Book Antiqua" w:cs="宋体"/>
          <w:color w:val="000000"/>
          <w:lang w:eastAsia="zh-CN"/>
        </w:rPr>
        <w:t> 2005; </w:t>
      </w:r>
      <w:r w:rsidRPr="00E22178">
        <w:rPr>
          <w:rFonts w:ascii="Book Antiqua" w:hAnsi="Book Antiqua" w:cs="宋体"/>
          <w:b/>
          <w:bCs/>
          <w:color w:val="000000"/>
          <w:lang w:eastAsia="zh-CN"/>
        </w:rPr>
        <w:t>55</w:t>
      </w:r>
      <w:r w:rsidRPr="00E22178">
        <w:rPr>
          <w:rFonts w:ascii="Book Antiqua" w:hAnsi="Book Antiqua" w:cs="宋体"/>
          <w:color w:val="000000"/>
          <w:lang w:eastAsia="zh-CN"/>
        </w:rPr>
        <w:t>: 120-124 [PMID: 15950109]</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lastRenderedPageBreak/>
        <w:t>31 </w:t>
      </w:r>
      <w:r w:rsidRPr="00E22178">
        <w:rPr>
          <w:rFonts w:ascii="Book Antiqua" w:hAnsi="Book Antiqua" w:cs="宋体"/>
          <w:b/>
          <w:bCs/>
          <w:color w:val="000000"/>
          <w:lang w:eastAsia="zh-CN"/>
        </w:rPr>
        <w:t>Tripathi D</w:t>
      </w:r>
      <w:r w:rsidRPr="00E22178">
        <w:rPr>
          <w:rFonts w:ascii="Book Antiqua" w:hAnsi="Book Antiqua" w:cs="宋体"/>
          <w:color w:val="000000"/>
          <w:lang w:eastAsia="zh-CN"/>
        </w:rPr>
        <w:t>. Therapies for bleeding gastric varices: is the fog starting to clear?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2009; </w:t>
      </w:r>
      <w:r w:rsidRPr="00E22178">
        <w:rPr>
          <w:rFonts w:ascii="Book Antiqua" w:hAnsi="Book Antiqua" w:cs="宋体"/>
          <w:b/>
          <w:bCs/>
          <w:color w:val="000000"/>
          <w:lang w:eastAsia="zh-CN"/>
        </w:rPr>
        <w:t>70</w:t>
      </w:r>
      <w:r w:rsidRPr="00E22178">
        <w:rPr>
          <w:rFonts w:ascii="Book Antiqua" w:hAnsi="Book Antiqua" w:cs="宋体"/>
          <w:color w:val="000000"/>
          <w:lang w:eastAsia="zh-CN"/>
        </w:rPr>
        <w:t>: 888-891 [PMID: 19879402 DOI: 10.1016/j.gie.2009.06.003]</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32 </w:t>
      </w:r>
      <w:r w:rsidRPr="00E22178">
        <w:rPr>
          <w:rFonts w:ascii="Book Antiqua" w:hAnsi="Book Antiqua" w:cs="宋体"/>
          <w:b/>
          <w:bCs/>
          <w:color w:val="000000"/>
          <w:lang w:eastAsia="zh-CN"/>
        </w:rPr>
        <w:t>Hong CH</w:t>
      </w:r>
      <w:r w:rsidRPr="00E22178">
        <w:rPr>
          <w:rFonts w:ascii="Book Antiqua" w:hAnsi="Book Antiqua" w:cs="宋体"/>
          <w:color w:val="000000"/>
          <w:lang w:eastAsia="zh-CN"/>
        </w:rPr>
        <w:t>, Kim HJ, Park JH, Park DI, Cho YK, Sohn CI, Jeon WK, Kim BI, Hong HP, Shin JH. Treatment of patients with gastric variceal hemorrhage: endoscopic N-butyl-2-cyanoacrylate injection versus balloon-occluded retrograde transvenous obliteration. </w:t>
      </w:r>
      <w:r w:rsidRPr="00E22178">
        <w:rPr>
          <w:rFonts w:ascii="Book Antiqua" w:hAnsi="Book Antiqua" w:cs="宋体"/>
          <w:i/>
          <w:iCs/>
          <w:color w:val="000000"/>
          <w:lang w:eastAsia="zh-CN"/>
        </w:rPr>
        <w:t>J Gastroenterol Hepatol</w:t>
      </w:r>
      <w:r w:rsidRPr="00E22178">
        <w:rPr>
          <w:rFonts w:ascii="Book Antiqua" w:hAnsi="Book Antiqua" w:cs="宋体"/>
          <w:color w:val="000000"/>
          <w:lang w:eastAsia="zh-CN"/>
        </w:rPr>
        <w:t> 2009; </w:t>
      </w:r>
      <w:r w:rsidRPr="00E22178">
        <w:rPr>
          <w:rFonts w:ascii="Book Antiqua" w:hAnsi="Book Antiqua" w:cs="宋体"/>
          <w:b/>
          <w:bCs/>
          <w:color w:val="000000"/>
          <w:lang w:eastAsia="zh-CN"/>
        </w:rPr>
        <w:t>24</w:t>
      </w:r>
      <w:r w:rsidRPr="00E22178">
        <w:rPr>
          <w:rFonts w:ascii="Book Antiqua" w:hAnsi="Book Antiqua" w:cs="宋体"/>
          <w:color w:val="000000"/>
          <w:lang w:eastAsia="zh-CN"/>
        </w:rPr>
        <w:t>: 372-378 [PMID: 19032446 DOI: 10.1111/j.1440-1746.2008.05651.x]</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33 </w:t>
      </w:r>
      <w:r w:rsidRPr="00E22178">
        <w:rPr>
          <w:rFonts w:ascii="Book Antiqua" w:hAnsi="Book Antiqua" w:cs="宋体"/>
          <w:b/>
          <w:bCs/>
          <w:color w:val="000000"/>
          <w:lang w:eastAsia="zh-CN"/>
        </w:rPr>
        <w:t>Choi YH</w:t>
      </w:r>
      <w:r w:rsidRPr="00E22178">
        <w:rPr>
          <w:rFonts w:ascii="Book Antiqua" w:hAnsi="Book Antiqua" w:cs="宋体"/>
          <w:color w:val="000000"/>
          <w:lang w:eastAsia="zh-CN"/>
        </w:rPr>
        <w:t>, Yoon CJ, Park JH, Chung JW, Kwon JW, Choi GM. Balloon-occluded retrograde transvenous obliteration for gastric variceal bleeding: its feasibility compared with transjugular intrahepatic portosystemic shunt. </w:t>
      </w:r>
      <w:r w:rsidRPr="00E22178">
        <w:rPr>
          <w:rFonts w:ascii="Book Antiqua" w:hAnsi="Book Antiqua" w:cs="宋体"/>
          <w:i/>
          <w:iCs/>
          <w:color w:val="000000"/>
          <w:lang w:eastAsia="zh-CN"/>
        </w:rPr>
        <w:t>Korean J Radiol</w:t>
      </w:r>
      <w:r w:rsidRPr="00E22178">
        <w:rPr>
          <w:rFonts w:ascii="Book Antiqua" w:hAnsi="Book Antiqua" w:cs="宋体"/>
          <w:color w:val="000000"/>
          <w:lang w:eastAsia="zh-CN"/>
        </w:rPr>
        <w:t> </w:t>
      </w:r>
      <w:r w:rsidR="006D57CD">
        <w:rPr>
          <w:rFonts w:ascii="Book Antiqua" w:hAnsi="Book Antiqua" w:cs="宋体" w:hint="eastAsia"/>
          <w:color w:val="000000"/>
          <w:lang w:eastAsia="zh-CN"/>
        </w:rPr>
        <w:t>2003</w:t>
      </w:r>
      <w:r w:rsidRPr="00E22178">
        <w:rPr>
          <w:rFonts w:ascii="Book Antiqua" w:hAnsi="Book Antiqua" w:cs="宋体"/>
          <w:color w:val="000000"/>
          <w:lang w:eastAsia="zh-CN"/>
        </w:rPr>
        <w:t>; </w:t>
      </w:r>
      <w:r w:rsidRPr="00E22178">
        <w:rPr>
          <w:rFonts w:ascii="Book Antiqua" w:hAnsi="Book Antiqua" w:cs="宋体"/>
          <w:b/>
          <w:bCs/>
          <w:color w:val="000000"/>
          <w:lang w:eastAsia="zh-CN"/>
        </w:rPr>
        <w:t>4</w:t>
      </w:r>
      <w:r w:rsidRPr="00E22178">
        <w:rPr>
          <w:rFonts w:ascii="Book Antiqua" w:hAnsi="Book Antiqua" w:cs="宋体"/>
          <w:color w:val="000000"/>
          <w:lang w:eastAsia="zh-CN"/>
        </w:rPr>
        <w:t>: 109-116 [PMID: 12845306]</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34 </w:t>
      </w:r>
      <w:r w:rsidRPr="00E22178">
        <w:rPr>
          <w:rFonts w:ascii="Book Antiqua" w:hAnsi="Book Antiqua" w:cs="宋体"/>
          <w:b/>
          <w:bCs/>
          <w:color w:val="000000"/>
          <w:lang w:eastAsia="zh-CN"/>
        </w:rPr>
        <w:t>Saad WE</w:t>
      </w:r>
      <w:r w:rsidRPr="00E22178">
        <w:rPr>
          <w:rFonts w:ascii="Book Antiqua" w:hAnsi="Book Antiqua" w:cs="宋体"/>
          <w:color w:val="000000"/>
          <w:lang w:eastAsia="zh-CN"/>
        </w:rPr>
        <w:t>, Darcy MD. Transjugular Intrahepatic Portosystemic Shunt (TIPS) versus Balloon-occluded Retrograde Transvenous Obliteration (BRTO) for the Management of Gastric Varices. </w:t>
      </w:r>
      <w:r w:rsidRPr="00E22178">
        <w:rPr>
          <w:rFonts w:ascii="Book Antiqua" w:hAnsi="Book Antiqua" w:cs="宋体"/>
          <w:i/>
          <w:iCs/>
          <w:color w:val="000000"/>
          <w:lang w:eastAsia="zh-CN"/>
        </w:rPr>
        <w:t>Semin Intervent Radiol</w:t>
      </w:r>
      <w:r w:rsidRPr="00E22178">
        <w:rPr>
          <w:rFonts w:ascii="Book Antiqua" w:hAnsi="Book Antiqua" w:cs="宋体"/>
          <w:color w:val="000000"/>
          <w:lang w:eastAsia="zh-CN"/>
        </w:rPr>
        <w:t> 2011; </w:t>
      </w:r>
      <w:r w:rsidRPr="00E22178">
        <w:rPr>
          <w:rFonts w:ascii="Book Antiqua" w:hAnsi="Book Antiqua" w:cs="宋体"/>
          <w:b/>
          <w:bCs/>
          <w:color w:val="000000"/>
          <w:lang w:eastAsia="zh-CN"/>
        </w:rPr>
        <w:t>28</w:t>
      </w:r>
      <w:r w:rsidRPr="00E22178">
        <w:rPr>
          <w:rFonts w:ascii="Book Antiqua" w:hAnsi="Book Antiqua" w:cs="宋体"/>
          <w:color w:val="000000"/>
          <w:lang w:eastAsia="zh-CN"/>
        </w:rPr>
        <w:t>: 339-349 [PMID: 22942552 DOI: 10.1055/s-0031-1284461]</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35 </w:t>
      </w:r>
      <w:r w:rsidRPr="00E22178">
        <w:rPr>
          <w:rFonts w:ascii="Book Antiqua" w:hAnsi="Book Antiqua" w:cs="宋体"/>
          <w:b/>
          <w:bCs/>
          <w:color w:val="000000"/>
          <w:lang w:eastAsia="zh-CN"/>
        </w:rPr>
        <w:t>Mishra SR</w:t>
      </w:r>
      <w:r w:rsidRPr="00E22178">
        <w:rPr>
          <w:rFonts w:ascii="Book Antiqua" w:hAnsi="Book Antiqua" w:cs="宋体"/>
          <w:color w:val="000000"/>
          <w:lang w:eastAsia="zh-CN"/>
        </w:rPr>
        <w:t>, Chander Sharma B, Kumar A, Sarin SK. Endoscopic cyanoacrylate injection versus beta-blocker for secondary prophylaxis of gastric variceal bleed: a randomised controlled trial. </w:t>
      </w:r>
      <w:r w:rsidRPr="00E22178">
        <w:rPr>
          <w:rFonts w:ascii="Book Antiqua" w:hAnsi="Book Antiqua" w:cs="宋体"/>
          <w:i/>
          <w:iCs/>
          <w:color w:val="000000"/>
          <w:lang w:eastAsia="zh-CN"/>
        </w:rPr>
        <w:t>Gut</w:t>
      </w:r>
      <w:r w:rsidRPr="00E22178">
        <w:rPr>
          <w:rFonts w:ascii="Book Antiqua" w:hAnsi="Book Antiqua" w:cs="宋体"/>
          <w:color w:val="000000"/>
          <w:lang w:eastAsia="zh-CN"/>
        </w:rPr>
        <w:t> 2010; </w:t>
      </w:r>
      <w:r w:rsidRPr="00E22178">
        <w:rPr>
          <w:rFonts w:ascii="Book Antiqua" w:hAnsi="Book Antiqua" w:cs="宋体"/>
          <w:b/>
          <w:bCs/>
          <w:color w:val="000000"/>
          <w:lang w:eastAsia="zh-CN"/>
        </w:rPr>
        <w:t>59</w:t>
      </w:r>
      <w:r w:rsidRPr="00E22178">
        <w:rPr>
          <w:rFonts w:ascii="Book Antiqua" w:hAnsi="Book Antiqua" w:cs="宋体"/>
          <w:color w:val="000000"/>
          <w:lang w:eastAsia="zh-CN"/>
        </w:rPr>
        <w:t>: 729-735 [PMID: 20551457 DOI: 10.1136/gut.2009.192039]</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36 </w:t>
      </w:r>
      <w:r w:rsidRPr="00E22178">
        <w:rPr>
          <w:rFonts w:ascii="Book Antiqua" w:hAnsi="Book Antiqua" w:cs="宋体"/>
          <w:b/>
          <w:bCs/>
          <w:color w:val="000000"/>
          <w:lang w:eastAsia="zh-CN"/>
        </w:rPr>
        <w:t>Hung HH</w:t>
      </w:r>
      <w:r w:rsidRPr="00E22178">
        <w:rPr>
          <w:rFonts w:ascii="Book Antiqua" w:hAnsi="Book Antiqua" w:cs="宋体"/>
          <w:color w:val="000000"/>
          <w:lang w:eastAsia="zh-CN"/>
        </w:rPr>
        <w:t>, Chang CJ, Hou MC, Liao WC, Chan CC, Huang HC, Lin HC, Lee FY, Lee SD. Efficacy of non-selective β-blockers as adjunct to endoscopic prophylactic treatment for gastric variceal bleeding: a randomized controlled trial. </w:t>
      </w:r>
      <w:r w:rsidRPr="00E22178">
        <w:rPr>
          <w:rFonts w:ascii="Book Antiqua" w:hAnsi="Book Antiqua" w:cs="宋体"/>
          <w:i/>
          <w:iCs/>
          <w:color w:val="000000"/>
          <w:lang w:eastAsia="zh-CN"/>
        </w:rPr>
        <w:t>J Hepatol</w:t>
      </w:r>
      <w:r w:rsidRPr="00E22178">
        <w:rPr>
          <w:rFonts w:ascii="Book Antiqua" w:hAnsi="Book Antiqua" w:cs="宋体"/>
          <w:color w:val="000000"/>
          <w:lang w:eastAsia="zh-CN"/>
        </w:rPr>
        <w:t> 2012; </w:t>
      </w:r>
      <w:r w:rsidRPr="00E22178">
        <w:rPr>
          <w:rFonts w:ascii="Book Antiqua" w:hAnsi="Book Antiqua" w:cs="宋体"/>
          <w:b/>
          <w:bCs/>
          <w:color w:val="000000"/>
          <w:lang w:eastAsia="zh-CN"/>
        </w:rPr>
        <w:t>56</w:t>
      </w:r>
      <w:r w:rsidRPr="00E22178">
        <w:rPr>
          <w:rFonts w:ascii="Book Antiqua" w:hAnsi="Book Antiqua" w:cs="宋体"/>
          <w:color w:val="000000"/>
          <w:lang w:eastAsia="zh-CN"/>
        </w:rPr>
        <w:t>: 1025-1032 [PMID: 22266602 DOI: 10.1016/j.jhep.2011.12.021]</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37 </w:t>
      </w:r>
      <w:r w:rsidRPr="00E22178">
        <w:rPr>
          <w:rFonts w:ascii="Book Antiqua" w:hAnsi="Book Antiqua" w:cs="宋体"/>
          <w:b/>
          <w:bCs/>
          <w:color w:val="000000"/>
          <w:lang w:eastAsia="zh-CN"/>
        </w:rPr>
        <w:t>Tripathi D</w:t>
      </w:r>
      <w:r w:rsidRPr="00E22178">
        <w:rPr>
          <w:rFonts w:ascii="Book Antiqua" w:hAnsi="Book Antiqua" w:cs="宋体"/>
          <w:color w:val="000000"/>
          <w:lang w:eastAsia="zh-CN"/>
        </w:rPr>
        <w:t>, Therapondos G, Jackson E, Redhead DN, Hayes PC. The role of the transjugular intrahepatic portosystemic stent shunt (TIPSS) in the management of bleeding gastric varices: clinical and haemodynamic correlations. </w:t>
      </w:r>
      <w:r w:rsidRPr="00E22178">
        <w:rPr>
          <w:rFonts w:ascii="Book Antiqua" w:hAnsi="Book Antiqua" w:cs="宋体"/>
          <w:i/>
          <w:iCs/>
          <w:color w:val="000000"/>
          <w:lang w:eastAsia="zh-CN"/>
        </w:rPr>
        <w:t>Gut</w:t>
      </w:r>
      <w:r w:rsidRPr="00E22178">
        <w:rPr>
          <w:rFonts w:ascii="Book Antiqua" w:hAnsi="Book Antiqua" w:cs="宋体"/>
          <w:color w:val="000000"/>
          <w:lang w:eastAsia="zh-CN"/>
        </w:rPr>
        <w:t> 2002; </w:t>
      </w:r>
      <w:r w:rsidRPr="00E22178">
        <w:rPr>
          <w:rFonts w:ascii="Book Antiqua" w:hAnsi="Book Antiqua" w:cs="宋体"/>
          <w:b/>
          <w:bCs/>
          <w:color w:val="000000"/>
          <w:lang w:eastAsia="zh-CN"/>
        </w:rPr>
        <w:t>51</w:t>
      </w:r>
      <w:r w:rsidRPr="00E22178">
        <w:rPr>
          <w:rFonts w:ascii="Book Antiqua" w:hAnsi="Book Antiqua" w:cs="宋体"/>
          <w:color w:val="000000"/>
          <w:lang w:eastAsia="zh-CN"/>
        </w:rPr>
        <w:t>: 270-274 [PMID: 12117893]</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38 </w:t>
      </w:r>
      <w:r w:rsidRPr="00E22178">
        <w:rPr>
          <w:rFonts w:ascii="Book Antiqua" w:hAnsi="Book Antiqua" w:cs="宋体"/>
          <w:b/>
          <w:bCs/>
          <w:color w:val="000000"/>
          <w:lang w:eastAsia="zh-CN"/>
        </w:rPr>
        <w:t>Jang SY</w:t>
      </w:r>
      <w:r w:rsidRPr="00E22178">
        <w:rPr>
          <w:rFonts w:ascii="Book Antiqua" w:hAnsi="Book Antiqua" w:cs="宋体"/>
          <w:color w:val="000000"/>
          <w:lang w:eastAsia="zh-CN"/>
        </w:rPr>
        <w:t xml:space="preserve">, Kim GH, Park SY, Cho CM, Tak WY, Kim JH, Choe WH, Kwon SY, Lee JM, Kim SG, Kim DY, Kim YS, Lee SO, Min YW, Lee JH, Paik SW, Yoo </w:t>
      </w:r>
      <w:r w:rsidRPr="00E22178">
        <w:rPr>
          <w:rFonts w:ascii="Book Antiqua" w:hAnsi="Book Antiqua" w:cs="宋体"/>
          <w:color w:val="000000"/>
          <w:lang w:eastAsia="zh-CN"/>
        </w:rPr>
        <w:lastRenderedPageBreak/>
        <w:t>BC, Lim JW, Kim HJ, Cho YK, Sohn JH, Jeong JY, Lee YH, Kim TY, Kweon YO. Clinical outcomes of balloon-occluded retrograde transvenous obliteration for the treatment of gastric variceal hemorrhage in Korean patients with liver cirrhosis: a retrospective multicenter study. </w:t>
      </w:r>
      <w:r w:rsidRPr="00E22178">
        <w:rPr>
          <w:rFonts w:ascii="Book Antiqua" w:hAnsi="Book Antiqua" w:cs="宋体"/>
          <w:i/>
          <w:iCs/>
          <w:color w:val="000000"/>
          <w:lang w:eastAsia="zh-CN"/>
        </w:rPr>
        <w:t>Clin Mol Hepatol</w:t>
      </w:r>
      <w:r w:rsidRPr="00E22178">
        <w:rPr>
          <w:rFonts w:ascii="Book Antiqua" w:hAnsi="Book Antiqua" w:cs="宋体"/>
          <w:color w:val="000000"/>
          <w:lang w:eastAsia="zh-CN"/>
        </w:rPr>
        <w:t> 2012; </w:t>
      </w:r>
      <w:r w:rsidRPr="00E22178">
        <w:rPr>
          <w:rFonts w:ascii="Book Antiqua" w:hAnsi="Book Antiqua" w:cs="宋体"/>
          <w:b/>
          <w:bCs/>
          <w:color w:val="000000"/>
          <w:lang w:eastAsia="zh-CN"/>
        </w:rPr>
        <w:t>18</w:t>
      </w:r>
      <w:r w:rsidRPr="00E22178">
        <w:rPr>
          <w:rFonts w:ascii="Book Antiqua" w:hAnsi="Book Antiqua" w:cs="宋体"/>
          <w:color w:val="000000"/>
          <w:lang w:eastAsia="zh-CN"/>
        </w:rPr>
        <w:t>: 368-374 [PMID: 23323252 DOI: 10.3350/cmh.2012.18.4.368]</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39 </w:t>
      </w:r>
      <w:r w:rsidRPr="00E22178">
        <w:rPr>
          <w:rFonts w:ascii="Book Antiqua" w:hAnsi="Book Antiqua" w:cs="宋体"/>
          <w:b/>
          <w:bCs/>
          <w:color w:val="000000"/>
          <w:lang w:eastAsia="zh-CN"/>
        </w:rPr>
        <w:t>Cho SK</w:t>
      </w:r>
      <w:r w:rsidRPr="00E22178">
        <w:rPr>
          <w:rFonts w:ascii="Book Antiqua" w:hAnsi="Book Antiqua" w:cs="宋体"/>
          <w:color w:val="000000"/>
          <w:lang w:eastAsia="zh-CN"/>
        </w:rPr>
        <w:t>, Shin SW, Yoo EY, Do YS, Park KB, Choo SW, Han H, Choo IW. The short-term effects of balloon-occluded retrograde transvenous obliteration, for treating gastric variceal bleeding, on portal hypertensive changes: a CT evaluation. </w:t>
      </w:r>
      <w:r w:rsidRPr="00E22178">
        <w:rPr>
          <w:rFonts w:ascii="Book Antiqua" w:hAnsi="Book Antiqua" w:cs="宋体"/>
          <w:i/>
          <w:iCs/>
          <w:color w:val="000000"/>
          <w:lang w:eastAsia="zh-CN"/>
        </w:rPr>
        <w:t>Korean J Radiol</w:t>
      </w:r>
      <w:r w:rsidRPr="00E22178">
        <w:rPr>
          <w:rFonts w:ascii="Book Antiqua" w:hAnsi="Book Antiqua" w:cs="宋体"/>
          <w:color w:val="000000"/>
          <w:lang w:eastAsia="zh-CN"/>
        </w:rPr>
        <w:t> </w:t>
      </w:r>
      <w:r w:rsidR="006D57CD">
        <w:rPr>
          <w:rFonts w:ascii="Book Antiqua" w:hAnsi="Book Antiqua" w:cs="宋体" w:hint="eastAsia"/>
          <w:color w:val="000000"/>
          <w:lang w:eastAsia="zh-CN"/>
        </w:rPr>
        <w:t>2007</w:t>
      </w:r>
      <w:r w:rsidRPr="00E22178">
        <w:rPr>
          <w:rFonts w:ascii="Book Antiqua" w:hAnsi="Book Antiqua" w:cs="宋体"/>
          <w:color w:val="000000"/>
          <w:lang w:eastAsia="zh-CN"/>
        </w:rPr>
        <w:t>; </w:t>
      </w:r>
      <w:r w:rsidRPr="00E22178">
        <w:rPr>
          <w:rFonts w:ascii="Book Antiqua" w:hAnsi="Book Antiqua" w:cs="宋体"/>
          <w:b/>
          <w:bCs/>
          <w:color w:val="000000"/>
          <w:lang w:eastAsia="zh-CN"/>
        </w:rPr>
        <w:t>8</w:t>
      </w:r>
      <w:r w:rsidRPr="00E22178">
        <w:rPr>
          <w:rFonts w:ascii="Book Antiqua" w:hAnsi="Book Antiqua" w:cs="宋体"/>
          <w:color w:val="000000"/>
          <w:lang w:eastAsia="zh-CN"/>
        </w:rPr>
        <w:t>: 520-530 [PMID: 18071283]</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40 </w:t>
      </w:r>
      <w:r w:rsidRPr="00E22178">
        <w:rPr>
          <w:rFonts w:ascii="Book Antiqua" w:hAnsi="Book Antiqua" w:cs="宋体"/>
          <w:b/>
          <w:bCs/>
          <w:color w:val="000000"/>
          <w:lang w:eastAsia="zh-CN"/>
        </w:rPr>
        <w:t>Tanihata H</w:t>
      </w:r>
      <w:r w:rsidRPr="00E22178">
        <w:rPr>
          <w:rFonts w:ascii="Book Antiqua" w:hAnsi="Book Antiqua" w:cs="宋体"/>
          <w:color w:val="000000"/>
          <w:lang w:eastAsia="zh-CN"/>
        </w:rPr>
        <w:t>, Minamiguchi H, Sato M, Kawai N, Sonomura T, Takasaka I, Nakai M, Sahara S, Nakata K, Shirai S. Changes in portal systemic pressure gradient after balloon-occluded retrograde transvenous obliteration of gastric varices and aggravation of esophageal varices. </w:t>
      </w:r>
      <w:r w:rsidRPr="00E22178">
        <w:rPr>
          <w:rFonts w:ascii="Book Antiqua" w:hAnsi="Book Antiqua" w:cs="宋体"/>
          <w:i/>
          <w:iCs/>
          <w:color w:val="000000"/>
          <w:lang w:eastAsia="zh-CN"/>
        </w:rPr>
        <w:t>Cardiovasc Intervent Radiol</w:t>
      </w:r>
      <w:r w:rsidRPr="00E22178">
        <w:rPr>
          <w:rFonts w:ascii="Book Antiqua" w:hAnsi="Book Antiqua" w:cs="宋体"/>
          <w:color w:val="000000"/>
          <w:lang w:eastAsia="zh-CN"/>
        </w:rPr>
        <w:t> 2009; </w:t>
      </w:r>
      <w:r w:rsidRPr="00E22178">
        <w:rPr>
          <w:rFonts w:ascii="Book Antiqua" w:hAnsi="Book Antiqua" w:cs="宋体"/>
          <w:b/>
          <w:bCs/>
          <w:color w:val="000000"/>
          <w:lang w:eastAsia="zh-CN"/>
        </w:rPr>
        <w:t>32</w:t>
      </w:r>
      <w:r w:rsidRPr="00E22178">
        <w:rPr>
          <w:rFonts w:ascii="Book Antiqua" w:hAnsi="Book Antiqua" w:cs="宋体"/>
          <w:color w:val="000000"/>
          <w:lang w:eastAsia="zh-CN"/>
        </w:rPr>
        <w:t>: 1209-1216 [PMID: 19688368 DOI: 10.1007/s00270-009-9679-3]</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41 </w:t>
      </w:r>
      <w:r w:rsidRPr="00E22178">
        <w:rPr>
          <w:rFonts w:ascii="Book Antiqua" w:hAnsi="Book Antiqua" w:cs="宋体"/>
          <w:b/>
          <w:bCs/>
          <w:color w:val="000000"/>
          <w:lang w:eastAsia="zh-CN"/>
        </w:rPr>
        <w:t>Lee YT</w:t>
      </w:r>
      <w:r w:rsidRPr="00E22178">
        <w:rPr>
          <w:rFonts w:ascii="Book Antiqua" w:hAnsi="Book Antiqua" w:cs="宋体"/>
          <w:color w:val="000000"/>
          <w:lang w:eastAsia="zh-CN"/>
        </w:rPr>
        <w:t>, Chan FK, Ng EK, Leung VK, Law KB, Yung MY, Chung SC, Sung JJ. EUS-guided injection of cyanoacrylate for bleeding gastric varices.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2000; </w:t>
      </w:r>
      <w:r w:rsidRPr="00E22178">
        <w:rPr>
          <w:rFonts w:ascii="Book Antiqua" w:hAnsi="Book Antiqua" w:cs="宋体"/>
          <w:b/>
          <w:bCs/>
          <w:color w:val="000000"/>
          <w:lang w:eastAsia="zh-CN"/>
        </w:rPr>
        <w:t>52</w:t>
      </w:r>
      <w:r w:rsidRPr="00E22178">
        <w:rPr>
          <w:rFonts w:ascii="Book Antiqua" w:hAnsi="Book Antiqua" w:cs="宋体"/>
          <w:color w:val="000000"/>
          <w:lang w:eastAsia="zh-CN"/>
        </w:rPr>
        <w:t>: 168-174 [PMID: 10922086]</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42 </w:t>
      </w:r>
      <w:r w:rsidRPr="00E22178">
        <w:rPr>
          <w:rFonts w:ascii="Book Antiqua" w:hAnsi="Book Antiqua" w:cs="宋体"/>
          <w:b/>
          <w:bCs/>
          <w:color w:val="000000"/>
          <w:lang w:eastAsia="zh-CN"/>
        </w:rPr>
        <w:t>Binmoeller KF</w:t>
      </w:r>
      <w:r w:rsidRPr="00E22178">
        <w:rPr>
          <w:rFonts w:ascii="Book Antiqua" w:hAnsi="Book Antiqua" w:cs="宋体"/>
          <w:color w:val="000000"/>
          <w:lang w:eastAsia="zh-CN"/>
        </w:rPr>
        <w:t>, Weilert F, Shah JN, Kim J. EUS-guided transesophageal treatment of gastric fundal varices with combined coiling and cyanoacrylate glue injection (with videos). </w:t>
      </w:r>
      <w:r w:rsidRPr="00E22178">
        <w:rPr>
          <w:rFonts w:ascii="Book Antiqua" w:hAnsi="Book Antiqua" w:cs="宋体"/>
          <w:i/>
          <w:iCs/>
          <w:color w:val="000000"/>
          <w:lang w:eastAsia="zh-CN"/>
        </w:rPr>
        <w:t>Gastrointest Endosc</w:t>
      </w:r>
      <w:r w:rsidRPr="00E22178">
        <w:rPr>
          <w:rFonts w:ascii="Book Antiqua" w:hAnsi="Book Antiqua" w:cs="宋体"/>
          <w:color w:val="000000"/>
          <w:lang w:eastAsia="zh-CN"/>
        </w:rPr>
        <w:t> 2011; </w:t>
      </w:r>
      <w:r w:rsidRPr="00E22178">
        <w:rPr>
          <w:rFonts w:ascii="Book Antiqua" w:hAnsi="Book Antiqua" w:cs="宋体"/>
          <w:b/>
          <w:bCs/>
          <w:color w:val="000000"/>
          <w:lang w:eastAsia="zh-CN"/>
        </w:rPr>
        <w:t>74</w:t>
      </w:r>
      <w:r w:rsidRPr="00E22178">
        <w:rPr>
          <w:rFonts w:ascii="Book Antiqua" w:hAnsi="Book Antiqua" w:cs="宋体"/>
          <w:color w:val="000000"/>
          <w:lang w:eastAsia="zh-CN"/>
        </w:rPr>
        <w:t>: 1019-1025 [PMID: 21889139 DOI: 10.1016/j.gie.2011.06.030]</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43 </w:t>
      </w:r>
      <w:r w:rsidRPr="00E22178">
        <w:rPr>
          <w:rFonts w:ascii="Book Antiqua" w:hAnsi="Book Antiqua" w:cs="宋体"/>
          <w:b/>
          <w:bCs/>
          <w:color w:val="000000"/>
          <w:lang w:eastAsia="zh-CN"/>
        </w:rPr>
        <w:t>Orozco H</w:t>
      </w:r>
      <w:r w:rsidRPr="00E22178">
        <w:rPr>
          <w:rFonts w:ascii="Book Antiqua" w:hAnsi="Book Antiqua" w:cs="宋体"/>
          <w:color w:val="000000"/>
          <w:lang w:eastAsia="zh-CN"/>
        </w:rPr>
        <w:t>, Mercado MA. The evolution of portal hypertension surgery: lessons from 1000 operations and 50 Years' experience. </w:t>
      </w:r>
      <w:r w:rsidRPr="00E22178">
        <w:rPr>
          <w:rFonts w:ascii="Book Antiqua" w:hAnsi="Book Antiqua" w:cs="宋体"/>
          <w:i/>
          <w:iCs/>
          <w:color w:val="000000"/>
          <w:lang w:eastAsia="zh-CN"/>
        </w:rPr>
        <w:t>Arch Surg</w:t>
      </w:r>
      <w:r w:rsidRPr="00E22178">
        <w:rPr>
          <w:rFonts w:ascii="Book Antiqua" w:hAnsi="Book Antiqua" w:cs="宋体"/>
          <w:color w:val="000000"/>
          <w:lang w:eastAsia="zh-CN"/>
        </w:rPr>
        <w:t> 2000; </w:t>
      </w:r>
      <w:r w:rsidRPr="00E22178">
        <w:rPr>
          <w:rFonts w:ascii="Book Antiqua" w:hAnsi="Book Antiqua" w:cs="宋体"/>
          <w:b/>
          <w:bCs/>
          <w:color w:val="000000"/>
          <w:lang w:eastAsia="zh-CN"/>
        </w:rPr>
        <w:t>135</w:t>
      </w:r>
      <w:r w:rsidRPr="00E22178">
        <w:rPr>
          <w:rFonts w:ascii="Book Antiqua" w:hAnsi="Book Antiqua" w:cs="宋体"/>
          <w:color w:val="000000"/>
          <w:lang w:eastAsia="zh-CN"/>
        </w:rPr>
        <w:t>: 1389-193; discussion 1394 [PMID: 11115336]</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44 </w:t>
      </w:r>
      <w:r w:rsidRPr="00E22178">
        <w:rPr>
          <w:rFonts w:ascii="Book Antiqua" w:hAnsi="Book Antiqua" w:cs="宋体"/>
          <w:b/>
          <w:bCs/>
          <w:color w:val="000000"/>
          <w:lang w:eastAsia="zh-CN"/>
        </w:rPr>
        <w:t>Galloway JR</w:t>
      </w:r>
      <w:r w:rsidRPr="00E22178">
        <w:rPr>
          <w:rFonts w:ascii="Book Antiqua" w:hAnsi="Book Antiqua" w:cs="宋体"/>
          <w:color w:val="000000"/>
          <w:lang w:eastAsia="zh-CN"/>
        </w:rPr>
        <w:t>, Henderson JM. Management of variceal bleeding in patients with extrahepatic portal vein thrombosis. </w:t>
      </w:r>
      <w:r w:rsidRPr="00E22178">
        <w:rPr>
          <w:rFonts w:ascii="Book Antiqua" w:hAnsi="Book Antiqua" w:cs="宋体"/>
          <w:i/>
          <w:iCs/>
          <w:color w:val="000000"/>
          <w:lang w:eastAsia="zh-CN"/>
        </w:rPr>
        <w:t>Am J Surg</w:t>
      </w:r>
      <w:r w:rsidRPr="00E22178">
        <w:rPr>
          <w:rFonts w:ascii="Book Antiqua" w:hAnsi="Book Antiqua" w:cs="宋体"/>
          <w:color w:val="000000"/>
          <w:lang w:eastAsia="zh-CN"/>
        </w:rPr>
        <w:t> 1990; </w:t>
      </w:r>
      <w:r w:rsidRPr="00E22178">
        <w:rPr>
          <w:rFonts w:ascii="Book Antiqua" w:hAnsi="Book Antiqua" w:cs="宋体"/>
          <w:b/>
          <w:bCs/>
          <w:color w:val="000000"/>
          <w:lang w:eastAsia="zh-CN"/>
        </w:rPr>
        <w:t>160</w:t>
      </w:r>
      <w:r w:rsidRPr="00E22178">
        <w:rPr>
          <w:rFonts w:ascii="Book Antiqua" w:hAnsi="Book Antiqua" w:cs="宋体"/>
          <w:color w:val="000000"/>
          <w:lang w:eastAsia="zh-CN"/>
        </w:rPr>
        <w:t>: 122-127 [PMID: 2368872]</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45 </w:t>
      </w:r>
      <w:r w:rsidRPr="00E22178">
        <w:rPr>
          <w:rFonts w:ascii="Book Antiqua" w:hAnsi="Book Antiqua" w:cs="宋体"/>
          <w:b/>
          <w:bCs/>
          <w:color w:val="000000"/>
          <w:lang w:eastAsia="zh-CN"/>
        </w:rPr>
        <w:t>Orloff MJ</w:t>
      </w:r>
      <w:r w:rsidRPr="00E22178">
        <w:rPr>
          <w:rFonts w:ascii="Book Antiqua" w:hAnsi="Book Antiqua" w:cs="宋体"/>
          <w:color w:val="000000"/>
          <w:lang w:eastAsia="zh-CN"/>
        </w:rPr>
        <w:t>, Orloff MS, Girard B, Orloff SL. Bleeding esophagogastric varices from extrahepatic portal hypertension: 40 years' experience with portal-systemic shunt. </w:t>
      </w:r>
      <w:r w:rsidRPr="00E22178">
        <w:rPr>
          <w:rFonts w:ascii="Book Antiqua" w:hAnsi="Book Antiqua" w:cs="宋体"/>
          <w:i/>
          <w:iCs/>
          <w:color w:val="000000"/>
          <w:lang w:eastAsia="zh-CN"/>
        </w:rPr>
        <w:t>J Am Coll Surg</w:t>
      </w:r>
      <w:r w:rsidRPr="00E22178">
        <w:rPr>
          <w:rFonts w:ascii="Book Antiqua" w:hAnsi="Book Antiqua" w:cs="宋体"/>
          <w:color w:val="000000"/>
          <w:lang w:eastAsia="zh-CN"/>
        </w:rPr>
        <w:t> 2002; </w:t>
      </w:r>
      <w:r w:rsidRPr="00E22178">
        <w:rPr>
          <w:rFonts w:ascii="Book Antiqua" w:hAnsi="Book Antiqua" w:cs="宋体"/>
          <w:b/>
          <w:bCs/>
          <w:color w:val="000000"/>
          <w:lang w:eastAsia="zh-CN"/>
        </w:rPr>
        <w:t>194</w:t>
      </w:r>
      <w:r w:rsidRPr="00E22178">
        <w:rPr>
          <w:rFonts w:ascii="Book Antiqua" w:hAnsi="Book Antiqua" w:cs="宋体"/>
          <w:color w:val="000000"/>
          <w:lang w:eastAsia="zh-CN"/>
        </w:rPr>
        <w:t>: 717-28; discussion 728-30 [PMID: 12081062]</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lastRenderedPageBreak/>
        <w:t>46 </w:t>
      </w:r>
      <w:r w:rsidRPr="00E22178">
        <w:rPr>
          <w:rFonts w:ascii="Book Antiqua" w:hAnsi="Book Antiqua" w:cs="宋体"/>
          <w:b/>
          <w:bCs/>
          <w:color w:val="000000"/>
          <w:lang w:eastAsia="zh-CN"/>
        </w:rPr>
        <w:t>Mishra SR</w:t>
      </w:r>
      <w:r w:rsidRPr="00E22178">
        <w:rPr>
          <w:rFonts w:ascii="Book Antiqua" w:hAnsi="Book Antiqua" w:cs="宋体"/>
          <w:color w:val="000000"/>
          <w:lang w:eastAsia="zh-CN"/>
        </w:rPr>
        <w:t>, Sharma BC, Kumar A, Sarin SK. Primary prophylaxis of gastric variceal bleeding comparing cyanoacrylate injection and beta-blockers: a randomized controlled trial. </w:t>
      </w:r>
      <w:r w:rsidRPr="00E22178">
        <w:rPr>
          <w:rFonts w:ascii="Book Antiqua" w:hAnsi="Book Antiqua" w:cs="宋体"/>
          <w:i/>
          <w:iCs/>
          <w:color w:val="000000"/>
          <w:lang w:eastAsia="zh-CN"/>
        </w:rPr>
        <w:t>J Hepatol</w:t>
      </w:r>
      <w:r w:rsidRPr="00E22178">
        <w:rPr>
          <w:rFonts w:ascii="Book Antiqua" w:hAnsi="Book Antiqua" w:cs="宋体"/>
          <w:color w:val="000000"/>
          <w:lang w:eastAsia="zh-CN"/>
        </w:rPr>
        <w:t> 2011; </w:t>
      </w:r>
      <w:r w:rsidRPr="00E22178">
        <w:rPr>
          <w:rFonts w:ascii="Book Antiqua" w:hAnsi="Book Antiqua" w:cs="宋体"/>
          <w:b/>
          <w:bCs/>
          <w:color w:val="000000"/>
          <w:lang w:eastAsia="zh-CN"/>
        </w:rPr>
        <w:t>54</w:t>
      </w:r>
      <w:r w:rsidRPr="00E22178">
        <w:rPr>
          <w:rFonts w:ascii="Book Antiqua" w:hAnsi="Book Antiqua" w:cs="宋体"/>
          <w:color w:val="000000"/>
          <w:lang w:eastAsia="zh-CN"/>
        </w:rPr>
        <w:t>: 1161-1167 [PMID: 21145834 DOI: 10.1016/j.jhep.2010.09.031]</w:t>
      </w:r>
    </w:p>
    <w:p w:rsidR="00E22178" w:rsidRPr="00E22178" w:rsidRDefault="00E22178" w:rsidP="00E22178">
      <w:pPr>
        <w:spacing w:line="360" w:lineRule="auto"/>
        <w:jc w:val="both"/>
        <w:rPr>
          <w:rFonts w:ascii="Book Antiqua" w:hAnsi="Book Antiqua" w:cs="宋体"/>
          <w:color w:val="000000"/>
          <w:lang w:eastAsia="zh-CN"/>
        </w:rPr>
      </w:pPr>
      <w:r w:rsidRPr="00E22178">
        <w:rPr>
          <w:rFonts w:ascii="Book Antiqua" w:hAnsi="Book Antiqua" w:cs="宋体"/>
          <w:color w:val="000000"/>
          <w:lang w:eastAsia="zh-CN"/>
        </w:rPr>
        <w:t>47 </w:t>
      </w:r>
      <w:r w:rsidRPr="00E22178">
        <w:rPr>
          <w:rFonts w:ascii="Book Antiqua" w:hAnsi="Book Antiqua" w:cs="宋体"/>
          <w:b/>
          <w:bCs/>
          <w:color w:val="000000"/>
          <w:lang w:eastAsia="zh-CN"/>
        </w:rPr>
        <w:t>Katoh K</w:t>
      </w:r>
      <w:r w:rsidRPr="00E22178">
        <w:rPr>
          <w:rFonts w:ascii="Book Antiqua" w:hAnsi="Book Antiqua" w:cs="宋体"/>
          <w:color w:val="000000"/>
          <w:lang w:eastAsia="zh-CN"/>
        </w:rPr>
        <w:t>, Sone M, Hirose A, Inoue Y, Fujino Y, Onodera M. Balloon-occluded retrograde transvenous obliteration for gastric varices: the relationship between the clinical outcome and gastrorenal shunt occlusion. </w:t>
      </w:r>
      <w:r w:rsidRPr="00E22178">
        <w:rPr>
          <w:rFonts w:ascii="Book Antiqua" w:hAnsi="Book Antiqua" w:cs="宋体"/>
          <w:i/>
          <w:iCs/>
          <w:color w:val="000000"/>
          <w:lang w:eastAsia="zh-CN"/>
        </w:rPr>
        <w:t>BMC Med Imaging</w:t>
      </w:r>
      <w:r w:rsidRPr="00E22178">
        <w:rPr>
          <w:rFonts w:ascii="Book Antiqua" w:hAnsi="Book Antiqua" w:cs="宋体"/>
          <w:color w:val="000000"/>
          <w:lang w:eastAsia="zh-CN"/>
        </w:rPr>
        <w:t> 2010; </w:t>
      </w:r>
      <w:r w:rsidRPr="00E22178">
        <w:rPr>
          <w:rFonts w:ascii="Book Antiqua" w:hAnsi="Book Antiqua" w:cs="宋体"/>
          <w:b/>
          <w:bCs/>
          <w:color w:val="000000"/>
          <w:lang w:eastAsia="zh-CN"/>
        </w:rPr>
        <w:t>10</w:t>
      </w:r>
      <w:r w:rsidRPr="00E22178">
        <w:rPr>
          <w:rFonts w:ascii="Book Antiqua" w:hAnsi="Book Antiqua" w:cs="宋体"/>
          <w:color w:val="000000"/>
          <w:lang w:eastAsia="zh-CN"/>
        </w:rPr>
        <w:t>: 2 [PMID: 20074342 DOI: 10.1186/1471-2342-10-2]</w:t>
      </w:r>
    </w:p>
    <w:p w:rsidR="000B0CAE" w:rsidRPr="00E22178" w:rsidRDefault="000B0CAE" w:rsidP="00E22178">
      <w:pPr>
        <w:widowControl w:val="0"/>
        <w:autoSpaceDE w:val="0"/>
        <w:autoSpaceDN w:val="0"/>
        <w:adjustRightInd w:val="0"/>
        <w:snapToGrid w:val="0"/>
        <w:spacing w:line="360" w:lineRule="auto"/>
        <w:jc w:val="both"/>
        <w:rPr>
          <w:rFonts w:ascii="Book Antiqua" w:hAnsi="Book Antiqua"/>
        </w:rPr>
      </w:pPr>
    </w:p>
    <w:p w:rsidR="006D57CD" w:rsidRPr="007350B6" w:rsidRDefault="006D57CD" w:rsidP="006D57CD">
      <w:pPr>
        <w:tabs>
          <w:tab w:val="left" w:pos="180"/>
          <w:tab w:val="left" w:pos="360"/>
        </w:tabs>
        <w:wordWrap w:val="0"/>
        <w:spacing w:line="360" w:lineRule="auto"/>
        <w:jc w:val="right"/>
        <w:rPr>
          <w:rFonts w:ascii="Book Antiqua" w:hAnsi="Book Antiqua" w:cs="Tahoma"/>
          <w:b/>
          <w:color w:val="000000"/>
        </w:rPr>
      </w:pPr>
      <w:bookmarkStart w:id="14" w:name="OLE_LINK141"/>
      <w:bookmarkStart w:id="15" w:name="OLE_LINK164"/>
      <w:bookmarkStart w:id="16" w:name="OLE_LINK177"/>
      <w:bookmarkStart w:id="17" w:name="OLE_LINK180"/>
      <w:bookmarkStart w:id="18" w:name="OLE_LINK172"/>
      <w:bookmarkStart w:id="19" w:name="OLE_LINK187"/>
      <w:bookmarkStart w:id="20" w:name="OLE_LINK192"/>
      <w:bookmarkStart w:id="21" w:name="OLE_LINK193"/>
      <w:bookmarkStart w:id="22" w:name="OLE_LINK214"/>
      <w:bookmarkStart w:id="23" w:name="OLE_LINK213"/>
      <w:bookmarkStart w:id="24" w:name="OLE_LINK239"/>
      <w:bookmarkStart w:id="25" w:name="OLE_LINK249"/>
      <w:bookmarkStart w:id="26" w:name="OLE_LINK281"/>
      <w:bookmarkStart w:id="27" w:name="OLE_LINK268"/>
      <w:bookmarkStart w:id="28" w:name="OLE_LINK314"/>
      <w:bookmarkStart w:id="29" w:name="OLE_LINK320"/>
      <w:bookmarkStart w:id="30" w:name="OLE_LINK322"/>
      <w:bookmarkStart w:id="31" w:name="OLE_LINK340"/>
      <w:bookmarkStart w:id="32" w:name="OLE_LINK323"/>
      <w:bookmarkStart w:id="33" w:name="OLE_LINK387"/>
      <w:bookmarkStart w:id="34" w:name="OLE_LINK416"/>
      <w:bookmarkStart w:id="35" w:name="OLE_LINK332"/>
      <w:bookmarkStart w:id="36" w:name="OLE_LINK344"/>
      <w:bookmarkStart w:id="37" w:name="OLE_LINK345"/>
      <w:bookmarkStart w:id="38" w:name="OLE_LINK354"/>
      <w:bookmarkStart w:id="39" w:name="OLE_LINK356"/>
      <w:bookmarkStart w:id="40" w:name="OLE_LINK360"/>
      <w:bookmarkStart w:id="41" w:name="OLE_LINK385"/>
      <w:bookmarkStart w:id="42" w:name="OLE_LINK396"/>
      <w:bookmarkStart w:id="43" w:name="OLE_LINK357"/>
      <w:bookmarkStart w:id="44" w:name="OLE_LINK424"/>
      <w:r>
        <w:rPr>
          <w:rFonts w:ascii="Book Antiqua" w:hAnsi="Book Antiqua" w:cs="Tahoma"/>
          <w:b/>
          <w:color w:val="000000"/>
        </w:rPr>
        <w:t>P-Reviewer</w:t>
      </w:r>
      <w:r>
        <w:rPr>
          <w:rFonts w:ascii="Book Antiqua" w:hAnsi="Book Antiqua" w:cs="Tahoma" w:hint="eastAsia"/>
          <w:b/>
          <w:color w:val="000000"/>
        </w:rPr>
        <w:t>:</w:t>
      </w:r>
      <w:r w:rsidRPr="006D57CD">
        <w:rPr>
          <w:rFonts w:ascii="Book Antiqua" w:hAnsi="Book Antiqua" w:cs="Tahoma"/>
          <w:color w:val="000000"/>
          <w:lang w:eastAsia="zh-CN"/>
        </w:rPr>
        <w:t xml:space="preserve"> </w:t>
      </w:r>
      <w:r>
        <w:rPr>
          <w:rFonts w:ascii="Book Antiqua" w:hAnsi="Book Antiqua" w:cs="Tahoma"/>
          <w:color w:val="000000"/>
          <w:lang w:eastAsia="zh-CN"/>
        </w:rPr>
        <w:t>Yeh</w:t>
      </w:r>
      <w:r w:rsidRPr="006D57CD">
        <w:rPr>
          <w:rFonts w:ascii="Book Antiqua" w:hAnsi="Book Antiqua" w:cs="Tahoma"/>
          <w:color w:val="000000"/>
          <w:lang w:eastAsia="zh-CN"/>
        </w:rPr>
        <w:t xml:space="preserve"> HZ </w:t>
      </w:r>
      <w:r w:rsidRPr="007350B6">
        <w:rPr>
          <w:rFonts w:ascii="Book Antiqua" w:hAnsi="Book Antiqua" w:cs="Tahoma"/>
          <w:b/>
          <w:color w:val="000000"/>
        </w:rPr>
        <w:t>S-Editor</w:t>
      </w:r>
      <w:r>
        <w:rPr>
          <w:rFonts w:ascii="Book Antiqua" w:hAnsi="Book Antiqua" w:cs="Tahoma" w:hint="eastAsia"/>
          <w:b/>
          <w:color w:val="000000"/>
        </w:rPr>
        <w:t>:</w:t>
      </w:r>
      <w:r w:rsidRPr="007350B6">
        <w:rPr>
          <w:rFonts w:ascii="Book Antiqua" w:hAnsi="Book Antiqua" w:cs="Tahoma"/>
          <w:color w:val="000000"/>
        </w:rPr>
        <w:t xml:space="preserve"> </w:t>
      </w:r>
      <w:r>
        <w:rPr>
          <w:rFonts w:ascii="Book Antiqua" w:hAnsi="Book Antiqua" w:cs="Tahoma" w:hint="eastAsia"/>
          <w:color w:val="000000"/>
          <w:lang w:eastAsia="zh-CN"/>
        </w:rPr>
        <w:t xml:space="preserve">Song XX </w:t>
      </w:r>
      <w:r w:rsidRPr="007350B6">
        <w:rPr>
          <w:rFonts w:ascii="Book Antiqua" w:hAnsi="Book Antiqua" w:cs="Tahoma"/>
          <w:b/>
          <w:color w:val="000000"/>
        </w:rPr>
        <w:t>L-Editor</w:t>
      </w:r>
      <w:r>
        <w:rPr>
          <w:rFonts w:ascii="Book Antiqua" w:hAnsi="Book Antiqua" w:cs="Tahoma" w:hint="eastAsia"/>
          <w:b/>
          <w:color w:val="000000"/>
        </w:rPr>
        <w:t>:</w:t>
      </w:r>
      <w:r w:rsidRPr="007350B6">
        <w:rPr>
          <w:rFonts w:ascii="Book Antiqua" w:hAnsi="Book Antiqua" w:cs="Tahoma"/>
          <w:b/>
          <w:color w:val="000000"/>
        </w:rPr>
        <w:t xml:space="preserve"> E-Editor</w:t>
      </w:r>
      <w:r>
        <w:rPr>
          <w:rFonts w:ascii="Book Antiqua" w:hAnsi="Book Antiqua" w:cs="Tahoma" w:hint="eastAsia"/>
          <w:b/>
          <w:color w:val="000000"/>
        </w:rPr>
        <w:t>:</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0B0CAE" w:rsidRPr="00E22178" w:rsidRDefault="000B0CAE" w:rsidP="00E22178">
      <w:pPr>
        <w:widowControl w:val="0"/>
        <w:autoSpaceDE w:val="0"/>
        <w:autoSpaceDN w:val="0"/>
        <w:adjustRightInd w:val="0"/>
        <w:snapToGrid w:val="0"/>
        <w:spacing w:line="360" w:lineRule="auto"/>
        <w:jc w:val="both"/>
        <w:rPr>
          <w:rFonts w:ascii="Book Antiqua" w:hAnsi="Book Antiqua"/>
        </w:rPr>
      </w:pPr>
    </w:p>
    <w:p w:rsidR="000B0CAE" w:rsidRPr="00E22178" w:rsidRDefault="000B0CAE" w:rsidP="00E22178">
      <w:pPr>
        <w:widowControl w:val="0"/>
        <w:autoSpaceDE w:val="0"/>
        <w:autoSpaceDN w:val="0"/>
        <w:adjustRightInd w:val="0"/>
        <w:snapToGrid w:val="0"/>
        <w:spacing w:line="360" w:lineRule="auto"/>
        <w:jc w:val="both"/>
        <w:rPr>
          <w:rFonts w:ascii="Book Antiqua" w:hAnsi="Book Antiqua"/>
        </w:rPr>
      </w:pPr>
    </w:p>
    <w:p w:rsidR="000B0CAE" w:rsidRPr="00E22178" w:rsidRDefault="000B0CAE" w:rsidP="00E22178">
      <w:pPr>
        <w:widowControl w:val="0"/>
        <w:autoSpaceDE w:val="0"/>
        <w:autoSpaceDN w:val="0"/>
        <w:adjustRightInd w:val="0"/>
        <w:snapToGrid w:val="0"/>
        <w:spacing w:line="360" w:lineRule="auto"/>
        <w:jc w:val="both"/>
        <w:rPr>
          <w:rFonts w:ascii="Book Antiqua" w:hAnsi="Book Antiqua"/>
        </w:rPr>
      </w:pPr>
    </w:p>
    <w:p w:rsidR="000B0CAE" w:rsidRPr="00E22178" w:rsidRDefault="000B0CAE" w:rsidP="00E22178">
      <w:pPr>
        <w:widowControl w:val="0"/>
        <w:autoSpaceDE w:val="0"/>
        <w:autoSpaceDN w:val="0"/>
        <w:adjustRightInd w:val="0"/>
        <w:snapToGrid w:val="0"/>
        <w:spacing w:line="360" w:lineRule="auto"/>
        <w:jc w:val="both"/>
        <w:rPr>
          <w:rFonts w:ascii="Book Antiqua" w:hAnsi="Book Antiqua"/>
        </w:rPr>
      </w:pPr>
    </w:p>
    <w:p w:rsidR="000B0CAE" w:rsidRPr="00BF3ABC" w:rsidRDefault="000B0CAE" w:rsidP="00E22178">
      <w:pPr>
        <w:widowControl w:val="0"/>
        <w:adjustRightInd w:val="0"/>
        <w:snapToGrid w:val="0"/>
        <w:spacing w:line="360" w:lineRule="auto"/>
        <w:jc w:val="both"/>
        <w:rPr>
          <w:rFonts w:ascii="Book Antiqua" w:hAnsi="Book Antiqua"/>
        </w:rPr>
      </w:pPr>
      <w:r w:rsidRPr="00E22178">
        <w:rPr>
          <w:rFonts w:ascii="Book Antiqua" w:hAnsi="Book Antiqua"/>
        </w:rPr>
        <w:br w:type="page"/>
      </w:r>
      <w:r w:rsidR="00BF3ABC" w:rsidRPr="00BF3ABC">
        <w:rPr>
          <w:rFonts w:ascii="Book Antiqua" w:hAnsi="Book Antiqua"/>
          <w:b/>
        </w:rPr>
        <w:lastRenderedPageBreak/>
        <w:t>Figure 1</w:t>
      </w:r>
      <w:r w:rsidRPr="00BF3ABC">
        <w:rPr>
          <w:rFonts w:ascii="Book Antiqua" w:hAnsi="Book Antiqua"/>
          <w:b/>
        </w:rPr>
        <w:t>Classification of gastric varices</w:t>
      </w:r>
      <w:r w:rsidR="00BF3ABC" w:rsidRPr="00BF3ABC">
        <w:rPr>
          <w:rFonts w:ascii="Book Antiqua" w:hAnsi="Book Antiqua" w:hint="eastAsia"/>
          <w:b/>
          <w:lang w:eastAsia="zh-CN"/>
        </w:rPr>
        <w:t>.</w:t>
      </w:r>
      <w:r w:rsidR="00BF3ABC" w:rsidRPr="00BF3ABC">
        <w:rPr>
          <w:rFonts w:ascii="Book Antiqua" w:hAnsi="Book Antiqua"/>
          <w:b/>
          <w:bCs/>
          <w:color w:val="000000"/>
        </w:rPr>
        <w:t xml:space="preserve"> </w:t>
      </w:r>
      <w:r w:rsidR="00BF3ABC" w:rsidRPr="00BF3ABC">
        <w:rPr>
          <w:rFonts w:ascii="Book Antiqua" w:hAnsi="Book Antiqua"/>
          <w:bCs/>
          <w:color w:val="000000"/>
        </w:rPr>
        <w:t>Available</w:t>
      </w:r>
      <w:r w:rsidR="00BF3ABC" w:rsidRPr="00BF3ABC">
        <w:rPr>
          <w:rFonts w:ascii="Book Antiqua" w:hAnsi="Book Antiqua" w:hint="eastAsia"/>
          <w:lang w:eastAsia="zh-CN"/>
        </w:rPr>
        <w:t xml:space="preserve"> </w:t>
      </w:r>
      <w:r w:rsidRPr="00BF3ABC">
        <w:rPr>
          <w:rFonts w:ascii="Book Antiqua" w:hAnsi="Book Antiqua"/>
        </w:rPr>
        <w:t xml:space="preserve">from Sarin </w:t>
      </w:r>
      <w:r w:rsidRPr="00BF3ABC">
        <w:rPr>
          <w:rFonts w:ascii="Book Antiqua" w:hAnsi="Book Antiqua"/>
          <w:i/>
        </w:rPr>
        <w:t>et al</w:t>
      </w:r>
      <w:r w:rsidRPr="00BF3ABC">
        <w:rPr>
          <w:rFonts w:ascii="Book Antiqua" w:hAnsi="Book Antiqua"/>
          <w:vertAlign w:val="superscript"/>
        </w:rPr>
        <w:t>[3]</w:t>
      </w:r>
      <w:r w:rsidRPr="00BF3ABC">
        <w:rPr>
          <w:rFonts w:ascii="Book Antiqua" w:hAnsi="Book Antiqua"/>
        </w:rPr>
        <w:t>.</w:t>
      </w:r>
    </w:p>
    <w:p w:rsidR="000B0CAE" w:rsidRPr="005D78CD" w:rsidRDefault="001E5807"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ull-size image (54 K)" href="http://www.sciencedirect.com/science/artic" title="&quot;Full-size image (54 K)&quot;" style="position:absolute;left:0;text-align:left;margin-left:102pt;margin-top:99pt;width:184.5pt;height:188.15pt;z-index:2;mso-position-horizontal-relative:margin;mso-position-vertical-relative:margin" o:allowoverlap="f" o:button="t">
            <v:imagedata r:id="rId9" o:title=""/>
            <w10:wrap type="square" anchorx="margin" anchory="margin"/>
          </v:shape>
        </w:pic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BF3ABC" w:rsidRDefault="000B0CAE" w:rsidP="00335D38">
      <w:pPr>
        <w:widowControl w:val="0"/>
        <w:autoSpaceDE w:val="0"/>
        <w:autoSpaceDN w:val="0"/>
        <w:adjustRightInd w:val="0"/>
        <w:snapToGrid w:val="0"/>
        <w:spacing w:line="360" w:lineRule="auto"/>
        <w:jc w:val="both"/>
        <w:rPr>
          <w:rFonts w:ascii="Book Antiqua" w:hAnsi="Book Antiqua"/>
          <w:b/>
          <w:lang w:eastAsia="zh-CN"/>
        </w:rPr>
      </w:pPr>
      <w:r w:rsidRPr="005D78CD">
        <w:rPr>
          <w:rFonts w:ascii="Book Antiqua" w:hAnsi="Book Antiqua"/>
        </w:rPr>
        <w:br w:type="page"/>
      </w:r>
      <w:r w:rsidR="00BF3ABC" w:rsidRPr="00BF3ABC">
        <w:rPr>
          <w:rFonts w:ascii="Book Antiqua" w:hAnsi="Book Antiqua"/>
          <w:b/>
        </w:rPr>
        <w:lastRenderedPageBreak/>
        <w:t>Figure 2</w:t>
      </w:r>
      <w:r w:rsidRPr="00BF3ABC">
        <w:rPr>
          <w:rFonts w:ascii="Book Antiqua" w:hAnsi="Book Antiqua"/>
          <w:b/>
        </w:rPr>
        <w:t xml:space="preserve"> Endoscopic picture of IGV-1</w:t>
      </w:r>
      <w:r w:rsidR="00BF3ABC" w:rsidRPr="00BF3ABC">
        <w:rPr>
          <w:rFonts w:ascii="Book Antiqua" w:hAnsi="Book Antiqua" w:hint="eastAsia"/>
          <w:b/>
          <w:lang w:eastAsia="zh-CN"/>
        </w:rPr>
        <w:t>.</w:t>
      </w:r>
    </w:p>
    <w:p w:rsidR="00BF3ABC" w:rsidRPr="005D78CD" w:rsidRDefault="000B16DA"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extent cx="3233420" cy="3167380"/>
            <wp:effectExtent l="0" t="0" r="5080" b="0"/>
            <wp:docPr id="1" name="图片 1" descr="Fig 2.  Endoscopic picture of I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2.  Endoscopic picture of IGV-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3420" cy="3167380"/>
                    </a:xfrm>
                    <a:prstGeom prst="rect">
                      <a:avLst/>
                    </a:prstGeom>
                    <a:noFill/>
                    <a:ln>
                      <a:noFill/>
                    </a:ln>
                  </pic:spPr>
                </pic:pic>
              </a:graphicData>
            </a:graphic>
          </wp:inline>
        </w:drawing>
      </w:r>
    </w:p>
    <w:p w:rsidR="00BF3ABC" w:rsidRDefault="00BF3ABC" w:rsidP="00335D38">
      <w:pPr>
        <w:widowControl w:val="0"/>
        <w:autoSpaceDE w:val="0"/>
        <w:autoSpaceDN w:val="0"/>
        <w:adjustRightInd w:val="0"/>
        <w:snapToGrid w:val="0"/>
        <w:spacing w:line="360" w:lineRule="auto"/>
        <w:jc w:val="both"/>
        <w:rPr>
          <w:rFonts w:ascii="Book Antiqua" w:hAnsi="Book Antiqua"/>
          <w:lang w:eastAsia="zh-CN"/>
        </w:rPr>
      </w:pPr>
    </w:p>
    <w:p w:rsidR="000B0CAE" w:rsidRPr="00BF3ABC" w:rsidRDefault="000B0CAE" w:rsidP="00335D38">
      <w:pPr>
        <w:widowControl w:val="0"/>
        <w:autoSpaceDE w:val="0"/>
        <w:autoSpaceDN w:val="0"/>
        <w:adjustRightInd w:val="0"/>
        <w:snapToGrid w:val="0"/>
        <w:spacing w:line="360" w:lineRule="auto"/>
        <w:jc w:val="both"/>
        <w:rPr>
          <w:rFonts w:ascii="Book Antiqua" w:hAnsi="Book Antiqua"/>
          <w:b/>
        </w:rPr>
      </w:pPr>
      <w:r w:rsidRPr="00BF3ABC">
        <w:rPr>
          <w:rFonts w:ascii="Book Antiqua" w:hAnsi="Book Antiqua"/>
          <w:b/>
        </w:rPr>
        <w:t>Figure 3 Suggested algorithm for treatment of gastric varices.</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p w:rsidR="000B0CAE" w:rsidRPr="005D78CD" w:rsidRDefault="001E5807" w:rsidP="00335D38">
      <w:pPr>
        <w:widowControl w:val="0"/>
        <w:autoSpaceDE w:val="0"/>
        <w:autoSpaceDN w:val="0"/>
        <w:adjustRightInd w:val="0"/>
        <w:snapToGrid w:val="0"/>
        <w:spacing w:line="360" w:lineRule="auto"/>
        <w:jc w:val="both"/>
        <w:rPr>
          <w:rFonts w:ascii="Book Antiqua" w:hAnsi="Book Antiqua"/>
        </w:rPr>
        <w:sectPr w:rsidR="000B0CAE" w:rsidRPr="005D78CD">
          <w:pgSz w:w="11906" w:h="16838"/>
          <w:pgMar w:top="1440" w:right="1800" w:bottom="1440" w:left="1800" w:header="720" w:footer="720" w:gutter="0"/>
          <w:cols w:space="720"/>
          <w:noEndnote/>
        </w:sectPr>
      </w:pPr>
      <w:r>
        <w:rPr>
          <w:rFonts w:ascii="Book Antiqua" w:hAnsi="Book Antiqua"/>
        </w:rPr>
      </w:r>
      <w:r>
        <w:rPr>
          <w:rFonts w:ascii="Book Antiqua" w:hAnsi="Book Antiqua"/>
        </w:rPr>
        <w:pict>
          <v:group id="_x0000_s1027" editas="orgchart" style="width:436.35pt;height:544.45pt;mso-position-horizontal-relative:char;mso-position-vertical-relative:line" coordorigin="2581,3410" coordsize="13784,12630">
            <o:lock v:ext="edit" aspectratio="t"/>
            <o:diagram v:ext="edit" dgmstyle="0" dgmscalex="43160" dgmscaley="58770" dgmfontsize="7" constrainbounds="0,0,0,0">
              <o:relationtable v:ext="edit">
                <o:rel v:ext="edit" idsrc="#_s1041" iddest="#_s1041"/>
                <o:rel v:ext="edit" idsrc="#_s1042" iddest="#_s1041" idcntr="#_s1040"/>
                <o:rel v:ext="edit" idsrc="#_s1043" iddest="#_s1041" idcntr="#_s1039"/>
                <o:rel v:ext="edit" idsrc="#_s1044" iddest="#_s1043" idcntr="#_s1038"/>
                <o:rel v:ext="edit" idsrc="#_s1046" iddest="#_s1044" idcntr="#_s1036"/>
                <o:rel v:ext="edit" idsrc="#_s1045" iddest="#_s1044" idcntr="#_s1037"/>
                <o:rel v:ext="edit" idsrc="#_s1048" iddest="#_s1046" idcntr="#_s1034"/>
                <o:rel v:ext="edit" idsrc="#_s1047" iddest="#_s1045" idcntr="#_s1035"/>
                <o:rel v:ext="edit" idsrc="#_s1049" iddest="#_s1048" idcntr="#_s1033"/>
                <o:rel v:ext="edit" idsrc="#_s1052" iddest="#_s1047" idcntr="#_s1030"/>
                <o:rel v:ext="edit" idsrc="#_s1050" iddest="#_s1049" idcntr="#_s1032"/>
                <o:rel v:ext="edit" idsrc="#_s1053" iddest="#_s1052" idcntr="#_s1029"/>
                <o:rel v:ext="edit" idsrc="#_s1051" iddest="#_s1050" idcntr="#_s1031"/>
              </o:relationtable>
            </o:diagram>
            <v:shape id="_x0000_s1028" type="#_x0000_t75" style="position:absolute;left:2581;top:3410;width:13784;height:1263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9" o:spid="_x0000_s1029" type="#_x0000_t33" style="position:absolute;left:13745;top:14918;width:373;height:748;rotation:180" o:connectortype="elbow" adj="-834620,-447539,-834620" strokeweight="2.25pt"/>
            <v:shape id="_s1030" o:spid="_x0000_s1030" type="#_x0000_t33" style="position:absolute;left:12247;top:13796;width:375;height:749;rotation:180" o:connectortype="elbow" adj="-744790,-414513,-744790" strokeweight="2.25pt"/>
            <v:shape id="_s1031" o:spid="_x0000_s1031" type="#_x0000_t33" style="position:absolute;left:6699;top:10721;width:372;height:749;rotation:180" o:connectortype="elbow" adj="-426325,-325872,-426325" strokeweight="2.25pt"/>
            <v:shape id="_s1032" o:spid="_x0000_s1032" type="#_x0000_t33" style="position:absolute;left:5202;top:9574;width:373;height:761;rotation:180" o:connectortype="elbow" adj="-338218,-288670,-338218" strokeweight="2.25pt"/>
            <v:shape id="_s1033" o:spid="_x0000_s1033" type="#_x0000_t33" style="position:absolute;left:3706;top:8777;width:372;height:586;rotation:180" o:connectortype="elbow" adj="-252885,-339141,-252885"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34" type="#_x0000_t34" style="position:absolute;left:3518;top:7439;width:374;height:2;rotation:270;flip:x" o:connectortype="elbow" adj="10833,138952800,-168988" strokeweight="2.25pt"/>
            <v:shape id="_s1035" o:spid="_x0000_s1035" type="#_x0000_t33" style="position:absolute;left:10750;top:12674;width:374;height:748;rotation:180" o:connectortype="elbow" adj="-658390,-382739,-658390" strokeweight="2.25pt"/>
            <v:shape id="_s1036" o:spid="_x0000_s1036" type="#_x0000_t33" style="position:absolute;left:4827;top:6404;width:4865;height:612;flip:y" o:connectortype="elbow" adj="-22701,241609,-22701" strokeweight="2.25pt"/>
            <v:shape id="_s1037" o:spid="_x0000_s1037" type="#_x0000_t33" style="position:absolute;left:9692;top:6404;width:373;height:6041;rotation:180" o:connectortype="elbow" adj="-599766,-43901,-599766" strokeweight="2.25pt">
              <o:lock v:ext="edit" aspectratio="t"/>
            </v:shape>
            <v:shapetype id="_x0000_t32" coordsize="21600,21600" o:spt="32" o:oned="t" path="m,l21600,21600e" filled="f">
              <v:path arrowok="t" fillok="f" o:connecttype="none"/>
              <o:lock v:ext="edit" shapetype="t"/>
            </v:shapetype>
            <v:shape id="_s1038" o:spid="_x0000_s1038" type="#_x0000_t32" style="position:absolute;left:9506;top:5468;width:374;height:1;rotation:270" o:connectortype="elbow" adj="-423749,-1,-423749" strokeweight="2.25pt">
              <o:lock v:ext="edit" aspectratio="t"/>
            </v:shape>
            <v:shape id="_s1039" o:spid="_x0000_s1039" type="#_x0000_t34" style="position:absolute;left:8009;top:2849;width:374;height:2993;rotation:270;flip:x" o:connectortype="elbow" adj=",42915,-423749" strokeweight="2.25pt">
              <o:lock v:ext="edit" aspectratio="t"/>
            </v:shape>
            <v:shape id="_s1040" o:spid="_x0000_s1040" type="#_x0000_t34" style="position:absolute;left:5016;top:2849;width:374;height:2993;rotation:270" o:connectortype="elbow" adj=",-42915,-169513" strokeweight="2.25pt">
              <o:lock v:ext="edit" aspectratio="t"/>
            </v:shape>
            <v:roundrect id="_s1041" o:spid="_x0000_s1041" style="position:absolute;left:5575;top:3410;width:2247;height:749;v-text-anchor:middle" arcsize="10923f" o:dgmlayout="0" o:dgmnodekind="1" fillcolor="#bbe0e3">
              <o:lock v:ext="edit" aspectratio="t"/>
              <v:textbox style="mso-next-textbox:#_s1041" inset="0,0,0,0">
                <w:txbxContent>
                  <w:p w:rsidR="005D78CD" w:rsidRPr="00B955DC" w:rsidRDefault="005D78CD" w:rsidP="004767FD">
                    <w:pPr>
                      <w:jc w:val="center"/>
                      <w:rPr>
                        <w:sz w:val="14"/>
                      </w:rPr>
                    </w:pPr>
                    <w:r w:rsidRPr="00B955DC">
                      <w:rPr>
                        <w:sz w:val="14"/>
                      </w:rPr>
                      <w:t>Gastric varices</w:t>
                    </w:r>
                  </w:p>
                </w:txbxContent>
              </v:textbox>
            </v:roundrect>
            <v:roundrect id="_s1042" o:spid="_x0000_s1042" style="position:absolute;left:2581;top:4533;width:2247;height:749;v-text-anchor:middle" arcsize="10923f" o:dgmlayout="0" o:dgmnodekind="0" fillcolor="#bbe0e3">
              <o:lock v:ext="edit" aspectratio="t"/>
              <v:textbox style="mso-next-textbox:#_s1042" inset="0,0,0,0">
                <w:txbxContent>
                  <w:p w:rsidR="005D78CD" w:rsidRPr="00B955DC" w:rsidRDefault="005D78CD" w:rsidP="004767FD">
                    <w:pPr>
                      <w:jc w:val="center"/>
                      <w:rPr>
                        <w:b/>
                        <w:sz w:val="14"/>
                      </w:rPr>
                    </w:pPr>
                    <w:r w:rsidRPr="00B955DC">
                      <w:rPr>
                        <w:b/>
                        <w:sz w:val="14"/>
                      </w:rPr>
                      <w:t>Primary prophylaxis</w:t>
                    </w:r>
                  </w:p>
                  <w:p w:rsidR="005D78CD" w:rsidRPr="00B955DC" w:rsidRDefault="005D78CD" w:rsidP="004767FD">
                    <w:pPr>
                      <w:jc w:val="center"/>
                      <w:rPr>
                        <w:sz w:val="14"/>
                      </w:rPr>
                    </w:pPr>
                    <w:r w:rsidRPr="00B955DC">
                      <w:rPr>
                        <w:sz w:val="14"/>
                      </w:rPr>
                      <w:t>NSBB</w:t>
                    </w:r>
                    <w:r>
                      <w:rPr>
                        <w:sz w:val="14"/>
                      </w:rPr>
                      <w:t xml:space="preserve"> or tissue glue in selected patients</w:t>
                    </w:r>
                  </w:p>
                </w:txbxContent>
              </v:textbox>
            </v:roundrect>
            <v:roundrect id="_s1043" o:spid="_x0000_s1043" style="position:absolute;left:8568;top:4533;width:2247;height:749;v-text-anchor:middle" arcsize="10923f" o:dgmlayout="0" o:dgmnodekind="0" fillcolor="#bbe0e3">
              <o:lock v:ext="edit" aspectratio="t"/>
              <v:textbox style="mso-next-textbox:#_s1043" inset="0,0,0,0">
                <w:txbxContent>
                  <w:p w:rsidR="005D78CD" w:rsidRPr="00B955DC" w:rsidRDefault="005D78CD" w:rsidP="004767FD">
                    <w:pPr>
                      <w:jc w:val="center"/>
                      <w:rPr>
                        <w:b/>
                        <w:sz w:val="14"/>
                      </w:rPr>
                    </w:pPr>
                    <w:r w:rsidRPr="00B955DC">
                      <w:rPr>
                        <w:b/>
                        <w:sz w:val="14"/>
                      </w:rPr>
                      <w:t>Acute bleeding</w:t>
                    </w:r>
                  </w:p>
                </w:txbxContent>
              </v:textbox>
            </v:roundrect>
            <v:roundrect id="_s1044" o:spid="_x0000_s1044" style="position:absolute;left:8568;top:5656;width:2246;height:748;v-text-anchor:middle" arcsize="10923f" o:dgmlayout="2" o:dgmnodekind="0" fillcolor="#bbe0e3">
              <o:lock v:ext="edit" aspectratio="t"/>
              <v:textbox style="mso-next-textbox:#_s1044" inset="0,0,0,0">
                <w:txbxContent>
                  <w:p w:rsidR="005D78CD" w:rsidRPr="00B955DC" w:rsidRDefault="005D78CD" w:rsidP="004767FD">
                    <w:pPr>
                      <w:jc w:val="center"/>
                      <w:rPr>
                        <w:sz w:val="14"/>
                      </w:rPr>
                    </w:pPr>
                    <w:r>
                      <w:rPr>
                        <w:sz w:val="14"/>
                      </w:rPr>
                      <w:t>Resuscitation and d</w:t>
                    </w:r>
                    <w:r w:rsidRPr="00B955DC">
                      <w:rPr>
                        <w:sz w:val="14"/>
                      </w:rPr>
                      <w:t>rug therapy</w:t>
                    </w:r>
                  </w:p>
                </w:txbxContent>
              </v:textbox>
            </v:roundrect>
            <v:roundrect id="_s1045" o:spid="_x0000_s1045" style="position:absolute;left:10065;top:12217;width:1371;height:457;v-text-anchor:middle" arcsize="10923f" o:dgmlayout="2" o:dgmnodekind="0" fillcolor="#bbe0e3">
              <o:lock v:ext="edit" aspectratio="t"/>
              <v:textbox style="mso-next-textbox:#_s1045" inset="0,0,0,0">
                <w:txbxContent>
                  <w:p w:rsidR="005D78CD" w:rsidRPr="00B955DC" w:rsidRDefault="005D78CD" w:rsidP="004767FD">
                    <w:pPr>
                      <w:jc w:val="center"/>
                      <w:rPr>
                        <w:sz w:val="14"/>
                      </w:rPr>
                    </w:pPr>
                    <w:r w:rsidRPr="00B955DC">
                      <w:rPr>
                        <w:sz w:val="14"/>
                      </w:rPr>
                      <w:t>GOV1</w:t>
                    </w:r>
                  </w:p>
                </w:txbxContent>
              </v:textbox>
            </v:roundrect>
            <v:roundrect id="_s1046" o:spid="_x0000_s1046" style="position:absolute;left:2581;top:6778;width:2246;height:475;v-text-anchor:middle" arcsize="10923f" o:dgmlayout="0" o:dgmnodekind="2" fillcolor="#bbe0e3">
              <v:textbox style="mso-next-textbox:#_s1046" inset="0,0,0,0">
                <w:txbxContent>
                  <w:p w:rsidR="005D78CD" w:rsidRPr="00B955DC" w:rsidRDefault="005D78CD" w:rsidP="004767FD">
                    <w:pPr>
                      <w:jc w:val="center"/>
                      <w:rPr>
                        <w:sz w:val="14"/>
                      </w:rPr>
                    </w:pPr>
                    <w:r w:rsidRPr="00B955DC">
                      <w:rPr>
                        <w:sz w:val="14"/>
                      </w:rPr>
                      <w:t>GOV2, IGV1</w:t>
                    </w:r>
                    <w:r>
                      <w:rPr>
                        <w:sz w:val="14"/>
                      </w:rPr>
                      <w:t>, IGV2</w:t>
                    </w:r>
                  </w:p>
                </w:txbxContent>
              </v:textbox>
            </v:roundrect>
            <v:roundrect id="_s1047" o:spid="_x0000_s1047" style="position:absolute;left:11124;top:13048;width:2246;height:748;v-text-anchor:middle" arcsize="10923f" o:dgmlayout="2" o:dgmnodekind="0" fillcolor="#bbe0e3">
              <v:textbox style="mso-next-textbox:#_s1047" inset="0,0,0,0">
                <w:txbxContent>
                  <w:p w:rsidR="005D78CD" w:rsidRPr="00B955DC" w:rsidRDefault="005D78CD" w:rsidP="004767FD">
                    <w:pPr>
                      <w:jc w:val="center"/>
                      <w:rPr>
                        <w:sz w:val="14"/>
                      </w:rPr>
                    </w:pPr>
                    <w:r>
                      <w:rPr>
                        <w:sz w:val="14"/>
                      </w:rPr>
                      <w:t>Band</w:t>
                    </w:r>
                    <w:r w:rsidRPr="00B955DC">
                      <w:rPr>
                        <w:sz w:val="14"/>
                      </w:rPr>
                      <w:t xml:space="preserve"> ligation</w:t>
                    </w:r>
                    <w:r>
                      <w:rPr>
                        <w:sz w:val="14"/>
                      </w:rPr>
                      <w:t xml:space="preserve"> (or tissue glue)</w:t>
                    </w:r>
                  </w:p>
                </w:txbxContent>
              </v:textbox>
            </v:roundrect>
            <v:roundrect id="_s1048" o:spid="_x0000_s1048" style="position:absolute;left:2581;top:7627;width:2247;height:1150;v-text-anchor:middle" arcsize="10923f" o:dgmlayout="2" o:dgmnodekind="0" fillcolor="#bbe0e3">
              <v:textbox style="mso-next-textbox:#_s1048" inset="0,0,0,0">
                <w:txbxContent>
                  <w:p w:rsidR="005D78CD" w:rsidRPr="00B955DC" w:rsidRDefault="005D78CD" w:rsidP="004767FD">
                    <w:pPr>
                      <w:jc w:val="center"/>
                      <w:rPr>
                        <w:sz w:val="14"/>
                      </w:rPr>
                    </w:pPr>
                    <w:r>
                      <w:rPr>
                        <w:sz w:val="14"/>
                      </w:rPr>
                      <w:t>Tissue g</w:t>
                    </w:r>
                    <w:r w:rsidRPr="00B955DC">
                      <w:rPr>
                        <w:sz w:val="14"/>
                      </w:rPr>
                      <w:t>lue or thrombin</w:t>
                    </w:r>
                    <w:r>
                      <w:rPr>
                        <w:sz w:val="14"/>
                      </w:rPr>
                      <w:t>.</w:t>
                    </w:r>
                  </w:p>
                  <w:p w:rsidR="005D78CD" w:rsidRDefault="005D78CD" w:rsidP="004767FD">
                    <w:pPr>
                      <w:jc w:val="center"/>
                      <w:rPr>
                        <w:sz w:val="14"/>
                      </w:rPr>
                    </w:pPr>
                  </w:p>
                  <w:p w:rsidR="005D78CD" w:rsidRPr="00B955DC" w:rsidRDefault="005D78CD" w:rsidP="004767FD">
                    <w:pPr>
                      <w:jc w:val="center"/>
                      <w:rPr>
                        <w:sz w:val="14"/>
                      </w:rPr>
                    </w:pPr>
                    <w:r>
                      <w:rPr>
                        <w:sz w:val="14"/>
                      </w:rPr>
                      <w:t>TIPS or BRTO if glue</w:t>
                    </w:r>
                    <w:r w:rsidRPr="00B955DC">
                      <w:rPr>
                        <w:sz w:val="14"/>
                      </w:rPr>
                      <w:t xml:space="preserve"> not available </w:t>
                    </w:r>
                  </w:p>
                </w:txbxContent>
              </v:textbox>
            </v:roundrect>
            <v:roundrect id="_s1049" o:spid="_x0000_s1049" style="position:absolute;left:4078;top:9151;width:2246;height:423;v-text-anchor:middle" arcsize="10923f" o:dgmlayout="2" o:dgmnodekind="0" fillcolor="#bbe0e3">
              <v:textbox style="mso-next-textbox:#_s1049" inset="0,0,0,0">
                <w:txbxContent>
                  <w:p w:rsidR="005D78CD" w:rsidRPr="00B955DC" w:rsidRDefault="005D78CD" w:rsidP="004767FD">
                    <w:pPr>
                      <w:jc w:val="center"/>
                      <w:rPr>
                        <w:sz w:val="14"/>
                      </w:rPr>
                    </w:pPr>
                    <w:r w:rsidRPr="00B955DC">
                      <w:rPr>
                        <w:sz w:val="14"/>
                      </w:rPr>
                      <w:t>Control of bleeding</w:t>
                    </w:r>
                  </w:p>
                </w:txbxContent>
              </v:textbox>
            </v:roundrect>
            <v:roundrect id="_s1050" o:spid="_x0000_s1050" style="position:absolute;left:5575;top:9948;width:2245;height:773;v-text-anchor:middle" arcsize="10923f" o:dgmlayout="2" o:dgmnodekind="0" fillcolor="#bbe0e3">
              <v:textbox style="mso-next-textbox:#_s1050" inset="0,0,0,0">
                <w:txbxContent>
                  <w:p w:rsidR="005D78CD" w:rsidRPr="00B955DC" w:rsidRDefault="005D78CD" w:rsidP="004767FD">
                    <w:pPr>
                      <w:jc w:val="center"/>
                      <w:rPr>
                        <w:b/>
                        <w:sz w:val="14"/>
                      </w:rPr>
                    </w:pPr>
                    <w:r w:rsidRPr="00B955DC">
                      <w:rPr>
                        <w:b/>
                        <w:sz w:val="14"/>
                      </w:rPr>
                      <w:t>Secondary prophylaxis</w:t>
                    </w:r>
                  </w:p>
                </w:txbxContent>
              </v:textbox>
            </v:roundrect>
            <v:roundrect id="_s1051" o:spid="_x0000_s1051" style="position:absolute;left:7071;top:11095;width:2246;height:748;v-text-anchor:middle" arcsize="10923f" o:dgmlayout="2" o:dgmnodekind="0" fillcolor="#bbe0e3">
              <v:textbox style="mso-next-textbox:#_s1051" inset="0,0,0,0">
                <w:txbxContent>
                  <w:p w:rsidR="005D78CD" w:rsidRPr="00B955DC" w:rsidRDefault="005D78CD" w:rsidP="004767FD">
                    <w:pPr>
                      <w:jc w:val="center"/>
                      <w:rPr>
                        <w:sz w:val="14"/>
                      </w:rPr>
                    </w:pPr>
                    <w:r w:rsidRPr="00B955DC">
                      <w:rPr>
                        <w:sz w:val="14"/>
                      </w:rPr>
                      <w:t xml:space="preserve">Glue, TIPS </w:t>
                    </w:r>
                    <w:r>
                      <w:rPr>
                        <w:sz w:val="14"/>
                      </w:rPr>
                      <w:t>(</w:t>
                    </w:r>
                    <w:r w:rsidRPr="00B955DC">
                      <w:rPr>
                        <w:sz w:val="14"/>
                      </w:rPr>
                      <w:t>or BRTO</w:t>
                    </w:r>
                    <w:r>
                      <w:rPr>
                        <w:sz w:val="14"/>
                      </w:rPr>
                      <w:t>)</w:t>
                    </w:r>
                  </w:p>
                </w:txbxContent>
              </v:textbox>
            </v:roundrect>
            <v:roundrect id="_s1052" o:spid="_x0000_s1052" style="position:absolute;left:12621;top:14170;width:2246;height:748;v-text-anchor:middle" arcsize="10923f" o:dgmlayout="2" o:dgmnodekind="0" fillcolor="#bbe0e3">
              <v:textbox style="mso-next-textbox:#_s1052" inset="0,0,0,0">
                <w:txbxContent>
                  <w:p w:rsidR="005D78CD" w:rsidRPr="00B955DC" w:rsidRDefault="005D78CD" w:rsidP="004767FD">
                    <w:pPr>
                      <w:jc w:val="center"/>
                      <w:rPr>
                        <w:sz w:val="14"/>
                      </w:rPr>
                    </w:pPr>
                    <w:r w:rsidRPr="00B955DC">
                      <w:rPr>
                        <w:sz w:val="14"/>
                      </w:rPr>
                      <w:t>No control of bleeding</w:t>
                    </w:r>
                  </w:p>
                </w:txbxContent>
              </v:textbox>
            </v:roundrect>
            <v:roundrect id="_s1053" o:spid="_x0000_s1053" style="position:absolute;left:14118;top:15292;width:2247;height:748;v-text-anchor:middle" arcsize="10923f" o:dgmlayout="2" o:dgmnodekind="0" fillcolor="#bbe0e3">
              <v:textbox style="mso-next-textbox:#_s1053" inset="0,0,0,0">
                <w:txbxContent>
                  <w:p w:rsidR="005D78CD" w:rsidRDefault="005D78CD" w:rsidP="004767FD">
                    <w:pPr>
                      <w:jc w:val="center"/>
                      <w:rPr>
                        <w:sz w:val="14"/>
                      </w:rPr>
                    </w:pPr>
                    <w:r>
                      <w:rPr>
                        <w:sz w:val="14"/>
                      </w:rPr>
                      <w:t>Salvage TIPS or BRTO or</w:t>
                    </w:r>
                  </w:p>
                  <w:p w:rsidR="005D78CD" w:rsidRDefault="005D78CD" w:rsidP="004767FD">
                    <w:pPr>
                      <w:jc w:val="center"/>
                      <w:rPr>
                        <w:sz w:val="14"/>
                      </w:rPr>
                    </w:pPr>
                    <w:r>
                      <w:rPr>
                        <w:sz w:val="14"/>
                      </w:rPr>
                      <w:t>shunt surgery</w:t>
                    </w:r>
                  </w:p>
                  <w:p w:rsidR="005D78CD" w:rsidRPr="00B955DC" w:rsidRDefault="005D78CD" w:rsidP="004767FD">
                    <w:pPr>
                      <w:jc w:val="center"/>
                      <w:rPr>
                        <w:sz w:val="14"/>
                      </w:rPr>
                    </w:pPr>
                  </w:p>
                </w:txbxContent>
              </v:textbox>
            </v:roundrect>
            <v:shapetype id="_x0000_t37" coordsize="21600,21600" o:spt="37" o:oned="t" path="m,c10800,,21600,10800,21600,21600e" filled="f">
              <v:path arrowok="t" fillok="f" o:connecttype="none"/>
              <o:lock v:ext="edit" shapetype="t"/>
            </v:shapetype>
            <v:shape id="_x0000_s1054" type="#_x0000_t37" style="position:absolute;left:5468;top:7715;width:5219;height:8719;rotation:90;flip:x" o:connectortype="curved" adj="-16562,27216,-16562">
              <v:stroke endarrow="block"/>
            </v:shape>
            <w10:anchorlock/>
          </v:group>
        </w:pict>
      </w:r>
    </w:p>
    <w:p w:rsidR="000B0CAE" w:rsidRPr="00BF3ABC" w:rsidRDefault="000B0CAE" w:rsidP="00335D38">
      <w:pPr>
        <w:widowControl w:val="0"/>
        <w:adjustRightInd w:val="0"/>
        <w:snapToGrid w:val="0"/>
        <w:spacing w:line="360" w:lineRule="auto"/>
        <w:jc w:val="both"/>
        <w:rPr>
          <w:rFonts w:ascii="Book Antiqua" w:hAnsi="Book Antiqua"/>
          <w:b/>
        </w:rPr>
      </w:pPr>
      <w:r w:rsidRPr="00BF3ABC">
        <w:rPr>
          <w:rFonts w:ascii="Book Antiqua" w:hAnsi="Book Antiqua"/>
          <w:b/>
        </w:rPr>
        <w:lastRenderedPageBreak/>
        <w:t>Table 1 Summary of larger and more recent studies using cyanoacrylate for the management of gastric variceal bleeding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gridCol w:w="2270"/>
        <w:gridCol w:w="1841"/>
        <w:gridCol w:w="1701"/>
        <w:gridCol w:w="1701"/>
        <w:gridCol w:w="3151"/>
      </w:tblGrid>
      <w:tr w:rsidR="000B0CAE" w:rsidRPr="005D78CD" w:rsidTr="00BF3ABC">
        <w:trPr>
          <w:trHeight w:val="882"/>
        </w:trPr>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b/>
                <w:lang w:eastAsia="zh-CN"/>
              </w:rPr>
            </w:pPr>
            <w:r w:rsidRPr="005D78CD">
              <w:rPr>
                <w:rFonts w:ascii="Book Antiqua" w:hAnsi="Book Antiqua"/>
                <w:lang w:eastAsia="zh-CN"/>
              </w:rPr>
              <w:t>Ref.</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Type of study</w:t>
            </w:r>
          </w:p>
        </w:tc>
        <w:tc>
          <w:tcPr>
            <w:tcW w:w="2270" w:type="dxa"/>
            <w:noWrap/>
          </w:tcPr>
          <w:p w:rsidR="000B0CAE" w:rsidRPr="00BF3ABC"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Number of pa</w:t>
            </w:r>
            <w:r w:rsidR="00BF3ABC">
              <w:rPr>
                <w:rFonts w:ascii="Book Antiqua" w:hAnsi="Book Antiqua"/>
              </w:rPr>
              <w:t>tients  (follow-up)</w:t>
            </w:r>
          </w:p>
        </w:tc>
        <w:tc>
          <w:tcPr>
            <w:tcW w:w="184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Active Bleeding </w:t>
            </w:r>
          </w:p>
        </w:tc>
        <w:tc>
          <w:tcPr>
            <w:tcW w:w="1701" w:type="dxa"/>
            <w:noWrap/>
          </w:tcPr>
          <w:p w:rsidR="000B0CAE" w:rsidRPr="00BF3ABC"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Haemostasis rate</w:t>
            </w:r>
          </w:p>
        </w:tc>
        <w:tc>
          <w:tcPr>
            <w:tcW w:w="1701" w:type="dxa"/>
            <w:noWrap/>
          </w:tcPr>
          <w:p w:rsidR="000B0CAE" w:rsidRPr="00BF3ABC"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Rebleeding rate</w:t>
            </w:r>
          </w:p>
        </w:tc>
        <w:tc>
          <w:tcPr>
            <w:tcW w:w="315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Complications </w:t>
            </w:r>
          </w:p>
        </w:tc>
      </w:tr>
      <w:tr w:rsidR="000B0CAE" w:rsidRPr="005D78CD" w:rsidTr="00BF3ABC">
        <w:trPr>
          <w:trHeight w:val="605"/>
        </w:trPr>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vertAlign w:val="superscript"/>
                <w:lang w:eastAsia="zh-CN"/>
              </w:rPr>
            </w:pPr>
            <w:r w:rsidRPr="005D78CD">
              <w:rPr>
                <w:rFonts w:ascii="Book Antiqua" w:hAnsi="Book Antiqua"/>
              </w:rPr>
              <w:t>Cheng</w:t>
            </w:r>
            <w:r w:rsidRPr="005D78CD">
              <w:rPr>
                <w:rFonts w:ascii="Book Antiqua" w:hAnsi="Book Antiqua"/>
                <w:i/>
              </w:rPr>
              <w:t xml:space="preserve"> et al</w:t>
            </w:r>
            <w:r w:rsidRPr="005D78CD">
              <w:rPr>
                <w:rFonts w:ascii="Book Antiqua" w:hAnsi="Book Antiqua"/>
                <w:vertAlign w:val="superscript"/>
                <w:lang w:eastAsia="zh-CN"/>
              </w:rPr>
              <w:t>[</w:t>
            </w:r>
            <w:r w:rsidRPr="005D78CD">
              <w:rPr>
                <w:rFonts w:ascii="Book Antiqua" w:hAnsi="Book Antiqua"/>
                <w:vertAlign w:val="superscript"/>
              </w:rPr>
              <w:t>19</w:t>
            </w:r>
            <w:r w:rsidRPr="005D78CD">
              <w:rPr>
                <w:rFonts w:ascii="Book Antiqua" w:hAnsi="Book Antiqua"/>
                <w:vertAlign w:val="superscript"/>
                <w:lang w:eastAsia="zh-CN"/>
              </w:rPr>
              <w:t>]</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Case series</w:t>
            </w:r>
          </w:p>
        </w:tc>
        <w:tc>
          <w:tcPr>
            <w:tcW w:w="2270" w:type="dxa"/>
            <w:noWrap/>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613</w:t>
            </w:r>
            <w:r>
              <w:rPr>
                <w:rFonts w:ascii="Book Antiqua" w:hAnsi="Book Antiqua" w:hint="eastAsia"/>
                <w:lang w:eastAsia="zh-CN"/>
              </w:rPr>
              <w:t xml:space="preserve"> </w:t>
            </w:r>
            <w:r w:rsidR="000B0CAE" w:rsidRPr="005D78CD">
              <w:rPr>
                <w:rFonts w:ascii="Book Antiqua" w:hAnsi="Book Antiqua"/>
              </w:rPr>
              <w:t>(30 mo)</w:t>
            </w:r>
          </w:p>
        </w:tc>
        <w:tc>
          <w:tcPr>
            <w:tcW w:w="184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23%</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95%</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8%</w:t>
            </w:r>
          </w:p>
        </w:tc>
        <w:tc>
          <w:tcPr>
            <w:tcW w:w="315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5% “major”</w:t>
            </w:r>
          </w:p>
        </w:tc>
      </w:tr>
      <w:tr w:rsidR="000B0CAE" w:rsidRPr="005D78CD" w:rsidTr="00BF3ABC">
        <w:trPr>
          <w:trHeight w:val="419"/>
        </w:trPr>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 xml:space="preserve">Kang </w:t>
            </w:r>
            <w:r w:rsidRPr="005D78CD">
              <w:rPr>
                <w:rFonts w:ascii="Book Antiqua" w:hAnsi="Book Antiqua"/>
                <w:i/>
              </w:rPr>
              <w:t>et al</w:t>
            </w:r>
            <w:r w:rsidRPr="005D78CD">
              <w:rPr>
                <w:rFonts w:ascii="Book Antiqua" w:hAnsi="Book Antiqua"/>
                <w:vertAlign w:val="superscript"/>
              </w:rPr>
              <w:t>[15]</w:t>
            </w:r>
          </w:p>
        </w:tc>
        <w:tc>
          <w:tcPr>
            <w:tcW w:w="170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Retrospective</w:t>
            </w:r>
          </w:p>
        </w:tc>
        <w:tc>
          <w:tcPr>
            <w:tcW w:w="2270" w:type="dxa"/>
            <w:noWrap/>
          </w:tcPr>
          <w:p w:rsidR="000B0CAE" w:rsidRPr="005D78CD" w:rsidRDefault="00BF3ABC" w:rsidP="00BF3ABC">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127</w:t>
            </w:r>
            <w:r w:rsidR="000B0CAE" w:rsidRPr="005D78CD">
              <w:rPr>
                <w:rFonts w:ascii="Book Antiqua" w:hAnsi="Book Antiqua"/>
              </w:rPr>
              <w:t>(</w:t>
            </w:r>
            <w:r>
              <w:rPr>
                <w:rFonts w:ascii="Book Antiqua" w:hAnsi="Book Antiqua" w:hint="eastAsia"/>
                <w:lang w:eastAsia="zh-CN"/>
              </w:rPr>
              <w:t xml:space="preserve"> </w:t>
            </w:r>
            <w:r w:rsidR="000B0CAE" w:rsidRPr="005D78CD">
              <w:rPr>
                <w:rFonts w:ascii="Book Antiqua" w:hAnsi="Book Antiqua"/>
              </w:rPr>
              <w:t>18 mo)</w:t>
            </w:r>
          </w:p>
        </w:tc>
        <w:tc>
          <w:tcPr>
            <w:tcW w:w="184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38%</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98%</w:t>
            </w:r>
          </w:p>
        </w:tc>
        <w:tc>
          <w:tcPr>
            <w:tcW w:w="170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23%</w:t>
            </w:r>
          </w:p>
        </w:tc>
        <w:tc>
          <w:tcPr>
            <w:tcW w:w="315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3 % “major” </w:t>
            </w:r>
          </w:p>
        </w:tc>
      </w:tr>
      <w:tr w:rsidR="000B0CAE" w:rsidRPr="005D78CD" w:rsidTr="00BF3ABC">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Seewald</w:t>
            </w:r>
            <w:r w:rsidRPr="005D78CD">
              <w:rPr>
                <w:rFonts w:ascii="Book Antiqua" w:hAnsi="Book Antiqua"/>
                <w:i/>
              </w:rPr>
              <w:t>et al</w:t>
            </w:r>
            <w:r w:rsidRPr="005D78CD">
              <w:rPr>
                <w:rFonts w:ascii="Book Antiqua" w:hAnsi="Book Antiqua"/>
                <w:vertAlign w:val="superscript"/>
              </w:rPr>
              <w:t>[20]</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Retrospective</w:t>
            </w:r>
          </w:p>
        </w:tc>
        <w:tc>
          <w:tcPr>
            <w:tcW w:w="2270" w:type="dxa"/>
            <w:noWrap/>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131</w:t>
            </w:r>
            <w:r>
              <w:rPr>
                <w:rFonts w:ascii="Book Antiqua" w:hAnsi="Book Antiqua" w:hint="eastAsia"/>
                <w:lang w:eastAsia="zh-CN"/>
              </w:rPr>
              <w:t xml:space="preserve"> </w:t>
            </w:r>
            <w:r w:rsidR="000B0CAE" w:rsidRPr="005D78CD">
              <w:rPr>
                <w:rFonts w:ascii="Book Antiqua" w:hAnsi="Book Antiqua"/>
              </w:rPr>
              <w:t>(26 mo)</w:t>
            </w:r>
          </w:p>
        </w:tc>
        <w:tc>
          <w:tcPr>
            <w:tcW w:w="184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63%</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100%</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7%</w:t>
            </w:r>
          </w:p>
        </w:tc>
        <w:tc>
          <w:tcPr>
            <w:tcW w:w="315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0%</w:t>
            </w:r>
          </w:p>
        </w:tc>
      </w:tr>
      <w:tr w:rsidR="000B0CAE" w:rsidRPr="005D78CD" w:rsidTr="00BF3ABC">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Paik </w:t>
            </w:r>
            <w:r w:rsidRPr="005D78CD">
              <w:rPr>
                <w:rFonts w:ascii="Book Antiqua" w:hAnsi="Book Antiqua"/>
                <w:i/>
              </w:rPr>
              <w:t>et al</w:t>
            </w:r>
            <w:r w:rsidRPr="005D78CD">
              <w:rPr>
                <w:rFonts w:ascii="Book Antiqua" w:hAnsi="Book Antiqua"/>
                <w:vertAlign w:val="superscript"/>
              </w:rPr>
              <w:t>[14]</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p>
        </w:tc>
        <w:tc>
          <w:tcPr>
            <w:tcW w:w="1701" w:type="dxa"/>
            <w:noWrap/>
          </w:tcPr>
          <w:p w:rsidR="000B0CAE" w:rsidRPr="00BF3ABC"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Retrospective</w:t>
            </w:r>
          </w:p>
        </w:tc>
        <w:tc>
          <w:tcPr>
            <w:tcW w:w="2270" w:type="dxa"/>
            <w:noWrap/>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121</w:t>
            </w:r>
            <w:r>
              <w:rPr>
                <w:rFonts w:ascii="Book Antiqua" w:hAnsi="Book Antiqua" w:hint="eastAsia"/>
                <w:lang w:eastAsia="zh-CN"/>
              </w:rPr>
              <w:t xml:space="preserve"> </w:t>
            </w:r>
            <w:r w:rsidR="000B0CAE" w:rsidRPr="005D78CD">
              <w:rPr>
                <w:rFonts w:ascii="Book Antiqua" w:hAnsi="Book Antiqua"/>
              </w:rPr>
              <w:t>(12 mo)</w:t>
            </w:r>
          </w:p>
        </w:tc>
        <w:tc>
          <w:tcPr>
            <w:tcW w:w="184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26%</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91%</w:t>
            </w:r>
          </w:p>
        </w:tc>
        <w:tc>
          <w:tcPr>
            <w:tcW w:w="1701" w:type="dxa"/>
            <w:noWrap/>
          </w:tcPr>
          <w:p w:rsidR="000B0CAE" w:rsidRPr="005D78CD" w:rsidRDefault="000B0CAE" w:rsidP="00BF3ABC">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13% (at 4 w</w:t>
            </w:r>
            <w:r w:rsidR="00BF3ABC">
              <w:rPr>
                <w:rFonts w:ascii="Book Antiqua" w:hAnsi="Book Antiqua"/>
              </w:rPr>
              <w:t>k</w:t>
            </w:r>
            <w:r w:rsidRPr="005D78CD">
              <w:rPr>
                <w:rFonts w:ascii="Book Antiqua" w:hAnsi="Book Antiqua"/>
              </w:rPr>
              <w:t>)</w:t>
            </w:r>
          </w:p>
        </w:tc>
        <w:tc>
          <w:tcPr>
            <w:tcW w:w="315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2% (major complications)</w:t>
            </w:r>
          </w:p>
        </w:tc>
      </w:tr>
      <w:tr w:rsidR="000B0CAE" w:rsidRPr="005D78CD" w:rsidTr="00BF3ABC">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Kind </w:t>
            </w:r>
            <w:r w:rsidRPr="005D78CD">
              <w:rPr>
                <w:rFonts w:ascii="Book Antiqua" w:hAnsi="Book Antiqua"/>
                <w:i/>
              </w:rPr>
              <w:t>et al</w:t>
            </w:r>
            <w:r w:rsidRPr="005D78CD">
              <w:rPr>
                <w:rFonts w:ascii="Book Antiqua" w:hAnsi="Book Antiqua"/>
                <w:vertAlign w:val="superscript"/>
              </w:rPr>
              <w:t>[21]</w:t>
            </w:r>
          </w:p>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 </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Case series</w:t>
            </w:r>
          </w:p>
        </w:tc>
        <w:tc>
          <w:tcPr>
            <w:tcW w:w="2270" w:type="dxa"/>
            <w:noWrap/>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174</w:t>
            </w:r>
            <w:r>
              <w:rPr>
                <w:rFonts w:ascii="Book Antiqua" w:hAnsi="Book Antiqua" w:hint="eastAsia"/>
                <w:lang w:eastAsia="zh-CN"/>
              </w:rPr>
              <w:t xml:space="preserve"> </w:t>
            </w:r>
            <w:r w:rsidR="000B0CAE" w:rsidRPr="005D78CD">
              <w:rPr>
                <w:rFonts w:ascii="Book Antiqua" w:hAnsi="Book Antiqua"/>
              </w:rPr>
              <w:t>(36 mo)</w:t>
            </w:r>
          </w:p>
        </w:tc>
        <w:tc>
          <w:tcPr>
            <w:tcW w:w="184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100%</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97%</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13% “late rebleeding”</w:t>
            </w:r>
          </w:p>
        </w:tc>
        <w:tc>
          <w:tcPr>
            <w:tcW w:w="315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8%</w:t>
            </w:r>
          </w:p>
        </w:tc>
      </w:tr>
      <w:tr w:rsidR="000B0CAE" w:rsidRPr="005D78CD" w:rsidTr="00BF3ABC">
        <w:trPr>
          <w:trHeight w:val="507"/>
        </w:trPr>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 xml:space="preserve">Ali-Al </w:t>
            </w:r>
            <w:r w:rsidRPr="005D78CD">
              <w:rPr>
                <w:rFonts w:ascii="Book Antiqua" w:hAnsi="Book Antiqua"/>
                <w:i/>
              </w:rPr>
              <w:t>et al</w:t>
            </w:r>
            <w:r w:rsidRPr="005D78CD">
              <w:rPr>
                <w:rFonts w:ascii="Book Antiqua" w:hAnsi="Book Antiqua"/>
                <w:vertAlign w:val="superscript"/>
              </w:rPr>
              <w:t>[18]</w:t>
            </w:r>
          </w:p>
        </w:tc>
        <w:tc>
          <w:tcPr>
            <w:tcW w:w="170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Retrospective</w:t>
            </w:r>
          </w:p>
        </w:tc>
        <w:tc>
          <w:tcPr>
            <w:tcW w:w="2270" w:type="dxa"/>
            <w:noWrap/>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37</w:t>
            </w:r>
            <w:r>
              <w:rPr>
                <w:rFonts w:ascii="Book Antiqua" w:hAnsi="Book Antiqua" w:hint="eastAsia"/>
                <w:lang w:eastAsia="zh-CN"/>
              </w:rPr>
              <w:t xml:space="preserve"> </w:t>
            </w:r>
            <w:r w:rsidR="000B0CAE" w:rsidRPr="005D78CD">
              <w:rPr>
                <w:rFonts w:ascii="Book Antiqua" w:hAnsi="Book Antiqua"/>
              </w:rPr>
              <w:t>(14 mo)</w:t>
            </w:r>
          </w:p>
        </w:tc>
        <w:tc>
          <w:tcPr>
            <w:tcW w:w="184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rPr>
            </w:pPr>
            <w:r>
              <w:rPr>
                <w:rFonts w:ascii="Book Antiqua" w:hAnsi="Book Antiqua"/>
              </w:rPr>
              <w:t>86</w:t>
            </w:r>
            <w:r w:rsidR="000B0CAE" w:rsidRPr="005D78CD">
              <w:rPr>
                <w:rFonts w:ascii="Book Antiqua" w:hAnsi="Book Antiqua"/>
              </w:rPr>
              <w:t>%</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95%</w:t>
            </w:r>
          </w:p>
        </w:tc>
        <w:tc>
          <w:tcPr>
            <w:tcW w:w="170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28%</w:t>
            </w:r>
          </w:p>
        </w:tc>
        <w:tc>
          <w:tcPr>
            <w:tcW w:w="315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0 % “major”</w:t>
            </w:r>
          </w:p>
        </w:tc>
      </w:tr>
      <w:tr w:rsidR="000B0CAE" w:rsidRPr="005D78CD" w:rsidTr="00BF3ABC">
        <w:trPr>
          <w:trHeight w:val="563"/>
        </w:trPr>
        <w:tc>
          <w:tcPr>
            <w:tcW w:w="1809"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Rajoriya</w:t>
            </w:r>
            <w:r w:rsidRPr="005D78CD">
              <w:rPr>
                <w:rFonts w:ascii="Book Antiqua" w:hAnsi="Book Antiqua"/>
                <w:i/>
              </w:rPr>
              <w:t>et al</w:t>
            </w:r>
            <w:r w:rsidRPr="005D78CD">
              <w:rPr>
                <w:rFonts w:ascii="Book Antiqua" w:hAnsi="Book Antiqua"/>
                <w:vertAlign w:val="superscript"/>
              </w:rPr>
              <w:t>[17]</w:t>
            </w:r>
            <w:r w:rsidRPr="005D78CD">
              <w:rPr>
                <w:rFonts w:ascii="Book Antiqua" w:hAnsi="Book Antiqua"/>
              </w:rPr>
              <w:t xml:space="preserve"> </w:t>
            </w:r>
          </w:p>
        </w:tc>
        <w:tc>
          <w:tcPr>
            <w:tcW w:w="1701" w:type="dxa"/>
            <w:noWrap/>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Retrospective</w:t>
            </w:r>
          </w:p>
        </w:tc>
        <w:tc>
          <w:tcPr>
            <w:tcW w:w="2270" w:type="dxa"/>
            <w:noWrap/>
          </w:tcPr>
          <w:p w:rsidR="000B0CAE" w:rsidRPr="00BF3ABC"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31</w:t>
            </w:r>
            <w:r>
              <w:rPr>
                <w:rFonts w:ascii="Book Antiqua" w:hAnsi="Book Antiqua" w:hint="eastAsia"/>
                <w:lang w:eastAsia="zh-CN"/>
              </w:rPr>
              <w:t xml:space="preserve"> </w:t>
            </w:r>
            <w:r>
              <w:rPr>
                <w:rFonts w:ascii="Book Antiqua" w:hAnsi="Book Antiqua"/>
              </w:rPr>
              <w:t>(35 mo)</w:t>
            </w:r>
          </w:p>
        </w:tc>
        <w:tc>
          <w:tcPr>
            <w:tcW w:w="184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Not recorded</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100%</w:t>
            </w:r>
          </w:p>
        </w:tc>
        <w:tc>
          <w:tcPr>
            <w:tcW w:w="170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16%</w:t>
            </w:r>
          </w:p>
        </w:tc>
        <w:tc>
          <w:tcPr>
            <w:tcW w:w="3151" w:type="dxa"/>
            <w:noWrap/>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0 % “major” </w:t>
            </w:r>
          </w:p>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6% “minor”</w:t>
            </w:r>
          </w:p>
        </w:tc>
      </w:tr>
    </w:tbl>
    <w:p w:rsidR="000B0CAE" w:rsidRPr="005D78CD" w:rsidRDefault="000B0CAE" w:rsidP="00335D38">
      <w:pPr>
        <w:widowControl w:val="0"/>
        <w:autoSpaceDE w:val="0"/>
        <w:autoSpaceDN w:val="0"/>
        <w:adjustRightInd w:val="0"/>
        <w:snapToGrid w:val="0"/>
        <w:spacing w:line="360" w:lineRule="auto"/>
        <w:jc w:val="both"/>
        <w:rPr>
          <w:rFonts w:ascii="Book Antiqua" w:hAnsi="Book Antiqua"/>
        </w:rPr>
        <w:sectPr w:rsidR="000B0CAE" w:rsidRPr="005D78CD" w:rsidSect="0037423B">
          <w:pgSz w:w="16838" w:h="11906" w:orient="landscape"/>
          <w:pgMar w:top="1797" w:right="1440" w:bottom="1797" w:left="1440" w:header="709" w:footer="709" w:gutter="0"/>
          <w:cols w:space="708"/>
          <w:docGrid w:linePitch="360"/>
        </w:sectPr>
      </w:pPr>
    </w:p>
    <w:p w:rsidR="000B0CAE" w:rsidRPr="00BF3ABC" w:rsidRDefault="00BF3ABC" w:rsidP="00335D38">
      <w:pPr>
        <w:widowControl w:val="0"/>
        <w:adjustRightInd w:val="0"/>
        <w:snapToGrid w:val="0"/>
        <w:spacing w:line="360" w:lineRule="auto"/>
        <w:jc w:val="both"/>
        <w:rPr>
          <w:rFonts w:ascii="Book Antiqua" w:hAnsi="Book Antiqua"/>
          <w:b/>
          <w:lang w:eastAsia="zh-CN"/>
        </w:rPr>
      </w:pPr>
      <w:r w:rsidRPr="00BF3ABC">
        <w:rPr>
          <w:rFonts w:ascii="Book Antiqua" w:hAnsi="Book Antiqua"/>
          <w:b/>
        </w:rPr>
        <w:lastRenderedPageBreak/>
        <w:t>Table 2</w:t>
      </w:r>
      <w:r w:rsidR="000B0CAE" w:rsidRPr="00BF3ABC">
        <w:rPr>
          <w:rFonts w:ascii="Book Antiqua" w:hAnsi="Book Antiqua"/>
          <w:b/>
        </w:rPr>
        <w:t xml:space="preserve"> Summary of studies using thrombin for the manageme</w:t>
      </w:r>
      <w:r w:rsidRPr="00BF3ABC">
        <w:rPr>
          <w:rFonts w:ascii="Book Antiqua" w:hAnsi="Book Antiqua"/>
          <w:b/>
        </w:rPr>
        <w:t>nt of gastric variceal bleeding</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883"/>
        <w:gridCol w:w="1631"/>
        <w:gridCol w:w="1805"/>
        <w:gridCol w:w="1641"/>
      </w:tblGrid>
      <w:tr w:rsidR="000B0CAE" w:rsidRPr="005D78CD" w:rsidTr="000F3ABD">
        <w:tc>
          <w:tcPr>
            <w:tcW w:w="1668" w:type="dxa"/>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hint="eastAsia"/>
                <w:lang w:eastAsia="zh-CN"/>
              </w:rPr>
              <w:t>Ref.</w:t>
            </w:r>
          </w:p>
        </w:tc>
        <w:tc>
          <w:tcPr>
            <w:tcW w:w="1883"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Type of thrombin used </w:t>
            </w:r>
          </w:p>
        </w:tc>
        <w:tc>
          <w:tcPr>
            <w:tcW w:w="1631"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Number of patients (follow-up)</w:t>
            </w:r>
          </w:p>
        </w:tc>
        <w:tc>
          <w:tcPr>
            <w:tcW w:w="1805"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Haemostasis</w:t>
            </w:r>
          </w:p>
        </w:tc>
        <w:tc>
          <w:tcPr>
            <w:tcW w:w="1641"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Rebleeding</w:t>
            </w:r>
          </w:p>
        </w:tc>
      </w:tr>
      <w:tr w:rsidR="000B0CAE" w:rsidRPr="005D78CD" w:rsidTr="000F3ABD">
        <w:tc>
          <w:tcPr>
            <w:tcW w:w="1668"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Williams </w:t>
            </w:r>
            <w:r w:rsidRPr="005D78CD">
              <w:rPr>
                <w:rFonts w:ascii="Book Antiqua" w:hAnsi="Book Antiqua"/>
                <w:i/>
              </w:rPr>
              <w:t>et al</w:t>
            </w:r>
            <w:r w:rsidRPr="005D78CD">
              <w:rPr>
                <w:rFonts w:ascii="Book Antiqua" w:hAnsi="Book Antiqua"/>
                <w:vertAlign w:val="superscript"/>
                <w:lang w:eastAsia="zh-CN"/>
              </w:rPr>
              <w:t xml:space="preserve">[26] </w:t>
            </w:r>
          </w:p>
        </w:tc>
        <w:tc>
          <w:tcPr>
            <w:tcW w:w="1883"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Bovine </w:t>
            </w:r>
          </w:p>
        </w:tc>
        <w:tc>
          <w:tcPr>
            <w:tcW w:w="1631" w:type="dxa"/>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hint="eastAsia"/>
                <w:lang w:eastAsia="zh-CN"/>
              </w:rPr>
              <w:t xml:space="preserve"> </w:t>
            </w:r>
            <w:r w:rsidR="000B0CAE" w:rsidRPr="005D78CD">
              <w:rPr>
                <w:rFonts w:ascii="Book Antiqua" w:hAnsi="Book Antiqua"/>
              </w:rPr>
              <w:t>(9 mo)</w:t>
            </w:r>
          </w:p>
        </w:tc>
        <w:tc>
          <w:tcPr>
            <w:tcW w:w="1805"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100%</w:t>
            </w:r>
          </w:p>
        </w:tc>
        <w:tc>
          <w:tcPr>
            <w:tcW w:w="1641"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27%</w:t>
            </w:r>
          </w:p>
        </w:tc>
      </w:tr>
      <w:tr w:rsidR="000B0CAE" w:rsidRPr="005D78CD" w:rsidTr="000F3ABD">
        <w:tc>
          <w:tcPr>
            <w:tcW w:w="1668"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Przemioslo</w:t>
            </w:r>
            <w:r w:rsidRPr="005D78CD">
              <w:rPr>
                <w:rFonts w:ascii="Book Antiqua" w:hAnsi="Book Antiqua"/>
                <w:i/>
              </w:rPr>
              <w:t xml:space="preserve"> et al</w:t>
            </w:r>
            <w:r w:rsidRPr="005D78CD">
              <w:rPr>
                <w:rFonts w:ascii="Book Antiqua" w:hAnsi="Book Antiqua"/>
                <w:vertAlign w:val="superscript"/>
                <w:lang w:eastAsia="zh-CN"/>
              </w:rPr>
              <w:t>[</w:t>
            </w:r>
            <w:r w:rsidRPr="005D78CD">
              <w:rPr>
                <w:rFonts w:ascii="Book Antiqua" w:hAnsi="Book Antiqua"/>
                <w:vertAlign w:val="superscript"/>
              </w:rPr>
              <w:t>29]</w:t>
            </w:r>
          </w:p>
        </w:tc>
        <w:tc>
          <w:tcPr>
            <w:tcW w:w="1883"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Bovine </w:t>
            </w:r>
          </w:p>
        </w:tc>
        <w:tc>
          <w:tcPr>
            <w:tcW w:w="1631" w:type="dxa"/>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 xml:space="preserve">52 </w:t>
            </w:r>
            <w:r>
              <w:rPr>
                <w:rFonts w:ascii="Book Antiqua" w:hAnsi="Book Antiqua" w:hint="eastAsia"/>
                <w:lang w:eastAsia="zh-CN"/>
              </w:rPr>
              <w:t xml:space="preserve"> </w:t>
            </w:r>
            <w:r w:rsidR="000B0CAE" w:rsidRPr="005D78CD">
              <w:rPr>
                <w:rFonts w:ascii="Book Antiqua" w:hAnsi="Book Antiqua"/>
              </w:rPr>
              <w:t>(15 mo)</w:t>
            </w:r>
          </w:p>
        </w:tc>
        <w:tc>
          <w:tcPr>
            <w:tcW w:w="1805"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94%</w:t>
            </w:r>
          </w:p>
        </w:tc>
        <w:tc>
          <w:tcPr>
            <w:tcW w:w="1641"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18%</w:t>
            </w:r>
          </w:p>
        </w:tc>
      </w:tr>
      <w:tr w:rsidR="000B0CAE" w:rsidRPr="005D78CD" w:rsidTr="000F3ABD">
        <w:tc>
          <w:tcPr>
            <w:tcW w:w="1668"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 xml:space="preserve">Ramesh </w:t>
            </w:r>
            <w:r w:rsidRPr="005D78CD">
              <w:rPr>
                <w:rFonts w:ascii="Book Antiqua" w:hAnsi="Book Antiqua"/>
                <w:i/>
              </w:rPr>
              <w:t>et al</w:t>
            </w:r>
            <w:r w:rsidRPr="005D78CD">
              <w:rPr>
                <w:rFonts w:ascii="Book Antiqua" w:hAnsi="Book Antiqua"/>
                <w:vertAlign w:val="superscript"/>
              </w:rPr>
              <w:t>[27]</w:t>
            </w:r>
          </w:p>
        </w:tc>
        <w:tc>
          <w:tcPr>
            <w:tcW w:w="1883"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Bovine </w:t>
            </w:r>
          </w:p>
        </w:tc>
        <w:tc>
          <w:tcPr>
            <w:tcW w:w="1631" w:type="dxa"/>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13</w:t>
            </w:r>
            <w:r>
              <w:rPr>
                <w:rFonts w:ascii="Book Antiqua" w:hAnsi="Book Antiqua" w:hint="eastAsia"/>
                <w:lang w:eastAsia="zh-CN"/>
              </w:rPr>
              <w:t xml:space="preserve"> </w:t>
            </w:r>
            <w:r w:rsidR="000B0CAE" w:rsidRPr="005D78CD">
              <w:rPr>
                <w:rFonts w:ascii="Book Antiqua" w:hAnsi="Book Antiqua"/>
              </w:rPr>
              <w:t>(25 mo)</w:t>
            </w:r>
          </w:p>
        </w:tc>
        <w:tc>
          <w:tcPr>
            <w:tcW w:w="1805"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92%</w:t>
            </w:r>
          </w:p>
        </w:tc>
        <w:tc>
          <w:tcPr>
            <w:tcW w:w="1641" w:type="dxa"/>
          </w:tcPr>
          <w:p w:rsidR="000B0CAE" w:rsidRPr="005D78CD" w:rsidRDefault="00BF3ABC" w:rsidP="00335D38">
            <w:pPr>
              <w:widowControl w:val="0"/>
              <w:autoSpaceDE w:val="0"/>
              <w:autoSpaceDN w:val="0"/>
              <w:adjustRightInd w:val="0"/>
              <w:snapToGrid w:val="0"/>
              <w:spacing w:line="360" w:lineRule="auto"/>
              <w:jc w:val="both"/>
              <w:rPr>
                <w:rFonts w:ascii="Book Antiqua" w:hAnsi="Book Antiqua"/>
                <w:lang w:eastAsia="zh-CN"/>
              </w:rPr>
            </w:pPr>
            <w:r>
              <w:rPr>
                <w:rFonts w:ascii="Book Antiqua" w:hAnsi="Book Antiqua"/>
              </w:rPr>
              <w:t>0</w:t>
            </w:r>
          </w:p>
        </w:tc>
      </w:tr>
      <w:tr w:rsidR="000B0CAE" w:rsidRPr="005D78CD" w:rsidTr="000F3ABD">
        <w:tc>
          <w:tcPr>
            <w:tcW w:w="1668"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lang w:eastAsia="zh-CN"/>
              </w:rPr>
            </w:pPr>
            <w:r w:rsidRPr="005D78CD">
              <w:rPr>
                <w:rFonts w:ascii="Book Antiqua" w:hAnsi="Book Antiqua"/>
              </w:rPr>
              <w:t>McAvoy</w:t>
            </w:r>
            <w:r w:rsidRPr="005D78CD">
              <w:rPr>
                <w:rFonts w:ascii="Book Antiqua" w:hAnsi="Book Antiqua"/>
                <w:i/>
              </w:rPr>
              <w:t xml:space="preserve"> et al</w:t>
            </w:r>
            <w:r w:rsidRPr="005D78CD">
              <w:rPr>
                <w:rFonts w:ascii="Book Antiqua" w:hAnsi="Book Antiqua"/>
                <w:vertAlign w:val="superscript"/>
              </w:rPr>
              <w:t>[28]</w:t>
            </w:r>
          </w:p>
        </w:tc>
        <w:tc>
          <w:tcPr>
            <w:tcW w:w="1883"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 xml:space="preserve">Human </w:t>
            </w:r>
          </w:p>
        </w:tc>
        <w:tc>
          <w:tcPr>
            <w:tcW w:w="1631" w:type="dxa"/>
          </w:tcPr>
          <w:p w:rsidR="000B0CAE" w:rsidRPr="005D78CD" w:rsidRDefault="00BF3ABC" w:rsidP="00BF3ABC">
            <w:pPr>
              <w:widowControl w:val="0"/>
              <w:autoSpaceDE w:val="0"/>
              <w:autoSpaceDN w:val="0"/>
              <w:adjustRightInd w:val="0"/>
              <w:snapToGrid w:val="0"/>
              <w:spacing w:line="360" w:lineRule="auto"/>
              <w:jc w:val="both"/>
              <w:rPr>
                <w:rFonts w:ascii="Book Antiqua" w:hAnsi="Book Antiqua"/>
              </w:rPr>
            </w:pPr>
            <w:r>
              <w:rPr>
                <w:rFonts w:ascii="Book Antiqua" w:hAnsi="Book Antiqua"/>
              </w:rPr>
              <w:t>37</w:t>
            </w:r>
            <w:r>
              <w:rPr>
                <w:rFonts w:ascii="Book Antiqua" w:hAnsi="Book Antiqua" w:hint="eastAsia"/>
                <w:lang w:eastAsia="zh-CN"/>
              </w:rPr>
              <w:t xml:space="preserve"> </w:t>
            </w:r>
            <w:r>
              <w:rPr>
                <w:rFonts w:ascii="Book Antiqua" w:hAnsi="Book Antiqua"/>
              </w:rPr>
              <w:t>(22 mo</w:t>
            </w:r>
            <w:r w:rsidR="000B0CAE" w:rsidRPr="005D78CD">
              <w:rPr>
                <w:rFonts w:ascii="Book Antiqua" w:hAnsi="Book Antiqua"/>
              </w:rPr>
              <w:t>)</w:t>
            </w:r>
          </w:p>
        </w:tc>
        <w:tc>
          <w:tcPr>
            <w:tcW w:w="1805"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Not recorded</w:t>
            </w:r>
          </w:p>
        </w:tc>
        <w:tc>
          <w:tcPr>
            <w:tcW w:w="1641" w:type="dxa"/>
          </w:tcPr>
          <w:p w:rsidR="000B0CAE" w:rsidRPr="005D78CD" w:rsidRDefault="000B0CAE" w:rsidP="00335D38">
            <w:pPr>
              <w:widowControl w:val="0"/>
              <w:autoSpaceDE w:val="0"/>
              <w:autoSpaceDN w:val="0"/>
              <w:adjustRightInd w:val="0"/>
              <w:snapToGrid w:val="0"/>
              <w:spacing w:line="360" w:lineRule="auto"/>
              <w:jc w:val="both"/>
              <w:rPr>
                <w:rFonts w:ascii="Book Antiqua" w:hAnsi="Book Antiqua"/>
              </w:rPr>
            </w:pPr>
            <w:r w:rsidRPr="005D78CD">
              <w:rPr>
                <w:rFonts w:ascii="Book Antiqua" w:hAnsi="Book Antiqua"/>
              </w:rPr>
              <w:t>10.8%</w:t>
            </w:r>
          </w:p>
        </w:tc>
      </w:tr>
    </w:tbl>
    <w:p w:rsidR="000B0CAE" w:rsidRPr="005D78CD" w:rsidRDefault="000B0CAE" w:rsidP="00335D38">
      <w:pPr>
        <w:pStyle w:val="a3"/>
        <w:widowControl w:val="0"/>
        <w:adjustRightInd w:val="0"/>
        <w:snapToGrid w:val="0"/>
        <w:spacing w:line="360" w:lineRule="auto"/>
        <w:ind w:left="0"/>
        <w:contextualSpacing w:val="0"/>
        <w:jc w:val="both"/>
        <w:rPr>
          <w:rFonts w:ascii="Book Antiqua" w:hAnsi="Book Antiqua"/>
          <w:lang w:eastAsia="zh-CN"/>
        </w:rPr>
      </w:pPr>
    </w:p>
    <w:sectPr w:rsidR="000B0CAE" w:rsidRPr="005D78CD" w:rsidSect="00BD0B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07" w:rsidRDefault="001E5807" w:rsidP="009A068D">
      <w:r>
        <w:separator/>
      </w:r>
    </w:p>
  </w:endnote>
  <w:endnote w:type="continuationSeparator" w:id="0">
    <w:p w:rsidR="001E5807" w:rsidRDefault="001E5807" w:rsidP="009A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07" w:rsidRDefault="001E5807" w:rsidP="009A068D">
      <w:r>
        <w:separator/>
      </w:r>
    </w:p>
  </w:footnote>
  <w:footnote w:type="continuationSeparator" w:id="0">
    <w:p w:rsidR="001E5807" w:rsidRDefault="001E5807" w:rsidP="009A0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7F3"/>
    <w:multiLevelType w:val="hybridMultilevel"/>
    <w:tmpl w:val="87BEFB9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BE8051C"/>
    <w:multiLevelType w:val="hybridMultilevel"/>
    <w:tmpl w:val="E20A16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D7503CD"/>
    <w:multiLevelType w:val="hybridMultilevel"/>
    <w:tmpl w:val="DEC0F62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1B130BF"/>
    <w:multiLevelType w:val="hybridMultilevel"/>
    <w:tmpl w:val="826AB8E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7F51EB1"/>
    <w:multiLevelType w:val="hybridMultilevel"/>
    <w:tmpl w:val="DEC0F62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0CF0046"/>
    <w:multiLevelType w:val="hybridMultilevel"/>
    <w:tmpl w:val="5B44B2F0"/>
    <w:lvl w:ilvl="0" w:tplc="0408000B">
      <w:start w:val="57"/>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2D63C9"/>
    <w:multiLevelType w:val="hybridMultilevel"/>
    <w:tmpl w:val="AF04D23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59334E80"/>
    <w:multiLevelType w:val="hybridMultilevel"/>
    <w:tmpl w:val="DEC0F62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60AB43E2"/>
    <w:multiLevelType w:val="hybridMultilevel"/>
    <w:tmpl w:val="E20A16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2"/>
  </w:num>
  <w:num w:numId="4">
    <w:abstractNumId w:val="3"/>
  </w:num>
  <w:num w:numId="5">
    <w:abstractNumId w:val="6"/>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8D"/>
    <w:rsid w:val="00001B67"/>
    <w:rsid w:val="0000483E"/>
    <w:rsid w:val="00006153"/>
    <w:rsid w:val="000076F7"/>
    <w:rsid w:val="0001063F"/>
    <w:rsid w:val="00010C50"/>
    <w:rsid w:val="000113D3"/>
    <w:rsid w:val="00012C16"/>
    <w:rsid w:val="00013790"/>
    <w:rsid w:val="000165E6"/>
    <w:rsid w:val="0001682F"/>
    <w:rsid w:val="00026B2D"/>
    <w:rsid w:val="0003235C"/>
    <w:rsid w:val="000328B0"/>
    <w:rsid w:val="0003359E"/>
    <w:rsid w:val="00034ED1"/>
    <w:rsid w:val="00036F1A"/>
    <w:rsid w:val="0004227B"/>
    <w:rsid w:val="0004494D"/>
    <w:rsid w:val="00045FCC"/>
    <w:rsid w:val="00050D8D"/>
    <w:rsid w:val="00051045"/>
    <w:rsid w:val="000538CD"/>
    <w:rsid w:val="00053B4A"/>
    <w:rsid w:val="000564B3"/>
    <w:rsid w:val="00060D88"/>
    <w:rsid w:val="00066D21"/>
    <w:rsid w:val="00066F01"/>
    <w:rsid w:val="00067CF7"/>
    <w:rsid w:val="00070B9C"/>
    <w:rsid w:val="000729B6"/>
    <w:rsid w:val="0007334B"/>
    <w:rsid w:val="00076A4B"/>
    <w:rsid w:val="00077083"/>
    <w:rsid w:val="00080078"/>
    <w:rsid w:val="00080D30"/>
    <w:rsid w:val="000837D6"/>
    <w:rsid w:val="000854D2"/>
    <w:rsid w:val="00085CB3"/>
    <w:rsid w:val="00086E2B"/>
    <w:rsid w:val="000870EF"/>
    <w:rsid w:val="000916F3"/>
    <w:rsid w:val="00095D37"/>
    <w:rsid w:val="000A38F5"/>
    <w:rsid w:val="000A4A3E"/>
    <w:rsid w:val="000B0CAE"/>
    <w:rsid w:val="000B138A"/>
    <w:rsid w:val="000B16DA"/>
    <w:rsid w:val="000B46B2"/>
    <w:rsid w:val="000B4D99"/>
    <w:rsid w:val="000B6E20"/>
    <w:rsid w:val="000B7377"/>
    <w:rsid w:val="000C2CA3"/>
    <w:rsid w:val="000C4058"/>
    <w:rsid w:val="000C5498"/>
    <w:rsid w:val="000C568C"/>
    <w:rsid w:val="000C7931"/>
    <w:rsid w:val="000D00B3"/>
    <w:rsid w:val="000D1932"/>
    <w:rsid w:val="000D6DD1"/>
    <w:rsid w:val="000E0693"/>
    <w:rsid w:val="000E0E2E"/>
    <w:rsid w:val="000E142D"/>
    <w:rsid w:val="000E6731"/>
    <w:rsid w:val="000F1511"/>
    <w:rsid w:val="000F3ABD"/>
    <w:rsid w:val="000F4935"/>
    <w:rsid w:val="000F4D8B"/>
    <w:rsid w:val="001002F4"/>
    <w:rsid w:val="001010FC"/>
    <w:rsid w:val="00101F5A"/>
    <w:rsid w:val="00102151"/>
    <w:rsid w:val="00106143"/>
    <w:rsid w:val="0010662D"/>
    <w:rsid w:val="0010729E"/>
    <w:rsid w:val="001078C6"/>
    <w:rsid w:val="00110309"/>
    <w:rsid w:val="00110745"/>
    <w:rsid w:val="00111C9E"/>
    <w:rsid w:val="001160C0"/>
    <w:rsid w:val="00116B8D"/>
    <w:rsid w:val="00120F23"/>
    <w:rsid w:val="00121486"/>
    <w:rsid w:val="00122E2C"/>
    <w:rsid w:val="00122E73"/>
    <w:rsid w:val="00125F7E"/>
    <w:rsid w:val="001302EC"/>
    <w:rsid w:val="00133B1F"/>
    <w:rsid w:val="00134B08"/>
    <w:rsid w:val="00135389"/>
    <w:rsid w:val="00136C5D"/>
    <w:rsid w:val="00136FB4"/>
    <w:rsid w:val="001421A0"/>
    <w:rsid w:val="001442C9"/>
    <w:rsid w:val="00144E44"/>
    <w:rsid w:val="00144E53"/>
    <w:rsid w:val="00145031"/>
    <w:rsid w:val="0014522C"/>
    <w:rsid w:val="001455F7"/>
    <w:rsid w:val="00147866"/>
    <w:rsid w:val="00152591"/>
    <w:rsid w:val="00152CBC"/>
    <w:rsid w:val="001541B4"/>
    <w:rsid w:val="001545B3"/>
    <w:rsid w:val="00154E85"/>
    <w:rsid w:val="00160DBF"/>
    <w:rsid w:val="00161AE7"/>
    <w:rsid w:val="00164616"/>
    <w:rsid w:val="001659D6"/>
    <w:rsid w:val="0016605D"/>
    <w:rsid w:val="00166423"/>
    <w:rsid w:val="00170E58"/>
    <w:rsid w:val="00171EC3"/>
    <w:rsid w:val="0017391F"/>
    <w:rsid w:val="00174787"/>
    <w:rsid w:val="00176F7F"/>
    <w:rsid w:val="00180035"/>
    <w:rsid w:val="00181850"/>
    <w:rsid w:val="00183043"/>
    <w:rsid w:val="001830D0"/>
    <w:rsid w:val="00186DE9"/>
    <w:rsid w:val="001876C7"/>
    <w:rsid w:val="00190A46"/>
    <w:rsid w:val="00190D47"/>
    <w:rsid w:val="001916EC"/>
    <w:rsid w:val="00192858"/>
    <w:rsid w:val="001929C6"/>
    <w:rsid w:val="00195EE0"/>
    <w:rsid w:val="001A0F51"/>
    <w:rsid w:val="001A10AE"/>
    <w:rsid w:val="001A1954"/>
    <w:rsid w:val="001A22B1"/>
    <w:rsid w:val="001A3676"/>
    <w:rsid w:val="001A57A7"/>
    <w:rsid w:val="001A5D19"/>
    <w:rsid w:val="001A74D2"/>
    <w:rsid w:val="001B089F"/>
    <w:rsid w:val="001B0D45"/>
    <w:rsid w:val="001B3287"/>
    <w:rsid w:val="001B3796"/>
    <w:rsid w:val="001B4CC6"/>
    <w:rsid w:val="001B567A"/>
    <w:rsid w:val="001B62BC"/>
    <w:rsid w:val="001C13E3"/>
    <w:rsid w:val="001C1925"/>
    <w:rsid w:val="001C5EF7"/>
    <w:rsid w:val="001C66C1"/>
    <w:rsid w:val="001C7A83"/>
    <w:rsid w:val="001D0499"/>
    <w:rsid w:val="001D0BB6"/>
    <w:rsid w:val="001D3694"/>
    <w:rsid w:val="001D51A2"/>
    <w:rsid w:val="001D5EE9"/>
    <w:rsid w:val="001D7E15"/>
    <w:rsid w:val="001E3DB3"/>
    <w:rsid w:val="001E53A3"/>
    <w:rsid w:val="001E5807"/>
    <w:rsid w:val="001E60D9"/>
    <w:rsid w:val="001E6D6E"/>
    <w:rsid w:val="001F0803"/>
    <w:rsid w:val="001F0C57"/>
    <w:rsid w:val="001F0E8D"/>
    <w:rsid w:val="001F13CF"/>
    <w:rsid w:val="001F1A7F"/>
    <w:rsid w:val="001F1B39"/>
    <w:rsid w:val="001F265E"/>
    <w:rsid w:val="001F52E9"/>
    <w:rsid w:val="00201198"/>
    <w:rsid w:val="00201C2A"/>
    <w:rsid w:val="00202291"/>
    <w:rsid w:val="0020269F"/>
    <w:rsid w:val="002033F1"/>
    <w:rsid w:val="00210DB7"/>
    <w:rsid w:val="00210E38"/>
    <w:rsid w:val="00212320"/>
    <w:rsid w:val="002128C7"/>
    <w:rsid w:val="0021469E"/>
    <w:rsid w:val="002170A9"/>
    <w:rsid w:val="00217293"/>
    <w:rsid w:val="00220A98"/>
    <w:rsid w:val="00220B50"/>
    <w:rsid w:val="00221831"/>
    <w:rsid w:val="00225378"/>
    <w:rsid w:val="0022555C"/>
    <w:rsid w:val="00227FBE"/>
    <w:rsid w:val="00230519"/>
    <w:rsid w:val="0023125D"/>
    <w:rsid w:val="00231813"/>
    <w:rsid w:val="002352FA"/>
    <w:rsid w:val="002370ED"/>
    <w:rsid w:val="00240B49"/>
    <w:rsid w:val="0024186B"/>
    <w:rsid w:val="0024348A"/>
    <w:rsid w:val="00243E65"/>
    <w:rsid w:val="00245AA2"/>
    <w:rsid w:val="00250216"/>
    <w:rsid w:val="002516A8"/>
    <w:rsid w:val="00254BC7"/>
    <w:rsid w:val="002565E9"/>
    <w:rsid w:val="00256DD0"/>
    <w:rsid w:val="00257DF3"/>
    <w:rsid w:val="0026076C"/>
    <w:rsid w:val="00260AD8"/>
    <w:rsid w:val="002612F2"/>
    <w:rsid w:val="00265286"/>
    <w:rsid w:val="002666AA"/>
    <w:rsid w:val="00266E53"/>
    <w:rsid w:val="00267068"/>
    <w:rsid w:val="00267BD0"/>
    <w:rsid w:val="00271527"/>
    <w:rsid w:val="002716FD"/>
    <w:rsid w:val="00272A51"/>
    <w:rsid w:val="00276C40"/>
    <w:rsid w:val="00277D73"/>
    <w:rsid w:val="00280730"/>
    <w:rsid w:val="0028213D"/>
    <w:rsid w:val="00282AF7"/>
    <w:rsid w:val="002846A3"/>
    <w:rsid w:val="002847E8"/>
    <w:rsid w:val="00284E45"/>
    <w:rsid w:val="00285F94"/>
    <w:rsid w:val="00286AD5"/>
    <w:rsid w:val="00290C1E"/>
    <w:rsid w:val="00290DAA"/>
    <w:rsid w:val="00291620"/>
    <w:rsid w:val="00292B47"/>
    <w:rsid w:val="00296EF4"/>
    <w:rsid w:val="00297A97"/>
    <w:rsid w:val="002A32FD"/>
    <w:rsid w:val="002A5784"/>
    <w:rsid w:val="002A655E"/>
    <w:rsid w:val="002B42D3"/>
    <w:rsid w:val="002C12D3"/>
    <w:rsid w:val="002C15DD"/>
    <w:rsid w:val="002C167F"/>
    <w:rsid w:val="002C31CA"/>
    <w:rsid w:val="002C5949"/>
    <w:rsid w:val="002C6D9C"/>
    <w:rsid w:val="002C745B"/>
    <w:rsid w:val="002D189D"/>
    <w:rsid w:val="002D1C32"/>
    <w:rsid w:val="002D1E8D"/>
    <w:rsid w:val="002D444D"/>
    <w:rsid w:val="002D5C90"/>
    <w:rsid w:val="002D7835"/>
    <w:rsid w:val="002E1FAD"/>
    <w:rsid w:val="002E2455"/>
    <w:rsid w:val="002E4B4E"/>
    <w:rsid w:val="002F0BE3"/>
    <w:rsid w:val="002F1E3B"/>
    <w:rsid w:val="002F5D33"/>
    <w:rsid w:val="002F5E40"/>
    <w:rsid w:val="002F5ECA"/>
    <w:rsid w:val="00300503"/>
    <w:rsid w:val="003014DD"/>
    <w:rsid w:val="00301544"/>
    <w:rsid w:val="0030212B"/>
    <w:rsid w:val="003070D4"/>
    <w:rsid w:val="00307880"/>
    <w:rsid w:val="00307B38"/>
    <w:rsid w:val="00312577"/>
    <w:rsid w:val="00312970"/>
    <w:rsid w:val="00312C74"/>
    <w:rsid w:val="0031338A"/>
    <w:rsid w:val="00314414"/>
    <w:rsid w:val="003174D1"/>
    <w:rsid w:val="00322846"/>
    <w:rsid w:val="0032515F"/>
    <w:rsid w:val="0033509A"/>
    <w:rsid w:val="00335D38"/>
    <w:rsid w:val="00335EC0"/>
    <w:rsid w:val="00336ADC"/>
    <w:rsid w:val="00336BFA"/>
    <w:rsid w:val="00336D87"/>
    <w:rsid w:val="003465FF"/>
    <w:rsid w:val="003503A5"/>
    <w:rsid w:val="00353CB4"/>
    <w:rsid w:val="00356532"/>
    <w:rsid w:val="00361537"/>
    <w:rsid w:val="00361EDA"/>
    <w:rsid w:val="00362381"/>
    <w:rsid w:val="0036460F"/>
    <w:rsid w:val="00364FA3"/>
    <w:rsid w:val="003657F1"/>
    <w:rsid w:val="003663D6"/>
    <w:rsid w:val="00370F77"/>
    <w:rsid w:val="00372600"/>
    <w:rsid w:val="00372AED"/>
    <w:rsid w:val="00373770"/>
    <w:rsid w:val="0037423B"/>
    <w:rsid w:val="003742AF"/>
    <w:rsid w:val="0037583A"/>
    <w:rsid w:val="003774FA"/>
    <w:rsid w:val="0037754B"/>
    <w:rsid w:val="0038395F"/>
    <w:rsid w:val="00383AC7"/>
    <w:rsid w:val="00383E06"/>
    <w:rsid w:val="00384C46"/>
    <w:rsid w:val="0038670A"/>
    <w:rsid w:val="00386BF6"/>
    <w:rsid w:val="003879E3"/>
    <w:rsid w:val="00390A9A"/>
    <w:rsid w:val="003924A1"/>
    <w:rsid w:val="0039426A"/>
    <w:rsid w:val="003949D6"/>
    <w:rsid w:val="003959A5"/>
    <w:rsid w:val="00396EDC"/>
    <w:rsid w:val="00397C06"/>
    <w:rsid w:val="003A40DA"/>
    <w:rsid w:val="003A4434"/>
    <w:rsid w:val="003A5715"/>
    <w:rsid w:val="003A6946"/>
    <w:rsid w:val="003A6EC5"/>
    <w:rsid w:val="003A7EB2"/>
    <w:rsid w:val="003B0067"/>
    <w:rsid w:val="003B2910"/>
    <w:rsid w:val="003B3D7D"/>
    <w:rsid w:val="003B4176"/>
    <w:rsid w:val="003B44FF"/>
    <w:rsid w:val="003B53B4"/>
    <w:rsid w:val="003B69B9"/>
    <w:rsid w:val="003B77B5"/>
    <w:rsid w:val="003C1006"/>
    <w:rsid w:val="003C1749"/>
    <w:rsid w:val="003C18D4"/>
    <w:rsid w:val="003C2C93"/>
    <w:rsid w:val="003C2C9C"/>
    <w:rsid w:val="003C37A9"/>
    <w:rsid w:val="003C3A51"/>
    <w:rsid w:val="003C7172"/>
    <w:rsid w:val="003D15B0"/>
    <w:rsid w:val="003D404C"/>
    <w:rsid w:val="003D5717"/>
    <w:rsid w:val="003D5C95"/>
    <w:rsid w:val="003D7E42"/>
    <w:rsid w:val="003E0460"/>
    <w:rsid w:val="003F294C"/>
    <w:rsid w:val="003F4167"/>
    <w:rsid w:val="003F4D0F"/>
    <w:rsid w:val="003F5A06"/>
    <w:rsid w:val="004004E6"/>
    <w:rsid w:val="004018C6"/>
    <w:rsid w:val="0040272B"/>
    <w:rsid w:val="0040317B"/>
    <w:rsid w:val="0040414B"/>
    <w:rsid w:val="0040480E"/>
    <w:rsid w:val="00406E43"/>
    <w:rsid w:val="00410BAD"/>
    <w:rsid w:val="00410F34"/>
    <w:rsid w:val="004125DF"/>
    <w:rsid w:val="0041406D"/>
    <w:rsid w:val="004144A8"/>
    <w:rsid w:val="00416050"/>
    <w:rsid w:val="0042030C"/>
    <w:rsid w:val="00422614"/>
    <w:rsid w:val="0042580B"/>
    <w:rsid w:val="00426966"/>
    <w:rsid w:val="00430E45"/>
    <w:rsid w:val="00430FF0"/>
    <w:rsid w:val="00432497"/>
    <w:rsid w:val="0043256E"/>
    <w:rsid w:val="00440022"/>
    <w:rsid w:val="00440078"/>
    <w:rsid w:val="00440998"/>
    <w:rsid w:val="00440B5D"/>
    <w:rsid w:val="00443C64"/>
    <w:rsid w:val="0044584D"/>
    <w:rsid w:val="00446A6C"/>
    <w:rsid w:val="00447253"/>
    <w:rsid w:val="0044736A"/>
    <w:rsid w:val="00447719"/>
    <w:rsid w:val="004477AF"/>
    <w:rsid w:val="00450E51"/>
    <w:rsid w:val="00451740"/>
    <w:rsid w:val="0045191A"/>
    <w:rsid w:val="004526E8"/>
    <w:rsid w:val="004547B8"/>
    <w:rsid w:val="00456827"/>
    <w:rsid w:val="00456EBD"/>
    <w:rsid w:val="00460554"/>
    <w:rsid w:val="004633F1"/>
    <w:rsid w:val="00464531"/>
    <w:rsid w:val="00467EA9"/>
    <w:rsid w:val="004767FD"/>
    <w:rsid w:val="004806AD"/>
    <w:rsid w:val="004809A4"/>
    <w:rsid w:val="00480C67"/>
    <w:rsid w:val="004827B3"/>
    <w:rsid w:val="0048303E"/>
    <w:rsid w:val="00483ED9"/>
    <w:rsid w:val="00486E6C"/>
    <w:rsid w:val="00487136"/>
    <w:rsid w:val="004917AC"/>
    <w:rsid w:val="004921E1"/>
    <w:rsid w:val="00496582"/>
    <w:rsid w:val="00497112"/>
    <w:rsid w:val="004979FF"/>
    <w:rsid w:val="004A082D"/>
    <w:rsid w:val="004A1876"/>
    <w:rsid w:val="004A3208"/>
    <w:rsid w:val="004A49BE"/>
    <w:rsid w:val="004A5486"/>
    <w:rsid w:val="004A6A18"/>
    <w:rsid w:val="004B21A9"/>
    <w:rsid w:val="004B2520"/>
    <w:rsid w:val="004B5FAC"/>
    <w:rsid w:val="004C22FE"/>
    <w:rsid w:val="004C2CCD"/>
    <w:rsid w:val="004C33B0"/>
    <w:rsid w:val="004C38C4"/>
    <w:rsid w:val="004C6C4E"/>
    <w:rsid w:val="004D0981"/>
    <w:rsid w:val="004D1FD6"/>
    <w:rsid w:val="004D2360"/>
    <w:rsid w:val="004D5668"/>
    <w:rsid w:val="004E0F2F"/>
    <w:rsid w:val="004E1E98"/>
    <w:rsid w:val="004E2867"/>
    <w:rsid w:val="004E3B58"/>
    <w:rsid w:val="004F2CDE"/>
    <w:rsid w:val="004F3EE0"/>
    <w:rsid w:val="004F4A3C"/>
    <w:rsid w:val="00500A32"/>
    <w:rsid w:val="00502860"/>
    <w:rsid w:val="00503449"/>
    <w:rsid w:val="0050517E"/>
    <w:rsid w:val="00507570"/>
    <w:rsid w:val="005110D1"/>
    <w:rsid w:val="005128CC"/>
    <w:rsid w:val="00513A9B"/>
    <w:rsid w:val="00514B57"/>
    <w:rsid w:val="00516C3F"/>
    <w:rsid w:val="005176BE"/>
    <w:rsid w:val="00522A4B"/>
    <w:rsid w:val="00525AC4"/>
    <w:rsid w:val="005272EC"/>
    <w:rsid w:val="005308F1"/>
    <w:rsid w:val="00532CAD"/>
    <w:rsid w:val="00534928"/>
    <w:rsid w:val="00537BF5"/>
    <w:rsid w:val="00537E0A"/>
    <w:rsid w:val="00542A6F"/>
    <w:rsid w:val="00542DD6"/>
    <w:rsid w:val="00543537"/>
    <w:rsid w:val="00545029"/>
    <w:rsid w:val="00550F12"/>
    <w:rsid w:val="00551D2E"/>
    <w:rsid w:val="00552AE3"/>
    <w:rsid w:val="0055464A"/>
    <w:rsid w:val="005562C7"/>
    <w:rsid w:val="00563124"/>
    <w:rsid w:val="00571633"/>
    <w:rsid w:val="00574953"/>
    <w:rsid w:val="00581ACC"/>
    <w:rsid w:val="005900FE"/>
    <w:rsid w:val="00590C4F"/>
    <w:rsid w:val="00591E86"/>
    <w:rsid w:val="00592CD5"/>
    <w:rsid w:val="00593BCC"/>
    <w:rsid w:val="00594E68"/>
    <w:rsid w:val="00595661"/>
    <w:rsid w:val="00595D05"/>
    <w:rsid w:val="005A15D2"/>
    <w:rsid w:val="005A167D"/>
    <w:rsid w:val="005A1B51"/>
    <w:rsid w:val="005A2622"/>
    <w:rsid w:val="005A26C0"/>
    <w:rsid w:val="005A542F"/>
    <w:rsid w:val="005A5877"/>
    <w:rsid w:val="005A5B6F"/>
    <w:rsid w:val="005A72AE"/>
    <w:rsid w:val="005A7A74"/>
    <w:rsid w:val="005B1DA9"/>
    <w:rsid w:val="005B2170"/>
    <w:rsid w:val="005B3656"/>
    <w:rsid w:val="005B6732"/>
    <w:rsid w:val="005B6F99"/>
    <w:rsid w:val="005B7C96"/>
    <w:rsid w:val="005B7CC9"/>
    <w:rsid w:val="005C2EC0"/>
    <w:rsid w:val="005C4284"/>
    <w:rsid w:val="005C5C19"/>
    <w:rsid w:val="005C5CC8"/>
    <w:rsid w:val="005C5D7C"/>
    <w:rsid w:val="005C667B"/>
    <w:rsid w:val="005C6E26"/>
    <w:rsid w:val="005C75C0"/>
    <w:rsid w:val="005D12FA"/>
    <w:rsid w:val="005D3138"/>
    <w:rsid w:val="005D3C93"/>
    <w:rsid w:val="005D7858"/>
    <w:rsid w:val="005D78CD"/>
    <w:rsid w:val="005E06BD"/>
    <w:rsid w:val="005E0D32"/>
    <w:rsid w:val="005E12F5"/>
    <w:rsid w:val="005E1A35"/>
    <w:rsid w:val="005E1DA2"/>
    <w:rsid w:val="005E5CD5"/>
    <w:rsid w:val="005F0B9A"/>
    <w:rsid w:val="005F1D2B"/>
    <w:rsid w:val="005F3970"/>
    <w:rsid w:val="005F3A8C"/>
    <w:rsid w:val="005F484A"/>
    <w:rsid w:val="005F5506"/>
    <w:rsid w:val="005F6A30"/>
    <w:rsid w:val="005F7AEF"/>
    <w:rsid w:val="00600A57"/>
    <w:rsid w:val="006013BA"/>
    <w:rsid w:val="00606355"/>
    <w:rsid w:val="00607CA4"/>
    <w:rsid w:val="00611143"/>
    <w:rsid w:val="00614060"/>
    <w:rsid w:val="006151A2"/>
    <w:rsid w:val="0061604A"/>
    <w:rsid w:val="006167CA"/>
    <w:rsid w:val="00617429"/>
    <w:rsid w:val="00617B30"/>
    <w:rsid w:val="006217E1"/>
    <w:rsid w:val="00623664"/>
    <w:rsid w:val="0062499F"/>
    <w:rsid w:val="006279CC"/>
    <w:rsid w:val="00627EBF"/>
    <w:rsid w:val="00631A4A"/>
    <w:rsid w:val="00633965"/>
    <w:rsid w:val="00636028"/>
    <w:rsid w:val="0063663B"/>
    <w:rsid w:val="00641CD9"/>
    <w:rsid w:val="00642D61"/>
    <w:rsid w:val="00643B15"/>
    <w:rsid w:val="00647720"/>
    <w:rsid w:val="00650DE5"/>
    <w:rsid w:val="00651418"/>
    <w:rsid w:val="006524D9"/>
    <w:rsid w:val="00652BAE"/>
    <w:rsid w:val="00654B8E"/>
    <w:rsid w:val="006552C3"/>
    <w:rsid w:val="00655BB8"/>
    <w:rsid w:val="006570A6"/>
    <w:rsid w:val="0066258E"/>
    <w:rsid w:val="006635D3"/>
    <w:rsid w:val="0066565A"/>
    <w:rsid w:val="006665BB"/>
    <w:rsid w:val="0066684D"/>
    <w:rsid w:val="00666C79"/>
    <w:rsid w:val="00667FD1"/>
    <w:rsid w:val="00671B53"/>
    <w:rsid w:val="0067454A"/>
    <w:rsid w:val="0067484F"/>
    <w:rsid w:val="0068002E"/>
    <w:rsid w:val="006814A0"/>
    <w:rsid w:val="0068520A"/>
    <w:rsid w:val="0069293B"/>
    <w:rsid w:val="00695981"/>
    <w:rsid w:val="00695DE4"/>
    <w:rsid w:val="006A03B0"/>
    <w:rsid w:val="006A12B3"/>
    <w:rsid w:val="006A1C80"/>
    <w:rsid w:val="006A1E75"/>
    <w:rsid w:val="006A1EE5"/>
    <w:rsid w:val="006A20BE"/>
    <w:rsid w:val="006A332C"/>
    <w:rsid w:val="006B265A"/>
    <w:rsid w:val="006B5F46"/>
    <w:rsid w:val="006B77E7"/>
    <w:rsid w:val="006C2750"/>
    <w:rsid w:val="006C2D56"/>
    <w:rsid w:val="006C33FA"/>
    <w:rsid w:val="006D3E4D"/>
    <w:rsid w:val="006D437F"/>
    <w:rsid w:val="006D50FE"/>
    <w:rsid w:val="006D5210"/>
    <w:rsid w:val="006D57CD"/>
    <w:rsid w:val="006D63E1"/>
    <w:rsid w:val="006E00C2"/>
    <w:rsid w:val="006E0675"/>
    <w:rsid w:val="006E210A"/>
    <w:rsid w:val="006E484F"/>
    <w:rsid w:val="006E4E95"/>
    <w:rsid w:val="006E7778"/>
    <w:rsid w:val="006F0A5D"/>
    <w:rsid w:val="006F1724"/>
    <w:rsid w:val="006F2B0C"/>
    <w:rsid w:val="006F38DE"/>
    <w:rsid w:val="006F38E5"/>
    <w:rsid w:val="006F4AD3"/>
    <w:rsid w:val="006F586F"/>
    <w:rsid w:val="006F66A8"/>
    <w:rsid w:val="006F7406"/>
    <w:rsid w:val="0070007E"/>
    <w:rsid w:val="00701D9C"/>
    <w:rsid w:val="00701E89"/>
    <w:rsid w:val="00702144"/>
    <w:rsid w:val="007049B3"/>
    <w:rsid w:val="007058EC"/>
    <w:rsid w:val="00707951"/>
    <w:rsid w:val="00707F81"/>
    <w:rsid w:val="00713136"/>
    <w:rsid w:val="00713852"/>
    <w:rsid w:val="00713D0D"/>
    <w:rsid w:val="00716174"/>
    <w:rsid w:val="00717476"/>
    <w:rsid w:val="00730B04"/>
    <w:rsid w:val="00730EE0"/>
    <w:rsid w:val="007324BC"/>
    <w:rsid w:val="007347EA"/>
    <w:rsid w:val="0073615A"/>
    <w:rsid w:val="00740AAA"/>
    <w:rsid w:val="00741CFC"/>
    <w:rsid w:val="00741DD7"/>
    <w:rsid w:val="00744262"/>
    <w:rsid w:val="007454B3"/>
    <w:rsid w:val="00746673"/>
    <w:rsid w:val="00747057"/>
    <w:rsid w:val="0075186C"/>
    <w:rsid w:val="00753D54"/>
    <w:rsid w:val="00756813"/>
    <w:rsid w:val="007615EF"/>
    <w:rsid w:val="00761FF6"/>
    <w:rsid w:val="007636F4"/>
    <w:rsid w:val="00766F39"/>
    <w:rsid w:val="00770ACB"/>
    <w:rsid w:val="00771E4A"/>
    <w:rsid w:val="00774FB9"/>
    <w:rsid w:val="00780334"/>
    <w:rsid w:val="007841E5"/>
    <w:rsid w:val="00787B55"/>
    <w:rsid w:val="00791EAE"/>
    <w:rsid w:val="00794724"/>
    <w:rsid w:val="007952A8"/>
    <w:rsid w:val="007970C7"/>
    <w:rsid w:val="007A0870"/>
    <w:rsid w:val="007A1041"/>
    <w:rsid w:val="007A2DA7"/>
    <w:rsid w:val="007A3AD4"/>
    <w:rsid w:val="007A545D"/>
    <w:rsid w:val="007A5607"/>
    <w:rsid w:val="007A6C40"/>
    <w:rsid w:val="007A7670"/>
    <w:rsid w:val="007B0225"/>
    <w:rsid w:val="007B0943"/>
    <w:rsid w:val="007B0E12"/>
    <w:rsid w:val="007B1D75"/>
    <w:rsid w:val="007B1EF3"/>
    <w:rsid w:val="007B5AAB"/>
    <w:rsid w:val="007C1028"/>
    <w:rsid w:val="007C19A8"/>
    <w:rsid w:val="007C292D"/>
    <w:rsid w:val="007C4429"/>
    <w:rsid w:val="007D2A67"/>
    <w:rsid w:val="007D4181"/>
    <w:rsid w:val="007D6390"/>
    <w:rsid w:val="007E03CD"/>
    <w:rsid w:val="007E0594"/>
    <w:rsid w:val="007E10EB"/>
    <w:rsid w:val="007E5B08"/>
    <w:rsid w:val="007E5CC4"/>
    <w:rsid w:val="007E6EC9"/>
    <w:rsid w:val="007F074F"/>
    <w:rsid w:val="007F0D74"/>
    <w:rsid w:val="007F2A39"/>
    <w:rsid w:val="007F2DE8"/>
    <w:rsid w:val="007F6566"/>
    <w:rsid w:val="00800352"/>
    <w:rsid w:val="00802802"/>
    <w:rsid w:val="00804761"/>
    <w:rsid w:val="00805F55"/>
    <w:rsid w:val="00810B7B"/>
    <w:rsid w:val="00815306"/>
    <w:rsid w:val="00815651"/>
    <w:rsid w:val="00825CFB"/>
    <w:rsid w:val="00827835"/>
    <w:rsid w:val="00827BB6"/>
    <w:rsid w:val="00831693"/>
    <w:rsid w:val="00833C1F"/>
    <w:rsid w:val="00834030"/>
    <w:rsid w:val="0083633B"/>
    <w:rsid w:val="00843D24"/>
    <w:rsid w:val="008443B0"/>
    <w:rsid w:val="008462B1"/>
    <w:rsid w:val="008469D7"/>
    <w:rsid w:val="00851EC1"/>
    <w:rsid w:val="008555FB"/>
    <w:rsid w:val="00861FD5"/>
    <w:rsid w:val="00862C9F"/>
    <w:rsid w:val="00863BAD"/>
    <w:rsid w:val="008700C3"/>
    <w:rsid w:val="00870CFD"/>
    <w:rsid w:val="00872A4B"/>
    <w:rsid w:val="00882120"/>
    <w:rsid w:val="00886CB2"/>
    <w:rsid w:val="008902C8"/>
    <w:rsid w:val="00891D17"/>
    <w:rsid w:val="0089266C"/>
    <w:rsid w:val="00893AED"/>
    <w:rsid w:val="00893BD9"/>
    <w:rsid w:val="008A29AD"/>
    <w:rsid w:val="008A54C4"/>
    <w:rsid w:val="008A7B96"/>
    <w:rsid w:val="008B0B83"/>
    <w:rsid w:val="008B0F12"/>
    <w:rsid w:val="008B20AF"/>
    <w:rsid w:val="008B2308"/>
    <w:rsid w:val="008B2EF3"/>
    <w:rsid w:val="008B3689"/>
    <w:rsid w:val="008B4319"/>
    <w:rsid w:val="008B470E"/>
    <w:rsid w:val="008B4956"/>
    <w:rsid w:val="008B4EB8"/>
    <w:rsid w:val="008C10A0"/>
    <w:rsid w:val="008C2948"/>
    <w:rsid w:val="008C3ACA"/>
    <w:rsid w:val="008C5075"/>
    <w:rsid w:val="008C5535"/>
    <w:rsid w:val="008C6CF6"/>
    <w:rsid w:val="008C7E8B"/>
    <w:rsid w:val="008D20C1"/>
    <w:rsid w:val="008D28F9"/>
    <w:rsid w:val="008D2C7B"/>
    <w:rsid w:val="008D3696"/>
    <w:rsid w:val="008D6DBE"/>
    <w:rsid w:val="008E1797"/>
    <w:rsid w:val="008E19C3"/>
    <w:rsid w:val="008E1A32"/>
    <w:rsid w:val="008E2541"/>
    <w:rsid w:val="008E2A30"/>
    <w:rsid w:val="008E45F2"/>
    <w:rsid w:val="008E45F6"/>
    <w:rsid w:val="008E4EF4"/>
    <w:rsid w:val="008E606D"/>
    <w:rsid w:val="008E789F"/>
    <w:rsid w:val="008F06D0"/>
    <w:rsid w:val="008F0DB1"/>
    <w:rsid w:val="008F4992"/>
    <w:rsid w:val="008F567F"/>
    <w:rsid w:val="008F6553"/>
    <w:rsid w:val="008F6F75"/>
    <w:rsid w:val="008F74E9"/>
    <w:rsid w:val="008F75C6"/>
    <w:rsid w:val="00902A3F"/>
    <w:rsid w:val="00903A84"/>
    <w:rsid w:val="00904E3B"/>
    <w:rsid w:val="00905C2D"/>
    <w:rsid w:val="00905C4D"/>
    <w:rsid w:val="009073FB"/>
    <w:rsid w:val="009077C0"/>
    <w:rsid w:val="009120D2"/>
    <w:rsid w:val="009125CA"/>
    <w:rsid w:val="00922850"/>
    <w:rsid w:val="00924F9E"/>
    <w:rsid w:val="00925BED"/>
    <w:rsid w:val="00926A34"/>
    <w:rsid w:val="00927359"/>
    <w:rsid w:val="009275B4"/>
    <w:rsid w:val="00927637"/>
    <w:rsid w:val="00930C90"/>
    <w:rsid w:val="00933E6E"/>
    <w:rsid w:val="00935D14"/>
    <w:rsid w:val="00941AA0"/>
    <w:rsid w:val="00941EBE"/>
    <w:rsid w:val="00944FA7"/>
    <w:rsid w:val="00945422"/>
    <w:rsid w:val="00945875"/>
    <w:rsid w:val="00946A14"/>
    <w:rsid w:val="00950C4B"/>
    <w:rsid w:val="009523CF"/>
    <w:rsid w:val="0095386E"/>
    <w:rsid w:val="00953FC9"/>
    <w:rsid w:val="0095680B"/>
    <w:rsid w:val="00957FA2"/>
    <w:rsid w:val="00960ADF"/>
    <w:rsid w:val="00962153"/>
    <w:rsid w:val="00963C89"/>
    <w:rsid w:val="00964F25"/>
    <w:rsid w:val="009657C8"/>
    <w:rsid w:val="00965EEF"/>
    <w:rsid w:val="009667D4"/>
    <w:rsid w:val="00966D3B"/>
    <w:rsid w:val="009673CA"/>
    <w:rsid w:val="009720BC"/>
    <w:rsid w:val="009738E0"/>
    <w:rsid w:val="00974DD2"/>
    <w:rsid w:val="00975628"/>
    <w:rsid w:val="00977AE3"/>
    <w:rsid w:val="00981F76"/>
    <w:rsid w:val="009827D7"/>
    <w:rsid w:val="009831A6"/>
    <w:rsid w:val="00985BF6"/>
    <w:rsid w:val="00985CB5"/>
    <w:rsid w:val="00987E06"/>
    <w:rsid w:val="00990B01"/>
    <w:rsid w:val="00991180"/>
    <w:rsid w:val="00991606"/>
    <w:rsid w:val="009929A9"/>
    <w:rsid w:val="00997FC0"/>
    <w:rsid w:val="009A068D"/>
    <w:rsid w:val="009A09DE"/>
    <w:rsid w:val="009A4695"/>
    <w:rsid w:val="009A651D"/>
    <w:rsid w:val="009A6FD8"/>
    <w:rsid w:val="009B29E3"/>
    <w:rsid w:val="009B3316"/>
    <w:rsid w:val="009B7383"/>
    <w:rsid w:val="009B7888"/>
    <w:rsid w:val="009C194C"/>
    <w:rsid w:val="009C2ABD"/>
    <w:rsid w:val="009C45DD"/>
    <w:rsid w:val="009C46E6"/>
    <w:rsid w:val="009C50CB"/>
    <w:rsid w:val="009C5AF8"/>
    <w:rsid w:val="009C5FFF"/>
    <w:rsid w:val="009C677D"/>
    <w:rsid w:val="009C77C3"/>
    <w:rsid w:val="009D1D99"/>
    <w:rsid w:val="009D2AC8"/>
    <w:rsid w:val="009D530F"/>
    <w:rsid w:val="009D62D9"/>
    <w:rsid w:val="009E2442"/>
    <w:rsid w:val="009E2952"/>
    <w:rsid w:val="009E53FF"/>
    <w:rsid w:val="009E56A8"/>
    <w:rsid w:val="009E56CE"/>
    <w:rsid w:val="009E571A"/>
    <w:rsid w:val="009E6342"/>
    <w:rsid w:val="009E6B0E"/>
    <w:rsid w:val="009F3AC0"/>
    <w:rsid w:val="009F4968"/>
    <w:rsid w:val="009F50E1"/>
    <w:rsid w:val="009F515E"/>
    <w:rsid w:val="009F5595"/>
    <w:rsid w:val="009F6CCE"/>
    <w:rsid w:val="00A006B9"/>
    <w:rsid w:val="00A04718"/>
    <w:rsid w:val="00A049BF"/>
    <w:rsid w:val="00A06A45"/>
    <w:rsid w:val="00A12596"/>
    <w:rsid w:val="00A15E1A"/>
    <w:rsid w:val="00A20584"/>
    <w:rsid w:val="00A219C6"/>
    <w:rsid w:val="00A21AB7"/>
    <w:rsid w:val="00A315C9"/>
    <w:rsid w:val="00A31ACE"/>
    <w:rsid w:val="00A3311E"/>
    <w:rsid w:val="00A34020"/>
    <w:rsid w:val="00A34276"/>
    <w:rsid w:val="00A354C9"/>
    <w:rsid w:val="00A35FB1"/>
    <w:rsid w:val="00A447D8"/>
    <w:rsid w:val="00A45994"/>
    <w:rsid w:val="00A46DAF"/>
    <w:rsid w:val="00A47994"/>
    <w:rsid w:val="00A507AF"/>
    <w:rsid w:val="00A514EF"/>
    <w:rsid w:val="00A5238A"/>
    <w:rsid w:val="00A54FA8"/>
    <w:rsid w:val="00A5515D"/>
    <w:rsid w:val="00A554C8"/>
    <w:rsid w:val="00A55A81"/>
    <w:rsid w:val="00A5798E"/>
    <w:rsid w:val="00A62195"/>
    <w:rsid w:val="00A62E95"/>
    <w:rsid w:val="00A66188"/>
    <w:rsid w:val="00A6648C"/>
    <w:rsid w:val="00A70399"/>
    <w:rsid w:val="00A70C16"/>
    <w:rsid w:val="00A750A4"/>
    <w:rsid w:val="00A81525"/>
    <w:rsid w:val="00A819DD"/>
    <w:rsid w:val="00A826FB"/>
    <w:rsid w:val="00A82BDE"/>
    <w:rsid w:val="00A832C8"/>
    <w:rsid w:val="00A833D6"/>
    <w:rsid w:val="00A83616"/>
    <w:rsid w:val="00A8379E"/>
    <w:rsid w:val="00A8394C"/>
    <w:rsid w:val="00A83C81"/>
    <w:rsid w:val="00A8483E"/>
    <w:rsid w:val="00A86876"/>
    <w:rsid w:val="00A870D6"/>
    <w:rsid w:val="00A907CE"/>
    <w:rsid w:val="00A9253F"/>
    <w:rsid w:val="00A93EC4"/>
    <w:rsid w:val="00A946A8"/>
    <w:rsid w:val="00A9522E"/>
    <w:rsid w:val="00A95BB0"/>
    <w:rsid w:val="00AA0BAA"/>
    <w:rsid w:val="00AA0D6E"/>
    <w:rsid w:val="00AA2541"/>
    <w:rsid w:val="00AA295A"/>
    <w:rsid w:val="00AA2D08"/>
    <w:rsid w:val="00AA4DD4"/>
    <w:rsid w:val="00AA51C8"/>
    <w:rsid w:val="00AA6532"/>
    <w:rsid w:val="00AA6848"/>
    <w:rsid w:val="00AA6988"/>
    <w:rsid w:val="00AA6F26"/>
    <w:rsid w:val="00AA779B"/>
    <w:rsid w:val="00AB0102"/>
    <w:rsid w:val="00AB07C1"/>
    <w:rsid w:val="00AB12D7"/>
    <w:rsid w:val="00AB2C69"/>
    <w:rsid w:val="00AB3F5B"/>
    <w:rsid w:val="00AB5BD5"/>
    <w:rsid w:val="00AB5D62"/>
    <w:rsid w:val="00AC05A7"/>
    <w:rsid w:val="00AC0D90"/>
    <w:rsid w:val="00AC11AB"/>
    <w:rsid w:val="00AC2664"/>
    <w:rsid w:val="00AC312C"/>
    <w:rsid w:val="00AD1507"/>
    <w:rsid w:val="00AD20CC"/>
    <w:rsid w:val="00AD25DF"/>
    <w:rsid w:val="00AD2BE9"/>
    <w:rsid w:val="00AD2F14"/>
    <w:rsid w:val="00AD4879"/>
    <w:rsid w:val="00AD525D"/>
    <w:rsid w:val="00AD5B8A"/>
    <w:rsid w:val="00AD6528"/>
    <w:rsid w:val="00AD7275"/>
    <w:rsid w:val="00AE222C"/>
    <w:rsid w:val="00AE2E9A"/>
    <w:rsid w:val="00AE3DD4"/>
    <w:rsid w:val="00AE3E62"/>
    <w:rsid w:val="00AE4C10"/>
    <w:rsid w:val="00AE5247"/>
    <w:rsid w:val="00AE697F"/>
    <w:rsid w:val="00AE7D24"/>
    <w:rsid w:val="00AF157A"/>
    <w:rsid w:val="00AF1D2B"/>
    <w:rsid w:val="00AF2117"/>
    <w:rsid w:val="00AF268E"/>
    <w:rsid w:val="00AF4379"/>
    <w:rsid w:val="00AF5170"/>
    <w:rsid w:val="00AF5B0A"/>
    <w:rsid w:val="00AF6779"/>
    <w:rsid w:val="00AF751C"/>
    <w:rsid w:val="00B0008D"/>
    <w:rsid w:val="00B00C58"/>
    <w:rsid w:val="00B03641"/>
    <w:rsid w:val="00B0467C"/>
    <w:rsid w:val="00B04DA4"/>
    <w:rsid w:val="00B060D4"/>
    <w:rsid w:val="00B06C4E"/>
    <w:rsid w:val="00B07610"/>
    <w:rsid w:val="00B10EF6"/>
    <w:rsid w:val="00B11B0A"/>
    <w:rsid w:val="00B11E35"/>
    <w:rsid w:val="00B122FD"/>
    <w:rsid w:val="00B144AD"/>
    <w:rsid w:val="00B2186A"/>
    <w:rsid w:val="00B22806"/>
    <w:rsid w:val="00B2399A"/>
    <w:rsid w:val="00B25D2F"/>
    <w:rsid w:val="00B264C9"/>
    <w:rsid w:val="00B27A18"/>
    <w:rsid w:val="00B3599C"/>
    <w:rsid w:val="00B36280"/>
    <w:rsid w:val="00B37564"/>
    <w:rsid w:val="00B50AEA"/>
    <w:rsid w:val="00B50F32"/>
    <w:rsid w:val="00B5117F"/>
    <w:rsid w:val="00B51719"/>
    <w:rsid w:val="00B5195F"/>
    <w:rsid w:val="00B52966"/>
    <w:rsid w:val="00B53383"/>
    <w:rsid w:val="00B533AF"/>
    <w:rsid w:val="00B552D4"/>
    <w:rsid w:val="00B567FB"/>
    <w:rsid w:val="00B574A9"/>
    <w:rsid w:val="00B60380"/>
    <w:rsid w:val="00B6089E"/>
    <w:rsid w:val="00B61F97"/>
    <w:rsid w:val="00B67A57"/>
    <w:rsid w:val="00B67CA2"/>
    <w:rsid w:val="00B709D9"/>
    <w:rsid w:val="00B71ACD"/>
    <w:rsid w:val="00B7435A"/>
    <w:rsid w:val="00B75451"/>
    <w:rsid w:val="00B80108"/>
    <w:rsid w:val="00B823A6"/>
    <w:rsid w:val="00B82A8C"/>
    <w:rsid w:val="00B834D9"/>
    <w:rsid w:val="00B83A8C"/>
    <w:rsid w:val="00B84159"/>
    <w:rsid w:val="00B84194"/>
    <w:rsid w:val="00B85158"/>
    <w:rsid w:val="00B85C5A"/>
    <w:rsid w:val="00B85D15"/>
    <w:rsid w:val="00B871C9"/>
    <w:rsid w:val="00B87AE5"/>
    <w:rsid w:val="00B913F8"/>
    <w:rsid w:val="00B923F7"/>
    <w:rsid w:val="00B955D9"/>
    <w:rsid w:val="00B955DC"/>
    <w:rsid w:val="00B9604C"/>
    <w:rsid w:val="00BA2AFE"/>
    <w:rsid w:val="00BA4E96"/>
    <w:rsid w:val="00BB110B"/>
    <w:rsid w:val="00BB19F7"/>
    <w:rsid w:val="00BB2EDA"/>
    <w:rsid w:val="00BB2F36"/>
    <w:rsid w:val="00BB3B9F"/>
    <w:rsid w:val="00BB4D75"/>
    <w:rsid w:val="00BB5459"/>
    <w:rsid w:val="00BB5C03"/>
    <w:rsid w:val="00BB64E4"/>
    <w:rsid w:val="00BC1557"/>
    <w:rsid w:val="00BC15ED"/>
    <w:rsid w:val="00BC17F6"/>
    <w:rsid w:val="00BC1DF3"/>
    <w:rsid w:val="00BC1EC2"/>
    <w:rsid w:val="00BC225B"/>
    <w:rsid w:val="00BC3F6E"/>
    <w:rsid w:val="00BC5680"/>
    <w:rsid w:val="00BC6E5C"/>
    <w:rsid w:val="00BD0B09"/>
    <w:rsid w:val="00BD0B57"/>
    <w:rsid w:val="00BD210E"/>
    <w:rsid w:val="00BD2911"/>
    <w:rsid w:val="00BD53E2"/>
    <w:rsid w:val="00BE3776"/>
    <w:rsid w:val="00BE4AA8"/>
    <w:rsid w:val="00BE73B8"/>
    <w:rsid w:val="00BF0C8C"/>
    <w:rsid w:val="00BF2C39"/>
    <w:rsid w:val="00BF3ABC"/>
    <w:rsid w:val="00BF40DB"/>
    <w:rsid w:val="00BF4D3F"/>
    <w:rsid w:val="00BF5B1A"/>
    <w:rsid w:val="00BF7E78"/>
    <w:rsid w:val="00C00BCC"/>
    <w:rsid w:val="00C02F3F"/>
    <w:rsid w:val="00C05A95"/>
    <w:rsid w:val="00C071BD"/>
    <w:rsid w:val="00C10CD0"/>
    <w:rsid w:val="00C160E3"/>
    <w:rsid w:val="00C25D46"/>
    <w:rsid w:val="00C27F88"/>
    <w:rsid w:val="00C27FCE"/>
    <w:rsid w:val="00C328AB"/>
    <w:rsid w:val="00C36543"/>
    <w:rsid w:val="00C427DF"/>
    <w:rsid w:val="00C4285F"/>
    <w:rsid w:val="00C429BF"/>
    <w:rsid w:val="00C45CBE"/>
    <w:rsid w:val="00C4736D"/>
    <w:rsid w:val="00C47E1B"/>
    <w:rsid w:val="00C50C72"/>
    <w:rsid w:val="00C52B68"/>
    <w:rsid w:val="00C53722"/>
    <w:rsid w:val="00C53A27"/>
    <w:rsid w:val="00C54828"/>
    <w:rsid w:val="00C54923"/>
    <w:rsid w:val="00C55EFF"/>
    <w:rsid w:val="00C56008"/>
    <w:rsid w:val="00C561DB"/>
    <w:rsid w:val="00C56795"/>
    <w:rsid w:val="00C61769"/>
    <w:rsid w:val="00C6180A"/>
    <w:rsid w:val="00C63022"/>
    <w:rsid w:val="00C6318F"/>
    <w:rsid w:val="00C66CD8"/>
    <w:rsid w:val="00C7231C"/>
    <w:rsid w:val="00C760C5"/>
    <w:rsid w:val="00C76AE4"/>
    <w:rsid w:val="00C77C52"/>
    <w:rsid w:val="00C81EE8"/>
    <w:rsid w:val="00C81F94"/>
    <w:rsid w:val="00C84E78"/>
    <w:rsid w:val="00C8706C"/>
    <w:rsid w:val="00C87D9F"/>
    <w:rsid w:val="00C91F5F"/>
    <w:rsid w:val="00C92AA9"/>
    <w:rsid w:val="00C958DA"/>
    <w:rsid w:val="00C95AE8"/>
    <w:rsid w:val="00C965E3"/>
    <w:rsid w:val="00CA156F"/>
    <w:rsid w:val="00CA6A4D"/>
    <w:rsid w:val="00CB29A3"/>
    <w:rsid w:val="00CB2CDF"/>
    <w:rsid w:val="00CB51A4"/>
    <w:rsid w:val="00CB740C"/>
    <w:rsid w:val="00CB7764"/>
    <w:rsid w:val="00CB7877"/>
    <w:rsid w:val="00CC37DE"/>
    <w:rsid w:val="00CC5B93"/>
    <w:rsid w:val="00CC631A"/>
    <w:rsid w:val="00CD0CDF"/>
    <w:rsid w:val="00CD3219"/>
    <w:rsid w:val="00CD3256"/>
    <w:rsid w:val="00CD71D3"/>
    <w:rsid w:val="00CD7590"/>
    <w:rsid w:val="00CD7EBD"/>
    <w:rsid w:val="00CE19F4"/>
    <w:rsid w:val="00CE7486"/>
    <w:rsid w:val="00CF0028"/>
    <w:rsid w:val="00CF4650"/>
    <w:rsid w:val="00CF481E"/>
    <w:rsid w:val="00CF5A79"/>
    <w:rsid w:val="00CF7618"/>
    <w:rsid w:val="00CF793E"/>
    <w:rsid w:val="00D05520"/>
    <w:rsid w:val="00D057C1"/>
    <w:rsid w:val="00D1040C"/>
    <w:rsid w:val="00D107A8"/>
    <w:rsid w:val="00D16F30"/>
    <w:rsid w:val="00D17986"/>
    <w:rsid w:val="00D20EC8"/>
    <w:rsid w:val="00D21F39"/>
    <w:rsid w:val="00D222F9"/>
    <w:rsid w:val="00D224B9"/>
    <w:rsid w:val="00D22588"/>
    <w:rsid w:val="00D265F8"/>
    <w:rsid w:val="00D26754"/>
    <w:rsid w:val="00D301F5"/>
    <w:rsid w:val="00D334A7"/>
    <w:rsid w:val="00D35505"/>
    <w:rsid w:val="00D36A6C"/>
    <w:rsid w:val="00D412E2"/>
    <w:rsid w:val="00D465E5"/>
    <w:rsid w:val="00D46DDB"/>
    <w:rsid w:val="00D473CE"/>
    <w:rsid w:val="00D47ED6"/>
    <w:rsid w:val="00D51D19"/>
    <w:rsid w:val="00D54917"/>
    <w:rsid w:val="00D54F0F"/>
    <w:rsid w:val="00D5774C"/>
    <w:rsid w:val="00D579D4"/>
    <w:rsid w:val="00D611F0"/>
    <w:rsid w:val="00D61489"/>
    <w:rsid w:val="00D66C20"/>
    <w:rsid w:val="00D74304"/>
    <w:rsid w:val="00D80D77"/>
    <w:rsid w:val="00D82A8F"/>
    <w:rsid w:val="00D837BE"/>
    <w:rsid w:val="00D840EF"/>
    <w:rsid w:val="00D84177"/>
    <w:rsid w:val="00D843CD"/>
    <w:rsid w:val="00D84BC3"/>
    <w:rsid w:val="00D85AE2"/>
    <w:rsid w:val="00D87804"/>
    <w:rsid w:val="00D908AE"/>
    <w:rsid w:val="00D944E2"/>
    <w:rsid w:val="00D94747"/>
    <w:rsid w:val="00D95D40"/>
    <w:rsid w:val="00DA3B9D"/>
    <w:rsid w:val="00DA4489"/>
    <w:rsid w:val="00DA7D85"/>
    <w:rsid w:val="00DB0A0E"/>
    <w:rsid w:val="00DB11C9"/>
    <w:rsid w:val="00DB253A"/>
    <w:rsid w:val="00DB2DE8"/>
    <w:rsid w:val="00DC2B75"/>
    <w:rsid w:val="00DC32D6"/>
    <w:rsid w:val="00DC3B9A"/>
    <w:rsid w:val="00DC571D"/>
    <w:rsid w:val="00DC6365"/>
    <w:rsid w:val="00DC7143"/>
    <w:rsid w:val="00DC7FFC"/>
    <w:rsid w:val="00DD0B13"/>
    <w:rsid w:val="00DD453F"/>
    <w:rsid w:val="00DD4A4F"/>
    <w:rsid w:val="00DD73A2"/>
    <w:rsid w:val="00DD775F"/>
    <w:rsid w:val="00DD7C0A"/>
    <w:rsid w:val="00DE03F4"/>
    <w:rsid w:val="00DE19D0"/>
    <w:rsid w:val="00DE2751"/>
    <w:rsid w:val="00DE2FA5"/>
    <w:rsid w:val="00DE3447"/>
    <w:rsid w:val="00DE48D7"/>
    <w:rsid w:val="00DE5665"/>
    <w:rsid w:val="00DE5B9B"/>
    <w:rsid w:val="00DF0370"/>
    <w:rsid w:val="00DF31CB"/>
    <w:rsid w:val="00DF44A3"/>
    <w:rsid w:val="00DF7D65"/>
    <w:rsid w:val="00E04DB0"/>
    <w:rsid w:val="00E05B15"/>
    <w:rsid w:val="00E06D93"/>
    <w:rsid w:val="00E07445"/>
    <w:rsid w:val="00E109D7"/>
    <w:rsid w:val="00E11287"/>
    <w:rsid w:val="00E17620"/>
    <w:rsid w:val="00E20665"/>
    <w:rsid w:val="00E210F9"/>
    <w:rsid w:val="00E22178"/>
    <w:rsid w:val="00E24C80"/>
    <w:rsid w:val="00E25F53"/>
    <w:rsid w:val="00E2779D"/>
    <w:rsid w:val="00E335DF"/>
    <w:rsid w:val="00E33710"/>
    <w:rsid w:val="00E34EAE"/>
    <w:rsid w:val="00E3612C"/>
    <w:rsid w:val="00E40FAE"/>
    <w:rsid w:val="00E43442"/>
    <w:rsid w:val="00E4467E"/>
    <w:rsid w:val="00E46030"/>
    <w:rsid w:val="00E46293"/>
    <w:rsid w:val="00E51B5C"/>
    <w:rsid w:val="00E533D7"/>
    <w:rsid w:val="00E53E65"/>
    <w:rsid w:val="00E540F0"/>
    <w:rsid w:val="00E54161"/>
    <w:rsid w:val="00E541C0"/>
    <w:rsid w:val="00E5677F"/>
    <w:rsid w:val="00E56FB6"/>
    <w:rsid w:val="00E63490"/>
    <w:rsid w:val="00E66910"/>
    <w:rsid w:val="00E672EB"/>
    <w:rsid w:val="00E67D05"/>
    <w:rsid w:val="00E71EDB"/>
    <w:rsid w:val="00E71F4B"/>
    <w:rsid w:val="00E73DD4"/>
    <w:rsid w:val="00E752F4"/>
    <w:rsid w:val="00E801FA"/>
    <w:rsid w:val="00E82007"/>
    <w:rsid w:val="00E84508"/>
    <w:rsid w:val="00E8661F"/>
    <w:rsid w:val="00E9184D"/>
    <w:rsid w:val="00E9399E"/>
    <w:rsid w:val="00E94C15"/>
    <w:rsid w:val="00E96F51"/>
    <w:rsid w:val="00E97C66"/>
    <w:rsid w:val="00EA2E31"/>
    <w:rsid w:val="00EA3BFC"/>
    <w:rsid w:val="00EA67D3"/>
    <w:rsid w:val="00EB0E52"/>
    <w:rsid w:val="00EB1969"/>
    <w:rsid w:val="00EB237F"/>
    <w:rsid w:val="00EB38C8"/>
    <w:rsid w:val="00EB6148"/>
    <w:rsid w:val="00EB62FF"/>
    <w:rsid w:val="00EC0662"/>
    <w:rsid w:val="00EC1733"/>
    <w:rsid w:val="00EC17AC"/>
    <w:rsid w:val="00EC41F1"/>
    <w:rsid w:val="00EC5151"/>
    <w:rsid w:val="00ED1DFE"/>
    <w:rsid w:val="00ED1FE3"/>
    <w:rsid w:val="00ED32DD"/>
    <w:rsid w:val="00ED5302"/>
    <w:rsid w:val="00ED6391"/>
    <w:rsid w:val="00EE25B2"/>
    <w:rsid w:val="00EE40A4"/>
    <w:rsid w:val="00EE4EC1"/>
    <w:rsid w:val="00EE55B8"/>
    <w:rsid w:val="00EE6F3F"/>
    <w:rsid w:val="00EE7553"/>
    <w:rsid w:val="00EF00F3"/>
    <w:rsid w:val="00EF1BB8"/>
    <w:rsid w:val="00EF34BA"/>
    <w:rsid w:val="00EF4190"/>
    <w:rsid w:val="00EF6D0C"/>
    <w:rsid w:val="00EF7B29"/>
    <w:rsid w:val="00F036CF"/>
    <w:rsid w:val="00F04905"/>
    <w:rsid w:val="00F065F5"/>
    <w:rsid w:val="00F06884"/>
    <w:rsid w:val="00F06AAB"/>
    <w:rsid w:val="00F11504"/>
    <w:rsid w:val="00F117A9"/>
    <w:rsid w:val="00F133CD"/>
    <w:rsid w:val="00F143EF"/>
    <w:rsid w:val="00F148CC"/>
    <w:rsid w:val="00F166CC"/>
    <w:rsid w:val="00F1685C"/>
    <w:rsid w:val="00F20B51"/>
    <w:rsid w:val="00F2117C"/>
    <w:rsid w:val="00F2445B"/>
    <w:rsid w:val="00F265F7"/>
    <w:rsid w:val="00F30C4A"/>
    <w:rsid w:val="00F3167A"/>
    <w:rsid w:val="00F33887"/>
    <w:rsid w:val="00F358E0"/>
    <w:rsid w:val="00F44C4F"/>
    <w:rsid w:val="00F44E15"/>
    <w:rsid w:val="00F4667F"/>
    <w:rsid w:val="00F5129B"/>
    <w:rsid w:val="00F522B2"/>
    <w:rsid w:val="00F53563"/>
    <w:rsid w:val="00F539DC"/>
    <w:rsid w:val="00F55F61"/>
    <w:rsid w:val="00F56AB3"/>
    <w:rsid w:val="00F57A7A"/>
    <w:rsid w:val="00F57AFF"/>
    <w:rsid w:val="00F6123F"/>
    <w:rsid w:val="00F62840"/>
    <w:rsid w:val="00F62F56"/>
    <w:rsid w:val="00F62FE9"/>
    <w:rsid w:val="00F66BF9"/>
    <w:rsid w:val="00F70AF5"/>
    <w:rsid w:val="00F71AA1"/>
    <w:rsid w:val="00F77618"/>
    <w:rsid w:val="00F77D54"/>
    <w:rsid w:val="00F81E7E"/>
    <w:rsid w:val="00F83255"/>
    <w:rsid w:val="00F84CB8"/>
    <w:rsid w:val="00F87695"/>
    <w:rsid w:val="00F9135C"/>
    <w:rsid w:val="00F91BDA"/>
    <w:rsid w:val="00F93EDF"/>
    <w:rsid w:val="00F94BC5"/>
    <w:rsid w:val="00FA1F20"/>
    <w:rsid w:val="00FA30B6"/>
    <w:rsid w:val="00FA3628"/>
    <w:rsid w:val="00FA3A23"/>
    <w:rsid w:val="00FA4786"/>
    <w:rsid w:val="00FA6461"/>
    <w:rsid w:val="00FA68E6"/>
    <w:rsid w:val="00FA7E57"/>
    <w:rsid w:val="00FB3D2C"/>
    <w:rsid w:val="00FB541F"/>
    <w:rsid w:val="00FB5F81"/>
    <w:rsid w:val="00FB68EB"/>
    <w:rsid w:val="00FB7D2D"/>
    <w:rsid w:val="00FD301E"/>
    <w:rsid w:val="00FD3414"/>
    <w:rsid w:val="00FD3A46"/>
    <w:rsid w:val="00FD4EFD"/>
    <w:rsid w:val="00FE1C0B"/>
    <w:rsid w:val="00FE22F1"/>
    <w:rsid w:val="00FE2C6F"/>
    <w:rsid w:val="00FE356A"/>
    <w:rsid w:val="00FE3A81"/>
    <w:rsid w:val="00FE3EA5"/>
    <w:rsid w:val="00FE5DC7"/>
    <w:rsid w:val="00FE678B"/>
    <w:rsid w:val="00FE70C8"/>
    <w:rsid w:val="00FE7935"/>
    <w:rsid w:val="00FF0598"/>
    <w:rsid w:val="00FF0EDC"/>
    <w:rsid w:val="00FF124B"/>
    <w:rsid w:val="00FF3642"/>
    <w:rsid w:val="00FF3C4F"/>
    <w:rsid w:val="00FF6B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54"/>
        <o:r id="V:Rule2" type="connector" idref="#_s1040">
          <o:proxy start="" idref="#_s1042" connectloc="0"/>
          <o:proxy end="" idref="#_s1041" connectloc="2"/>
        </o:r>
        <o:r id="V:Rule3" type="connector" idref="#_s1038">
          <o:proxy start="" idref="#_s1044" connectloc="0"/>
          <o:proxy end="" idref="#_s1043" connectloc="2"/>
        </o:r>
        <o:r id="V:Rule4" type="connector" idref="#_s1035">
          <o:proxy start="" idref="#_s1047" connectloc="1"/>
          <o:proxy end="" idref="#_s1045" connectloc="2"/>
        </o:r>
        <o:r id="V:Rule5" type="connector" idref="#_s1039">
          <o:proxy start="" idref="#_s1043" connectloc="0"/>
          <o:proxy end="" idref="#_s1041" connectloc="2"/>
        </o:r>
        <o:r id="V:Rule6" type="connector" idref="#_s1036">
          <o:proxy start="" idref="#_s1046" connectloc="3"/>
          <o:proxy end="" idref="#_s1044" connectloc="2"/>
        </o:r>
        <o:r id="V:Rule7" type="connector" idref="#_s1034">
          <o:proxy start="" idref="#_s1048" connectloc="0"/>
          <o:proxy end="" idref="#_s1046" connectloc="2"/>
        </o:r>
        <o:r id="V:Rule8" type="connector" idref="#_s1030">
          <o:proxy start="" idref="#_s1052" connectloc="1"/>
          <o:proxy end="" idref="#_s1047" connectloc="2"/>
        </o:r>
        <o:r id="V:Rule9" type="connector" idref="#_s1033">
          <o:proxy start="" idref="#_s1049" connectloc="1"/>
          <o:proxy end="" idref="#_s1048" connectloc="2"/>
        </o:r>
        <o:r id="V:Rule10" type="connector" idref="#_s1032">
          <o:proxy start="" idref="#_s1050" connectloc="1"/>
          <o:proxy end="" idref="#_s1049" connectloc="2"/>
        </o:r>
        <o:r id="V:Rule11" type="connector" idref="#_s1037">
          <o:proxy start="" idref="#_s1045" connectloc="1"/>
          <o:proxy end="" idref="#_s1044" connectloc="2"/>
        </o:r>
        <o:r id="V:Rule12" type="connector" idref="#_s1029">
          <o:proxy start="" idref="#_s1053" connectloc="1"/>
          <o:proxy end="" idref="#_s1052" connectloc="2"/>
        </o:r>
        <o:r id="V:Rule13" type="connector" idref="#_s1031">
          <o:proxy start="" idref="#_s1051" connectloc="1"/>
          <o:proxy end="" idref="#_s1050"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949D6"/>
    <w:rPr>
      <w:sz w:val="24"/>
      <w:szCs w:val="24"/>
      <w:lang w:eastAsia="en-US"/>
    </w:rPr>
  </w:style>
  <w:style w:type="paragraph" w:styleId="1">
    <w:name w:val="heading 1"/>
    <w:basedOn w:val="a"/>
    <w:next w:val="a"/>
    <w:link w:val="1Char"/>
    <w:uiPriority w:val="99"/>
    <w:qFormat/>
    <w:rsid w:val="003949D6"/>
    <w:pPr>
      <w:keepNext/>
      <w:spacing w:before="240" w:after="60"/>
      <w:outlineLvl w:val="0"/>
    </w:pPr>
    <w:rPr>
      <w:rFonts w:ascii="Cambria" w:hAnsi="Cambria"/>
      <w:b/>
      <w:bCs/>
      <w:kern w:val="32"/>
      <w:sz w:val="32"/>
      <w:szCs w:val="32"/>
      <w:lang w:val="en-GB" w:eastAsia="ja-JP"/>
    </w:rPr>
  </w:style>
  <w:style w:type="paragraph" w:styleId="2">
    <w:name w:val="heading 2"/>
    <w:basedOn w:val="a"/>
    <w:next w:val="a"/>
    <w:link w:val="2Char"/>
    <w:uiPriority w:val="99"/>
    <w:qFormat/>
    <w:rsid w:val="003949D6"/>
    <w:pPr>
      <w:keepNext/>
      <w:spacing w:before="240" w:after="60"/>
      <w:outlineLvl w:val="1"/>
    </w:pPr>
    <w:rPr>
      <w:rFonts w:ascii="Cambria" w:hAnsi="Cambria"/>
      <w:b/>
      <w:bCs/>
      <w:i/>
      <w:iCs/>
      <w:sz w:val="28"/>
      <w:szCs w:val="28"/>
      <w:lang w:val="en-GB" w:eastAsia="ja-JP"/>
    </w:rPr>
  </w:style>
  <w:style w:type="paragraph" w:styleId="3">
    <w:name w:val="heading 3"/>
    <w:basedOn w:val="a"/>
    <w:next w:val="a"/>
    <w:link w:val="3Char"/>
    <w:uiPriority w:val="99"/>
    <w:qFormat/>
    <w:rsid w:val="003949D6"/>
    <w:pPr>
      <w:keepNext/>
      <w:spacing w:before="240" w:after="60"/>
      <w:outlineLvl w:val="2"/>
    </w:pPr>
    <w:rPr>
      <w:rFonts w:ascii="Cambria" w:hAnsi="Cambria"/>
      <w:b/>
      <w:bCs/>
      <w:sz w:val="26"/>
      <w:szCs w:val="26"/>
      <w:lang w:val="en-GB" w:eastAsia="ja-JP"/>
    </w:rPr>
  </w:style>
  <w:style w:type="paragraph" w:styleId="4">
    <w:name w:val="heading 4"/>
    <w:basedOn w:val="a"/>
    <w:next w:val="a"/>
    <w:link w:val="4Char"/>
    <w:uiPriority w:val="99"/>
    <w:qFormat/>
    <w:rsid w:val="003949D6"/>
    <w:pPr>
      <w:keepNext/>
      <w:spacing w:before="240" w:after="60"/>
      <w:outlineLvl w:val="3"/>
    </w:pPr>
    <w:rPr>
      <w:b/>
      <w:bCs/>
      <w:sz w:val="28"/>
      <w:szCs w:val="28"/>
      <w:lang w:val="en-GB" w:eastAsia="ja-JP"/>
    </w:rPr>
  </w:style>
  <w:style w:type="paragraph" w:styleId="5">
    <w:name w:val="heading 5"/>
    <w:basedOn w:val="a"/>
    <w:next w:val="a"/>
    <w:link w:val="5Char"/>
    <w:uiPriority w:val="99"/>
    <w:qFormat/>
    <w:rsid w:val="003949D6"/>
    <w:pPr>
      <w:spacing w:before="240" w:after="60"/>
      <w:outlineLvl w:val="4"/>
    </w:pPr>
    <w:rPr>
      <w:b/>
      <w:bCs/>
      <w:i/>
      <w:iCs/>
      <w:sz w:val="26"/>
      <w:szCs w:val="26"/>
      <w:lang w:val="en-GB" w:eastAsia="ja-JP"/>
    </w:rPr>
  </w:style>
  <w:style w:type="paragraph" w:styleId="6">
    <w:name w:val="heading 6"/>
    <w:basedOn w:val="a"/>
    <w:next w:val="a"/>
    <w:link w:val="6Char"/>
    <w:uiPriority w:val="99"/>
    <w:qFormat/>
    <w:rsid w:val="003949D6"/>
    <w:pPr>
      <w:spacing w:before="240" w:after="60"/>
      <w:outlineLvl w:val="5"/>
    </w:pPr>
    <w:rPr>
      <w:b/>
      <w:bCs/>
      <w:sz w:val="20"/>
      <w:szCs w:val="20"/>
      <w:lang w:val="en-GB" w:eastAsia="ja-JP"/>
    </w:rPr>
  </w:style>
  <w:style w:type="paragraph" w:styleId="7">
    <w:name w:val="heading 7"/>
    <w:basedOn w:val="a"/>
    <w:next w:val="a"/>
    <w:link w:val="7Char"/>
    <w:uiPriority w:val="99"/>
    <w:qFormat/>
    <w:rsid w:val="003949D6"/>
    <w:pPr>
      <w:spacing w:before="240" w:after="60"/>
      <w:outlineLvl w:val="6"/>
    </w:pPr>
    <w:rPr>
      <w:lang w:val="en-GB" w:eastAsia="ja-JP"/>
    </w:rPr>
  </w:style>
  <w:style w:type="paragraph" w:styleId="8">
    <w:name w:val="heading 8"/>
    <w:basedOn w:val="a"/>
    <w:next w:val="a"/>
    <w:link w:val="8Char"/>
    <w:uiPriority w:val="99"/>
    <w:qFormat/>
    <w:rsid w:val="003949D6"/>
    <w:pPr>
      <w:spacing w:before="240" w:after="60"/>
      <w:outlineLvl w:val="7"/>
    </w:pPr>
    <w:rPr>
      <w:i/>
      <w:iCs/>
      <w:lang w:val="en-GB" w:eastAsia="ja-JP"/>
    </w:rPr>
  </w:style>
  <w:style w:type="paragraph" w:styleId="9">
    <w:name w:val="heading 9"/>
    <w:basedOn w:val="a"/>
    <w:next w:val="a"/>
    <w:link w:val="9Char"/>
    <w:uiPriority w:val="99"/>
    <w:qFormat/>
    <w:rsid w:val="003949D6"/>
    <w:pPr>
      <w:spacing w:before="240" w:after="60"/>
      <w:outlineLvl w:val="8"/>
    </w:pPr>
    <w:rPr>
      <w:rFonts w:ascii="Cambria" w:hAnsi="Cambria"/>
      <w:sz w:val="20"/>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949D6"/>
    <w:rPr>
      <w:rFonts w:ascii="Cambria" w:hAnsi="Cambria" w:cs="Times New Roman"/>
      <w:b/>
      <w:kern w:val="32"/>
      <w:sz w:val="32"/>
    </w:rPr>
  </w:style>
  <w:style w:type="character" w:customStyle="1" w:styleId="2Char">
    <w:name w:val="标题 2 Char"/>
    <w:link w:val="2"/>
    <w:uiPriority w:val="99"/>
    <w:semiHidden/>
    <w:locked/>
    <w:rsid w:val="003949D6"/>
    <w:rPr>
      <w:rFonts w:ascii="Cambria" w:hAnsi="Cambria" w:cs="Times New Roman"/>
      <w:b/>
      <w:i/>
      <w:sz w:val="28"/>
    </w:rPr>
  </w:style>
  <w:style w:type="character" w:customStyle="1" w:styleId="3Char">
    <w:name w:val="标题 3 Char"/>
    <w:link w:val="3"/>
    <w:uiPriority w:val="99"/>
    <w:semiHidden/>
    <w:locked/>
    <w:rsid w:val="003949D6"/>
    <w:rPr>
      <w:rFonts w:ascii="Cambria" w:hAnsi="Cambria" w:cs="Times New Roman"/>
      <w:b/>
      <w:sz w:val="26"/>
    </w:rPr>
  </w:style>
  <w:style w:type="character" w:customStyle="1" w:styleId="4Char">
    <w:name w:val="标题 4 Char"/>
    <w:link w:val="4"/>
    <w:uiPriority w:val="99"/>
    <w:locked/>
    <w:rsid w:val="003949D6"/>
    <w:rPr>
      <w:rFonts w:cs="Times New Roman"/>
      <w:b/>
      <w:sz w:val="28"/>
    </w:rPr>
  </w:style>
  <w:style w:type="character" w:customStyle="1" w:styleId="5Char">
    <w:name w:val="标题 5 Char"/>
    <w:link w:val="5"/>
    <w:uiPriority w:val="99"/>
    <w:semiHidden/>
    <w:locked/>
    <w:rsid w:val="003949D6"/>
    <w:rPr>
      <w:rFonts w:cs="Times New Roman"/>
      <w:b/>
      <w:i/>
      <w:sz w:val="26"/>
    </w:rPr>
  </w:style>
  <w:style w:type="character" w:customStyle="1" w:styleId="6Char">
    <w:name w:val="标题 6 Char"/>
    <w:link w:val="6"/>
    <w:uiPriority w:val="99"/>
    <w:semiHidden/>
    <w:locked/>
    <w:rsid w:val="003949D6"/>
    <w:rPr>
      <w:rFonts w:cs="Times New Roman"/>
      <w:b/>
    </w:rPr>
  </w:style>
  <w:style w:type="character" w:customStyle="1" w:styleId="7Char">
    <w:name w:val="标题 7 Char"/>
    <w:link w:val="7"/>
    <w:uiPriority w:val="99"/>
    <w:semiHidden/>
    <w:locked/>
    <w:rsid w:val="003949D6"/>
    <w:rPr>
      <w:rFonts w:cs="Times New Roman"/>
      <w:sz w:val="24"/>
    </w:rPr>
  </w:style>
  <w:style w:type="character" w:customStyle="1" w:styleId="8Char">
    <w:name w:val="标题 8 Char"/>
    <w:link w:val="8"/>
    <w:uiPriority w:val="99"/>
    <w:semiHidden/>
    <w:locked/>
    <w:rsid w:val="003949D6"/>
    <w:rPr>
      <w:rFonts w:cs="Times New Roman"/>
      <w:i/>
      <w:sz w:val="24"/>
    </w:rPr>
  </w:style>
  <w:style w:type="character" w:customStyle="1" w:styleId="9Char">
    <w:name w:val="标题 9 Char"/>
    <w:link w:val="9"/>
    <w:uiPriority w:val="99"/>
    <w:semiHidden/>
    <w:locked/>
    <w:rsid w:val="003949D6"/>
    <w:rPr>
      <w:rFonts w:ascii="Cambria" w:hAnsi="Cambria" w:cs="Times New Roman"/>
    </w:rPr>
  </w:style>
  <w:style w:type="paragraph" w:styleId="a3">
    <w:name w:val="List Paragraph"/>
    <w:basedOn w:val="a"/>
    <w:uiPriority w:val="99"/>
    <w:qFormat/>
    <w:rsid w:val="003949D6"/>
    <w:pPr>
      <w:ind w:left="720"/>
      <w:contextualSpacing/>
    </w:pPr>
  </w:style>
  <w:style w:type="paragraph" w:customStyle="1" w:styleId="fulltext-references">
    <w:name w:val="fulltext-references"/>
    <w:basedOn w:val="a"/>
    <w:uiPriority w:val="99"/>
    <w:rsid w:val="00DD0B13"/>
    <w:pPr>
      <w:spacing w:before="100" w:beforeAutospacing="1" w:after="100" w:afterAutospacing="1"/>
    </w:pPr>
    <w:rPr>
      <w:rFonts w:ascii="Times New Roman" w:hAnsi="Times New Roman"/>
      <w:lang w:val="en-GB" w:eastAsia="en-GB"/>
    </w:rPr>
  </w:style>
  <w:style w:type="character" w:customStyle="1" w:styleId="fulltext-bd1">
    <w:name w:val="fulltext-bd1"/>
    <w:uiPriority w:val="99"/>
    <w:rsid w:val="00DD0B13"/>
    <w:rPr>
      <w:b/>
      <w:sz w:val="22"/>
    </w:rPr>
  </w:style>
  <w:style w:type="character" w:customStyle="1" w:styleId="fulltext-it1">
    <w:name w:val="fulltext-it1"/>
    <w:uiPriority w:val="99"/>
    <w:rsid w:val="00DD0B13"/>
    <w:rPr>
      <w:i/>
      <w:sz w:val="22"/>
    </w:rPr>
  </w:style>
  <w:style w:type="character" w:customStyle="1" w:styleId="highlight">
    <w:name w:val="highlight"/>
    <w:uiPriority w:val="99"/>
    <w:rsid w:val="0036460F"/>
  </w:style>
  <w:style w:type="character" w:customStyle="1" w:styleId="slug-pop-date">
    <w:name w:val="slug-pop-date"/>
    <w:uiPriority w:val="99"/>
    <w:rsid w:val="003014DD"/>
  </w:style>
  <w:style w:type="character" w:customStyle="1" w:styleId="pop-slug">
    <w:name w:val="pop-slug"/>
    <w:uiPriority w:val="99"/>
    <w:rsid w:val="003014DD"/>
  </w:style>
  <w:style w:type="character" w:styleId="a4">
    <w:name w:val="Hyperlink"/>
    <w:uiPriority w:val="99"/>
    <w:semiHidden/>
    <w:rsid w:val="00D47ED6"/>
    <w:rPr>
      <w:rFonts w:cs="Times New Roman"/>
      <w:color w:val="0000FF"/>
      <w:u w:val="single"/>
    </w:rPr>
  </w:style>
  <w:style w:type="paragraph" w:styleId="a5">
    <w:name w:val="Title"/>
    <w:basedOn w:val="a"/>
    <w:next w:val="a"/>
    <w:link w:val="Char"/>
    <w:uiPriority w:val="99"/>
    <w:qFormat/>
    <w:rsid w:val="003949D6"/>
    <w:pPr>
      <w:spacing w:before="240" w:after="60"/>
      <w:jc w:val="center"/>
      <w:outlineLvl w:val="0"/>
    </w:pPr>
    <w:rPr>
      <w:rFonts w:ascii="Cambria" w:hAnsi="Cambria"/>
      <w:b/>
      <w:bCs/>
      <w:kern w:val="28"/>
      <w:sz w:val="32"/>
      <w:szCs w:val="32"/>
      <w:lang w:val="en-GB" w:eastAsia="ja-JP"/>
    </w:rPr>
  </w:style>
  <w:style w:type="character" w:customStyle="1" w:styleId="Char">
    <w:name w:val="标题 Char"/>
    <w:link w:val="a5"/>
    <w:uiPriority w:val="99"/>
    <w:locked/>
    <w:rsid w:val="003949D6"/>
    <w:rPr>
      <w:rFonts w:ascii="Cambria" w:hAnsi="Cambria" w:cs="Times New Roman"/>
      <w:b/>
      <w:kern w:val="28"/>
      <w:sz w:val="32"/>
    </w:rPr>
  </w:style>
  <w:style w:type="paragraph" w:styleId="a6">
    <w:name w:val="Subtitle"/>
    <w:basedOn w:val="a"/>
    <w:next w:val="a"/>
    <w:link w:val="Char0"/>
    <w:uiPriority w:val="99"/>
    <w:qFormat/>
    <w:rsid w:val="003949D6"/>
    <w:pPr>
      <w:spacing w:after="60"/>
      <w:jc w:val="center"/>
      <w:outlineLvl w:val="1"/>
    </w:pPr>
    <w:rPr>
      <w:rFonts w:ascii="Cambria" w:hAnsi="Cambria"/>
      <w:lang w:val="en-GB" w:eastAsia="ja-JP"/>
    </w:rPr>
  </w:style>
  <w:style w:type="character" w:customStyle="1" w:styleId="Char0">
    <w:name w:val="副标题 Char"/>
    <w:link w:val="a6"/>
    <w:uiPriority w:val="99"/>
    <w:locked/>
    <w:rsid w:val="003949D6"/>
    <w:rPr>
      <w:rFonts w:ascii="Cambria" w:hAnsi="Cambria" w:cs="Times New Roman"/>
      <w:sz w:val="24"/>
    </w:rPr>
  </w:style>
  <w:style w:type="character" w:styleId="a7">
    <w:name w:val="Strong"/>
    <w:uiPriority w:val="99"/>
    <w:qFormat/>
    <w:rsid w:val="003949D6"/>
    <w:rPr>
      <w:rFonts w:cs="Times New Roman"/>
      <w:b/>
    </w:rPr>
  </w:style>
  <w:style w:type="character" w:styleId="a8">
    <w:name w:val="Emphasis"/>
    <w:uiPriority w:val="99"/>
    <w:qFormat/>
    <w:rsid w:val="003949D6"/>
    <w:rPr>
      <w:rFonts w:ascii="Calibri" w:hAnsi="Calibri" w:cs="Times New Roman"/>
      <w:b/>
      <w:i/>
    </w:rPr>
  </w:style>
  <w:style w:type="paragraph" w:styleId="a9">
    <w:name w:val="No Spacing"/>
    <w:basedOn w:val="a"/>
    <w:uiPriority w:val="99"/>
    <w:qFormat/>
    <w:rsid w:val="003949D6"/>
    <w:rPr>
      <w:szCs w:val="32"/>
    </w:rPr>
  </w:style>
  <w:style w:type="paragraph" w:styleId="aa">
    <w:name w:val="Quote"/>
    <w:basedOn w:val="a"/>
    <w:next w:val="a"/>
    <w:link w:val="Char1"/>
    <w:uiPriority w:val="99"/>
    <w:qFormat/>
    <w:rsid w:val="003949D6"/>
    <w:rPr>
      <w:i/>
      <w:lang w:val="en-GB" w:eastAsia="ja-JP"/>
    </w:rPr>
  </w:style>
  <w:style w:type="character" w:customStyle="1" w:styleId="Char1">
    <w:name w:val="引用 Char"/>
    <w:link w:val="aa"/>
    <w:uiPriority w:val="99"/>
    <w:locked/>
    <w:rsid w:val="003949D6"/>
    <w:rPr>
      <w:rFonts w:cs="Times New Roman"/>
      <w:i/>
      <w:sz w:val="24"/>
    </w:rPr>
  </w:style>
  <w:style w:type="paragraph" w:styleId="ab">
    <w:name w:val="Intense Quote"/>
    <w:basedOn w:val="a"/>
    <w:next w:val="a"/>
    <w:link w:val="Char2"/>
    <w:uiPriority w:val="99"/>
    <w:qFormat/>
    <w:rsid w:val="003949D6"/>
    <w:pPr>
      <w:ind w:left="720" w:right="720"/>
    </w:pPr>
    <w:rPr>
      <w:b/>
      <w:i/>
      <w:szCs w:val="20"/>
      <w:lang w:val="en-GB" w:eastAsia="ja-JP"/>
    </w:rPr>
  </w:style>
  <w:style w:type="character" w:customStyle="1" w:styleId="Char2">
    <w:name w:val="明显引用 Char"/>
    <w:link w:val="ab"/>
    <w:uiPriority w:val="99"/>
    <w:locked/>
    <w:rsid w:val="003949D6"/>
    <w:rPr>
      <w:rFonts w:cs="Times New Roman"/>
      <w:b/>
      <w:i/>
      <w:sz w:val="24"/>
    </w:rPr>
  </w:style>
  <w:style w:type="character" w:styleId="ac">
    <w:name w:val="Subtle Emphasis"/>
    <w:uiPriority w:val="99"/>
    <w:qFormat/>
    <w:rsid w:val="003949D6"/>
    <w:rPr>
      <w:rFonts w:cs="Times New Roman"/>
      <w:i/>
      <w:color w:val="5A5A5A"/>
    </w:rPr>
  </w:style>
  <w:style w:type="character" w:styleId="ad">
    <w:name w:val="Intense Emphasis"/>
    <w:uiPriority w:val="99"/>
    <w:qFormat/>
    <w:rsid w:val="003949D6"/>
    <w:rPr>
      <w:rFonts w:cs="Times New Roman"/>
      <w:b/>
      <w:i/>
      <w:sz w:val="24"/>
      <w:u w:val="single"/>
    </w:rPr>
  </w:style>
  <w:style w:type="character" w:styleId="ae">
    <w:name w:val="Subtle Reference"/>
    <w:uiPriority w:val="99"/>
    <w:qFormat/>
    <w:rsid w:val="003949D6"/>
    <w:rPr>
      <w:rFonts w:cs="Times New Roman"/>
      <w:sz w:val="24"/>
      <w:u w:val="single"/>
    </w:rPr>
  </w:style>
  <w:style w:type="character" w:styleId="af">
    <w:name w:val="Intense Reference"/>
    <w:uiPriority w:val="99"/>
    <w:qFormat/>
    <w:rsid w:val="003949D6"/>
    <w:rPr>
      <w:rFonts w:cs="Times New Roman"/>
      <w:b/>
      <w:sz w:val="24"/>
      <w:u w:val="single"/>
    </w:rPr>
  </w:style>
  <w:style w:type="character" w:styleId="af0">
    <w:name w:val="Book Title"/>
    <w:uiPriority w:val="99"/>
    <w:qFormat/>
    <w:rsid w:val="003949D6"/>
    <w:rPr>
      <w:rFonts w:ascii="Cambria" w:hAnsi="Cambria" w:cs="Times New Roman"/>
      <w:b/>
      <w:i/>
      <w:sz w:val="24"/>
    </w:rPr>
  </w:style>
  <w:style w:type="paragraph" w:styleId="TOC">
    <w:name w:val="TOC Heading"/>
    <w:basedOn w:val="1"/>
    <w:next w:val="a"/>
    <w:uiPriority w:val="99"/>
    <w:qFormat/>
    <w:rsid w:val="003949D6"/>
    <w:pPr>
      <w:outlineLvl w:val="9"/>
    </w:pPr>
  </w:style>
  <w:style w:type="paragraph" w:styleId="af1">
    <w:name w:val="header"/>
    <w:basedOn w:val="a"/>
    <w:link w:val="Char3"/>
    <w:uiPriority w:val="99"/>
    <w:semiHidden/>
    <w:rsid w:val="009A068D"/>
    <w:pPr>
      <w:tabs>
        <w:tab w:val="center" w:pos="4153"/>
        <w:tab w:val="right" w:pos="8306"/>
      </w:tabs>
    </w:pPr>
    <w:rPr>
      <w:lang w:val="en-GB" w:eastAsia="ja-JP"/>
    </w:rPr>
  </w:style>
  <w:style w:type="character" w:customStyle="1" w:styleId="Char3">
    <w:name w:val="页眉 Char"/>
    <w:link w:val="af1"/>
    <w:uiPriority w:val="99"/>
    <w:semiHidden/>
    <w:locked/>
    <w:rsid w:val="009A068D"/>
    <w:rPr>
      <w:rFonts w:cs="Times New Roman"/>
      <w:sz w:val="24"/>
    </w:rPr>
  </w:style>
  <w:style w:type="paragraph" w:styleId="af2">
    <w:name w:val="footer"/>
    <w:basedOn w:val="a"/>
    <w:link w:val="Char4"/>
    <w:uiPriority w:val="99"/>
    <w:semiHidden/>
    <w:rsid w:val="009A068D"/>
    <w:pPr>
      <w:tabs>
        <w:tab w:val="center" w:pos="4153"/>
        <w:tab w:val="right" w:pos="8306"/>
      </w:tabs>
    </w:pPr>
    <w:rPr>
      <w:lang w:val="en-GB" w:eastAsia="ja-JP"/>
    </w:rPr>
  </w:style>
  <w:style w:type="character" w:customStyle="1" w:styleId="Char4">
    <w:name w:val="页脚 Char"/>
    <w:link w:val="af2"/>
    <w:uiPriority w:val="99"/>
    <w:semiHidden/>
    <w:locked/>
    <w:rsid w:val="009A068D"/>
    <w:rPr>
      <w:rFonts w:cs="Times New Roman"/>
      <w:sz w:val="24"/>
    </w:rPr>
  </w:style>
  <w:style w:type="character" w:customStyle="1" w:styleId="jrnl">
    <w:name w:val="jrnl"/>
    <w:uiPriority w:val="99"/>
    <w:rsid w:val="003C18D4"/>
  </w:style>
  <w:style w:type="character" w:styleId="af3">
    <w:name w:val="annotation reference"/>
    <w:uiPriority w:val="99"/>
    <w:semiHidden/>
    <w:locked/>
    <w:rsid w:val="005C75C0"/>
    <w:rPr>
      <w:rFonts w:cs="Times New Roman"/>
      <w:sz w:val="16"/>
    </w:rPr>
  </w:style>
  <w:style w:type="paragraph" w:styleId="af4">
    <w:name w:val="annotation text"/>
    <w:basedOn w:val="a"/>
    <w:link w:val="Char5"/>
    <w:uiPriority w:val="99"/>
    <w:locked/>
    <w:rsid w:val="005C75C0"/>
    <w:rPr>
      <w:sz w:val="20"/>
      <w:szCs w:val="20"/>
    </w:rPr>
  </w:style>
  <w:style w:type="character" w:customStyle="1" w:styleId="Char5">
    <w:name w:val="批注文字 Char"/>
    <w:link w:val="af4"/>
    <w:uiPriority w:val="99"/>
    <w:locked/>
    <w:rsid w:val="005C75C0"/>
    <w:rPr>
      <w:rFonts w:cs="Times New Roman"/>
      <w:sz w:val="20"/>
      <w:lang w:val="en-US" w:eastAsia="en-US"/>
    </w:rPr>
  </w:style>
  <w:style w:type="paragraph" w:styleId="af5">
    <w:name w:val="annotation subject"/>
    <w:basedOn w:val="af4"/>
    <w:next w:val="af4"/>
    <w:link w:val="Char6"/>
    <w:uiPriority w:val="99"/>
    <w:semiHidden/>
    <w:locked/>
    <w:rsid w:val="005C75C0"/>
    <w:rPr>
      <w:b/>
      <w:bCs/>
    </w:rPr>
  </w:style>
  <w:style w:type="character" w:customStyle="1" w:styleId="Char6">
    <w:name w:val="批注主题 Char"/>
    <w:link w:val="af5"/>
    <w:uiPriority w:val="99"/>
    <w:semiHidden/>
    <w:locked/>
    <w:rsid w:val="005C75C0"/>
    <w:rPr>
      <w:rFonts w:cs="Times New Roman"/>
      <w:b/>
      <w:sz w:val="20"/>
      <w:lang w:val="en-US" w:eastAsia="en-US"/>
    </w:rPr>
  </w:style>
  <w:style w:type="paragraph" w:styleId="af6">
    <w:name w:val="Balloon Text"/>
    <w:basedOn w:val="a"/>
    <w:link w:val="Char7"/>
    <w:uiPriority w:val="99"/>
    <w:semiHidden/>
    <w:locked/>
    <w:rsid w:val="005C75C0"/>
    <w:rPr>
      <w:rFonts w:ascii="Tahoma" w:hAnsi="Tahoma"/>
      <w:sz w:val="16"/>
      <w:szCs w:val="16"/>
    </w:rPr>
  </w:style>
  <w:style w:type="character" w:customStyle="1" w:styleId="Char7">
    <w:name w:val="批注框文本 Char"/>
    <w:link w:val="af6"/>
    <w:uiPriority w:val="99"/>
    <w:semiHidden/>
    <w:locked/>
    <w:rsid w:val="005C75C0"/>
    <w:rPr>
      <w:rFonts w:ascii="Tahoma" w:hAnsi="Tahoma" w:cs="Times New Roman"/>
      <w:sz w:val="16"/>
      <w:lang w:val="en-US" w:eastAsia="en-US"/>
    </w:rPr>
  </w:style>
  <w:style w:type="table" w:styleId="af7">
    <w:name w:val="Table Grid"/>
    <w:basedOn w:val="a1"/>
    <w:uiPriority w:val="99"/>
    <w:locked/>
    <w:rsid w:val="00372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i1">
    <w:name w:val="doi1"/>
    <w:uiPriority w:val="99"/>
    <w:rsid w:val="00456827"/>
    <w:rPr>
      <w:rFonts w:cs="Times New Roman"/>
    </w:rPr>
  </w:style>
  <w:style w:type="character" w:customStyle="1" w:styleId="slug-doi">
    <w:name w:val="slug-doi"/>
    <w:uiPriority w:val="99"/>
    <w:rsid w:val="00FF0EDC"/>
    <w:rPr>
      <w:rFonts w:cs="Times New Roman"/>
    </w:rPr>
  </w:style>
  <w:style w:type="character" w:customStyle="1" w:styleId="doi2">
    <w:name w:val="doi2"/>
    <w:uiPriority w:val="99"/>
    <w:rsid w:val="009C45DD"/>
    <w:rPr>
      <w:rFonts w:cs="Times New Roman"/>
      <w:color w:val="666666"/>
    </w:rPr>
  </w:style>
  <w:style w:type="paragraph" w:customStyle="1" w:styleId="p0">
    <w:name w:val="p0"/>
    <w:basedOn w:val="a"/>
    <w:rsid w:val="00335D38"/>
    <w:pPr>
      <w:spacing w:line="240" w:lineRule="atLeast"/>
    </w:pPr>
    <w:rPr>
      <w:rFonts w:ascii="Century" w:hAnsi="Century" w:cs="宋体"/>
      <w:sz w:val="21"/>
      <w:szCs w:val="21"/>
      <w:lang w:eastAsia="zh-CN"/>
    </w:rPr>
  </w:style>
  <w:style w:type="character" w:customStyle="1" w:styleId="apple-converted-space">
    <w:name w:val="apple-converted-space"/>
    <w:rsid w:val="00E22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949D6"/>
    <w:rPr>
      <w:sz w:val="24"/>
      <w:szCs w:val="24"/>
      <w:lang w:eastAsia="en-US"/>
    </w:rPr>
  </w:style>
  <w:style w:type="paragraph" w:styleId="1">
    <w:name w:val="heading 1"/>
    <w:basedOn w:val="a"/>
    <w:next w:val="a"/>
    <w:link w:val="1Char"/>
    <w:uiPriority w:val="99"/>
    <w:qFormat/>
    <w:rsid w:val="003949D6"/>
    <w:pPr>
      <w:keepNext/>
      <w:spacing w:before="240" w:after="60"/>
      <w:outlineLvl w:val="0"/>
    </w:pPr>
    <w:rPr>
      <w:rFonts w:ascii="Cambria" w:hAnsi="Cambria"/>
      <w:b/>
      <w:bCs/>
      <w:kern w:val="32"/>
      <w:sz w:val="32"/>
      <w:szCs w:val="32"/>
      <w:lang w:val="en-GB" w:eastAsia="ja-JP"/>
    </w:rPr>
  </w:style>
  <w:style w:type="paragraph" w:styleId="2">
    <w:name w:val="heading 2"/>
    <w:basedOn w:val="a"/>
    <w:next w:val="a"/>
    <w:link w:val="2Char"/>
    <w:uiPriority w:val="99"/>
    <w:qFormat/>
    <w:rsid w:val="003949D6"/>
    <w:pPr>
      <w:keepNext/>
      <w:spacing w:before="240" w:after="60"/>
      <w:outlineLvl w:val="1"/>
    </w:pPr>
    <w:rPr>
      <w:rFonts w:ascii="Cambria" w:hAnsi="Cambria"/>
      <w:b/>
      <w:bCs/>
      <w:i/>
      <w:iCs/>
      <w:sz w:val="28"/>
      <w:szCs w:val="28"/>
      <w:lang w:val="en-GB" w:eastAsia="ja-JP"/>
    </w:rPr>
  </w:style>
  <w:style w:type="paragraph" w:styleId="3">
    <w:name w:val="heading 3"/>
    <w:basedOn w:val="a"/>
    <w:next w:val="a"/>
    <w:link w:val="3Char"/>
    <w:uiPriority w:val="99"/>
    <w:qFormat/>
    <w:rsid w:val="003949D6"/>
    <w:pPr>
      <w:keepNext/>
      <w:spacing w:before="240" w:after="60"/>
      <w:outlineLvl w:val="2"/>
    </w:pPr>
    <w:rPr>
      <w:rFonts w:ascii="Cambria" w:hAnsi="Cambria"/>
      <w:b/>
      <w:bCs/>
      <w:sz w:val="26"/>
      <w:szCs w:val="26"/>
      <w:lang w:val="en-GB" w:eastAsia="ja-JP"/>
    </w:rPr>
  </w:style>
  <w:style w:type="paragraph" w:styleId="4">
    <w:name w:val="heading 4"/>
    <w:basedOn w:val="a"/>
    <w:next w:val="a"/>
    <w:link w:val="4Char"/>
    <w:uiPriority w:val="99"/>
    <w:qFormat/>
    <w:rsid w:val="003949D6"/>
    <w:pPr>
      <w:keepNext/>
      <w:spacing w:before="240" w:after="60"/>
      <w:outlineLvl w:val="3"/>
    </w:pPr>
    <w:rPr>
      <w:b/>
      <w:bCs/>
      <w:sz w:val="28"/>
      <w:szCs w:val="28"/>
      <w:lang w:val="en-GB" w:eastAsia="ja-JP"/>
    </w:rPr>
  </w:style>
  <w:style w:type="paragraph" w:styleId="5">
    <w:name w:val="heading 5"/>
    <w:basedOn w:val="a"/>
    <w:next w:val="a"/>
    <w:link w:val="5Char"/>
    <w:uiPriority w:val="99"/>
    <w:qFormat/>
    <w:rsid w:val="003949D6"/>
    <w:pPr>
      <w:spacing w:before="240" w:after="60"/>
      <w:outlineLvl w:val="4"/>
    </w:pPr>
    <w:rPr>
      <w:b/>
      <w:bCs/>
      <w:i/>
      <w:iCs/>
      <w:sz w:val="26"/>
      <w:szCs w:val="26"/>
      <w:lang w:val="en-GB" w:eastAsia="ja-JP"/>
    </w:rPr>
  </w:style>
  <w:style w:type="paragraph" w:styleId="6">
    <w:name w:val="heading 6"/>
    <w:basedOn w:val="a"/>
    <w:next w:val="a"/>
    <w:link w:val="6Char"/>
    <w:uiPriority w:val="99"/>
    <w:qFormat/>
    <w:rsid w:val="003949D6"/>
    <w:pPr>
      <w:spacing w:before="240" w:after="60"/>
      <w:outlineLvl w:val="5"/>
    </w:pPr>
    <w:rPr>
      <w:b/>
      <w:bCs/>
      <w:sz w:val="20"/>
      <w:szCs w:val="20"/>
      <w:lang w:val="en-GB" w:eastAsia="ja-JP"/>
    </w:rPr>
  </w:style>
  <w:style w:type="paragraph" w:styleId="7">
    <w:name w:val="heading 7"/>
    <w:basedOn w:val="a"/>
    <w:next w:val="a"/>
    <w:link w:val="7Char"/>
    <w:uiPriority w:val="99"/>
    <w:qFormat/>
    <w:rsid w:val="003949D6"/>
    <w:pPr>
      <w:spacing w:before="240" w:after="60"/>
      <w:outlineLvl w:val="6"/>
    </w:pPr>
    <w:rPr>
      <w:lang w:val="en-GB" w:eastAsia="ja-JP"/>
    </w:rPr>
  </w:style>
  <w:style w:type="paragraph" w:styleId="8">
    <w:name w:val="heading 8"/>
    <w:basedOn w:val="a"/>
    <w:next w:val="a"/>
    <w:link w:val="8Char"/>
    <w:uiPriority w:val="99"/>
    <w:qFormat/>
    <w:rsid w:val="003949D6"/>
    <w:pPr>
      <w:spacing w:before="240" w:after="60"/>
      <w:outlineLvl w:val="7"/>
    </w:pPr>
    <w:rPr>
      <w:i/>
      <w:iCs/>
      <w:lang w:val="en-GB" w:eastAsia="ja-JP"/>
    </w:rPr>
  </w:style>
  <w:style w:type="paragraph" w:styleId="9">
    <w:name w:val="heading 9"/>
    <w:basedOn w:val="a"/>
    <w:next w:val="a"/>
    <w:link w:val="9Char"/>
    <w:uiPriority w:val="99"/>
    <w:qFormat/>
    <w:rsid w:val="003949D6"/>
    <w:pPr>
      <w:spacing w:before="240" w:after="60"/>
      <w:outlineLvl w:val="8"/>
    </w:pPr>
    <w:rPr>
      <w:rFonts w:ascii="Cambria" w:hAnsi="Cambria"/>
      <w:sz w:val="20"/>
      <w:szCs w:val="20"/>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949D6"/>
    <w:rPr>
      <w:rFonts w:ascii="Cambria" w:hAnsi="Cambria" w:cs="Times New Roman"/>
      <w:b/>
      <w:kern w:val="32"/>
      <w:sz w:val="32"/>
    </w:rPr>
  </w:style>
  <w:style w:type="character" w:customStyle="1" w:styleId="2Char">
    <w:name w:val="标题 2 Char"/>
    <w:link w:val="2"/>
    <w:uiPriority w:val="99"/>
    <w:semiHidden/>
    <w:locked/>
    <w:rsid w:val="003949D6"/>
    <w:rPr>
      <w:rFonts w:ascii="Cambria" w:hAnsi="Cambria" w:cs="Times New Roman"/>
      <w:b/>
      <w:i/>
      <w:sz w:val="28"/>
    </w:rPr>
  </w:style>
  <w:style w:type="character" w:customStyle="1" w:styleId="3Char">
    <w:name w:val="标题 3 Char"/>
    <w:link w:val="3"/>
    <w:uiPriority w:val="99"/>
    <w:semiHidden/>
    <w:locked/>
    <w:rsid w:val="003949D6"/>
    <w:rPr>
      <w:rFonts w:ascii="Cambria" w:hAnsi="Cambria" w:cs="Times New Roman"/>
      <w:b/>
      <w:sz w:val="26"/>
    </w:rPr>
  </w:style>
  <w:style w:type="character" w:customStyle="1" w:styleId="4Char">
    <w:name w:val="标题 4 Char"/>
    <w:link w:val="4"/>
    <w:uiPriority w:val="99"/>
    <w:locked/>
    <w:rsid w:val="003949D6"/>
    <w:rPr>
      <w:rFonts w:cs="Times New Roman"/>
      <w:b/>
      <w:sz w:val="28"/>
    </w:rPr>
  </w:style>
  <w:style w:type="character" w:customStyle="1" w:styleId="5Char">
    <w:name w:val="标题 5 Char"/>
    <w:link w:val="5"/>
    <w:uiPriority w:val="99"/>
    <w:semiHidden/>
    <w:locked/>
    <w:rsid w:val="003949D6"/>
    <w:rPr>
      <w:rFonts w:cs="Times New Roman"/>
      <w:b/>
      <w:i/>
      <w:sz w:val="26"/>
    </w:rPr>
  </w:style>
  <w:style w:type="character" w:customStyle="1" w:styleId="6Char">
    <w:name w:val="标题 6 Char"/>
    <w:link w:val="6"/>
    <w:uiPriority w:val="99"/>
    <w:semiHidden/>
    <w:locked/>
    <w:rsid w:val="003949D6"/>
    <w:rPr>
      <w:rFonts w:cs="Times New Roman"/>
      <w:b/>
    </w:rPr>
  </w:style>
  <w:style w:type="character" w:customStyle="1" w:styleId="7Char">
    <w:name w:val="标题 7 Char"/>
    <w:link w:val="7"/>
    <w:uiPriority w:val="99"/>
    <w:semiHidden/>
    <w:locked/>
    <w:rsid w:val="003949D6"/>
    <w:rPr>
      <w:rFonts w:cs="Times New Roman"/>
      <w:sz w:val="24"/>
    </w:rPr>
  </w:style>
  <w:style w:type="character" w:customStyle="1" w:styleId="8Char">
    <w:name w:val="标题 8 Char"/>
    <w:link w:val="8"/>
    <w:uiPriority w:val="99"/>
    <w:semiHidden/>
    <w:locked/>
    <w:rsid w:val="003949D6"/>
    <w:rPr>
      <w:rFonts w:cs="Times New Roman"/>
      <w:i/>
      <w:sz w:val="24"/>
    </w:rPr>
  </w:style>
  <w:style w:type="character" w:customStyle="1" w:styleId="9Char">
    <w:name w:val="标题 9 Char"/>
    <w:link w:val="9"/>
    <w:uiPriority w:val="99"/>
    <w:semiHidden/>
    <w:locked/>
    <w:rsid w:val="003949D6"/>
    <w:rPr>
      <w:rFonts w:ascii="Cambria" w:hAnsi="Cambria" w:cs="Times New Roman"/>
    </w:rPr>
  </w:style>
  <w:style w:type="paragraph" w:styleId="a3">
    <w:name w:val="List Paragraph"/>
    <w:basedOn w:val="a"/>
    <w:uiPriority w:val="99"/>
    <w:qFormat/>
    <w:rsid w:val="003949D6"/>
    <w:pPr>
      <w:ind w:left="720"/>
      <w:contextualSpacing/>
    </w:pPr>
  </w:style>
  <w:style w:type="paragraph" w:customStyle="1" w:styleId="fulltext-references">
    <w:name w:val="fulltext-references"/>
    <w:basedOn w:val="a"/>
    <w:uiPriority w:val="99"/>
    <w:rsid w:val="00DD0B13"/>
    <w:pPr>
      <w:spacing w:before="100" w:beforeAutospacing="1" w:after="100" w:afterAutospacing="1"/>
    </w:pPr>
    <w:rPr>
      <w:rFonts w:ascii="Times New Roman" w:hAnsi="Times New Roman"/>
      <w:lang w:val="en-GB" w:eastAsia="en-GB"/>
    </w:rPr>
  </w:style>
  <w:style w:type="character" w:customStyle="1" w:styleId="fulltext-bd1">
    <w:name w:val="fulltext-bd1"/>
    <w:uiPriority w:val="99"/>
    <w:rsid w:val="00DD0B13"/>
    <w:rPr>
      <w:b/>
      <w:sz w:val="22"/>
    </w:rPr>
  </w:style>
  <w:style w:type="character" w:customStyle="1" w:styleId="fulltext-it1">
    <w:name w:val="fulltext-it1"/>
    <w:uiPriority w:val="99"/>
    <w:rsid w:val="00DD0B13"/>
    <w:rPr>
      <w:i/>
      <w:sz w:val="22"/>
    </w:rPr>
  </w:style>
  <w:style w:type="character" w:customStyle="1" w:styleId="highlight">
    <w:name w:val="highlight"/>
    <w:uiPriority w:val="99"/>
    <w:rsid w:val="0036460F"/>
  </w:style>
  <w:style w:type="character" w:customStyle="1" w:styleId="slug-pop-date">
    <w:name w:val="slug-pop-date"/>
    <w:uiPriority w:val="99"/>
    <w:rsid w:val="003014DD"/>
  </w:style>
  <w:style w:type="character" w:customStyle="1" w:styleId="pop-slug">
    <w:name w:val="pop-slug"/>
    <w:uiPriority w:val="99"/>
    <w:rsid w:val="003014DD"/>
  </w:style>
  <w:style w:type="character" w:styleId="a4">
    <w:name w:val="Hyperlink"/>
    <w:uiPriority w:val="99"/>
    <w:semiHidden/>
    <w:rsid w:val="00D47ED6"/>
    <w:rPr>
      <w:rFonts w:cs="Times New Roman"/>
      <w:color w:val="0000FF"/>
      <w:u w:val="single"/>
    </w:rPr>
  </w:style>
  <w:style w:type="paragraph" w:styleId="a5">
    <w:name w:val="Title"/>
    <w:basedOn w:val="a"/>
    <w:next w:val="a"/>
    <w:link w:val="Char"/>
    <w:uiPriority w:val="99"/>
    <w:qFormat/>
    <w:rsid w:val="003949D6"/>
    <w:pPr>
      <w:spacing w:before="240" w:after="60"/>
      <w:jc w:val="center"/>
      <w:outlineLvl w:val="0"/>
    </w:pPr>
    <w:rPr>
      <w:rFonts w:ascii="Cambria" w:hAnsi="Cambria"/>
      <w:b/>
      <w:bCs/>
      <w:kern w:val="28"/>
      <w:sz w:val="32"/>
      <w:szCs w:val="32"/>
      <w:lang w:val="en-GB" w:eastAsia="ja-JP"/>
    </w:rPr>
  </w:style>
  <w:style w:type="character" w:customStyle="1" w:styleId="Char">
    <w:name w:val="标题 Char"/>
    <w:link w:val="a5"/>
    <w:uiPriority w:val="99"/>
    <w:locked/>
    <w:rsid w:val="003949D6"/>
    <w:rPr>
      <w:rFonts w:ascii="Cambria" w:hAnsi="Cambria" w:cs="Times New Roman"/>
      <w:b/>
      <w:kern w:val="28"/>
      <w:sz w:val="32"/>
    </w:rPr>
  </w:style>
  <w:style w:type="paragraph" w:styleId="a6">
    <w:name w:val="Subtitle"/>
    <w:basedOn w:val="a"/>
    <w:next w:val="a"/>
    <w:link w:val="Char0"/>
    <w:uiPriority w:val="99"/>
    <w:qFormat/>
    <w:rsid w:val="003949D6"/>
    <w:pPr>
      <w:spacing w:after="60"/>
      <w:jc w:val="center"/>
      <w:outlineLvl w:val="1"/>
    </w:pPr>
    <w:rPr>
      <w:rFonts w:ascii="Cambria" w:hAnsi="Cambria"/>
      <w:lang w:val="en-GB" w:eastAsia="ja-JP"/>
    </w:rPr>
  </w:style>
  <w:style w:type="character" w:customStyle="1" w:styleId="Char0">
    <w:name w:val="副标题 Char"/>
    <w:link w:val="a6"/>
    <w:uiPriority w:val="99"/>
    <w:locked/>
    <w:rsid w:val="003949D6"/>
    <w:rPr>
      <w:rFonts w:ascii="Cambria" w:hAnsi="Cambria" w:cs="Times New Roman"/>
      <w:sz w:val="24"/>
    </w:rPr>
  </w:style>
  <w:style w:type="character" w:styleId="a7">
    <w:name w:val="Strong"/>
    <w:uiPriority w:val="99"/>
    <w:qFormat/>
    <w:rsid w:val="003949D6"/>
    <w:rPr>
      <w:rFonts w:cs="Times New Roman"/>
      <w:b/>
    </w:rPr>
  </w:style>
  <w:style w:type="character" w:styleId="a8">
    <w:name w:val="Emphasis"/>
    <w:uiPriority w:val="99"/>
    <w:qFormat/>
    <w:rsid w:val="003949D6"/>
    <w:rPr>
      <w:rFonts w:ascii="Calibri" w:hAnsi="Calibri" w:cs="Times New Roman"/>
      <w:b/>
      <w:i/>
    </w:rPr>
  </w:style>
  <w:style w:type="paragraph" w:styleId="a9">
    <w:name w:val="No Spacing"/>
    <w:basedOn w:val="a"/>
    <w:uiPriority w:val="99"/>
    <w:qFormat/>
    <w:rsid w:val="003949D6"/>
    <w:rPr>
      <w:szCs w:val="32"/>
    </w:rPr>
  </w:style>
  <w:style w:type="paragraph" w:styleId="aa">
    <w:name w:val="Quote"/>
    <w:basedOn w:val="a"/>
    <w:next w:val="a"/>
    <w:link w:val="Char1"/>
    <w:uiPriority w:val="99"/>
    <w:qFormat/>
    <w:rsid w:val="003949D6"/>
    <w:rPr>
      <w:i/>
      <w:lang w:val="en-GB" w:eastAsia="ja-JP"/>
    </w:rPr>
  </w:style>
  <w:style w:type="character" w:customStyle="1" w:styleId="Char1">
    <w:name w:val="引用 Char"/>
    <w:link w:val="aa"/>
    <w:uiPriority w:val="99"/>
    <w:locked/>
    <w:rsid w:val="003949D6"/>
    <w:rPr>
      <w:rFonts w:cs="Times New Roman"/>
      <w:i/>
      <w:sz w:val="24"/>
    </w:rPr>
  </w:style>
  <w:style w:type="paragraph" w:styleId="ab">
    <w:name w:val="Intense Quote"/>
    <w:basedOn w:val="a"/>
    <w:next w:val="a"/>
    <w:link w:val="Char2"/>
    <w:uiPriority w:val="99"/>
    <w:qFormat/>
    <w:rsid w:val="003949D6"/>
    <w:pPr>
      <w:ind w:left="720" w:right="720"/>
    </w:pPr>
    <w:rPr>
      <w:b/>
      <w:i/>
      <w:szCs w:val="20"/>
      <w:lang w:val="en-GB" w:eastAsia="ja-JP"/>
    </w:rPr>
  </w:style>
  <w:style w:type="character" w:customStyle="1" w:styleId="Char2">
    <w:name w:val="明显引用 Char"/>
    <w:link w:val="ab"/>
    <w:uiPriority w:val="99"/>
    <w:locked/>
    <w:rsid w:val="003949D6"/>
    <w:rPr>
      <w:rFonts w:cs="Times New Roman"/>
      <w:b/>
      <w:i/>
      <w:sz w:val="24"/>
    </w:rPr>
  </w:style>
  <w:style w:type="character" w:styleId="ac">
    <w:name w:val="Subtle Emphasis"/>
    <w:uiPriority w:val="99"/>
    <w:qFormat/>
    <w:rsid w:val="003949D6"/>
    <w:rPr>
      <w:rFonts w:cs="Times New Roman"/>
      <w:i/>
      <w:color w:val="5A5A5A"/>
    </w:rPr>
  </w:style>
  <w:style w:type="character" w:styleId="ad">
    <w:name w:val="Intense Emphasis"/>
    <w:uiPriority w:val="99"/>
    <w:qFormat/>
    <w:rsid w:val="003949D6"/>
    <w:rPr>
      <w:rFonts w:cs="Times New Roman"/>
      <w:b/>
      <w:i/>
      <w:sz w:val="24"/>
      <w:u w:val="single"/>
    </w:rPr>
  </w:style>
  <w:style w:type="character" w:styleId="ae">
    <w:name w:val="Subtle Reference"/>
    <w:uiPriority w:val="99"/>
    <w:qFormat/>
    <w:rsid w:val="003949D6"/>
    <w:rPr>
      <w:rFonts w:cs="Times New Roman"/>
      <w:sz w:val="24"/>
      <w:u w:val="single"/>
    </w:rPr>
  </w:style>
  <w:style w:type="character" w:styleId="af">
    <w:name w:val="Intense Reference"/>
    <w:uiPriority w:val="99"/>
    <w:qFormat/>
    <w:rsid w:val="003949D6"/>
    <w:rPr>
      <w:rFonts w:cs="Times New Roman"/>
      <w:b/>
      <w:sz w:val="24"/>
      <w:u w:val="single"/>
    </w:rPr>
  </w:style>
  <w:style w:type="character" w:styleId="af0">
    <w:name w:val="Book Title"/>
    <w:uiPriority w:val="99"/>
    <w:qFormat/>
    <w:rsid w:val="003949D6"/>
    <w:rPr>
      <w:rFonts w:ascii="Cambria" w:hAnsi="Cambria" w:cs="Times New Roman"/>
      <w:b/>
      <w:i/>
      <w:sz w:val="24"/>
    </w:rPr>
  </w:style>
  <w:style w:type="paragraph" w:styleId="TOC">
    <w:name w:val="TOC Heading"/>
    <w:basedOn w:val="1"/>
    <w:next w:val="a"/>
    <w:uiPriority w:val="99"/>
    <w:qFormat/>
    <w:rsid w:val="003949D6"/>
    <w:pPr>
      <w:outlineLvl w:val="9"/>
    </w:pPr>
  </w:style>
  <w:style w:type="paragraph" w:styleId="af1">
    <w:name w:val="header"/>
    <w:basedOn w:val="a"/>
    <w:link w:val="Char3"/>
    <w:uiPriority w:val="99"/>
    <w:semiHidden/>
    <w:rsid w:val="009A068D"/>
    <w:pPr>
      <w:tabs>
        <w:tab w:val="center" w:pos="4153"/>
        <w:tab w:val="right" w:pos="8306"/>
      </w:tabs>
    </w:pPr>
    <w:rPr>
      <w:lang w:val="en-GB" w:eastAsia="ja-JP"/>
    </w:rPr>
  </w:style>
  <w:style w:type="character" w:customStyle="1" w:styleId="Char3">
    <w:name w:val="页眉 Char"/>
    <w:link w:val="af1"/>
    <w:uiPriority w:val="99"/>
    <w:semiHidden/>
    <w:locked/>
    <w:rsid w:val="009A068D"/>
    <w:rPr>
      <w:rFonts w:cs="Times New Roman"/>
      <w:sz w:val="24"/>
    </w:rPr>
  </w:style>
  <w:style w:type="paragraph" w:styleId="af2">
    <w:name w:val="footer"/>
    <w:basedOn w:val="a"/>
    <w:link w:val="Char4"/>
    <w:uiPriority w:val="99"/>
    <w:semiHidden/>
    <w:rsid w:val="009A068D"/>
    <w:pPr>
      <w:tabs>
        <w:tab w:val="center" w:pos="4153"/>
        <w:tab w:val="right" w:pos="8306"/>
      </w:tabs>
    </w:pPr>
    <w:rPr>
      <w:lang w:val="en-GB" w:eastAsia="ja-JP"/>
    </w:rPr>
  </w:style>
  <w:style w:type="character" w:customStyle="1" w:styleId="Char4">
    <w:name w:val="页脚 Char"/>
    <w:link w:val="af2"/>
    <w:uiPriority w:val="99"/>
    <w:semiHidden/>
    <w:locked/>
    <w:rsid w:val="009A068D"/>
    <w:rPr>
      <w:rFonts w:cs="Times New Roman"/>
      <w:sz w:val="24"/>
    </w:rPr>
  </w:style>
  <w:style w:type="character" w:customStyle="1" w:styleId="jrnl">
    <w:name w:val="jrnl"/>
    <w:uiPriority w:val="99"/>
    <w:rsid w:val="003C18D4"/>
  </w:style>
  <w:style w:type="character" w:styleId="af3">
    <w:name w:val="annotation reference"/>
    <w:uiPriority w:val="99"/>
    <w:semiHidden/>
    <w:locked/>
    <w:rsid w:val="005C75C0"/>
    <w:rPr>
      <w:rFonts w:cs="Times New Roman"/>
      <w:sz w:val="16"/>
    </w:rPr>
  </w:style>
  <w:style w:type="paragraph" w:styleId="af4">
    <w:name w:val="annotation text"/>
    <w:basedOn w:val="a"/>
    <w:link w:val="Char5"/>
    <w:uiPriority w:val="99"/>
    <w:locked/>
    <w:rsid w:val="005C75C0"/>
    <w:rPr>
      <w:sz w:val="20"/>
      <w:szCs w:val="20"/>
    </w:rPr>
  </w:style>
  <w:style w:type="character" w:customStyle="1" w:styleId="Char5">
    <w:name w:val="批注文字 Char"/>
    <w:link w:val="af4"/>
    <w:uiPriority w:val="99"/>
    <w:locked/>
    <w:rsid w:val="005C75C0"/>
    <w:rPr>
      <w:rFonts w:cs="Times New Roman"/>
      <w:sz w:val="20"/>
      <w:lang w:val="en-US" w:eastAsia="en-US"/>
    </w:rPr>
  </w:style>
  <w:style w:type="paragraph" w:styleId="af5">
    <w:name w:val="annotation subject"/>
    <w:basedOn w:val="af4"/>
    <w:next w:val="af4"/>
    <w:link w:val="Char6"/>
    <w:uiPriority w:val="99"/>
    <w:semiHidden/>
    <w:locked/>
    <w:rsid w:val="005C75C0"/>
    <w:rPr>
      <w:b/>
      <w:bCs/>
    </w:rPr>
  </w:style>
  <w:style w:type="character" w:customStyle="1" w:styleId="Char6">
    <w:name w:val="批注主题 Char"/>
    <w:link w:val="af5"/>
    <w:uiPriority w:val="99"/>
    <w:semiHidden/>
    <w:locked/>
    <w:rsid w:val="005C75C0"/>
    <w:rPr>
      <w:rFonts w:cs="Times New Roman"/>
      <w:b/>
      <w:sz w:val="20"/>
      <w:lang w:val="en-US" w:eastAsia="en-US"/>
    </w:rPr>
  </w:style>
  <w:style w:type="paragraph" w:styleId="af6">
    <w:name w:val="Balloon Text"/>
    <w:basedOn w:val="a"/>
    <w:link w:val="Char7"/>
    <w:uiPriority w:val="99"/>
    <w:semiHidden/>
    <w:locked/>
    <w:rsid w:val="005C75C0"/>
    <w:rPr>
      <w:rFonts w:ascii="Tahoma" w:hAnsi="Tahoma"/>
      <w:sz w:val="16"/>
      <w:szCs w:val="16"/>
    </w:rPr>
  </w:style>
  <w:style w:type="character" w:customStyle="1" w:styleId="Char7">
    <w:name w:val="批注框文本 Char"/>
    <w:link w:val="af6"/>
    <w:uiPriority w:val="99"/>
    <w:semiHidden/>
    <w:locked/>
    <w:rsid w:val="005C75C0"/>
    <w:rPr>
      <w:rFonts w:ascii="Tahoma" w:hAnsi="Tahoma" w:cs="Times New Roman"/>
      <w:sz w:val="16"/>
      <w:lang w:val="en-US" w:eastAsia="en-US"/>
    </w:rPr>
  </w:style>
  <w:style w:type="table" w:styleId="af7">
    <w:name w:val="Table Grid"/>
    <w:basedOn w:val="a1"/>
    <w:uiPriority w:val="99"/>
    <w:locked/>
    <w:rsid w:val="00372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i1">
    <w:name w:val="doi1"/>
    <w:uiPriority w:val="99"/>
    <w:rsid w:val="00456827"/>
    <w:rPr>
      <w:rFonts w:cs="Times New Roman"/>
    </w:rPr>
  </w:style>
  <w:style w:type="character" w:customStyle="1" w:styleId="slug-doi">
    <w:name w:val="slug-doi"/>
    <w:uiPriority w:val="99"/>
    <w:rsid w:val="00FF0EDC"/>
    <w:rPr>
      <w:rFonts w:cs="Times New Roman"/>
    </w:rPr>
  </w:style>
  <w:style w:type="character" w:customStyle="1" w:styleId="doi2">
    <w:name w:val="doi2"/>
    <w:uiPriority w:val="99"/>
    <w:rsid w:val="009C45DD"/>
    <w:rPr>
      <w:rFonts w:cs="Times New Roman"/>
      <w:color w:val="666666"/>
    </w:rPr>
  </w:style>
  <w:style w:type="paragraph" w:customStyle="1" w:styleId="p0">
    <w:name w:val="p0"/>
    <w:basedOn w:val="a"/>
    <w:rsid w:val="00335D38"/>
    <w:pPr>
      <w:spacing w:line="240" w:lineRule="atLeast"/>
    </w:pPr>
    <w:rPr>
      <w:rFonts w:ascii="Century" w:hAnsi="Century" w:cs="宋体"/>
      <w:sz w:val="21"/>
      <w:szCs w:val="21"/>
      <w:lang w:eastAsia="zh-CN"/>
    </w:rPr>
  </w:style>
  <w:style w:type="character" w:customStyle="1" w:styleId="apple-converted-space">
    <w:name w:val="apple-converted-space"/>
    <w:rsid w:val="00E2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255">
      <w:marLeft w:val="0"/>
      <w:marRight w:val="0"/>
      <w:marTop w:val="0"/>
      <w:marBottom w:val="0"/>
      <w:divBdr>
        <w:top w:val="none" w:sz="0" w:space="0" w:color="auto"/>
        <w:left w:val="none" w:sz="0" w:space="0" w:color="auto"/>
        <w:bottom w:val="none" w:sz="0" w:space="0" w:color="auto"/>
        <w:right w:val="none" w:sz="0" w:space="0" w:color="auto"/>
      </w:divBdr>
      <w:divsChild>
        <w:div w:id="41833253">
          <w:marLeft w:val="0"/>
          <w:marRight w:val="0"/>
          <w:marTop w:val="0"/>
          <w:marBottom w:val="0"/>
          <w:divBdr>
            <w:top w:val="none" w:sz="0" w:space="0" w:color="auto"/>
            <w:left w:val="none" w:sz="0" w:space="0" w:color="auto"/>
            <w:bottom w:val="none" w:sz="0" w:space="0" w:color="auto"/>
            <w:right w:val="none" w:sz="0" w:space="0" w:color="auto"/>
          </w:divBdr>
          <w:divsChild>
            <w:div w:id="41833257">
              <w:marLeft w:val="0"/>
              <w:marRight w:val="0"/>
              <w:marTop w:val="0"/>
              <w:marBottom w:val="0"/>
              <w:divBdr>
                <w:top w:val="none" w:sz="0" w:space="0" w:color="auto"/>
                <w:left w:val="none" w:sz="0" w:space="0" w:color="auto"/>
                <w:bottom w:val="none" w:sz="0" w:space="0" w:color="auto"/>
                <w:right w:val="none" w:sz="0" w:space="0" w:color="auto"/>
              </w:divBdr>
              <w:divsChild>
                <w:div w:id="41833251">
                  <w:marLeft w:val="0"/>
                  <w:marRight w:val="0"/>
                  <w:marTop w:val="0"/>
                  <w:marBottom w:val="0"/>
                  <w:divBdr>
                    <w:top w:val="none" w:sz="0" w:space="0" w:color="auto"/>
                    <w:left w:val="none" w:sz="0" w:space="0" w:color="auto"/>
                    <w:bottom w:val="none" w:sz="0" w:space="0" w:color="auto"/>
                    <w:right w:val="none" w:sz="0" w:space="0" w:color="auto"/>
                  </w:divBdr>
                  <w:divsChild>
                    <w:div w:id="41833258">
                      <w:marLeft w:val="0"/>
                      <w:marRight w:val="0"/>
                      <w:marTop w:val="0"/>
                      <w:marBottom w:val="0"/>
                      <w:divBdr>
                        <w:top w:val="none" w:sz="0" w:space="0" w:color="auto"/>
                        <w:left w:val="none" w:sz="0" w:space="0" w:color="auto"/>
                        <w:bottom w:val="none" w:sz="0" w:space="0" w:color="auto"/>
                        <w:right w:val="none" w:sz="0" w:space="0" w:color="auto"/>
                      </w:divBdr>
                      <w:divsChild>
                        <w:div w:id="41833252">
                          <w:marLeft w:val="0"/>
                          <w:marRight w:val="0"/>
                          <w:marTop w:val="0"/>
                          <w:marBottom w:val="0"/>
                          <w:divBdr>
                            <w:top w:val="none" w:sz="0" w:space="0" w:color="auto"/>
                            <w:left w:val="none" w:sz="0" w:space="0" w:color="auto"/>
                            <w:bottom w:val="none" w:sz="0" w:space="0" w:color="auto"/>
                            <w:right w:val="none" w:sz="0" w:space="0" w:color="auto"/>
                          </w:divBdr>
                          <w:divsChild>
                            <w:div w:id="41833254">
                              <w:marLeft w:val="0"/>
                              <w:marRight w:val="0"/>
                              <w:marTop w:val="0"/>
                              <w:marBottom w:val="0"/>
                              <w:divBdr>
                                <w:top w:val="none" w:sz="0" w:space="0" w:color="auto"/>
                                <w:left w:val="none" w:sz="0" w:space="0" w:color="auto"/>
                                <w:bottom w:val="none" w:sz="0" w:space="0" w:color="auto"/>
                                <w:right w:val="none" w:sz="0" w:space="0" w:color="auto"/>
                              </w:divBdr>
                              <w:divsChild>
                                <w:div w:id="41833250">
                                  <w:marLeft w:val="0"/>
                                  <w:marRight w:val="0"/>
                                  <w:marTop w:val="0"/>
                                  <w:marBottom w:val="0"/>
                                  <w:divBdr>
                                    <w:top w:val="none" w:sz="0" w:space="0" w:color="auto"/>
                                    <w:left w:val="none" w:sz="0" w:space="0" w:color="auto"/>
                                    <w:bottom w:val="none" w:sz="0" w:space="0" w:color="auto"/>
                                    <w:right w:val="none" w:sz="0" w:space="0" w:color="auto"/>
                                  </w:divBdr>
                                  <w:divsChild>
                                    <w:div w:id="41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3262">
      <w:marLeft w:val="0"/>
      <w:marRight w:val="0"/>
      <w:marTop w:val="0"/>
      <w:marBottom w:val="0"/>
      <w:divBdr>
        <w:top w:val="none" w:sz="0" w:space="0" w:color="auto"/>
        <w:left w:val="none" w:sz="0" w:space="0" w:color="auto"/>
        <w:bottom w:val="none" w:sz="0" w:space="0" w:color="auto"/>
        <w:right w:val="none" w:sz="0" w:space="0" w:color="auto"/>
      </w:divBdr>
      <w:divsChild>
        <w:div w:id="41833260">
          <w:marLeft w:val="0"/>
          <w:marRight w:val="1"/>
          <w:marTop w:val="0"/>
          <w:marBottom w:val="0"/>
          <w:divBdr>
            <w:top w:val="none" w:sz="0" w:space="0" w:color="auto"/>
            <w:left w:val="none" w:sz="0" w:space="0" w:color="auto"/>
            <w:bottom w:val="none" w:sz="0" w:space="0" w:color="auto"/>
            <w:right w:val="none" w:sz="0" w:space="0" w:color="auto"/>
          </w:divBdr>
          <w:divsChild>
            <w:div w:id="41833259">
              <w:marLeft w:val="0"/>
              <w:marRight w:val="0"/>
              <w:marTop w:val="0"/>
              <w:marBottom w:val="0"/>
              <w:divBdr>
                <w:top w:val="none" w:sz="0" w:space="0" w:color="auto"/>
                <w:left w:val="none" w:sz="0" w:space="0" w:color="auto"/>
                <w:bottom w:val="none" w:sz="0" w:space="0" w:color="auto"/>
                <w:right w:val="none" w:sz="0" w:space="0" w:color="auto"/>
              </w:divBdr>
              <w:divsChild>
                <w:div w:id="41833270">
                  <w:marLeft w:val="0"/>
                  <w:marRight w:val="1"/>
                  <w:marTop w:val="0"/>
                  <w:marBottom w:val="0"/>
                  <w:divBdr>
                    <w:top w:val="none" w:sz="0" w:space="0" w:color="auto"/>
                    <w:left w:val="none" w:sz="0" w:space="0" w:color="auto"/>
                    <w:bottom w:val="none" w:sz="0" w:space="0" w:color="auto"/>
                    <w:right w:val="none" w:sz="0" w:space="0" w:color="auto"/>
                  </w:divBdr>
                  <w:divsChild>
                    <w:div w:id="41833267">
                      <w:marLeft w:val="0"/>
                      <w:marRight w:val="0"/>
                      <w:marTop w:val="0"/>
                      <w:marBottom w:val="0"/>
                      <w:divBdr>
                        <w:top w:val="none" w:sz="0" w:space="0" w:color="auto"/>
                        <w:left w:val="none" w:sz="0" w:space="0" w:color="auto"/>
                        <w:bottom w:val="none" w:sz="0" w:space="0" w:color="auto"/>
                        <w:right w:val="none" w:sz="0" w:space="0" w:color="auto"/>
                      </w:divBdr>
                      <w:divsChild>
                        <w:div w:id="41833271">
                          <w:marLeft w:val="0"/>
                          <w:marRight w:val="0"/>
                          <w:marTop w:val="0"/>
                          <w:marBottom w:val="0"/>
                          <w:divBdr>
                            <w:top w:val="none" w:sz="0" w:space="0" w:color="auto"/>
                            <w:left w:val="none" w:sz="0" w:space="0" w:color="auto"/>
                            <w:bottom w:val="none" w:sz="0" w:space="0" w:color="auto"/>
                            <w:right w:val="none" w:sz="0" w:space="0" w:color="auto"/>
                          </w:divBdr>
                          <w:divsChild>
                            <w:div w:id="418332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265">
      <w:marLeft w:val="0"/>
      <w:marRight w:val="0"/>
      <w:marTop w:val="0"/>
      <w:marBottom w:val="0"/>
      <w:divBdr>
        <w:top w:val="none" w:sz="0" w:space="0" w:color="auto"/>
        <w:left w:val="none" w:sz="0" w:space="0" w:color="auto"/>
        <w:bottom w:val="none" w:sz="0" w:space="0" w:color="auto"/>
        <w:right w:val="none" w:sz="0" w:space="0" w:color="auto"/>
      </w:divBdr>
      <w:divsChild>
        <w:div w:id="41833266">
          <w:marLeft w:val="0"/>
          <w:marRight w:val="1"/>
          <w:marTop w:val="0"/>
          <w:marBottom w:val="0"/>
          <w:divBdr>
            <w:top w:val="none" w:sz="0" w:space="0" w:color="auto"/>
            <w:left w:val="none" w:sz="0" w:space="0" w:color="auto"/>
            <w:bottom w:val="none" w:sz="0" w:space="0" w:color="auto"/>
            <w:right w:val="none" w:sz="0" w:space="0" w:color="auto"/>
          </w:divBdr>
          <w:divsChild>
            <w:div w:id="41833268">
              <w:marLeft w:val="0"/>
              <w:marRight w:val="0"/>
              <w:marTop w:val="0"/>
              <w:marBottom w:val="0"/>
              <w:divBdr>
                <w:top w:val="none" w:sz="0" w:space="0" w:color="auto"/>
                <w:left w:val="none" w:sz="0" w:space="0" w:color="auto"/>
                <w:bottom w:val="none" w:sz="0" w:space="0" w:color="auto"/>
                <w:right w:val="none" w:sz="0" w:space="0" w:color="auto"/>
              </w:divBdr>
              <w:divsChild>
                <w:div w:id="41833261">
                  <w:marLeft w:val="0"/>
                  <w:marRight w:val="1"/>
                  <w:marTop w:val="0"/>
                  <w:marBottom w:val="0"/>
                  <w:divBdr>
                    <w:top w:val="none" w:sz="0" w:space="0" w:color="auto"/>
                    <w:left w:val="none" w:sz="0" w:space="0" w:color="auto"/>
                    <w:bottom w:val="none" w:sz="0" w:space="0" w:color="auto"/>
                    <w:right w:val="none" w:sz="0" w:space="0" w:color="auto"/>
                  </w:divBdr>
                  <w:divsChild>
                    <w:div w:id="41833269">
                      <w:marLeft w:val="0"/>
                      <w:marRight w:val="0"/>
                      <w:marTop w:val="0"/>
                      <w:marBottom w:val="0"/>
                      <w:divBdr>
                        <w:top w:val="none" w:sz="0" w:space="0" w:color="auto"/>
                        <w:left w:val="none" w:sz="0" w:space="0" w:color="auto"/>
                        <w:bottom w:val="none" w:sz="0" w:space="0" w:color="auto"/>
                        <w:right w:val="none" w:sz="0" w:space="0" w:color="auto"/>
                      </w:divBdr>
                      <w:divsChild>
                        <w:div w:id="41833263">
                          <w:marLeft w:val="0"/>
                          <w:marRight w:val="0"/>
                          <w:marTop w:val="0"/>
                          <w:marBottom w:val="0"/>
                          <w:divBdr>
                            <w:top w:val="none" w:sz="0" w:space="0" w:color="auto"/>
                            <w:left w:val="none" w:sz="0" w:space="0" w:color="auto"/>
                            <w:bottom w:val="none" w:sz="0" w:space="0" w:color="auto"/>
                            <w:right w:val="none" w:sz="0" w:space="0" w:color="auto"/>
                          </w:divBdr>
                          <w:divsChild>
                            <w:div w:id="4183327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273">
      <w:marLeft w:val="0"/>
      <w:marRight w:val="0"/>
      <w:marTop w:val="0"/>
      <w:marBottom w:val="0"/>
      <w:divBdr>
        <w:top w:val="none" w:sz="0" w:space="0" w:color="auto"/>
        <w:left w:val="none" w:sz="0" w:space="0" w:color="auto"/>
        <w:bottom w:val="none" w:sz="0" w:space="0" w:color="auto"/>
        <w:right w:val="none" w:sz="0" w:space="0" w:color="auto"/>
      </w:divBdr>
      <w:divsChild>
        <w:div w:id="41833274">
          <w:marLeft w:val="0"/>
          <w:marRight w:val="0"/>
          <w:marTop w:val="0"/>
          <w:marBottom w:val="0"/>
          <w:divBdr>
            <w:top w:val="none" w:sz="0" w:space="0" w:color="auto"/>
            <w:left w:val="none" w:sz="0" w:space="0" w:color="auto"/>
            <w:bottom w:val="none" w:sz="0" w:space="0" w:color="auto"/>
            <w:right w:val="none" w:sz="0" w:space="0" w:color="auto"/>
          </w:divBdr>
        </w:div>
      </w:divsChild>
    </w:div>
    <w:div w:id="1535657516">
      <w:bodyDiv w:val="1"/>
      <w:marLeft w:val="0"/>
      <w:marRight w:val="0"/>
      <w:marTop w:val="0"/>
      <w:marBottom w:val="0"/>
      <w:divBdr>
        <w:top w:val="none" w:sz="0" w:space="0" w:color="auto"/>
        <w:left w:val="none" w:sz="0" w:space="0" w:color="auto"/>
        <w:bottom w:val="none" w:sz="0" w:space="0" w:color="auto"/>
        <w:right w:val="none" w:sz="0" w:space="0" w:color="auto"/>
      </w:divBdr>
      <w:divsChild>
        <w:div w:id="818349441">
          <w:marLeft w:val="0"/>
          <w:marRight w:val="0"/>
          <w:marTop w:val="0"/>
          <w:marBottom w:val="0"/>
          <w:divBdr>
            <w:top w:val="none" w:sz="0" w:space="0" w:color="auto"/>
            <w:left w:val="none" w:sz="0" w:space="0" w:color="auto"/>
            <w:bottom w:val="none" w:sz="0" w:space="0" w:color="auto"/>
            <w:right w:val="none" w:sz="0" w:space="0" w:color="auto"/>
          </w:divBdr>
        </w:div>
        <w:div w:id="888078969">
          <w:marLeft w:val="0"/>
          <w:marRight w:val="0"/>
          <w:marTop w:val="0"/>
          <w:marBottom w:val="0"/>
          <w:divBdr>
            <w:top w:val="none" w:sz="0" w:space="0" w:color="auto"/>
            <w:left w:val="none" w:sz="0" w:space="0" w:color="auto"/>
            <w:bottom w:val="none" w:sz="0" w:space="0" w:color="auto"/>
            <w:right w:val="none" w:sz="0" w:space="0" w:color="auto"/>
          </w:divBdr>
        </w:div>
        <w:div w:id="1490825821">
          <w:marLeft w:val="0"/>
          <w:marRight w:val="0"/>
          <w:marTop w:val="0"/>
          <w:marBottom w:val="0"/>
          <w:divBdr>
            <w:top w:val="none" w:sz="0" w:space="0" w:color="auto"/>
            <w:left w:val="none" w:sz="0" w:space="0" w:color="auto"/>
            <w:bottom w:val="none" w:sz="0" w:space="0" w:color="auto"/>
            <w:right w:val="none" w:sz="0" w:space="0" w:color="auto"/>
          </w:divBdr>
        </w:div>
        <w:div w:id="933055910">
          <w:marLeft w:val="0"/>
          <w:marRight w:val="0"/>
          <w:marTop w:val="0"/>
          <w:marBottom w:val="0"/>
          <w:divBdr>
            <w:top w:val="none" w:sz="0" w:space="0" w:color="auto"/>
            <w:left w:val="none" w:sz="0" w:space="0" w:color="auto"/>
            <w:bottom w:val="none" w:sz="0" w:space="0" w:color="auto"/>
            <w:right w:val="none" w:sz="0" w:space="0" w:color="auto"/>
          </w:divBdr>
        </w:div>
        <w:div w:id="1707753280">
          <w:marLeft w:val="0"/>
          <w:marRight w:val="0"/>
          <w:marTop w:val="0"/>
          <w:marBottom w:val="0"/>
          <w:divBdr>
            <w:top w:val="none" w:sz="0" w:space="0" w:color="auto"/>
            <w:left w:val="none" w:sz="0" w:space="0" w:color="auto"/>
            <w:bottom w:val="none" w:sz="0" w:space="0" w:color="auto"/>
            <w:right w:val="none" w:sz="0" w:space="0" w:color="auto"/>
          </w:divBdr>
        </w:div>
        <w:div w:id="301427456">
          <w:marLeft w:val="0"/>
          <w:marRight w:val="0"/>
          <w:marTop w:val="0"/>
          <w:marBottom w:val="0"/>
          <w:divBdr>
            <w:top w:val="none" w:sz="0" w:space="0" w:color="auto"/>
            <w:left w:val="none" w:sz="0" w:space="0" w:color="auto"/>
            <w:bottom w:val="none" w:sz="0" w:space="0" w:color="auto"/>
            <w:right w:val="none" w:sz="0" w:space="0" w:color="auto"/>
          </w:divBdr>
        </w:div>
        <w:div w:id="2101215489">
          <w:marLeft w:val="0"/>
          <w:marRight w:val="0"/>
          <w:marTop w:val="0"/>
          <w:marBottom w:val="0"/>
          <w:divBdr>
            <w:top w:val="none" w:sz="0" w:space="0" w:color="auto"/>
            <w:left w:val="none" w:sz="0" w:space="0" w:color="auto"/>
            <w:bottom w:val="none" w:sz="0" w:space="0" w:color="auto"/>
            <w:right w:val="none" w:sz="0" w:space="0" w:color="auto"/>
          </w:divBdr>
        </w:div>
        <w:div w:id="401374279">
          <w:marLeft w:val="0"/>
          <w:marRight w:val="0"/>
          <w:marTop w:val="0"/>
          <w:marBottom w:val="0"/>
          <w:divBdr>
            <w:top w:val="none" w:sz="0" w:space="0" w:color="auto"/>
            <w:left w:val="none" w:sz="0" w:space="0" w:color="auto"/>
            <w:bottom w:val="none" w:sz="0" w:space="0" w:color="auto"/>
            <w:right w:val="none" w:sz="0" w:space="0" w:color="auto"/>
          </w:divBdr>
        </w:div>
        <w:div w:id="1670870555">
          <w:marLeft w:val="0"/>
          <w:marRight w:val="0"/>
          <w:marTop w:val="0"/>
          <w:marBottom w:val="0"/>
          <w:divBdr>
            <w:top w:val="none" w:sz="0" w:space="0" w:color="auto"/>
            <w:left w:val="none" w:sz="0" w:space="0" w:color="auto"/>
            <w:bottom w:val="none" w:sz="0" w:space="0" w:color="auto"/>
            <w:right w:val="none" w:sz="0" w:space="0" w:color="auto"/>
          </w:divBdr>
        </w:div>
        <w:div w:id="545869595">
          <w:marLeft w:val="0"/>
          <w:marRight w:val="0"/>
          <w:marTop w:val="0"/>
          <w:marBottom w:val="0"/>
          <w:divBdr>
            <w:top w:val="none" w:sz="0" w:space="0" w:color="auto"/>
            <w:left w:val="none" w:sz="0" w:space="0" w:color="auto"/>
            <w:bottom w:val="none" w:sz="0" w:space="0" w:color="auto"/>
            <w:right w:val="none" w:sz="0" w:space="0" w:color="auto"/>
          </w:divBdr>
        </w:div>
        <w:div w:id="1673794620">
          <w:marLeft w:val="0"/>
          <w:marRight w:val="0"/>
          <w:marTop w:val="0"/>
          <w:marBottom w:val="0"/>
          <w:divBdr>
            <w:top w:val="none" w:sz="0" w:space="0" w:color="auto"/>
            <w:left w:val="none" w:sz="0" w:space="0" w:color="auto"/>
            <w:bottom w:val="none" w:sz="0" w:space="0" w:color="auto"/>
            <w:right w:val="none" w:sz="0" w:space="0" w:color="auto"/>
          </w:divBdr>
        </w:div>
        <w:div w:id="1261641704">
          <w:marLeft w:val="0"/>
          <w:marRight w:val="0"/>
          <w:marTop w:val="0"/>
          <w:marBottom w:val="0"/>
          <w:divBdr>
            <w:top w:val="none" w:sz="0" w:space="0" w:color="auto"/>
            <w:left w:val="none" w:sz="0" w:space="0" w:color="auto"/>
            <w:bottom w:val="none" w:sz="0" w:space="0" w:color="auto"/>
            <w:right w:val="none" w:sz="0" w:space="0" w:color="auto"/>
          </w:divBdr>
        </w:div>
        <w:div w:id="276913061">
          <w:marLeft w:val="0"/>
          <w:marRight w:val="0"/>
          <w:marTop w:val="0"/>
          <w:marBottom w:val="0"/>
          <w:divBdr>
            <w:top w:val="none" w:sz="0" w:space="0" w:color="auto"/>
            <w:left w:val="none" w:sz="0" w:space="0" w:color="auto"/>
            <w:bottom w:val="none" w:sz="0" w:space="0" w:color="auto"/>
            <w:right w:val="none" w:sz="0" w:space="0" w:color="auto"/>
          </w:divBdr>
        </w:div>
        <w:div w:id="1634362934">
          <w:marLeft w:val="0"/>
          <w:marRight w:val="0"/>
          <w:marTop w:val="0"/>
          <w:marBottom w:val="0"/>
          <w:divBdr>
            <w:top w:val="none" w:sz="0" w:space="0" w:color="auto"/>
            <w:left w:val="none" w:sz="0" w:space="0" w:color="auto"/>
            <w:bottom w:val="none" w:sz="0" w:space="0" w:color="auto"/>
            <w:right w:val="none" w:sz="0" w:space="0" w:color="auto"/>
          </w:divBdr>
        </w:div>
        <w:div w:id="1523013273">
          <w:marLeft w:val="0"/>
          <w:marRight w:val="0"/>
          <w:marTop w:val="0"/>
          <w:marBottom w:val="0"/>
          <w:divBdr>
            <w:top w:val="none" w:sz="0" w:space="0" w:color="auto"/>
            <w:left w:val="none" w:sz="0" w:space="0" w:color="auto"/>
            <w:bottom w:val="none" w:sz="0" w:space="0" w:color="auto"/>
            <w:right w:val="none" w:sz="0" w:space="0" w:color="auto"/>
          </w:divBdr>
        </w:div>
        <w:div w:id="1313213890">
          <w:marLeft w:val="0"/>
          <w:marRight w:val="0"/>
          <w:marTop w:val="0"/>
          <w:marBottom w:val="0"/>
          <w:divBdr>
            <w:top w:val="none" w:sz="0" w:space="0" w:color="auto"/>
            <w:left w:val="none" w:sz="0" w:space="0" w:color="auto"/>
            <w:bottom w:val="none" w:sz="0" w:space="0" w:color="auto"/>
            <w:right w:val="none" w:sz="0" w:space="0" w:color="auto"/>
          </w:divBdr>
        </w:div>
        <w:div w:id="1420130937">
          <w:marLeft w:val="0"/>
          <w:marRight w:val="0"/>
          <w:marTop w:val="0"/>
          <w:marBottom w:val="0"/>
          <w:divBdr>
            <w:top w:val="none" w:sz="0" w:space="0" w:color="auto"/>
            <w:left w:val="none" w:sz="0" w:space="0" w:color="auto"/>
            <w:bottom w:val="none" w:sz="0" w:space="0" w:color="auto"/>
            <w:right w:val="none" w:sz="0" w:space="0" w:color="auto"/>
          </w:divBdr>
        </w:div>
        <w:div w:id="791095592">
          <w:marLeft w:val="0"/>
          <w:marRight w:val="0"/>
          <w:marTop w:val="0"/>
          <w:marBottom w:val="0"/>
          <w:divBdr>
            <w:top w:val="none" w:sz="0" w:space="0" w:color="auto"/>
            <w:left w:val="none" w:sz="0" w:space="0" w:color="auto"/>
            <w:bottom w:val="none" w:sz="0" w:space="0" w:color="auto"/>
            <w:right w:val="none" w:sz="0" w:space="0" w:color="auto"/>
          </w:divBdr>
        </w:div>
        <w:div w:id="1930893956">
          <w:marLeft w:val="0"/>
          <w:marRight w:val="0"/>
          <w:marTop w:val="0"/>
          <w:marBottom w:val="0"/>
          <w:divBdr>
            <w:top w:val="none" w:sz="0" w:space="0" w:color="auto"/>
            <w:left w:val="none" w:sz="0" w:space="0" w:color="auto"/>
            <w:bottom w:val="none" w:sz="0" w:space="0" w:color="auto"/>
            <w:right w:val="none" w:sz="0" w:space="0" w:color="auto"/>
          </w:divBdr>
        </w:div>
        <w:div w:id="1401518682">
          <w:marLeft w:val="0"/>
          <w:marRight w:val="0"/>
          <w:marTop w:val="0"/>
          <w:marBottom w:val="0"/>
          <w:divBdr>
            <w:top w:val="none" w:sz="0" w:space="0" w:color="auto"/>
            <w:left w:val="none" w:sz="0" w:space="0" w:color="auto"/>
            <w:bottom w:val="none" w:sz="0" w:space="0" w:color="auto"/>
            <w:right w:val="none" w:sz="0" w:space="0" w:color="auto"/>
          </w:divBdr>
        </w:div>
        <w:div w:id="47267268">
          <w:marLeft w:val="0"/>
          <w:marRight w:val="0"/>
          <w:marTop w:val="0"/>
          <w:marBottom w:val="0"/>
          <w:divBdr>
            <w:top w:val="none" w:sz="0" w:space="0" w:color="auto"/>
            <w:left w:val="none" w:sz="0" w:space="0" w:color="auto"/>
            <w:bottom w:val="none" w:sz="0" w:space="0" w:color="auto"/>
            <w:right w:val="none" w:sz="0" w:space="0" w:color="auto"/>
          </w:divBdr>
        </w:div>
        <w:div w:id="687945130">
          <w:marLeft w:val="0"/>
          <w:marRight w:val="0"/>
          <w:marTop w:val="0"/>
          <w:marBottom w:val="0"/>
          <w:divBdr>
            <w:top w:val="none" w:sz="0" w:space="0" w:color="auto"/>
            <w:left w:val="none" w:sz="0" w:space="0" w:color="auto"/>
            <w:bottom w:val="none" w:sz="0" w:space="0" w:color="auto"/>
            <w:right w:val="none" w:sz="0" w:space="0" w:color="auto"/>
          </w:divBdr>
        </w:div>
        <w:div w:id="1102725640">
          <w:marLeft w:val="0"/>
          <w:marRight w:val="0"/>
          <w:marTop w:val="0"/>
          <w:marBottom w:val="0"/>
          <w:divBdr>
            <w:top w:val="none" w:sz="0" w:space="0" w:color="auto"/>
            <w:left w:val="none" w:sz="0" w:space="0" w:color="auto"/>
            <w:bottom w:val="none" w:sz="0" w:space="0" w:color="auto"/>
            <w:right w:val="none" w:sz="0" w:space="0" w:color="auto"/>
          </w:divBdr>
        </w:div>
        <w:div w:id="1237280461">
          <w:marLeft w:val="0"/>
          <w:marRight w:val="0"/>
          <w:marTop w:val="0"/>
          <w:marBottom w:val="0"/>
          <w:divBdr>
            <w:top w:val="none" w:sz="0" w:space="0" w:color="auto"/>
            <w:left w:val="none" w:sz="0" w:space="0" w:color="auto"/>
            <w:bottom w:val="none" w:sz="0" w:space="0" w:color="auto"/>
            <w:right w:val="none" w:sz="0" w:space="0" w:color="auto"/>
          </w:divBdr>
        </w:div>
        <w:div w:id="1691487517">
          <w:marLeft w:val="0"/>
          <w:marRight w:val="0"/>
          <w:marTop w:val="0"/>
          <w:marBottom w:val="0"/>
          <w:divBdr>
            <w:top w:val="none" w:sz="0" w:space="0" w:color="auto"/>
            <w:left w:val="none" w:sz="0" w:space="0" w:color="auto"/>
            <w:bottom w:val="none" w:sz="0" w:space="0" w:color="auto"/>
            <w:right w:val="none" w:sz="0" w:space="0" w:color="auto"/>
          </w:divBdr>
        </w:div>
        <w:div w:id="537819057">
          <w:marLeft w:val="0"/>
          <w:marRight w:val="0"/>
          <w:marTop w:val="0"/>
          <w:marBottom w:val="0"/>
          <w:divBdr>
            <w:top w:val="none" w:sz="0" w:space="0" w:color="auto"/>
            <w:left w:val="none" w:sz="0" w:space="0" w:color="auto"/>
            <w:bottom w:val="none" w:sz="0" w:space="0" w:color="auto"/>
            <w:right w:val="none" w:sz="0" w:space="0" w:color="auto"/>
          </w:divBdr>
        </w:div>
        <w:div w:id="1714229032">
          <w:marLeft w:val="0"/>
          <w:marRight w:val="0"/>
          <w:marTop w:val="0"/>
          <w:marBottom w:val="0"/>
          <w:divBdr>
            <w:top w:val="none" w:sz="0" w:space="0" w:color="auto"/>
            <w:left w:val="none" w:sz="0" w:space="0" w:color="auto"/>
            <w:bottom w:val="none" w:sz="0" w:space="0" w:color="auto"/>
            <w:right w:val="none" w:sz="0" w:space="0" w:color="auto"/>
          </w:divBdr>
        </w:div>
        <w:div w:id="176434263">
          <w:marLeft w:val="0"/>
          <w:marRight w:val="0"/>
          <w:marTop w:val="0"/>
          <w:marBottom w:val="0"/>
          <w:divBdr>
            <w:top w:val="none" w:sz="0" w:space="0" w:color="auto"/>
            <w:left w:val="none" w:sz="0" w:space="0" w:color="auto"/>
            <w:bottom w:val="none" w:sz="0" w:space="0" w:color="auto"/>
            <w:right w:val="none" w:sz="0" w:space="0" w:color="auto"/>
          </w:divBdr>
        </w:div>
        <w:div w:id="560485977">
          <w:marLeft w:val="0"/>
          <w:marRight w:val="0"/>
          <w:marTop w:val="0"/>
          <w:marBottom w:val="0"/>
          <w:divBdr>
            <w:top w:val="none" w:sz="0" w:space="0" w:color="auto"/>
            <w:left w:val="none" w:sz="0" w:space="0" w:color="auto"/>
            <w:bottom w:val="none" w:sz="0" w:space="0" w:color="auto"/>
            <w:right w:val="none" w:sz="0" w:space="0" w:color="auto"/>
          </w:divBdr>
        </w:div>
        <w:div w:id="971210587">
          <w:marLeft w:val="0"/>
          <w:marRight w:val="0"/>
          <w:marTop w:val="0"/>
          <w:marBottom w:val="0"/>
          <w:divBdr>
            <w:top w:val="none" w:sz="0" w:space="0" w:color="auto"/>
            <w:left w:val="none" w:sz="0" w:space="0" w:color="auto"/>
            <w:bottom w:val="none" w:sz="0" w:space="0" w:color="auto"/>
            <w:right w:val="none" w:sz="0" w:space="0" w:color="auto"/>
          </w:divBdr>
        </w:div>
        <w:div w:id="1699352668">
          <w:marLeft w:val="0"/>
          <w:marRight w:val="0"/>
          <w:marTop w:val="0"/>
          <w:marBottom w:val="0"/>
          <w:divBdr>
            <w:top w:val="none" w:sz="0" w:space="0" w:color="auto"/>
            <w:left w:val="none" w:sz="0" w:space="0" w:color="auto"/>
            <w:bottom w:val="none" w:sz="0" w:space="0" w:color="auto"/>
            <w:right w:val="none" w:sz="0" w:space="0" w:color="auto"/>
          </w:divBdr>
        </w:div>
        <w:div w:id="319894838">
          <w:marLeft w:val="0"/>
          <w:marRight w:val="0"/>
          <w:marTop w:val="0"/>
          <w:marBottom w:val="0"/>
          <w:divBdr>
            <w:top w:val="none" w:sz="0" w:space="0" w:color="auto"/>
            <w:left w:val="none" w:sz="0" w:space="0" w:color="auto"/>
            <w:bottom w:val="none" w:sz="0" w:space="0" w:color="auto"/>
            <w:right w:val="none" w:sz="0" w:space="0" w:color="auto"/>
          </w:divBdr>
        </w:div>
        <w:div w:id="1744832427">
          <w:marLeft w:val="0"/>
          <w:marRight w:val="0"/>
          <w:marTop w:val="0"/>
          <w:marBottom w:val="0"/>
          <w:divBdr>
            <w:top w:val="none" w:sz="0" w:space="0" w:color="auto"/>
            <w:left w:val="none" w:sz="0" w:space="0" w:color="auto"/>
            <w:bottom w:val="none" w:sz="0" w:space="0" w:color="auto"/>
            <w:right w:val="none" w:sz="0" w:space="0" w:color="auto"/>
          </w:divBdr>
        </w:div>
        <w:div w:id="783697087">
          <w:marLeft w:val="0"/>
          <w:marRight w:val="0"/>
          <w:marTop w:val="0"/>
          <w:marBottom w:val="0"/>
          <w:divBdr>
            <w:top w:val="none" w:sz="0" w:space="0" w:color="auto"/>
            <w:left w:val="none" w:sz="0" w:space="0" w:color="auto"/>
            <w:bottom w:val="none" w:sz="0" w:space="0" w:color="auto"/>
            <w:right w:val="none" w:sz="0" w:space="0" w:color="auto"/>
          </w:divBdr>
        </w:div>
        <w:div w:id="36858040">
          <w:marLeft w:val="0"/>
          <w:marRight w:val="0"/>
          <w:marTop w:val="0"/>
          <w:marBottom w:val="0"/>
          <w:divBdr>
            <w:top w:val="none" w:sz="0" w:space="0" w:color="auto"/>
            <w:left w:val="none" w:sz="0" w:space="0" w:color="auto"/>
            <w:bottom w:val="none" w:sz="0" w:space="0" w:color="auto"/>
            <w:right w:val="none" w:sz="0" w:space="0" w:color="auto"/>
          </w:divBdr>
        </w:div>
        <w:div w:id="1936746712">
          <w:marLeft w:val="0"/>
          <w:marRight w:val="0"/>
          <w:marTop w:val="0"/>
          <w:marBottom w:val="0"/>
          <w:divBdr>
            <w:top w:val="none" w:sz="0" w:space="0" w:color="auto"/>
            <w:left w:val="none" w:sz="0" w:space="0" w:color="auto"/>
            <w:bottom w:val="none" w:sz="0" w:space="0" w:color="auto"/>
            <w:right w:val="none" w:sz="0" w:space="0" w:color="auto"/>
          </w:divBdr>
        </w:div>
        <w:div w:id="1539708791">
          <w:marLeft w:val="0"/>
          <w:marRight w:val="0"/>
          <w:marTop w:val="0"/>
          <w:marBottom w:val="0"/>
          <w:divBdr>
            <w:top w:val="none" w:sz="0" w:space="0" w:color="auto"/>
            <w:left w:val="none" w:sz="0" w:space="0" w:color="auto"/>
            <w:bottom w:val="none" w:sz="0" w:space="0" w:color="auto"/>
            <w:right w:val="none" w:sz="0" w:space="0" w:color="auto"/>
          </w:divBdr>
        </w:div>
        <w:div w:id="781728881">
          <w:marLeft w:val="0"/>
          <w:marRight w:val="0"/>
          <w:marTop w:val="0"/>
          <w:marBottom w:val="0"/>
          <w:divBdr>
            <w:top w:val="none" w:sz="0" w:space="0" w:color="auto"/>
            <w:left w:val="none" w:sz="0" w:space="0" w:color="auto"/>
            <w:bottom w:val="none" w:sz="0" w:space="0" w:color="auto"/>
            <w:right w:val="none" w:sz="0" w:space="0" w:color="auto"/>
          </w:divBdr>
        </w:div>
        <w:div w:id="1730883927">
          <w:marLeft w:val="0"/>
          <w:marRight w:val="0"/>
          <w:marTop w:val="0"/>
          <w:marBottom w:val="0"/>
          <w:divBdr>
            <w:top w:val="none" w:sz="0" w:space="0" w:color="auto"/>
            <w:left w:val="none" w:sz="0" w:space="0" w:color="auto"/>
            <w:bottom w:val="none" w:sz="0" w:space="0" w:color="auto"/>
            <w:right w:val="none" w:sz="0" w:space="0" w:color="auto"/>
          </w:divBdr>
        </w:div>
        <w:div w:id="1678193778">
          <w:marLeft w:val="0"/>
          <w:marRight w:val="0"/>
          <w:marTop w:val="0"/>
          <w:marBottom w:val="0"/>
          <w:divBdr>
            <w:top w:val="none" w:sz="0" w:space="0" w:color="auto"/>
            <w:left w:val="none" w:sz="0" w:space="0" w:color="auto"/>
            <w:bottom w:val="none" w:sz="0" w:space="0" w:color="auto"/>
            <w:right w:val="none" w:sz="0" w:space="0" w:color="auto"/>
          </w:divBdr>
        </w:div>
        <w:div w:id="538129352">
          <w:marLeft w:val="0"/>
          <w:marRight w:val="0"/>
          <w:marTop w:val="0"/>
          <w:marBottom w:val="0"/>
          <w:divBdr>
            <w:top w:val="none" w:sz="0" w:space="0" w:color="auto"/>
            <w:left w:val="none" w:sz="0" w:space="0" w:color="auto"/>
            <w:bottom w:val="none" w:sz="0" w:space="0" w:color="auto"/>
            <w:right w:val="none" w:sz="0" w:space="0" w:color="auto"/>
          </w:divBdr>
        </w:div>
        <w:div w:id="140970871">
          <w:marLeft w:val="0"/>
          <w:marRight w:val="0"/>
          <w:marTop w:val="0"/>
          <w:marBottom w:val="0"/>
          <w:divBdr>
            <w:top w:val="none" w:sz="0" w:space="0" w:color="auto"/>
            <w:left w:val="none" w:sz="0" w:space="0" w:color="auto"/>
            <w:bottom w:val="none" w:sz="0" w:space="0" w:color="auto"/>
            <w:right w:val="none" w:sz="0" w:space="0" w:color="auto"/>
          </w:divBdr>
        </w:div>
        <w:div w:id="1385763155">
          <w:marLeft w:val="0"/>
          <w:marRight w:val="0"/>
          <w:marTop w:val="0"/>
          <w:marBottom w:val="0"/>
          <w:divBdr>
            <w:top w:val="none" w:sz="0" w:space="0" w:color="auto"/>
            <w:left w:val="none" w:sz="0" w:space="0" w:color="auto"/>
            <w:bottom w:val="none" w:sz="0" w:space="0" w:color="auto"/>
            <w:right w:val="none" w:sz="0" w:space="0" w:color="auto"/>
          </w:divBdr>
        </w:div>
        <w:div w:id="476992961">
          <w:marLeft w:val="0"/>
          <w:marRight w:val="0"/>
          <w:marTop w:val="0"/>
          <w:marBottom w:val="0"/>
          <w:divBdr>
            <w:top w:val="none" w:sz="0" w:space="0" w:color="auto"/>
            <w:left w:val="none" w:sz="0" w:space="0" w:color="auto"/>
            <w:bottom w:val="none" w:sz="0" w:space="0" w:color="auto"/>
            <w:right w:val="none" w:sz="0" w:space="0" w:color="auto"/>
          </w:divBdr>
        </w:div>
        <w:div w:id="1648630917">
          <w:marLeft w:val="0"/>
          <w:marRight w:val="0"/>
          <w:marTop w:val="0"/>
          <w:marBottom w:val="0"/>
          <w:divBdr>
            <w:top w:val="none" w:sz="0" w:space="0" w:color="auto"/>
            <w:left w:val="none" w:sz="0" w:space="0" w:color="auto"/>
            <w:bottom w:val="none" w:sz="0" w:space="0" w:color="auto"/>
            <w:right w:val="none" w:sz="0" w:space="0" w:color="auto"/>
          </w:divBdr>
        </w:div>
        <w:div w:id="510414740">
          <w:marLeft w:val="0"/>
          <w:marRight w:val="0"/>
          <w:marTop w:val="0"/>
          <w:marBottom w:val="0"/>
          <w:divBdr>
            <w:top w:val="none" w:sz="0" w:space="0" w:color="auto"/>
            <w:left w:val="none" w:sz="0" w:space="0" w:color="auto"/>
            <w:bottom w:val="none" w:sz="0" w:space="0" w:color="auto"/>
            <w:right w:val="none" w:sz="0" w:space="0" w:color="auto"/>
          </w:divBdr>
        </w:div>
        <w:div w:id="22036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uideline%20Development%20Group%5BCorporate%20Author%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6011</Words>
  <Characters>34263</Characters>
  <Application>Microsoft Office Word</Application>
  <DocSecurity>0</DocSecurity>
  <Lines>285</Lines>
  <Paragraphs>80</Paragraphs>
  <ScaleCrop>false</ScaleCrop>
  <Company>Hewlett-Packard Company</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Gastric varices</dc:title>
  <dc:creator>ΜΑΡΙΑ</dc:creator>
  <cp:lastModifiedBy>LS Ma</cp:lastModifiedBy>
  <cp:revision>2</cp:revision>
  <dcterms:created xsi:type="dcterms:W3CDTF">2014-04-16T03:21:00Z</dcterms:created>
  <dcterms:modified xsi:type="dcterms:W3CDTF">2014-04-16T03:21:00Z</dcterms:modified>
</cp:coreProperties>
</file>