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EEF180" w14:textId="77777777" w:rsidR="00F76B23" w:rsidRDefault="00DB35EC">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Diabetes</w:t>
      </w:r>
    </w:p>
    <w:p w14:paraId="47B3A48D" w14:textId="77777777" w:rsidR="00F76B23" w:rsidRDefault="00DB35EC">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72416</w:t>
      </w:r>
    </w:p>
    <w:p w14:paraId="51BC822C" w14:textId="77777777" w:rsidR="00F76B23" w:rsidRDefault="00DB35EC">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47DAC0BA" w14:textId="77777777" w:rsidR="00F76B23" w:rsidRDefault="00F76B23">
      <w:pPr>
        <w:spacing w:line="360" w:lineRule="auto"/>
        <w:jc w:val="both"/>
      </w:pPr>
    </w:p>
    <w:p w14:paraId="2E208B3E" w14:textId="77777777" w:rsidR="00F76B23" w:rsidRDefault="00DB35EC">
      <w:pPr>
        <w:spacing w:line="360" w:lineRule="auto"/>
        <w:jc w:val="both"/>
      </w:pPr>
      <w:r>
        <w:rPr>
          <w:rFonts w:ascii="Book Antiqua" w:eastAsia="Book Antiqua" w:hAnsi="Book Antiqua" w:cs="Book Antiqua"/>
          <w:b/>
          <w:i/>
          <w:color w:val="000000"/>
        </w:rPr>
        <w:t>Basic Study</w:t>
      </w:r>
    </w:p>
    <w:p w14:paraId="318AA40A" w14:textId="77777777" w:rsidR="00F76B23" w:rsidRDefault="00DB35EC">
      <w:pPr>
        <w:spacing w:line="360" w:lineRule="auto"/>
        <w:jc w:val="both"/>
      </w:pPr>
      <w:r>
        <w:rPr>
          <w:rFonts w:ascii="Book Antiqua" w:eastAsia="Book Antiqua" w:hAnsi="Book Antiqua" w:cs="Book Antiqua"/>
          <w:b/>
          <w:color w:val="000000"/>
        </w:rPr>
        <w:t>Long noncoding RNA X-inactive specific transcript regulates NLR family pyrin domain containing 3/caspase-1-mediated pyroptosis in diabetic nephropathy</w:t>
      </w:r>
    </w:p>
    <w:p w14:paraId="2EC3D74B" w14:textId="77777777" w:rsidR="00F76B23" w:rsidRDefault="00F76B23">
      <w:pPr>
        <w:spacing w:line="360" w:lineRule="auto"/>
        <w:jc w:val="both"/>
      </w:pPr>
    </w:p>
    <w:p w14:paraId="2A2732E9" w14:textId="77777777" w:rsidR="00F76B23" w:rsidRDefault="00DB35EC">
      <w:pPr>
        <w:spacing w:line="360" w:lineRule="auto"/>
        <w:jc w:val="both"/>
      </w:pPr>
      <w:r>
        <w:rPr>
          <w:rFonts w:ascii="Book Antiqua" w:eastAsia="Book Antiqua" w:hAnsi="Book Antiqua" w:cs="Book Antiqua"/>
          <w:color w:val="000000"/>
        </w:rPr>
        <w:t xml:space="preserve">Xu J </w:t>
      </w:r>
      <w:r>
        <w:rPr>
          <w:rFonts w:ascii="Book Antiqua" w:eastAsia="Book Antiqua" w:hAnsi="Book Antiqua" w:cs="Book Antiqua"/>
          <w:i/>
          <w:iCs/>
          <w:color w:val="000000"/>
        </w:rPr>
        <w:t xml:space="preserve">et al. </w:t>
      </w:r>
      <w:r>
        <w:rPr>
          <w:rFonts w:ascii="Book Antiqua" w:eastAsia="Book Antiqua" w:hAnsi="Book Antiqua" w:cs="Book Antiqua"/>
          <w:color w:val="000000"/>
        </w:rPr>
        <w:t>LncRNA-XIST regulates RTEC pyroptosis in DN</w:t>
      </w:r>
    </w:p>
    <w:p w14:paraId="3CD8E63E" w14:textId="77777777" w:rsidR="00F76B23" w:rsidRDefault="00F76B23">
      <w:pPr>
        <w:spacing w:line="360" w:lineRule="auto"/>
        <w:jc w:val="both"/>
      </w:pPr>
    </w:p>
    <w:p w14:paraId="6805AAF1" w14:textId="77777777" w:rsidR="00F76B23" w:rsidRDefault="00DB35EC">
      <w:pPr>
        <w:spacing w:line="360" w:lineRule="auto"/>
        <w:jc w:val="both"/>
      </w:pPr>
      <w:r>
        <w:rPr>
          <w:rFonts w:ascii="Book Antiqua" w:eastAsia="Book Antiqua" w:hAnsi="Book Antiqua" w:cs="Book Antiqua"/>
          <w:color w:val="000000"/>
        </w:rPr>
        <w:t>Jia Xu, Qin Wang, Yi-Fan Song, Xiao-Hui Xu, He Zhu, Pei-Dan Chen, Ye-Ping Ren</w:t>
      </w:r>
    </w:p>
    <w:p w14:paraId="3C7BD843" w14:textId="77777777" w:rsidR="00F76B23" w:rsidRDefault="00F76B23">
      <w:pPr>
        <w:spacing w:line="360" w:lineRule="auto"/>
        <w:jc w:val="both"/>
      </w:pPr>
    </w:p>
    <w:p w14:paraId="76244DB7" w14:textId="77777777" w:rsidR="00F76B23" w:rsidRDefault="00DB35EC">
      <w:pPr>
        <w:spacing w:line="360" w:lineRule="auto"/>
        <w:jc w:val="both"/>
      </w:pPr>
      <w:r>
        <w:rPr>
          <w:rFonts w:ascii="Book Antiqua" w:eastAsia="Book Antiqua" w:hAnsi="Book Antiqua" w:cs="Book Antiqua"/>
          <w:b/>
          <w:bCs/>
          <w:color w:val="000000"/>
        </w:rPr>
        <w:t xml:space="preserve">Jia Xu, Qin Wang, Yi-Fan Song, Xiao-Hui Xu, He Zhu, Pei-Dan Chen, Ye-Ping Ren, </w:t>
      </w:r>
      <w:r>
        <w:rPr>
          <w:rFonts w:ascii="Book Antiqua" w:eastAsia="Book Antiqua" w:hAnsi="Book Antiqua" w:cs="Book Antiqua"/>
          <w:color w:val="000000"/>
        </w:rPr>
        <w:t>Department of Nephrology, Shenzhen University General Hospital, Shenzhen 518000, Guangdong Province, China</w:t>
      </w:r>
    </w:p>
    <w:p w14:paraId="69C65B57" w14:textId="77777777" w:rsidR="00F76B23" w:rsidRDefault="00F76B23">
      <w:pPr>
        <w:spacing w:line="360" w:lineRule="auto"/>
        <w:jc w:val="both"/>
      </w:pPr>
    </w:p>
    <w:p w14:paraId="79AB0E2A" w14:textId="77777777" w:rsidR="00F76B23" w:rsidRDefault="00DB35EC">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Xu J, Wang Q, and Ren YP designed the research study; Song YF, Xu XH, Zhu H and Chen PD performed the research; Wang Q, Liang L and Xu XH analyzed the data and wrote the manuscript; all authors have read and approve the final manuscript.</w:t>
      </w:r>
    </w:p>
    <w:p w14:paraId="324B613D" w14:textId="77777777" w:rsidR="00F76B23" w:rsidRDefault="00F76B23">
      <w:pPr>
        <w:spacing w:line="360" w:lineRule="auto"/>
        <w:jc w:val="both"/>
      </w:pPr>
    </w:p>
    <w:p w14:paraId="10DE1DEE" w14:textId="77777777" w:rsidR="00F76B23" w:rsidRDefault="00DB35EC">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Natural Science Foundation of Shenzhen University General Hospital (SUGH2020QD011).</w:t>
      </w:r>
    </w:p>
    <w:p w14:paraId="342EF2DA" w14:textId="77777777" w:rsidR="00F76B23" w:rsidRDefault="00F76B23">
      <w:pPr>
        <w:spacing w:line="360" w:lineRule="auto"/>
        <w:jc w:val="both"/>
      </w:pPr>
    </w:p>
    <w:p w14:paraId="0827624D" w14:textId="77777777" w:rsidR="00F76B23" w:rsidRDefault="00DB35EC">
      <w:pPr>
        <w:spacing w:line="360" w:lineRule="auto"/>
        <w:jc w:val="both"/>
      </w:pPr>
      <w:r>
        <w:rPr>
          <w:rFonts w:ascii="Book Antiqua" w:eastAsia="Book Antiqua" w:hAnsi="Book Antiqua" w:cs="Book Antiqua"/>
          <w:b/>
          <w:bCs/>
          <w:color w:val="000000"/>
        </w:rPr>
        <w:t xml:space="preserve">Corresponding author: Ye-Ping Ren, PhD, Chief Doctor, </w:t>
      </w:r>
      <w:r>
        <w:rPr>
          <w:rFonts w:ascii="Book Antiqua" w:eastAsia="Book Antiqua" w:hAnsi="Book Antiqua" w:cs="Book Antiqua"/>
          <w:color w:val="000000"/>
        </w:rPr>
        <w:t>Department of Nephrology, Shenzhen University General Hospital, No. 1098 Xueyuan Road, Nanshan District, Shenzhen 518000, Guangdong Province, China. drrenyeping123@163.com</w:t>
      </w:r>
    </w:p>
    <w:p w14:paraId="69F2D3ED" w14:textId="77777777" w:rsidR="00F76B23" w:rsidRDefault="00F76B23">
      <w:pPr>
        <w:spacing w:line="360" w:lineRule="auto"/>
        <w:jc w:val="both"/>
      </w:pPr>
    </w:p>
    <w:p w14:paraId="23B90E88" w14:textId="77777777" w:rsidR="00F76B23" w:rsidRDefault="00DB35EC">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15, 2021</w:t>
      </w:r>
    </w:p>
    <w:p w14:paraId="0D6F2C4F" w14:textId="77777777" w:rsidR="00F76B23" w:rsidRDefault="00DB35EC">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24, 2022</w:t>
      </w:r>
    </w:p>
    <w:p w14:paraId="7D038F50" w14:textId="77777777" w:rsidR="00F76B23" w:rsidRDefault="00DB35EC">
      <w:pPr>
        <w:spacing w:line="360" w:lineRule="auto"/>
        <w:jc w:val="both"/>
      </w:pPr>
      <w:r>
        <w:rPr>
          <w:rFonts w:ascii="Book Antiqua" w:eastAsia="Book Antiqua" w:hAnsi="Book Antiqua" w:cs="Book Antiqua"/>
          <w:b/>
          <w:bCs/>
          <w:color w:val="000000"/>
        </w:rPr>
        <w:lastRenderedPageBreak/>
        <w:t xml:space="preserve">Accepted: </w:t>
      </w:r>
      <w:r>
        <w:rPr>
          <w:rFonts w:ascii="Book Antiqua" w:eastAsia="Book Antiqua" w:hAnsi="Book Antiqua" w:cs="Book Antiqua"/>
          <w:color w:val="000000"/>
        </w:rPr>
        <w:t>March 15, 2022</w:t>
      </w:r>
    </w:p>
    <w:p w14:paraId="0C9DEE3F" w14:textId="77777777" w:rsidR="00F76B23" w:rsidRDefault="00DB35EC">
      <w:pPr>
        <w:spacing w:line="360" w:lineRule="auto"/>
        <w:jc w:val="both"/>
      </w:pPr>
      <w:r>
        <w:rPr>
          <w:rFonts w:ascii="Book Antiqua" w:eastAsia="Book Antiqua" w:hAnsi="Book Antiqua" w:cs="Book Antiqua"/>
          <w:b/>
          <w:bCs/>
          <w:color w:val="000000"/>
        </w:rPr>
        <w:t xml:space="preserve">Published online: </w:t>
      </w:r>
      <w:r>
        <w:rPr>
          <w:rFonts w:ascii="Book Antiqua" w:eastAsia="Book Antiqua" w:hAnsi="Book Antiqua" w:cs="Book Antiqua"/>
          <w:color w:val="000000"/>
        </w:rPr>
        <w:t>April 15, 2022</w:t>
      </w:r>
    </w:p>
    <w:p w14:paraId="21C995DE" w14:textId="77777777" w:rsidR="00F76B23" w:rsidRDefault="00F76B23">
      <w:pPr>
        <w:spacing w:line="360" w:lineRule="auto"/>
        <w:jc w:val="both"/>
      </w:pPr>
    </w:p>
    <w:p w14:paraId="4D873B37" w14:textId="77777777" w:rsidR="00F76B23" w:rsidRDefault="00DB35EC">
      <w:pPr>
        <w:spacing w:line="360" w:lineRule="auto"/>
        <w:jc w:val="both"/>
      </w:pPr>
      <w:r>
        <w:rPr>
          <w:rFonts w:ascii="Book Antiqua" w:eastAsia="Book Antiqua" w:hAnsi="Book Antiqua" w:cs="Book Antiqua"/>
          <w:b/>
          <w:color w:val="000000"/>
        </w:rPr>
        <w:t>Abstract</w:t>
      </w:r>
    </w:p>
    <w:p w14:paraId="57F79774" w14:textId="77777777" w:rsidR="00F76B23" w:rsidRDefault="00DB35EC">
      <w:pPr>
        <w:spacing w:line="360" w:lineRule="auto"/>
        <w:jc w:val="both"/>
      </w:pPr>
      <w:r>
        <w:rPr>
          <w:rFonts w:ascii="Book Antiqua" w:eastAsia="Book Antiqua" w:hAnsi="Book Antiqua" w:cs="Book Antiqua"/>
          <w:color w:val="000000"/>
        </w:rPr>
        <w:t>BACKGROUND</w:t>
      </w:r>
    </w:p>
    <w:p w14:paraId="507A1B40" w14:textId="77777777" w:rsidR="00F76B23" w:rsidRDefault="00DB35EC">
      <w:pPr>
        <w:spacing w:line="360" w:lineRule="auto"/>
        <w:jc w:val="both"/>
      </w:pPr>
      <w:r>
        <w:rPr>
          <w:rFonts w:ascii="Book Antiqua" w:eastAsia="Book Antiqua" w:hAnsi="Book Antiqua" w:cs="Book Antiqua"/>
          <w:color w:val="000000"/>
        </w:rPr>
        <w:t>NLRP3-mediated pyroptosis is recognized as an essential modulator of renal disease pathology. Long noncoding RNAs (lncRNAs) are active participators of diabetic nephropathy (DN). X inactive specific transcript (XIST) expression has been reported to be elevated in the serum of DN patients.</w:t>
      </w:r>
    </w:p>
    <w:p w14:paraId="7774457B" w14:textId="77777777" w:rsidR="00F76B23" w:rsidRDefault="00F76B23">
      <w:pPr>
        <w:spacing w:line="360" w:lineRule="auto"/>
        <w:jc w:val="both"/>
      </w:pPr>
    </w:p>
    <w:p w14:paraId="429A7AB7" w14:textId="77777777" w:rsidR="00F76B23" w:rsidRDefault="00DB35EC">
      <w:pPr>
        <w:spacing w:line="360" w:lineRule="auto"/>
        <w:jc w:val="both"/>
      </w:pPr>
      <w:r>
        <w:rPr>
          <w:rFonts w:ascii="Book Antiqua" w:eastAsia="Book Antiqua" w:hAnsi="Book Antiqua" w:cs="Book Antiqua"/>
          <w:color w:val="000000"/>
        </w:rPr>
        <w:t>AIM</w:t>
      </w:r>
    </w:p>
    <w:p w14:paraId="3B62A236" w14:textId="77777777" w:rsidR="00F76B23" w:rsidRDefault="00DB35EC">
      <w:pPr>
        <w:spacing w:line="360" w:lineRule="auto"/>
        <w:jc w:val="both"/>
      </w:pPr>
      <w:r>
        <w:rPr>
          <w:rFonts w:ascii="Book Antiqua" w:eastAsia="Book Antiqua" w:hAnsi="Book Antiqua" w:cs="Book Antiqua"/>
          <w:color w:val="000000"/>
        </w:rPr>
        <w:t>To evaluate the mechanism of lncRNA XIST in renal tubular epithelial cell (RTEC) pyroptosis in DN.</w:t>
      </w:r>
    </w:p>
    <w:p w14:paraId="51F5C264" w14:textId="77777777" w:rsidR="00F76B23" w:rsidRDefault="00F76B23">
      <w:pPr>
        <w:spacing w:line="360" w:lineRule="auto"/>
        <w:jc w:val="both"/>
      </w:pPr>
    </w:p>
    <w:p w14:paraId="5C2F48D3" w14:textId="77777777" w:rsidR="00F76B23" w:rsidRDefault="00DB35EC">
      <w:pPr>
        <w:spacing w:line="360" w:lineRule="auto"/>
        <w:jc w:val="both"/>
      </w:pPr>
      <w:r>
        <w:rPr>
          <w:rFonts w:ascii="Book Antiqua" w:eastAsia="Book Antiqua" w:hAnsi="Book Antiqua" w:cs="Book Antiqua"/>
          <w:color w:val="000000"/>
        </w:rPr>
        <w:t>METHODS</w:t>
      </w:r>
    </w:p>
    <w:p w14:paraId="1D099FF8" w14:textId="77777777" w:rsidR="00F76B23" w:rsidRDefault="00DB35EC">
      <w:pPr>
        <w:spacing w:line="360" w:lineRule="auto"/>
        <w:jc w:val="both"/>
      </w:pPr>
      <w:r>
        <w:rPr>
          <w:rFonts w:ascii="Book Antiqua" w:eastAsia="Book Antiqua" w:hAnsi="Book Antiqua" w:cs="Book Antiqua"/>
          <w:color w:val="000000"/>
        </w:rPr>
        <w:t xml:space="preserve">A DN rat model was established through streptozotocin injection, and XIST was knocked down by tail vein injection of the lentivirus LV sh-XIST. Renal metabolic and biochemical indices were detected, and pathological changes in the renal tissue were assessed. The expression of indicators related to inflammation and pyroptosis was also detected. High glucose (HG) was used to treat HK2 cells, and cell </w:t>
      </w:r>
      <w:r>
        <w:rPr>
          <w:rFonts w:ascii="Book Antiqua" w:eastAsia="Book Antiqua" w:hAnsi="Book Antiqua" w:cs="Book Antiqua" w:hint="eastAsia"/>
          <w:color w:val="000000"/>
        </w:rPr>
        <w:t>viability</w:t>
      </w:r>
      <w:r>
        <w:rPr>
          <w:rFonts w:ascii="Book Antiqua" w:eastAsia="Book Antiqua" w:hAnsi="Book Antiqua" w:cs="Book Antiqua"/>
          <w:color w:val="000000"/>
        </w:rPr>
        <w:t xml:space="preserve"> and lactate dehydrogenase (LDH) activity were detected after silencing XIST. The subcellular localization and downstream mechanism of XIST were investigated. Finally, a rescue experiment was carried out to verify that XIST regulates NLR family pyrin domain containing 3 (NLRP3)/caspase-1-mediated RTEC pyroptosis through the microRNA-15-5p (miR-15b-5p)/Toll-like receptor 4 (TLR4) axis.</w:t>
      </w:r>
    </w:p>
    <w:p w14:paraId="154AB45A" w14:textId="77777777" w:rsidR="00F76B23" w:rsidRDefault="00F76B23">
      <w:pPr>
        <w:spacing w:line="360" w:lineRule="auto"/>
        <w:jc w:val="both"/>
      </w:pPr>
    </w:p>
    <w:p w14:paraId="6DF5B091" w14:textId="77777777" w:rsidR="00F76B23" w:rsidRDefault="00DB35EC">
      <w:pPr>
        <w:spacing w:line="360" w:lineRule="auto"/>
        <w:jc w:val="both"/>
      </w:pPr>
      <w:r>
        <w:rPr>
          <w:rFonts w:ascii="Book Antiqua" w:eastAsia="Book Antiqua" w:hAnsi="Book Antiqua" w:cs="Book Antiqua"/>
          <w:color w:val="000000"/>
        </w:rPr>
        <w:t>RESULTS</w:t>
      </w:r>
    </w:p>
    <w:p w14:paraId="05839CA5" w14:textId="77777777" w:rsidR="00F76B23" w:rsidRDefault="00DB35EC">
      <w:pPr>
        <w:spacing w:line="360" w:lineRule="auto"/>
        <w:jc w:val="both"/>
      </w:pPr>
      <w:r>
        <w:rPr>
          <w:rFonts w:ascii="Book Antiqua" w:eastAsia="Book Antiqua" w:hAnsi="Book Antiqua" w:cs="Book Antiqua"/>
          <w:color w:val="000000"/>
        </w:rPr>
        <w:t xml:space="preserve">XIST was highly expressed in the DN models. XIST silencing improved renal metabolism and biochemical indices and mitigated renal injury. The expression of inflammation and </w:t>
      </w:r>
      <w:r>
        <w:rPr>
          <w:rFonts w:ascii="Book Antiqua" w:eastAsia="Book Antiqua" w:hAnsi="Book Antiqua" w:cs="Book Antiqua"/>
          <w:color w:val="000000"/>
        </w:rPr>
        <w:lastRenderedPageBreak/>
        <w:t>pyroptosis indicators was significantly increased in DN rats and HG-treated HK2 cells; cell viability was decreased and LDH activity was increased after HG treatment. Silencing XIST inhibited RTEC pyroptosis by inhibiting NLRP3/caspase-1. Mechanistically, XIST sponged miR-15b-5p to regulate TLR4. Silencing XIST inhibited TLR4 by promoting miR-15b-5p. miR-15b-5p inhibition or TLR4 overexpression averted the inhibitory effect of silencing XIST on HG-induced RTEC pyroptosis.</w:t>
      </w:r>
    </w:p>
    <w:p w14:paraId="251D240F" w14:textId="77777777" w:rsidR="00F76B23" w:rsidRDefault="00F76B23">
      <w:pPr>
        <w:spacing w:line="360" w:lineRule="auto"/>
        <w:jc w:val="both"/>
      </w:pPr>
    </w:p>
    <w:p w14:paraId="69FD1D2D" w14:textId="77777777" w:rsidR="00F76B23" w:rsidRDefault="00DB35EC">
      <w:pPr>
        <w:spacing w:line="360" w:lineRule="auto"/>
        <w:jc w:val="both"/>
      </w:pPr>
      <w:r>
        <w:rPr>
          <w:rFonts w:ascii="Book Antiqua" w:eastAsia="Book Antiqua" w:hAnsi="Book Antiqua" w:cs="Book Antiqua"/>
          <w:color w:val="000000"/>
        </w:rPr>
        <w:t>CONCLUSION</w:t>
      </w:r>
    </w:p>
    <w:p w14:paraId="2E553D5C" w14:textId="77777777" w:rsidR="00F76B23" w:rsidRDefault="00DB35EC">
      <w:pPr>
        <w:spacing w:line="360" w:lineRule="auto"/>
        <w:jc w:val="both"/>
      </w:pPr>
      <w:r>
        <w:rPr>
          <w:rFonts w:ascii="Book Antiqua" w:eastAsia="Book Antiqua" w:hAnsi="Book Antiqua" w:cs="Book Antiqua"/>
          <w:color w:val="000000"/>
        </w:rPr>
        <w:t>Silencing XIST inhibits TLR4 by upregulating miR-15b-5p and ultimately inhibits renal injury in DN by inhibiting NLRP3/caspase-1-mediated RTEC pyroptosis.</w:t>
      </w:r>
    </w:p>
    <w:p w14:paraId="171FCF7C" w14:textId="77777777" w:rsidR="00F76B23" w:rsidRDefault="00F76B23">
      <w:pPr>
        <w:spacing w:line="360" w:lineRule="auto"/>
        <w:jc w:val="both"/>
      </w:pPr>
    </w:p>
    <w:p w14:paraId="3A679274" w14:textId="77777777" w:rsidR="00F76B23" w:rsidRDefault="00DB35EC">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Diabetic nephropathy; Pyroptosis; Renal tubular epithelial cell; Long noncoding RNA X-inactive specific transcript; microRNA-15b-5p; Toll-like receptor 4; NLR family pyrin domain containing 3/caspase-1 pathway</w:t>
      </w:r>
    </w:p>
    <w:p w14:paraId="4B9F1078" w14:textId="77777777" w:rsidR="006C73CE" w:rsidRDefault="006C73CE" w:rsidP="006C73CE">
      <w:pPr>
        <w:spacing w:line="360" w:lineRule="auto"/>
        <w:jc w:val="both"/>
      </w:pPr>
    </w:p>
    <w:p w14:paraId="3047AEF3" w14:textId="77777777" w:rsidR="006C73CE" w:rsidRDefault="006C73CE" w:rsidP="006C73CE">
      <w:pPr>
        <w:spacing w:line="360" w:lineRule="auto"/>
        <w:jc w:val="both"/>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Published by Baishideng Publishing Group Inc. All rights reserved.</w:t>
      </w:r>
    </w:p>
    <w:p w14:paraId="490F7492" w14:textId="77777777" w:rsidR="006C73CE" w:rsidRDefault="006C73CE" w:rsidP="006C73CE">
      <w:pPr>
        <w:spacing w:line="360" w:lineRule="auto"/>
        <w:jc w:val="both"/>
        <w:rPr>
          <w:rFonts w:ascii="Book Antiqua" w:eastAsia="Book Antiqua" w:hAnsi="Book Antiqua" w:cs="Book Antiqua"/>
          <w:color w:val="000000"/>
        </w:rPr>
      </w:pPr>
    </w:p>
    <w:p w14:paraId="70F7EC23" w14:textId="77777777" w:rsidR="006C73CE" w:rsidRDefault="006C73CE" w:rsidP="006C73CE">
      <w:pPr>
        <w:spacing w:line="360" w:lineRule="auto"/>
        <w:jc w:val="both"/>
        <w:rPr>
          <w:rFonts w:ascii="Book Antiqua" w:eastAsia="Book Antiqua" w:hAnsi="Book Antiqua" w:cs="Book Antiqua"/>
          <w:color w:val="000000"/>
        </w:rPr>
      </w:pPr>
      <w:bookmarkStart w:id="0" w:name="_Hlk86002783"/>
      <w:r>
        <w:rPr>
          <w:rFonts w:ascii="Book Antiqua" w:hAnsi="Book Antiqua" w:cs="Book Antiqua" w:hint="eastAsia"/>
          <w:b/>
          <w:color w:val="000000"/>
          <w:lang w:eastAsia="zh-CN"/>
        </w:rPr>
        <w:t>Citation:</w:t>
      </w:r>
      <w:bookmarkEnd w:id="0"/>
      <w:r>
        <w:rPr>
          <w:rFonts w:ascii="Book Antiqua" w:hAnsi="Book Antiqua" w:cs="Book Antiqua"/>
          <w:b/>
          <w:color w:val="000000"/>
          <w:lang w:eastAsia="zh-CN"/>
        </w:rPr>
        <w:t xml:space="preserve"> </w:t>
      </w:r>
      <w:r>
        <w:rPr>
          <w:rFonts w:ascii="Book Antiqua" w:eastAsia="Book Antiqua" w:hAnsi="Book Antiqua" w:cs="Book Antiqua"/>
          <w:color w:val="000000"/>
        </w:rPr>
        <w:t xml:space="preserve">Xu J, Wang Q, Song YF, Xu XH, Zhu H, Chen PD, Ren YP. Long noncoding RNA X-inactive specific transcript regulates NLR family pyrin domain containing 3/caspase-1-mediated pyroptosis in diabetic nephropathy. </w:t>
      </w:r>
      <w:r>
        <w:rPr>
          <w:rFonts w:ascii="Book Antiqua" w:eastAsia="Book Antiqua" w:hAnsi="Book Antiqua" w:cs="Book Antiqua"/>
          <w:i/>
          <w:iCs/>
          <w:color w:val="000000"/>
        </w:rPr>
        <w:t>World J Diabetes</w:t>
      </w:r>
      <w:r>
        <w:rPr>
          <w:rFonts w:ascii="Book Antiqua" w:eastAsia="Book Antiqua" w:hAnsi="Book Antiqua" w:cs="Book Antiqua"/>
          <w:color w:val="000000"/>
        </w:rPr>
        <w:t xml:space="preserve"> 2022;</w:t>
      </w:r>
      <w:r w:rsidRPr="00206B8A">
        <w:rPr>
          <w:rFonts w:ascii="Book Antiqua" w:eastAsia="Book Antiqua" w:hAnsi="Book Antiqua" w:cs="Book Antiqua"/>
          <w:color w:val="000000"/>
        </w:rPr>
        <w:t xml:space="preserve"> 13(4):</w:t>
      </w:r>
      <w:r>
        <w:rPr>
          <w:rFonts w:ascii="Book Antiqua" w:eastAsia="Book Antiqua" w:hAnsi="Book Antiqua" w:cs="Book Antiqua"/>
          <w:color w:val="000000"/>
        </w:rPr>
        <w:t xml:space="preserve"> 358</w:t>
      </w:r>
      <w:r w:rsidRPr="00206B8A">
        <w:rPr>
          <w:rFonts w:ascii="Book Antiqua" w:eastAsia="Book Antiqua" w:hAnsi="Book Antiqua" w:cs="Book Antiqua"/>
          <w:color w:val="000000"/>
        </w:rPr>
        <w:t>-</w:t>
      </w:r>
      <w:r>
        <w:rPr>
          <w:rFonts w:ascii="Book Antiqua" w:eastAsia="Book Antiqua" w:hAnsi="Book Antiqua" w:cs="Book Antiqua"/>
          <w:color w:val="000000"/>
        </w:rPr>
        <w:t>375</w:t>
      </w:r>
      <w:r w:rsidRPr="00B4484A">
        <w:rPr>
          <w:rFonts w:ascii="Book Antiqua" w:eastAsia="Book Antiqua" w:hAnsi="Book Antiqua" w:cs="Book Antiqua"/>
          <w:color w:val="000000"/>
        </w:rPr>
        <w:t xml:space="preserve"> </w:t>
      </w:r>
    </w:p>
    <w:p w14:paraId="722AF884" w14:textId="77777777" w:rsidR="006C73CE" w:rsidRDefault="006C73CE" w:rsidP="006C73CE">
      <w:pPr>
        <w:spacing w:line="360" w:lineRule="auto"/>
        <w:jc w:val="both"/>
        <w:rPr>
          <w:rFonts w:ascii="Book Antiqua" w:eastAsia="Book Antiqua" w:hAnsi="Book Antiqua" w:cs="Book Antiqua"/>
          <w:color w:val="000000"/>
        </w:rPr>
      </w:pPr>
      <w:r w:rsidRPr="00B4484A">
        <w:rPr>
          <w:rFonts w:ascii="Book Antiqua" w:eastAsia="Book Antiqua" w:hAnsi="Book Antiqua" w:cs="Book Antiqua"/>
          <w:b/>
          <w:bCs/>
          <w:color w:val="000000"/>
        </w:rPr>
        <w:t>URL</w:t>
      </w:r>
      <w:r w:rsidRPr="00B4484A">
        <w:rPr>
          <w:rFonts w:ascii="Book Antiqua" w:eastAsia="Book Antiqua" w:hAnsi="Book Antiqua" w:cs="Book Antiqua"/>
          <w:color w:val="000000"/>
        </w:rPr>
        <w:t xml:space="preserve">: </w:t>
      </w:r>
      <w:r w:rsidRPr="00B5718B">
        <w:rPr>
          <w:rFonts w:ascii="Book Antiqua" w:eastAsia="Book Antiqua" w:hAnsi="Book Antiqua" w:cs="Book Antiqua"/>
        </w:rPr>
        <w:t>https://www.wjgnet.com/1948-9358/full/v13/i</w:t>
      </w:r>
      <w:r w:rsidRPr="00B5718B">
        <w:rPr>
          <w:rFonts w:ascii="Book Antiqua" w:eastAsia="Book Antiqua" w:hAnsi="Book Antiqua" w:cs="Book Antiqua"/>
          <w:color w:val="000000"/>
        </w:rPr>
        <w:t>4/</w:t>
      </w:r>
      <w:r>
        <w:rPr>
          <w:rFonts w:ascii="Book Antiqua" w:eastAsia="Book Antiqua" w:hAnsi="Book Antiqua" w:cs="Book Antiqua"/>
          <w:color w:val="000000"/>
        </w:rPr>
        <w:t>358</w:t>
      </w:r>
      <w:r w:rsidRPr="00B5718B">
        <w:rPr>
          <w:rFonts w:ascii="Book Antiqua" w:eastAsia="Book Antiqua" w:hAnsi="Book Antiqua" w:cs="Book Antiqua"/>
          <w:color w:val="000000"/>
        </w:rPr>
        <w:t>.htm</w:t>
      </w:r>
      <w:r w:rsidRPr="00B4484A">
        <w:rPr>
          <w:rFonts w:ascii="Book Antiqua" w:eastAsia="Book Antiqua" w:hAnsi="Book Antiqua" w:cs="Book Antiqua"/>
          <w:color w:val="000000"/>
        </w:rPr>
        <w:t xml:space="preserve"> </w:t>
      </w:r>
    </w:p>
    <w:p w14:paraId="758CDF41" w14:textId="77777777" w:rsidR="006C73CE" w:rsidRPr="006703C2" w:rsidRDefault="006C73CE" w:rsidP="006C73CE">
      <w:pPr>
        <w:spacing w:line="360" w:lineRule="auto"/>
        <w:jc w:val="both"/>
        <w:rPr>
          <w:rFonts w:ascii="Book Antiqua" w:eastAsia="Book Antiqua" w:hAnsi="Book Antiqua" w:cs="Book Antiqua"/>
          <w:color w:val="000000"/>
        </w:rPr>
      </w:pPr>
      <w:r w:rsidRPr="00B4484A">
        <w:rPr>
          <w:rFonts w:ascii="Book Antiqua" w:eastAsia="Book Antiqua" w:hAnsi="Book Antiqua" w:cs="Book Antiqua"/>
          <w:b/>
          <w:bCs/>
          <w:color w:val="000000"/>
        </w:rPr>
        <w:t>DOI</w:t>
      </w:r>
      <w:r w:rsidRPr="00B4484A">
        <w:rPr>
          <w:rFonts w:ascii="Book Antiqua" w:eastAsia="Book Antiqua" w:hAnsi="Book Antiqua" w:cs="Book Antiqua"/>
          <w:color w:val="000000"/>
        </w:rPr>
        <w:t>:</w:t>
      </w:r>
      <w:r>
        <w:rPr>
          <w:rFonts w:ascii="Book Antiqua" w:eastAsia="Book Antiqua" w:hAnsi="Book Antiqua" w:cs="Book Antiqua"/>
          <w:color w:val="000000"/>
        </w:rPr>
        <w:t xml:space="preserve"> </w:t>
      </w:r>
      <w:r w:rsidRPr="00B4484A">
        <w:rPr>
          <w:rFonts w:ascii="Book Antiqua" w:eastAsia="Book Antiqua" w:hAnsi="Book Antiqua" w:cs="Book Antiqua"/>
          <w:color w:val="000000"/>
        </w:rPr>
        <w:t>https://dx.doi.org/10.4239/wjd.v13.i</w:t>
      </w:r>
      <w:r>
        <w:rPr>
          <w:rFonts w:ascii="Book Antiqua" w:eastAsia="Book Antiqua" w:hAnsi="Book Antiqua" w:cs="Book Antiqua"/>
          <w:color w:val="000000"/>
        </w:rPr>
        <w:t>4</w:t>
      </w:r>
      <w:r w:rsidRPr="00B4484A">
        <w:rPr>
          <w:rFonts w:ascii="Book Antiqua" w:eastAsia="Book Antiqua" w:hAnsi="Book Antiqua" w:cs="Book Antiqua"/>
          <w:color w:val="000000"/>
        </w:rPr>
        <w:t>.</w:t>
      </w:r>
      <w:r>
        <w:rPr>
          <w:rFonts w:ascii="Book Antiqua" w:eastAsia="Book Antiqua" w:hAnsi="Book Antiqua" w:cs="Book Antiqua"/>
          <w:color w:val="000000"/>
        </w:rPr>
        <w:t>358</w:t>
      </w:r>
      <w:r w:rsidRPr="00B4484A">
        <w:rPr>
          <w:rFonts w:ascii="Book Antiqua" w:eastAsia="Book Antiqua" w:hAnsi="Book Antiqua" w:cs="Book Antiqua"/>
          <w:color w:val="000000"/>
        </w:rPr>
        <w:t xml:space="preserve"> </w:t>
      </w:r>
    </w:p>
    <w:p w14:paraId="732FB16D" w14:textId="77777777" w:rsidR="00F76B23" w:rsidRDefault="00F76B23">
      <w:pPr>
        <w:spacing w:line="360" w:lineRule="auto"/>
        <w:jc w:val="both"/>
      </w:pPr>
    </w:p>
    <w:p w14:paraId="07B6A799" w14:textId="77777777" w:rsidR="00F76B23" w:rsidRDefault="00DB35EC">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We investigated the mechanism of long noncoding RNA X-inactive specific transcript (XIST) on NLR family pyrin domain containing 3/caspase-1-mediated renal tubular epithelial pyroptosis through the microRNA-15-5p/Toll-like receptor 4 axis and identified XIST as a possible molecular target to mediate renal tubular epithelial pyroptosis in the treatment of renal injury in diabetic nephropathy.</w:t>
      </w:r>
    </w:p>
    <w:p w14:paraId="05485BF2" w14:textId="77777777" w:rsidR="00F76B23" w:rsidRDefault="00F76B23">
      <w:pPr>
        <w:spacing w:line="360" w:lineRule="auto"/>
        <w:jc w:val="both"/>
        <w:rPr>
          <w:rFonts w:ascii="Book Antiqua" w:eastAsia="Book Antiqua" w:hAnsi="Book Antiqua" w:cs="Book Antiqua"/>
          <w:b/>
          <w:caps/>
          <w:color w:val="000000"/>
          <w:u w:val="single"/>
        </w:rPr>
        <w:sectPr w:rsidR="00F76B23">
          <w:footerReference w:type="default" r:id="rId8"/>
          <w:pgSz w:w="12240" w:h="15840"/>
          <w:pgMar w:top="1440" w:right="1440" w:bottom="1440" w:left="1440" w:header="720" w:footer="720" w:gutter="0"/>
          <w:cols w:space="720"/>
          <w:docGrid w:linePitch="360"/>
        </w:sectPr>
      </w:pPr>
    </w:p>
    <w:p w14:paraId="43FC11B4" w14:textId="77777777" w:rsidR="00F76B23" w:rsidRDefault="00DB35EC">
      <w:pPr>
        <w:spacing w:line="360" w:lineRule="auto"/>
        <w:jc w:val="both"/>
      </w:pPr>
      <w:r>
        <w:rPr>
          <w:rFonts w:ascii="Book Antiqua" w:eastAsia="Book Antiqua" w:hAnsi="Book Antiqua" w:cs="Book Antiqua"/>
          <w:b/>
          <w:caps/>
          <w:color w:val="000000"/>
          <w:u w:val="single"/>
        </w:rPr>
        <w:lastRenderedPageBreak/>
        <w:t>INTRODUCTION</w:t>
      </w:r>
    </w:p>
    <w:p w14:paraId="38400879" w14:textId="77777777" w:rsidR="00F76B23" w:rsidRDefault="00DB35EC">
      <w:pPr>
        <w:spacing w:line="360" w:lineRule="auto"/>
        <w:jc w:val="both"/>
      </w:pPr>
      <w:r>
        <w:rPr>
          <w:rFonts w:ascii="Book Antiqua" w:eastAsia="Book Antiqua" w:hAnsi="Book Antiqua" w:cs="Book Antiqua"/>
          <w:color w:val="000000"/>
        </w:rPr>
        <w:t>As a deleterious complication of diabetes and a critical cause of end-stage renal failure, diabetic nephropathy (DN) mainly manifests as morphological and functional abnormalities, such as glomerular hyperfiltration, natriuresis, proteinuria, the dysregulation of cell junction intercellular communication</w:t>
      </w:r>
      <w:r>
        <w:rPr>
          <w:rFonts w:ascii="Book Antiqua" w:eastAsia="Book Antiqua" w:hAnsi="Book Antiqua" w:cs="Book Antiqua"/>
          <w:color w:val="000000"/>
          <w:vertAlign w:val="superscript"/>
        </w:rPr>
        <w:t>[</w:t>
      </w:r>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xml:space="preserve"> and changes in the structure and function of the kidneys</w:t>
      </w:r>
      <w:r>
        <w:rPr>
          <w:rFonts w:ascii="Book Antiqua" w:eastAsia="Book Antiqua" w:hAnsi="Book Antiqua" w:cs="Book Antiqua"/>
          <w:color w:val="000000"/>
          <w:vertAlign w:val="superscript"/>
        </w:rPr>
        <w:t>[</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DN is characterized by thickening of the glomerular basement membranes, glomerular capillary damage, inflammation and oxidative stress, mesangium expansion, and urinary microalbumin</w:t>
      </w:r>
      <w:r>
        <w:rPr>
          <w:rFonts w:ascii="Book Antiqua" w:eastAsia="Book Antiqua" w:hAnsi="Book Antiqua" w:cs="Book Antiqua"/>
          <w:color w:val="000000"/>
          <w:vertAlign w:val="superscript"/>
        </w:rPr>
        <w:t>[</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The main process crucial for DN pathogenesis is the increased loss of renal cells, which consequentially leads to renal damage and renal dysfunctions involving alterations in structural integrity and glomerular filtration</w:t>
      </w:r>
      <w:r>
        <w:rPr>
          <w:rFonts w:ascii="Book Antiqua" w:eastAsia="Book Antiqua" w:hAnsi="Book Antiqua" w:cs="Book Antiqua"/>
          <w:color w:val="000000"/>
          <w:vertAlign w:val="superscript"/>
        </w:rPr>
        <w:t>[</w:t>
      </w:r>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 DN is triggered by many factors, such as dyslipidaemia, hyperglycaemia, haemodynamic abnormalities, and environmental and genetic causes</w:t>
      </w:r>
      <w:r>
        <w:rPr>
          <w:rFonts w:ascii="Book Antiqua" w:eastAsia="Book Antiqua" w:hAnsi="Book Antiqua" w:cs="Book Antiqua"/>
          <w:color w:val="000000"/>
          <w:vertAlign w:val="superscript"/>
        </w:rPr>
        <w:t>[</w:t>
      </w:r>
      <w:r>
        <w:rPr>
          <w:rFonts w:ascii="Book Antiqua" w:eastAsia="Book Antiqua" w:hAnsi="Book Antiqua" w:cs="Book Antiqua"/>
          <w:color w:val="000000"/>
          <w:szCs w:val="36"/>
          <w:vertAlign w:val="superscript"/>
        </w:rPr>
        <w:t>5,6]</w:t>
      </w:r>
      <w:r>
        <w:rPr>
          <w:rFonts w:ascii="Book Antiqua" w:eastAsia="Book Antiqua" w:hAnsi="Book Antiqua" w:cs="Book Antiqua"/>
          <w:color w:val="000000"/>
        </w:rPr>
        <w:t>. Additionally, evidence accumulated from experimental and clinical studies indicates that renal inflammation is key to determining the progression of renal injury</w:t>
      </w:r>
      <w:r>
        <w:rPr>
          <w:rFonts w:ascii="Book Antiqua" w:eastAsia="Book Antiqua" w:hAnsi="Book Antiqua" w:cs="Book Antiqua"/>
          <w:color w:val="000000"/>
          <w:vertAlign w:val="superscript"/>
        </w:rPr>
        <w:t>[</w:t>
      </w:r>
      <w:r>
        <w:rPr>
          <w:rFonts w:ascii="Book Antiqua" w:eastAsia="Book Antiqua" w:hAnsi="Book Antiqua" w:cs="Book Antiqua"/>
          <w:color w:val="000000"/>
          <w:szCs w:val="36"/>
          <w:vertAlign w:val="superscript"/>
        </w:rPr>
        <w:t>7]</w:t>
      </w:r>
      <w:r>
        <w:rPr>
          <w:rFonts w:ascii="Book Antiqua" w:eastAsia="Book Antiqua" w:hAnsi="Book Antiqua" w:cs="Book Antiqua"/>
          <w:color w:val="000000"/>
        </w:rPr>
        <w:t>. Despite the high mortality of diabetic patients with DN, effective treatment remains elusive. Identifying genetic determinants and understanding their roles in DN progression is crucial to develop effective diagnostic tools and treatments.</w:t>
      </w:r>
    </w:p>
    <w:p w14:paraId="0B91DAE2" w14:textId="77777777" w:rsidR="00F76B23" w:rsidRDefault="00DB35EC">
      <w:pPr>
        <w:spacing w:line="360" w:lineRule="auto"/>
        <w:ind w:firstLine="480"/>
        <w:jc w:val="both"/>
      </w:pPr>
      <w:r>
        <w:rPr>
          <w:rFonts w:ascii="Book Antiqua" w:eastAsia="Book Antiqua" w:hAnsi="Book Antiqua" w:cs="Book Antiqua"/>
          <w:color w:val="000000"/>
        </w:rPr>
        <w:t xml:space="preserve">Pyroptosis, a </w:t>
      </w:r>
      <w:r>
        <w:rPr>
          <w:rFonts w:ascii="Book Antiqua" w:eastAsia="Book Antiqua" w:hAnsi="Book Antiqua" w:cs="Book Antiqua" w:hint="eastAsia"/>
          <w:color w:val="000000"/>
        </w:rPr>
        <w:t>newly discovered</w:t>
      </w:r>
      <w:r>
        <w:rPr>
          <w:rFonts w:ascii="Book Antiqua" w:eastAsia="Book Antiqua" w:hAnsi="Book Antiqua" w:cs="Book Antiqua"/>
          <w:color w:val="000000"/>
        </w:rPr>
        <w:t xml:space="preserve"> mode of programmed cell death, is characterized by dependence on caspase-1 and NLRP3 inflammasome activation</w:t>
      </w:r>
      <w:r>
        <w:rPr>
          <w:rFonts w:ascii="Book Antiqua" w:eastAsia="Book Antiqua" w:hAnsi="Book Antiqua" w:cs="Book Antiqua"/>
          <w:color w:val="000000"/>
          <w:vertAlign w:val="superscript"/>
        </w:rPr>
        <w:t>[</w:t>
      </w:r>
      <w:r>
        <w:rPr>
          <w:rFonts w:ascii="Book Antiqua" w:eastAsia="Book Antiqua" w:hAnsi="Book Antiqua" w:cs="Book Antiqua"/>
          <w:color w:val="000000"/>
          <w:szCs w:val="36"/>
          <w:vertAlign w:val="superscript"/>
        </w:rPr>
        <w:t>8]</w:t>
      </w:r>
      <w:r>
        <w:rPr>
          <w:rFonts w:ascii="Book Antiqua" w:eastAsia="Book Antiqua" w:hAnsi="Book Antiqua" w:cs="Book Antiqua"/>
          <w:color w:val="000000"/>
        </w:rPr>
        <w:t>. The participation of pyroptosis in cancers, cardiovascular diseases, and microbial infection-related diseases has been intensively studied</w:t>
      </w:r>
      <w:r>
        <w:rPr>
          <w:rFonts w:ascii="Book Antiqua" w:eastAsia="Book Antiqua" w:hAnsi="Book Antiqua" w:cs="Book Antiqua"/>
          <w:color w:val="000000"/>
          <w:vertAlign w:val="superscript"/>
        </w:rPr>
        <w:t>[</w:t>
      </w:r>
      <w:r>
        <w:rPr>
          <w:rFonts w:ascii="Book Antiqua" w:eastAsia="Book Antiqua" w:hAnsi="Book Antiqua" w:cs="Book Antiqua"/>
          <w:color w:val="000000"/>
          <w:szCs w:val="36"/>
          <w:vertAlign w:val="superscript"/>
        </w:rPr>
        <w:t>9-11]</w:t>
      </w:r>
      <w:r>
        <w:rPr>
          <w:rFonts w:ascii="Book Antiqua" w:eastAsia="Book Antiqua" w:hAnsi="Book Antiqua" w:cs="Book Antiqua"/>
          <w:color w:val="000000"/>
        </w:rPr>
        <w:t>. Pyroptosis can cause cell death, inflammation, and renal injury, while inhibiting pyroptosis relieves pathological injury</w:t>
      </w:r>
      <w:r>
        <w:rPr>
          <w:rFonts w:ascii="Book Antiqua" w:eastAsia="Book Antiqua" w:hAnsi="Book Antiqua" w:cs="Book Antiqua"/>
          <w:color w:val="000000"/>
          <w:vertAlign w:val="superscript"/>
        </w:rPr>
        <w:t>[</w:t>
      </w:r>
      <w:r>
        <w:rPr>
          <w:rFonts w:ascii="Book Antiqua" w:eastAsia="Book Antiqua" w:hAnsi="Book Antiqua" w:cs="Book Antiqua"/>
          <w:color w:val="000000"/>
          <w:szCs w:val="36"/>
          <w:vertAlign w:val="superscript"/>
        </w:rPr>
        <w:t>12,13]</w:t>
      </w:r>
      <w:r>
        <w:rPr>
          <w:rFonts w:ascii="Book Antiqua" w:eastAsia="Book Antiqua" w:hAnsi="Book Antiqua" w:cs="Book Antiqua"/>
          <w:color w:val="000000"/>
        </w:rPr>
        <w:t>. The involvement and importance of pyroptosis in DN have recently been clarified</w:t>
      </w:r>
      <w:r>
        <w:rPr>
          <w:rFonts w:ascii="Book Antiqua" w:eastAsia="Book Antiqua" w:hAnsi="Book Antiqua" w:cs="Book Antiqua"/>
          <w:color w:val="000000"/>
          <w:vertAlign w:val="superscript"/>
        </w:rPr>
        <w:t>[</w:t>
      </w:r>
      <w:r>
        <w:rPr>
          <w:rFonts w:ascii="Book Antiqua" w:eastAsia="Book Antiqua" w:hAnsi="Book Antiqua" w:cs="Book Antiqua"/>
          <w:color w:val="000000"/>
          <w:szCs w:val="36"/>
          <w:vertAlign w:val="superscript"/>
        </w:rPr>
        <w:t>14]</w:t>
      </w:r>
      <w:r>
        <w:rPr>
          <w:rFonts w:ascii="Book Antiqua" w:eastAsia="Book Antiqua" w:hAnsi="Book Antiqua" w:cs="Book Antiqua"/>
          <w:color w:val="000000"/>
        </w:rPr>
        <w:t>. Increasing evidence suggests that pyroptosis and the subsequent inflammatory response play key roles in DN pathogenesis</w:t>
      </w:r>
      <w:r>
        <w:rPr>
          <w:rFonts w:ascii="Book Antiqua" w:eastAsia="Book Antiqua" w:hAnsi="Book Antiqua" w:cs="Book Antiqua"/>
          <w:color w:val="000000"/>
          <w:vertAlign w:val="superscript"/>
        </w:rPr>
        <w:t>[</w:t>
      </w:r>
      <w:r>
        <w:rPr>
          <w:rFonts w:ascii="Book Antiqua" w:eastAsia="Book Antiqua" w:hAnsi="Book Antiqua" w:cs="Book Antiqua"/>
          <w:color w:val="000000"/>
          <w:szCs w:val="36"/>
          <w:vertAlign w:val="superscript"/>
        </w:rPr>
        <w:t>15-17]</w:t>
      </w:r>
      <w:r>
        <w:rPr>
          <w:rFonts w:ascii="Book Antiqua" w:eastAsia="Book Antiqua" w:hAnsi="Book Antiqua" w:cs="Book Antiqua"/>
          <w:color w:val="000000"/>
        </w:rPr>
        <w:t>.</w:t>
      </w:r>
    </w:p>
    <w:p w14:paraId="7586CA2B" w14:textId="77777777" w:rsidR="00F76B23" w:rsidRDefault="00DB35EC">
      <w:pPr>
        <w:spacing w:line="360" w:lineRule="auto"/>
        <w:ind w:firstLine="480"/>
        <w:jc w:val="both"/>
      </w:pPr>
      <w:r>
        <w:rPr>
          <w:rFonts w:ascii="Book Antiqua" w:eastAsia="Book Antiqua" w:hAnsi="Book Antiqua" w:cs="Book Antiqua"/>
          <w:color w:val="000000"/>
        </w:rPr>
        <w:t>Noncoding RNAs (ncRNAs), such as microRNAs (miRNAs), long noncoding RNAs (lncRNAs), and circular RNAs, participate in DN pathogenesis by regulating inflammation, apoptosis, and other pathological processes</w:t>
      </w:r>
      <w:r>
        <w:rPr>
          <w:rFonts w:ascii="Book Antiqua" w:eastAsia="Book Antiqua" w:hAnsi="Book Antiqua" w:cs="Book Antiqua"/>
          <w:color w:val="000000"/>
          <w:vertAlign w:val="superscript"/>
        </w:rPr>
        <w:t>[</w:t>
      </w:r>
      <w:r>
        <w:rPr>
          <w:rFonts w:ascii="Book Antiqua" w:eastAsia="Book Antiqua" w:hAnsi="Book Antiqua" w:cs="Book Antiqua"/>
          <w:color w:val="000000"/>
          <w:szCs w:val="36"/>
          <w:vertAlign w:val="superscript"/>
        </w:rPr>
        <w:t>18,19]</w:t>
      </w:r>
      <w:r>
        <w:rPr>
          <w:rFonts w:ascii="Book Antiqua" w:eastAsia="Book Antiqua" w:hAnsi="Book Antiqua" w:cs="Book Antiqua"/>
          <w:color w:val="000000"/>
        </w:rPr>
        <w:t xml:space="preserve">. A recent study reported that DN progression is closely related to lncRNA expression, which is important for the </w:t>
      </w:r>
      <w:r>
        <w:rPr>
          <w:rFonts w:ascii="Book Antiqua" w:eastAsia="Book Antiqua" w:hAnsi="Book Antiqua" w:cs="Book Antiqua"/>
          <w:color w:val="000000"/>
        </w:rPr>
        <w:lastRenderedPageBreak/>
        <w:t>early diagnosis of DN and targeted interventions</w:t>
      </w:r>
      <w:r>
        <w:rPr>
          <w:rFonts w:ascii="Book Antiqua" w:eastAsia="Book Antiqua" w:hAnsi="Book Antiqua" w:cs="Book Antiqua"/>
          <w:color w:val="000000"/>
          <w:vertAlign w:val="superscript"/>
        </w:rPr>
        <w:t>[</w:t>
      </w:r>
      <w:r>
        <w:rPr>
          <w:rFonts w:ascii="Book Antiqua" w:eastAsia="Book Antiqua" w:hAnsi="Book Antiqua" w:cs="Book Antiqua"/>
          <w:color w:val="000000"/>
          <w:szCs w:val="36"/>
          <w:vertAlign w:val="superscript"/>
        </w:rPr>
        <w:t>20]</w:t>
      </w:r>
      <w:r>
        <w:rPr>
          <w:rFonts w:ascii="Book Antiqua" w:eastAsia="Book Antiqua" w:hAnsi="Book Antiqua" w:cs="Book Antiqua"/>
          <w:color w:val="000000"/>
        </w:rPr>
        <w:t>. XIST expression is elevated in the serum of DN patients</w:t>
      </w:r>
      <w:r>
        <w:rPr>
          <w:rFonts w:ascii="Book Antiqua" w:eastAsia="Book Antiqua" w:hAnsi="Book Antiqua" w:cs="Book Antiqua"/>
          <w:color w:val="000000"/>
          <w:vertAlign w:val="superscript"/>
        </w:rPr>
        <w:t>[</w:t>
      </w:r>
      <w:r>
        <w:rPr>
          <w:rFonts w:ascii="Book Antiqua" w:eastAsia="Book Antiqua" w:hAnsi="Book Antiqua" w:cs="Book Antiqua"/>
          <w:color w:val="000000"/>
          <w:szCs w:val="36"/>
          <w:vertAlign w:val="superscript"/>
        </w:rPr>
        <w:t>21]</w:t>
      </w:r>
      <w:r>
        <w:rPr>
          <w:rFonts w:ascii="Book Antiqua" w:eastAsia="Book Antiqua" w:hAnsi="Book Antiqua" w:cs="Book Antiqua"/>
          <w:color w:val="000000"/>
        </w:rPr>
        <w:t xml:space="preserve">. Silencing XIST protects against renal interstitial fibrosis in DN mice </w:t>
      </w:r>
      <w:r>
        <w:rPr>
          <w:rFonts w:ascii="Book Antiqua" w:eastAsia="Book Antiqua" w:hAnsi="Book Antiqua" w:cs="Book Antiqua"/>
          <w:i/>
          <w:iCs/>
          <w:color w:val="000000"/>
        </w:rPr>
        <w:t>via</w:t>
      </w:r>
      <w:r>
        <w:rPr>
          <w:rFonts w:ascii="Book Antiqua" w:eastAsia="Book Antiqua" w:hAnsi="Book Antiqua" w:cs="Book Antiqua"/>
          <w:color w:val="000000"/>
        </w:rPr>
        <w:t xml:space="preserve"> miR-93-5p</w:t>
      </w:r>
      <w:r>
        <w:rPr>
          <w:rFonts w:ascii="Book Antiqua" w:eastAsia="Book Antiqua" w:hAnsi="Book Antiqua" w:cs="Book Antiqua"/>
          <w:color w:val="000000"/>
          <w:vertAlign w:val="superscript"/>
        </w:rPr>
        <w:t>[</w:t>
      </w:r>
      <w:r>
        <w:rPr>
          <w:rFonts w:ascii="Book Antiqua" w:eastAsia="Book Antiqua" w:hAnsi="Book Antiqua" w:cs="Book Antiqua"/>
          <w:color w:val="000000"/>
          <w:szCs w:val="36"/>
          <w:vertAlign w:val="superscript"/>
        </w:rPr>
        <w:t>22]</w:t>
      </w:r>
      <w:r>
        <w:rPr>
          <w:rFonts w:ascii="Book Antiqua" w:eastAsia="Book Antiqua" w:hAnsi="Book Antiqua" w:cs="Book Antiqua"/>
          <w:color w:val="000000"/>
        </w:rPr>
        <w:t>. XIST also regulates pyroptosis in lung cancer</w:t>
      </w:r>
      <w:r>
        <w:rPr>
          <w:rFonts w:ascii="Book Antiqua" w:eastAsia="Book Antiqua" w:hAnsi="Book Antiqua" w:cs="Book Antiqua"/>
          <w:color w:val="000000"/>
          <w:vertAlign w:val="superscript"/>
        </w:rPr>
        <w:t>[</w:t>
      </w:r>
      <w:r>
        <w:rPr>
          <w:rFonts w:ascii="Book Antiqua" w:eastAsia="Book Antiqua" w:hAnsi="Book Antiqua" w:cs="Book Antiqua"/>
          <w:color w:val="000000"/>
          <w:szCs w:val="36"/>
          <w:vertAlign w:val="superscript"/>
        </w:rPr>
        <w:t>23]</w:t>
      </w:r>
      <w:r>
        <w:rPr>
          <w:rFonts w:ascii="Book Antiqua" w:eastAsia="Book Antiqua" w:hAnsi="Book Antiqua" w:cs="Book Antiqua"/>
          <w:color w:val="000000"/>
        </w:rPr>
        <w:t>, but its effect on renal tubular epithelial cell (RTEC) pyroptosis is unknown. miRNAs are well-known biomarkers used in DN diagnosis, and miRNA profile alterations significantly correlate with DN and renal dysfunction</w:t>
      </w:r>
      <w:r>
        <w:rPr>
          <w:rFonts w:ascii="Book Antiqua" w:eastAsia="Book Antiqua" w:hAnsi="Book Antiqua" w:cs="Book Antiqua"/>
          <w:color w:val="000000"/>
          <w:vertAlign w:val="superscript"/>
        </w:rPr>
        <w:t>[</w:t>
      </w:r>
      <w:r>
        <w:rPr>
          <w:rFonts w:ascii="Book Antiqua" w:eastAsia="Book Antiqua" w:hAnsi="Book Antiqua" w:cs="Book Antiqua"/>
          <w:color w:val="000000"/>
          <w:szCs w:val="36"/>
          <w:vertAlign w:val="superscript"/>
        </w:rPr>
        <w:t>24]</w:t>
      </w:r>
      <w:r>
        <w:rPr>
          <w:rFonts w:ascii="Book Antiqua" w:eastAsia="Book Antiqua" w:hAnsi="Book Antiqua" w:cs="Book Antiqua"/>
          <w:color w:val="000000"/>
        </w:rPr>
        <w:t>. miR-15b-5p is downregulated in urinary exosomes of DN patients compared with healthy controls</w:t>
      </w:r>
      <w:r>
        <w:rPr>
          <w:rFonts w:ascii="Book Antiqua" w:eastAsia="Book Antiqua" w:hAnsi="Book Antiqua" w:cs="Book Antiqua"/>
          <w:color w:val="000000"/>
          <w:vertAlign w:val="superscript"/>
        </w:rPr>
        <w:t>[</w:t>
      </w:r>
      <w:r>
        <w:rPr>
          <w:rFonts w:ascii="Book Antiqua" w:eastAsia="Book Antiqua" w:hAnsi="Book Antiqua" w:cs="Book Antiqua"/>
          <w:color w:val="000000"/>
          <w:szCs w:val="36"/>
          <w:vertAlign w:val="superscript"/>
        </w:rPr>
        <w:t>6]</w:t>
      </w:r>
      <w:r>
        <w:rPr>
          <w:rFonts w:ascii="Book Antiqua" w:eastAsia="Book Antiqua" w:hAnsi="Book Antiqua" w:cs="Book Antiqua"/>
          <w:color w:val="000000"/>
        </w:rPr>
        <w:t>. Moreover, the miR-15a-5p-XIST-CUL3 competing endogenous RNA (ceRNA) network is involved in the mechanism of sepsis-induced acute kidney injury</w:t>
      </w:r>
      <w:r>
        <w:rPr>
          <w:rFonts w:ascii="Book Antiqua" w:eastAsia="Book Antiqua" w:hAnsi="Book Antiqua" w:cs="Book Antiqua"/>
          <w:color w:val="000000"/>
          <w:vertAlign w:val="superscript"/>
        </w:rPr>
        <w:t>[</w:t>
      </w:r>
      <w:r>
        <w:rPr>
          <w:rFonts w:ascii="Book Antiqua" w:eastAsia="Book Antiqua" w:hAnsi="Book Antiqua" w:cs="Book Antiqua"/>
          <w:color w:val="000000"/>
          <w:szCs w:val="36"/>
          <w:vertAlign w:val="superscript"/>
        </w:rPr>
        <w:t>25]</w:t>
      </w:r>
      <w:r>
        <w:rPr>
          <w:rFonts w:ascii="Book Antiqua" w:eastAsia="Book Antiqua" w:hAnsi="Book Antiqua" w:cs="Book Antiqua"/>
          <w:color w:val="000000"/>
        </w:rPr>
        <w:t>. Whether there is a ceRNA loop involving XIST and miR-15b-5p in RTECs in DN progression is largely unknown. Therefore, we studied the mechanism of lncRNA XIST in RTEC pyroptosis and provide a new theoretical basis for XIST as a molecular target to mediate RTEC pyroptosis in DN management.</w:t>
      </w:r>
    </w:p>
    <w:p w14:paraId="4F06CB0E" w14:textId="77777777" w:rsidR="00F76B23" w:rsidRDefault="00F76B23">
      <w:pPr>
        <w:spacing w:line="360" w:lineRule="auto"/>
        <w:jc w:val="both"/>
      </w:pPr>
    </w:p>
    <w:p w14:paraId="52A8C69B" w14:textId="77777777" w:rsidR="00F76B23" w:rsidRDefault="00DB35EC">
      <w:pPr>
        <w:spacing w:line="360" w:lineRule="auto"/>
        <w:jc w:val="both"/>
      </w:pPr>
      <w:r>
        <w:rPr>
          <w:rFonts w:ascii="Book Antiqua" w:eastAsia="Book Antiqua" w:hAnsi="Book Antiqua" w:cs="Book Antiqua"/>
          <w:b/>
          <w:caps/>
          <w:color w:val="000000"/>
          <w:u w:val="single"/>
        </w:rPr>
        <w:t>MATERIALS AND METHODS</w:t>
      </w:r>
    </w:p>
    <w:p w14:paraId="2FD7FF14" w14:textId="77777777" w:rsidR="00F76B23" w:rsidRDefault="00DB35EC">
      <w:pPr>
        <w:spacing w:line="360" w:lineRule="auto"/>
        <w:jc w:val="both"/>
        <w:rPr>
          <w:b/>
          <w:bCs/>
          <w:i/>
          <w:iCs/>
        </w:rPr>
      </w:pPr>
      <w:r>
        <w:rPr>
          <w:rFonts w:ascii="Book Antiqua" w:eastAsia="Book Antiqua" w:hAnsi="Book Antiqua" w:cs="Book Antiqua"/>
          <w:b/>
          <w:bCs/>
          <w:i/>
          <w:iCs/>
          <w:color w:val="000000"/>
        </w:rPr>
        <w:t>DN model establishment and treatment</w:t>
      </w:r>
    </w:p>
    <w:p w14:paraId="0C6162C8" w14:textId="2FAA3843" w:rsidR="00F76B23" w:rsidRDefault="00DB35EC">
      <w:pPr>
        <w:spacing w:line="360" w:lineRule="auto"/>
        <w:jc w:val="both"/>
      </w:pPr>
      <w:r>
        <w:rPr>
          <w:rFonts w:ascii="Book Antiqua" w:eastAsia="Book Antiqua" w:hAnsi="Book Antiqua" w:cs="Book Antiqua"/>
          <w:color w:val="000000"/>
        </w:rPr>
        <w:t>Male Sprague–Dawley rats (8 wk, 300-320 g) were provided by Shanghai Experimental Animal Center (Shanghai, China) and raised in a specific pathogen-free animal room at 25</w:t>
      </w:r>
      <w:r w:rsidR="00270D2E">
        <w:rPr>
          <w:rFonts w:ascii="Book Antiqua" w:eastAsia="Book Antiqua" w:hAnsi="Book Antiqua" w:cs="Book Antiqua"/>
          <w:color w:val="000000"/>
        </w:rPr>
        <w:t xml:space="preserve"> </w:t>
      </w:r>
      <w:r>
        <w:rPr>
          <w:rFonts w:ascii="Book Antiqua" w:eastAsia="Book Antiqua" w:hAnsi="Book Antiqua" w:cs="Book Antiqua"/>
          <w:color w:val="000000"/>
        </w:rPr>
        <w:t xml:space="preserve">°C under a 12/12 h light-dark cycle with free access to food and water. The model was established after one week of adaptive feeding. Streptozotocin (STZ, 50 mg/kg, S0130, Sigma, United States) was used to establish the DN rat model. STZ was dissolved in 0.1 M citric acid buffer. The DN model was established by injecting STZ (intraperitoneal injection, i.p.) once per day for 5 d. Fasting blood glucose levels were measured 5-7 d after injection, and rats with fasting blood glucose levels above 16.5 mmol/L for 3 consecutive days were identified as successful DN models. Rats in the control group were injected with an equal volume of citrate buffer (P4809, Sigma, United States). The rats were allocated into a control group, DN group, DN + LV-sh-NC group, and DN + LV-sh-XIST group. Each rat was numbered according to its weight and divided into groups according to the random number method. There were 8 rats in each group, for a total of 32 rats. The health status of the rats was monitored every 2 d. If weight loss was &gt; 15%, the rat was </w:t>
      </w:r>
      <w:r>
        <w:rPr>
          <w:rFonts w:ascii="Book Antiqua" w:eastAsia="Book Antiqua" w:hAnsi="Book Antiqua" w:cs="Book Antiqua"/>
          <w:color w:val="000000"/>
        </w:rPr>
        <w:lastRenderedPageBreak/>
        <w:t>euthanized; however, no animals died before the end of the experiment. After successful model establishment (Day 7 after STZ injection), the DN rats were injected with LV-sh-NC or LV-sh-XIST lentiviral interference vectors (200 μL, GenePharma, Shanghai, China). All DN rats were sacrificed by intraperitoneal injection of pentobarbital (100 mg/kg, P-010, Sigma United States) on the 21</w:t>
      </w:r>
      <w:r>
        <w:rPr>
          <w:rFonts w:ascii="Book Antiqua" w:eastAsia="Book Antiqua" w:hAnsi="Book Antiqua" w:cs="Book Antiqua"/>
          <w:color w:val="000000"/>
          <w:vertAlign w:val="superscript"/>
        </w:rPr>
        <w:t>st</w:t>
      </w:r>
      <w:r>
        <w:rPr>
          <w:rFonts w:ascii="Book Antiqua" w:eastAsia="Book Antiqua" w:hAnsi="Book Antiqua" w:cs="Book Antiqua"/>
          <w:color w:val="000000"/>
        </w:rPr>
        <w:t xml:space="preserve"> day after STZ injection. All appropriate measures were taken to minimize the pain and discomfort of the animals.</w:t>
      </w:r>
    </w:p>
    <w:p w14:paraId="0F175532" w14:textId="77777777" w:rsidR="00F76B23" w:rsidRDefault="00F76B23">
      <w:pPr>
        <w:spacing w:line="360" w:lineRule="auto"/>
        <w:jc w:val="both"/>
      </w:pPr>
    </w:p>
    <w:p w14:paraId="0D2C1E08" w14:textId="77777777" w:rsidR="00F76B23" w:rsidRDefault="00DB35EC">
      <w:pPr>
        <w:spacing w:line="360" w:lineRule="auto"/>
        <w:jc w:val="both"/>
      </w:pPr>
      <w:r>
        <w:rPr>
          <w:rFonts w:ascii="Book Antiqua" w:eastAsia="Book Antiqua" w:hAnsi="Book Antiqua" w:cs="Book Antiqua"/>
          <w:b/>
          <w:bCs/>
          <w:i/>
          <w:iCs/>
          <w:color w:val="000000"/>
        </w:rPr>
        <w:t>Detection of renal metabolic and biochemical indices in rats</w:t>
      </w:r>
    </w:p>
    <w:p w14:paraId="7088DB97" w14:textId="18FD2338" w:rsidR="00F76B23" w:rsidRDefault="00DB35EC">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rats were placed in the metabolic cage alone, and urine protein for 24 h (UP 24 h) was collected. On the 20th day after STZ injection, rats in each group  fasted overnight and then weighed. Tail vein blood samples were then analyzed by a portable blood glucose meter (OneTouch Ultra Easy, Johnson &amp; Johnson, NJ, United States) to measure fasting blood glucose (FBG). Blood samples were collected from the posterior orbital venous plexus. Serum samples were separated from the blood samples by centrifugation (1000 g, 10 min, 4</w:t>
      </w:r>
      <w:r w:rsidR="00270D2E">
        <w:rPr>
          <w:rFonts w:ascii="Book Antiqua" w:eastAsia="Book Antiqua" w:hAnsi="Book Antiqua" w:cs="Book Antiqua"/>
          <w:color w:val="000000"/>
        </w:rPr>
        <w:t xml:space="preserve"> °C</w:t>
      </w:r>
      <w:r>
        <w:rPr>
          <w:rFonts w:ascii="Book Antiqua" w:eastAsia="Book Antiqua" w:hAnsi="Book Antiqua" w:cs="Book Antiqua"/>
          <w:color w:val="000000"/>
        </w:rPr>
        <w:t xml:space="preserve">). The rats were euthanized by excessive pentobarbital (100 mg/kg, i.p.), and the kidney was collected and weighed. KW/BW was calculated according to the following formula: </w:t>
      </w:r>
    </w:p>
    <w:p w14:paraId="4D5D2305" w14:textId="77777777" w:rsidR="00F76B23" w:rsidRDefault="00DB35EC">
      <w:pPr>
        <w:spacing w:line="360" w:lineRule="auto"/>
        <w:ind w:firstLineChars="200" w:firstLine="480"/>
        <w:jc w:val="both"/>
      </w:pPr>
      <w:r>
        <w:rPr>
          <w:rFonts w:ascii="Book Antiqua" w:eastAsia="Book Antiqua" w:hAnsi="Book Antiqua" w:cs="Book Antiqua"/>
          <w:color w:val="000000"/>
        </w:rPr>
        <w:t>KW/BW = kidney weight (g)/body weight (g).</w:t>
      </w:r>
    </w:p>
    <w:p w14:paraId="091557B4" w14:textId="77777777" w:rsidR="00F76B23" w:rsidRDefault="00DB35EC">
      <w:pPr>
        <w:spacing w:line="360" w:lineRule="auto"/>
        <w:ind w:firstLine="480"/>
        <w:jc w:val="both"/>
      </w:pPr>
      <w:r>
        <w:rPr>
          <w:rFonts w:ascii="Book Antiqua" w:eastAsia="Book Antiqua" w:hAnsi="Book Antiqua" w:cs="Book Antiqua"/>
          <w:color w:val="000000"/>
        </w:rPr>
        <w:t>According to the manufacturer's instructions, blood urea nitrogen (BUN) was detected by a UREA/BUN assay kit (Changchun Huili Biotech, Changchun, China); serum creatinine (Cr) was detected by a Cr assay kit (Huili Biotech); and UP 24 h was detected by an UP assay kit (Nanjing Jiancheng, Nanjing, China). These parameters were analyzed with a 240 or 800 Automated Chemistry Analyser (Rayto, Shenzhen, China).</w:t>
      </w:r>
    </w:p>
    <w:p w14:paraId="12D2428D" w14:textId="77777777" w:rsidR="00F76B23" w:rsidRDefault="00F76B23">
      <w:pPr>
        <w:spacing w:line="360" w:lineRule="auto"/>
        <w:ind w:firstLine="480"/>
        <w:jc w:val="both"/>
      </w:pPr>
    </w:p>
    <w:p w14:paraId="274FCA81" w14:textId="77777777" w:rsidR="00F76B23" w:rsidRDefault="00DB35EC">
      <w:pPr>
        <w:spacing w:line="360" w:lineRule="auto"/>
        <w:jc w:val="both"/>
      </w:pPr>
      <w:r>
        <w:rPr>
          <w:rFonts w:ascii="Book Antiqua" w:eastAsia="Book Antiqua" w:hAnsi="Book Antiqua" w:cs="Book Antiqua"/>
          <w:b/>
          <w:bCs/>
          <w:i/>
          <w:iCs/>
          <w:color w:val="000000"/>
        </w:rPr>
        <w:t>Histological staining of kidney tissue</w:t>
      </w:r>
    </w:p>
    <w:p w14:paraId="3B1881F1" w14:textId="77777777" w:rsidR="00F76B23" w:rsidRDefault="00DB35EC">
      <w:pPr>
        <w:spacing w:line="360" w:lineRule="auto"/>
        <w:jc w:val="both"/>
      </w:pPr>
      <w:r>
        <w:rPr>
          <w:rFonts w:ascii="Book Antiqua" w:eastAsia="Book Antiqua" w:hAnsi="Book Antiqua" w:cs="Book Antiqua"/>
          <w:color w:val="000000"/>
        </w:rPr>
        <w:t xml:space="preserve">The rats were sacrificed, and the kidneys were collected. The kidneys were fixed with 16 g/L paraformaldehyde solution for 24 h and then embedded in paraffin. Serial sections of 4 μm thickness were cut from paraffined blocks and subjected to haematoxylin and eosin (HE), periodic acid Schiff (PAS), and Masson's trichrome staining and observed </w:t>
      </w:r>
      <w:r>
        <w:rPr>
          <w:rFonts w:ascii="Book Antiqua" w:eastAsia="Book Antiqua" w:hAnsi="Book Antiqua" w:cs="Book Antiqua"/>
          <w:color w:val="000000"/>
        </w:rPr>
        <w:lastRenderedPageBreak/>
        <w:t>under a light microscope (TI-S, Nikon, Japan). The pathological analysis was performed by 2 pathologists unaware of this study using ImageJ (NIH, Bethesda, MD, United States). The glomerular volume was calculated as follows: V = 4/3 π (D/2)</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where D is the geometric mean of the four diameters. The mesangial matrix index was calculated as follows: mesangial matrix index = mesangial matrix area/global area × 100%. To evaluate tubulointerstitial fibrosis, at least 20 visual fields of each section were analyzed by Masson staining software. Scores from 0 to 3 were used to assess the degree of tubulointerstitial fibrosis: 0, normal interstitium; 0.5, ≤ 5% of area injured; 1, 5%-15% of area injured; 1.5, 16%-25% of area injured; 2, 26%-35% of area injured; 2.5, 36%-45% of area injured; 3, &gt; 45% of area injured</w:t>
      </w:r>
      <w:r>
        <w:rPr>
          <w:rFonts w:ascii="Book Antiqua" w:eastAsia="Book Antiqua" w:hAnsi="Book Antiqua" w:cs="Book Antiqua"/>
          <w:color w:val="000000"/>
          <w:vertAlign w:val="superscript"/>
        </w:rPr>
        <w:t>[</w:t>
      </w:r>
      <w:r>
        <w:rPr>
          <w:rFonts w:ascii="Book Antiqua" w:eastAsia="Book Antiqua" w:hAnsi="Book Antiqua" w:cs="Book Antiqua"/>
          <w:color w:val="000000"/>
          <w:szCs w:val="36"/>
          <w:vertAlign w:val="superscript"/>
        </w:rPr>
        <w:t>26]</w:t>
      </w:r>
      <w:r>
        <w:rPr>
          <w:rFonts w:ascii="Book Antiqua" w:eastAsia="Book Antiqua" w:hAnsi="Book Antiqua" w:cs="Book Antiqua"/>
          <w:color w:val="000000"/>
        </w:rPr>
        <w:t>.</w:t>
      </w:r>
    </w:p>
    <w:p w14:paraId="363DD48A" w14:textId="77777777" w:rsidR="00F76B23" w:rsidRDefault="00F76B23">
      <w:pPr>
        <w:spacing w:line="360" w:lineRule="auto"/>
        <w:jc w:val="both"/>
      </w:pPr>
    </w:p>
    <w:p w14:paraId="7D0F91BD" w14:textId="77777777" w:rsidR="00F76B23" w:rsidRDefault="00DB35EC">
      <w:pPr>
        <w:spacing w:line="360" w:lineRule="auto"/>
        <w:jc w:val="both"/>
      </w:pPr>
      <w:r>
        <w:rPr>
          <w:rFonts w:ascii="Book Antiqua" w:eastAsia="Book Antiqua" w:hAnsi="Book Antiqua" w:cs="Book Antiqua"/>
          <w:b/>
          <w:bCs/>
          <w:i/>
          <w:iCs/>
          <w:color w:val="000000"/>
        </w:rPr>
        <w:t>Enzyme-linked immunosorbent assay</w:t>
      </w:r>
    </w:p>
    <w:p w14:paraId="5956F72B" w14:textId="77777777" w:rsidR="00F76B23" w:rsidRDefault="00DB35EC">
      <w:pPr>
        <w:spacing w:line="360" w:lineRule="auto"/>
        <w:jc w:val="both"/>
      </w:pPr>
      <w:r>
        <w:rPr>
          <w:rFonts w:ascii="Book Antiqua" w:eastAsia="Book Antiqua" w:hAnsi="Book Antiqua" w:cs="Book Antiqua"/>
          <w:color w:val="000000"/>
        </w:rPr>
        <w:t>Fresh kidney tissue was homogenized in phosphate-buffered saline (PBS) and centrifuged. After total protein quantification, renal tissue samples were used for enzyme-linked immunosorbent assay (ELISA) measurement</w:t>
      </w:r>
      <w:r>
        <w:rPr>
          <w:rFonts w:ascii="Book Antiqua" w:eastAsia="Book Antiqua" w:hAnsi="Book Antiqua" w:cs="Book Antiqua"/>
          <w:color w:val="000000"/>
          <w:vertAlign w:val="superscript"/>
        </w:rPr>
        <w:t>[</w:t>
      </w:r>
      <w:r>
        <w:rPr>
          <w:rFonts w:ascii="Book Antiqua" w:eastAsia="Book Antiqua" w:hAnsi="Book Antiqua" w:cs="Book Antiqua"/>
          <w:color w:val="000000"/>
          <w:szCs w:val="36"/>
          <w:vertAlign w:val="superscript"/>
        </w:rPr>
        <w:t>27]</w:t>
      </w:r>
      <w:r>
        <w:rPr>
          <w:rFonts w:ascii="Book Antiqua" w:eastAsia="Book Antiqua" w:hAnsi="Book Antiqua" w:cs="Book Antiqua"/>
          <w:color w:val="000000"/>
        </w:rPr>
        <w:t>. At the same time, cell culture supernatant was collected. The expression levels of interleukin-1β (IL-1β, RLB00) and IL-18 (DY521-05) in renal tissue and cells were determined according to the ELISA kit instructions (R&amp;D Systems, Minneapolis, MN, United States).</w:t>
      </w:r>
    </w:p>
    <w:p w14:paraId="78552208" w14:textId="77777777" w:rsidR="00F76B23" w:rsidRDefault="00F76B23">
      <w:pPr>
        <w:spacing w:line="360" w:lineRule="auto"/>
        <w:jc w:val="both"/>
      </w:pPr>
    </w:p>
    <w:p w14:paraId="75077EF2" w14:textId="77777777" w:rsidR="00F76B23" w:rsidRDefault="00DB35EC">
      <w:pPr>
        <w:spacing w:line="360" w:lineRule="auto"/>
        <w:jc w:val="both"/>
      </w:pPr>
      <w:r>
        <w:rPr>
          <w:rFonts w:ascii="Book Antiqua" w:eastAsia="Book Antiqua" w:hAnsi="Book Antiqua" w:cs="Book Antiqua"/>
          <w:b/>
          <w:bCs/>
          <w:i/>
          <w:iCs/>
          <w:color w:val="000000"/>
        </w:rPr>
        <w:t>Western blot analysis</w:t>
      </w:r>
    </w:p>
    <w:p w14:paraId="3B9DF570" w14:textId="77777777" w:rsidR="00F76B23" w:rsidRDefault="00DB35EC">
      <w:pPr>
        <w:spacing w:line="360" w:lineRule="auto"/>
        <w:jc w:val="both"/>
      </w:pPr>
      <w:r>
        <w:rPr>
          <w:rFonts w:ascii="Book Antiqua" w:eastAsia="Book Antiqua" w:hAnsi="Book Antiqua" w:cs="Book Antiqua"/>
          <w:color w:val="000000"/>
        </w:rPr>
        <w:t xml:space="preserve">The tissue or cells were lysed with enhanced RIPA lysate (AR0105, Boster, Wuhan, Hubei, China) containing protease inhibitor, and the protein concentration was assessed using a bicinchoninic acid protein quantitative kit (Boster). The protein samples were separated by 10% sodium dodecyl sulfate (SDS)-polyacrylamide gel electrophoresis and transferred to polyvinylidene fluoride membranes. The membranes were then blocked with 5% bovine serum albumin (A1933, Sigma, United States) for 2 h to block nonspecific binding. Next, the membranes were immersed overnight in primary antibody solutions, followed by secondary </w:t>
      </w:r>
      <w:r>
        <w:rPr>
          <w:rFonts w:ascii="Book Antiqua" w:eastAsia="Book Antiqua" w:hAnsi="Book Antiqua" w:cs="Book Antiqua"/>
          <w:color w:val="000000"/>
          <w:shd w:val="clear" w:color="auto" w:fill="FFFFFF"/>
        </w:rPr>
        <w:t xml:space="preserve">goat anti-rabbit IgG H&amp;L (HRP) (1:2000, ab205718, Abcam, Cambridge, United Kingdom) or goat anti-mouse IgG (1:2000, ab205719, Abcam, Cambridge, United </w:t>
      </w:r>
      <w:r>
        <w:rPr>
          <w:rFonts w:ascii="Book Antiqua" w:eastAsia="Book Antiqua" w:hAnsi="Book Antiqua" w:cs="Book Antiqua"/>
          <w:color w:val="000000"/>
          <w:shd w:val="clear" w:color="auto" w:fill="FFFFFF"/>
        </w:rPr>
        <w:lastRenderedPageBreak/>
        <w:t xml:space="preserve">Kingdom). The proteins were developed using </w:t>
      </w:r>
      <w:r>
        <w:rPr>
          <w:rFonts w:ascii="Book Antiqua" w:eastAsia="Book Antiqua" w:hAnsi="Book Antiqua" w:cs="Book Antiqua"/>
          <w:color w:val="000000"/>
        </w:rPr>
        <w:t>enhanced chemiluminescence</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EMD Millipore, Billerica, MA, United States</w:t>
      </w:r>
      <w:r>
        <w:rPr>
          <w:rFonts w:ascii="Book Antiqua" w:eastAsia="Book Antiqua" w:hAnsi="Book Antiqua" w:cs="Book Antiqua"/>
          <w:color w:val="000000"/>
          <w:shd w:val="clear" w:color="auto" w:fill="FFFFFF"/>
        </w:rPr>
        <w:t xml:space="preserve">) and analysed using Image-Pro Plus 6.0 (Media Cybernetics, Silver Spring, MD, United States). The primary antibodies were cleaved </w:t>
      </w:r>
      <w:r>
        <w:rPr>
          <w:rFonts w:ascii="Book Antiqua" w:eastAsia="Book Antiqua" w:hAnsi="Book Antiqua" w:cs="Book Antiqua"/>
          <w:color w:val="000000"/>
        </w:rPr>
        <w:t>caspase-1 (1:1000, #89332, CST, Danvers, MA, United States), caspase-1 (1:100, sc-392736, Santa Cruz Biotechnology, Dallas, TX, United States), rabbit monoclonal antibody gasdermin D (GSDMD, 1:1000, ab219800, Abcam, Cambridge, United Kingdom), GSDMD-N (1:1000, PA5-116815, Thermo Fisher, Waltham, MA, United States), NLRP3 (1:1000, ab214185, Abcam, Cambridge, United Kingdom), ASC mouse monoclonal antibody (1:100, sc-514414, Santa Cruz Biotechnology, TX, United States), TLR4 rabbit polyclonal antibody (1:500, ab13867, Abcam, Cambridge, United Kingdom), and GAPDH (1:2500, ab9485, Abcam, Cambridge, United Kingdom).</w:t>
      </w:r>
    </w:p>
    <w:p w14:paraId="35DD9657" w14:textId="77777777" w:rsidR="00F76B23" w:rsidRDefault="00F76B23">
      <w:pPr>
        <w:spacing w:line="360" w:lineRule="auto"/>
        <w:jc w:val="both"/>
      </w:pPr>
    </w:p>
    <w:p w14:paraId="10DD5A7B" w14:textId="77777777" w:rsidR="00F76B23" w:rsidRDefault="00DB35EC">
      <w:pPr>
        <w:spacing w:line="360" w:lineRule="auto"/>
        <w:jc w:val="both"/>
      </w:pPr>
      <w:r>
        <w:rPr>
          <w:rFonts w:ascii="Book Antiqua" w:eastAsia="Book Antiqua" w:hAnsi="Book Antiqua" w:cs="Book Antiqua"/>
          <w:b/>
          <w:bCs/>
          <w:i/>
          <w:iCs/>
          <w:color w:val="000000"/>
        </w:rPr>
        <w:t>Immunofluorescence</w:t>
      </w:r>
    </w:p>
    <w:p w14:paraId="16E4D01E" w14:textId="52DEB1A7" w:rsidR="00F76B23" w:rsidRDefault="00DB35EC">
      <w:pPr>
        <w:spacing w:line="360" w:lineRule="auto"/>
        <w:jc w:val="both"/>
      </w:pPr>
      <w:r>
        <w:rPr>
          <w:rFonts w:ascii="Book Antiqua" w:eastAsia="Book Antiqua" w:hAnsi="Book Antiqua" w:cs="Book Antiqua"/>
          <w:color w:val="000000"/>
        </w:rPr>
        <w:t>The kidney was placed on a clean workbench, and the fibrous capsule was stripped using an aseptic technique. Next, 1 cm</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xml:space="preserve"> of renal tubular epithelial tissue was removed from the outer skin tissue, washed with normal saline, and fixed with 10% formalin. Sections 4 μm thick were incubated overnight with caspase-1 mouse monoclonal antibody (1:50, sc-392736, Santa Cruz Biotechnology) at 4</w:t>
      </w:r>
      <w:r w:rsidR="00270D2E">
        <w:rPr>
          <w:rFonts w:ascii="Book Antiqua" w:eastAsia="Book Antiqua" w:hAnsi="Book Antiqua" w:cs="Book Antiqua"/>
          <w:color w:val="000000"/>
        </w:rPr>
        <w:t xml:space="preserve"> °C</w:t>
      </w:r>
      <w:r>
        <w:rPr>
          <w:rFonts w:ascii="Book Antiqua" w:eastAsia="Book Antiqua" w:hAnsi="Book Antiqua" w:cs="Book Antiqua"/>
          <w:color w:val="000000"/>
        </w:rPr>
        <w:t>, and then conjugated with secondary goat anti-mouse IgG (Alexa Fluor</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488) (1:200, ab150113, Abcam, Cambridge, United Kingdom) in the dark for 1 h. After washing in PBS, the slides were incubated with 4’,6-diamidino-2-phenylindole (DAPI) (D9542, Sigma, United States) for 3 min, followed by glycerine loading. The fluorescence was evaluated under a fluorescence microscope (Olympus Life Sciences, Tokyo, Japan).</w:t>
      </w:r>
    </w:p>
    <w:p w14:paraId="6310C18C" w14:textId="77777777" w:rsidR="00F76B23" w:rsidRDefault="00F76B23">
      <w:pPr>
        <w:spacing w:line="360" w:lineRule="auto"/>
        <w:jc w:val="both"/>
      </w:pPr>
    </w:p>
    <w:p w14:paraId="14DE0FF9" w14:textId="77777777" w:rsidR="00F76B23" w:rsidRDefault="00DB35EC">
      <w:pPr>
        <w:spacing w:line="360" w:lineRule="auto"/>
        <w:jc w:val="both"/>
      </w:pPr>
      <w:r>
        <w:rPr>
          <w:rFonts w:ascii="Book Antiqua" w:eastAsia="Book Antiqua" w:hAnsi="Book Antiqua" w:cs="Book Antiqua"/>
          <w:b/>
          <w:bCs/>
          <w:i/>
          <w:iCs/>
          <w:color w:val="000000"/>
        </w:rPr>
        <w:t>Cell culture and transfection</w:t>
      </w:r>
    </w:p>
    <w:p w14:paraId="26177D74" w14:textId="13CCF696" w:rsidR="00F76B23" w:rsidRDefault="00DB35EC">
      <w:pPr>
        <w:spacing w:line="360" w:lineRule="auto"/>
        <w:jc w:val="both"/>
      </w:pPr>
      <w:r>
        <w:rPr>
          <w:rFonts w:ascii="Book Antiqua" w:eastAsia="Book Antiqua" w:hAnsi="Book Antiqua" w:cs="Book Antiqua"/>
          <w:color w:val="000000"/>
        </w:rPr>
        <w:t>The human tubular endothelial cell line HK2 from ATCC (Rockville, MD, United States) was cultured in RPMI 1640 medium (Life Technologies, Carlsbad, CA, United States) containing 10% (v/v) foetal bovine serum (FBS, F2442; Sigma, St. Louis, Missouri, United States) at 37</w:t>
      </w:r>
      <w:r w:rsidR="00270D2E">
        <w:rPr>
          <w:rFonts w:ascii="Book Antiqua" w:eastAsia="Book Antiqua" w:hAnsi="Book Antiqua" w:cs="Book Antiqua"/>
          <w:color w:val="000000"/>
        </w:rPr>
        <w:t xml:space="preserve"> °C</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with 50 mL/L CO</w:t>
      </w:r>
      <w:r>
        <w:rPr>
          <w:rFonts w:ascii="Book Antiqua" w:eastAsia="Book Antiqua" w:hAnsi="Book Antiqua" w:cs="Book Antiqua"/>
          <w:color w:val="000000"/>
          <w:szCs w:val="36"/>
          <w:vertAlign w:val="subscript"/>
        </w:rPr>
        <w:t>2</w:t>
      </w:r>
      <w:r>
        <w:rPr>
          <w:rFonts w:ascii="Book Antiqua" w:eastAsia="Book Antiqua" w:hAnsi="Book Antiqua" w:cs="Book Antiqua"/>
          <w:color w:val="000000"/>
        </w:rPr>
        <w:t xml:space="preserve">. After 24 h of starvation in serum-free medium, HK2 </w:t>
      </w:r>
      <w:r>
        <w:rPr>
          <w:rFonts w:ascii="Book Antiqua" w:eastAsia="Book Antiqua" w:hAnsi="Book Antiqua" w:cs="Book Antiqua"/>
          <w:color w:val="000000"/>
        </w:rPr>
        <w:lastRenderedPageBreak/>
        <w:t>cells were cultured in normal (5 mmol/L, NG) or high (40 mmol/L, HG) glucose (Y0001745, Sigma, United States) for 48 h</w:t>
      </w:r>
      <w:r>
        <w:rPr>
          <w:rFonts w:ascii="Book Antiqua" w:eastAsia="Book Antiqua" w:hAnsi="Book Antiqua" w:cs="Book Antiqua"/>
          <w:color w:val="000000"/>
          <w:vertAlign w:val="superscript"/>
        </w:rPr>
        <w:t>[</w:t>
      </w:r>
      <w:r>
        <w:rPr>
          <w:rFonts w:ascii="Book Antiqua" w:eastAsia="Book Antiqua" w:hAnsi="Book Antiqua" w:cs="Book Antiqua"/>
          <w:color w:val="000000"/>
          <w:szCs w:val="36"/>
          <w:vertAlign w:val="superscript"/>
        </w:rPr>
        <w:t>28]</w:t>
      </w:r>
      <w:r>
        <w:rPr>
          <w:rFonts w:ascii="Book Antiqua" w:eastAsia="Book Antiqua" w:hAnsi="Book Antiqua" w:cs="Book Antiqua"/>
          <w:color w:val="000000"/>
        </w:rPr>
        <w:t>.</w:t>
      </w:r>
    </w:p>
    <w:p w14:paraId="6E34953E" w14:textId="77777777" w:rsidR="00F76B23" w:rsidRDefault="00DB35EC">
      <w:pPr>
        <w:spacing w:line="360" w:lineRule="auto"/>
        <w:ind w:firstLine="480"/>
        <w:jc w:val="both"/>
      </w:pPr>
      <w:r>
        <w:rPr>
          <w:rFonts w:ascii="Book Antiqua" w:eastAsia="Book Antiqua" w:hAnsi="Book Antiqua" w:cs="Book Antiqua"/>
          <w:color w:val="000000"/>
        </w:rPr>
        <w:t>The miR-15b-5p mimic and miR-15b-5p inhibitor, siRNA sequence targeting XIST (si-XIST), overexpression TLR4 plasmid (oe-TLR4), and their corresponding controls were provided by GenePharma (Shanghai, China). The cells were transfected using Lipofectamine 2000 (Invitrogen, Carlsbad, CA, United States).</w:t>
      </w:r>
    </w:p>
    <w:p w14:paraId="724E5E03" w14:textId="77777777" w:rsidR="00F76B23" w:rsidRDefault="00DB35EC">
      <w:pPr>
        <w:spacing w:line="360" w:lineRule="auto"/>
        <w:ind w:firstLine="480"/>
        <w:jc w:val="both"/>
      </w:pPr>
      <w:r>
        <w:rPr>
          <w:rFonts w:ascii="Book Antiqua" w:eastAsia="Book Antiqua" w:hAnsi="Book Antiqua" w:cs="Book Antiqua"/>
          <w:color w:val="000000"/>
        </w:rPr>
        <w:t>The si-XIST sequences were as follows: si-XIST-1 (SS sequence: GGAAGUACCUACUACUUAAGA, AS Sequence: UUAAGUAGUAGGUACUUCCAG), si-XIST-2 (SS sequence: GGUGGACUAUCAACAUAUAAU, AS sequence: UAUAUGUUGAUAGUCCACCAG), and si-XIST-3 (SS sequence: GGAAAUAGAUAAAUGUCAAAG, AS sequence: UUGACAUUUAUCUAUUUCCUU).</w:t>
      </w:r>
    </w:p>
    <w:p w14:paraId="437987E9" w14:textId="77777777" w:rsidR="00F76B23" w:rsidRDefault="00F76B23">
      <w:pPr>
        <w:spacing w:line="360" w:lineRule="auto"/>
        <w:ind w:firstLine="480"/>
        <w:jc w:val="both"/>
      </w:pPr>
    </w:p>
    <w:p w14:paraId="285FC200" w14:textId="77777777" w:rsidR="00F76B23" w:rsidRDefault="00DB35EC">
      <w:pPr>
        <w:spacing w:line="360" w:lineRule="auto"/>
        <w:jc w:val="both"/>
      </w:pPr>
      <w:r>
        <w:rPr>
          <w:rFonts w:ascii="Book Antiqua" w:eastAsia="Book Antiqua" w:hAnsi="Book Antiqua" w:cs="Book Antiqua"/>
          <w:b/>
          <w:bCs/>
          <w:i/>
          <w:iCs/>
          <w:color w:val="000000"/>
        </w:rPr>
        <w:t>Quantitative real-time polymerase chain reaction</w:t>
      </w:r>
    </w:p>
    <w:p w14:paraId="7CA230FE" w14:textId="77777777" w:rsidR="00F76B23" w:rsidRDefault="00DB35EC">
      <w:pPr>
        <w:spacing w:line="360" w:lineRule="auto"/>
        <w:jc w:val="both"/>
      </w:pPr>
      <w:r>
        <w:rPr>
          <w:rFonts w:ascii="Book Antiqua" w:eastAsia="Book Antiqua" w:hAnsi="Book Antiqua" w:cs="Book Antiqua"/>
          <w:color w:val="000000"/>
        </w:rPr>
        <w:t>Total RNA was extracted using the RNeasy Mini Kit (Qiagen, Valencia, CA, United States). A reverse transcription kit (RR047A, Takara, Tokyo, Japan) was used to obtain cDNA. A miRNA first-strand cDNA synthesis kit (B532451-0020, Sangon, Shanghai, China) was used for miRNA detection.</w:t>
      </w:r>
    </w:p>
    <w:p w14:paraId="753E8CE9" w14:textId="77777777" w:rsidR="00F76B23" w:rsidRDefault="00DB35EC">
      <w:pPr>
        <w:spacing w:line="360" w:lineRule="auto"/>
        <w:ind w:firstLine="480"/>
        <w:jc w:val="both"/>
      </w:pPr>
      <w:r>
        <w:rPr>
          <w:rFonts w:ascii="Book Antiqua" w:eastAsia="Book Antiqua" w:hAnsi="Book Antiqua" w:cs="Book Antiqua"/>
          <w:color w:val="000000"/>
        </w:rPr>
        <w:t xml:space="preserve">SYBR Premix Ex Taq II (DRR081, Takara) and real-time fluorescence qPCR (7500, ABI, Foster City, CA, United States) were used for the qRT–PCR experiment. The PCR primers (Table 1) were designed and synthesized by Sangon. GAPDH or U6 was the internal reference. Gene expression was calculated using the </w:t>
      </w:r>
      <w:r>
        <w:rPr>
          <w:rFonts w:ascii="Book Antiqua" w:eastAsia="Book Antiqua" w:hAnsi="Book Antiqua" w:cs="Book Antiqua"/>
          <w:color w:val="000000"/>
          <w:shd w:val="clear" w:color="auto" w:fill="FFFFFF"/>
        </w:rPr>
        <w:t>2</w:t>
      </w:r>
      <w:r>
        <w:rPr>
          <w:rFonts w:ascii="Book Antiqua" w:eastAsia="Book Antiqua" w:hAnsi="Book Antiqua" w:cs="Book Antiqua"/>
          <w:color w:val="000000"/>
          <w:szCs w:val="36"/>
          <w:shd w:val="clear" w:color="auto" w:fill="FFFFFF"/>
          <w:vertAlign w:val="superscript"/>
        </w:rPr>
        <w:t>-∆∆t</w:t>
      </w:r>
      <w:r>
        <w:rPr>
          <w:rFonts w:ascii="Book Antiqua" w:eastAsia="Book Antiqua" w:hAnsi="Book Antiqua" w:cs="Book Antiqua"/>
          <w:color w:val="000000"/>
        </w:rPr>
        <w:t xml:space="preserve"> method.</w:t>
      </w:r>
    </w:p>
    <w:p w14:paraId="7BB0C498" w14:textId="77777777" w:rsidR="00F76B23" w:rsidRDefault="00F76B23">
      <w:pPr>
        <w:spacing w:line="360" w:lineRule="auto"/>
        <w:ind w:firstLine="480"/>
        <w:jc w:val="both"/>
      </w:pPr>
    </w:p>
    <w:p w14:paraId="47730875" w14:textId="77777777" w:rsidR="00F76B23" w:rsidRDefault="00DB35EC">
      <w:pPr>
        <w:spacing w:line="360" w:lineRule="auto"/>
        <w:jc w:val="both"/>
      </w:pPr>
      <w:r>
        <w:rPr>
          <w:rFonts w:ascii="Book Antiqua" w:eastAsia="Book Antiqua" w:hAnsi="Book Antiqua" w:cs="Book Antiqua"/>
          <w:b/>
          <w:bCs/>
          <w:i/>
          <w:iCs/>
          <w:color w:val="000000"/>
        </w:rPr>
        <w:t xml:space="preserve">Cell </w:t>
      </w:r>
      <w:r>
        <w:rPr>
          <w:rFonts w:ascii="Book Antiqua" w:eastAsia="Book Antiqua" w:hAnsi="Book Antiqua" w:cs="Book Antiqua" w:hint="eastAsia"/>
          <w:b/>
          <w:bCs/>
          <w:i/>
          <w:iCs/>
          <w:color w:val="000000"/>
        </w:rPr>
        <w:t>viability</w:t>
      </w:r>
      <w:r>
        <w:rPr>
          <w:rFonts w:ascii="Book Antiqua" w:eastAsia="Book Antiqua" w:hAnsi="Book Antiqua" w:cs="Book Antiqua"/>
          <w:b/>
          <w:bCs/>
          <w:i/>
          <w:iCs/>
          <w:color w:val="000000"/>
        </w:rPr>
        <w:t xml:space="preserve"> measurement</w:t>
      </w:r>
    </w:p>
    <w:p w14:paraId="2318597B" w14:textId="77777777" w:rsidR="00F76B23" w:rsidRDefault="00DB35EC">
      <w:pPr>
        <w:spacing w:line="360" w:lineRule="auto"/>
        <w:jc w:val="both"/>
      </w:pPr>
      <w:r>
        <w:rPr>
          <w:rFonts w:ascii="Book Antiqua" w:eastAsia="Book Antiqua" w:hAnsi="Book Antiqua" w:cs="Book Antiqua"/>
          <w:color w:val="000000"/>
        </w:rPr>
        <w:t>The viability of HK2 cells was detected by a Cell Titer Glo Luminescent Cell Viability Assay Kit (G7570, Promega, Beijing, China). Cells (10</w:t>
      </w:r>
      <w:r>
        <w:rPr>
          <w:rFonts w:ascii="Book Antiqua" w:eastAsia="Book Antiqua" w:hAnsi="Book Antiqua" w:cs="Book Antiqua"/>
          <w:color w:val="000000"/>
          <w:szCs w:val="36"/>
          <w:vertAlign w:val="superscript"/>
        </w:rPr>
        <w:t>5</w:t>
      </w:r>
      <w:r>
        <w:rPr>
          <w:rFonts w:ascii="Book Antiqua" w:eastAsia="Book Antiqua" w:hAnsi="Book Antiqua" w:cs="Book Antiqua"/>
          <w:color w:val="000000"/>
        </w:rPr>
        <w:t xml:space="preserve">) were seeded into 6-well plates containing normal growth medium and then collected when the confluence reached 80%-90%. Before collecting the HK2 cells, the reagents were prepared, and then the cells (50 μL) were loaded into black-walled 96-well plates that contained the same amount of final </w:t>
      </w:r>
      <w:r>
        <w:rPr>
          <w:rFonts w:ascii="Book Antiqua" w:eastAsia="Book Antiqua" w:hAnsi="Book Antiqua" w:cs="Book Antiqua"/>
          <w:color w:val="000000"/>
        </w:rPr>
        <w:lastRenderedPageBreak/>
        <w:t>substrate solution. After mixing for 10 min, the cells were incubated in a plate-reading luminometer (Varioskan™, Thermo Scientific, Rockford, IL, United States).</w:t>
      </w:r>
    </w:p>
    <w:p w14:paraId="782D8983" w14:textId="77777777" w:rsidR="00F76B23" w:rsidRDefault="00F76B23">
      <w:pPr>
        <w:spacing w:line="360" w:lineRule="auto"/>
        <w:jc w:val="both"/>
      </w:pPr>
    </w:p>
    <w:p w14:paraId="060171E3" w14:textId="77777777" w:rsidR="00F76B23" w:rsidRDefault="00DB35EC">
      <w:pPr>
        <w:spacing w:line="360" w:lineRule="auto"/>
        <w:jc w:val="both"/>
      </w:pPr>
      <w:r>
        <w:rPr>
          <w:rFonts w:ascii="Book Antiqua" w:eastAsia="Book Antiqua" w:hAnsi="Book Antiqua" w:cs="Book Antiqua"/>
          <w:b/>
          <w:bCs/>
          <w:i/>
          <w:iCs/>
          <w:color w:val="000000"/>
        </w:rPr>
        <w:t>Lactate dehydrogenase (LDH) release assay</w:t>
      </w:r>
    </w:p>
    <w:p w14:paraId="007AB85B" w14:textId="6173397C" w:rsidR="00F76B23" w:rsidRDefault="00DB35EC">
      <w:pPr>
        <w:spacing w:line="360" w:lineRule="auto"/>
        <w:jc w:val="both"/>
      </w:pPr>
      <w:r>
        <w:rPr>
          <w:rFonts w:ascii="Book Antiqua" w:eastAsia="Book Antiqua" w:hAnsi="Book Antiqua" w:cs="Book Antiqua"/>
          <w:b/>
          <w:bCs/>
          <w:i/>
          <w:iCs/>
          <w:color w:val="000000"/>
        </w:rPr>
        <w:t xml:space="preserve">An </w:t>
      </w:r>
      <w:r>
        <w:rPr>
          <w:rFonts w:ascii="Book Antiqua" w:eastAsia="Book Antiqua" w:hAnsi="Book Antiqua" w:cs="Book Antiqua"/>
          <w:color w:val="000000"/>
        </w:rPr>
        <w:t>LDH release assay kit (Beijing, Nanjing, China) was used to detect cytotoxicity. HG-treated HK2 cells were plated into 96-well plates and incubated at 37</w:t>
      </w:r>
      <w:r w:rsidR="00270D2E">
        <w:rPr>
          <w:rFonts w:ascii="Book Antiqua" w:eastAsia="Book Antiqua" w:hAnsi="Book Antiqua" w:cs="Book Antiqua"/>
          <w:color w:val="000000"/>
        </w:rPr>
        <w:t xml:space="preserve"> °C </w:t>
      </w:r>
      <w:r>
        <w:rPr>
          <w:rFonts w:ascii="Book Antiqua" w:eastAsia="Book Antiqua" w:hAnsi="Book Antiqua" w:cs="Book Antiqua"/>
          <w:color w:val="000000"/>
        </w:rPr>
        <w:t>with 50 mL/L CO</w:t>
      </w:r>
      <w:r>
        <w:rPr>
          <w:rFonts w:ascii="Book Antiqua" w:eastAsia="Book Antiqua" w:hAnsi="Book Antiqua" w:cs="Book Antiqua"/>
          <w:color w:val="000000"/>
          <w:szCs w:val="36"/>
          <w:vertAlign w:val="subscript"/>
        </w:rPr>
        <w:t>2</w:t>
      </w:r>
      <w:r>
        <w:rPr>
          <w:rFonts w:ascii="Book Antiqua" w:eastAsia="Book Antiqua" w:hAnsi="Book Antiqua" w:cs="Book Antiqua"/>
          <w:color w:val="000000"/>
        </w:rPr>
        <w:t xml:space="preserve"> for 24 h. The cell medium was then collected, and LDH activity was measured.</w:t>
      </w:r>
    </w:p>
    <w:p w14:paraId="7EFF38F2" w14:textId="77777777" w:rsidR="00F76B23" w:rsidRDefault="00F76B23">
      <w:pPr>
        <w:spacing w:line="360" w:lineRule="auto"/>
        <w:jc w:val="both"/>
      </w:pPr>
    </w:p>
    <w:p w14:paraId="20389D78" w14:textId="77777777" w:rsidR="00F76B23" w:rsidRDefault="00DB35EC">
      <w:pPr>
        <w:spacing w:line="360" w:lineRule="auto"/>
        <w:jc w:val="both"/>
      </w:pPr>
      <w:r>
        <w:rPr>
          <w:rFonts w:ascii="Book Antiqua" w:eastAsia="Book Antiqua" w:hAnsi="Book Antiqua" w:cs="Book Antiqua"/>
          <w:b/>
          <w:bCs/>
          <w:i/>
          <w:iCs/>
          <w:color w:val="000000"/>
        </w:rPr>
        <w:t>Fluorescence in situ hybridization</w:t>
      </w:r>
    </w:p>
    <w:p w14:paraId="36FDC5DB" w14:textId="2F61A3CE" w:rsidR="00F76B23" w:rsidRDefault="00DB35EC">
      <w:pPr>
        <w:spacing w:line="360" w:lineRule="auto"/>
        <w:jc w:val="both"/>
      </w:pPr>
      <w:r>
        <w:rPr>
          <w:rFonts w:ascii="Book Antiqua" w:eastAsia="Book Antiqua" w:hAnsi="Book Antiqua" w:cs="Book Antiqua"/>
          <w:color w:val="000000"/>
        </w:rPr>
        <w:t>Fluorescence in situ hybridization (FISH) was used to identify the subcellular localization of XIST in HK2 cells. In accordance with the instructions of the Ribo</w:t>
      </w:r>
      <w:r>
        <w:rPr>
          <w:rFonts w:ascii="Book Antiqua" w:eastAsia="Book Antiqua" w:hAnsi="Book Antiqua" w:cs="Book Antiqua"/>
          <w:color w:val="000000"/>
          <w:szCs w:val="36"/>
          <w:vertAlign w:val="superscript"/>
        </w:rPr>
        <w:t>TM</w:t>
      </w:r>
      <w:r>
        <w:rPr>
          <w:rFonts w:ascii="Book Antiqua" w:eastAsia="Book Antiqua" w:hAnsi="Book Antiqua" w:cs="Book Antiqua"/>
          <w:color w:val="000000"/>
        </w:rPr>
        <w:t xml:space="preserve"> lncRNA FISH probe mix (Red) (RiboBio, Guangzhou, Guangdong, China), the cover glass was placed into the 6-well culture plate, and HK2 cells were seeded onto it. The confluence was approximately 80% after 1 d of culture. The slides were then washed with PBS and fixed with 1 mL of 16 g/L paraformaldehyde. The slides were treated with proteinase K (2 μg/mL), glycine, and ethylphthalein reagent and then incubated with 250 μL of prehybridizing solution at 42</w:t>
      </w:r>
      <w:r w:rsidR="00270D2E">
        <w:rPr>
          <w:rFonts w:ascii="Book Antiqua" w:eastAsia="Book Antiqua" w:hAnsi="Book Antiqua" w:cs="Book Antiqua"/>
          <w:color w:val="000000"/>
        </w:rPr>
        <w:t xml:space="preserve"> °C</w:t>
      </w:r>
      <w:r>
        <w:rPr>
          <w:rFonts w:ascii="Book Antiqua" w:eastAsia="Book Antiqua" w:hAnsi="Book Antiqua" w:cs="Book Antiqua"/>
          <w:color w:val="000000"/>
        </w:rPr>
        <w:t xml:space="preserve"> for 1 h. Next, the prehybridizing solution was removed, and 250 μL of hybridizing solution containing probe (300 ng/mL) was added to the slides for hybridization at 42</w:t>
      </w:r>
      <w:r w:rsidR="00270D2E">
        <w:rPr>
          <w:rFonts w:ascii="Book Antiqua" w:eastAsia="Book Antiqua" w:hAnsi="Book Antiqua" w:cs="Book Antiqua"/>
          <w:color w:val="000000"/>
        </w:rPr>
        <w:t xml:space="preserve"> °C</w:t>
      </w:r>
      <w:r>
        <w:rPr>
          <w:rFonts w:ascii="Book Antiqua" w:eastAsia="Book Antiqua" w:hAnsi="Book Antiqua" w:cs="Book Antiqua"/>
          <w:color w:val="000000"/>
        </w:rPr>
        <w:t xml:space="preserve"> overnight. Following 3 washes with PBS containing 0.05% (v/v) Tween-20 (PBST), DAPI (1:800) diluted with PBST was added to stain the nuclei; the slides were then transferred to 24-well culture plates and incubated for 5 min. The slides were then sealed using an anti-fluorescence quenching agent and photographed using a fluorescence microscope (Olympus)</w:t>
      </w:r>
      <w:r>
        <w:rPr>
          <w:rFonts w:ascii="Book Antiqua" w:eastAsia="Book Antiqua" w:hAnsi="Book Antiqua" w:cs="Book Antiqua"/>
          <w:color w:val="000000"/>
          <w:vertAlign w:val="superscript"/>
        </w:rPr>
        <w:t>[</w:t>
      </w:r>
      <w:r>
        <w:rPr>
          <w:rFonts w:ascii="Book Antiqua" w:eastAsia="Book Antiqua" w:hAnsi="Book Antiqua" w:cs="Book Antiqua"/>
          <w:color w:val="000000"/>
          <w:szCs w:val="36"/>
          <w:vertAlign w:val="superscript"/>
        </w:rPr>
        <w:t>29]</w:t>
      </w:r>
      <w:r>
        <w:rPr>
          <w:rFonts w:ascii="Book Antiqua" w:eastAsia="Book Antiqua" w:hAnsi="Book Antiqua" w:cs="Book Antiqua"/>
          <w:color w:val="000000"/>
        </w:rPr>
        <w:t>.</w:t>
      </w:r>
    </w:p>
    <w:p w14:paraId="409C446A" w14:textId="77777777" w:rsidR="00F76B23" w:rsidRDefault="00F76B23">
      <w:pPr>
        <w:spacing w:line="360" w:lineRule="auto"/>
        <w:jc w:val="both"/>
      </w:pPr>
    </w:p>
    <w:p w14:paraId="45F978E3" w14:textId="77777777" w:rsidR="00F76B23" w:rsidRDefault="00DB35EC">
      <w:pPr>
        <w:spacing w:line="360" w:lineRule="auto"/>
        <w:jc w:val="both"/>
      </w:pPr>
      <w:r>
        <w:rPr>
          <w:rFonts w:ascii="Book Antiqua" w:eastAsia="Book Antiqua" w:hAnsi="Book Antiqua" w:cs="Book Antiqua"/>
          <w:b/>
          <w:bCs/>
          <w:i/>
          <w:iCs/>
          <w:color w:val="000000"/>
        </w:rPr>
        <w:t>Nuclear/cytosol fractionation</w:t>
      </w:r>
    </w:p>
    <w:p w14:paraId="0E9F8944" w14:textId="0FEE0997" w:rsidR="00F76B23" w:rsidRDefault="00DB35EC">
      <w:pPr>
        <w:spacing w:line="360" w:lineRule="auto"/>
        <w:jc w:val="both"/>
      </w:pPr>
      <w:r>
        <w:rPr>
          <w:rFonts w:ascii="Book Antiqua" w:eastAsia="Book Antiqua" w:hAnsi="Book Antiqua" w:cs="Book Antiqua"/>
          <w:color w:val="000000"/>
        </w:rPr>
        <w:t>HK2 cells were resuspended in hypotonic buffer A [10 mm HEPES (pH 7.5), 0.5 mm DTT, 10 mmol/L KCl, 1.5 mmol/L MgCl</w:t>
      </w:r>
      <w:r>
        <w:rPr>
          <w:rFonts w:ascii="Book Antiqua" w:eastAsia="Book Antiqua" w:hAnsi="Book Antiqua" w:cs="Book Antiqua"/>
          <w:color w:val="000000"/>
          <w:szCs w:val="36"/>
          <w:vertAlign w:val="subscript"/>
        </w:rPr>
        <w:t>2</w:t>
      </w:r>
      <w:r>
        <w:rPr>
          <w:rFonts w:ascii="Book Antiqua" w:eastAsia="Book Antiqua" w:hAnsi="Book Antiqua" w:cs="Book Antiqua"/>
          <w:color w:val="000000"/>
        </w:rPr>
        <w:t>] containing protease inhibitor and RNase inhibitor (N8080119, Thermo Fisher Scientific). The HK2 cells were then incubated on ice for 10 min and centrifuged (1000 × g, 4</w:t>
      </w:r>
      <w:r w:rsidR="00270D2E">
        <w:rPr>
          <w:rFonts w:ascii="Book Antiqua" w:eastAsia="Book Antiqua" w:hAnsi="Book Antiqua" w:cs="Book Antiqua"/>
          <w:color w:val="000000"/>
        </w:rPr>
        <w:t xml:space="preserve"> °C</w:t>
      </w:r>
      <w:r>
        <w:rPr>
          <w:rFonts w:ascii="Book Antiqua" w:eastAsia="Book Antiqua" w:hAnsi="Book Antiqua" w:cs="Book Antiqua"/>
          <w:color w:val="000000"/>
        </w:rPr>
        <w:t xml:space="preserve">, 10 min). The supernatant was further centrifuged at </w:t>
      </w:r>
      <w:r>
        <w:rPr>
          <w:rFonts w:ascii="Book Antiqua" w:eastAsia="Book Antiqua" w:hAnsi="Book Antiqua" w:cs="Book Antiqua"/>
          <w:color w:val="000000"/>
        </w:rPr>
        <w:lastRenderedPageBreak/>
        <w:t>15000 × g for 15 min to obtain the cytoplasmic component. The precipitate was washed twice with hypertonic buffer, resuspended in hypotonic buffer B [10 mm HEPES (pH 7.5), 10 mmol/L KCl, 1.5 mmol/L MgCl</w:t>
      </w:r>
      <w:r>
        <w:rPr>
          <w:rFonts w:ascii="Book Antiqua" w:eastAsia="Book Antiqua" w:hAnsi="Book Antiqua" w:cs="Book Antiqua"/>
          <w:color w:val="000000"/>
          <w:vertAlign w:val="subscript"/>
        </w:rPr>
        <w:t>2</w:t>
      </w:r>
      <w:r>
        <w:rPr>
          <w:rFonts w:ascii="Book Antiqua" w:eastAsia="Book Antiqua" w:hAnsi="Book Antiqua" w:cs="Book Antiqua"/>
          <w:color w:val="000000"/>
        </w:rPr>
        <w:t>, 0.5 mm DTT, 0.5% Nonidet P-40], incubated at 4</w:t>
      </w:r>
      <w:r w:rsidR="00270D2E">
        <w:rPr>
          <w:rFonts w:ascii="Book Antiqua" w:eastAsia="Book Antiqua" w:hAnsi="Book Antiqua" w:cs="Book Antiqua"/>
          <w:color w:val="000000"/>
        </w:rPr>
        <w:t xml:space="preserve"> °C</w:t>
      </w:r>
      <w:r>
        <w:rPr>
          <w:rFonts w:ascii="Book Antiqua" w:eastAsia="Book Antiqua" w:hAnsi="Book Antiqua" w:cs="Book Antiqua"/>
          <w:color w:val="000000"/>
        </w:rPr>
        <w:t xml:space="preserve"> for 30 min, and then centrifuged at 6000 × g, 4</w:t>
      </w:r>
      <w:r w:rsidR="00270D2E">
        <w:rPr>
          <w:rFonts w:ascii="Book Antiqua" w:eastAsia="Book Antiqua" w:hAnsi="Book Antiqua" w:cs="Book Antiqua"/>
          <w:color w:val="000000"/>
        </w:rPr>
        <w:t xml:space="preserve"> °C</w:t>
      </w:r>
      <w:r>
        <w:rPr>
          <w:rFonts w:ascii="Book Antiqua" w:eastAsia="Book Antiqua" w:hAnsi="Book Antiqua" w:cs="Book Antiqua"/>
          <w:color w:val="000000"/>
        </w:rPr>
        <w:t xml:space="preserve"> and for 10 min. The precipitate was rinsed once with hypertonic buffer and resuspended in RIPA buffer containing protease inhibitor and RNase inhibitor [50 mm Tris HCl (pH 7.5), 1500 mmol/L KCl, 1% Nonidet P-40, 0.5% sodium hydroxide, 0.1% SDS, 1 mmol/L EDTA, pH 8.0], incubated at 4</w:t>
      </w:r>
      <w:r w:rsidR="00270D2E">
        <w:rPr>
          <w:rFonts w:ascii="Book Antiqua" w:eastAsia="Book Antiqua" w:hAnsi="Book Antiqua" w:cs="Book Antiqua"/>
          <w:color w:val="000000"/>
        </w:rPr>
        <w:t xml:space="preserve"> °C</w:t>
      </w:r>
      <w:r>
        <w:rPr>
          <w:rFonts w:ascii="Book Antiqua" w:eastAsia="Book Antiqua" w:hAnsi="Book Antiqua" w:cs="Book Antiqua"/>
          <w:color w:val="000000"/>
        </w:rPr>
        <w:t xml:space="preserve"> for 30 min, rotated gently, and then centrifuged at 15000 × g for 20 min. The supernatant contained the nuclei</w:t>
      </w:r>
      <w:r>
        <w:rPr>
          <w:rFonts w:ascii="Book Antiqua" w:eastAsia="Book Antiqua" w:hAnsi="Book Antiqua" w:cs="Book Antiqua"/>
          <w:color w:val="000000"/>
          <w:vertAlign w:val="superscript"/>
        </w:rPr>
        <w:t>[</w:t>
      </w:r>
      <w:r>
        <w:rPr>
          <w:rFonts w:ascii="Book Antiqua" w:eastAsia="Book Antiqua" w:hAnsi="Book Antiqua" w:cs="Book Antiqua"/>
          <w:color w:val="000000"/>
          <w:szCs w:val="36"/>
          <w:vertAlign w:val="superscript"/>
        </w:rPr>
        <w:t>30]</w:t>
      </w:r>
      <w:r>
        <w:rPr>
          <w:rFonts w:ascii="Book Antiqua" w:eastAsia="Book Antiqua" w:hAnsi="Book Antiqua" w:cs="Book Antiqua"/>
          <w:color w:val="000000"/>
        </w:rPr>
        <w:t>.</w:t>
      </w:r>
    </w:p>
    <w:p w14:paraId="19619F4A" w14:textId="77777777" w:rsidR="00F76B23" w:rsidRDefault="00F76B23">
      <w:pPr>
        <w:spacing w:line="360" w:lineRule="auto"/>
        <w:jc w:val="both"/>
      </w:pPr>
    </w:p>
    <w:p w14:paraId="5128AC74" w14:textId="77777777" w:rsidR="00F76B23" w:rsidRDefault="00DB35EC">
      <w:pPr>
        <w:spacing w:line="360" w:lineRule="auto"/>
        <w:jc w:val="both"/>
      </w:pPr>
      <w:r>
        <w:rPr>
          <w:rFonts w:ascii="Book Antiqua" w:eastAsia="Book Antiqua" w:hAnsi="Book Antiqua" w:cs="Book Antiqua"/>
          <w:b/>
          <w:bCs/>
          <w:i/>
          <w:iCs/>
          <w:color w:val="000000"/>
        </w:rPr>
        <w:t>Dual-luciferase assay</w:t>
      </w:r>
    </w:p>
    <w:p w14:paraId="206CBE6D" w14:textId="77777777" w:rsidR="00F76B23" w:rsidRDefault="00DB35EC">
      <w:pPr>
        <w:spacing w:line="360" w:lineRule="auto"/>
        <w:jc w:val="both"/>
      </w:pPr>
      <w:r>
        <w:rPr>
          <w:rFonts w:ascii="Book Antiqua" w:eastAsia="Book Antiqua" w:hAnsi="Book Antiqua" w:cs="Book Antiqua"/>
          <w:color w:val="000000"/>
        </w:rPr>
        <w:t>The binding sites of XIST and miR-15b-5p, miR-15b-5p and TLR4 were predicted by the bioinformatics website StarBase (</w:t>
      </w:r>
      <w:hyperlink r:id="rId9" w:history="1">
        <w:r>
          <w:rPr>
            <w:rFonts w:ascii="Book Antiqua" w:eastAsia="Book Antiqua" w:hAnsi="Book Antiqua" w:cs="Book Antiqua"/>
            <w:color w:val="000000"/>
          </w:rPr>
          <w:t>http://starbase.sysu.edu.cn/index.php</w:t>
        </w:r>
      </w:hyperlink>
      <w:r>
        <w:rPr>
          <w:rFonts w:ascii="Book Antiqua" w:eastAsia="Book Antiqua" w:hAnsi="Book Antiqua" w:cs="Book Antiqua"/>
          <w:color w:val="000000"/>
        </w:rPr>
        <w:t>). The binding site sequences or their mutants were amplified and inserted into the pmiR vector (Huayueyang, Beijing, China) to construct the wild-type (WT) or mutant (MUT) vectors XIST-WT, TLR4-WT, XIST-MUT, and TLR4-MUT. Subsequently, HEK293T cells (Beinuo, Shanghai, China) were cotransfected with mimic NC or miR-15b-5p mimic for 48 h, after which the cells were collected and lysed, and the luciferase activity was detected using a kit (K801-200; Biovision, Mountain View, CA, United States).</w:t>
      </w:r>
    </w:p>
    <w:p w14:paraId="06D21EBD" w14:textId="77777777" w:rsidR="00F76B23" w:rsidRDefault="00F76B23">
      <w:pPr>
        <w:spacing w:line="360" w:lineRule="auto"/>
        <w:jc w:val="both"/>
      </w:pPr>
    </w:p>
    <w:p w14:paraId="45F1E28C" w14:textId="77777777" w:rsidR="00F76B23" w:rsidRDefault="00DB35EC">
      <w:pPr>
        <w:spacing w:line="360" w:lineRule="auto"/>
        <w:jc w:val="both"/>
      </w:pPr>
      <w:r>
        <w:rPr>
          <w:rFonts w:ascii="Book Antiqua" w:eastAsia="Book Antiqua" w:hAnsi="Book Antiqua" w:cs="Book Antiqua"/>
          <w:b/>
          <w:bCs/>
          <w:i/>
          <w:iCs/>
          <w:color w:val="000000"/>
        </w:rPr>
        <w:t>RNA immunoprecipitation</w:t>
      </w:r>
    </w:p>
    <w:p w14:paraId="6B8CDCF0" w14:textId="2AE883F1" w:rsidR="00F76B23" w:rsidRDefault="00DB35EC">
      <w:pPr>
        <w:spacing w:line="360" w:lineRule="auto"/>
        <w:jc w:val="both"/>
      </w:pPr>
      <w:r>
        <w:rPr>
          <w:rFonts w:ascii="Book Antiqua" w:eastAsia="Book Antiqua" w:hAnsi="Book Antiqua" w:cs="Book Antiqua"/>
          <w:color w:val="000000"/>
        </w:rPr>
        <w:t>The binding of miR-15b-5p to TLR43 and XIST was detected by an RNA immunoprecipitation (RIP) kit (Millipore, MA, United States). HK2 cells were rinsed with precooled PBS, and the supernatant was discarded. The cells were incubated with an equal volume of RIPA lysate (P0013B, Beyotime, Shanghai, China) for 5 min and centrifuged at 4</w:t>
      </w:r>
      <w:r w:rsidR="00270D2E">
        <w:rPr>
          <w:rFonts w:ascii="Book Antiqua" w:eastAsia="Book Antiqua" w:hAnsi="Book Antiqua" w:cs="Book Antiqua"/>
          <w:color w:val="000000"/>
        </w:rPr>
        <w:t xml:space="preserve"> °C</w:t>
      </w:r>
      <w:r>
        <w:rPr>
          <w:rFonts w:ascii="Book Antiqua" w:eastAsia="Book Antiqua" w:hAnsi="Book Antiqua" w:cs="Book Antiqua"/>
          <w:color w:val="000000"/>
        </w:rPr>
        <w:t xml:space="preserve"> for 10 min to obtain the supernatant. One part of the cell extract was taken as input, and the other part was incubated with the antibody for coprecipitation. RNA was extracted from the sample after detachment with proteinase K and used for qRT–PCR of XIST, miR-15b-5p, and TLR4. The antibodies used in RIP were AGO2 (1:100, </w:t>
      </w:r>
      <w:r>
        <w:rPr>
          <w:rFonts w:ascii="Book Antiqua" w:eastAsia="Book Antiqua" w:hAnsi="Book Antiqua" w:cs="Book Antiqua"/>
          <w:color w:val="000000"/>
        </w:rPr>
        <w:lastRenderedPageBreak/>
        <w:t>ab32381, Abcam, Cambridge, United Kingdom) and rabbit anti-IgG (1:100, ab109489, Abcam, Cambridge, United Kingdom), which was used as the control.</w:t>
      </w:r>
    </w:p>
    <w:p w14:paraId="1604D95A" w14:textId="77777777" w:rsidR="00F76B23" w:rsidRDefault="00F76B23">
      <w:pPr>
        <w:spacing w:line="360" w:lineRule="auto"/>
        <w:jc w:val="both"/>
      </w:pPr>
    </w:p>
    <w:p w14:paraId="53131667" w14:textId="77777777" w:rsidR="00F76B23" w:rsidRDefault="00DB35EC">
      <w:pPr>
        <w:spacing w:line="360" w:lineRule="auto"/>
        <w:jc w:val="both"/>
        <w:rPr>
          <w:b/>
          <w:bCs/>
          <w:i/>
          <w:iCs/>
        </w:rPr>
      </w:pPr>
      <w:r>
        <w:rPr>
          <w:rFonts w:ascii="Book Antiqua" w:eastAsia="Book Antiqua" w:hAnsi="Book Antiqua" w:cs="Book Antiqua"/>
          <w:b/>
          <w:bCs/>
          <w:i/>
          <w:iCs/>
          <w:color w:val="000000"/>
        </w:rPr>
        <w:t>Statistical analysis</w:t>
      </w:r>
    </w:p>
    <w:p w14:paraId="1E4F5CEA" w14:textId="77777777" w:rsidR="00F76B23" w:rsidRDefault="00DB35EC">
      <w:pPr>
        <w:spacing w:line="360" w:lineRule="auto"/>
        <w:jc w:val="both"/>
      </w:pPr>
      <w:r>
        <w:rPr>
          <w:rFonts w:ascii="Book Antiqua" w:eastAsia="Book Antiqua" w:hAnsi="Book Antiqua" w:cs="Book Antiqua"/>
          <w:color w:val="000000"/>
        </w:rPr>
        <w:t xml:space="preserve">The statistical review of the study was performed by a biomedical statistician. SPSS 21.0 (IBM Corp. Armonk, NY, United States) was used to process the data, and GraphPad Prism 8.0 (GraphPad Software, San Diego, CA, United States) was used for mapping. All measurement data were tested for normal distribution and homogeneity of variance and are presented as the mean ± SD. The comparisons among multiple groups were conducted by one-way or two-way analysis of variance (ANOVA), followed by Tukey's multiple comparisons test. A probability value of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implied a statistically significant difference.</w:t>
      </w:r>
    </w:p>
    <w:p w14:paraId="65AC3B45" w14:textId="77777777" w:rsidR="00F76B23" w:rsidRDefault="00F76B23">
      <w:pPr>
        <w:spacing w:line="360" w:lineRule="auto"/>
        <w:jc w:val="both"/>
      </w:pPr>
    </w:p>
    <w:p w14:paraId="1B6AC419" w14:textId="77777777" w:rsidR="00F76B23" w:rsidRDefault="00DB35EC">
      <w:pPr>
        <w:spacing w:line="360" w:lineRule="auto"/>
        <w:jc w:val="both"/>
      </w:pPr>
      <w:r>
        <w:rPr>
          <w:rFonts w:ascii="Book Antiqua" w:eastAsia="Book Antiqua" w:hAnsi="Book Antiqua" w:cs="Book Antiqua"/>
          <w:b/>
          <w:caps/>
          <w:color w:val="000000"/>
          <w:u w:val="single"/>
        </w:rPr>
        <w:t>RESULTS</w:t>
      </w:r>
    </w:p>
    <w:p w14:paraId="69F1BA7D" w14:textId="77777777" w:rsidR="00F76B23" w:rsidRDefault="00DB35EC">
      <w:pPr>
        <w:spacing w:line="360" w:lineRule="auto"/>
        <w:jc w:val="both"/>
      </w:pPr>
      <w:r>
        <w:rPr>
          <w:rFonts w:ascii="Book Antiqua" w:eastAsia="Book Antiqua" w:hAnsi="Book Antiqua" w:cs="Book Antiqua"/>
          <w:b/>
          <w:bCs/>
          <w:i/>
          <w:iCs/>
          <w:color w:val="000000"/>
        </w:rPr>
        <w:t>Silencing lncRNA XIST inhibits STZ-induced renal injury in DN rats</w:t>
      </w:r>
    </w:p>
    <w:p w14:paraId="798C2B38" w14:textId="77777777" w:rsidR="00F76B23" w:rsidRDefault="00DB35EC">
      <w:pPr>
        <w:spacing w:line="360" w:lineRule="auto"/>
        <w:jc w:val="both"/>
      </w:pPr>
      <w:r>
        <w:rPr>
          <w:rFonts w:ascii="Book Antiqua" w:eastAsia="Book Antiqua" w:hAnsi="Book Antiqua" w:cs="Book Antiqua"/>
          <w:color w:val="000000"/>
        </w:rPr>
        <w:t>An increasing number of studies have focused on the regulatory mechanism of lncRNAs in DN development. XIST is upregulated in acute kidney injury, and inhibiting XIST can alleviate acute kidney injury</w:t>
      </w:r>
      <w:r>
        <w:rPr>
          <w:rFonts w:ascii="Book Antiqua" w:eastAsia="Book Antiqua" w:hAnsi="Book Antiqua" w:cs="Book Antiqua"/>
          <w:color w:val="000000"/>
          <w:vertAlign w:val="superscript"/>
        </w:rPr>
        <w:t>[</w:t>
      </w:r>
      <w:r>
        <w:rPr>
          <w:rFonts w:ascii="Book Antiqua" w:eastAsia="Book Antiqua" w:hAnsi="Book Antiqua" w:cs="Book Antiqua"/>
          <w:color w:val="000000"/>
          <w:szCs w:val="36"/>
          <w:vertAlign w:val="superscript"/>
        </w:rPr>
        <w:t>31]</w:t>
      </w:r>
      <w:r>
        <w:rPr>
          <w:rFonts w:ascii="Book Antiqua" w:eastAsia="Book Antiqua" w:hAnsi="Book Antiqua" w:cs="Book Antiqua"/>
          <w:color w:val="000000"/>
        </w:rPr>
        <w:t>. However, the regulatory mechanism of XIST in DN requires further exploration.</w:t>
      </w:r>
    </w:p>
    <w:p w14:paraId="1162ED12" w14:textId="77777777" w:rsidR="00F76B23" w:rsidRDefault="00DB35EC">
      <w:pPr>
        <w:spacing w:line="360" w:lineRule="auto"/>
        <w:ind w:firstLine="480"/>
        <w:jc w:val="both"/>
      </w:pPr>
      <w:r>
        <w:rPr>
          <w:rFonts w:ascii="Book Antiqua" w:eastAsia="Book Antiqua" w:hAnsi="Book Antiqua" w:cs="Book Antiqua"/>
          <w:color w:val="000000"/>
        </w:rPr>
        <w:t>To study the role of XIST in DN, we first established a DN rat model and detected XIST expression. XIST in the DN group was higher than that in the control group. We then used LV-sh-XIST lentivirus to knock down XIST expression in the model rats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Figure 1A) and detected the renal metabolic and biochemical indices (including KW/BW, FBG, BUN, Cr, and UP 24 h) of the rats. The KW/BW, FBG, BUN, Cr, and UP 24 h values in  DN rats were higher than those in control rats, while LV-sh-XIST injected via the caudal vein significantly reduced these indices (except for FBG) (all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Figure 1B-F). Meanwhile, we detected the histological changes in renal tissue by HE staining, PAS staining, and Masson staining. Compared with the control group, the DN and DN + LV-sh-NC groups had several abnormalities, such as glomerular hypertrophy, </w:t>
      </w:r>
      <w:r>
        <w:rPr>
          <w:rFonts w:ascii="Book Antiqua" w:eastAsia="Book Antiqua" w:hAnsi="Book Antiqua" w:cs="Book Antiqua"/>
          <w:color w:val="000000"/>
        </w:rPr>
        <w:lastRenderedPageBreak/>
        <w:t>basement membrane thickening, mesangial hyperplasia, glomerular epithelial cell swelling, lumen stenosis, inflammatory cell infiltration, and moderate fibrosis. Lentivirus LV-sh-XIST intervention improved all of these histological changes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Figure 1G). Thus, silencing XIST can inhibit renal injury in DN rats.</w:t>
      </w:r>
    </w:p>
    <w:p w14:paraId="1B2D8A68" w14:textId="77777777" w:rsidR="00F76B23" w:rsidRDefault="00F76B23">
      <w:pPr>
        <w:spacing w:line="360" w:lineRule="auto"/>
        <w:ind w:firstLine="480"/>
        <w:jc w:val="both"/>
      </w:pPr>
    </w:p>
    <w:p w14:paraId="3D237A78" w14:textId="77777777" w:rsidR="00F76B23" w:rsidRDefault="00DB35EC">
      <w:pPr>
        <w:spacing w:line="360" w:lineRule="auto"/>
        <w:jc w:val="both"/>
      </w:pPr>
      <w:r>
        <w:rPr>
          <w:rFonts w:ascii="Book Antiqua" w:eastAsia="Book Antiqua" w:hAnsi="Book Antiqua" w:cs="Book Antiqua"/>
          <w:b/>
          <w:bCs/>
          <w:i/>
          <w:iCs/>
          <w:color w:val="000000"/>
        </w:rPr>
        <w:t>Silencing XIST inhibits pyroptosis in DN rats</w:t>
      </w:r>
    </w:p>
    <w:p w14:paraId="151E1A66" w14:textId="77777777" w:rsidR="00F76B23" w:rsidRDefault="00DB35EC">
      <w:pPr>
        <w:spacing w:line="360" w:lineRule="auto"/>
        <w:jc w:val="both"/>
      </w:pPr>
      <w:r>
        <w:rPr>
          <w:rFonts w:ascii="Book Antiqua" w:eastAsia="Book Antiqua" w:hAnsi="Book Antiqua" w:cs="Book Antiqua"/>
          <w:color w:val="000000"/>
        </w:rPr>
        <w:t>Inflammation is an important pathogenic factor of DN that can lead to RTEC pyroptosis</w:t>
      </w:r>
      <w:r>
        <w:rPr>
          <w:rFonts w:ascii="Book Antiqua" w:eastAsia="Book Antiqua" w:hAnsi="Book Antiqua" w:cs="Book Antiqua"/>
          <w:color w:val="000000"/>
          <w:vertAlign w:val="superscript"/>
        </w:rPr>
        <w:t>[</w:t>
      </w:r>
      <w:r>
        <w:rPr>
          <w:rFonts w:ascii="Book Antiqua" w:eastAsia="Book Antiqua" w:hAnsi="Book Antiqua" w:cs="Book Antiqua"/>
          <w:color w:val="000000"/>
          <w:szCs w:val="36"/>
          <w:vertAlign w:val="superscript"/>
        </w:rPr>
        <w:t>28]</w:t>
      </w:r>
      <w:r>
        <w:rPr>
          <w:rFonts w:ascii="Book Antiqua" w:eastAsia="Book Antiqua" w:hAnsi="Book Antiqua" w:cs="Book Antiqua"/>
          <w:color w:val="000000"/>
        </w:rPr>
        <w:t>. However, no studies have investigated the effects of XIST on pyroptosis in DN. Here, we detected IL-1β and IL-18 expression in renal tissue. ELISA revealed that IL-1β and IL-18 in the DN group were elevated, but they were lowered after silencing XIST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Figure 2A). Western blot analysis showed that the NLRP3, ASC, cleaved caspase-1, caspase-1, GSDMD, and GSDMD-N levels in the DN group were significantly enhanced, but they were lowered after silencing XIST (all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Figure 2B). The caspase-1 immunofluorescence results were consistent with the Western blot results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Figure 2C). These results suggest that silencing XIST in DN can prevent RTEC pyroptosis.</w:t>
      </w:r>
    </w:p>
    <w:p w14:paraId="3EE77580" w14:textId="77777777" w:rsidR="00F76B23" w:rsidRDefault="00F76B23">
      <w:pPr>
        <w:spacing w:line="360" w:lineRule="auto"/>
        <w:jc w:val="both"/>
      </w:pPr>
    </w:p>
    <w:p w14:paraId="50937D0D" w14:textId="77777777" w:rsidR="00F76B23" w:rsidRDefault="00DB35EC">
      <w:pPr>
        <w:spacing w:line="360" w:lineRule="auto"/>
        <w:jc w:val="both"/>
      </w:pPr>
      <w:r>
        <w:rPr>
          <w:rFonts w:ascii="Book Antiqua" w:eastAsia="Book Antiqua" w:hAnsi="Book Antiqua" w:cs="Book Antiqua"/>
          <w:b/>
          <w:bCs/>
          <w:i/>
          <w:iCs/>
          <w:color w:val="000000"/>
        </w:rPr>
        <w:t>Silencing XIST inhibits pyroptosis in HG-induced HK2 cells</w:t>
      </w:r>
    </w:p>
    <w:p w14:paraId="4531357D" w14:textId="77777777" w:rsidR="00F76B23" w:rsidRDefault="00DB35EC">
      <w:pPr>
        <w:spacing w:line="360" w:lineRule="auto"/>
        <w:jc w:val="both"/>
      </w:pPr>
      <w:r>
        <w:rPr>
          <w:rFonts w:ascii="Book Antiqua" w:eastAsia="Book Antiqua" w:hAnsi="Book Antiqua" w:cs="Book Antiqua"/>
          <w:color w:val="000000"/>
        </w:rPr>
        <w:t xml:space="preserve">HK2 cells were treated with HG to further study the regulatory effect of XIST on RTEC pyroptosis </w:t>
      </w:r>
      <w:r>
        <w:rPr>
          <w:rFonts w:ascii="Book Antiqua" w:eastAsia="Book Antiqua" w:hAnsi="Book Antiqua" w:cs="Book Antiqua"/>
          <w:i/>
          <w:iCs/>
          <w:color w:val="000000"/>
        </w:rPr>
        <w:t>in vitro</w:t>
      </w:r>
      <w:r>
        <w:rPr>
          <w:rFonts w:ascii="Book Antiqua" w:eastAsia="Book Antiqua" w:hAnsi="Book Antiqua" w:cs="Book Antiqua"/>
          <w:color w:val="000000"/>
        </w:rPr>
        <w:t>. qRT–PCR found that HG treatment induced high XIST expression, while XIST was significantly decreased after transfection of a siRNA sequence targeting XIST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Figure 3A). Si-XIST-1, which had the best silencing efficiency, was used in subsequent experiments. Next, we examined the effect of silencing XIST on RTEC pyroptosis after HG treatment. HG treatment significantly promoted the expression of IL-1β and IL-18 (as detected by ELISA), as well as NLRP3, ASC, cleaved caspase-1, caspase-1, GSDMD, and GSDMD-N (as shown by Western blot), while these levels were significantly lower after silencing XIST (all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Figure 3B-C). Silencing XIST also annulled the inhibition of HK2 cell viability by HG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Figure 3D) and significantly </w:t>
      </w:r>
      <w:r>
        <w:rPr>
          <w:rFonts w:ascii="Book Antiqua" w:eastAsia="Book Antiqua" w:hAnsi="Book Antiqua" w:cs="Book Antiqua"/>
          <w:color w:val="000000"/>
        </w:rPr>
        <w:lastRenderedPageBreak/>
        <w:t>reduced the release rate of LDH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Figure 3E). Overall, silencing XIST inhibited HG-induced RTEC pyroptosis </w:t>
      </w:r>
      <w:r>
        <w:rPr>
          <w:rFonts w:ascii="Book Antiqua" w:eastAsia="Book Antiqua" w:hAnsi="Book Antiqua" w:cs="Book Antiqua"/>
          <w:i/>
          <w:iCs/>
          <w:color w:val="000000"/>
        </w:rPr>
        <w:t>in vitro</w:t>
      </w:r>
      <w:r>
        <w:rPr>
          <w:rFonts w:ascii="Book Antiqua" w:eastAsia="Book Antiqua" w:hAnsi="Book Antiqua" w:cs="Book Antiqua"/>
          <w:color w:val="000000"/>
        </w:rPr>
        <w:t>.</w:t>
      </w:r>
    </w:p>
    <w:p w14:paraId="0BDDC71E" w14:textId="77777777" w:rsidR="00F76B23" w:rsidRDefault="00F76B23">
      <w:pPr>
        <w:spacing w:line="360" w:lineRule="auto"/>
        <w:jc w:val="both"/>
      </w:pPr>
    </w:p>
    <w:p w14:paraId="562C810B" w14:textId="77777777" w:rsidR="00F76B23" w:rsidRDefault="00DB35EC">
      <w:pPr>
        <w:spacing w:line="360" w:lineRule="auto"/>
        <w:jc w:val="both"/>
      </w:pPr>
      <w:r>
        <w:rPr>
          <w:rFonts w:ascii="Book Antiqua" w:eastAsia="Book Antiqua" w:hAnsi="Book Antiqua" w:cs="Book Antiqua"/>
          <w:b/>
          <w:bCs/>
          <w:i/>
          <w:iCs/>
          <w:color w:val="000000"/>
        </w:rPr>
        <w:t>LncRNA XIST binds to miR-15b-5p in DN</w:t>
      </w:r>
    </w:p>
    <w:p w14:paraId="045F7737" w14:textId="77777777" w:rsidR="00F76B23" w:rsidRDefault="00DB35EC">
      <w:pPr>
        <w:spacing w:line="360" w:lineRule="auto"/>
        <w:jc w:val="both"/>
      </w:pPr>
      <w:r>
        <w:rPr>
          <w:rFonts w:ascii="Book Antiqua" w:eastAsia="Book Antiqua" w:hAnsi="Book Antiqua" w:cs="Book Antiqua"/>
          <w:color w:val="000000"/>
        </w:rPr>
        <w:t>To further study the regulatory mechanism of XIST on RTEC pyroptosis in DN, we first used FISH and nuclear/cytosolic fractionation to identify that XIST was mainly expressed in the cytoplasm (Figure 4A-B). These results indicated that XIST may play a role in DN via a ceRNA loop. StarBase (http://starbase.sysu.edu.cn/index.php) predicted that XIST can bind to miR-15b-5p (Figure 4C). The dual-luciferase experiment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Figure 4D) and RIP experiment verified that XIST could adsorb and bind to miR-15b-5p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Figure 4E). qRT–PCR showed that miR-15b-5p in the DN group was significantly lower and was increased after silencing XIST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Figure 4F). Moreover, miR-15b-5p in HK2 cells was inhibited by HG treatment and was significantly enhanced after silencing XIST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Figure 4G). There was no significant difference in the expression of premiR-15b in rats and cells in each group. These results show that XIST can adsorb and bind to miR-15b-5p to reduce miR-15b-5p expression in DN.</w:t>
      </w:r>
    </w:p>
    <w:p w14:paraId="5D6D21E4" w14:textId="77777777" w:rsidR="00F76B23" w:rsidRDefault="00F76B23">
      <w:pPr>
        <w:spacing w:line="360" w:lineRule="auto"/>
        <w:jc w:val="both"/>
      </w:pPr>
    </w:p>
    <w:p w14:paraId="3EBA0869" w14:textId="77777777" w:rsidR="00F76B23" w:rsidRDefault="00DB35EC">
      <w:pPr>
        <w:spacing w:line="360" w:lineRule="auto"/>
        <w:jc w:val="both"/>
      </w:pPr>
      <w:r>
        <w:rPr>
          <w:rFonts w:ascii="Book Antiqua" w:eastAsia="Book Antiqua" w:hAnsi="Book Antiqua" w:cs="Book Antiqua"/>
          <w:b/>
          <w:bCs/>
          <w:i/>
          <w:iCs/>
          <w:color w:val="000000"/>
        </w:rPr>
        <w:t>Inhibition of miR-15b-5p in XIST-silenced HK2 cells activates RTEC pyroptosis</w:t>
      </w:r>
    </w:p>
    <w:p w14:paraId="01E18328" w14:textId="77777777" w:rsidR="00F76B23" w:rsidRDefault="00DB35EC">
      <w:pPr>
        <w:spacing w:line="360" w:lineRule="auto"/>
        <w:jc w:val="both"/>
      </w:pPr>
      <w:r>
        <w:rPr>
          <w:rFonts w:ascii="Book Antiqua" w:eastAsia="Book Antiqua" w:hAnsi="Book Antiqua" w:cs="Book Antiqua"/>
          <w:color w:val="000000"/>
        </w:rPr>
        <w:t>Next, we carried out functional rescue experiments to verify the above regulatory mechanism. We silenced both XIST and miR-15b-5p in HG-exposed HK2 cells. First, we detected miR-15b-5p expression by qRT–PCR, which verified the transfection efficiency of the miR-15b-5p inhibitor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0.05, Figure 5A). In HG-treated HK2 cells, the miR-15b-5p inhibitor reversed the inhibitory effect of si-XIST on IL-1β and IL-18 (all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Figure 5B); it also reversed the expression of NLRP3, ASC, cleaved caspase-1, caspase-1, GSDMD, and GSDMD-N (all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Figure 5C). Compared with the si-XIST + inhibitor NC group, the cell </w:t>
      </w:r>
      <w:r>
        <w:rPr>
          <w:rFonts w:ascii="Book Antiqua" w:eastAsia="Book Antiqua" w:hAnsi="Book Antiqua" w:cs="Book Antiqua" w:hint="eastAsia"/>
          <w:color w:val="000000"/>
        </w:rPr>
        <w:t>viability</w:t>
      </w:r>
      <w:r>
        <w:rPr>
          <w:rFonts w:ascii="Book Antiqua" w:eastAsia="Book Antiqua" w:hAnsi="Book Antiqua" w:cs="Book Antiqua"/>
          <w:color w:val="000000"/>
        </w:rPr>
        <w:t xml:space="preserve"> of the si-XIST + miR-15b-5p inhibitor group was decreased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Figure 5D), while the release rate of LDH was increased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Figure 5E). Taken together, these results indicate that silencing XIST inhibits HG-induced RTEC pyroptosis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by promoting miR-15b-5p.</w:t>
      </w:r>
    </w:p>
    <w:p w14:paraId="4371554C" w14:textId="77777777" w:rsidR="00F76B23" w:rsidRDefault="00F76B23">
      <w:pPr>
        <w:spacing w:line="360" w:lineRule="auto"/>
        <w:jc w:val="both"/>
      </w:pPr>
    </w:p>
    <w:p w14:paraId="6DE20E30" w14:textId="77777777" w:rsidR="00F76B23" w:rsidRDefault="00DB35EC">
      <w:pPr>
        <w:spacing w:line="360" w:lineRule="auto"/>
        <w:jc w:val="both"/>
      </w:pPr>
      <w:r>
        <w:rPr>
          <w:rFonts w:ascii="Book Antiqua" w:eastAsia="Book Antiqua" w:hAnsi="Book Antiqua" w:cs="Book Antiqua"/>
          <w:b/>
          <w:bCs/>
          <w:i/>
          <w:iCs/>
          <w:color w:val="000000"/>
        </w:rPr>
        <w:t>LncRNA XIST sponges miR-15b-5p to inhibit TLR4</w:t>
      </w:r>
    </w:p>
    <w:p w14:paraId="14474685" w14:textId="77777777" w:rsidR="00F76B23" w:rsidRDefault="00DB35EC">
      <w:pPr>
        <w:spacing w:line="360" w:lineRule="auto"/>
        <w:jc w:val="both"/>
      </w:pPr>
      <w:r>
        <w:rPr>
          <w:rFonts w:ascii="Book Antiqua" w:eastAsia="Book Antiqua" w:hAnsi="Book Antiqua" w:cs="Book Antiqua"/>
          <w:color w:val="000000"/>
        </w:rPr>
        <w:t>To study the downstream mechanism of miR-15b-5p, we utilized the StarBase website (</w:t>
      </w:r>
      <w:r>
        <w:rPr>
          <w:rStyle w:val="15"/>
          <w:rFonts w:ascii="Book Antiqua" w:eastAsia="Book Antiqua" w:hAnsi="Book Antiqua" w:cs="Book Antiqua"/>
          <w:color w:val="000000"/>
        </w:rPr>
        <w:t>http://starbase.sysu.edu.cn/index.php</w:t>
      </w:r>
      <w:r>
        <w:rPr>
          <w:rFonts w:ascii="Book Antiqua" w:eastAsia="Book Antiqua" w:hAnsi="Book Antiqua" w:cs="Book Antiqua"/>
          <w:color w:val="000000"/>
        </w:rPr>
        <w:t>) to predict that miR-15b-5p can bind to the 3'UTR of TLR4 (Figure 6A). The dual-luciferase assay and RIP assay also showed that TLR4 was the direct target gene of miR-15b-5p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Figure 6B-C). TLR4 expression in renal tissue was assessed by qRT–PCR and Western blot. The results showed that TLR4 in renal tissue of the DN group was higher than that of the control group, and TLR4 was lower after silencing XIST (all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Figure 6D-E). Additionally, silencing XIST significantly reversed the TLR4 expression induced by HG, while the miR-15b-5p inhibitor reversed the inhibitory effect of silencing XIST (all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Figure 6F-G). In summary, XIST inhibits TLR4 expression by binding to miR-15b-5p.</w:t>
      </w:r>
    </w:p>
    <w:p w14:paraId="0D691231" w14:textId="77777777" w:rsidR="00F76B23" w:rsidRDefault="00F76B23">
      <w:pPr>
        <w:spacing w:line="360" w:lineRule="auto"/>
        <w:jc w:val="both"/>
      </w:pPr>
    </w:p>
    <w:p w14:paraId="12EBAC48" w14:textId="77777777" w:rsidR="00F76B23" w:rsidRDefault="00DB35EC">
      <w:pPr>
        <w:spacing w:line="360" w:lineRule="auto"/>
        <w:jc w:val="both"/>
      </w:pPr>
      <w:r>
        <w:rPr>
          <w:rFonts w:ascii="Book Antiqua" w:eastAsia="Book Antiqua" w:hAnsi="Book Antiqua" w:cs="Book Antiqua"/>
          <w:b/>
          <w:bCs/>
          <w:i/>
          <w:iCs/>
          <w:color w:val="000000"/>
        </w:rPr>
        <w:t>TLR4 overexpression in XIST-silenced cells causes increased pyroptosis</w:t>
      </w:r>
    </w:p>
    <w:p w14:paraId="763D0EC2" w14:textId="77777777" w:rsidR="00F76B23" w:rsidRDefault="00DB35EC">
      <w:pPr>
        <w:spacing w:line="360" w:lineRule="auto"/>
        <w:jc w:val="both"/>
      </w:pPr>
      <w:r>
        <w:rPr>
          <w:rFonts w:ascii="Book Antiqua" w:eastAsia="Book Antiqua" w:hAnsi="Book Antiqua" w:cs="Book Antiqua"/>
          <w:color w:val="000000"/>
        </w:rPr>
        <w:t>TLR4 promotes apoptosis by activating NLRP3/caspase-1 in hepatic ischaemia–reperfusion injury</w:t>
      </w:r>
      <w:r>
        <w:rPr>
          <w:rFonts w:ascii="Book Antiqua" w:eastAsia="Book Antiqua" w:hAnsi="Book Antiqua" w:cs="Book Antiqua"/>
          <w:color w:val="000000"/>
          <w:vertAlign w:val="superscript"/>
        </w:rPr>
        <w:t>[</w:t>
      </w:r>
      <w:r>
        <w:rPr>
          <w:rFonts w:ascii="Book Antiqua" w:eastAsia="Book Antiqua" w:hAnsi="Book Antiqua" w:cs="Book Antiqua"/>
          <w:color w:val="000000"/>
          <w:szCs w:val="36"/>
          <w:vertAlign w:val="superscript"/>
        </w:rPr>
        <w:t>32]</w:t>
      </w:r>
      <w:r>
        <w:rPr>
          <w:rFonts w:ascii="Book Antiqua" w:eastAsia="Book Antiqua" w:hAnsi="Book Antiqua" w:cs="Book Antiqua"/>
          <w:color w:val="000000"/>
        </w:rPr>
        <w:t>. Whether XIST regulates HG-induced RTEC pyroptosis through TLR4 remains to be explored.</w:t>
      </w:r>
    </w:p>
    <w:p w14:paraId="1F6C290E" w14:textId="77777777" w:rsidR="00F76B23" w:rsidRDefault="00DB35EC">
      <w:pPr>
        <w:spacing w:line="360" w:lineRule="auto"/>
        <w:ind w:firstLine="480"/>
        <w:jc w:val="both"/>
      </w:pPr>
      <w:r>
        <w:rPr>
          <w:rFonts w:ascii="Book Antiqua" w:eastAsia="Book Antiqua" w:hAnsi="Book Antiqua" w:cs="Book Antiqua"/>
          <w:color w:val="000000"/>
        </w:rPr>
        <w:t>To further verify the regulatory effect of XIST on TLR4, we silenced XIST and overexpressed TLR4 in HG-treated HK2 cells and detected the TLR4 Levels. TLR4 was significantly overexpressed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Figure 7A-B). Compared with the si-XIST + oe-NC group, TLR4 overexpression promoted IL-1β and IL-18 expression and increased the levels of NLRP3, ASC, cleaved caspase-1, caspase-1, GSDMD, and GSDMD-N (all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Figure 7C-D). Furthermore, TLR4 overexpression decreased cell viability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Figure 7E) and increased the release rate of LDH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Figure 7F). In summary, silencing XIST inhibits HG-induced RTEC pyroptosis by inhibiting TLR4.</w:t>
      </w:r>
    </w:p>
    <w:p w14:paraId="136FCC3D" w14:textId="77777777" w:rsidR="00F76B23" w:rsidRDefault="00F76B23">
      <w:pPr>
        <w:spacing w:line="360" w:lineRule="auto"/>
        <w:jc w:val="both"/>
        <w:rPr>
          <w:lang w:eastAsia="zh-CN"/>
        </w:rPr>
      </w:pPr>
    </w:p>
    <w:p w14:paraId="42FB04F2" w14:textId="77777777" w:rsidR="00F76B23" w:rsidRDefault="00DB35EC">
      <w:pPr>
        <w:spacing w:line="360" w:lineRule="auto"/>
        <w:jc w:val="both"/>
      </w:pPr>
      <w:r>
        <w:rPr>
          <w:rFonts w:ascii="Book Antiqua" w:eastAsia="Book Antiqua" w:hAnsi="Book Antiqua" w:cs="Book Antiqua"/>
          <w:b/>
          <w:caps/>
          <w:color w:val="000000"/>
          <w:u w:val="single"/>
        </w:rPr>
        <w:t>DISCUSSION</w:t>
      </w:r>
    </w:p>
    <w:p w14:paraId="32F98803" w14:textId="77777777" w:rsidR="00F76B23" w:rsidRDefault="00DB35EC">
      <w:pPr>
        <w:spacing w:line="360" w:lineRule="auto"/>
        <w:jc w:val="both"/>
      </w:pPr>
      <w:r>
        <w:rPr>
          <w:rFonts w:ascii="Book Antiqua" w:eastAsia="Book Antiqua" w:hAnsi="Book Antiqua" w:cs="Book Antiqua"/>
          <w:color w:val="000000"/>
        </w:rPr>
        <w:t xml:space="preserve">As the most prevalent, disastrous, and costly complication of diabetes, DN occurs in approximately 30% to 40% of diabetic patients, representing a considerable public health </w:t>
      </w:r>
      <w:r>
        <w:rPr>
          <w:rFonts w:ascii="Book Antiqua" w:eastAsia="Book Antiqua" w:hAnsi="Book Antiqua" w:cs="Book Antiqua"/>
          <w:color w:val="000000"/>
        </w:rPr>
        <w:lastRenderedPageBreak/>
        <w:t>problem</w:t>
      </w:r>
      <w:r>
        <w:rPr>
          <w:rFonts w:ascii="Book Antiqua" w:eastAsia="Book Antiqua" w:hAnsi="Book Antiqua" w:cs="Book Antiqua"/>
          <w:color w:val="000000"/>
          <w:vertAlign w:val="superscript"/>
        </w:rPr>
        <w:t>[</w:t>
      </w:r>
      <w:r>
        <w:rPr>
          <w:rFonts w:ascii="Book Antiqua" w:eastAsia="Book Antiqua" w:hAnsi="Book Antiqua" w:cs="Book Antiqua"/>
          <w:color w:val="000000"/>
          <w:szCs w:val="36"/>
          <w:vertAlign w:val="superscript"/>
        </w:rPr>
        <w:t>33]</w:t>
      </w:r>
      <w:r>
        <w:rPr>
          <w:rFonts w:ascii="Book Antiqua" w:eastAsia="Book Antiqua" w:hAnsi="Book Antiqua" w:cs="Book Antiqua"/>
          <w:color w:val="000000"/>
        </w:rPr>
        <w:t>. Pyroptosis and the subsequent inflammatory response are dominant events in DN pathogenesis</w:t>
      </w:r>
      <w:r>
        <w:rPr>
          <w:rFonts w:ascii="Book Antiqua" w:eastAsia="Book Antiqua" w:hAnsi="Book Antiqua" w:cs="Book Antiqua"/>
          <w:color w:val="000000"/>
          <w:vertAlign w:val="superscript"/>
        </w:rPr>
        <w:t>[</w:t>
      </w:r>
      <w:r>
        <w:rPr>
          <w:rFonts w:ascii="Book Antiqua" w:eastAsia="Book Antiqua" w:hAnsi="Book Antiqua" w:cs="Book Antiqua"/>
          <w:color w:val="000000"/>
          <w:szCs w:val="36"/>
          <w:vertAlign w:val="superscript"/>
        </w:rPr>
        <w:t>15]</w:t>
      </w:r>
      <w:r>
        <w:rPr>
          <w:rFonts w:ascii="Book Antiqua" w:eastAsia="Book Antiqua" w:hAnsi="Book Antiqua" w:cs="Book Antiqua"/>
          <w:color w:val="000000"/>
        </w:rPr>
        <w:t>. This study found that DN induces RTEC pyroptosis by activating NLRP3/caspase-1 and inducing high XIST expression. Silencing XIST promoted the targeted inhibition of TLR4 by miR-15b-5p by upregulating miR-15b-5p, thus inhibiting TLR4 and finally alleviating renal injury in DN rats by inhibiting NLRP3/caspase-1-mediated RTEC pyroptosis (Figure 8).</w:t>
      </w:r>
    </w:p>
    <w:p w14:paraId="29E3BB99" w14:textId="77777777" w:rsidR="00F76B23" w:rsidRDefault="00DB35EC">
      <w:pPr>
        <w:spacing w:line="360" w:lineRule="auto"/>
        <w:ind w:firstLine="480"/>
        <w:jc w:val="both"/>
      </w:pPr>
      <w:r>
        <w:rPr>
          <w:rFonts w:ascii="Book Antiqua" w:eastAsia="Book Antiqua" w:hAnsi="Book Antiqua" w:cs="Book Antiqua"/>
          <w:color w:val="000000"/>
        </w:rPr>
        <w:t>XIST silencing has been shown to alleviate certain biological processes and inflammation in HG-treated human mesangial cells (HMCs)</w:t>
      </w:r>
      <w:r>
        <w:rPr>
          <w:rFonts w:ascii="Book Antiqua" w:eastAsia="Book Antiqua" w:hAnsi="Book Antiqua" w:cs="Book Antiqua"/>
          <w:color w:val="000000"/>
          <w:vertAlign w:val="superscript"/>
        </w:rPr>
        <w:t>[</w:t>
      </w:r>
      <w:r>
        <w:rPr>
          <w:rFonts w:ascii="Book Antiqua" w:eastAsia="Book Antiqua" w:hAnsi="Book Antiqua" w:cs="Book Antiqua"/>
          <w:color w:val="000000"/>
          <w:szCs w:val="36"/>
          <w:vertAlign w:val="superscript"/>
        </w:rPr>
        <w:t>21]</w:t>
      </w:r>
      <w:r>
        <w:rPr>
          <w:rFonts w:ascii="Book Antiqua" w:eastAsia="Book Antiqua" w:hAnsi="Book Antiqua" w:cs="Book Antiqua"/>
          <w:color w:val="000000"/>
        </w:rPr>
        <w:t>. XIST was found to be highly expressed in renal tissue of DN patients, STZ-treated DN mice, and HG-exposed HK-2 cells</w:t>
      </w:r>
      <w:r>
        <w:rPr>
          <w:rFonts w:ascii="Book Antiqua" w:eastAsia="Book Antiqua" w:hAnsi="Book Antiqua" w:cs="Book Antiqua"/>
          <w:color w:val="000000"/>
          <w:vertAlign w:val="superscript"/>
        </w:rPr>
        <w:t>[</w:t>
      </w:r>
      <w:r>
        <w:rPr>
          <w:rFonts w:ascii="Book Antiqua" w:eastAsia="Book Antiqua" w:hAnsi="Book Antiqua" w:cs="Book Antiqua"/>
          <w:color w:val="000000"/>
          <w:szCs w:val="36"/>
          <w:vertAlign w:val="superscript"/>
        </w:rPr>
        <w:t>22]</w:t>
      </w:r>
      <w:r>
        <w:rPr>
          <w:rFonts w:ascii="Book Antiqua" w:eastAsia="Book Antiqua" w:hAnsi="Book Antiqua" w:cs="Book Antiqua"/>
          <w:color w:val="000000"/>
        </w:rPr>
        <w:t>. Consistently, the STZ (50 mg/kg)-induced DN rat model in our study showed the upregulation of XIST. XIST expression was downregulated by LV-sh-XIST lentivirus, and renal metabolic and biochemical indices were detected. The results showed that LV-sh-XIST significantly reduced the values of KW/BW, BUN, Cr, and UP 24 h. FBG is a highly related indicator of diabetes. XIST silencing can improve the symptoms of diabetic nephropathy but cannot completely cure diabetes. Correspondingly, our results showed that FBG was not restored after XIST silencing. One study showed that a markedly elevated FBG content in the serum of DN rats indicated seriously disordered glucose metabolism; the DN rats also presented elevated BUN and Cr levels, which were associated with impaired renal filtration function</w:t>
      </w:r>
      <w:r>
        <w:rPr>
          <w:rFonts w:ascii="Book Antiqua" w:eastAsia="Book Antiqua" w:hAnsi="Book Antiqua" w:cs="Book Antiqua"/>
          <w:color w:val="000000"/>
          <w:vertAlign w:val="superscript"/>
        </w:rPr>
        <w:t>[</w:t>
      </w:r>
      <w:r>
        <w:rPr>
          <w:rFonts w:ascii="Book Antiqua" w:eastAsia="Book Antiqua" w:hAnsi="Book Antiqua" w:cs="Book Antiqua"/>
          <w:color w:val="000000"/>
          <w:szCs w:val="36"/>
          <w:vertAlign w:val="superscript"/>
        </w:rPr>
        <w:t>34]</w:t>
      </w:r>
      <w:r>
        <w:rPr>
          <w:rFonts w:ascii="Book Antiqua" w:eastAsia="Book Antiqua" w:hAnsi="Book Antiqua" w:cs="Book Antiqua"/>
          <w:color w:val="000000"/>
        </w:rPr>
        <w:t>. As previously noted, the metabolic burden caused by hyperglycaemia can result in metabolic injuries, such as tissue inflammation, glomerular filtration, tubular hypertrophy, and tissue fibrosis</w:t>
      </w:r>
      <w:r>
        <w:rPr>
          <w:rFonts w:ascii="Book Antiqua" w:eastAsia="Book Antiqua" w:hAnsi="Book Antiqua" w:cs="Book Antiqua"/>
          <w:color w:val="000000"/>
          <w:vertAlign w:val="superscript"/>
        </w:rPr>
        <w:t>[</w:t>
      </w:r>
      <w:r>
        <w:rPr>
          <w:rFonts w:ascii="Book Antiqua" w:eastAsia="Book Antiqua" w:hAnsi="Book Antiqua" w:cs="Book Antiqua"/>
          <w:color w:val="000000"/>
          <w:szCs w:val="36"/>
          <w:vertAlign w:val="superscript"/>
        </w:rPr>
        <w:t>35]</w:t>
      </w:r>
      <w:r>
        <w:rPr>
          <w:rFonts w:ascii="Book Antiqua" w:eastAsia="Book Antiqua" w:hAnsi="Book Antiqua" w:cs="Book Antiqua"/>
          <w:color w:val="000000"/>
        </w:rPr>
        <w:t>. In the current study, histological staining of renal tissue demonstrated that the DN rats showed glomerular hypertrophy, basement membrane thickening, mesangial hyperplasia, glomerular epithelial cell swelling, lumen stenosis, inflammatory cell infiltration, and fibrosis; however, LV-sh-XIST intervention improved these histological changes. Preventing glomerular hypertrophy and attenuating glomerular hyperfiltration may have therapeutic potential for DN</w:t>
      </w:r>
      <w:r>
        <w:rPr>
          <w:rFonts w:ascii="Book Antiqua" w:eastAsia="Book Antiqua" w:hAnsi="Book Antiqua" w:cs="Book Antiqua"/>
          <w:color w:val="000000"/>
          <w:vertAlign w:val="superscript"/>
        </w:rPr>
        <w:t>[</w:t>
      </w:r>
      <w:r>
        <w:rPr>
          <w:rFonts w:ascii="Book Antiqua" w:eastAsia="Book Antiqua" w:hAnsi="Book Antiqua" w:cs="Book Antiqua"/>
          <w:color w:val="000000"/>
          <w:szCs w:val="36"/>
          <w:vertAlign w:val="superscript"/>
        </w:rPr>
        <w:t>35]</w:t>
      </w:r>
      <w:r>
        <w:rPr>
          <w:rFonts w:ascii="Book Antiqua" w:eastAsia="Book Antiqua" w:hAnsi="Book Antiqua" w:cs="Book Antiqua"/>
          <w:color w:val="000000"/>
        </w:rPr>
        <w:t>. Consistently, prior work suggests that XIST knockdown alleviates acute kidney injury</w:t>
      </w:r>
      <w:r>
        <w:rPr>
          <w:rFonts w:ascii="Book Antiqua" w:eastAsia="Book Antiqua" w:hAnsi="Book Antiqua" w:cs="Book Antiqua"/>
          <w:color w:val="000000"/>
          <w:vertAlign w:val="superscript"/>
        </w:rPr>
        <w:t>[</w:t>
      </w:r>
      <w:r>
        <w:rPr>
          <w:rFonts w:ascii="Book Antiqua" w:eastAsia="Book Antiqua" w:hAnsi="Book Antiqua" w:cs="Book Antiqua"/>
          <w:color w:val="000000"/>
          <w:szCs w:val="36"/>
          <w:vertAlign w:val="superscript"/>
        </w:rPr>
        <w:t>31]</w:t>
      </w:r>
      <w:r>
        <w:rPr>
          <w:rFonts w:ascii="Book Antiqua" w:eastAsia="Book Antiqua" w:hAnsi="Book Antiqua" w:cs="Book Antiqua"/>
          <w:color w:val="000000"/>
        </w:rPr>
        <w:t>. These results suggest that silencing lncRNA XIST can inhibit renal injury in DN rats.</w:t>
      </w:r>
    </w:p>
    <w:p w14:paraId="20A0B4A0" w14:textId="77777777" w:rsidR="00F76B23" w:rsidRDefault="00DB35EC">
      <w:pPr>
        <w:spacing w:line="360" w:lineRule="auto"/>
        <w:ind w:firstLine="480"/>
        <w:jc w:val="both"/>
      </w:pPr>
      <w:r>
        <w:rPr>
          <w:rFonts w:ascii="Book Antiqua" w:eastAsia="Book Antiqua" w:hAnsi="Book Antiqua" w:cs="Book Antiqua"/>
          <w:color w:val="000000"/>
        </w:rPr>
        <w:lastRenderedPageBreak/>
        <w:t>Inflammation and RTEC pyroptosis are hallmarks of tubular cell damage and renal functional deterioration in kidney injury</w:t>
      </w:r>
      <w:r>
        <w:rPr>
          <w:rFonts w:ascii="Book Antiqua" w:eastAsia="Book Antiqua" w:hAnsi="Book Antiqua" w:cs="Book Antiqua"/>
          <w:color w:val="000000"/>
          <w:vertAlign w:val="superscript"/>
        </w:rPr>
        <w:t>[</w:t>
      </w:r>
      <w:r>
        <w:rPr>
          <w:rFonts w:ascii="Book Antiqua" w:eastAsia="Book Antiqua" w:hAnsi="Book Antiqua" w:cs="Book Antiqua"/>
          <w:color w:val="000000"/>
          <w:szCs w:val="36"/>
          <w:vertAlign w:val="superscript"/>
        </w:rPr>
        <w:t>36]</w:t>
      </w:r>
      <w:r>
        <w:rPr>
          <w:rFonts w:ascii="Book Antiqua" w:eastAsia="Book Antiqua" w:hAnsi="Book Antiqua" w:cs="Book Antiqua"/>
          <w:color w:val="000000"/>
        </w:rPr>
        <w:t>. The urinary level of the inflammatory mediator IL-18 has been reported to be positively linked with DN progression</w:t>
      </w:r>
      <w:r>
        <w:rPr>
          <w:rFonts w:ascii="Book Antiqua" w:eastAsia="Book Antiqua" w:hAnsi="Book Antiqua" w:cs="Book Antiqua"/>
          <w:color w:val="000000"/>
          <w:vertAlign w:val="superscript"/>
        </w:rPr>
        <w:t>[</w:t>
      </w:r>
      <w:r>
        <w:rPr>
          <w:rFonts w:ascii="Book Antiqua" w:eastAsia="Book Antiqua" w:hAnsi="Book Antiqua" w:cs="Book Antiqua"/>
          <w:color w:val="000000"/>
          <w:szCs w:val="36"/>
          <w:vertAlign w:val="superscript"/>
        </w:rPr>
        <w:t>37]</w:t>
      </w:r>
      <w:r>
        <w:rPr>
          <w:rFonts w:ascii="Book Antiqua" w:eastAsia="Book Antiqua" w:hAnsi="Book Antiqua" w:cs="Book Antiqua"/>
          <w:color w:val="000000"/>
        </w:rPr>
        <w:t>. The participation of pyroptosis in DN progression has recently attracted much attention</w:t>
      </w:r>
      <w:r>
        <w:rPr>
          <w:rFonts w:ascii="Book Antiqua" w:eastAsia="Book Antiqua" w:hAnsi="Book Antiqua" w:cs="Book Antiqua"/>
          <w:color w:val="000000"/>
          <w:vertAlign w:val="superscript"/>
        </w:rPr>
        <w:t>[</w:t>
      </w:r>
      <w:r>
        <w:rPr>
          <w:rFonts w:ascii="Book Antiqua" w:eastAsia="Book Antiqua" w:hAnsi="Book Antiqua" w:cs="Book Antiqua"/>
          <w:color w:val="000000"/>
          <w:szCs w:val="36"/>
          <w:vertAlign w:val="superscript"/>
        </w:rPr>
        <w:t>38,28]</w:t>
      </w:r>
      <w:r>
        <w:rPr>
          <w:rFonts w:ascii="Book Antiqua" w:eastAsia="Book Antiqua" w:hAnsi="Book Antiqua" w:cs="Book Antiqua"/>
          <w:color w:val="000000"/>
        </w:rPr>
        <w:t>, and we investigated inflammation and RTEC pyroptosis-related factors. Our results revealed that the IL-1β and IL-18 levels in DN rats were elevated, but they were lower after silencing XIST. Western blot and caspase-1 immunofluorescence showed that the NLRP3, ASC, caspase-1, and GSDMD levels in the DN group were enhanced, but they were lower after silencing XIST, which was highly consistent with previous studies</w:t>
      </w:r>
      <w:r>
        <w:rPr>
          <w:rFonts w:ascii="Book Antiqua" w:eastAsia="Book Antiqua" w:hAnsi="Book Antiqua" w:cs="Book Antiqua"/>
          <w:color w:val="000000"/>
          <w:vertAlign w:val="superscript"/>
        </w:rPr>
        <w:t>[</w:t>
      </w:r>
      <w:r>
        <w:rPr>
          <w:rFonts w:ascii="Book Antiqua" w:eastAsia="Book Antiqua" w:hAnsi="Book Antiqua" w:cs="Book Antiqua"/>
          <w:color w:val="000000"/>
          <w:szCs w:val="36"/>
          <w:vertAlign w:val="superscript"/>
        </w:rPr>
        <w:t>39,34]</w:t>
      </w:r>
      <w:r>
        <w:rPr>
          <w:rFonts w:ascii="Book Antiqua" w:eastAsia="Book Antiqua" w:hAnsi="Book Antiqua" w:cs="Book Antiqua"/>
          <w:color w:val="000000"/>
        </w:rPr>
        <w:t>. NLRP3 inflammasome activation is related to cell pyroptosis</w:t>
      </w:r>
      <w:r>
        <w:rPr>
          <w:rFonts w:ascii="Book Antiqua" w:eastAsia="Book Antiqua" w:hAnsi="Book Antiqua" w:cs="Book Antiqua"/>
          <w:color w:val="000000"/>
          <w:vertAlign w:val="superscript"/>
        </w:rPr>
        <w:t>[</w:t>
      </w:r>
      <w:r>
        <w:rPr>
          <w:rFonts w:ascii="Book Antiqua" w:eastAsia="Book Antiqua" w:hAnsi="Book Antiqua" w:cs="Book Antiqua"/>
          <w:color w:val="000000"/>
          <w:szCs w:val="36"/>
          <w:vertAlign w:val="superscript"/>
        </w:rPr>
        <w:t>40]</w:t>
      </w:r>
      <w:r>
        <w:rPr>
          <w:rFonts w:ascii="Book Antiqua" w:eastAsia="Book Antiqua" w:hAnsi="Book Antiqua" w:cs="Book Antiqua"/>
          <w:color w:val="000000"/>
        </w:rPr>
        <w:t>; therefore, the inhibition of NLRP3 inflammatory bodies may be a potential option for DN treatment</w:t>
      </w:r>
      <w:r>
        <w:rPr>
          <w:rFonts w:ascii="Book Antiqua" w:eastAsia="Book Antiqua" w:hAnsi="Book Antiqua" w:cs="Book Antiqua"/>
          <w:color w:val="000000"/>
          <w:vertAlign w:val="superscript"/>
        </w:rPr>
        <w:t>[</w:t>
      </w:r>
      <w:r>
        <w:rPr>
          <w:rFonts w:ascii="Book Antiqua" w:eastAsia="Book Antiqua" w:hAnsi="Book Antiqua" w:cs="Book Antiqua"/>
          <w:color w:val="000000"/>
          <w:szCs w:val="36"/>
          <w:vertAlign w:val="superscript"/>
        </w:rPr>
        <w:t>41]</w:t>
      </w:r>
      <w:r>
        <w:rPr>
          <w:rFonts w:ascii="Book Antiqua" w:eastAsia="Book Antiqua" w:hAnsi="Book Antiqua" w:cs="Book Antiqua"/>
          <w:color w:val="000000"/>
        </w:rPr>
        <w:t xml:space="preserve">. To further study the regulatory effect of XIST on pyroptosis, HK2 cells were treated with HG to further study the regulatory effect of XIST on RTEC pyroptosis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Our results revealed that silencing XIST inhibited HG-induced RTEC pyroptosis </w:t>
      </w:r>
      <w:r>
        <w:rPr>
          <w:rFonts w:ascii="Book Antiqua" w:eastAsia="Book Antiqua" w:hAnsi="Book Antiqua" w:cs="Book Antiqua"/>
          <w:i/>
          <w:iCs/>
          <w:color w:val="000000"/>
        </w:rPr>
        <w:t>in vitro</w:t>
      </w:r>
      <w:r>
        <w:rPr>
          <w:rFonts w:ascii="Book Antiqua" w:eastAsia="Book Antiqua" w:hAnsi="Book Antiqua" w:cs="Book Antiqua"/>
          <w:color w:val="000000"/>
        </w:rPr>
        <w:t>, reversed the inhibitory effect of HG on HK2 cell viability, and reduced the release rate of LDH. Podocytes exposed to 30 mM HG showed significantly elevated levels of caspase-11, GSDMD-N, IL-1β, and IL-18, indicating that pyroptosis is activated under hyperglycaemic conditions and during DN development</w:t>
      </w:r>
      <w:r>
        <w:rPr>
          <w:rFonts w:ascii="Book Antiqua" w:eastAsia="Book Antiqua" w:hAnsi="Book Antiqua" w:cs="Book Antiqua"/>
          <w:color w:val="000000"/>
          <w:vertAlign w:val="superscript"/>
        </w:rPr>
        <w:t>[</w:t>
      </w:r>
      <w:r>
        <w:rPr>
          <w:rFonts w:ascii="Book Antiqua" w:eastAsia="Book Antiqua" w:hAnsi="Book Antiqua" w:cs="Book Antiqua"/>
          <w:color w:val="000000"/>
          <w:szCs w:val="36"/>
          <w:vertAlign w:val="superscript"/>
        </w:rPr>
        <w:t>14]</w:t>
      </w:r>
      <w:r>
        <w:rPr>
          <w:rFonts w:ascii="Book Antiqua" w:eastAsia="Book Antiqua" w:hAnsi="Book Antiqua" w:cs="Book Antiqua"/>
          <w:color w:val="000000"/>
        </w:rPr>
        <w:t>. Collectively, the results indicate that silencing XIST in DN can inhibit HG-induced RTEC pyroptosis.</w:t>
      </w:r>
    </w:p>
    <w:p w14:paraId="503E2202" w14:textId="77777777" w:rsidR="00F76B23" w:rsidRDefault="00DB35EC">
      <w:pPr>
        <w:spacing w:line="360" w:lineRule="auto"/>
        <w:ind w:firstLine="480"/>
        <w:jc w:val="both"/>
      </w:pPr>
      <w:r>
        <w:rPr>
          <w:rFonts w:ascii="Book Antiqua" w:eastAsia="Book Antiqua" w:hAnsi="Book Antiqua" w:cs="Book Antiqua"/>
          <w:color w:val="000000"/>
        </w:rPr>
        <w:t>To further study the regulatory mechanism of XIST on RTEC pyroptosis in DN, we used FISH and nuclear/cytosolic fractionation to identify that XIST was mainly expressed in the cytoplasm. These results suggest that XIST plays a role in DN by regulating ceRNAs. StarBase predicted that XIST can bind to miR-15b-5p, which was validated by dual-luciferase experiments and RIP. qRT-PCR showed that miR-15b-5p in the DN models was significantly lower but increased after silencing XIST. Accordingly, miR-15b-5p was found to be downregulated in the serum of DN patients and in HG-treated HMCs</w:t>
      </w:r>
      <w:r>
        <w:rPr>
          <w:rFonts w:ascii="Book Antiqua" w:eastAsia="Book Antiqua" w:hAnsi="Book Antiqua" w:cs="Book Antiqua"/>
          <w:color w:val="000000"/>
          <w:vertAlign w:val="superscript"/>
        </w:rPr>
        <w:t>[</w:t>
      </w:r>
      <w:r>
        <w:rPr>
          <w:rFonts w:ascii="Book Antiqua" w:eastAsia="Book Antiqua" w:hAnsi="Book Antiqua" w:cs="Book Antiqua"/>
          <w:color w:val="000000"/>
          <w:szCs w:val="36"/>
          <w:vertAlign w:val="superscript"/>
        </w:rPr>
        <w:t>42]</w:t>
      </w:r>
      <w:r>
        <w:rPr>
          <w:rFonts w:ascii="Book Antiqua" w:eastAsia="Book Antiqua" w:hAnsi="Book Antiqua" w:cs="Book Antiqua"/>
          <w:color w:val="000000"/>
        </w:rPr>
        <w:t xml:space="preserve">. XIST can adsorb and bind to miR-15b-5p to reduce miR-15b-5p expression in DN. We did not investigate whether XIST undergoes nuclear translocation </w:t>
      </w:r>
      <w:r>
        <w:rPr>
          <w:rFonts w:ascii="Book Antiqua" w:eastAsia="Book Antiqua" w:hAnsi="Book Antiqua" w:cs="Book Antiqua"/>
          <w:color w:val="000000"/>
        </w:rPr>
        <w:lastRenderedPageBreak/>
        <w:t>in the DN models or in HG-treated HK-2 cells. We will focus on this question in future research to provide a more comprehensive mechanism for the role of XIST in DN.</w:t>
      </w:r>
    </w:p>
    <w:p w14:paraId="7AAB964B" w14:textId="77777777" w:rsidR="00F76B23" w:rsidRDefault="00DB35EC">
      <w:pPr>
        <w:spacing w:line="360" w:lineRule="auto"/>
        <w:ind w:firstLine="480"/>
        <w:jc w:val="both"/>
      </w:pPr>
      <w:r>
        <w:rPr>
          <w:rFonts w:ascii="Book Antiqua" w:eastAsia="Book Antiqua" w:hAnsi="Book Antiqua" w:cs="Book Antiqua"/>
          <w:color w:val="000000"/>
        </w:rPr>
        <w:t xml:space="preserve">We next carried out functional rescue experiments to verify the postulated regulatory mechanism. XIST and miR-15b-5p were both silenced in HG-treated HK2 cells. Accordingly, the miR-15b-5p inhibitor significantly reversed the inhibitory effect of si-XIST on IL-1β, IL-18, NLRP3, ASC, caspase-1, and GSDMD; the cell </w:t>
      </w:r>
      <w:r>
        <w:rPr>
          <w:rFonts w:ascii="Book Antiqua" w:eastAsia="Book Antiqua" w:hAnsi="Book Antiqua" w:cs="Book Antiqua" w:hint="eastAsia"/>
          <w:color w:val="000000"/>
        </w:rPr>
        <w:t>viability</w:t>
      </w:r>
      <w:r>
        <w:rPr>
          <w:rFonts w:ascii="Book Antiqua" w:eastAsia="Book Antiqua" w:hAnsi="Book Antiqua" w:cs="Book Antiqua"/>
          <w:color w:val="000000"/>
        </w:rPr>
        <w:t xml:space="preserve"> was decreased, while the release rate of LDH was significantly increased. Similarly, a previous study revealed that forced expression of miR-15b-5p restrained HG-triggered apoptosis of podocytes and inflammatory responses and repressed oxidative stress damage</w:t>
      </w:r>
      <w:r>
        <w:rPr>
          <w:rFonts w:ascii="Book Antiqua" w:eastAsia="Book Antiqua" w:hAnsi="Book Antiqua" w:cs="Book Antiqua"/>
          <w:color w:val="000000"/>
          <w:vertAlign w:val="superscript"/>
        </w:rPr>
        <w:t>[</w:t>
      </w:r>
      <w:r>
        <w:rPr>
          <w:rFonts w:ascii="Book Antiqua" w:eastAsia="Book Antiqua" w:hAnsi="Book Antiqua" w:cs="Book Antiqua"/>
          <w:color w:val="000000"/>
          <w:szCs w:val="36"/>
          <w:vertAlign w:val="superscript"/>
        </w:rPr>
        <w:t>43]</w:t>
      </w:r>
      <w:r>
        <w:rPr>
          <w:rFonts w:ascii="Book Antiqua" w:eastAsia="Book Antiqua" w:hAnsi="Book Antiqua" w:cs="Book Antiqua"/>
          <w:color w:val="000000"/>
        </w:rPr>
        <w:t>. The miR-15b-5p mimic repressed the viability and inflammation of HG-treated HMCs, as previously shown</w:t>
      </w:r>
      <w:r>
        <w:rPr>
          <w:rFonts w:ascii="Book Antiqua" w:eastAsia="Book Antiqua" w:hAnsi="Book Antiqua" w:cs="Book Antiqua"/>
          <w:color w:val="000000"/>
          <w:vertAlign w:val="superscript"/>
        </w:rPr>
        <w:t>[</w:t>
      </w:r>
      <w:r>
        <w:rPr>
          <w:rFonts w:ascii="Book Antiqua" w:eastAsia="Book Antiqua" w:hAnsi="Book Antiqua" w:cs="Book Antiqua"/>
          <w:color w:val="000000"/>
          <w:szCs w:val="36"/>
          <w:vertAlign w:val="superscript"/>
        </w:rPr>
        <w:t>42]</w:t>
      </w:r>
      <w:r>
        <w:rPr>
          <w:rFonts w:ascii="Book Antiqua" w:eastAsia="Book Antiqua" w:hAnsi="Book Antiqua" w:cs="Book Antiqua"/>
          <w:color w:val="000000"/>
        </w:rPr>
        <w:t xml:space="preserve">. The findings show that silencing XIST inhibits HG-induced RTEC pyroptosis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by promoting miR-15b-5p. As yet, there have been no studies on the correlation between miR-15b-5p and RTEC pyroptosis in DN, indicating the novelty of our findings.</w:t>
      </w:r>
    </w:p>
    <w:p w14:paraId="23B1A6D8" w14:textId="77777777" w:rsidR="00F76B23" w:rsidRDefault="00DB35EC">
      <w:pPr>
        <w:spacing w:line="360" w:lineRule="auto"/>
        <w:ind w:firstLine="480"/>
        <w:jc w:val="both"/>
      </w:pPr>
      <w:r>
        <w:rPr>
          <w:rFonts w:ascii="Book Antiqua" w:eastAsia="Book Antiqua" w:hAnsi="Book Antiqua" w:cs="Book Antiqua"/>
          <w:color w:val="000000"/>
        </w:rPr>
        <w:t>To study the downstream mechanism of miR-15b-5p, the StarBase website was used to predict that miR-15b-5p can bind to TLR4, which was validated by a dual-luciferase assay and RIP assay. qRT–PCR and Western blotting showed that TLR4 in the DN models was significantly enhanced but was lower after silencing XIST. The miR-15b-5p inhibitor mitigated the inhibition of TLR4 when XIST was silenced. In summary, XIST inhibits TLR4 by binding to miR-15b-5p. RTEC pyroptosis-induced tubular injury is accompanied by upregulated TLR4 and GSDMD in DN patients</w:t>
      </w:r>
      <w:r>
        <w:rPr>
          <w:rFonts w:ascii="Book Antiqua" w:eastAsia="Book Antiqua" w:hAnsi="Book Antiqua" w:cs="Book Antiqua"/>
          <w:color w:val="000000"/>
          <w:vertAlign w:val="superscript"/>
        </w:rPr>
        <w:t>[</w:t>
      </w:r>
      <w:r>
        <w:rPr>
          <w:rFonts w:ascii="Book Antiqua" w:eastAsia="Book Antiqua" w:hAnsi="Book Antiqua" w:cs="Book Antiqua"/>
          <w:color w:val="000000"/>
          <w:szCs w:val="36"/>
          <w:vertAlign w:val="superscript"/>
        </w:rPr>
        <w:t>44]</w:t>
      </w:r>
      <w:r>
        <w:rPr>
          <w:rFonts w:ascii="Book Antiqua" w:eastAsia="Book Antiqua" w:hAnsi="Book Antiqua" w:cs="Book Antiqua"/>
          <w:color w:val="000000"/>
        </w:rPr>
        <w:t xml:space="preserve">. To further verify that the regulation of RTEC pyroptosis by XIST is realized through TLR4, we silenced XIST and overexpressed TLR4 in HG-treated HK2 cells. As expected, TLR4 overexpression promoted IL-1β, IL-18, NLRP3, ASC, cleaved caspase-1, caspase-1, GSDMD, and GSDMD-N; decreased cell </w:t>
      </w:r>
      <w:r>
        <w:rPr>
          <w:rFonts w:ascii="Book Antiqua" w:eastAsia="Book Antiqua" w:hAnsi="Book Antiqua" w:cs="Book Antiqua" w:hint="eastAsia"/>
          <w:color w:val="000000"/>
        </w:rPr>
        <w:t>viability</w:t>
      </w:r>
      <w:r>
        <w:rPr>
          <w:rFonts w:ascii="Book Antiqua" w:eastAsia="Book Antiqua" w:hAnsi="Book Antiqua" w:cs="Book Antiqua"/>
          <w:color w:val="000000"/>
        </w:rPr>
        <w:t>; and increased the release rate of LDH. The results of several studies support our findings. TLR4 promotes apoptosis by activating NLRP3/caspase-1</w:t>
      </w:r>
      <w:r>
        <w:rPr>
          <w:rFonts w:ascii="Book Antiqua" w:eastAsia="Book Antiqua" w:hAnsi="Book Antiqua" w:cs="Book Antiqua"/>
          <w:color w:val="000000"/>
          <w:vertAlign w:val="superscript"/>
        </w:rPr>
        <w:t>[</w:t>
      </w:r>
      <w:r>
        <w:rPr>
          <w:rFonts w:ascii="Book Antiqua" w:eastAsia="Book Antiqua" w:hAnsi="Book Antiqua" w:cs="Book Antiqua"/>
          <w:color w:val="000000"/>
          <w:szCs w:val="36"/>
          <w:vertAlign w:val="superscript"/>
        </w:rPr>
        <w:t>32]</w:t>
      </w:r>
      <w:r>
        <w:rPr>
          <w:rFonts w:ascii="Book Antiqua" w:eastAsia="Book Antiqua" w:hAnsi="Book Antiqua" w:cs="Book Antiqua"/>
          <w:color w:val="000000"/>
        </w:rPr>
        <w:t>. TLR4 depletion inhibits microglial pyroptosis to promote motor function recovery after spinal cord injury</w:t>
      </w:r>
      <w:r>
        <w:rPr>
          <w:rFonts w:ascii="Book Antiqua" w:eastAsia="Book Antiqua" w:hAnsi="Book Antiqua" w:cs="Book Antiqua"/>
          <w:color w:val="000000"/>
          <w:vertAlign w:val="superscript"/>
        </w:rPr>
        <w:t>[</w:t>
      </w:r>
      <w:r>
        <w:rPr>
          <w:rFonts w:ascii="Book Antiqua" w:eastAsia="Book Antiqua" w:hAnsi="Book Antiqua" w:cs="Book Antiqua"/>
          <w:color w:val="000000"/>
          <w:szCs w:val="36"/>
          <w:vertAlign w:val="superscript"/>
        </w:rPr>
        <w:t>45]</w:t>
      </w:r>
      <w:r>
        <w:rPr>
          <w:rFonts w:ascii="Book Antiqua" w:eastAsia="Book Antiqua" w:hAnsi="Book Antiqua" w:cs="Book Antiqua"/>
          <w:color w:val="000000"/>
        </w:rPr>
        <w:t xml:space="preserve">. The TLR4 inhibitor TAK-242 induced </w:t>
      </w:r>
      <w:r>
        <w:rPr>
          <w:rFonts w:ascii="Book Antiqua" w:eastAsia="Book Antiqua" w:hAnsi="Book Antiqua" w:cs="Book Antiqua"/>
          <w:color w:val="000000"/>
        </w:rPr>
        <w:lastRenderedPageBreak/>
        <w:t>GSDMD-mediated pyroptosis in HG-exposed cells</w:t>
      </w:r>
      <w:r>
        <w:rPr>
          <w:rFonts w:ascii="Book Antiqua" w:eastAsia="Book Antiqua" w:hAnsi="Book Antiqua" w:cs="Book Antiqua"/>
          <w:color w:val="000000"/>
          <w:vertAlign w:val="superscript"/>
        </w:rPr>
        <w:t>[</w:t>
      </w:r>
      <w:r>
        <w:rPr>
          <w:rFonts w:ascii="Book Antiqua" w:eastAsia="Book Antiqua" w:hAnsi="Book Antiqua" w:cs="Book Antiqua"/>
          <w:color w:val="000000"/>
          <w:szCs w:val="36"/>
          <w:vertAlign w:val="superscript"/>
        </w:rPr>
        <w:t>44]</w:t>
      </w:r>
      <w:r>
        <w:rPr>
          <w:rFonts w:ascii="Book Antiqua" w:eastAsia="Book Antiqua" w:hAnsi="Book Antiqua" w:cs="Book Antiqua"/>
          <w:color w:val="000000"/>
        </w:rPr>
        <w:t>. In summary, silencing XIST inhibits HG-induced RTEC pyroptosis by inhibiting TLR4.</w:t>
      </w:r>
    </w:p>
    <w:p w14:paraId="715A8003" w14:textId="77777777" w:rsidR="00F76B23" w:rsidRDefault="00F76B23">
      <w:pPr>
        <w:spacing w:line="360" w:lineRule="auto"/>
        <w:jc w:val="both"/>
      </w:pPr>
    </w:p>
    <w:p w14:paraId="37EDE13C" w14:textId="77777777" w:rsidR="00F76B23" w:rsidRDefault="00DB35EC">
      <w:pPr>
        <w:spacing w:line="360" w:lineRule="auto"/>
        <w:jc w:val="both"/>
      </w:pPr>
      <w:r>
        <w:rPr>
          <w:rFonts w:ascii="Book Antiqua" w:eastAsia="Book Antiqua" w:hAnsi="Book Antiqua" w:cs="Book Antiqua"/>
          <w:b/>
          <w:caps/>
          <w:color w:val="000000"/>
          <w:u w:val="single"/>
        </w:rPr>
        <w:t>CONCLUSION</w:t>
      </w:r>
    </w:p>
    <w:p w14:paraId="3BE6953C" w14:textId="77777777" w:rsidR="00F76B23" w:rsidRDefault="00DB35EC">
      <w:pPr>
        <w:spacing w:line="360" w:lineRule="auto"/>
        <w:jc w:val="both"/>
      </w:pPr>
      <w:r>
        <w:rPr>
          <w:rFonts w:ascii="Book Antiqua" w:eastAsia="Book Antiqua" w:hAnsi="Book Antiqua" w:cs="Book Antiqua"/>
          <w:color w:val="000000"/>
        </w:rPr>
        <w:t xml:space="preserve">Overall, our results indicate that silencing XIST ultimately relieves renal injury in DN by inhibiting NLRP3/caspase-1-mediated RTEC pyroptosis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ceRNA network of eXIST/miR-15b-5p/TLR4. However, the mechanism of abnormal XIST and miR-15b-5p expression in renal injury in DN has not been comprehensively studied and will be further explored in our future studies. There are many pyroptosis regulatory mechanisms, among which the classical caspase-1 inflammatory body pathway is the most studied. This pathway includes NLRP1, NLRP3, and other nod-like receptor family inflammatory bodies. Here, we investigated the classical caspase-1 pathway. Many studies have shown that the caspase-11 pathway plays an important role in inflammation-related diseases</w:t>
      </w:r>
      <w:r>
        <w:rPr>
          <w:rFonts w:ascii="Book Antiqua" w:eastAsia="Book Antiqua" w:hAnsi="Book Antiqua" w:cs="Book Antiqua"/>
          <w:color w:val="000000"/>
          <w:vertAlign w:val="superscript"/>
        </w:rPr>
        <w:t>[</w:t>
      </w:r>
      <w:r>
        <w:rPr>
          <w:rFonts w:ascii="Book Antiqua" w:eastAsia="Book Antiqua" w:hAnsi="Book Antiqua" w:cs="Book Antiqua"/>
          <w:color w:val="000000"/>
          <w:szCs w:val="36"/>
          <w:vertAlign w:val="superscript"/>
        </w:rPr>
        <w:t>14,46,47]</w:t>
      </w:r>
      <w:r>
        <w:rPr>
          <w:rFonts w:ascii="Book Antiqua" w:eastAsia="Book Antiqua" w:hAnsi="Book Antiqua" w:cs="Book Antiqua"/>
          <w:color w:val="000000"/>
        </w:rPr>
        <w:t>. We will further explore whether XIST has a regulatory effect on the caspase-11 pathway in future research.</w:t>
      </w:r>
    </w:p>
    <w:p w14:paraId="17F801DB" w14:textId="77777777" w:rsidR="00F76B23" w:rsidRDefault="00F76B23">
      <w:pPr>
        <w:spacing w:line="360" w:lineRule="auto"/>
        <w:jc w:val="both"/>
      </w:pPr>
    </w:p>
    <w:p w14:paraId="206BE6FB" w14:textId="77777777" w:rsidR="00F76B23" w:rsidRDefault="00DB35EC">
      <w:pPr>
        <w:spacing w:line="360" w:lineRule="auto"/>
        <w:jc w:val="both"/>
      </w:pPr>
      <w:r>
        <w:rPr>
          <w:rFonts w:ascii="Book Antiqua" w:eastAsia="Book Antiqua" w:hAnsi="Book Antiqua" w:cs="Book Antiqua"/>
          <w:b/>
          <w:caps/>
          <w:color w:val="000000"/>
          <w:u w:val="single"/>
        </w:rPr>
        <w:t>ARTICLE HIGHLIGHTS</w:t>
      </w:r>
    </w:p>
    <w:p w14:paraId="6688FC67" w14:textId="77777777" w:rsidR="00F76B23" w:rsidRDefault="00DB35EC">
      <w:pPr>
        <w:spacing w:line="360" w:lineRule="auto"/>
        <w:jc w:val="both"/>
      </w:pPr>
      <w:r>
        <w:rPr>
          <w:rFonts w:ascii="Book Antiqua" w:eastAsia="Book Antiqua" w:hAnsi="Book Antiqua" w:cs="Book Antiqua"/>
          <w:b/>
          <w:i/>
          <w:color w:val="000000"/>
        </w:rPr>
        <w:t>Research background</w:t>
      </w:r>
    </w:p>
    <w:p w14:paraId="3047F7BA" w14:textId="77777777" w:rsidR="00F76B23" w:rsidRDefault="00DB35EC">
      <w:pPr>
        <w:spacing w:line="360" w:lineRule="auto"/>
        <w:jc w:val="both"/>
      </w:pPr>
      <w:r>
        <w:rPr>
          <w:rFonts w:ascii="Book Antiqua" w:eastAsia="Book Antiqua" w:hAnsi="Book Antiqua" w:cs="Book Antiqua"/>
          <w:color w:val="000000"/>
          <w:szCs w:val="21"/>
        </w:rPr>
        <w:t>Diabetes is a metabolic disease characterized by hyperglycemia. Chronic hyperglycemia can lead to chronic damage and dysfunction of various tissues and organs, such as eyes, kidneys, heart, blood vessels, and nerves. Various complications caused by diabetes are unavoidable problems in the treatment of diabetes mellitus, including diabetic nephropathy (DN). Understanding the molecular regulation mechanism of DN during renal injury is helpful to the treatment of DN.</w:t>
      </w:r>
    </w:p>
    <w:p w14:paraId="53F75B28" w14:textId="77777777" w:rsidR="00F76B23" w:rsidRDefault="00F76B23">
      <w:pPr>
        <w:spacing w:line="360" w:lineRule="auto"/>
        <w:jc w:val="both"/>
      </w:pPr>
    </w:p>
    <w:p w14:paraId="5370FD66" w14:textId="77777777" w:rsidR="00F76B23" w:rsidRDefault="00DB35EC">
      <w:pPr>
        <w:spacing w:line="360" w:lineRule="auto"/>
        <w:jc w:val="both"/>
      </w:pPr>
      <w:r>
        <w:rPr>
          <w:rFonts w:ascii="Book Antiqua" w:eastAsia="Book Antiqua" w:hAnsi="Book Antiqua" w:cs="Book Antiqua"/>
          <w:b/>
          <w:i/>
          <w:color w:val="000000"/>
        </w:rPr>
        <w:t>Research motivation</w:t>
      </w:r>
    </w:p>
    <w:p w14:paraId="30B6132A" w14:textId="77777777" w:rsidR="00F76B23" w:rsidRDefault="00DB35EC">
      <w:pPr>
        <w:spacing w:line="360" w:lineRule="auto"/>
        <w:jc w:val="both"/>
      </w:pPr>
      <w:r>
        <w:rPr>
          <w:rFonts w:ascii="Book Antiqua" w:eastAsia="Book Antiqua" w:hAnsi="Book Antiqua" w:cs="Book Antiqua"/>
          <w:color w:val="000000"/>
          <w:szCs w:val="21"/>
        </w:rPr>
        <w:t>Cell pyroptosis is a programmed cell death pattern and plays a key role in DN. However, the regulation mechanism of cell pyroptosis in DN has not been studied clearly. Therefore, our research will help to reveal the role of cell pyroptosis in DN.</w:t>
      </w:r>
    </w:p>
    <w:p w14:paraId="5409F551" w14:textId="77777777" w:rsidR="00F76B23" w:rsidRDefault="00F76B23">
      <w:pPr>
        <w:spacing w:line="360" w:lineRule="auto"/>
        <w:jc w:val="both"/>
      </w:pPr>
    </w:p>
    <w:p w14:paraId="1D151412" w14:textId="77777777" w:rsidR="00F76B23" w:rsidRDefault="00DB35EC">
      <w:pPr>
        <w:spacing w:line="360" w:lineRule="auto"/>
        <w:jc w:val="both"/>
      </w:pPr>
      <w:r>
        <w:rPr>
          <w:rFonts w:ascii="Book Antiqua" w:eastAsia="Book Antiqua" w:hAnsi="Book Antiqua" w:cs="Book Antiqua"/>
          <w:b/>
          <w:i/>
          <w:color w:val="000000"/>
        </w:rPr>
        <w:t>Research objectives</w:t>
      </w:r>
    </w:p>
    <w:p w14:paraId="4CAFC2BE" w14:textId="77777777" w:rsidR="00F76B23" w:rsidRDefault="00DB35EC">
      <w:pPr>
        <w:spacing w:line="360" w:lineRule="auto"/>
        <w:jc w:val="both"/>
      </w:pPr>
      <w:r>
        <w:rPr>
          <w:rFonts w:ascii="Book Antiqua" w:eastAsia="Book Antiqua" w:hAnsi="Book Antiqua" w:cs="Book Antiqua"/>
          <w:color w:val="000000"/>
          <w:szCs w:val="21"/>
        </w:rPr>
        <w:t>Long noncoding RNA X inactive specific transcript (LncRNA XIST) was taken as the main object of our research to explore the molecular mechanism of XIST in pyroptosis of renal tubular epithelial cells (RTECs). We found that XIST comparatively bound to microRNA (miR)-15b-5p to regulate Toll like receptor 4 (TLR4) expression and promote RTEC pyroptosis to participate in kidney injury in DN. Our research results provide a new theoretical basis for the treatment of DN.</w:t>
      </w:r>
    </w:p>
    <w:p w14:paraId="0DCEC273" w14:textId="77777777" w:rsidR="00F76B23" w:rsidRDefault="00F76B23">
      <w:pPr>
        <w:spacing w:line="360" w:lineRule="auto"/>
        <w:jc w:val="both"/>
      </w:pPr>
    </w:p>
    <w:p w14:paraId="50067DEF" w14:textId="77777777" w:rsidR="00F76B23" w:rsidRDefault="00DB35EC">
      <w:pPr>
        <w:spacing w:line="360" w:lineRule="auto"/>
        <w:jc w:val="both"/>
      </w:pPr>
      <w:r>
        <w:rPr>
          <w:rFonts w:ascii="Book Antiqua" w:eastAsia="Book Antiqua" w:hAnsi="Book Antiqua" w:cs="Book Antiqua"/>
          <w:b/>
          <w:i/>
          <w:color w:val="000000"/>
        </w:rPr>
        <w:t>Research methods</w:t>
      </w:r>
    </w:p>
    <w:p w14:paraId="241A1098" w14:textId="77777777" w:rsidR="00F76B23" w:rsidRDefault="00DB35EC">
      <w:pPr>
        <w:spacing w:line="360" w:lineRule="auto"/>
        <w:jc w:val="both"/>
      </w:pPr>
      <w:r>
        <w:rPr>
          <w:rFonts w:ascii="Book Antiqua" w:eastAsia="Book Antiqua" w:hAnsi="Book Antiqua" w:cs="Book Antiqua"/>
          <w:color w:val="000000"/>
          <w:szCs w:val="21"/>
        </w:rPr>
        <w:t>To study the mechanism of XIST in the pathogenesis of DN-induced pyroptosis, we established DN rat models and high glucose (HG)-induced cell models. By detecting and intervening in the expression of XIST in animal models and cell models, we observed the pathological and representational changes of the models, and collected and analyzed the experimental data. Our research methods conform to science and are carried out strict experimental operation according to the experimental principle, and the results are representative.</w:t>
      </w:r>
    </w:p>
    <w:p w14:paraId="16FB57BC" w14:textId="77777777" w:rsidR="00F76B23" w:rsidRDefault="00F76B23">
      <w:pPr>
        <w:spacing w:line="360" w:lineRule="auto"/>
        <w:jc w:val="both"/>
      </w:pPr>
    </w:p>
    <w:p w14:paraId="436189D5" w14:textId="77777777" w:rsidR="00F76B23" w:rsidRDefault="00DB35EC">
      <w:pPr>
        <w:spacing w:line="360" w:lineRule="auto"/>
        <w:jc w:val="both"/>
      </w:pPr>
      <w:r>
        <w:rPr>
          <w:rFonts w:ascii="Book Antiqua" w:eastAsia="Book Antiqua" w:hAnsi="Book Antiqua" w:cs="Book Antiqua"/>
          <w:b/>
          <w:i/>
          <w:color w:val="000000"/>
        </w:rPr>
        <w:t>Research results</w:t>
      </w:r>
    </w:p>
    <w:p w14:paraId="0FF1959C" w14:textId="77777777" w:rsidR="00F76B23" w:rsidRDefault="00DB35EC">
      <w:pPr>
        <w:spacing w:line="360" w:lineRule="auto"/>
        <w:jc w:val="both"/>
      </w:pPr>
      <w:r>
        <w:rPr>
          <w:rFonts w:ascii="Book Antiqua" w:eastAsia="Book Antiqua" w:hAnsi="Book Antiqua" w:cs="Book Antiqua"/>
          <w:color w:val="000000"/>
          <w:szCs w:val="21"/>
        </w:rPr>
        <w:t>Through experiments, we found that lncRNA XIST was highly expressed in the DN models, and XIST increased the expression of TLR4 as a competing endogenous RNA by competing with miR-15-5p. Inhibiting the expression of XIST repressed the expression of TLR4 by upregulating miR-15-5p, and effectively improved the pyroptosis of RTECs induced by DN. Our findings explain the regulatory mechanism of lncRNA XIST in the pathogenesis of DN-induced RTEC pyroptosis. However, our results have not yet been clinically validated and further exploration is warranted in clinical transformation.</w:t>
      </w:r>
    </w:p>
    <w:p w14:paraId="4205445C" w14:textId="77777777" w:rsidR="00F76B23" w:rsidRDefault="00F76B23">
      <w:pPr>
        <w:spacing w:line="360" w:lineRule="auto"/>
        <w:jc w:val="both"/>
      </w:pPr>
    </w:p>
    <w:p w14:paraId="5F1C4A39" w14:textId="77777777" w:rsidR="00F76B23" w:rsidRDefault="00DB35EC">
      <w:pPr>
        <w:spacing w:line="360" w:lineRule="auto"/>
        <w:jc w:val="both"/>
      </w:pPr>
      <w:r>
        <w:rPr>
          <w:rFonts w:ascii="Book Antiqua" w:eastAsia="Book Antiqua" w:hAnsi="Book Antiqua" w:cs="Book Antiqua"/>
          <w:b/>
          <w:i/>
          <w:color w:val="000000"/>
        </w:rPr>
        <w:t>Research conclusions</w:t>
      </w:r>
    </w:p>
    <w:p w14:paraId="5B584D83" w14:textId="77777777" w:rsidR="00F76B23" w:rsidRDefault="00DB35EC">
      <w:pPr>
        <w:spacing w:line="360" w:lineRule="auto"/>
        <w:jc w:val="both"/>
      </w:pPr>
      <w:r>
        <w:rPr>
          <w:rFonts w:ascii="Book Antiqua" w:eastAsia="Book Antiqua" w:hAnsi="Book Antiqua" w:cs="Book Antiqua"/>
          <w:color w:val="000000"/>
          <w:szCs w:val="21"/>
        </w:rPr>
        <w:lastRenderedPageBreak/>
        <w:t>This study for the first time revealed that lncRNA XIST can enhance the expression of TLR4 through competitively binding to miR-15-5p and promote the pyroptosis of RTECs induced by DN. No new methods were used during the study.</w:t>
      </w:r>
    </w:p>
    <w:p w14:paraId="65A28E80" w14:textId="77777777" w:rsidR="00F76B23" w:rsidRDefault="00F76B23">
      <w:pPr>
        <w:spacing w:line="360" w:lineRule="auto"/>
        <w:jc w:val="both"/>
      </w:pPr>
    </w:p>
    <w:p w14:paraId="2841C4A1" w14:textId="77777777" w:rsidR="00F76B23" w:rsidRDefault="00DB35EC">
      <w:pPr>
        <w:spacing w:line="360" w:lineRule="auto"/>
        <w:jc w:val="both"/>
      </w:pPr>
      <w:r>
        <w:rPr>
          <w:rFonts w:ascii="Book Antiqua" w:eastAsia="Book Antiqua" w:hAnsi="Book Antiqua" w:cs="Book Antiqua"/>
          <w:b/>
          <w:i/>
          <w:color w:val="000000"/>
        </w:rPr>
        <w:t>Research perspectives</w:t>
      </w:r>
    </w:p>
    <w:p w14:paraId="7E211F30" w14:textId="77777777" w:rsidR="00F76B23" w:rsidRDefault="00DB35EC">
      <w:pPr>
        <w:spacing w:line="360" w:lineRule="auto"/>
        <w:jc w:val="both"/>
      </w:pPr>
      <w:r>
        <w:rPr>
          <w:rFonts w:ascii="Book Antiqua" w:eastAsia="Book Antiqua" w:hAnsi="Book Antiqua" w:cs="Book Antiqua"/>
          <w:color w:val="000000"/>
          <w:szCs w:val="21"/>
        </w:rPr>
        <w:t>In the future, we will explore more mechanisms for other targeted miRNAs in the downstream of lncRNA XIST, and we will also study the clinical transformation of XIST/miR-15-5p/TLR4 in DN.</w:t>
      </w:r>
    </w:p>
    <w:p w14:paraId="57B6784F" w14:textId="77777777" w:rsidR="00F76B23" w:rsidRDefault="00F76B23">
      <w:pPr>
        <w:spacing w:line="360" w:lineRule="auto"/>
        <w:jc w:val="both"/>
      </w:pPr>
    </w:p>
    <w:p w14:paraId="0E3262EB" w14:textId="77777777" w:rsidR="00F76B23" w:rsidRDefault="00DB35EC">
      <w:pPr>
        <w:spacing w:line="360" w:lineRule="auto"/>
        <w:jc w:val="both"/>
      </w:pPr>
      <w:r>
        <w:rPr>
          <w:rFonts w:ascii="Book Antiqua" w:eastAsia="Book Antiqua" w:hAnsi="Book Antiqua" w:cs="Book Antiqua"/>
          <w:b/>
          <w:color w:val="000000"/>
        </w:rPr>
        <w:t>REFERENCES</w:t>
      </w:r>
    </w:p>
    <w:p w14:paraId="3E097A48" w14:textId="77777777" w:rsidR="00F76B23" w:rsidRDefault="00DB35EC">
      <w:pPr>
        <w:spacing w:line="360" w:lineRule="auto"/>
        <w:jc w:val="both"/>
        <w:rPr>
          <w:rFonts w:ascii="Book Antiqua" w:hAnsi="Book Antiqua"/>
        </w:rPr>
      </w:pPr>
      <w:r>
        <w:rPr>
          <w:rFonts w:ascii="Book Antiqua" w:hAnsi="Book Antiqua"/>
        </w:rPr>
        <w:t xml:space="preserve">1 </w:t>
      </w:r>
      <w:r>
        <w:rPr>
          <w:rFonts w:ascii="Book Antiqua" w:hAnsi="Book Antiqua"/>
          <w:b/>
          <w:bCs/>
        </w:rPr>
        <w:t>Eftekhari A</w:t>
      </w:r>
      <w:r>
        <w:rPr>
          <w:rFonts w:ascii="Book Antiqua" w:hAnsi="Book Antiqua"/>
        </w:rPr>
        <w:t xml:space="preserve">, Vahed SZ, Kavetskyy T, Rameshrad M, Jafari S, Chodari L, Hosseiniyan SM, Derakhshankhah H, Ahmadian E, Ardalan M. Cell junction proteins: Crossing the glomerular filtration barrier in diabetic nephropathy. </w:t>
      </w:r>
      <w:r>
        <w:rPr>
          <w:rFonts w:ascii="Book Antiqua" w:hAnsi="Book Antiqua"/>
          <w:i/>
          <w:iCs/>
        </w:rPr>
        <w:t>Int J Biol Macromol</w:t>
      </w:r>
      <w:r>
        <w:rPr>
          <w:rFonts w:ascii="Book Antiqua" w:hAnsi="Book Antiqua"/>
        </w:rPr>
        <w:t xml:space="preserve"> 2020; </w:t>
      </w:r>
      <w:r>
        <w:rPr>
          <w:rFonts w:ascii="Book Antiqua" w:hAnsi="Book Antiqua"/>
          <w:b/>
          <w:bCs/>
        </w:rPr>
        <w:t>148</w:t>
      </w:r>
      <w:r>
        <w:rPr>
          <w:rFonts w:ascii="Book Antiqua" w:hAnsi="Book Antiqua"/>
        </w:rPr>
        <w:t>: 475-482 [PMID: 31962072 DOI: 10.1016/j.ijbiomac.2020.01.168]</w:t>
      </w:r>
    </w:p>
    <w:p w14:paraId="0CA4FCBE" w14:textId="77777777" w:rsidR="00F76B23" w:rsidRDefault="00DB35EC">
      <w:pPr>
        <w:spacing w:line="360" w:lineRule="auto"/>
        <w:jc w:val="both"/>
        <w:rPr>
          <w:rFonts w:ascii="Book Antiqua" w:hAnsi="Book Antiqua"/>
        </w:rPr>
      </w:pPr>
      <w:r>
        <w:rPr>
          <w:rFonts w:ascii="Book Antiqua" w:hAnsi="Book Antiqua"/>
        </w:rPr>
        <w:t xml:space="preserve">2 </w:t>
      </w:r>
      <w:r>
        <w:rPr>
          <w:rFonts w:ascii="Book Antiqua" w:hAnsi="Book Antiqua"/>
          <w:b/>
          <w:bCs/>
        </w:rPr>
        <w:t>Khan NU</w:t>
      </w:r>
      <w:r>
        <w:rPr>
          <w:rFonts w:ascii="Book Antiqua" w:hAnsi="Book Antiqua"/>
        </w:rPr>
        <w:t xml:space="preserve">, Lin J, Liu X, Li H, Lu W, Zhong Z, Zhang H, Waqas M, Shen L. Insights into predicting diabetic nephropathy using urinary biomarkers. </w:t>
      </w:r>
      <w:r>
        <w:rPr>
          <w:rFonts w:ascii="Book Antiqua" w:hAnsi="Book Antiqua"/>
          <w:i/>
          <w:iCs/>
        </w:rPr>
        <w:t>Biochim Biophys Acta Proteins Proteom</w:t>
      </w:r>
      <w:r>
        <w:rPr>
          <w:rFonts w:ascii="Book Antiqua" w:hAnsi="Book Antiqua"/>
        </w:rPr>
        <w:t xml:space="preserve"> 2020; </w:t>
      </w:r>
      <w:r>
        <w:rPr>
          <w:rFonts w:ascii="Book Antiqua" w:hAnsi="Book Antiqua"/>
          <w:b/>
          <w:bCs/>
        </w:rPr>
        <w:t>1868</w:t>
      </w:r>
      <w:r>
        <w:rPr>
          <w:rFonts w:ascii="Book Antiqua" w:hAnsi="Book Antiqua"/>
        </w:rPr>
        <w:t>: 140475 [PMID: 32574766 DOI: 10.1016/j.bbapap.2020.140475]</w:t>
      </w:r>
    </w:p>
    <w:p w14:paraId="3080BDAC" w14:textId="77777777" w:rsidR="00F76B23" w:rsidRDefault="00DB35EC">
      <w:pPr>
        <w:spacing w:line="360" w:lineRule="auto"/>
        <w:jc w:val="both"/>
        <w:rPr>
          <w:rFonts w:ascii="Book Antiqua" w:hAnsi="Book Antiqua"/>
        </w:rPr>
      </w:pPr>
      <w:r>
        <w:rPr>
          <w:rFonts w:ascii="Book Antiqua" w:hAnsi="Book Antiqua"/>
        </w:rPr>
        <w:t xml:space="preserve">3 </w:t>
      </w:r>
      <w:r>
        <w:rPr>
          <w:rFonts w:ascii="Book Antiqua" w:hAnsi="Book Antiqua"/>
          <w:b/>
          <w:bCs/>
        </w:rPr>
        <w:t>Dong C</w:t>
      </w:r>
      <w:r>
        <w:rPr>
          <w:rFonts w:ascii="Book Antiqua" w:hAnsi="Book Antiqua"/>
        </w:rPr>
        <w:t xml:space="preserve">, Liu S, Cui Y, Guo Q. 12-Lipoxygenase as a key pharmacological target in the pathogenesis of diabetic nephropathy. </w:t>
      </w:r>
      <w:r>
        <w:rPr>
          <w:rFonts w:ascii="Book Antiqua" w:hAnsi="Book Antiqua"/>
          <w:i/>
          <w:iCs/>
        </w:rPr>
        <w:t>Eur J Pharmacol</w:t>
      </w:r>
      <w:r>
        <w:rPr>
          <w:rFonts w:ascii="Book Antiqua" w:hAnsi="Book Antiqua"/>
        </w:rPr>
        <w:t xml:space="preserve"> 2020; </w:t>
      </w:r>
      <w:r>
        <w:rPr>
          <w:rFonts w:ascii="Book Antiqua" w:hAnsi="Book Antiqua"/>
          <w:b/>
          <w:bCs/>
        </w:rPr>
        <w:t>879</w:t>
      </w:r>
      <w:r>
        <w:rPr>
          <w:rFonts w:ascii="Book Antiqua" w:hAnsi="Book Antiqua"/>
        </w:rPr>
        <w:t>: 173122 [PMID: 32333927 DOI: 10.1016/j.ejphar.2020.173122]</w:t>
      </w:r>
    </w:p>
    <w:p w14:paraId="55F92F3F" w14:textId="77777777" w:rsidR="00F76B23" w:rsidRDefault="00DB35EC">
      <w:pPr>
        <w:spacing w:line="360" w:lineRule="auto"/>
        <w:jc w:val="both"/>
        <w:rPr>
          <w:rFonts w:ascii="Book Antiqua" w:hAnsi="Book Antiqua"/>
        </w:rPr>
      </w:pPr>
      <w:r>
        <w:rPr>
          <w:rFonts w:ascii="Book Antiqua" w:hAnsi="Book Antiqua"/>
        </w:rPr>
        <w:t xml:space="preserve">4 </w:t>
      </w:r>
      <w:r>
        <w:rPr>
          <w:rFonts w:ascii="Book Antiqua" w:hAnsi="Book Antiqua"/>
          <w:b/>
          <w:bCs/>
        </w:rPr>
        <w:t>Eisenreich A</w:t>
      </w:r>
      <w:r>
        <w:rPr>
          <w:rFonts w:ascii="Book Antiqua" w:hAnsi="Book Antiqua"/>
        </w:rPr>
        <w:t xml:space="preserve">, Leppert U. Update on the Protective Renal Effects of Metformin in Diabetic Nephropathy. </w:t>
      </w:r>
      <w:r>
        <w:rPr>
          <w:rFonts w:ascii="Book Antiqua" w:hAnsi="Book Antiqua"/>
          <w:i/>
          <w:iCs/>
        </w:rPr>
        <w:t>Curr Med Chem</w:t>
      </w:r>
      <w:r>
        <w:rPr>
          <w:rFonts w:ascii="Book Antiqua" w:hAnsi="Book Antiqua"/>
        </w:rPr>
        <w:t xml:space="preserve"> 2017; </w:t>
      </w:r>
      <w:r>
        <w:rPr>
          <w:rFonts w:ascii="Book Antiqua" w:hAnsi="Book Antiqua"/>
          <w:b/>
          <w:bCs/>
        </w:rPr>
        <w:t>24</w:t>
      </w:r>
      <w:r>
        <w:rPr>
          <w:rFonts w:ascii="Book Antiqua" w:hAnsi="Book Antiqua"/>
        </w:rPr>
        <w:t>: 3397-3412 [PMID: 28393693 DOI: 10.2174/0929867324666170404143102]</w:t>
      </w:r>
    </w:p>
    <w:p w14:paraId="539673D4" w14:textId="77777777" w:rsidR="00F76B23" w:rsidRDefault="00DB35EC">
      <w:pPr>
        <w:spacing w:line="360" w:lineRule="auto"/>
        <w:jc w:val="both"/>
        <w:rPr>
          <w:rFonts w:ascii="Book Antiqua" w:hAnsi="Book Antiqua"/>
        </w:rPr>
      </w:pPr>
      <w:r>
        <w:rPr>
          <w:rFonts w:ascii="Book Antiqua" w:hAnsi="Book Antiqua"/>
        </w:rPr>
        <w:t xml:space="preserve">5 </w:t>
      </w:r>
      <w:r>
        <w:rPr>
          <w:rFonts w:ascii="Book Antiqua" w:hAnsi="Book Antiqua"/>
          <w:b/>
          <w:bCs/>
        </w:rPr>
        <w:t>Ni WJ</w:t>
      </w:r>
      <w:r>
        <w:rPr>
          <w:rFonts w:ascii="Book Antiqua" w:hAnsi="Book Antiqua"/>
        </w:rPr>
        <w:t xml:space="preserve">, Ding HH, Tang LQ. Berberine as a promising anti-diabetic nephropathy drug: An analysis of its effects and mechanisms. </w:t>
      </w:r>
      <w:r>
        <w:rPr>
          <w:rFonts w:ascii="Book Antiqua" w:hAnsi="Book Antiqua"/>
          <w:i/>
          <w:iCs/>
        </w:rPr>
        <w:t>Eur J Pharmacol</w:t>
      </w:r>
      <w:r>
        <w:rPr>
          <w:rFonts w:ascii="Book Antiqua" w:hAnsi="Book Antiqua"/>
        </w:rPr>
        <w:t xml:space="preserve"> 2015; </w:t>
      </w:r>
      <w:r>
        <w:rPr>
          <w:rFonts w:ascii="Book Antiqua" w:hAnsi="Book Antiqua"/>
          <w:b/>
          <w:bCs/>
        </w:rPr>
        <w:t>760</w:t>
      </w:r>
      <w:r>
        <w:rPr>
          <w:rFonts w:ascii="Book Antiqua" w:hAnsi="Book Antiqua"/>
        </w:rPr>
        <w:t>: 103-112 [PMID: 25912800 DOI: 10.1016/j.ejphar.2015.04.017]</w:t>
      </w:r>
    </w:p>
    <w:p w14:paraId="4DE67417" w14:textId="77777777" w:rsidR="00F76B23" w:rsidRDefault="00DB35EC">
      <w:pPr>
        <w:spacing w:line="360" w:lineRule="auto"/>
        <w:jc w:val="both"/>
        <w:rPr>
          <w:rFonts w:ascii="Book Antiqua" w:hAnsi="Book Antiqua"/>
        </w:rPr>
      </w:pPr>
      <w:r>
        <w:rPr>
          <w:rFonts w:ascii="Book Antiqua" w:hAnsi="Book Antiqua"/>
        </w:rPr>
        <w:t xml:space="preserve">6 </w:t>
      </w:r>
      <w:r>
        <w:rPr>
          <w:rFonts w:ascii="Book Antiqua" w:hAnsi="Book Antiqua"/>
          <w:b/>
          <w:bCs/>
        </w:rPr>
        <w:t>Papadopoulou-Marketou N</w:t>
      </w:r>
      <w:r>
        <w:rPr>
          <w:rFonts w:ascii="Book Antiqua" w:hAnsi="Book Antiqua"/>
        </w:rPr>
        <w:t xml:space="preserve">, Chrousos GP, Kanaka-Gantenbein C. Diabetic nephropathy in type 1 diabetes: a review of early natural history, pathogenesis, and diagnosis. </w:t>
      </w:r>
      <w:r>
        <w:rPr>
          <w:rFonts w:ascii="Book Antiqua" w:hAnsi="Book Antiqua"/>
          <w:i/>
          <w:iCs/>
        </w:rPr>
        <w:t>Diabetes Metab Res Rev</w:t>
      </w:r>
      <w:r>
        <w:rPr>
          <w:rFonts w:ascii="Book Antiqua" w:hAnsi="Book Antiqua"/>
        </w:rPr>
        <w:t xml:space="preserve"> 2017; </w:t>
      </w:r>
      <w:r>
        <w:rPr>
          <w:rFonts w:ascii="Book Antiqua" w:hAnsi="Book Antiqua"/>
          <w:b/>
          <w:bCs/>
        </w:rPr>
        <w:t>33</w:t>
      </w:r>
      <w:r>
        <w:rPr>
          <w:rFonts w:ascii="Book Antiqua" w:hAnsi="Book Antiqua"/>
        </w:rPr>
        <w:t xml:space="preserve"> [PMID: 27457509 DOI: 10.1002/dmrr.2841]</w:t>
      </w:r>
    </w:p>
    <w:p w14:paraId="1D007BA9" w14:textId="77777777" w:rsidR="00F76B23" w:rsidRDefault="00DB35EC">
      <w:pPr>
        <w:spacing w:line="360" w:lineRule="auto"/>
        <w:jc w:val="both"/>
        <w:rPr>
          <w:rFonts w:ascii="Book Antiqua" w:hAnsi="Book Antiqua"/>
        </w:rPr>
      </w:pPr>
      <w:r>
        <w:rPr>
          <w:rFonts w:ascii="Book Antiqua" w:hAnsi="Book Antiqua"/>
        </w:rPr>
        <w:lastRenderedPageBreak/>
        <w:t xml:space="preserve">7 </w:t>
      </w:r>
      <w:r>
        <w:rPr>
          <w:rFonts w:ascii="Book Antiqua" w:hAnsi="Book Antiqua"/>
          <w:b/>
          <w:bCs/>
        </w:rPr>
        <w:t>Tesch GH</w:t>
      </w:r>
      <w:r>
        <w:rPr>
          <w:rFonts w:ascii="Book Antiqua" w:hAnsi="Book Antiqua"/>
        </w:rPr>
        <w:t xml:space="preserve">. Diabetic nephropathy - is this an immune disorder? </w:t>
      </w:r>
      <w:r>
        <w:rPr>
          <w:rFonts w:ascii="Book Antiqua" w:hAnsi="Book Antiqua"/>
          <w:i/>
          <w:iCs/>
        </w:rPr>
        <w:t>Clin Sci (Lond)</w:t>
      </w:r>
      <w:r>
        <w:rPr>
          <w:rFonts w:ascii="Book Antiqua" w:hAnsi="Book Antiqua"/>
        </w:rPr>
        <w:t xml:space="preserve"> 2017; </w:t>
      </w:r>
      <w:r>
        <w:rPr>
          <w:rFonts w:ascii="Book Antiqua" w:hAnsi="Book Antiqua"/>
          <w:b/>
          <w:bCs/>
        </w:rPr>
        <w:t>131</w:t>
      </w:r>
      <w:r>
        <w:rPr>
          <w:rFonts w:ascii="Book Antiqua" w:hAnsi="Book Antiqua"/>
        </w:rPr>
        <w:t>: 2183-2199 [PMID: 28760771 DOI: 10.1042/CS20160636]</w:t>
      </w:r>
    </w:p>
    <w:p w14:paraId="3694CC0D" w14:textId="77777777" w:rsidR="00F76B23" w:rsidRDefault="00DB35EC">
      <w:pPr>
        <w:spacing w:line="360" w:lineRule="auto"/>
        <w:jc w:val="both"/>
        <w:rPr>
          <w:rFonts w:ascii="Book Antiqua" w:hAnsi="Book Antiqua"/>
        </w:rPr>
      </w:pPr>
      <w:r>
        <w:rPr>
          <w:rFonts w:ascii="Book Antiqua" w:hAnsi="Book Antiqua"/>
        </w:rPr>
        <w:t xml:space="preserve">8 </w:t>
      </w:r>
      <w:r>
        <w:rPr>
          <w:rFonts w:ascii="Book Antiqua" w:hAnsi="Book Antiqua"/>
          <w:b/>
          <w:bCs/>
        </w:rPr>
        <w:t>Yu ZW</w:t>
      </w:r>
      <w:r>
        <w:rPr>
          <w:rFonts w:ascii="Book Antiqua" w:hAnsi="Book Antiqua"/>
        </w:rPr>
        <w:t xml:space="preserve">, Zhang J, Li X, Wang Y, Fu YH, Gao XY. A new research hot spot: The role of NLRP3 inflammasome activation, a key step in pyroptosis, in diabetes and diabetic complications. </w:t>
      </w:r>
      <w:r>
        <w:rPr>
          <w:rFonts w:ascii="Book Antiqua" w:hAnsi="Book Antiqua"/>
          <w:i/>
          <w:iCs/>
        </w:rPr>
        <w:t>Life Sci</w:t>
      </w:r>
      <w:r>
        <w:rPr>
          <w:rFonts w:ascii="Book Antiqua" w:hAnsi="Book Antiqua"/>
        </w:rPr>
        <w:t xml:space="preserve"> 2020; </w:t>
      </w:r>
      <w:r>
        <w:rPr>
          <w:rFonts w:ascii="Book Antiqua" w:hAnsi="Book Antiqua"/>
          <w:b/>
          <w:bCs/>
        </w:rPr>
        <w:t>240</w:t>
      </w:r>
      <w:r>
        <w:rPr>
          <w:rFonts w:ascii="Book Antiqua" w:hAnsi="Book Antiqua"/>
        </w:rPr>
        <w:t>: 117138 [PMID: 31809715 DOI: 10.1016/j.lfs.2019.117138]</w:t>
      </w:r>
    </w:p>
    <w:p w14:paraId="0564D768" w14:textId="77777777" w:rsidR="00F76B23" w:rsidRDefault="00DB35EC">
      <w:pPr>
        <w:spacing w:line="360" w:lineRule="auto"/>
        <w:jc w:val="both"/>
        <w:rPr>
          <w:rFonts w:ascii="Book Antiqua" w:hAnsi="Book Antiqua"/>
        </w:rPr>
      </w:pPr>
      <w:r>
        <w:rPr>
          <w:rFonts w:ascii="Book Antiqua" w:hAnsi="Book Antiqua"/>
        </w:rPr>
        <w:t xml:space="preserve">9 </w:t>
      </w:r>
      <w:r>
        <w:rPr>
          <w:rFonts w:ascii="Book Antiqua" w:hAnsi="Book Antiqua"/>
          <w:b/>
          <w:bCs/>
        </w:rPr>
        <w:t>Xia X</w:t>
      </w:r>
      <w:r>
        <w:rPr>
          <w:rFonts w:ascii="Book Antiqua" w:hAnsi="Book Antiqua"/>
        </w:rPr>
        <w:t xml:space="preserve">, Wang X, Zheng Y, Jiang J, Hu J. What role does pyroptosis play in microbial infection? </w:t>
      </w:r>
      <w:r>
        <w:rPr>
          <w:rFonts w:ascii="Book Antiqua" w:hAnsi="Book Antiqua"/>
          <w:i/>
          <w:iCs/>
        </w:rPr>
        <w:t>J Cell Physiol</w:t>
      </w:r>
      <w:r>
        <w:rPr>
          <w:rFonts w:ascii="Book Antiqua" w:hAnsi="Book Antiqua"/>
        </w:rPr>
        <w:t xml:space="preserve"> 2019; </w:t>
      </w:r>
      <w:r>
        <w:rPr>
          <w:rFonts w:ascii="Book Antiqua" w:hAnsi="Book Antiqua"/>
          <w:b/>
          <w:bCs/>
        </w:rPr>
        <w:t>234</w:t>
      </w:r>
      <w:r>
        <w:rPr>
          <w:rFonts w:ascii="Book Antiqua" w:hAnsi="Book Antiqua"/>
        </w:rPr>
        <w:t>: 7885-7892 [PMID: 30537070 DOI: 10.1002/jcp.27909]</w:t>
      </w:r>
    </w:p>
    <w:p w14:paraId="08A86B9B" w14:textId="77777777" w:rsidR="00F76B23" w:rsidRDefault="00DB35EC">
      <w:pPr>
        <w:spacing w:line="360" w:lineRule="auto"/>
        <w:jc w:val="both"/>
        <w:rPr>
          <w:rFonts w:ascii="Book Antiqua" w:hAnsi="Book Antiqua"/>
        </w:rPr>
      </w:pPr>
      <w:r>
        <w:rPr>
          <w:rFonts w:ascii="Book Antiqua" w:hAnsi="Book Antiqua"/>
        </w:rPr>
        <w:t xml:space="preserve">10 </w:t>
      </w:r>
      <w:r>
        <w:rPr>
          <w:rFonts w:ascii="Book Antiqua" w:hAnsi="Book Antiqua"/>
          <w:b/>
          <w:bCs/>
        </w:rPr>
        <w:t>Zeng C</w:t>
      </w:r>
      <w:r>
        <w:rPr>
          <w:rFonts w:ascii="Book Antiqua" w:hAnsi="Book Antiqua"/>
        </w:rPr>
        <w:t xml:space="preserve">, Wang R, Tan H. Role of Pyroptosis in Cardiovascular Diseases and its Therapeutic Implications. </w:t>
      </w:r>
      <w:r>
        <w:rPr>
          <w:rFonts w:ascii="Book Antiqua" w:hAnsi="Book Antiqua"/>
          <w:i/>
          <w:iCs/>
        </w:rPr>
        <w:t>Int J Biol Sci</w:t>
      </w:r>
      <w:r>
        <w:rPr>
          <w:rFonts w:ascii="Book Antiqua" w:hAnsi="Book Antiqua"/>
        </w:rPr>
        <w:t xml:space="preserve"> 2019; </w:t>
      </w:r>
      <w:r>
        <w:rPr>
          <w:rFonts w:ascii="Book Antiqua" w:hAnsi="Book Antiqua"/>
          <w:b/>
          <w:bCs/>
        </w:rPr>
        <w:t>15</w:t>
      </w:r>
      <w:r>
        <w:rPr>
          <w:rFonts w:ascii="Book Antiqua" w:hAnsi="Book Antiqua"/>
        </w:rPr>
        <w:t>: 1345-1357 [PMID: 31337966 DOI: 10.7150/ijbs.33568]</w:t>
      </w:r>
    </w:p>
    <w:p w14:paraId="4034BCFA" w14:textId="77777777" w:rsidR="00F76B23" w:rsidRDefault="00DB35EC">
      <w:pPr>
        <w:spacing w:line="360" w:lineRule="auto"/>
        <w:jc w:val="both"/>
        <w:rPr>
          <w:rFonts w:ascii="Book Antiqua" w:hAnsi="Book Antiqua"/>
        </w:rPr>
      </w:pPr>
      <w:r>
        <w:rPr>
          <w:rFonts w:ascii="Book Antiqua" w:hAnsi="Book Antiqua"/>
        </w:rPr>
        <w:t xml:space="preserve">11 </w:t>
      </w:r>
      <w:r>
        <w:rPr>
          <w:rFonts w:ascii="Book Antiqua" w:hAnsi="Book Antiqua"/>
          <w:b/>
          <w:bCs/>
        </w:rPr>
        <w:t>Ruan J</w:t>
      </w:r>
      <w:r>
        <w:rPr>
          <w:rFonts w:ascii="Book Antiqua" w:hAnsi="Book Antiqua"/>
        </w:rPr>
        <w:t xml:space="preserve">, Wang S, Wang J. Mechanism and regulation of pyroptosis-mediated in cancer cell death. </w:t>
      </w:r>
      <w:r>
        <w:rPr>
          <w:rFonts w:ascii="Book Antiqua" w:hAnsi="Book Antiqua"/>
          <w:i/>
          <w:iCs/>
        </w:rPr>
        <w:t>Chem Biol Interact</w:t>
      </w:r>
      <w:r>
        <w:rPr>
          <w:rFonts w:ascii="Book Antiqua" w:hAnsi="Book Antiqua"/>
        </w:rPr>
        <w:t xml:space="preserve"> 2020; </w:t>
      </w:r>
      <w:r>
        <w:rPr>
          <w:rFonts w:ascii="Book Antiqua" w:hAnsi="Book Antiqua"/>
          <w:b/>
          <w:bCs/>
        </w:rPr>
        <w:t>323</w:t>
      </w:r>
      <w:r>
        <w:rPr>
          <w:rFonts w:ascii="Book Antiqua" w:hAnsi="Book Antiqua"/>
        </w:rPr>
        <w:t>: 109052 [PMID: 32169591 DOI: 10.1016/j.cbi.2020.109052]</w:t>
      </w:r>
    </w:p>
    <w:p w14:paraId="424287FB" w14:textId="77777777" w:rsidR="00F76B23" w:rsidRDefault="00DB35EC">
      <w:pPr>
        <w:spacing w:line="360" w:lineRule="auto"/>
        <w:jc w:val="both"/>
        <w:rPr>
          <w:rFonts w:ascii="Book Antiqua" w:hAnsi="Book Antiqua"/>
        </w:rPr>
      </w:pPr>
      <w:r>
        <w:rPr>
          <w:rFonts w:ascii="Book Antiqua" w:hAnsi="Book Antiqua"/>
        </w:rPr>
        <w:t xml:space="preserve">12 </w:t>
      </w:r>
      <w:r>
        <w:rPr>
          <w:rFonts w:ascii="Book Antiqua" w:hAnsi="Book Antiqua"/>
          <w:b/>
          <w:bCs/>
        </w:rPr>
        <w:t>Ye Z</w:t>
      </w:r>
      <w:r>
        <w:rPr>
          <w:rFonts w:ascii="Book Antiqua" w:hAnsi="Book Antiqua"/>
        </w:rPr>
        <w:t xml:space="preserve">, Zhang L, Li R, Dong W, Liu S, Li Z, Liang H, Wang L, Shi W, Malik AB, Cheng KT, Liang X. Caspase-11 Mediates Pyroptosis of Tubular Epithelial Cells and Septic Acute Kidney Injury. </w:t>
      </w:r>
      <w:r>
        <w:rPr>
          <w:rFonts w:ascii="Book Antiqua" w:hAnsi="Book Antiqua"/>
          <w:i/>
          <w:iCs/>
        </w:rPr>
        <w:t>Kidney Blood Press Res</w:t>
      </w:r>
      <w:r>
        <w:rPr>
          <w:rFonts w:ascii="Book Antiqua" w:hAnsi="Book Antiqua"/>
        </w:rPr>
        <w:t xml:space="preserve"> 2019; </w:t>
      </w:r>
      <w:r>
        <w:rPr>
          <w:rFonts w:ascii="Book Antiqua" w:hAnsi="Book Antiqua"/>
          <w:b/>
          <w:bCs/>
        </w:rPr>
        <w:t>44</w:t>
      </w:r>
      <w:r>
        <w:rPr>
          <w:rFonts w:ascii="Book Antiqua" w:hAnsi="Book Antiqua"/>
        </w:rPr>
        <w:t>: 465-478 [PMID: 31230050 DOI: 10.1159/000499685]</w:t>
      </w:r>
    </w:p>
    <w:p w14:paraId="0D6774C4" w14:textId="77777777" w:rsidR="00F76B23" w:rsidRDefault="00DB35EC">
      <w:pPr>
        <w:spacing w:line="360" w:lineRule="auto"/>
        <w:jc w:val="both"/>
        <w:rPr>
          <w:rFonts w:ascii="Book Antiqua" w:hAnsi="Book Antiqua"/>
        </w:rPr>
      </w:pPr>
      <w:r>
        <w:rPr>
          <w:rFonts w:ascii="Book Antiqua" w:hAnsi="Book Antiqua"/>
        </w:rPr>
        <w:t xml:space="preserve">13 </w:t>
      </w:r>
      <w:r>
        <w:rPr>
          <w:rFonts w:ascii="Book Antiqua" w:hAnsi="Book Antiqua"/>
          <w:b/>
          <w:bCs/>
        </w:rPr>
        <w:t>Lin J</w:t>
      </w:r>
      <w:r>
        <w:rPr>
          <w:rFonts w:ascii="Book Antiqua" w:hAnsi="Book Antiqua"/>
        </w:rPr>
        <w:t xml:space="preserve">, Cheng A, Cheng K, Deng Q, Zhang S, Lan Z, Wang W, Chen J. New Insights into the Mechanisms of Pyroptosis and Implications for Diabetic Kidney Disease. </w:t>
      </w:r>
      <w:r>
        <w:rPr>
          <w:rFonts w:ascii="Book Antiqua" w:hAnsi="Book Antiqua"/>
          <w:i/>
          <w:iCs/>
        </w:rPr>
        <w:t>Int J Mol Sci</w:t>
      </w:r>
      <w:r>
        <w:rPr>
          <w:rFonts w:ascii="Book Antiqua" w:hAnsi="Book Antiqua"/>
        </w:rPr>
        <w:t xml:space="preserve"> 2020; </w:t>
      </w:r>
      <w:r>
        <w:rPr>
          <w:rFonts w:ascii="Book Antiqua" w:hAnsi="Book Antiqua"/>
          <w:b/>
          <w:bCs/>
        </w:rPr>
        <w:t>21</w:t>
      </w:r>
      <w:r>
        <w:rPr>
          <w:rFonts w:ascii="Book Antiqua" w:hAnsi="Book Antiqua"/>
        </w:rPr>
        <w:t xml:space="preserve"> [PMID: 32992874 DOI: 10.3390/ijms21197057]</w:t>
      </w:r>
    </w:p>
    <w:p w14:paraId="54F728BE" w14:textId="77777777" w:rsidR="00F76B23" w:rsidRDefault="00DB35EC">
      <w:pPr>
        <w:spacing w:line="360" w:lineRule="auto"/>
        <w:jc w:val="both"/>
        <w:rPr>
          <w:rFonts w:ascii="Book Antiqua" w:hAnsi="Book Antiqua"/>
        </w:rPr>
      </w:pPr>
      <w:r>
        <w:rPr>
          <w:rFonts w:ascii="Book Antiqua" w:hAnsi="Book Antiqua"/>
        </w:rPr>
        <w:t xml:space="preserve">14 </w:t>
      </w:r>
      <w:r>
        <w:rPr>
          <w:rFonts w:ascii="Book Antiqua" w:hAnsi="Book Antiqua"/>
          <w:b/>
          <w:bCs/>
        </w:rPr>
        <w:t>Cheng Q</w:t>
      </w:r>
      <w:r>
        <w:rPr>
          <w:rFonts w:ascii="Book Antiqua" w:hAnsi="Book Antiqua"/>
        </w:rPr>
        <w:t xml:space="preserve">, Pan J, Zhou ZL, Yin F, Xie HY, Chen PP, Li JY, Zheng PQ, Zhou L, Zhang W, Liu J, Lu LM. Caspase-11/4 and gasdermin D-mediated pyroptosis contributes to podocyte injury in mouse diabetic nephropathy. </w:t>
      </w:r>
      <w:r>
        <w:rPr>
          <w:rFonts w:ascii="Book Antiqua" w:hAnsi="Book Antiqua"/>
          <w:i/>
          <w:iCs/>
        </w:rPr>
        <w:t>Acta Pharmacol Sin</w:t>
      </w:r>
      <w:r>
        <w:rPr>
          <w:rFonts w:ascii="Book Antiqua" w:hAnsi="Book Antiqua"/>
        </w:rPr>
        <w:t xml:space="preserve"> 2021; </w:t>
      </w:r>
      <w:r>
        <w:rPr>
          <w:rFonts w:ascii="Book Antiqua" w:hAnsi="Book Antiqua"/>
          <w:b/>
          <w:bCs/>
        </w:rPr>
        <w:t>42</w:t>
      </w:r>
      <w:r>
        <w:rPr>
          <w:rFonts w:ascii="Book Antiqua" w:hAnsi="Book Antiqua"/>
        </w:rPr>
        <w:t>: 954-963 [PMID: 32968210 DOI: 10.1038/s41401-020-00525-z]</w:t>
      </w:r>
    </w:p>
    <w:p w14:paraId="28E2DAF0" w14:textId="77777777" w:rsidR="00F76B23" w:rsidRDefault="00DB35EC">
      <w:pPr>
        <w:spacing w:line="360" w:lineRule="auto"/>
        <w:jc w:val="both"/>
        <w:rPr>
          <w:rFonts w:ascii="Book Antiqua" w:hAnsi="Book Antiqua"/>
        </w:rPr>
      </w:pPr>
      <w:r>
        <w:rPr>
          <w:rFonts w:ascii="Book Antiqua" w:hAnsi="Book Antiqua"/>
        </w:rPr>
        <w:t xml:space="preserve">15 </w:t>
      </w:r>
      <w:r>
        <w:rPr>
          <w:rFonts w:ascii="Book Antiqua" w:hAnsi="Book Antiqua"/>
          <w:b/>
          <w:bCs/>
        </w:rPr>
        <w:t>Zhan JF</w:t>
      </w:r>
      <w:r>
        <w:rPr>
          <w:rFonts w:ascii="Book Antiqua" w:hAnsi="Book Antiqua"/>
        </w:rPr>
        <w:t xml:space="preserve">, Huang HW, Huang C, Hu LL, Xu WW. Long Non-Coding RNA NEAT1 Regulates Pyroptosis in Diabetic Nephropathy via Mediating the miR-34c/NLRP3 Axis. </w:t>
      </w:r>
      <w:r>
        <w:rPr>
          <w:rFonts w:ascii="Book Antiqua" w:hAnsi="Book Antiqua"/>
          <w:i/>
          <w:iCs/>
        </w:rPr>
        <w:t>Kidney Blood Press Res</w:t>
      </w:r>
      <w:r>
        <w:rPr>
          <w:rFonts w:ascii="Book Antiqua" w:hAnsi="Book Antiqua"/>
        </w:rPr>
        <w:t xml:space="preserve"> 2020; </w:t>
      </w:r>
      <w:r>
        <w:rPr>
          <w:rFonts w:ascii="Book Antiqua" w:hAnsi="Book Antiqua"/>
          <w:b/>
          <w:bCs/>
        </w:rPr>
        <w:t>45</w:t>
      </w:r>
      <w:r>
        <w:rPr>
          <w:rFonts w:ascii="Book Antiqua" w:hAnsi="Book Antiqua"/>
        </w:rPr>
        <w:t>: 589-602 [PMID: 32721950 DOI: 10.1159/000508372]</w:t>
      </w:r>
    </w:p>
    <w:p w14:paraId="21F601D4" w14:textId="77777777" w:rsidR="00F76B23" w:rsidRDefault="00DB35EC">
      <w:pPr>
        <w:spacing w:line="360" w:lineRule="auto"/>
        <w:jc w:val="both"/>
        <w:rPr>
          <w:rFonts w:ascii="Book Antiqua" w:hAnsi="Book Antiqua"/>
        </w:rPr>
      </w:pPr>
      <w:r>
        <w:rPr>
          <w:rFonts w:ascii="Book Antiqua" w:hAnsi="Book Antiqua"/>
        </w:rPr>
        <w:lastRenderedPageBreak/>
        <w:t xml:space="preserve">16 </w:t>
      </w:r>
      <w:r>
        <w:rPr>
          <w:rFonts w:ascii="Book Antiqua" w:hAnsi="Book Antiqua"/>
          <w:b/>
          <w:bCs/>
        </w:rPr>
        <w:t>Han J</w:t>
      </w:r>
      <w:r>
        <w:rPr>
          <w:rFonts w:ascii="Book Antiqua" w:hAnsi="Book Antiqua"/>
        </w:rPr>
        <w:t xml:space="preserve">, Zuo Z, Shi X, Zhang Y, Peng Z, Xing Y, Pang X. Hirudin ameliorates diabetic nephropathy by inhibiting Gsdmd-mediated pyroptosis. </w:t>
      </w:r>
      <w:r>
        <w:rPr>
          <w:rFonts w:ascii="Book Antiqua" w:hAnsi="Book Antiqua"/>
          <w:i/>
          <w:iCs/>
        </w:rPr>
        <w:t>Cell Biol Toxicol</w:t>
      </w:r>
      <w:r>
        <w:rPr>
          <w:rFonts w:ascii="Book Antiqua" w:hAnsi="Book Antiqua"/>
        </w:rPr>
        <w:t xml:space="preserve"> 2021 [PMID: 34212273 DOI: 10.1007/s10565-021-09622-z]</w:t>
      </w:r>
    </w:p>
    <w:p w14:paraId="75B0F748" w14:textId="77777777" w:rsidR="00F76B23" w:rsidRDefault="00DB35EC">
      <w:pPr>
        <w:spacing w:line="360" w:lineRule="auto"/>
        <w:jc w:val="both"/>
        <w:rPr>
          <w:rFonts w:ascii="Book Antiqua" w:hAnsi="Book Antiqua"/>
        </w:rPr>
      </w:pPr>
      <w:r>
        <w:rPr>
          <w:rFonts w:ascii="Book Antiqua" w:hAnsi="Book Antiqua"/>
        </w:rPr>
        <w:t xml:space="preserve">17 </w:t>
      </w:r>
      <w:r>
        <w:rPr>
          <w:rFonts w:ascii="Book Antiqua" w:hAnsi="Book Antiqua"/>
          <w:b/>
          <w:bCs/>
        </w:rPr>
        <w:t>Liu P</w:t>
      </w:r>
      <w:r>
        <w:rPr>
          <w:rFonts w:ascii="Book Antiqua" w:hAnsi="Book Antiqua"/>
        </w:rPr>
        <w:t xml:space="preserve">, Zhang Z, Li Y. Relevance of the Pyroptosis-Related Inflammasome Pathway in the Pathogenesis of Diabetic Kidney Disease. </w:t>
      </w:r>
      <w:r>
        <w:rPr>
          <w:rFonts w:ascii="Book Antiqua" w:hAnsi="Book Antiqua"/>
          <w:i/>
          <w:iCs/>
        </w:rPr>
        <w:t>Front Immunol</w:t>
      </w:r>
      <w:r>
        <w:rPr>
          <w:rFonts w:ascii="Book Antiqua" w:hAnsi="Book Antiqua"/>
        </w:rPr>
        <w:t xml:space="preserve"> 2021; </w:t>
      </w:r>
      <w:r>
        <w:rPr>
          <w:rFonts w:ascii="Book Antiqua" w:hAnsi="Book Antiqua"/>
          <w:b/>
          <w:bCs/>
        </w:rPr>
        <w:t>12</w:t>
      </w:r>
      <w:r>
        <w:rPr>
          <w:rFonts w:ascii="Book Antiqua" w:hAnsi="Book Antiqua"/>
        </w:rPr>
        <w:t>: 603416 [PMID: 33692782 DOI: 10.3389/fimmu.2021.603416]</w:t>
      </w:r>
    </w:p>
    <w:p w14:paraId="210B7A1F" w14:textId="77777777" w:rsidR="00F76B23" w:rsidRDefault="00DB35EC">
      <w:pPr>
        <w:spacing w:line="360" w:lineRule="auto"/>
        <w:jc w:val="both"/>
        <w:rPr>
          <w:rFonts w:ascii="Book Antiqua" w:hAnsi="Book Antiqua"/>
        </w:rPr>
      </w:pPr>
      <w:r>
        <w:rPr>
          <w:rFonts w:ascii="Book Antiqua" w:hAnsi="Book Antiqua"/>
        </w:rPr>
        <w:t xml:space="preserve">18 </w:t>
      </w:r>
      <w:r>
        <w:rPr>
          <w:rFonts w:ascii="Book Antiqua" w:hAnsi="Book Antiqua"/>
          <w:b/>
          <w:bCs/>
        </w:rPr>
        <w:t>Lv J</w:t>
      </w:r>
      <w:r>
        <w:rPr>
          <w:rFonts w:ascii="Book Antiqua" w:hAnsi="Book Antiqua"/>
        </w:rPr>
        <w:t xml:space="preserve">, Wu Y, Mai Y, Bu S. Noncoding RNAs in Diabetic Nephropathy: Pathogenesis, Biomarkers, and Therapy. </w:t>
      </w:r>
      <w:r>
        <w:rPr>
          <w:rFonts w:ascii="Book Antiqua" w:hAnsi="Book Antiqua"/>
          <w:i/>
          <w:iCs/>
        </w:rPr>
        <w:t>J Diabetes Res</w:t>
      </w:r>
      <w:r>
        <w:rPr>
          <w:rFonts w:ascii="Book Antiqua" w:hAnsi="Book Antiqua"/>
        </w:rPr>
        <w:t xml:space="preserve"> 2020; </w:t>
      </w:r>
      <w:r>
        <w:rPr>
          <w:rFonts w:ascii="Book Antiqua" w:hAnsi="Book Antiqua"/>
          <w:b/>
          <w:bCs/>
        </w:rPr>
        <w:t>2020</w:t>
      </w:r>
      <w:r>
        <w:rPr>
          <w:rFonts w:ascii="Book Antiqua" w:hAnsi="Book Antiqua"/>
        </w:rPr>
        <w:t>: 3960857 [PMID: 32656264 DOI: 10.1155/2020/3960857]</w:t>
      </w:r>
    </w:p>
    <w:p w14:paraId="5058BF91" w14:textId="77777777" w:rsidR="00F76B23" w:rsidRDefault="00DB35EC">
      <w:pPr>
        <w:spacing w:line="360" w:lineRule="auto"/>
        <w:jc w:val="both"/>
        <w:rPr>
          <w:rFonts w:ascii="Book Antiqua" w:hAnsi="Book Antiqua"/>
        </w:rPr>
      </w:pPr>
      <w:r>
        <w:rPr>
          <w:rFonts w:ascii="Book Antiqua" w:hAnsi="Book Antiqua"/>
        </w:rPr>
        <w:t xml:space="preserve">19 </w:t>
      </w:r>
      <w:r>
        <w:rPr>
          <w:rFonts w:ascii="Book Antiqua" w:hAnsi="Book Antiqua"/>
          <w:b/>
          <w:bCs/>
        </w:rPr>
        <w:t>Lu J</w:t>
      </w:r>
      <w:r>
        <w:rPr>
          <w:rFonts w:ascii="Book Antiqua" w:hAnsi="Book Antiqua"/>
        </w:rPr>
        <w:t xml:space="preserve">, Huang Y, Zhang X, Xu Y, Nie S. Noncoding RNAs involved in DNA methylation and histone methylation, and acetylation in diabetic vascular complications. </w:t>
      </w:r>
      <w:r>
        <w:rPr>
          <w:rFonts w:ascii="Book Antiqua" w:hAnsi="Book Antiqua"/>
          <w:i/>
          <w:iCs/>
        </w:rPr>
        <w:t>Pharmacol Res</w:t>
      </w:r>
      <w:r>
        <w:rPr>
          <w:rFonts w:ascii="Book Antiqua" w:hAnsi="Book Antiqua"/>
        </w:rPr>
        <w:t xml:space="preserve"> 2021; </w:t>
      </w:r>
      <w:r>
        <w:rPr>
          <w:rFonts w:ascii="Book Antiqua" w:hAnsi="Book Antiqua"/>
          <w:b/>
          <w:bCs/>
        </w:rPr>
        <w:t>170</w:t>
      </w:r>
      <w:r>
        <w:rPr>
          <w:rFonts w:ascii="Book Antiqua" w:hAnsi="Book Antiqua"/>
        </w:rPr>
        <w:t>: 105520 [PMID: 33639232 DOI: 10.1016/j.phrs.2021.105520]</w:t>
      </w:r>
    </w:p>
    <w:p w14:paraId="77BA0260" w14:textId="77777777" w:rsidR="00F76B23" w:rsidRDefault="00DB35EC">
      <w:pPr>
        <w:spacing w:line="360" w:lineRule="auto"/>
        <w:jc w:val="both"/>
        <w:rPr>
          <w:rFonts w:ascii="Book Antiqua" w:hAnsi="Book Antiqua"/>
        </w:rPr>
      </w:pPr>
      <w:r>
        <w:rPr>
          <w:rFonts w:ascii="Book Antiqua" w:hAnsi="Book Antiqua"/>
        </w:rPr>
        <w:t xml:space="preserve">20 </w:t>
      </w:r>
      <w:r>
        <w:rPr>
          <w:rFonts w:ascii="Book Antiqua" w:hAnsi="Book Antiqua"/>
          <w:b/>
          <w:bCs/>
        </w:rPr>
        <w:t>Li Y</w:t>
      </w:r>
      <w:r>
        <w:rPr>
          <w:rFonts w:ascii="Book Antiqua" w:hAnsi="Book Antiqua"/>
        </w:rPr>
        <w:t xml:space="preserve">, Xu K, Xu K, Chen S, Cao Y, Zhan H. Roles of Identified Long Noncoding RNA in Diabetic Nephropathy. </w:t>
      </w:r>
      <w:r>
        <w:rPr>
          <w:rFonts w:ascii="Book Antiqua" w:hAnsi="Book Antiqua"/>
          <w:i/>
          <w:iCs/>
        </w:rPr>
        <w:t>J Diabetes Res</w:t>
      </w:r>
      <w:r>
        <w:rPr>
          <w:rFonts w:ascii="Book Antiqua" w:hAnsi="Book Antiqua"/>
        </w:rPr>
        <w:t xml:space="preserve"> 2019; </w:t>
      </w:r>
      <w:r>
        <w:rPr>
          <w:rFonts w:ascii="Book Antiqua" w:hAnsi="Book Antiqua"/>
          <w:b/>
          <w:bCs/>
        </w:rPr>
        <w:t>2019</w:t>
      </w:r>
      <w:r>
        <w:rPr>
          <w:rFonts w:ascii="Book Antiqua" w:hAnsi="Book Antiqua"/>
        </w:rPr>
        <w:t>: 5383010 [PMID: 30891461 DOI: 10.1155/2019/5383010]</w:t>
      </w:r>
    </w:p>
    <w:p w14:paraId="35FA21E0" w14:textId="77777777" w:rsidR="00F76B23" w:rsidRDefault="00DB35EC">
      <w:pPr>
        <w:spacing w:line="360" w:lineRule="auto"/>
        <w:jc w:val="both"/>
        <w:rPr>
          <w:rFonts w:ascii="Book Antiqua" w:hAnsi="Book Antiqua"/>
        </w:rPr>
      </w:pPr>
      <w:r>
        <w:rPr>
          <w:rFonts w:ascii="Book Antiqua" w:hAnsi="Book Antiqua"/>
        </w:rPr>
        <w:t xml:space="preserve">21 </w:t>
      </w:r>
      <w:r>
        <w:rPr>
          <w:rFonts w:ascii="Book Antiqua" w:hAnsi="Book Antiqua"/>
          <w:b/>
          <w:bCs/>
        </w:rPr>
        <w:t>Wang Q</w:t>
      </w:r>
      <w:r>
        <w:rPr>
          <w:rFonts w:ascii="Book Antiqua" w:hAnsi="Book Antiqua"/>
        </w:rPr>
        <w:t xml:space="preserve">. XIST silencing alleviated inflammation and mesangial cells proliferation in diabetic nephropathy by sponging miR-485. </w:t>
      </w:r>
      <w:r>
        <w:rPr>
          <w:rFonts w:ascii="Book Antiqua" w:hAnsi="Book Antiqua"/>
          <w:i/>
          <w:iCs/>
        </w:rPr>
        <w:t>Arch Physiol Biochem</w:t>
      </w:r>
      <w:r>
        <w:rPr>
          <w:rFonts w:ascii="Book Antiqua" w:hAnsi="Book Antiqua"/>
        </w:rPr>
        <w:t xml:space="preserve"> 2020: 1-7 [PMID: 32669002 DOI: 10.1080/13813455.2020.1789880]</w:t>
      </w:r>
    </w:p>
    <w:p w14:paraId="57F251BC" w14:textId="77777777" w:rsidR="00F76B23" w:rsidRDefault="00DB35EC">
      <w:pPr>
        <w:spacing w:line="360" w:lineRule="auto"/>
        <w:jc w:val="both"/>
        <w:rPr>
          <w:rFonts w:ascii="Book Antiqua" w:hAnsi="Book Antiqua"/>
        </w:rPr>
      </w:pPr>
      <w:r>
        <w:rPr>
          <w:rFonts w:ascii="Book Antiqua" w:hAnsi="Book Antiqua"/>
        </w:rPr>
        <w:t xml:space="preserve">22 </w:t>
      </w:r>
      <w:r>
        <w:rPr>
          <w:rFonts w:ascii="Book Antiqua" w:hAnsi="Book Antiqua"/>
          <w:b/>
          <w:bCs/>
        </w:rPr>
        <w:t>Yang J</w:t>
      </w:r>
      <w:r>
        <w:rPr>
          <w:rFonts w:ascii="Book Antiqua" w:hAnsi="Book Antiqua"/>
        </w:rPr>
        <w:t xml:space="preserve">, Shen Y, Yang X, Long Y, Chen S, Lin X, Dong R, Yuan J. Silencing of long noncoding RNA XIST protects against renal interstitial fibrosis in diabetic nephropathy via microRNA-93-5p-mediated inhibition of CDKN1A. </w:t>
      </w:r>
      <w:r>
        <w:rPr>
          <w:rFonts w:ascii="Book Antiqua" w:hAnsi="Book Antiqua"/>
          <w:i/>
          <w:iCs/>
        </w:rPr>
        <w:t>Am J Physiol Renal Physiol</w:t>
      </w:r>
      <w:r>
        <w:rPr>
          <w:rFonts w:ascii="Book Antiqua" w:hAnsi="Book Antiqua"/>
        </w:rPr>
        <w:t xml:space="preserve"> 2019; </w:t>
      </w:r>
      <w:r>
        <w:rPr>
          <w:rFonts w:ascii="Book Antiqua" w:hAnsi="Book Antiqua"/>
          <w:b/>
          <w:bCs/>
        </w:rPr>
        <w:t>317</w:t>
      </w:r>
      <w:r>
        <w:rPr>
          <w:rFonts w:ascii="Book Antiqua" w:hAnsi="Book Antiqua"/>
        </w:rPr>
        <w:t>: F1350-F1358 [PMID: 31545928 DOI: 10.1152/ajprenal.00254.2019]</w:t>
      </w:r>
    </w:p>
    <w:p w14:paraId="06367E74" w14:textId="77777777" w:rsidR="00F76B23" w:rsidRDefault="00DB35EC">
      <w:pPr>
        <w:spacing w:line="360" w:lineRule="auto"/>
        <w:jc w:val="both"/>
        <w:rPr>
          <w:rFonts w:ascii="Book Antiqua" w:hAnsi="Book Antiqua"/>
        </w:rPr>
      </w:pPr>
      <w:r>
        <w:rPr>
          <w:rFonts w:ascii="Book Antiqua" w:hAnsi="Book Antiqua"/>
        </w:rPr>
        <w:t xml:space="preserve">23 </w:t>
      </w:r>
      <w:r>
        <w:rPr>
          <w:rFonts w:ascii="Book Antiqua" w:hAnsi="Book Antiqua"/>
          <w:b/>
          <w:bCs/>
        </w:rPr>
        <w:t>Liu J</w:t>
      </w:r>
      <w:r>
        <w:rPr>
          <w:rFonts w:ascii="Book Antiqua" w:hAnsi="Book Antiqua"/>
        </w:rPr>
        <w:t xml:space="preserve">, Yao L, Zhang M, Jiang J, Yang M, Wang Y. Downregulation of LncRNA-XIST inhibited development of non-small cell lung cancer by activating miR-335/SOD2/ROS signal pathway mediated pyroptotic cell death. </w:t>
      </w:r>
      <w:r>
        <w:rPr>
          <w:rFonts w:ascii="Book Antiqua" w:hAnsi="Book Antiqua"/>
          <w:i/>
          <w:iCs/>
        </w:rPr>
        <w:t>Aging (Albany NY)</w:t>
      </w:r>
      <w:r>
        <w:rPr>
          <w:rFonts w:ascii="Book Antiqua" w:hAnsi="Book Antiqua"/>
        </w:rPr>
        <w:t xml:space="preserve"> 2019; </w:t>
      </w:r>
      <w:r>
        <w:rPr>
          <w:rFonts w:ascii="Book Antiqua" w:hAnsi="Book Antiqua"/>
          <w:b/>
          <w:bCs/>
        </w:rPr>
        <w:t>11</w:t>
      </w:r>
      <w:r>
        <w:rPr>
          <w:rFonts w:ascii="Book Antiqua" w:hAnsi="Book Antiqua"/>
        </w:rPr>
        <w:t>: 7830-7846 [PMID: 31553952 DOI: 10.18632/aging.102291]</w:t>
      </w:r>
    </w:p>
    <w:p w14:paraId="739DE3DB" w14:textId="77777777" w:rsidR="00F76B23" w:rsidRDefault="00DB35EC">
      <w:pPr>
        <w:spacing w:line="360" w:lineRule="auto"/>
        <w:jc w:val="both"/>
        <w:rPr>
          <w:rFonts w:ascii="Book Antiqua" w:hAnsi="Book Antiqua"/>
        </w:rPr>
      </w:pPr>
      <w:r>
        <w:rPr>
          <w:rFonts w:ascii="Book Antiqua" w:hAnsi="Book Antiqua"/>
        </w:rPr>
        <w:t xml:space="preserve">24 </w:t>
      </w:r>
      <w:r>
        <w:rPr>
          <w:rFonts w:ascii="Book Antiqua" w:hAnsi="Book Antiqua"/>
          <w:b/>
          <w:bCs/>
        </w:rPr>
        <w:t>Mafi A</w:t>
      </w:r>
      <w:r>
        <w:rPr>
          <w:rFonts w:ascii="Book Antiqua" w:hAnsi="Book Antiqua"/>
        </w:rPr>
        <w:t xml:space="preserve">, Aghadavod E, Mirhosseini N, Mobini M, Asemi Z. The effects of expression of different microRNAs on insulin secretion and diabetic nephropathy progression. </w:t>
      </w:r>
      <w:r>
        <w:rPr>
          <w:rFonts w:ascii="Book Antiqua" w:hAnsi="Book Antiqua"/>
          <w:i/>
          <w:iCs/>
        </w:rPr>
        <w:t>J Cell Physiol</w:t>
      </w:r>
      <w:r>
        <w:rPr>
          <w:rFonts w:ascii="Book Antiqua" w:hAnsi="Book Antiqua"/>
        </w:rPr>
        <w:t xml:space="preserve"> 2018; </w:t>
      </w:r>
      <w:r>
        <w:rPr>
          <w:rFonts w:ascii="Book Antiqua" w:hAnsi="Book Antiqua"/>
          <w:b/>
          <w:bCs/>
        </w:rPr>
        <w:t>234</w:t>
      </w:r>
      <w:r>
        <w:rPr>
          <w:rFonts w:ascii="Book Antiqua" w:hAnsi="Book Antiqua"/>
        </w:rPr>
        <w:t>: 42-50 [PMID: 30078212 DOI: 10.1002/jcp.26895]</w:t>
      </w:r>
    </w:p>
    <w:p w14:paraId="0B3B3FD9" w14:textId="77777777" w:rsidR="00F76B23" w:rsidRDefault="00DB35EC">
      <w:pPr>
        <w:spacing w:line="360" w:lineRule="auto"/>
        <w:jc w:val="both"/>
        <w:rPr>
          <w:rFonts w:ascii="Book Antiqua" w:hAnsi="Book Antiqua"/>
        </w:rPr>
      </w:pPr>
      <w:r>
        <w:rPr>
          <w:rFonts w:ascii="Book Antiqua" w:hAnsi="Book Antiqua"/>
        </w:rPr>
        <w:lastRenderedPageBreak/>
        <w:t xml:space="preserve">25 </w:t>
      </w:r>
      <w:r>
        <w:rPr>
          <w:rFonts w:ascii="Book Antiqua" w:hAnsi="Book Antiqua"/>
          <w:b/>
          <w:bCs/>
        </w:rPr>
        <w:t>Xu G</w:t>
      </w:r>
      <w:r>
        <w:rPr>
          <w:rFonts w:ascii="Book Antiqua" w:hAnsi="Book Antiqua"/>
        </w:rPr>
        <w:t xml:space="preserve">, Mo L, Wu C, Shen X, Dong H, Yu L, Pan P, Pan K. The </w:t>
      </w:r>
      <w:r>
        <w:rPr>
          <w:rFonts w:ascii="Book Antiqua" w:hAnsi="Book Antiqua"/>
          <w:i/>
          <w:iCs/>
        </w:rPr>
        <w:t>miR-15a-5p-XIST-CUL3</w:t>
      </w:r>
      <w:r>
        <w:rPr>
          <w:rFonts w:ascii="Book Antiqua" w:hAnsi="Book Antiqua"/>
        </w:rPr>
        <w:t xml:space="preserve"> regulatory axis is important for sepsis-induced acute kidney injury. </w:t>
      </w:r>
      <w:r>
        <w:rPr>
          <w:rFonts w:ascii="Book Antiqua" w:hAnsi="Book Antiqua"/>
          <w:i/>
          <w:iCs/>
        </w:rPr>
        <w:t>Ren Fail</w:t>
      </w:r>
      <w:r>
        <w:rPr>
          <w:rFonts w:ascii="Book Antiqua" w:hAnsi="Book Antiqua"/>
        </w:rPr>
        <w:t xml:space="preserve"> 2019; </w:t>
      </w:r>
      <w:r>
        <w:rPr>
          <w:rFonts w:ascii="Book Antiqua" w:hAnsi="Book Antiqua"/>
          <w:b/>
          <w:bCs/>
        </w:rPr>
        <w:t>41</w:t>
      </w:r>
      <w:r>
        <w:rPr>
          <w:rFonts w:ascii="Book Antiqua" w:hAnsi="Book Antiqua"/>
        </w:rPr>
        <w:t>: 955-966 [PMID: 31658856 DOI: 10.1080/0886022X.2019.1669460]</w:t>
      </w:r>
    </w:p>
    <w:p w14:paraId="7B0D21E6" w14:textId="77777777" w:rsidR="00F76B23" w:rsidRDefault="00DB35EC">
      <w:pPr>
        <w:spacing w:line="360" w:lineRule="auto"/>
        <w:jc w:val="both"/>
        <w:rPr>
          <w:rFonts w:ascii="Book Antiqua" w:hAnsi="Book Antiqua"/>
        </w:rPr>
      </w:pPr>
      <w:r>
        <w:rPr>
          <w:rFonts w:ascii="Book Antiqua" w:hAnsi="Book Antiqua"/>
        </w:rPr>
        <w:t xml:space="preserve">26 </w:t>
      </w:r>
      <w:r>
        <w:rPr>
          <w:rFonts w:ascii="Book Antiqua" w:hAnsi="Book Antiqua"/>
          <w:b/>
          <w:bCs/>
        </w:rPr>
        <w:t>Li C</w:t>
      </w:r>
      <w:r>
        <w:rPr>
          <w:rFonts w:ascii="Book Antiqua" w:hAnsi="Book Antiqua"/>
        </w:rPr>
        <w:t xml:space="preserve">, Yang CW, Park CW, Ahn HJ, Kim WY, Yoon KH, Suh SH, Lim SW, Cha JH, Kim YS, Kim J, Chang YS, Bang BK. Long-term treatment with ramipril attenuates renal osteopontin expression in diabetic rats. </w:t>
      </w:r>
      <w:r>
        <w:rPr>
          <w:rFonts w:ascii="Book Antiqua" w:hAnsi="Book Antiqua"/>
          <w:i/>
          <w:iCs/>
        </w:rPr>
        <w:t>Kidney Int</w:t>
      </w:r>
      <w:r>
        <w:rPr>
          <w:rFonts w:ascii="Book Antiqua" w:hAnsi="Book Antiqua"/>
        </w:rPr>
        <w:t xml:space="preserve"> 2003; </w:t>
      </w:r>
      <w:r>
        <w:rPr>
          <w:rFonts w:ascii="Book Antiqua" w:hAnsi="Book Antiqua"/>
          <w:b/>
          <w:bCs/>
        </w:rPr>
        <w:t>63</w:t>
      </w:r>
      <w:r>
        <w:rPr>
          <w:rFonts w:ascii="Book Antiqua" w:hAnsi="Book Antiqua"/>
        </w:rPr>
        <w:t>: 454-463 [PMID: 12631111 DOI: 10.1046/j.1523-1755.2003.00751.x]</w:t>
      </w:r>
    </w:p>
    <w:p w14:paraId="41DA6BFE" w14:textId="77777777" w:rsidR="00F76B23" w:rsidRDefault="00DB35EC">
      <w:pPr>
        <w:spacing w:line="360" w:lineRule="auto"/>
        <w:jc w:val="both"/>
        <w:rPr>
          <w:rFonts w:ascii="Book Antiqua" w:hAnsi="Book Antiqua"/>
        </w:rPr>
      </w:pPr>
      <w:r>
        <w:rPr>
          <w:rFonts w:ascii="Book Antiqua" w:hAnsi="Book Antiqua"/>
        </w:rPr>
        <w:t xml:space="preserve">27 </w:t>
      </w:r>
      <w:r>
        <w:rPr>
          <w:rFonts w:ascii="Book Antiqua" w:hAnsi="Book Antiqua"/>
          <w:b/>
          <w:bCs/>
        </w:rPr>
        <w:t>Zhang Y</w:t>
      </w:r>
      <w:r>
        <w:rPr>
          <w:rFonts w:ascii="Book Antiqua" w:hAnsi="Book Antiqua"/>
        </w:rPr>
        <w:t xml:space="preserve">, Tao C, Xuan C, Jiang J, Cao W. Transcriptomic Analysis Reveals the Protection of Astragaloside IV against Diabetic Nephropathy by Modulating Inflammation. </w:t>
      </w:r>
      <w:r>
        <w:rPr>
          <w:rFonts w:ascii="Book Antiqua" w:hAnsi="Book Antiqua"/>
          <w:i/>
          <w:iCs/>
        </w:rPr>
        <w:t>Oxid Med Cell Longev</w:t>
      </w:r>
      <w:r>
        <w:rPr>
          <w:rFonts w:ascii="Book Antiqua" w:hAnsi="Book Antiqua"/>
        </w:rPr>
        <w:t xml:space="preserve"> 2020; </w:t>
      </w:r>
      <w:r>
        <w:rPr>
          <w:rFonts w:ascii="Book Antiqua" w:hAnsi="Book Antiqua"/>
          <w:b/>
          <w:bCs/>
        </w:rPr>
        <w:t>2020</w:t>
      </w:r>
      <w:r>
        <w:rPr>
          <w:rFonts w:ascii="Book Antiqua" w:hAnsi="Book Antiqua"/>
        </w:rPr>
        <w:t>: 9542165 [PMID: 32855769 DOI: 10.1155/2020/9542165]</w:t>
      </w:r>
    </w:p>
    <w:p w14:paraId="736DB76D" w14:textId="77777777" w:rsidR="00F76B23" w:rsidRDefault="00DB35EC">
      <w:pPr>
        <w:spacing w:line="360" w:lineRule="auto"/>
        <w:jc w:val="both"/>
        <w:rPr>
          <w:rFonts w:ascii="Book Antiqua" w:hAnsi="Book Antiqua"/>
        </w:rPr>
      </w:pPr>
      <w:r>
        <w:rPr>
          <w:rFonts w:ascii="Book Antiqua" w:hAnsi="Book Antiqua"/>
        </w:rPr>
        <w:t xml:space="preserve">28 </w:t>
      </w:r>
      <w:r>
        <w:rPr>
          <w:rFonts w:ascii="Book Antiqua" w:hAnsi="Book Antiqua"/>
          <w:b/>
          <w:bCs/>
        </w:rPr>
        <w:t>Liu C</w:t>
      </w:r>
      <w:r>
        <w:rPr>
          <w:rFonts w:ascii="Book Antiqua" w:hAnsi="Book Antiqua"/>
        </w:rPr>
        <w:t xml:space="preserve">, Zhuo H, Ye MY, Huang GX, Fan M, Huang XZ. LncRNA MALAT1 promoted high glucose-induced pyroptosis of renal tubular epithelial cell by sponging miR-30c targeting for NLRP3. </w:t>
      </w:r>
      <w:r>
        <w:rPr>
          <w:rFonts w:ascii="Book Antiqua" w:hAnsi="Book Antiqua"/>
          <w:i/>
          <w:iCs/>
        </w:rPr>
        <w:t>Kaohsiung J Med Sci</w:t>
      </w:r>
      <w:r>
        <w:rPr>
          <w:rFonts w:ascii="Book Antiqua" w:hAnsi="Book Antiqua"/>
        </w:rPr>
        <w:t xml:space="preserve"> 2020; </w:t>
      </w:r>
      <w:r>
        <w:rPr>
          <w:rFonts w:ascii="Book Antiqua" w:hAnsi="Book Antiqua"/>
          <w:b/>
          <w:bCs/>
        </w:rPr>
        <w:t>36</w:t>
      </w:r>
      <w:r>
        <w:rPr>
          <w:rFonts w:ascii="Book Antiqua" w:hAnsi="Book Antiqua"/>
        </w:rPr>
        <w:t>: 682-691 [PMID: 32391974 DOI: 10.1002/kjm2.12226]</w:t>
      </w:r>
    </w:p>
    <w:p w14:paraId="5322CDBA" w14:textId="77777777" w:rsidR="00F76B23" w:rsidRDefault="00DB35EC">
      <w:pPr>
        <w:spacing w:line="360" w:lineRule="auto"/>
        <w:jc w:val="both"/>
        <w:rPr>
          <w:rFonts w:ascii="Book Antiqua" w:hAnsi="Book Antiqua"/>
        </w:rPr>
      </w:pPr>
      <w:r>
        <w:rPr>
          <w:rFonts w:ascii="Book Antiqua" w:hAnsi="Book Antiqua"/>
        </w:rPr>
        <w:t xml:space="preserve">29 </w:t>
      </w:r>
      <w:r>
        <w:rPr>
          <w:rFonts w:ascii="Book Antiqua" w:hAnsi="Book Antiqua"/>
          <w:b/>
          <w:bCs/>
        </w:rPr>
        <w:t>Liu DW</w:t>
      </w:r>
      <w:r>
        <w:rPr>
          <w:rFonts w:ascii="Book Antiqua" w:hAnsi="Book Antiqua"/>
        </w:rPr>
        <w:t xml:space="preserve">, Zhang JH, Liu FX, Wang XT, Pan SK, Jiang DK, Zhao ZH, Liu ZS. Silencing of long noncoding RNA PVT1 inhibits podocyte damage and apoptosis in diabetic nephropathy by upregulating FOXA1. </w:t>
      </w:r>
      <w:r>
        <w:rPr>
          <w:rFonts w:ascii="Book Antiqua" w:hAnsi="Book Antiqua"/>
          <w:i/>
          <w:iCs/>
        </w:rPr>
        <w:t>Exp Mol Med</w:t>
      </w:r>
      <w:r>
        <w:rPr>
          <w:rFonts w:ascii="Book Antiqua" w:hAnsi="Book Antiqua"/>
        </w:rPr>
        <w:t xml:space="preserve"> 2019; </w:t>
      </w:r>
      <w:r>
        <w:rPr>
          <w:rFonts w:ascii="Book Antiqua" w:hAnsi="Book Antiqua"/>
          <w:b/>
          <w:bCs/>
        </w:rPr>
        <w:t>51</w:t>
      </w:r>
      <w:r>
        <w:rPr>
          <w:rFonts w:ascii="Book Antiqua" w:hAnsi="Book Antiqua"/>
        </w:rPr>
        <w:t>: 1-15 [PMID: 31371698 DOI: 10.1038/s12276-019-0259-6]</w:t>
      </w:r>
    </w:p>
    <w:p w14:paraId="793B3F98" w14:textId="77777777" w:rsidR="00F76B23" w:rsidRDefault="00DB35EC">
      <w:pPr>
        <w:spacing w:line="360" w:lineRule="auto"/>
        <w:jc w:val="both"/>
        <w:rPr>
          <w:rFonts w:ascii="Book Antiqua" w:hAnsi="Book Antiqua"/>
        </w:rPr>
      </w:pPr>
      <w:r>
        <w:rPr>
          <w:rFonts w:ascii="Book Antiqua" w:hAnsi="Book Antiqua"/>
        </w:rPr>
        <w:t xml:space="preserve">30 </w:t>
      </w:r>
      <w:r>
        <w:rPr>
          <w:rFonts w:ascii="Book Antiqua" w:hAnsi="Book Antiqua"/>
          <w:b/>
          <w:bCs/>
        </w:rPr>
        <w:t>Chen X</w:t>
      </w:r>
      <w:r>
        <w:rPr>
          <w:rFonts w:ascii="Book Antiqua" w:hAnsi="Book Antiqua"/>
        </w:rPr>
        <w:t xml:space="preserve">, Chen RX, Wei WS, Li YH, Feng ZH, Tan L, Chen JW, Yuan GJ, Chen SL, Guo SJ, Xiao KH, Liu ZW, Luo JH, Zhou FJ, Xie D. PRMT5 Circular RNA Promotes Metastasis of Urothelial Carcinoma of the Bladder through Sponging miR-30c to Induce Epithelial-Mesenchymal Transition. </w:t>
      </w:r>
      <w:r>
        <w:rPr>
          <w:rFonts w:ascii="Book Antiqua" w:hAnsi="Book Antiqua"/>
          <w:i/>
          <w:iCs/>
        </w:rPr>
        <w:t>Clin Cancer Res</w:t>
      </w:r>
      <w:r>
        <w:rPr>
          <w:rFonts w:ascii="Book Antiqua" w:hAnsi="Book Antiqua"/>
        </w:rPr>
        <w:t xml:space="preserve"> 2018; </w:t>
      </w:r>
      <w:r>
        <w:rPr>
          <w:rFonts w:ascii="Book Antiqua" w:hAnsi="Book Antiqua"/>
          <w:b/>
          <w:bCs/>
        </w:rPr>
        <w:t>24</w:t>
      </w:r>
      <w:r>
        <w:rPr>
          <w:rFonts w:ascii="Book Antiqua" w:hAnsi="Book Antiqua"/>
        </w:rPr>
        <w:t>: 6319-6330 [PMID: 30305293 DOI: 10.1158/1078-0432.CCR-18-1270]</w:t>
      </w:r>
    </w:p>
    <w:p w14:paraId="7103A10D" w14:textId="77777777" w:rsidR="00F76B23" w:rsidRDefault="00DB35EC">
      <w:pPr>
        <w:spacing w:line="360" w:lineRule="auto"/>
        <w:jc w:val="both"/>
        <w:rPr>
          <w:rFonts w:ascii="Book Antiqua" w:hAnsi="Book Antiqua"/>
        </w:rPr>
      </w:pPr>
      <w:r>
        <w:rPr>
          <w:rFonts w:ascii="Book Antiqua" w:hAnsi="Book Antiqua"/>
        </w:rPr>
        <w:t xml:space="preserve">31 </w:t>
      </w:r>
      <w:r>
        <w:rPr>
          <w:rFonts w:ascii="Book Antiqua" w:hAnsi="Book Antiqua"/>
          <w:b/>
          <w:bCs/>
        </w:rPr>
        <w:t>Tang B</w:t>
      </w:r>
      <w:r>
        <w:rPr>
          <w:rFonts w:ascii="Book Antiqua" w:hAnsi="Book Antiqua"/>
        </w:rPr>
        <w:t xml:space="preserve">, Li W, Ji T, Li X, Qu X, Feng L, Zhu Y, Qi Y, Zhu C, Bai S. Downregulation of XIST ameliorates acute kidney injury by sponging miR-142-5p and targeting PDCD4. </w:t>
      </w:r>
      <w:r>
        <w:rPr>
          <w:rFonts w:ascii="Book Antiqua" w:hAnsi="Book Antiqua"/>
          <w:i/>
          <w:iCs/>
        </w:rPr>
        <w:t>J Cell Physiol</w:t>
      </w:r>
      <w:r>
        <w:rPr>
          <w:rFonts w:ascii="Book Antiqua" w:hAnsi="Book Antiqua"/>
        </w:rPr>
        <w:t xml:space="preserve"> 2020; </w:t>
      </w:r>
      <w:r>
        <w:rPr>
          <w:rFonts w:ascii="Book Antiqua" w:hAnsi="Book Antiqua"/>
          <w:b/>
          <w:bCs/>
        </w:rPr>
        <w:t>235</w:t>
      </w:r>
      <w:r>
        <w:rPr>
          <w:rFonts w:ascii="Book Antiqua" w:hAnsi="Book Antiqua"/>
        </w:rPr>
        <w:t>: 8852-8863 [PMID: 32347551 DOI: 10.1002/jcp.29729]</w:t>
      </w:r>
    </w:p>
    <w:p w14:paraId="33467339" w14:textId="77777777" w:rsidR="00F76B23" w:rsidRDefault="00DB35EC">
      <w:pPr>
        <w:spacing w:line="360" w:lineRule="auto"/>
        <w:jc w:val="both"/>
        <w:rPr>
          <w:rFonts w:ascii="Book Antiqua" w:hAnsi="Book Antiqua"/>
        </w:rPr>
      </w:pPr>
      <w:r>
        <w:rPr>
          <w:rFonts w:ascii="Book Antiqua" w:hAnsi="Book Antiqua"/>
        </w:rPr>
        <w:t xml:space="preserve">32 </w:t>
      </w:r>
      <w:r>
        <w:rPr>
          <w:rFonts w:ascii="Book Antiqua" w:hAnsi="Book Antiqua"/>
          <w:b/>
          <w:bCs/>
        </w:rPr>
        <w:t>El-Sisi AEE</w:t>
      </w:r>
      <w:r>
        <w:rPr>
          <w:rFonts w:ascii="Book Antiqua" w:hAnsi="Book Antiqua"/>
        </w:rPr>
        <w:t>, Sokar SS, Shebl AM, Mohamed DZ, Abu-Risha SE. Octreotide and melatonin alleviate inflammasome-induced pyroptosis through inhibition of TLR4-NF-</w:t>
      </w:r>
      <w:r>
        <w:rPr>
          <w:rFonts w:ascii="Book Antiqua" w:hAnsi="Book Antiqua"/>
        </w:rPr>
        <w:lastRenderedPageBreak/>
        <w:t xml:space="preserve">κB-NLRP3 pathway in hepatic ischemia/reperfusion injury. </w:t>
      </w:r>
      <w:r>
        <w:rPr>
          <w:rFonts w:ascii="Book Antiqua" w:hAnsi="Book Antiqua"/>
          <w:i/>
          <w:iCs/>
        </w:rPr>
        <w:t>Toxicol Appl Pharmacol</w:t>
      </w:r>
      <w:r>
        <w:rPr>
          <w:rFonts w:ascii="Book Antiqua" w:hAnsi="Book Antiqua"/>
        </w:rPr>
        <w:t xml:space="preserve"> 2021; </w:t>
      </w:r>
      <w:r>
        <w:rPr>
          <w:rFonts w:ascii="Book Antiqua" w:hAnsi="Book Antiqua"/>
          <w:b/>
          <w:bCs/>
        </w:rPr>
        <w:t>410</w:t>
      </w:r>
      <w:r>
        <w:rPr>
          <w:rFonts w:ascii="Book Antiqua" w:hAnsi="Book Antiqua"/>
        </w:rPr>
        <w:t>: 115340 [PMID: 33264646 DOI: 10.1016/j.taap.2020.115340]</w:t>
      </w:r>
    </w:p>
    <w:p w14:paraId="30BF2328" w14:textId="77777777" w:rsidR="00F76B23" w:rsidRDefault="00DB35EC">
      <w:pPr>
        <w:spacing w:line="360" w:lineRule="auto"/>
        <w:jc w:val="both"/>
        <w:rPr>
          <w:rFonts w:ascii="Book Antiqua" w:hAnsi="Book Antiqua"/>
        </w:rPr>
      </w:pPr>
      <w:r>
        <w:rPr>
          <w:rFonts w:ascii="Book Antiqua" w:hAnsi="Book Antiqua"/>
        </w:rPr>
        <w:t xml:space="preserve">33 </w:t>
      </w:r>
      <w:r>
        <w:rPr>
          <w:rFonts w:ascii="Book Antiqua" w:hAnsi="Book Antiqua"/>
          <w:b/>
          <w:bCs/>
        </w:rPr>
        <w:t>Umanath K</w:t>
      </w:r>
      <w:r>
        <w:rPr>
          <w:rFonts w:ascii="Book Antiqua" w:hAnsi="Book Antiqua"/>
        </w:rPr>
        <w:t xml:space="preserve">, Lewis JB. Update on Diabetic Nephropathy: Core Curriculum 2018. </w:t>
      </w:r>
      <w:r>
        <w:rPr>
          <w:rFonts w:ascii="Book Antiqua" w:hAnsi="Book Antiqua"/>
          <w:i/>
          <w:iCs/>
        </w:rPr>
        <w:t>Am J Kidney Dis</w:t>
      </w:r>
      <w:r>
        <w:rPr>
          <w:rFonts w:ascii="Book Antiqua" w:hAnsi="Book Antiqua"/>
        </w:rPr>
        <w:t xml:space="preserve"> 2018; </w:t>
      </w:r>
      <w:r>
        <w:rPr>
          <w:rFonts w:ascii="Book Antiqua" w:hAnsi="Book Antiqua"/>
          <w:b/>
          <w:bCs/>
        </w:rPr>
        <w:t>71</w:t>
      </w:r>
      <w:r>
        <w:rPr>
          <w:rFonts w:ascii="Book Antiqua" w:hAnsi="Book Antiqua"/>
        </w:rPr>
        <w:t>: 884-895 [PMID: 29398179 DOI: 10.1053/j.ajkd.2017.10.026]</w:t>
      </w:r>
    </w:p>
    <w:p w14:paraId="2FB47A04" w14:textId="77777777" w:rsidR="00F76B23" w:rsidRDefault="00DB35EC">
      <w:pPr>
        <w:spacing w:line="360" w:lineRule="auto"/>
        <w:jc w:val="both"/>
        <w:rPr>
          <w:rFonts w:ascii="Book Antiqua" w:hAnsi="Book Antiqua"/>
        </w:rPr>
      </w:pPr>
      <w:r>
        <w:rPr>
          <w:rFonts w:ascii="Book Antiqua" w:hAnsi="Book Antiqua"/>
        </w:rPr>
        <w:t xml:space="preserve">34 </w:t>
      </w:r>
      <w:r>
        <w:rPr>
          <w:rFonts w:ascii="Book Antiqua" w:hAnsi="Book Antiqua"/>
          <w:b/>
          <w:bCs/>
        </w:rPr>
        <w:t>Ke R</w:t>
      </w:r>
      <w:r>
        <w:rPr>
          <w:rFonts w:ascii="Book Antiqua" w:hAnsi="Book Antiqua"/>
        </w:rPr>
        <w:t xml:space="preserve">, Wang Y, Hong S, Xiao L. Endoplasmic reticulum stress related factor IRE1α regulates TXNIP/NLRP3-mediated pyroptosis in diabetic nephropathy. </w:t>
      </w:r>
      <w:r>
        <w:rPr>
          <w:rFonts w:ascii="Book Antiqua" w:hAnsi="Book Antiqua"/>
          <w:i/>
          <w:iCs/>
        </w:rPr>
        <w:t>Exp Cell Res</w:t>
      </w:r>
      <w:r>
        <w:rPr>
          <w:rFonts w:ascii="Book Antiqua" w:hAnsi="Book Antiqua"/>
        </w:rPr>
        <w:t xml:space="preserve"> 2020; </w:t>
      </w:r>
      <w:r>
        <w:rPr>
          <w:rFonts w:ascii="Book Antiqua" w:hAnsi="Book Antiqua"/>
          <w:b/>
          <w:bCs/>
        </w:rPr>
        <w:t>396</w:t>
      </w:r>
      <w:r>
        <w:rPr>
          <w:rFonts w:ascii="Book Antiqua" w:hAnsi="Book Antiqua"/>
        </w:rPr>
        <w:t>: 112293 [PMID: 32950473 DOI: 10.1016/j.yexcr.2020.112293]</w:t>
      </w:r>
    </w:p>
    <w:p w14:paraId="39B9C60B" w14:textId="77777777" w:rsidR="00F76B23" w:rsidRDefault="00DB35EC">
      <w:pPr>
        <w:spacing w:line="360" w:lineRule="auto"/>
        <w:jc w:val="both"/>
        <w:rPr>
          <w:rFonts w:ascii="Book Antiqua" w:hAnsi="Book Antiqua"/>
        </w:rPr>
      </w:pPr>
      <w:r>
        <w:rPr>
          <w:rFonts w:ascii="Book Antiqua" w:hAnsi="Book Antiqua"/>
        </w:rPr>
        <w:t xml:space="preserve">35 </w:t>
      </w:r>
      <w:r>
        <w:rPr>
          <w:rFonts w:ascii="Book Antiqua" w:hAnsi="Book Antiqua"/>
          <w:b/>
          <w:bCs/>
        </w:rPr>
        <w:t>Lee JY</w:t>
      </w:r>
      <w:r>
        <w:rPr>
          <w:rFonts w:ascii="Book Antiqua" w:hAnsi="Book Antiqua"/>
        </w:rPr>
        <w:t xml:space="preserve">, Yang JW, Han BG, Choi SO, Kim JS. Adiponectin for the treatment of diabetic nephropathy. </w:t>
      </w:r>
      <w:r>
        <w:rPr>
          <w:rFonts w:ascii="Book Antiqua" w:hAnsi="Book Antiqua"/>
          <w:i/>
          <w:iCs/>
        </w:rPr>
        <w:t>Korean J Intern Med</w:t>
      </w:r>
      <w:r>
        <w:rPr>
          <w:rFonts w:ascii="Book Antiqua" w:hAnsi="Book Antiqua"/>
        </w:rPr>
        <w:t xml:space="preserve"> 2019; </w:t>
      </w:r>
      <w:r>
        <w:rPr>
          <w:rFonts w:ascii="Book Antiqua" w:hAnsi="Book Antiqua"/>
          <w:b/>
          <w:bCs/>
        </w:rPr>
        <w:t>34</w:t>
      </w:r>
      <w:r>
        <w:rPr>
          <w:rFonts w:ascii="Book Antiqua" w:hAnsi="Book Antiqua"/>
        </w:rPr>
        <w:t>: 480-491 [PMID: 31048658 DOI: 10.3904/kjim.2019.109]</w:t>
      </w:r>
    </w:p>
    <w:p w14:paraId="26EF5EA0" w14:textId="77777777" w:rsidR="00F76B23" w:rsidRDefault="00DB35EC">
      <w:pPr>
        <w:spacing w:line="360" w:lineRule="auto"/>
        <w:jc w:val="both"/>
        <w:rPr>
          <w:rFonts w:ascii="Book Antiqua" w:hAnsi="Book Antiqua"/>
        </w:rPr>
      </w:pPr>
      <w:r>
        <w:rPr>
          <w:rFonts w:ascii="Book Antiqua" w:hAnsi="Book Antiqua"/>
        </w:rPr>
        <w:t xml:space="preserve">36 </w:t>
      </w:r>
      <w:r>
        <w:rPr>
          <w:rFonts w:ascii="Book Antiqua" w:hAnsi="Book Antiqua"/>
          <w:b/>
          <w:bCs/>
        </w:rPr>
        <w:t>Miao N</w:t>
      </w:r>
      <w:r>
        <w:rPr>
          <w:rFonts w:ascii="Book Antiqua" w:hAnsi="Book Antiqua"/>
        </w:rPr>
        <w:t xml:space="preserve">, Yin F, Xie H, Wang Y, Xu Y, Shen Y, Xu D, Yin J, Wang B, Zhou Z, Cheng Q, Chen P, Xue H, Zhou L, Liu J, Wang X, Zhang W, Lu L. The cleavage of gasdermin D by caspase-11 promotes tubular epithelial cell pyroptosis and urinary IL-18 excretion in acute kidney injury. </w:t>
      </w:r>
      <w:r>
        <w:rPr>
          <w:rFonts w:ascii="Book Antiqua" w:hAnsi="Book Antiqua"/>
          <w:i/>
          <w:iCs/>
        </w:rPr>
        <w:t>Kidney Int</w:t>
      </w:r>
      <w:r>
        <w:rPr>
          <w:rFonts w:ascii="Book Antiqua" w:hAnsi="Book Antiqua"/>
        </w:rPr>
        <w:t xml:space="preserve"> 2019; </w:t>
      </w:r>
      <w:r>
        <w:rPr>
          <w:rFonts w:ascii="Book Antiqua" w:hAnsi="Book Antiqua"/>
          <w:b/>
          <w:bCs/>
        </w:rPr>
        <w:t>96</w:t>
      </w:r>
      <w:r>
        <w:rPr>
          <w:rFonts w:ascii="Book Antiqua" w:hAnsi="Book Antiqua"/>
        </w:rPr>
        <w:t>: 1105-1120 [PMID: 31405732 DOI: 10.1016/j.kint.2019.04.035]</w:t>
      </w:r>
    </w:p>
    <w:p w14:paraId="480DF6AB" w14:textId="77777777" w:rsidR="00F76B23" w:rsidRDefault="00DB35EC">
      <w:pPr>
        <w:spacing w:line="360" w:lineRule="auto"/>
        <w:jc w:val="both"/>
        <w:rPr>
          <w:rFonts w:ascii="Book Antiqua" w:hAnsi="Book Antiqua"/>
        </w:rPr>
      </w:pPr>
      <w:r>
        <w:rPr>
          <w:rFonts w:ascii="Book Antiqua" w:hAnsi="Book Antiqua"/>
        </w:rPr>
        <w:t xml:space="preserve">37 </w:t>
      </w:r>
      <w:r>
        <w:rPr>
          <w:rFonts w:ascii="Book Antiqua" w:hAnsi="Book Antiqua"/>
          <w:b/>
          <w:bCs/>
        </w:rPr>
        <w:t>Yaribeygi H</w:t>
      </w:r>
      <w:r>
        <w:rPr>
          <w:rFonts w:ascii="Book Antiqua" w:hAnsi="Book Antiqua"/>
        </w:rPr>
        <w:t xml:space="preserve">, Atkin SL, Sahebkar A. Interleukin-18 and diabetic nephropathy: A review. </w:t>
      </w:r>
      <w:r>
        <w:rPr>
          <w:rFonts w:ascii="Book Antiqua" w:hAnsi="Book Antiqua"/>
          <w:i/>
          <w:iCs/>
        </w:rPr>
        <w:t>J Cell Physiol</w:t>
      </w:r>
      <w:r>
        <w:rPr>
          <w:rFonts w:ascii="Book Antiqua" w:hAnsi="Book Antiqua"/>
        </w:rPr>
        <w:t xml:space="preserve"> 2019; </w:t>
      </w:r>
      <w:r>
        <w:rPr>
          <w:rFonts w:ascii="Book Antiqua" w:hAnsi="Book Antiqua"/>
          <w:b/>
          <w:bCs/>
        </w:rPr>
        <w:t>234</w:t>
      </w:r>
      <w:r>
        <w:rPr>
          <w:rFonts w:ascii="Book Antiqua" w:hAnsi="Book Antiqua"/>
        </w:rPr>
        <w:t>: 5674-5682 [PMID: 30417374 DOI: 10.1002/jcp.27427]</w:t>
      </w:r>
    </w:p>
    <w:p w14:paraId="5ABCD017" w14:textId="77777777" w:rsidR="00F76B23" w:rsidRDefault="00DB35EC">
      <w:pPr>
        <w:spacing w:line="360" w:lineRule="auto"/>
        <w:jc w:val="both"/>
        <w:rPr>
          <w:rFonts w:ascii="Book Antiqua" w:hAnsi="Book Antiqua"/>
        </w:rPr>
      </w:pPr>
      <w:r>
        <w:rPr>
          <w:rFonts w:ascii="Book Antiqua" w:hAnsi="Book Antiqua"/>
        </w:rPr>
        <w:t xml:space="preserve">38 </w:t>
      </w:r>
      <w:r>
        <w:rPr>
          <w:rFonts w:ascii="Book Antiqua" w:hAnsi="Book Antiqua"/>
          <w:b/>
          <w:bCs/>
        </w:rPr>
        <w:t>Fang Y</w:t>
      </w:r>
      <w:r>
        <w:rPr>
          <w:rFonts w:ascii="Book Antiqua" w:hAnsi="Book Antiqua"/>
        </w:rPr>
        <w:t xml:space="preserve">, Tian S, Pan Y, Li W, Wang Q, Tang Y, Yu T, Wu X, Shi Y, Ma P, Shu Y. Pyroptosis: A new frontier in cancer. </w:t>
      </w:r>
      <w:r>
        <w:rPr>
          <w:rFonts w:ascii="Book Antiqua" w:hAnsi="Book Antiqua"/>
          <w:i/>
          <w:iCs/>
        </w:rPr>
        <w:t>Biomed Pharmacother</w:t>
      </w:r>
      <w:r>
        <w:rPr>
          <w:rFonts w:ascii="Book Antiqua" w:hAnsi="Book Antiqua"/>
        </w:rPr>
        <w:t xml:space="preserve"> 2020; </w:t>
      </w:r>
      <w:r>
        <w:rPr>
          <w:rFonts w:ascii="Book Antiqua" w:hAnsi="Book Antiqua"/>
          <w:b/>
          <w:bCs/>
        </w:rPr>
        <w:t>121</w:t>
      </w:r>
      <w:r>
        <w:rPr>
          <w:rFonts w:ascii="Book Antiqua" w:hAnsi="Book Antiqua"/>
        </w:rPr>
        <w:t>: 109595 [PMID: 31710896 DOI: 10.1016/j.biopha.2019.109595]</w:t>
      </w:r>
    </w:p>
    <w:p w14:paraId="1887F79F" w14:textId="77777777" w:rsidR="00F76B23" w:rsidRDefault="00DB35EC">
      <w:pPr>
        <w:spacing w:line="360" w:lineRule="auto"/>
        <w:jc w:val="both"/>
        <w:rPr>
          <w:rFonts w:ascii="Book Antiqua" w:hAnsi="Book Antiqua"/>
        </w:rPr>
      </w:pPr>
      <w:r>
        <w:rPr>
          <w:rFonts w:ascii="Book Antiqua" w:hAnsi="Book Antiqua"/>
        </w:rPr>
        <w:t xml:space="preserve">39 </w:t>
      </w:r>
      <w:r>
        <w:rPr>
          <w:rFonts w:ascii="Book Antiqua" w:hAnsi="Book Antiqua"/>
          <w:b/>
          <w:bCs/>
        </w:rPr>
        <w:t>Qiu Z</w:t>
      </w:r>
      <w:r>
        <w:rPr>
          <w:rFonts w:ascii="Book Antiqua" w:hAnsi="Book Antiqua"/>
        </w:rPr>
        <w:t xml:space="preserve">, Lei S, Zhao B, Wu Y, Su W, Liu M, Meng Q, Zhou B, Leng Y, Xia ZY. NLRP3 Inflammasome Activation-Mediated Pyroptosis Aggravates Myocardial Ischemia/Reperfusion Injury in Diabetic Rats. </w:t>
      </w:r>
      <w:r>
        <w:rPr>
          <w:rFonts w:ascii="Book Antiqua" w:hAnsi="Book Antiqua"/>
          <w:i/>
          <w:iCs/>
        </w:rPr>
        <w:t>Oxid Med Cell Longev</w:t>
      </w:r>
      <w:r>
        <w:rPr>
          <w:rFonts w:ascii="Book Antiqua" w:hAnsi="Book Antiqua"/>
        </w:rPr>
        <w:t xml:space="preserve"> 2017; </w:t>
      </w:r>
      <w:r>
        <w:rPr>
          <w:rFonts w:ascii="Book Antiqua" w:hAnsi="Book Antiqua"/>
          <w:b/>
          <w:bCs/>
        </w:rPr>
        <w:t>2017</w:t>
      </w:r>
      <w:r>
        <w:rPr>
          <w:rFonts w:ascii="Book Antiqua" w:hAnsi="Book Antiqua"/>
        </w:rPr>
        <w:t>: 9743280 [PMID: 29062465 DOI: 10.1155/2017/9743280]</w:t>
      </w:r>
    </w:p>
    <w:p w14:paraId="33334C81" w14:textId="77777777" w:rsidR="00F76B23" w:rsidRDefault="00DB35EC">
      <w:pPr>
        <w:spacing w:line="360" w:lineRule="auto"/>
        <w:jc w:val="both"/>
        <w:rPr>
          <w:rFonts w:ascii="Book Antiqua" w:hAnsi="Book Antiqua"/>
        </w:rPr>
      </w:pPr>
      <w:r>
        <w:rPr>
          <w:rFonts w:ascii="Book Antiqua" w:hAnsi="Book Antiqua"/>
        </w:rPr>
        <w:t xml:space="preserve">40 </w:t>
      </w:r>
      <w:r>
        <w:rPr>
          <w:rFonts w:ascii="Book Antiqua" w:hAnsi="Book Antiqua"/>
          <w:b/>
          <w:bCs/>
        </w:rPr>
        <w:t>Chang H</w:t>
      </w:r>
      <w:r>
        <w:rPr>
          <w:rFonts w:ascii="Book Antiqua" w:hAnsi="Book Antiqua"/>
        </w:rPr>
        <w:t xml:space="preserve">, Chang H, Cheng T, Lee GD, Chen X, Qi K. Micro-ribonucleic acid-23a-3p prevents the onset of type 2 diabetes mellitus by suppressing the activation of nucleotide-binding oligomerization-like receptor family pyrin domain containing 3 inflammatory bodies-caused pyroptosis through negatively regulating NIMA-related kinase 7. </w:t>
      </w:r>
      <w:r>
        <w:rPr>
          <w:rFonts w:ascii="Book Antiqua" w:hAnsi="Book Antiqua"/>
          <w:i/>
          <w:iCs/>
        </w:rPr>
        <w:t>J Diabetes Investig</w:t>
      </w:r>
      <w:r>
        <w:rPr>
          <w:rFonts w:ascii="Book Antiqua" w:hAnsi="Book Antiqua"/>
        </w:rPr>
        <w:t xml:space="preserve"> 2021; </w:t>
      </w:r>
      <w:r>
        <w:rPr>
          <w:rFonts w:ascii="Book Antiqua" w:hAnsi="Book Antiqua"/>
          <w:b/>
          <w:bCs/>
        </w:rPr>
        <w:t>12</w:t>
      </w:r>
      <w:r>
        <w:rPr>
          <w:rFonts w:ascii="Book Antiqua" w:hAnsi="Book Antiqua"/>
        </w:rPr>
        <w:t>: 334-345 [PMID: 32881354 DOI: 10.1111/jdi.13396]</w:t>
      </w:r>
    </w:p>
    <w:p w14:paraId="520ABE1D" w14:textId="77777777" w:rsidR="00F76B23" w:rsidRDefault="00DB35EC">
      <w:pPr>
        <w:spacing w:line="360" w:lineRule="auto"/>
        <w:jc w:val="both"/>
        <w:rPr>
          <w:rFonts w:ascii="Book Antiqua" w:hAnsi="Book Antiqua"/>
        </w:rPr>
      </w:pPr>
      <w:r>
        <w:rPr>
          <w:rFonts w:ascii="Book Antiqua" w:hAnsi="Book Antiqua"/>
        </w:rPr>
        <w:lastRenderedPageBreak/>
        <w:t xml:space="preserve">41 </w:t>
      </w:r>
      <w:r>
        <w:rPr>
          <w:rFonts w:ascii="Book Antiqua" w:hAnsi="Book Antiqua"/>
          <w:b/>
          <w:bCs/>
        </w:rPr>
        <w:t>Chi K</w:t>
      </w:r>
      <w:r>
        <w:rPr>
          <w:rFonts w:ascii="Book Antiqua" w:hAnsi="Book Antiqua"/>
        </w:rPr>
        <w:t xml:space="preserve">, Geng X, Liu C, Cai G, Hong Q. Research Progress on the Role of Inflammasomes in Kidney Disease. </w:t>
      </w:r>
      <w:r>
        <w:rPr>
          <w:rFonts w:ascii="Book Antiqua" w:hAnsi="Book Antiqua"/>
          <w:i/>
          <w:iCs/>
        </w:rPr>
        <w:t>Mediators Inflamm</w:t>
      </w:r>
      <w:r>
        <w:rPr>
          <w:rFonts w:ascii="Book Antiqua" w:hAnsi="Book Antiqua"/>
        </w:rPr>
        <w:t xml:space="preserve"> 2020; </w:t>
      </w:r>
      <w:r>
        <w:rPr>
          <w:rFonts w:ascii="Book Antiqua" w:hAnsi="Book Antiqua"/>
          <w:b/>
          <w:bCs/>
        </w:rPr>
        <w:t>2020</w:t>
      </w:r>
      <w:r>
        <w:rPr>
          <w:rFonts w:ascii="Book Antiqua" w:hAnsi="Book Antiqua"/>
        </w:rPr>
        <w:t>: 8032797 [PMID: 32410864 DOI: 10.1155/2020/8032797]</w:t>
      </w:r>
    </w:p>
    <w:p w14:paraId="012C42CB" w14:textId="77777777" w:rsidR="00F76B23" w:rsidRDefault="00DB35EC">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Chang J</w:t>
      </w:r>
      <w:r>
        <w:rPr>
          <w:rFonts w:ascii="Book Antiqua" w:eastAsia="Book Antiqua" w:hAnsi="Book Antiqua" w:cs="Book Antiqua"/>
          <w:color w:val="000000"/>
        </w:rPr>
        <w:t xml:space="preserve">, Yu Y, Fang Z, He H, Wang D, Teng J, Yang L. Long non-coding RNA CDKN2B-AS1 regulates high glucose-induced human mesangial cell injury </w:t>
      </w:r>
      <w:r>
        <w:rPr>
          <w:rFonts w:ascii="Book Antiqua" w:eastAsia="Book Antiqua" w:hAnsi="Book Antiqua" w:cs="Book Antiqua"/>
          <w:i/>
          <w:iCs/>
          <w:color w:val="000000"/>
        </w:rPr>
        <w:t>via</w:t>
      </w:r>
      <w:r>
        <w:rPr>
          <w:rFonts w:ascii="Book Antiqua" w:eastAsia="Book Antiqua" w:hAnsi="Book Antiqua" w:cs="Book Antiqua"/>
          <w:color w:val="000000"/>
        </w:rPr>
        <w:t xml:space="preserve"> regulating the miR-15b-5p/WNT2B axis. </w:t>
      </w:r>
      <w:r>
        <w:rPr>
          <w:rFonts w:ascii="Book Antiqua" w:eastAsia="Book Antiqua" w:hAnsi="Book Antiqua" w:cs="Book Antiqua"/>
          <w:i/>
          <w:iCs/>
          <w:color w:val="000000"/>
        </w:rPr>
        <w:t>Diabetol Metab Syndr</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109 [PMID: 33298110 DOI: 10.1186/s13098-020-00618-z]</w:t>
      </w:r>
    </w:p>
    <w:p w14:paraId="1A0B1A93" w14:textId="77777777" w:rsidR="00F76B23" w:rsidRDefault="00DB35EC">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Fu Y</w:t>
      </w:r>
      <w:r>
        <w:rPr>
          <w:rFonts w:ascii="Book Antiqua" w:eastAsia="Book Antiqua" w:hAnsi="Book Antiqua" w:cs="Book Antiqua"/>
          <w:color w:val="000000"/>
        </w:rPr>
        <w:t xml:space="preserve">, Wang C, Zhang D, Chu X, Zhang Y, Li J. miR-15b-5p ameliorated high glucose-induced podocyte injury through repressing apoptosis, oxidative stress, and inflammatory responses by targeting Sema3A. </w:t>
      </w:r>
      <w:r>
        <w:rPr>
          <w:rFonts w:ascii="Book Antiqua" w:eastAsia="Book Antiqua" w:hAnsi="Book Antiqua" w:cs="Book Antiqua"/>
          <w:i/>
          <w:iCs/>
          <w:color w:val="000000"/>
        </w:rPr>
        <w:t>J Cell Physiol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234</w:t>
      </w:r>
      <w:r>
        <w:rPr>
          <w:rFonts w:ascii="Book Antiqua" w:eastAsia="Book Antiqua" w:hAnsi="Book Antiqua" w:cs="Book Antiqua"/>
          <w:color w:val="000000"/>
        </w:rPr>
        <w:t>: 20869-20878 [PMID: 31025335 DOI: 10.1002/jcp.28691]</w:t>
      </w:r>
    </w:p>
    <w:p w14:paraId="37072F0E" w14:textId="77777777" w:rsidR="00F76B23" w:rsidRDefault="00DB35EC">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Wang Y</w:t>
      </w:r>
      <w:r>
        <w:rPr>
          <w:rFonts w:ascii="Book Antiqua" w:eastAsia="Book Antiqua" w:hAnsi="Book Antiqua" w:cs="Book Antiqua"/>
          <w:color w:val="000000"/>
        </w:rPr>
        <w:t xml:space="preserve">, Zhu X, Yuan S, Wen S, Liu X, Wang C, Qu Z, Li J, Liu H, Sun L, Liu F. TLR4/NF-κB Signaling Induces GSDMD-Related Pyroptosis in Tubular Cells in Diabetic Kidney Disease. </w:t>
      </w:r>
      <w:r>
        <w:rPr>
          <w:rFonts w:ascii="Book Antiqua" w:eastAsia="Book Antiqua" w:hAnsi="Book Antiqua" w:cs="Book Antiqua"/>
          <w:i/>
          <w:iCs/>
          <w:color w:val="000000"/>
        </w:rPr>
        <w:t>Front Endocrinol (Lausanne)</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603 [PMID: 31608008 DOI: 10.3389/fendo.2019.00603]</w:t>
      </w:r>
    </w:p>
    <w:p w14:paraId="29A4ED2A" w14:textId="77777777" w:rsidR="00F76B23" w:rsidRDefault="00DB35EC">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Xu S</w:t>
      </w:r>
      <w:r>
        <w:rPr>
          <w:rFonts w:ascii="Book Antiqua" w:eastAsia="Book Antiqua" w:hAnsi="Book Antiqua" w:cs="Book Antiqua"/>
          <w:color w:val="000000"/>
        </w:rPr>
        <w:t xml:space="preserve">, Wang J, Jiang J, Song J, Zhu W, Zhang F, Shao M, Xu H, Ma X, Lyu F. TLR4 promotes microglial pyroptosis </w:t>
      </w:r>
      <w:r>
        <w:rPr>
          <w:rFonts w:ascii="Book Antiqua" w:eastAsia="Book Antiqua" w:hAnsi="Book Antiqua" w:cs="Book Antiqua"/>
          <w:i/>
          <w:iCs/>
          <w:color w:val="000000"/>
        </w:rPr>
        <w:t>via</w:t>
      </w:r>
      <w:r>
        <w:rPr>
          <w:rFonts w:ascii="Book Antiqua" w:eastAsia="Book Antiqua" w:hAnsi="Book Antiqua" w:cs="Book Antiqua"/>
          <w:color w:val="000000"/>
        </w:rPr>
        <w:t xml:space="preserve"> lncRNA-F630028O10Rik by activating PI3K/AKT pathway after spinal cord injury. </w:t>
      </w:r>
      <w:r>
        <w:rPr>
          <w:rFonts w:ascii="Book Antiqua" w:eastAsia="Book Antiqua" w:hAnsi="Book Antiqua" w:cs="Book Antiqua"/>
          <w:i/>
          <w:iCs/>
          <w:color w:val="000000"/>
        </w:rPr>
        <w:t>Cell Death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693 [PMID: 32826878 DOI: 10.1038/s41419-020-02824-z]</w:t>
      </w:r>
    </w:p>
    <w:p w14:paraId="372B218D" w14:textId="77777777" w:rsidR="00F76B23" w:rsidRDefault="00DB35EC">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Wu J</w:t>
      </w:r>
      <w:r>
        <w:rPr>
          <w:rFonts w:ascii="Book Antiqua" w:eastAsia="Book Antiqua" w:hAnsi="Book Antiqua" w:cs="Book Antiqua"/>
          <w:color w:val="000000"/>
        </w:rPr>
        <w:t xml:space="preserve">, Sun J, Meng X. Pyroptosis by caspase-11 inflammasome-Gasdermin D pathway in autoimmune diseases. </w:t>
      </w:r>
      <w:r>
        <w:rPr>
          <w:rFonts w:ascii="Book Antiqua" w:eastAsia="Book Antiqua" w:hAnsi="Book Antiqua" w:cs="Book Antiqua"/>
          <w:i/>
          <w:iCs/>
          <w:color w:val="000000"/>
        </w:rPr>
        <w:t>Pharmacol Res</w:t>
      </w:r>
      <w:r>
        <w:rPr>
          <w:rFonts w:ascii="Book Antiqua" w:eastAsia="Book Antiqua" w:hAnsi="Book Antiqua" w:cs="Book Antiqua"/>
          <w:color w:val="000000"/>
        </w:rPr>
        <w:t xml:space="preserve"> 2021; </w:t>
      </w:r>
      <w:r>
        <w:rPr>
          <w:rFonts w:ascii="Book Antiqua" w:eastAsia="Book Antiqua" w:hAnsi="Book Antiqua" w:cs="Book Antiqua"/>
          <w:b/>
          <w:bCs/>
          <w:color w:val="000000"/>
        </w:rPr>
        <w:t>165</w:t>
      </w:r>
      <w:r>
        <w:rPr>
          <w:rFonts w:ascii="Book Antiqua" w:eastAsia="Book Antiqua" w:hAnsi="Book Antiqua" w:cs="Book Antiqua"/>
          <w:color w:val="000000"/>
        </w:rPr>
        <w:t>: 105408 [PMID: 33412278 DOI: 10.1016/j.phrs.2020.105408]</w:t>
      </w:r>
    </w:p>
    <w:p w14:paraId="0CB2E808" w14:textId="77777777" w:rsidR="00F76B23" w:rsidRDefault="00DB35EC">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Zhu Y</w:t>
      </w:r>
      <w:r>
        <w:rPr>
          <w:rFonts w:ascii="Book Antiqua" w:eastAsia="Book Antiqua" w:hAnsi="Book Antiqua" w:cs="Book Antiqua"/>
          <w:color w:val="000000"/>
        </w:rPr>
        <w:t xml:space="preserve">, Zhao H, Lu J, Lin K, Ni J, Wu G, Tang H. Caspase-11-Mediated Hepatocytic Pyroptosis Promotes the Progression of Nonalcoholic Steatohepatitis. </w:t>
      </w:r>
      <w:r>
        <w:rPr>
          <w:rFonts w:ascii="Book Antiqua" w:eastAsia="Book Antiqua" w:hAnsi="Book Antiqua" w:cs="Book Antiqua"/>
          <w:i/>
          <w:iCs/>
          <w:color w:val="000000"/>
        </w:rPr>
        <w:t>Cell Mol Gastroenterol Hepatol</w:t>
      </w:r>
      <w:r>
        <w:rPr>
          <w:rFonts w:ascii="Book Antiqua" w:eastAsia="Book Antiqua" w:hAnsi="Book Antiqua" w:cs="Book Antiqua"/>
          <w:color w:val="000000"/>
        </w:rPr>
        <w:t xml:space="preserve"> 2021; </w:t>
      </w:r>
      <w:r>
        <w:rPr>
          <w:rFonts w:ascii="Book Antiqua" w:eastAsia="Book Antiqua" w:hAnsi="Book Antiqua" w:cs="Book Antiqua"/>
          <w:b/>
          <w:bCs/>
          <w:color w:val="000000"/>
        </w:rPr>
        <w:t>12</w:t>
      </w:r>
      <w:r>
        <w:rPr>
          <w:rFonts w:ascii="Book Antiqua" w:eastAsia="Book Antiqua" w:hAnsi="Book Antiqua" w:cs="Book Antiqua"/>
          <w:color w:val="000000"/>
        </w:rPr>
        <w:t>: 653-664 [PMID: 33894425 DOI: 10.1016/j.jcmgh.2021.04.009]</w:t>
      </w:r>
    </w:p>
    <w:p w14:paraId="467C2B29" w14:textId="77777777" w:rsidR="00F76B23" w:rsidRDefault="00F76B23">
      <w:pPr>
        <w:spacing w:line="360" w:lineRule="auto"/>
        <w:jc w:val="both"/>
        <w:sectPr w:rsidR="00F76B23">
          <w:pgSz w:w="12240" w:h="15840"/>
          <w:pgMar w:top="1440" w:right="1440" w:bottom="1440" w:left="1440" w:header="720" w:footer="720" w:gutter="0"/>
          <w:cols w:space="720"/>
          <w:docGrid w:linePitch="360"/>
        </w:sectPr>
      </w:pPr>
    </w:p>
    <w:p w14:paraId="24909CD6" w14:textId="77777777" w:rsidR="00F76B23" w:rsidRDefault="00DB35EC">
      <w:pPr>
        <w:spacing w:line="360" w:lineRule="auto"/>
        <w:jc w:val="both"/>
      </w:pPr>
      <w:r>
        <w:rPr>
          <w:rFonts w:ascii="Book Antiqua" w:eastAsia="Book Antiqua" w:hAnsi="Book Antiqua" w:cs="Book Antiqua"/>
          <w:b/>
          <w:color w:val="000000"/>
        </w:rPr>
        <w:lastRenderedPageBreak/>
        <w:t>Footnotes</w:t>
      </w:r>
    </w:p>
    <w:p w14:paraId="5ADD8885" w14:textId="77777777" w:rsidR="00F76B23" w:rsidRDefault="00DB35EC">
      <w:pPr>
        <w:spacing w:line="360" w:lineRule="auto"/>
        <w:jc w:val="both"/>
      </w:pPr>
      <w:r>
        <w:rPr>
          <w:rFonts w:ascii="Book Antiqua" w:eastAsia="Book Antiqua" w:hAnsi="Book Antiqua" w:cs="Book Antiqua"/>
          <w:b/>
          <w:bCs/>
          <w:color w:val="000000"/>
        </w:rPr>
        <w:t xml:space="preserve">Institutional animal care and use committee statement: </w:t>
      </w:r>
      <w:r>
        <w:rPr>
          <w:rFonts w:ascii="Book Antiqua" w:eastAsia="Book Antiqua" w:hAnsi="Book Antiqua" w:cs="Book Antiqua"/>
          <w:color w:val="000000"/>
        </w:rPr>
        <w:t>All experiments and procedures were conducted following the laboratory animal care and use guidelines.</w:t>
      </w:r>
    </w:p>
    <w:p w14:paraId="7FCB3ACB" w14:textId="77777777" w:rsidR="00F76B23" w:rsidRDefault="00F76B23">
      <w:pPr>
        <w:spacing w:line="360" w:lineRule="auto"/>
        <w:jc w:val="both"/>
      </w:pPr>
    </w:p>
    <w:p w14:paraId="329B6DD7" w14:textId="77777777" w:rsidR="00F76B23" w:rsidRDefault="00DB35EC">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For this activity, the authors have no conflicts to declare.</w:t>
      </w:r>
    </w:p>
    <w:p w14:paraId="0FD1A0C2" w14:textId="77777777" w:rsidR="00F76B23" w:rsidRDefault="00F76B23">
      <w:pPr>
        <w:spacing w:line="360" w:lineRule="auto"/>
        <w:jc w:val="both"/>
      </w:pPr>
    </w:p>
    <w:p w14:paraId="7810E92C" w14:textId="77777777" w:rsidR="00F76B23" w:rsidRDefault="00DB35EC">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3BCE2DC1" w14:textId="77777777" w:rsidR="00F76B23" w:rsidRDefault="00F76B23">
      <w:pPr>
        <w:spacing w:line="360" w:lineRule="auto"/>
        <w:jc w:val="both"/>
      </w:pPr>
    </w:p>
    <w:p w14:paraId="6FBE06D3" w14:textId="77777777" w:rsidR="00F76B23" w:rsidRDefault="00DB35EC">
      <w:pPr>
        <w:spacing w:line="360" w:lineRule="auto"/>
        <w:jc w:val="both"/>
      </w:pPr>
      <w:r>
        <w:rPr>
          <w:rFonts w:ascii="Book Antiqua" w:eastAsia="Book Antiqua" w:hAnsi="Book Antiqua" w:cs="Book Antiqua"/>
          <w:b/>
          <w:bCs/>
          <w:color w:val="000000"/>
        </w:rPr>
        <w:t xml:space="preserve">ARRIVE guidelines statement: </w:t>
      </w:r>
      <w:r>
        <w:rPr>
          <w:rFonts w:ascii="Book Antiqua" w:eastAsia="Book Antiqua" w:hAnsi="Book Antiqua" w:cs="Book Antiqua"/>
          <w:color w:val="000000"/>
        </w:rPr>
        <w:t>The authors have read the ARRIVE guidelines, and the manuscript was prepared and revised according to the ARRIVE guidelines.</w:t>
      </w:r>
    </w:p>
    <w:p w14:paraId="6818B1F4" w14:textId="77777777" w:rsidR="00F76B23" w:rsidRDefault="00F76B23">
      <w:pPr>
        <w:spacing w:line="360" w:lineRule="auto"/>
        <w:jc w:val="both"/>
      </w:pPr>
    </w:p>
    <w:p w14:paraId="166FCDA9" w14:textId="77777777" w:rsidR="00F76B23" w:rsidRDefault="00DB35EC">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A319513" w14:textId="77777777" w:rsidR="00F76B23" w:rsidRDefault="00F76B23">
      <w:pPr>
        <w:spacing w:line="360" w:lineRule="auto"/>
        <w:jc w:val="both"/>
      </w:pPr>
    </w:p>
    <w:p w14:paraId="3B30DB16" w14:textId="77777777" w:rsidR="00F76B23" w:rsidRDefault="00DB35EC">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5C51A505" w14:textId="77777777" w:rsidR="00F76B23" w:rsidRDefault="00DB35EC">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43349C57" w14:textId="77777777" w:rsidR="00F76B23" w:rsidRDefault="00F76B23">
      <w:pPr>
        <w:spacing w:line="360" w:lineRule="auto"/>
        <w:jc w:val="both"/>
      </w:pPr>
    </w:p>
    <w:p w14:paraId="545E822E" w14:textId="77777777" w:rsidR="00F76B23" w:rsidRDefault="00DB35EC">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15, 2021</w:t>
      </w:r>
    </w:p>
    <w:p w14:paraId="48B510FA" w14:textId="77777777" w:rsidR="00F76B23" w:rsidRDefault="00DB35EC">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27, 2021</w:t>
      </w:r>
    </w:p>
    <w:p w14:paraId="655920BB" w14:textId="77777777" w:rsidR="00F76B23" w:rsidRDefault="00DB35EC">
      <w:pPr>
        <w:spacing w:line="360" w:lineRule="auto"/>
        <w:jc w:val="both"/>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March 15, 2022</w:t>
      </w:r>
    </w:p>
    <w:p w14:paraId="2749A4F0" w14:textId="77777777" w:rsidR="00F76B23" w:rsidRDefault="00F76B23">
      <w:pPr>
        <w:spacing w:line="360" w:lineRule="auto"/>
        <w:jc w:val="both"/>
      </w:pPr>
    </w:p>
    <w:p w14:paraId="4F496075" w14:textId="77777777" w:rsidR="00F76B23" w:rsidRDefault="00DB35EC">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Urology and nephrology</w:t>
      </w:r>
    </w:p>
    <w:p w14:paraId="4D06371A" w14:textId="77777777" w:rsidR="00F76B23" w:rsidRDefault="00DB35EC">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27CCF0B" w14:textId="77777777" w:rsidR="00F76B23" w:rsidRDefault="00DB35EC">
      <w:pPr>
        <w:spacing w:line="360" w:lineRule="auto"/>
        <w:jc w:val="both"/>
      </w:pPr>
      <w:r>
        <w:rPr>
          <w:rFonts w:ascii="Book Antiqua" w:eastAsia="Book Antiqua" w:hAnsi="Book Antiqua" w:cs="Book Antiqua"/>
          <w:b/>
          <w:color w:val="000000"/>
        </w:rPr>
        <w:t>Peer-review report’s scientific quality classification</w:t>
      </w:r>
    </w:p>
    <w:p w14:paraId="091F905F" w14:textId="77777777" w:rsidR="00F76B23" w:rsidRDefault="00DB35EC">
      <w:pPr>
        <w:spacing w:line="360" w:lineRule="auto"/>
        <w:jc w:val="both"/>
      </w:pPr>
      <w:r>
        <w:rPr>
          <w:rFonts w:ascii="Book Antiqua" w:eastAsia="Book Antiqua" w:hAnsi="Book Antiqua" w:cs="Book Antiqua"/>
          <w:color w:val="000000"/>
        </w:rPr>
        <w:t>Grade A (Excellent): A</w:t>
      </w:r>
    </w:p>
    <w:p w14:paraId="1AF248E9" w14:textId="77777777" w:rsidR="00F76B23" w:rsidRDefault="00DB35EC">
      <w:pPr>
        <w:spacing w:line="360" w:lineRule="auto"/>
        <w:jc w:val="both"/>
      </w:pPr>
      <w:r>
        <w:rPr>
          <w:rFonts w:ascii="Book Antiqua" w:eastAsia="Book Antiqua" w:hAnsi="Book Antiqua" w:cs="Book Antiqua"/>
          <w:color w:val="000000"/>
        </w:rPr>
        <w:lastRenderedPageBreak/>
        <w:t>Grade B (Very good): 0</w:t>
      </w:r>
    </w:p>
    <w:p w14:paraId="5BE3C62F" w14:textId="77777777" w:rsidR="00F76B23" w:rsidRDefault="00DB35EC">
      <w:pPr>
        <w:spacing w:line="360" w:lineRule="auto"/>
        <w:jc w:val="both"/>
      </w:pPr>
      <w:r>
        <w:rPr>
          <w:rFonts w:ascii="Book Antiqua" w:eastAsia="Book Antiqua" w:hAnsi="Book Antiqua" w:cs="Book Antiqua"/>
          <w:color w:val="000000"/>
        </w:rPr>
        <w:t>Grade C (Good): C</w:t>
      </w:r>
    </w:p>
    <w:p w14:paraId="4C36E8D4" w14:textId="77777777" w:rsidR="00F76B23" w:rsidRDefault="00DB35EC">
      <w:pPr>
        <w:spacing w:line="360" w:lineRule="auto"/>
        <w:jc w:val="both"/>
      </w:pPr>
      <w:r>
        <w:rPr>
          <w:rFonts w:ascii="Book Antiqua" w:eastAsia="Book Antiqua" w:hAnsi="Book Antiqua" w:cs="Book Antiqua"/>
          <w:color w:val="000000"/>
        </w:rPr>
        <w:t>Grade D (Fair): 0</w:t>
      </w:r>
    </w:p>
    <w:p w14:paraId="718EF6D0" w14:textId="77777777" w:rsidR="00F76B23" w:rsidRDefault="00DB35EC">
      <w:pPr>
        <w:spacing w:line="360" w:lineRule="auto"/>
        <w:jc w:val="both"/>
      </w:pPr>
      <w:r>
        <w:rPr>
          <w:rFonts w:ascii="Book Antiqua" w:eastAsia="Book Antiqua" w:hAnsi="Book Antiqua" w:cs="Book Antiqua"/>
          <w:color w:val="000000"/>
        </w:rPr>
        <w:t>Grade E (Poor): 0</w:t>
      </w:r>
    </w:p>
    <w:p w14:paraId="149F75B0" w14:textId="77777777" w:rsidR="00F76B23" w:rsidRDefault="00F76B23">
      <w:pPr>
        <w:spacing w:line="360" w:lineRule="auto"/>
        <w:jc w:val="both"/>
      </w:pPr>
    </w:p>
    <w:p w14:paraId="4472989C" w14:textId="77777777" w:rsidR="00F76B23" w:rsidRDefault="00DB35E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Ma D,</w:t>
      </w:r>
      <w:r>
        <w:rPr>
          <w:rFonts w:ascii="Book Antiqua" w:hAnsi="Book Antiqua"/>
          <w:color w:val="000000" w:themeColor="text1"/>
        </w:rPr>
        <w:t xml:space="preserve"> China;</w:t>
      </w:r>
      <w:r>
        <w:rPr>
          <w:rFonts w:ascii="Book Antiqua" w:eastAsia="Book Antiqua" w:hAnsi="Book Antiqua" w:cs="Book Antiqua"/>
          <w:color w:val="000000"/>
        </w:rPr>
        <w:t xml:space="preserve"> Zhang L,</w:t>
      </w:r>
      <w:r>
        <w:rPr>
          <w:rFonts w:ascii="Book Antiqua" w:hAnsi="Book Antiqua"/>
          <w:color w:val="000000" w:themeColor="text1"/>
        </w:rPr>
        <w:t xml:space="preserve"> China</w:t>
      </w:r>
      <w:r>
        <w:rPr>
          <w:rFonts w:ascii="Book Antiqua" w:eastAsia="Book Antiqua" w:hAnsi="Book Antiqua" w:cs="Book Antiqua"/>
          <w:b/>
          <w:color w:val="000000"/>
        </w:rPr>
        <w:t xml:space="preserve"> S-Editor: </w:t>
      </w:r>
      <w:r>
        <w:rPr>
          <w:rFonts w:ascii="Book Antiqua" w:eastAsia="Book Antiqua" w:hAnsi="Book Antiqua" w:cs="Book Antiqua"/>
          <w:color w:val="000000"/>
        </w:rPr>
        <w:t>Wu YXJ</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 xml:space="preserve">A </w:t>
      </w:r>
      <w:r>
        <w:rPr>
          <w:rFonts w:ascii="Book Antiqua" w:eastAsia="Book Antiqua" w:hAnsi="Book Antiqua" w:cs="Book Antiqua"/>
          <w:b/>
          <w:color w:val="000000"/>
        </w:rPr>
        <w:t>P-Editor:</w:t>
      </w:r>
      <w:r>
        <w:rPr>
          <w:rFonts w:ascii="Book Antiqua" w:eastAsia="Book Antiqua" w:hAnsi="Book Antiqua" w:cs="Book Antiqua"/>
          <w:color w:val="000000"/>
        </w:rPr>
        <w:t xml:space="preserve"> </w:t>
      </w:r>
      <w:r>
        <w:rPr>
          <w:rFonts w:ascii="Book Antiqua" w:eastAsia="Book Antiqua" w:hAnsi="Book Antiqua" w:cs="Book Antiqua" w:hint="eastAsia"/>
          <w:color w:val="000000"/>
        </w:rPr>
        <w:t>Wu</w:t>
      </w:r>
      <w:r>
        <w:rPr>
          <w:rFonts w:ascii="Book Antiqua" w:eastAsia="Book Antiqua" w:hAnsi="Book Antiqua" w:cs="Book Antiqua"/>
          <w:color w:val="000000"/>
        </w:rPr>
        <w:t xml:space="preserve"> </w:t>
      </w:r>
      <w:r>
        <w:rPr>
          <w:rFonts w:ascii="Book Antiqua" w:eastAsia="Book Antiqua" w:hAnsi="Book Antiqua" w:cs="Book Antiqua" w:hint="eastAsia"/>
          <w:color w:val="000000"/>
        </w:rPr>
        <w:t>RR</w:t>
      </w:r>
    </w:p>
    <w:p w14:paraId="7B5570EF" w14:textId="77777777" w:rsidR="00F76B23" w:rsidRDefault="00DB35EC">
      <w:pPr>
        <w:spacing w:line="360" w:lineRule="auto"/>
        <w:jc w:val="both"/>
        <w:sectPr w:rsidR="00F76B23">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17DA7FFB" w14:textId="77777777" w:rsidR="00F76B23" w:rsidRDefault="00DB35E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41081BC6" w14:textId="3EED8749" w:rsidR="00F76B23" w:rsidRDefault="001910AF">
      <w:pPr>
        <w:spacing w:line="360" w:lineRule="auto"/>
        <w:jc w:val="both"/>
      </w:pPr>
      <w:r>
        <w:rPr>
          <w:noProof/>
        </w:rPr>
        <w:drawing>
          <wp:inline distT="0" distB="0" distL="0" distR="0" wp14:anchorId="02CC354E" wp14:editId="649C8186">
            <wp:extent cx="5943600" cy="6909435"/>
            <wp:effectExtent l="0" t="0" r="0"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6909435"/>
                    </a:xfrm>
                    <a:prstGeom prst="rect">
                      <a:avLst/>
                    </a:prstGeom>
                    <a:noFill/>
                    <a:ln>
                      <a:noFill/>
                    </a:ln>
                  </pic:spPr>
                </pic:pic>
              </a:graphicData>
            </a:graphic>
          </wp:inline>
        </w:drawing>
      </w:r>
    </w:p>
    <w:p w14:paraId="7A82E978" w14:textId="77777777" w:rsidR="006D70CE" w:rsidRDefault="00DB35EC">
      <w:pPr>
        <w:spacing w:line="360" w:lineRule="auto"/>
        <w:jc w:val="both"/>
      </w:pPr>
      <w:r>
        <w:rPr>
          <w:rFonts w:ascii="Book Antiqua" w:eastAsia="Book Antiqua" w:hAnsi="Book Antiqua" w:cs="Book Antiqua"/>
          <w:b/>
          <w:bCs/>
          <w:color w:val="000000"/>
        </w:rPr>
        <w:t>Figure 1</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Silencing lncRNA X inactive specific transcript can inhibit renal injury in DN rats. </w:t>
      </w:r>
      <w:r>
        <w:rPr>
          <w:rFonts w:ascii="Book Antiqua" w:eastAsia="Book Antiqua" w:hAnsi="Book Antiqua" w:cs="Book Antiqua"/>
          <w:color w:val="000000"/>
        </w:rPr>
        <w:t xml:space="preserve">After establishing DN model rats, lentivirus-LV sh- X inactive specific transcript (XIST) was injected into the tail vein to knock down XIST expression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 XIST </w:t>
      </w:r>
      <w:r>
        <w:rPr>
          <w:rFonts w:ascii="Book Antiqua" w:eastAsia="Book Antiqua" w:hAnsi="Book Antiqua" w:cs="Book Antiqua"/>
          <w:color w:val="000000"/>
        </w:rPr>
        <w:lastRenderedPageBreak/>
        <w:t xml:space="preserve">expression detected by qRT-PCR; B: Kidney weight/body weight (KW/BW); C: Fasting blood glucose (FBG); D: Blood urea nitrogen (BUN); E: Serum creatinine (Cr); F: Urine protein for 24 h (UP 24 h); G: Histological changes of renal tissue estimated by HE staining, PAS staining and Masson staining; scale bar: 25 μm; arrows indicate inflammatory cell infiltration (black arrows) and fibrosis (white arrows). (g) glomerulus, (t) tubules; </w:t>
      </w:r>
      <w:r>
        <w:rPr>
          <w:rFonts w:ascii="Book Antiqua" w:eastAsia="Book Antiqua" w:hAnsi="Book Antiqua" w:cs="Book Antiqua"/>
          <w:i/>
          <w:iCs/>
          <w:color w:val="000000"/>
        </w:rPr>
        <w:t>n</w:t>
      </w:r>
      <w:r>
        <w:rPr>
          <w:rFonts w:ascii="Book Antiqua" w:eastAsia="Book Antiqua" w:hAnsi="Book Antiqua" w:cs="Book Antiqua"/>
          <w:color w:val="000000"/>
        </w:rPr>
        <w:t xml:space="preserve"> = 8/group. The data were described as mean ± SD and analyzed by one-way ANOVA and Tukey's multiple comparisons test; </w:t>
      </w:r>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DN: Diabetic nephropathy; LV: Lentivirus; XIST: X inactive specific transcript; sh: Short hairpin RNA; HE: Hematoxylin-eosistaining; PAS: Periodic Acid-Schiff stain.</w:t>
      </w:r>
      <w:r w:rsidR="001910AF" w:rsidRPr="001910AF">
        <w:t xml:space="preserve"> </w:t>
      </w:r>
    </w:p>
    <w:p w14:paraId="39B963AC" w14:textId="77777777" w:rsidR="006D70CE" w:rsidRDefault="006D70CE">
      <w:r>
        <w:br w:type="page"/>
      </w:r>
    </w:p>
    <w:p w14:paraId="7681FF72" w14:textId="0B438E5E" w:rsidR="00F76B23" w:rsidRDefault="001910AF">
      <w:pPr>
        <w:spacing w:line="360" w:lineRule="auto"/>
        <w:jc w:val="both"/>
        <w:sectPr w:rsidR="00F76B23">
          <w:pgSz w:w="12240" w:h="15840"/>
          <w:pgMar w:top="1440" w:right="1440" w:bottom="1440" w:left="1440" w:header="720" w:footer="720" w:gutter="0"/>
          <w:cols w:space="720"/>
          <w:docGrid w:linePitch="360"/>
        </w:sectPr>
      </w:pPr>
      <w:r>
        <w:rPr>
          <w:noProof/>
        </w:rPr>
        <w:lastRenderedPageBreak/>
        <w:drawing>
          <wp:inline distT="0" distB="0" distL="0" distR="0" wp14:anchorId="0DCA6846" wp14:editId="248C071D">
            <wp:extent cx="5867400" cy="73914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67400" cy="7391400"/>
                    </a:xfrm>
                    <a:prstGeom prst="rect">
                      <a:avLst/>
                    </a:prstGeom>
                    <a:noFill/>
                    <a:ln>
                      <a:noFill/>
                    </a:ln>
                  </pic:spPr>
                </pic:pic>
              </a:graphicData>
            </a:graphic>
          </wp:inline>
        </w:drawing>
      </w:r>
    </w:p>
    <w:p w14:paraId="1BF6EAF1" w14:textId="77777777" w:rsidR="00F76B23" w:rsidRDefault="00DB35EC">
      <w:pPr>
        <w:spacing w:line="360" w:lineRule="auto"/>
        <w:jc w:val="both"/>
      </w:pPr>
      <w:r>
        <w:rPr>
          <w:rFonts w:ascii="Book Antiqua" w:eastAsia="Book Antiqua" w:hAnsi="Book Antiqua" w:cs="Book Antiqua"/>
          <w:b/>
          <w:bCs/>
          <w:color w:val="000000"/>
        </w:rPr>
        <w:lastRenderedPageBreak/>
        <w:t>Figure 2</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Silencing lncRNA X inactive specific transcript can inhibit renal tubular epithelial cell pyroptosis in diabetic nephropathy rats. </w:t>
      </w:r>
      <w:r>
        <w:rPr>
          <w:rFonts w:ascii="Book Antiqua" w:eastAsia="Book Antiqua" w:hAnsi="Book Antiqua" w:cs="Book Antiqua"/>
          <w:color w:val="000000"/>
        </w:rPr>
        <w:t xml:space="preserve">After establishing diabetic nephropathy model rats, lentivirus-LV sh- X inactive specific transcript was injected into the tail vein. A: Enzyme-linked immunosorbent assay detected IL-1β and IL-18 expressions; B: Western blot tested the levels of NLR family pyrin domain containing 3, ASC, Cleaved Caspase-1, Caspase-1, GSDMD, and GSDMD-N; C: Immunofluorescence tested the expression of Caspase-1; scale bar: 25 μm; </w:t>
      </w:r>
      <w:r>
        <w:rPr>
          <w:rFonts w:ascii="Book Antiqua" w:eastAsia="Book Antiqua" w:hAnsi="Book Antiqua" w:cs="Book Antiqua"/>
          <w:i/>
          <w:iCs/>
          <w:color w:val="000000"/>
        </w:rPr>
        <w:t>N</w:t>
      </w:r>
      <w:r>
        <w:rPr>
          <w:rFonts w:ascii="Book Antiqua" w:eastAsia="Book Antiqua" w:hAnsi="Book Antiqua" w:cs="Book Antiqua"/>
          <w:color w:val="000000"/>
        </w:rPr>
        <w:t xml:space="preserve"> = 8/group. The data were described as mean ± SD and analyzed by one-way ANOVA and Tukey's multiple comparisons test; </w:t>
      </w:r>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DN: Diabetic nephropathy; LV: Lentivirus; XIST: X inactive specific transcript; sh: Short hairpin RNA; NLRP3: NLR family pyrin domain containing 3; ASC: Apoptosis speck-like protein; GSDMD: Gasdermin D; DAPI: 4',6-diamidino-2-phenylindole.</w:t>
      </w:r>
    </w:p>
    <w:p w14:paraId="6A9FD7BF" w14:textId="77777777" w:rsidR="00F76B23" w:rsidRDefault="00F76B23">
      <w:pPr>
        <w:spacing w:line="360" w:lineRule="auto"/>
        <w:jc w:val="both"/>
        <w:sectPr w:rsidR="00F76B23">
          <w:pgSz w:w="12240" w:h="15840"/>
          <w:pgMar w:top="1440" w:right="1440" w:bottom="1440" w:left="1440" w:header="720" w:footer="720" w:gutter="0"/>
          <w:cols w:space="720"/>
          <w:docGrid w:linePitch="360"/>
        </w:sectPr>
      </w:pPr>
    </w:p>
    <w:p w14:paraId="11249D12" w14:textId="48676E9E" w:rsidR="00F76B23" w:rsidRDefault="00F76B23">
      <w:pPr>
        <w:spacing w:line="360" w:lineRule="auto"/>
        <w:jc w:val="both"/>
      </w:pPr>
    </w:p>
    <w:p w14:paraId="44AA777B" w14:textId="2E9A1E8C" w:rsidR="00F76B23" w:rsidRDefault="001910AF">
      <w:pPr>
        <w:spacing w:line="360" w:lineRule="auto"/>
        <w:jc w:val="both"/>
      </w:pPr>
      <w:r>
        <w:rPr>
          <w:noProof/>
        </w:rPr>
        <w:drawing>
          <wp:inline distT="0" distB="0" distL="0" distR="0" wp14:anchorId="3441723C" wp14:editId="699C5C9F">
            <wp:extent cx="5715000" cy="51054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5000" cy="5105400"/>
                    </a:xfrm>
                    <a:prstGeom prst="rect">
                      <a:avLst/>
                    </a:prstGeom>
                    <a:noFill/>
                    <a:ln>
                      <a:noFill/>
                    </a:ln>
                  </pic:spPr>
                </pic:pic>
              </a:graphicData>
            </a:graphic>
          </wp:inline>
        </w:drawing>
      </w:r>
    </w:p>
    <w:p w14:paraId="5AB68F83" w14:textId="77777777" w:rsidR="00F76B23" w:rsidRDefault="00DB35EC">
      <w:pPr>
        <w:spacing w:line="360" w:lineRule="auto"/>
        <w:jc w:val="both"/>
      </w:pPr>
      <w:r>
        <w:rPr>
          <w:rFonts w:ascii="Book Antiqua" w:eastAsia="Book Antiqua" w:hAnsi="Book Antiqua" w:cs="Book Antiqua"/>
          <w:b/>
          <w:bCs/>
          <w:color w:val="000000"/>
        </w:rPr>
        <w:t>Figure 3</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Silencing X inactive specific transcript in diabetic nephropathy can inhibit renal tubular epithelial cell pyroptosis in high glucose-induced HK2 cells. </w:t>
      </w:r>
      <w:r>
        <w:rPr>
          <w:rFonts w:ascii="Book Antiqua" w:eastAsia="Book Antiqua" w:hAnsi="Book Antiqua" w:cs="Book Antiqua"/>
          <w:color w:val="000000"/>
        </w:rPr>
        <w:t>si-NC or si-</w:t>
      </w:r>
      <w:r>
        <w:t xml:space="preserve"> </w:t>
      </w:r>
      <w:r>
        <w:rPr>
          <w:rFonts w:ascii="Book Antiqua" w:eastAsia="Book Antiqua" w:hAnsi="Book Antiqua" w:cs="Book Antiqua"/>
          <w:color w:val="000000"/>
        </w:rPr>
        <w:t xml:space="preserve">X inactive specific transcript (XIST) was delivered into HK2 cells treated with high glucose. A: The XIST expression detected by qRT-PCR; B: Enzyme-linked immunosorbent assay detected the expression of IL-1β and IL-18; C: Western blot tested the levels of NLR family pyrin domain containing 3, ASC, Cleaved Caspase-1, Caspase-1, GSDMD, and GSDMD-N; D: Cell viability; E: Lactate dehydrogenase activity. The cell experiment was performed in triplicate. The data were described as mean ± SD and analyzed by one-way ANOVA (A/D-E) or two-way ANOVA (B/C) and Tukey's multiple comparisons test; </w:t>
      </w:r>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NG: Normal glucose; HG: High glucose; si: Small interfering </w:t>
      </w:r>
      <w:r>
        <w:rPr>
          <w:rFonts w:ascii="Book Antiqua" w:eastAsia="Book Antiqua" w:hAnsi="Book Antiqua" w:cs="Book Antiqua"/>
          <w:color w:val="000000"/>
        </w:rPr>
        <w:lastRenderedPageBreak/>
        <w:t>RNA; XIST: X inactive specific transcript; LDH: Lactate dehydrogenase; NLRP3: NLR family pyrin domain containing 3; SC: Apoptosis speck-like protein; GSDMD: Gasdermin D.</w:t>
      </w:r>
    </w:p>
    <w:p w14:paraId="28AC68A9" w14:textId="77777777" w:rsidR="00F76B23" w:rsidRDefault="00F76B23">
      <w:pPr>
        <w:spacing w:line="360" w:lineRule="auto"/>
        <w:jc w:val="both"/>
        <w:sectPr w:rsidR="00F76B23">
          <w:pgSz w:w="12240" w:h="15840"/>
          <w:pgMar w:top="1440" w:right="1440" w:bottom="1440" w:left="1440" w:header="720" w:footer="720" w:gutter="0"/>
          <w:cols w:space="720"/>
          <w:docGrid w:linePitch="360"/>
        </w:sectPr>
      </w:pPr>
    </w:p>
    <w:p w14:paraId="7937ED96" w14:textId="6992B214" w:rsidR="00F76B23" w:rsidRDefault="00F76B23">
      <w:pPr>
        <w:spacing w:line="360" w:lineRule="auto"/>
        <w:jc w:val="both"/>
      </w:pPr>
    </w:p>
    <w:p w14:paraId="71A29DA8" w14:textId="66B1A464" w:rsidR="00F76B23" w:rsidRDefault="001910AF">
      <w:pPr>
        <w:spacing w:line="360" w:lineRule="auto"/>
        <w:jc w:val="both"/>
      </w:pPr>
      <w:r>
        <w:rPr>
          <w:noProof/>
        </w:rPr>
        <w:drawing>
          <wp:inline distT="0" distB="0" distL="0" distR="0" wp14:anchorId="2E08327B" wp14:editId="34509F71">
            <wp:extent cx="5943600" cy="54864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5486400"/>
                    </a:xfrm>
                    <a:prstGeom prst="rect">
                      <a:avLst/>
                    </a:prstGeom>
                    <a:noFill/>
                    <a:ln>
                      <a:noFill/>
                    </a:ln>
                  </pic:spPr>
                </pic:pic>
              </a:graphicData>
            </a:graphic>
          </wp:inline>
        </w:drawing>
      </w:r>
    </w:p>
    <w:p w14:paraId="06873424" w14:textId="77777777" w:rsidR="00F76B23" w:rsidRDefault="00DB35EC">
      <w:pPr>
        <w:spacing w:line="360" w:lineRule="auto"/>
        <w:jc w:val="both"/>
      </w:pPr>
      <w:r>
        <w:rPr>
          <w:rFonts w:ascii="Book Antiqua" w:eastAsia="Book Antiqua" w:hAnsi="Book Antiqua" w:cs="Book Antiqua"/>
          <w:b/>
          <w:bCs/>
          <w:color w:val="000000"/>
        </w:rPr>
        <w:t>Figure 4</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X inactive specific transcript can adsorb and bind to miR-15b-5p to reduce miR-15b-5p expression in diabetic nephropathy. </w:t>
      </w:r>
      <w:r>
        <w:rPr>
          <w:rFonts w:ascii="Book Antiqua" w:eastAsia="Book Antiqua" w:hAnsi="Book Antiqua" w:cs="Book Antiqua"/>
          <w:color w:val="000000"/>
        </w:rPr>
        <w:t xml:space="preserve">A: Fluorescence in situ hybridization assay (scale bar: 25 μm); B: Nuclear/cytosol fractionation assay verified the subcellular localization of X inactive specific transcript (XIST) in HK2 cells; C: Starbase website (starbase.sysu.edu.cn/index.php) predicted the binding sites of XIST and miR-15b-5p; D: Dual-luciferase experiment and E: RNA immunoprecipitation experiment verified the binding relation of XIST and miR-15b-5p; F: qRT-PCR detected miR-15b-5p and pre-miR-15b expression in renal tissue; G: qRT-PCR detected miR-15b-5p and pre-miR-15b </w:t>
      </w:r>
      <w:r>
        <w:rPr>
          <w:rFonts w:ascii="Book Antiqua" w:eastAsia="Book Antiqua" w:hAnsi="Book Antiqua" w:cs="Book Antiqua"/>
          <w:color w:val="000000"/>
        </w:rPr>
        <w:lastRenderedPageBreak/>
        <w:t xml:space="preserve">expression in HK2 cells. The cell experiment was performed in triplicate. The data were described as mean ± SD and analyzed by one-way ANOVA (F/G) or two-way ANOVA (D/E) and Tukey's multiple comparisons test; </w:t>
      </w:r>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XIST: X inactive specific transcript; DN: Diabetic nephropathy; DAPI: 4',6-diamidino-2-phenylindole; GAPDH: Glyceraldehyde-3-phosphate dehydrogenase; U6: U6 small nuclear RNA; WT: Wild type; MUT: Mutant.</w:t>
      </w:r>
    </w:p>
    <w:p w14:paraId="0BE7F12B" w14:textId="77777777" w:rsidR="00F76B23" w:rsidRDefault="00F76B23">
      <w:pPr>
        <w:spacing w:line="360" w:lineRule="auto"/>
        <w:jc w:val="both"/>
        <w:sectPr w:rsidR="00F76B23">
          <w:pgSz w:w="12240" w:h="15840"/>
          <w:pgMar w:top="1440" w:right="1440" w:bottom="1440" w:left="1440" w:header="720" w:footer="720" w:gutter="0"/>
          <w:cols w:space="720"/>
          <w:docGrid w:linePitch="360"/>
        </w:sectPr>
      </w:pPr>
    </w:p>
    <w:p w14:paraId="2E91CEFD" w14:textId="3C264D20" w:rsidR="00F76B23" w:rsidRDefault="006D70CE">
      <w:pPr>
        <w:spacing w:line="360" w:lineRule="auto"/>
        <w:jc w:val="both"/>
      </w:pPr>
      <w:r>
        <w:rPr>
          <w:noProof/>
        </w:rPr>
        <w:lastRenderedPageBreak/>
        <w:drawing>
          <wp:inline distT="0" distB="0" distL="0" distR="0" wp14:anchorId="25B3EA97" wp14:editId="023B688B">
            <wp:extent cx="5638800" cy="57150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38800" cy="5715000"/>
                    </a:xfrm>
                    <a:prstGeom prst="rect">
                      <a:avLst/>
                    </a:prstGeom>
                    <a:noFill/>
                    <a:ln>
                      <a:noFill/>
                    </a:ln>
                  </pic:spPr>
                </pic:pic>
              </a:graphicData>
            </a:graphic>
          </wp:inline>
        </w:drawing>
      </w:r>
    </w:p>
    <w:p w14:paraId="2ABE7B8E" w14:textId="77777777" w:rsidR="00F76B23" w:rsidRDefault="00DB35EC">
      <w:pPr>
        <w:spacing w:line="360" w:lineRule="auto"/>
        <w:jc w:val="both"/>
      </w:pPr>
      <w:r>
        <w:rPr>
          <w:rFonts w:ascii="Book Antiqua" w:eastAsia="Book Antiqua" w:hAnsi="Book Antiqua" w:cs="Book Antiqua"/>
          <w:b/>
          <w:bCs/>
          <w:color w:val="000000"/>
        </w:rPr>
        <w:t>Figure 5</w:t>
      </w:r>
      <w:r>
        <w:rPr>
          <w:rFonts w:ascii="Book Antiqua" w:eastAsia="Book Antiqua" w:hAnsi="Book Antiqua" w:cs="Book Antiqua"/>
          <w:color w:val="000000"/>
        </w:rPr>
        <w:t xml:space="preserve"> </w:t>
      </w:r>
      <w:r>
        <w:rPr>
          <w:rFonts w:ascii="Book Antiqua" w:eastAsia="Book Antiqua" w:hAnsi="Book Antiqua" w:cs="Book Antiqua"/>
          <w:b/>
          <w:bCs/>
          <w:color w:val="000000"/>
        </w:rPr>
        <w:t>Inhibition of miR-15b-5p in X inactive specific transcript -silenced HK2 cells activates renal tubular epithelial cell pyroptosis.</w:t>
      </w:r>
      <w:r>
        <w:rPr>
          <w:rFonts w:ascii="Book Antiqua" w:eastAsia="Book Antiqua" w:hAnsi="Book Antiqua" w:cs="Book Antiqua"/>
          <w:color w:val="000000"/>
        </w:rPr>
        <w:t xml:space="preserve"> In HG-treated HK2 cells, both X inactive specific transcript (XIST) and miR-15b-5p were silenced. A: qRT-PCR verified the transfection efficiency of miR-15b-5p inhibitor; B: Enzyme-linked immunosorbent assay detected the expression of IL-1β and IL-18; C: Western blot tested the levels of NLR family pyrin domain containing 3, ASC, Cleaved Caspase-1, Caspase-1, GSDMD, and GSDMD-N; D: Cell viability; E: Lactate dehydrogenase activity. The cell experiment was performed in triplicate. The data were described as mean ± SD and analyzed by one-way </w:t>
      </w:r>
      <w:r>
        <w:rPr>
          <w:rFonts w:ascii="Book Antiqua" w:eastAsia="Book Antiqua" w:hAnsi="Book Antiqua" w:cs="Book Antiqua"/>
          <w:color w:val="000000"/>
        </w:rPr>
        <w:lastRenderedPageBreak/>
        <w:t xml:space="preserve">ANOVA (A/D-E) or two-way ANOVA (B/C) and Tukey's multiple comparisons test; </w:t>
      </w:r>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LDH: Lactate dehydrogenase; XIST: X inactive specific transcript; si: Small interfering RNA; NLRP3: NLR family pyrin domain containing 3; ASC: Apoptosis speck-like protein; GSDMD: Gasdermin D.</w:t>
      </w:r>
    </w:p>
    <w:p w14:paraId="6896C08A" w14:textId="77777777" w:rsidR="00F76B23" w:rsidRDefault="00F76B23">
      <w:pPr>
        <w:spacing w:line="360" w:lineRule="auto"/>
        <w:jc w:val="both"/>
        <w:sectPr w:rsidR="00F76B23">
          <w:pgSz w:w="12240" w:h="15840"/>
          <w:pgMar w:top="1440" w:right="1440" w:bottom="1440" w:left="1440" w:header="720" w:footer="720" w:gutter="0"/>
          <w:cols w:space="720"/>
          <w:docGrid w:linePitch="360"/>
        </w:sectPr>
      </w:pPr>
    </w:p>
    <w:p w14:paraId="1C21FAA3" w14:textId="16F20F3C" w:rsidR="00F76B23" w:rsidRDefault="006D70CE">
      <w:pPr>
        <w:spacing w:line="360" w:lineRule="auto"/>
        <w:jc w:val="both"/>
      </w:pPr>
      <w:r>
        <w:rPr>
          <w:noProof/>
        </w:rPr>
        <w:lastRenderedPageBreak/>
        <w:drawing>
          <wp:inline distT="0" distB="0" distL="0" distR="0" wp14:anchorId="19B7D17D" wp14:editId="2278FF97">
            <wp:extent cx="5943600" cy="67056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6705600"/>
                    </a:xfrm>
                    <a:prstGeom prst="rect">
                      <a:avLst/>
                    </a:prstGeom>
                    <a:noFill/>
                    <a:ln>
                      <a:noFill/>
                    </a:ln>
                  </pic:spPr>
                </pic:pic>
              </a:graphicData>
            </a:graphic>
          </wp:inline>
        </w:drawing>
      </w:r>
    </w:p>
    <w:p w14:paraId="3040D855" w14:textId="1F25EB05" w:rsidR="00F76B23" w:rsidRDefault="00DB35EC">
      <w:pPr>
        <w:spacing w:line="360" w:lineRule="auto"/>
        <w:jc w:val="both"/>
        <w:sectPr w:rsidR="00F76B23">
          <w:pgSz w:w="12240" w:h="15840"/>
          <w:pgMar w:top="1440" w:right="1440" w:bottom="1440" w:left="1440" w:header="720" w:footer="720" w:gutter="0"/>
          <w:cols w:space="720"/>
          <w:docGrid w:linePitch="360"/>
        </w:sectPr>
      </w:pPr>
      <w:r>
        <w:rPr>
          <w:rFonts w:ascii="Book Antiqua" w:eastAsia="Book Antiqua" w:hAnsi="Book Antiqua" w:cs="Book Antiqua"/>
          <w:b/>
          <w:bCs/>
          <w:color w:val="000000"/>
        </w:rPr>
        <w:t>Figure 6 Toll like receptor 4 expression is recovered by using miR-15b-5p inhibitor.</w:t>
      </w:r>
      <w:r>
        <w:rPr>
          <w:rFonts w:ascii="Book Antiqua" w:eastAsia="Book Antiqua" w:hAnsi="Book Antiqua" w:cs="Book Antiqua"/>
          <w:color w:val="000000"/>
        </w:rPr>
        <w:t xml:space="preserve"> A: Starbase website (starbase.sysu.edu.cn/index.php) predicted the binding sites of miR-15b-5p and toll like receptor 4 </w:t>
      </w:r>
      <w:r>
        <w:rPr>
          <w:rFonts w:ascii="Book Antiqua" w:eastAsia="Book Antiqua" w:hAnsi="Book Antiqua" w:cs="Book Antiqua" w:hint="eastAsia"/>
          <w:color w:val="000000"/>
        </w:rPr>
        <w:t>(</w:t>
      </w:r>
      <w:r>
        <w:rPr>
          <w:rFonts w:ascii="Book Antiqua" w:eastAsia="Book Antiqua" w:hAnsi="Book Antiqua" w:cs="Book Antiqua"/>
          <w:color w:val="000000"/>
        </w:rPr>
        <w:t xml:space="preserve">TLR4); B: Dual-luciferase experiment and C: RNA immunoprecipitation experiment verified the binding relation of miR-15b-5p and TLR4; D: qRT-PCR detected TLR4 expression in renal tissues; E: Western blot detected TLR4 </w:t>
      </w:r>
      <w:r>
        <w:rPr>
          <w:rFonts w:ascii="Book Antiqua" w:eastAsia="Book Antiqua" w:hAnsi="Book Antiqua" w:cs="Book Antiqua"/>
          <w:color w:val="000000"/>
        </w:rPr>
        <w:lastRenderedPageBreak/>
        <w:t xml:space="preserve">level in renal tissues; F: qRT-PCR detected TLR4 expression in HK2 cells; G: Western blot detected TLR4 level in HK2 cells. The cell experiment was performed in triplicate. The data were described as mean ± SD and analyzed by one-way ANOVA (D-G) or two-way ANOVA (B/C) and Tukey's multiple comparisons test; </w:t>
      </w:r>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WT: Wild type; MUT: Mutant; TLR4: Toll like receptor 4; DN: Diabetic nephropathy; LV: Lentivirus; XIST: X inactive specific transcript; NG: Normal glucose; HG: High glucose; GAPDH: Glyceraldehyde-3-phosphate dehydrogenase.</w:t>
      </w:r>
    </w:p>
    <w:p w14:paraId="26A4225A" w14:textId="6F8183ED" w:rsidR="00F76B23" w:rsidRDefault="006D70CE">
      <w:pPr>
        <w:spacing w:line="360" w:lineRule="auto"/>
        <w:jc w:val="both"/>
      </w:pPr>
      <w:r>
        <w:rPr>
          <w:noProof/>
        </w:rPr>
        <w:lastRenderedPageBreak/>
        <w:drawing>
          <wp:inline distT="0" distB="0" distL="0" distR="0" wp14:anchorId="1D09C732" wp14:editId="1B2B845C">
            <wp:extent cx="5715000" cy="62484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15000" cy="6248400"/>
                    </a:xfrm>
                    <a:prstGeom prst="rect">
                      <a:avLst/>
                    </a:prstGeom>
                    <a:noFill/>
                    <a:ln>
                      <a:noFill/>
                    </a:ln>
                  </pic:spPr>
                </pic:pic>
              </a:graphicData>
            </a:graphic>
          </wp:inline>
        </w:drawing>
      </w:r>
    </w:p>
    <w:p w14:paraId="01C68D06" w14:textId="77777777" w:rsidR="00F76B23" w:rsidRDefault="00DB35EC">
      <w:pPr>
        <w:spacing w:line="360" w:lineRule="auto"/>
        <w:jc w:val="both"/>
      </w:pPr>
      <w:r>
        <w:rPr>
          <w:rFonts w:ascii="Book Antiqua" w:eastAsia="Book Antiqua" w:hAnsi="Book Antiqua" w:cs="Book Antiqua"/>
          <w:b/>
          <w:bCs/>
          <w:color w:val="000000"/>
        </w:rPr>
        <w:t>Figure 7</w:t>
      </w:r>
      <w:r>
        <w:rPr>
          <w:rFonts w:ascii="Book Antiqua" w:eastAsia="Book Antiqua" w:hAnsi="Book Antiqua" w:cs="Book Antiqua"/>
          <w:color w:val="000000"/>
        </w:rPr>
        <w:t xml:space="preserve"> </w:t>
      </w:r>
      <w:r>
        <w:rPr>
          <w:rFonts w:ascii="Book Antiqua" w:eastAsia="Book Antiqua" w:hAnsi="Book Antiqua" w:cs="Book Antiqua"/>
          <w:b/>
          <w:bCs/>
          <w:color w:val="000000"/>
        </w:rPr>
        <w:t>Toll like receptor 4 overexpression in X inactive specific transcript-silenced cells causes increased pyroptosis.</w:t>
      </w:r>
      <w:r>
        <w:rPr>
          <w:rFonts w:ascii="Book Antiqua" w:eastAsia="Book Antiqua" w:hAnsi="Book Antiqua" w:cs="Book Antiqua"/>
          <w:color w:val="000000"/>
        </w:rPr>
        <w:t xml:space="preserve"> In HG-treated HK2 cells, X inactive specific transcript (XIST) was silenced and toll like receptor 4 </w:t>
      </w:r>
      <w:r>
        <w:rPr>
          <w:rFonts w:ascii="Book Antiqua" w:eastAsia="Book Antiqua" w:hAnsi="Book Antiqua" w:cs="Book Antiqua" w:hint="eastAsia"/>
          <w:color w:val="000000"/>
        </w:rPr>
        <w:t>(</w:t>
      </w:r>
      <w:r>
        <w:rPr>
          <w:rFonts w:ascii="Book Antiqua" w:eastAsia="Book Antiqua" w:hAnsi="Book Antiqua" w:cs="Book Antiqua"/>
          <w:color w:val="000000"/>
        </w:rPr>
        <w:t xml:space="preserve">TLR4) was overexpressed. A and B: The expression of TLR4 levels detected by qRT-PCR and Western blot; C: Enzyme-linked immunosorbent assay detected the expression of IL-1β and IL-18; D: Western blot tested the levels of NLR family pyrin domain containing 3, ASC, Cleaved Caspase-1, Caspase-1, GSDMD, and GSDMD-N; E: Cell viability; F: LDH activity. The cell experiment was </w:t>
      </w:r>
      <w:r>
        <w:rPr>
          <w:rFonts w:ascii="Book Antiqua" w:eastAsia="Book Antiqua" w:hAnsi="Book Antiqua" w:cs="Book Antiqua"/>
          <w:color w:val="000000"/>
        </w:rPr>
        <w:lastRenderedPageBreak/>
        <w:t xml:space="preserve">performed in triplicate. The data were described as mean ± SD and analyzed by one-way ANOVA (A/B/E/F) or two-way ANOVA (C/D) and Tukey's multiple comparisons test; </w:t>
      </w:r>
      <w:r>
        <w:rPr>
          <w:rFonts w:ascii="Book Antiqua" w:eastAsia="Book Antiqua" w:hAnsi="Book Antiqua" w:cs="Book Antiqua"/>
          <w:color w:val="000000"/>
          <w:vertAlign w:val="superscript"/>
        </w:rPr>
        <w:t>a</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XIST: X inactive specific transcript; GAPDH: Glyceraldehyde-3-phosphate dehydrogenase; LDH: Lactate dehydrogenase; NLRP3: NLR family pyrin domain containing 3; ASC: Apoptosis speck-like protein; GSDMD: Gasdermin D.</w:t>
      </w:r>
    </w:p>
    <w:p w14:paraId="391CC6BE" w14:textId="77777777" w:rsidR="00F76B23" w:rsidRDefault="00F76B23">
      <w:pPr>
        <w:spacing w:line="360" w:lineRule="auto"/>
        <w:jc w:val="both"/>
        <w:sectPr w:rsidR="00F76B23">
          <w:pgSz w:w="12240" w:h="15840"/>
          <w:pgMar w:top="1440" w:right="1440" w:bottom="1440" w:left="1440" w:header="720" w:footer="720" w:gutter="0"/>
          <w:cols w:space="720"/>
          <w:docGrid w:linePitch="360"/>
        </w:sectPr>
      </w:pPr>
    </w:p>
    <w:p w14:paraId="20013D45" w14:textId="22B54507" w:rsidR="00F76B23" w:rsidRDefault="001910AF">
      <w:pPr>
        <w:spacing w:line="360" w:lineRule="auto"/>
        <w:jc w:val="both"/>
      </w:pPr>
      <w:r>
        <w:rPr>
          <w:noProof/>
        </w:rPr>
        <w:lastRenderedPageBreak/>
        <w:drawing>
          <wp:inline distT="0" distB="0" distL="0" distR="0" wp14:anchorId="09BE8A56" wp14:editId="4CBA50A9">
            <wp:extent cx="3352800" cy="32766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52800" cy="3276600"/>
                    </a:xfrm>
                    <a:prstGeom prst="rect">
                      <a:avLst/>
                    </a:prstGeom>
                    <a:noFill/>
                    <a:ln>
                      <a:noFill/>
                    </a:ln>
                  </pic:spPr>
                </pic:pic>
              </a:graphicData>
            </a:graphic>
          </wp:inline>
        </w:drawing>
      </w:r>
    </w:p>
    <w:p w14:paraId="6A984D2A" w14:textId="77777777" w:rsidR="00B46110" w:rsidRDefault="00DB35E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8</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Mechanism diagram. </w:t>
      </w:r>
      <w:r>
        <w:rPr>
          <w:rFonts w:ascii="Book Antiqua" w:eastAsia="Book Antiqua" w:hAnsi="Book Antiqua" w:cs="Book Antiqua"/>
          <w:color w:val="000000"/>
        </w:rPr>
        <w:t xml:space="preserve">STZ and HG treatment induced high expression of X inactive specific transcript (XIST); silencing XIST promoted the targeted inhibition of miR-15b-5p on toll like receptor 4 </w:t>
      </w:r>
      <w:r>
        <w:rPr>
          <w:rFonts w:ascii="Book Antiqua" w:eastAsia="Book Antiqua" w:hAnsi="Book Antiqua" w:cs="Book Antiqua" w:hint="eastAsia"/>
          <w:color w:val="000000"/>
        </w:rPr>
        <w:t>(</w:t>
      </w:r>
      <w:r>
        <w:rPr>
          <w:rFonts w:ascii="Book Antiqua" w:eastAsia="Book Antiqua" w:hAnsi="Book Antiqua" w:cs="Book Antiqua"/>
          <w:color w:val="000000"/>
        </w:rPr>
        <w:t>TLR4) by upregulating miR-15b-5p, thereby inhibiting TLR4, and ultimately alleviating the renal injury of diabetic nephropathy by inhibiting NLRP3/Caspase-1-mediated RTEC pyroptosis. mRNA: messenger RNA; DN: Diabetic nephropathy; NLRP3: NLR family pyrin domain containing 3; ASC: Apoptosis speck-like protein; GSDMD: Gasdermin D.</w:t>
      </w:r>
    </w:p>
    <w:p w14:paraId="6FD540F0" w14:textId="77777777" w:rsidR="00B46110" w:rsidRDefault="00B46110">
      <w:pPr>
        <w:rPr>
          <w:rFonts w:ascii="Book Antiqua" w:eastAsia="Book Antiqua" w:hAnsi="Book Antiqua" w:cs="Book Antiqua"/>
          <w:color w:val="000000"/>
        </w:rPr>
      </w:pPr>
      <w:r>
        <w:rPr>
          <w:rFonts w:ascii="Book Antiqua" w:eastAsia="Book Antiqua" w:hAnsi="Book Antiqua" w:cs="Book Antiqua"/>
          <w:color w:val="000000"/>
        </w:rPr>
        <w:br w:type="page"/>
      </w:r>
    </w:p>
    <w:p w14:paraId="63291A9E" w14:textId="77777777" w:rsidR="00B46110" w:rsidRPr="00B46110" w:rsidRDefault="00B46110" w:rsidP="00CA1FCD">
      <w:pPr>
        <w:adjustRightInd w:val="0"/>
        <w:snapToGrid w:val="0"/>
        <w:spacing w:line="360" w:lineRule="auto"/>
        <w:rPr>
          <w:rFonts w:ascii="Book Antiqua" w:eastAsia="Book Antiqua" w:hAnsi="Book Antiqua" w:cs="Book Antiqua"/>
          <w:b/>
          <w:color w:val="000000"/>
        </w:rPr>
      </w:pPr>
      <w:r w:rsidRPr="00B46110">
        <w:rPr>
          <w:rFonts w:ascii="Book Antiqua" w:eastAsia="Book Antiqua" w:hAnsi="Book Antiqua" w:cs="Book Antiqua" w:hint="eastAsia"/>
          <w:b/>
          <w:color w:val="000000"/>
        </w:rPr>
        <w:lastRenderedPageBreak/>
        <w:t>Table 1 Primer sequences</w:t>
      </w:r>
    </w:p>
    <w:tbl>
      <w:tblPr>
        <w:tblW w:w="5854" w:type="pct"/>
        <w:tblInd w:w="-431" w:type="dxa"/>
        <w:tblBorders>
          <w:top w:val="single" w:sz="4" w:space="0" w:color="auto"/>
          <w:bottom w:val="single" w:sz="4" w:space="0" w:color="auto"/>
        </w:tblBorders>
        <w:tblLayout w:type="fixed"/>
        <w:tblLook w:val="04A0" w:firstRow="1" w:lastRow="0" w:firstColumn="1" w:lastColumn="0" w:noHBand="0" w:noVBand="1"/>
      </w:tblPr>
      <w:tblGrid>
        <w:gridCol w:w="2275"/>
        <w:gridCol w:w="4259"/>
        <w:gridCol w:w="4425"/>
      </w:tblGrid>
      <w:tr w:rsidR="00CA1FCD" w:rsidRPr="00CA1FCD" w14:paraId="3ACD05EC" w14:textId="77777777" w:rsidTr="00565141">
        <w:trPr>
          <w:trHeight w:val="510"/>
        </w:trPr>
        <w:tc>
          <w:tcPr>
            <w:tcW w:w="1038" w:type="pct"/>
            <w:tcBorders>
              <w:top w:val="single" w:sz="4" w:space="0" w:color="auto"/>
              <w:bottom w:val="single" w:sz="4" w:space="0" w:color="auto"/>
            </w:tcBorders>
            <w:shd w:val="clear" w:color="auto" w:fill="auto"/>
            <w:noWrap/>
            <w:vAlign w:val="center"/>
          </w:tcPr>
          <w:p w14:paraId="3AEEFABD" w14:textId="77777777" w:rsidR="00B46110" w:rsidRPr="00CA1FCD" w:rsidRDefault="00B46110" w:rsidP="00026916">
            <w:pPr>
              <w:rPr>
                <w:rFonts w:ascii="Book Antiqua" w:eastAsia="宋体" w:hAnsi="Book Antiqua"/>
                <w:color w:val="000000"/>
              </w:rPr>
            </w:pPr>
          </w:p>
        </w:tc>
        <w:tc>
          <w:tcPr>
            <w:tcW w:w="1943" w:type="pct"/>
            <w:tcBorders>
              <w:top w:val="single" w:sz="4" w:space="0" w:color="auto"/>
              <w:bottom w:val="single" w:sz="4" w:space="0" w:color="auto"/>
            </w:tcBorders>
            <w:shd w:val="clear" w:color="auto" w:fill="auto"/>
            <w:noWrap/>
            <w:vAlign w:val="center"/>
          </w:tcPr>
          <w:p w14:paraId="7D15E83E" w14:textId="77777777" w:rsidR="00B46110" w:rsidRPr="00CA1FCD" w:rsidRDefault="00B46110" w:rsidP="00026916">
            <w:pPr>
              <w:rPr>
                <w:rFonts w:ascii="Book Antiqua" w:eastAsia="宋体" w:hAnsi="Book Antiqua"/>
                <w:b/>
                <w:bCs/>
                <w:color w:val="000000"/>
              </w:rPr>
            </w:pPr>
            <w:r w:rsidRPr="00CA1FCD">
              <w:rPr>
                <w:rFonts w:ascii="Book Antiqua" w:eastAsia="宋体" w:hAnsi="Book Antiqua"/>
                <w:b/>
                <w:bCs/>
                <w:color w:val="000000"/>
              </w:rPr>
              <w:t>Forward Primer (</w:t>
            </w:r>
            <w:r w:rsidRPr="00CA1FCD">
              <w:rPr>
                <w:rFonts w:ascii="Book Antiqua" w:eastAsia="宋体" w:hAnsi="Book Antiqua"/>
                <w:color w:val="000000"/>
              </w:rPr>
              <w:t>5′-3′</w:t>
            </w:r>
            <w:r w:rsidRPr="00CA1FCD">
              <w:rPr>
                <w:rFonts w:ascii="Book Antiqua" w:eastAsia="宋体" w:hAnsi="Book Antiqua"/>
                <w:b/>
                <w:bCs/>
                <w:color w:val="000000"/>
              </w:rPr>
              <w:t>)</w:t>
            </w:r>
          </w:p>
        </w:tc>
        <w:tc>
          <w:tcPr>
            <w:tcW w:w="2020" w:type="pct"/>
            <w:tcBorders>
              <w:top w:val="single" w:sz="4" w:space="0" w:color="auto"/>
              <w:bottom w:val="single" w:sz="4" w:space="0" w:color="auto"/>
            </w:tcBorders>
            <w:shd w:val="clear" w:color="auto" w:fill="auto"/>
            <w:noWrap/>
            <w:vAlign w:val="center"/>
          </w:tcPr>
          <w:p w14:paraId="4C7B8C95" w14:textId="77777777" w:rsidR="00B46110" w:rsidRPr="00CA1FCD" w:rsidRDefault="00B46110" w:rsidP="00026916">
            <w:pPr>
              <w:rPr>
                <w:rFonts w:ascii="Book Antiqua" w:eastAsia="宋体" w:hAnsi="Book Antiqua"/>
                <w:b/>
                <w:bCs/>
                <w:color w:val="000000"/>
              </w:rPr>
            </w:pPr>
            <w:r w:rsidRPr="00CA1FCD">
              <w:rPr>
                <w:rFonts w:ascii="Book Antiqua" w:eastAsia="宋体" w:hAnsi="Book Antiqua"/>
                <w:b/>
                <w:bCs/>
                <w:color w:val="000000"/>
              </w:rPr>
              <w:t>Reverse Primer (</w:t>
            </w:r>
            <w:r w:rsidRPr="00CA1FCD">
              <w:rPr>
                <w:rFonts w:ascii="Book Antiqua" w:eastAsia="宋体" w:hAnsi="Book Antiqua"/>
                <w:color w:val="000000"/>
              </w:rPr>
              <w:t>5′-3′</w:t>
            </w:r>
            <w:r w:rsidRPr="00CA1FCD">
              <w:rPr>
                <w:rFonts w:ascii="Book Antiqua" w:eastAsia="宋体" w:hAnsi="Book Antiqua"/>
                <w:b/>
                <w:bCs/>
                <w:color w:val="000000"/>
              </w:rPr>
              <w:t>)</w:t>
            </w:r>
          </w:p>
        </w:tc>
      </w:tr>
      <w:tr w:rsidR="00CA1FCD" w:rsidRPr="00CA1FCD" w14:paraId="51870CE7" w14:textId="77777777" w:rsidTr="00565141">
        <w:trPr>
          <w:trHeight w:val="510"/>
        </w:trPr>
        <w:tc>
          <w:tcPr>
            <w:tcW w:w="1038" w:type="pct"/>
            <w:tcBorders>
              <w:top w:val="single" w:sz="4" w:space="0" w:color="auto"/>
            </w:tcBorders>
            <w:shd w:val="clear" w:color="auto" w:fill="auto"/>
            <w:noWrap/>
            <w:vAlign w:val="center"/>
          </w:tcPr>
          <w:p w14:paraId="665B227F" w14:textId="7F28BF5B" w:rsidR="00B46110" w:rsidRPr="00CA1FCD" w:rsidRDefault="00B46110" w:rsidP="00026916">
            <w:pPr>
              <w:rPr>
                <w:rFonts w:ascii="Book Antiqua" w:eastAsia="宋体" w:hAnsi="Book Antiqua"/>
                <w:color w:val="000000"/>
              </w:rPr>
            </w:pPr>
            <w:r w:rsidRPr="00CA1FCD">
              <w:rPr>
                <w:rFonts w:ascii="Book Antiqua" w:eastAsia="宋体" w:hAnsi="Book Antiqua"/>
                <w:color w:val="000000"/>
              </w:rPr>
              <w:t>XIST (human)</w:t>
            </w:r>
          </w:p>
        </w:tc>
        <w:tc>
          <w:tcPr>
            <w:tcW w:w="1943" w:type="pct"/>
            <w:tcBorders>
              <w:top w:val="single" w:sz="4" w:space="0" w:color="auto"/>
            </w:tcBorders>
            <w:shd w:val="clear" w:color="auto" w:fill="auto"/>
            <w:noWrap/>
            <w:vAlign w:val="center"/>
          </w:tcPr>
          <w:p w14:paraId="35CECC3E" w14:textId="5941FCAB" w:rsidR="00B46110" w:rsidRPr="00CA1FCD" w:rsidRDefault="00B46110" w:rsidP="00026916">
            <w:pPr>
              <w:rPr>
                <w:rFonts w:ascii="Book Antiqua" w:eastAsia="宋体" w:hAnsi="Book Antiqua"/>
                <w:color w:val="000000"/>
              </w:rPr>
            </w:pPr>
            <w:r w:rsidRPr="00CA1FCD">
              <w:rPr>
                <w:rFonts w:ascii="Book Antiqua" w:eastAsia="宋体" w:hAnsi="Book Antiqua"/>
                <w:color w:val="000000"/>
              </w:rPr>
              <w:t>AGCTCCTCGGACAGCTCTAA</w:t>
            </w:r>
          </w:p>
        </w:tc>
        <w:tc>
          <w:tcPr>
            <w:tcW w:w="2020" w:type="pct"/>
            <w:tcBorders>
              <w:top w:val="single" w:sz="4" w:space="0" w:color="auto"/>
            </w:tcBorders>
            <w:shd w:val="clear" w:color="auto" w:fill="auto"/>
            <w:noWrap/>
            <w:vAlign w:val="center"/>
          </w:tcPr>
          <w:p w14:paraId="5969F91F" w14:textId="53871AA4" w:rsidR="00B46110" w:rsidRPr="00CA1FCD" w:rsidRDefault="00B46110" w:rsidP="00026916">
            <w:pPr>
              <w:rPr>
                <w:rFonts w:ascii="Book Antiqua" w:eastAsia="宋体" w:hAnsi="Book Antiqua"/>
                <w:color w:val="000000"/>
              </w:rPr>
            </w:pPr>
            <w:r w:rsidRPr="00CA1FCD">
              <w:rPr>
                <w:rFonts w:ascii="Book Antiqua" w:eastAsia="宋体" w:hAnsi="Book Antiqua"/>
                <w:color w:val="000000"/>
              </w:rPr>
              <w:t>CTCCAGATAGCTGGCAACC</w:t>
            </w:r>
          </w:p>
        </w:tc>
      </w:tr>
      <w:tr w:rsidR="00B40F74" w:rsidRPr="00CA1FCD" w14:paraId="047B7BDF" w14:textId="77777777" w:rsidTr="00565141">
        <w:trPr>
          <w:trHeight w:val="510"/>
        </w:trPr>
        <w:tc>
          <w:tcPr>
            <w:tcW w:w="1038" w:type="pct"/>
            <w:shd w:val="clear" w:color="auto" w:fill="auto"/>
            <w:noWrap/>
            <w:vAlign w:val="center"/>
          </w:tcPr>
          <w:p w14:paraId="6B5A8E52" w14:textId="37C4E4DD" w:rsidR="00B40F74" w:rsidRPr="00CA1FCD" w:rsidRDefault="00B40F74" w:rsidP="00026916">
            <w:pPr>
              <w:rPr>
                <w:rFonts w:ascii="Book Antiqua" w:eastAsia="宋体" w:hAnsi="Book Antiqua"/>
                <w:color w:val="000000"/>
              </w:rPr>
            </w:pPr>
            <w:r w:rsidRPr="00CA1FCD">
              <w:rPr>
                <w:rFonts w:ascii="Book Antiqua" w:eastAsia="宋体" w:hAnsi="Book Antiqua"/>
                <w:color w:val="000000"/>
              </w:rPr>
              <w:t>XIST (Norway rat)</w:t>
            </w:r>
          </w:p>
        </w:tc>
        <w:tc>
          <w:tcPr>
            <w:tcW w:w="1943" w:type="pct"/>
            <w:shd w:val="clear" w:color="auto" w:fill="auto"/>
            <w:noWrap/>
            <w:vAlign w:val="center"/>
          </w:tcPr>
          <w:p w14:paraId="0C12C432" w14:textId="7D352F52" w:rsidR="00B40F74" w:rsidRPr="00CA1FCD" w:rsidRDefault="00B40F74" w:rsidP="00026916">
            <w:pPr>
              <w:rPr>
                <w:rFonts w:ascii="Book Antiqua" w:eastAsia="宋体" w:hAnsi="Book Antiqua"/>
                <w:color w:val="000000"/>
              </w:rPr>
            </w:pPr>
            <w:r w:rsidRPr="00CA1FCD">
              <w:rPr>
                <w:rFonts w:ascii="Book Antiqua" w:eastAsia="宋体" w:hAnsi="Book Antiqua"/>
                <w:color w:val="000000"/>
              </w:rPr>
              <w:t>CCCATACCCTCATACCCTAATG</w:t>
            </w:r>
          </w:p>
        </w:tc>
        <w:tc>
          <w:tcPr>
            <w:tcW w:w="2020" w:type="pct"/>
            <w:shd w:val="clear" w:color="auto" w:fill="auto"/>
            <w:noWrap/>
            <w:vAlign w:val="center"/>
          </w:tcPr>
          <w:p w14:paraId="46FD74ED" w14:textId="0B2F23FF" w:rsidR="00B40F74" w:rsidRPr="00CA1FCD" w:rsidRDefault="00B40F74" w:rsidP="00026916">
            <w:pPr>
              <w:rPr>
                <w:rFonts w:ascii="Book Antiqua" w:eastAsia="宋体" w:hAnsi="Book Antiqua"/>
                <w:color w:val="000000"/>
              </w:rPr>
            </w:pPr>
            <w:r w:rsidRPr="00CA1FCD">
              <w:rPr>
                <w:rFonts w:ascii="Book Antiqua" w:eastAsia="宋体" w:hAnsi="Book Antiqua"/>
                <w:color w:val="000000"/>
              </w:rPr>
              <w:t>GGCTGGCCTCATTTCTGGGCTC</w:t>
            </w:r>
          </w:p>
        </w:tc>
      </w:tr>
      <w:tr w:rsidR="00B40F74" w:rsidRPr="00CA1FCD" w14:paraId="5FD59921" w14:textId="77777777" w:rsidTr="00565141">
        <w:trPr>
          <w:trHeight w:val="510"/>
        </w:trPr>
        <w:tc>
          <w:tcPr>
            <w:tcW w:w="1038" w:type="pct"/>
            <w:shd w:val="clear" w:color="auto" w:fill="auto"/>
            <w:noWrap/>
            <w:vAlign w:val="center"/>
          </w:tcPr>
          <w:p w14:paraId="57AEF3B7" w14:textId="04ED4403" w:rsidR="00B40F74" w:rsidRPr="00CA1FCD" w:rsidRDefault="00B40F74" w:rsidP="00026916">
            <w:pPr>
              <w:rPr>
                <w:rFonts w:ascii="Book Antiqua" w:eastAsia="宋体" w:hAnsi="Book Antiqua"/>
                <w:color w:val="000000"/>
              </w:rPr>
            </w:pPr>
            <w:r w:rsidRPr="00CA1FCD">
              <w:rPr>
                <w:rFonts w:ascii="Book Antiqua" w:eastAsia="宋体" w:hAnsi="Book Antiqua"/>
                <w:color w:val="000000"/>
              </w:rPr>
              <w:t>h</w:t>
            </w:r>
            <w:r w:rsidRPr="00CA1FCD">
              <w:rPr>
                <w:rFonts w:ascii="Book Antiqua" w:eastAsia="宋体" w:hAnsi="Book Antiqua"/>
              </w:rPr>
              <w:t>sa</w:t>
            </w:r>
            <w:r w:rsidRPr="00CA1FCD">
              <w:rPr>
                <w:rFonts w:ascii="Book Antiqua" w:eastAsia="宋体" w:hAnsi="Book Antiqua"/>
                <w:color w:val="000000"/>
              </w:rPr>
              <w:t>-miR-15b-5p</w:t>
            </w:r>
          </w:p>
        </w:tc>
        <w:tc>
          <w:tcPr>
            <w:tcW w:w="1943" w:type="pct"/>
            <w:shd w:val="clear" w:color="auto" w:fill="auto"/>
            <w:noWrap/>
            <w:vAlign w:val="center"/>
          </w:tcPr>
          <w:p w14:paraId="6DC88E24" w14:textId="1D56DD57" w:rsidR="00B40F74" w:rsidRPr="00CA1FCD" w:rsidRDefault="00B40F74" w:rsidP="00026916">
            <w:pPr>
              <w:rPr>
                <w:rFonts w:ascii="Book Antiqua" w:eastAsia="宋体" w:hAnsi="Book Antiqua"/>
                <w:color w:val="000000"/>
              </w:rPr>
            </w:pPr>
            <w:r w:rsidRPr="00CA1FCD">
              <w:rPr>
                <w:rFonts w:ascii="Book Antiqua" w:eastAsia="宋体" w:hAnsi="Book Antiqua"/>
                <w:color w:val="000000"/>
              </w:rPr>
              <w:t>ATCCAGTGCGTGTCGTG</w:t>
            </w:r>
          </w:p>
        </w:tc>
        <w:tc>
          <w:tcPr>
            <w:tcW w:w="2020" w:type="pct"/>
            <w:shd w:val="clear" w:color="auto" w:fill="auto"/>
            <w:noWrap/>
            <w:vAlign w:val="center"/>
          </w:tcPr>
          <w:p w14:paraId="4201F30A" w14:textId="28761990" w:rsidR="00B40F74" w:rsidRPr="00CA1FCD" w:rsidRDefault="00B40F74" w:rsidP="00026916">
            <w:pPr>
              <w:rPr>
                <w:rFonts w:ascii="Book Antiqua" w:eastAsia="宋体" w:hAnsi="Book Antiqua"/>
                <w:color w:val="000000"/>
              </w:rPr>
            </w:pPr>
            <w:r w:rsidRPr="00CA1FCD">
              <w:rPr>
                <w:rFonts w:ascii="Book Antiqua" w:eastAsia="宋体" w:hAnsi="Book Antiqua"/>
                <w:color w:val="000000"/>
              </w:rPr>
              <w:t>TGCTTAGCAGCACATCATG</w:t>
            </w:r>
          </w:p>
        </w:tc>
      </w:tr>
      <w:tr w:rsidR="00B40F74" w:rsidRPr="00CA1FCD" w14:paraId="7760823D" w14:textId="77777777" w:rsidTr="00565141">
        <w:trPr>
          <w:trHeight w:val="510"/>
        </w:trPr>
        <w:tc>
          <w:tcPr>
            <w:tcW w:w="1038" w:type="pct"/>
            <w:shd w:val="clear" w:color="auto" w:fill="auto"/>
            <w:noWrap/>
            <w:vAlign w:val="center"/>
          </w:tcPr>
          <w:p w14:paraId="43E052DA" w14:textId="2E0C36BB" w:rsidR="00B40F74" w:rsidRPr="00CA1FCD" w:rsidRDefault="00B40F74" w:rsidP="00B40F74">
            <w:pPr>
              <w:rPr>
                <w:rFonts w:ascii="Book Antiqua" w:eastAsia="宋体" w:hAnsi="Book Antiqua"/>
                <w:color w:val="000000"/>
              </w:rPr>
            </w:pPr>
            <w:r w:rsidRPr="00CA1FCD">
              <w:rPr>
                <w:rFonts w:ascii="Book Antiqua" w:eastAsia="宋体" w:hAnsi="Book Antiqua"/>
                <w:color w:val="000000"/>
              </w:rPr>
              <w:t>rno-miR-15b-5p</w:t>
            </w:r>
          </w:p>
        </w:tc>
        <w:tc>
          <w:tcPr>
            <w:tcW w:w="1943" w:type="pct"/>
            <w:shd w:val="clear" w:color="auto" w:fill="auto"/>
            <w:noWrap/>
            <w:vAlign w:val="center"/>
          </w:tcPr>
          <w:p w14:paraId="0FD7570E" w14:textId="2F2B5FF0" w:rsidR="00B40F74" w:rsidRPr="00CA1FCD" w:rsidRDefault="00B40F74" w:rsidP="00B40F74">
            <w:pPr>
              <w:rPr>
                <w:rFonts w:ascii="Book Antiqua" w:eastAsia="宋体" w:hAnsi="Book Antiqua"/>
                <w:color w:val="000000"/>
              </w:rPr>
            </w:pPr>
            <w:r w:rsidRPr="00CA1FCD">
              <w:rPr>
                <w:rFonts w:ascii="Book Antiqua" w:eastAsia="宋体" w:hAnsi="Book Antiqua"/>
                <w:color w:val="000000"/>
              </w:rPr>
              <w:t>GCCGAGTAGCAGCACATCATG</w:t>
            </w:r>
          </w:p>
        </w:tc>
        <w:tc>
          <w:tcPr>
            <w:tcW w:w="2020" w:type="pct"/>
            <w:shd w:val="clear" w:color="auto" w:fill="auto"/>
            <w:noWrap/>
            <w:vAlign w:val="center"/>
          </w:tcPr>
          <w:p w14:paraId="5333701A" w14:textId="55BF83AD" w:rsidR="00B40F74" w:rsidRPr="00CA1FCD" w:rsidRDefault="00B40F74" w:rsidP="00B40F74">
            <w:pPr>
              <w:rPr>
                <w:rFonts w:ascii="Book Antiqua" w:eastAsia="宋体" w:hAnsi="Book Antiqua"/>
                <w:color w:val="000000"/>
              </w:rPr>
            </w:pPr>
            <w:r w:rsidRPr="00CA1FCD">
              <w:rPr>
                <w:rFonts w:ascii="Book Antiqua" w:eastAsia="宋体" w:hAnsi="Book Antiqua"/>
                <w:color w:val="000000"/>
              </w:rPr>
              <w:t>CTCAACTGGTGTCGTGGA</w:t>
            </w:r>
          </w:p>
        </w:tc>
      </w:tr>
      <w:tr w:rsidR="00B40F74" w:rsidRPr="00CA1FCD" w14:paraId="1549C501" w14:textId="77777777" w:rsidTr="00565141">
        <w:trPr>
          <w:trHeight w:val="510"/>
        </w:trPr>
        <w:tc>
          <w:tcPr>
            <w:tcW w:w="1038" w:type="pct"/>
            <w:shd w:val="clear" w:color="auto" w:fill="auto"/>
            <w:noWrap/>
            <w:vAlign w:val="center"/>
          </w:tcPr>
          <w:p w14:paraId="3143C5FD" w14:textId="259C74C8" w:rsidR="00B40F74" w:rsidRPr="00CA1FCD" w:rsidRDefault="00B40F74" w:rsidP="00B40F74">
            <w:pPr>
              <w:rPr>
                <w:rFonts w:ascii="Book Antiqua" w:eastAsia="宋体" w:hAnsi="Book Antiqua"/>
                <w:color w:val="000000"/>
              </w:rPr>
            </w:pPr>
            <w:r w:rsidRPr="00CA1FCD">
              <w:rPr>
                <w:rFonts w:ascii="Book Antiqua" w:eastAsia="宋体" w:hAnsi="Book Antiqua"/>
                <w:color w:val="000000"/>
              </w:rPr>
              <w:t>h</w:t>
            </w:r>
            <w:r w:rsidRPr="00CA1FCD">
              <w:rPr>
                <w:rFonts w:ascii="Book Antiqua" w:eastAsia="宋体" w:hAnsi="Book Antiqua"/>
              </w:rPr>
              <w:t>sa</w:t>
            </w:r>
            <w:r w:rsidRPr="00CA1FCD">
              <w:rPr>
                <w:rFonts w:ascii="Book Antiqua" w:eastAsia="宋体" w:hAnsi="Book Antiqua"/>
                <w:color w:val="000000"/>
              </w:rPr>
              <w:t>-pre-miR-15b</w:t>
            </w:r>
          </w:p>
        </w:tc>
        <w:tc>
          <w:tcPr>
            <w:tcW w:w="1943" w:type="pct"/>
            <w:shd w:val="clear" w:color="auto" w:fill="auto"/>
            <w:noWrap/>
            <w:vAlign w:val="center"/>
          </w:tcPr>
          <w:p w14:paraId="100F568D" w14:textId="5C84DA6D" w:rsidR="00B40F74" w:rsidRPr="00CA1FCD" w:rsidRDefault="00B40F74" w:rsidP="00B40F74">
            <w:pPr>
              <w:rPr>
                <w:rFonts w:ascii="Book Antiqua" w:eastAsia="宋体" w:hAnsi="Book Antiqua"/>
                <w:color w:val="000000"/>
              </w:rPr>
            </w:pPr>
            <w:r w:rsidRPr="00CA1FCD">
              <w:rPr>
                <w:rFonts w:ascii="Book Antiqua" w:eastAsia="宋体" w:hAnsi="Book Antiqua"/>
                <w:color w:val="000000"/>
              </w:rPr>
              <w:t>GGCCTTAAAGTACTGTAGCAGC</w:t>
            </w:r>
          </w:p>
        </w:tc>
        <w:tc>
          <w:tcPr>
            <w:tcW w:w="2020" w:type="pct"/>
            <w:shd w:val="clear" w:color="auto" w:fill="auto"/>
            <w:noWrap/>
            <w:vAlign w:val="center"/>
          </w:tcPr>
          <w:p w14:paraId="37781852" w14:textId="6FBC6E3F" w:rsidR="00B40F74" w:rsidRPr="00CA1FCD" w:rsidRDefault="00B40F74" w:rsidP="00B40F74">
            <w:pPr>
              <w:rPr>
                <w:rFonts w:ascii="Book Antiqua" w:eastAsia="宋体" w:hAnsi="Book Antiqua"/>
                <w:color w:val="000000"/>
              </w:rPr>
            </w:pPr>
            <w:r w:rsidRPr="00CA1FCD">
              <w:rPr>
                <w:rFonts w:ascii="Book Antiqua" w:eastAsia="宋体" w:hAnsi="Book Antiqua"/>
                <w:color w:val="000000"/>
              </w:rPr>
              <w:t>CTCAACTGGTGTCGTGGA</w:t>
            </w:r>
          </w:p>
        </w:tc>
      </w:tr>
      <w:tr w:rsidR="00B40F74" w:rsidRPr="00CA1FCD" w14:paraId="475C19CE" w14:textId="77777777" w:rsidTr="00565141">
        <w:trPr>
          <w:trHeight w:val="510"/>
        </w:trPr>
        <w:tc>
          <w:tcPr>
            <w:tcW w:w="1038" w:type="pct"/>
            <w:shd w:val="clear" w:color="auto" w:fill="auto"/>
            <w:noWrap/>
            <w:vAlign w:val="center"/>
          </w:tcPr>
          <w:p w14:paraId="6866E8CA" w14:textId="55B8F4D2" w:rsidR="00B40F74" w:rsidRPr="00CA1FCD" w:rsidRDefault="00B40F74" w:rsidP="00B40F74">
            <w:pPr>
              <w:rPr>
                <w:rFonts w:ascii="Book Antiqua" w:eastAsia="宋体" w:hAnsi="Book Antiqua"/>
                <w:color w:val="000000"/>
              </w:rPr>
            </w:pPr>
            <w:r w:rsidRPr="00CA1FCD">
              <w:rPr>
                <w:rFonts w:ascii="Book Antiqua" w:eastAsia="宋体" w:hAnsi="Book Antiqua"/>
                <w:color w:val="000000"/>
              </w:rPr>
              <w:t>rno-pre-miR-15b</w:t>
            </w:r>
          </w:p>
        </w:tc>
        <w:tc>
          <w:tcPr>
            <w:tcW w:w="1943" w:type="pct"/>
            <w:shd w:val="clear" w:color="auto" w:fill="auto"/>
            <w:noWrap/>
            <w:vAlign w:val="center"/>
          </w:tcPr>
          <w:p w14:paraId="4EFD736F" w14:textId="63BA2E69" w:rsidR="00B40F74" w:rsidRPr="00CA1FCD" w:rsidRDefault="00B40F74" w:rsidP="00B40F74">
            <w:pPr>
              <w:rPr>
                <w:rFonts w:ascii="Book Antiqua" w:eastAsia="宋体" w:hAnsi="Book Antiqua"/>
                <w:color w:val="000000"/>
              </w:rPr>
            </w:pPr>
            <w:r w:rsidRPr="00CA1FCD">
              <w:rPr>
                <w:rFonts w:ascii="Book Antiqua" w:eastAsia="宋体" w:hAnsi="Book Antiqua"/>
                <w:color w:val="000000"/>
              </w:rPr>
              <w:t>GGAGTTTTTCCCTTTTGGATG</w:t>
            </w:r>
          </w:p>
        </w:tc>
        <w:tc>
          <w:tcPr>
            <w:tcW w:w="2020" w:type="pct"/>
            <w:shd w:val="clear" w:color="auto" w:fill="auto"/>
            <w:noWrap/>
            <w:vAlign w:val="center"/>
          </w:tcPr>
          <w:p w14:paraId="6C42524C" w14:textId="020D8399" w:rsidR="00B40F74" w:rsidRPr="00CA1FCD" w:rsidRDefault="00B40F74" w:rsidP="00B40F74">
            <w:pPr>
              <w:rPr>
                <w:rFonts w:ascii="Book Antiqua" w:eastAsia="宋体" w:hAnsi="Book Antiqua"/>
                <w:color w:val="000000"/>
              </w:rPr>
            </w:pPr>
            <w:r w:rsidRPr="00CA1FCD">
              <w:rPr>
                <w:rFonts w:ascii="Book Antiqua" w:eastAsia="宋体" w:hAnsi="Book Antiqua"/>
                <w:color w:val="000000"/>
              </w:rPr>
              <w:t>ATAATGATTCGCATCTTGATTGTAG</w:t>
            </w:r>
          </w:p>
        </w:tc>
      </w:tr>
      <w:tr w:rsidR="00CA1FCD" w:rsidRPr="00CA1FCD" w14:paraId="520152B0" w14:textId="77777777" w:rsidTr="00565141">
        <w:trPr>
          <w:trHeight w:val="510"/>
        </w:trPr>
        <w:tc>
          <w:tcPr>
            <w:tcW w:w="1038" w:type="pct"/>
            <w:shd w:val="clear" w:color="auto" w:fill="auto"/>
            <w:noWrap/>
            <w:vAlign w:val="center"/>
          </w:tcPr>
          <w:p w14:paraId="0DEE8511" w14:textId="7E38F61E" w:rsidR="00B46110" w:rsidRPr="00CA1FCD" w:rsidRDefault="00B40F74" w:rsidP="00026916">
            <w:pPr>
              <w:rPr>
                <w:rFonts w:ascii="Book Antiqua" w:eastAsia="宋体" w:hAnsi="Book Antiqua"/>
                <w:color w:val="000000"/>
              </w:rPr>
            </w:pPr>
            <w:r w:rsidRPr="00CA1FCD">
              <w:rPr>
                <w:rFonts w:ascii="Book Antiqua" w:eastAsia="宋体" w:hAnsi="Book Antiqua"/>
                <w:color w:val="000000"/>
              </w:rPr>
              <w:t>TLR4 (human)</w:t>
            </w:r>
          </w:p>
        </w:tc>
        <w:tc>
          <w:tcPr>
            <w:tcW w:w="1943" w:type="pct"/>
            <w:shd w:val="clear" w:color="auto" w:fill="auto"/>
            <w:noWrap/>
            <w:vAlign w:val="center"/>
          </w:tcPr>
          <w:p w14:paraId="150757EF" w14:textId="5C0F92F0" w:rsidR="00B46110" w:rsidRPr="00CA1FCD" w:rsidRDefault="00B40F74" w:rsidP="00026916">
            <w:pPr>
              <w:rPr>
                <w:rFonts w:ascii="Book Antiqua" w:eastAsia="宋体" w:hAnsi="Book Antiqua"/>
                <w:color w:val="000000"/>
              </w:rPr>
            </w:pPr>
            <w:r w:rsidRPr="00CA1FCD">
              <w:rPr>
                <w:rFonts w:ascii="Book Antiqua" w:eastAsia="宋体" w:hAnsi="Book Antiqua"/>
                <w:color w:val="000000"/>
              </w:rPr>
              <w:t>CCGCTCTGGCATCATCTTCA</w:t>
            </w:r>
          </w:p>
        </w:tc>
        <w:tc>
          <w:tcPr>
            <w:tcW w:w="2020" w:type="pct"/>
            <w:shd w:val="clear" w:color="auto" w:fill="auto"/>
            <w:noWrap/>
            <w:vAlign w:val="center"/>
          </w:tcPr>
          <w:p w14:paraId="70F3BF5D" w14:textId="2ADE613F" w:rsidR="00B46110" w:rsidRPr="00CA1FCD" w:rsidRDefault="00B40F74" w:rsidP="00B40F74">
            <w:pPr>
              <w:rPr>
                <w:rFonts w:ascii="Book Antiqua" w:eastAsia="宋体" w:hAnsi="Book Antiqua"/>
                <w:color w:val="000000"/>
              </w:rPr>
            </w:pPr>
            <w:r w:rsidRPr="00CA1FCD">
              <w:rPr>
                <w:rFonts w:ascii="Book Antiqua" w:eastAsia="宋体" w:hAnsi="Book Antiqua"/>
                <w:color w:val="000000"/>
              </w:rPr>
              <w:t>TGGGTTTTAGGCGCAGAGTT</w:t>
            </w:r>
          </w:p>
        </w:tc>
      </w:tr>
      <w:tr w:rsidR="00CA1FCD" w:rsidRPr="00CA1FCD" w14:paraId="4EFE1B9F" w14:textId="77777777" w:rsidTr="00565141">
        <w:trPr>
          <w:trHeight w:val="510"/>
        </w:trPr>
        <w:tc>
          <w:tcPr>
            <w:tcW w:w="1038" w:type="pct"/>
            <w:shd w:val="clear" w:color="auto" w:fill="auto"/>
            <w:noWrap/>
            <w:vAlign w:val="center"/>
          </w:tcPr>
          <w:p w14:paraId="55CFB6D3" w14:textId="77777777" w:rsidR="00B46110" w:rsidRPr="00CA1FCD" w:rsidRDefault="00B46110" w:rsidP="00026916">
            <w:pPr>
              <w:rPr>
                <w:rFonts w:ascii="Book Antiqua" w:eastAsia="宋体" w:hAnsi="Book Antiqua"/>
                <w:color w:val="000000"/>
              </w:rPr>
            </w:pPr>
            <w:r w:rsidRPr="00CA1FCD">
              <w:rPr>
                <w:rFonts w:ascii="Book Antiqua" w:eastAsia="宋体" w:hAnsi="Book Antiqua"/>
                <w:color w:val="000000"/>
              </w:rPr>
              <w:t>TLR4 (Norway rat)</w:t>
            </w:r>
          </w:p>
        </w:tc>
        <w:tc>
          <w:tcPr>
            <w:tcW w:w="1943" w:type="pct"/>
            <w:shd w:val="clear" w:color="auto" w:fill="auto"/>
            <w:noWrap/>
            <w:vAlign w:val="center"/>
          </w:tcPr>
          <w:p w14:paraId="1AB5CCFA" w14:textId="670D2F4F" w:rsidR="00B46110" w:rsidRPr="00CA1FCD" w:rsidRDefault="00B46110" w:rsidP="00026916">
            <w:pPr>
              <w:rPr>
                <w:rFonts w:ascii="Book Antiqua" w:eastAsia="宋体" w:hAnsi="Book Antiqua"/>
                <w:color w:val="000000"/>
              </w:rPr>
            </w:pPr>
            <w:r w:rsidRPr="00CA1FCD">
              <w:rPr>
                <w:rFonts w:ascii="Book Antiqua" w:eastAsia="宋体" w:hAnsi="Book Antiqua"/>
                <w:color w:val="000000"/>
              </w:rPr>
              <w:t>GCCAGGATGATGCCTCTCTTGC</w:t>
            </w:r>
          </w:p>
        </w:tc>
        <w:tc>
          <w:tcPr>
            <w:tcW w:w="2020" w:type="pct"/>
            <w:shd w:val="clear" w:color="auto" w:fill="auto"/>
            <w:noWrap/>
            <w:vAlign w:val="center"/>
          </w:tcPr>
          <w:p w14:paraId="56E5F53D" w14:textId="00CD15FB" w:rsidR="00B46110" w:rsidRPr="00CA1FCD" w:rsidRDefault="00B46110" w:rsidP="00026916">
            <w:pPr>
              <w:rPr>
                <w:rFonts w:ascii="Book Antiqua" w:eastAsia="宋体" w:hAnsi="Book Antiqua"/>
                <w:color w:val="000000"/>
              </w:rPr>
            </w:pPr>
            <w:r w:rsidRPr="00CA1FCD">
              <w:rPr>
                <w:rFonts w:ascii="Book Antiqua" w:eastAsia="宋体" w:hAnsi="Book Antiqua"/>
                <w:color w:val="000000"/>
              </w:rPr>
              <w:t>CCTCAGGTCAAAGTTGTTGC</w:t>
            </w:r>
          </w:p>
        </w:tc>
      </w:tr>
      <w:tr w:rsidR="00433A90" w:rsidRPr="00CA1FCD" w14:paraId="0E7C7D58" w14:textId="77777777" w:rsidTr="00565141">
        <w:trPr>
          <w:trHeight w:val="510"/>
        </w:trPr>
        <w:tc>
          <w:tcPr>
            <w:tcW w:w="1038" w:type="pct"/>
            <w:shd w:val="clear" w:color="auto" w:fill="auto"/>
            <w:noWrap/>
            <w:vAlign w:val="center"/>
          </w:tcPr>
          <w:p w14:paraId="3867CE87" w14:textId="6A46D874" w:rsidR="00433A90" w:rsidRPr="00CA1FCD" w:rsidRDefault="00433A90" w:rsidP="00026916">
            <w:pPr>
              <w:rPr>
                <w:rFonts w:ascii="Book Antiqua" w:eastAsia="宋体" w:hAnsi="Book Antiqua"/>
                <w:color w:val="000000"/>
              </w:rPr>
            </w:pPr>
            <w:r w:rsidRPr="00CA1FCD">
              <w:rPr>
                <w:rFonts w:ascii="Book Antiqua" w:eastAsia="宋体" w:hAnsi="Book Antiqua"/>
                <w:color w:val="000000"/>
              </w:rPr>
              <w:t>U6 (human)</w:t>
            </w:r>
          </w:p>
        </w:tc>
        <w:tc>
          <w:tcPr>
            <w:tcW w:w="1943" w:type="pct"/>
            <w:shd w:val="clear" w:color="auto" w:fill="auto"/>
            <w:noWrap/>
            <w:vAlign w:val="center"/>
          </w:tcPr>
          <w:p w14:paraId="016AF527" w14:textId="3AEAC836" w:rsidR="00433A90" w:rsidRPr="00CA1FCD" w:rsidRDefault="00433A90" w:rsidP="00026916">
            <w:pPr>
              <w:rPr>
                <w:rFonts w:ascii="Book Antiqua" w:eastAsia="宋体" w:hAnsi="Book Antiqua"/>
                <w:color w:val="000000"/>
              </w:rPr>
            </w:pPr>
            <w:r w:rsidRPr="00CA1FCD">
              <w:rPr>
                <w:rFonts w:ascii="Book Antiqua" w:eastAsia="宋体" w:hAnsi="Book Antiqua"/>
                <w:color w:val="000000"/>
              </w:rPr>
              <w:t>GCTCGCTTCGGCAGCACA</w:t>
            </w:r>
          </w:p>
        </w:tc>
        <w:tc>
          <w:tcPr>
            <w:tcW w:w="2020" w:type="pct"/>
            <w:shd w:val="clear" w:color="auto" w:fill="auto"/>
            <w:noWrap/>
            <w:vAlign w:val="center"/>
          </w:tcPr>
          <w:p w14:paraId="7F4B800D" w14:textId="30457931" w:rsidR="00433A90" w:rsidRPr="00CA1FCD" w:rsidRDefault="00433A90" w:rsidP="00026916">
            <w:pPr>
              <w:rPr>
                <w:rFonts w:ascii="Book Antiqua" w:eastAsia="宋体" w:hAnsi="Book Antiqua"/>
                <w:color w:val="000000"/>
              </w:rPr>
            </w:pPr>
            <w:r w:rsidRPr="00CA1FCD">
              <w:rPr>
                <w:rFonts w:ascii="Book Antiqua" w:eastAsia="宋体" w:hAnsi="Book Antiqua"/>
                <w:color w:val="000000"/>
              </w:rPr>
              <w:t>GAGGTATTCGCACCAGAGGA</w:t>
            </w:r>
          </w:p>
        </w:tc>
      </w:tr>
      <w:tr w:rsidR="00CA1FCD" w:rsidRPr="00CA1FCD" w14:paraId="37DB2108" w14:textId="77777777" w:rsidTr="00565141">
        <w:trPr>
          <w:trHeight w:val="510"/>
        </w:trPr>
        <w:tc>
          <w:tcPr>
            <w:tcW w:w="1038" w:type="pct"/>
            <w:shd w:val="clear" w:color="auto" w:fill="auto"/>
            <w:noWrap/>
            <w:vAlign w:val="center"/>
          </w:tcPr>
          <w:p w14:paraId="2E96C61C" w14:textId="77777777" w:rsidR="00B46110" w:rsidRPr="00CA1FCD" w:rsidRDefault="00B46110" w:rsidP="00026916">
            <w:pPr>
              <w:rPr>
                <w:rFonts w:ascii="Book Antiqua" w:eastAsia="宋体" w:hAnsi="Book Antiqua"/>
                <w:color w:val="000000"/>
              </w:rPr>
            </w:pPr>
            <w:r w:rsidRPr="00CA1FCD">
              <w:rPr>
                <w:rFonts w:ascii="Book Antiqua" w:eastAsia="宋体" w:hAnsi="Book Antiqua"/>
                <w:color w:val="000000"/>
              </w:rPr>
              <w:t>U6 (Norway rat)</w:t>
            </w:r>
          </w:p>
        </w:tc>
        <w:tc>
          <w:tcPr>
            <w:tcW w:w="1943" w:type="pct"/>
            <w:shd w:val="clear" w:color="auto" w:fill="auto"/>
            <w:noWrap/>
            <w:vAlign w:val="center"/>
          </w:tcPr>
          <w:p w14:paraId="134BDCA8" w14:textId="77777777" w:rsidR="00B46110" w:rsidRPr="00CA1FCD" w:rsidRDefault="00B46110" w:rsidP="00026916">
            <w:pPr>
              <w:rPr>
                <w:rFonts w:ascii="Book Antiqua" w:eastAsia="宋体" w:hAnsi="Book Antiqua"/>
                <w:color w:val="000000"/>
              </w:rPr>
            </w:pPr>
            <w:r w:rsidRPr="00CA1FCD">
              <w:rPr>
                <w:rFonts w:ascii="Book Antiqua" w:eastAsia="宋体" w:hAnsi="Book Antiqua"/>
                <w:color w:val="000000"/>
              </w:rPr>
              <w:t>ATGGCGGACGACGTAGATCAGCA</w:t>
            </w:r>
          </w:p>
        </w:tc>
        <w:tc>
          <w:tcPr>
            <w:tcW w:w="2020" w:type="pct"/>
            <w:shd w:val="clear" w:color="auto" w:fill="auto"/>
            <w:noWrap/>
            <w:vAlign w:val="center"/>
          </w:tcPr>
          <w:p w14:paraId="65C7AA3F" w14:textId="196D9D0F" w:rsidR="00B46110" w:rsidRPr="00CA1FCD" w:rsidRDefault="00B46110" w:rsidP="00026916">
            <w:pPr>
              <w:rPr>
                <w:rFonts w:ascii="Book Antiqua" w:eastAsia="宋体" w:hAnsi="Book Antiqua"/>
                <w:color w:val="000000"/>
              </w:rPr>
            </w:pPr>
            <w:r w:rsidRPr="00CA1FCD">
              <w:rPr>
                <w:rFonts w:ascii="Book Antiqua" w:eastAsia="宋体" w:hAnsi="Book Antiqua"/>
                <w:color w:val="000000"/>
              </w:rPr>
              <w:t>TCAGCCAACTCTCAATGGAGGGG</w:t>
            </w:r>
          </w:p>
        </w:tc>
      </w:tr>
      <w:tr w:rsidR="00433A90" w:rsidRPr="00CA1FCD" w14:paraId="6E0EEDFA" w14:textId="77777777" w:rsidTr="00565141">
        <w:trPr>
          <w:trHeight w:val="510"/>
        </w:trPr>
        <w:tc>
          <w:tcPr>
            <w:tcW w:w="1038" w:type="pct"/>
            <w:shd w:val="clear" w:color="auto" w:fill="auto"/>
            <w:noWrap/>
            <w:vAlign w:val="center"/>
          </w:tcPr>
          <w:p w14:paraId="0016BCE1" w14:textId="7A15C955" w:rsidR="00433A90" w:rsidRPr="00CA1FCD" w:rsidRDefault="00433A90" w:rsidP="00026916">
            <w:pPr>
              <w:rPr>
                <w:rFonts w:ascii="Book Antiqua" w:eastAsia="宋体" w:hAnsi="Book Antiqua"/>
                <w:color w:val="000000"/>
              </w:rPr>
            </w:pPr>
            <w:r w:rsidRPr="00CA1FCD">
              <w:rPr>
                <w:rFonts w:ascii="Book Antiqua" w:eastAsia="宋体" w:hAnsi="Book Antiqua"/>
                <w:color w:val="000000"/>
              </w:rPr>
              <w:t>GAPDH (human)</w:t>
            </w:r>
          </w:p>
        </w:tc>
        <w:tc>
          <w:tcPr>
            <w:tcW w:w="1943" w:type="pct"/>
            <w:shd w:val="clear" w:color="auto" w:fill="auto"/>
            <w:noWrap/>
            <w:vAlign w:val="center"/>
          </w:tcPr>
          <w:p w14:paraId="0358B44C" w14:textId="5F988AE8" w:rsidR="00433A90" w:rsidRPr="00CA1FCD" w:rsidRDefault="00433A90" w:rsidP="00026916">
            <w:pPr>
              <w:rPr>
                <w:rFonts w:ascii="Book Antiqua" w:eastAsia="宋体" w:hAnsi="Book Antiqua"/>
                <w:color w:val="000000"/>
              </w:rPr>
            </w:pPr>
            <w:r w:rsidRPr="00CA1FCD">
              <w:rPr>
                <w:rFonts w:ascii="Book Antiqua" w:eastAsia="宋体" w:hAnsi="Book Antiqua"/>
                <w:color w:val="000000"/>
              </w:rPr>
              <w:t>TCCATGACAACTTTGGCATC</w:t>
            </w:r>
          </w:p>
        </w:tc>
        <w:tc>
          <w:tcPr>
            <w:tcW w:w="2020" w:type="pct"/>
            <w:shd w:val="clear" w:color="auto" w:fill="auto"/>
            <w:noWrap/>
            <w:vAlign w:val="center"/>
          </w:tcPr>
          <w:p w14:paraId="7D096FB2" w14:textId="327F7AD8" w:rsidR="00433A90" w:rsidRPr="00CA1FCD" w:rsidRDefault="00433A90" w:rsidP="00026916">
            <w:pPr>
              <w:rPr>
                <w:rFonts w:ascii="Book Antiqua" w:eastAsia="宋体" w:hAnsi="Book Antiqua"/>
                <w:color w:val="000000"/>
              </w:rPr>
            </w:pPr>
            <w:r w:rsidRPr="00CA1FCD">
              <w:rPr>
                <w:rFonts w:ascii="Book Antiqua" w:eastAsia="宋体" w:hAnsi="Book Antiqua"/>
                <w:color w:val="000000"/>
              </w:rPr>
              <w:t>CATGTCAGATCCACCACGGA</w:t>
            </w:r>
          </w:p>
        </w:tc>
      </w:tr>
      <w:tr w:rsidR="00CA1FCD" w:rsidRPr="00CA1FCD" w14:paraId="246DACD4" w14:textId="77777777" w:rsidTr="00565141">
        <w:trPr>
          <w:trHeight w:val="510"/>
        </w:trPr>
        <w:tc>
          <w:tcPr>
            <w:tcW w:w="1038" w:type="pct"/>
            <w:shd w:val="clear" w:color="auto" w:fill="auto"/>
            <w:noWrap/>
            <w:vAlign w:val="center"/>
          </w:tcPr>
          <w:p w14:paraId="4686F548" w14:textId="77777777" w:rsidR="00B46110" w:rsidRPr="00CA1FCD" w:rsidRDefault="00B46110" w:rsidP="00026916">
            <w:pPr>
              <w:rPr>
                <w:rFonts w:ascii="Book Antiqua" w:eastAsia="宋体" w:hAnsi="Book Antiqua"/>
                <w:color w:val="000000"/>
              </w:rPr>
            </w:pPr>
            <w:r w:rsidRPr="00CA1FCD">
              <w:rPr>
                <w:rFonts w:ascii="Book Antiqua" w:eastAsia="宋体" w:hAnsi="Book Antiqua"/>
                <w:color w:val="000000"/>
              </w:rPr>
              <w:t>GAPDH (Norway rat)</w:t>
            </w:r>
          </w:p>
        </w:tc>
        <w:tc>
          <w:tcPr>
            <w:tcW w:w="1943" w:type="pct"/>
            <w:shd w:val="clear" w:color="auto" w:fill="auto"/>
            <w:noWrap/>
            <w:vAlign w:val="center"/>
          </w:tcPr>
          <w:p w14:paraId="44CC858C" w14:textId="7D74A69D" w:rsidR="00B46110" w:rsidRPr="00CA1FCD" w:rsidRDefault="00B46110" w:rsidP="00026916">
            <w:pPr>
              <w:rPr>
                <w:rFonts w:ascii="Book Antiqua" w:eastAsia="宋体" w:hAnsi="Book Antiqua"/>
                <w:color w:val="000000"/>
              </w:rPr>
            </w:pPr>
            <w:r w:rsidRPr="00CA1FCD">
              <w:rPr>
                <w:rFonts w:ascii="Book Antiqua" w:eastAsia="宋体" w:hAnsi="Book Antiqua"/>
                <w:color w:val="000000"/>
              </w:rPr>
              <w:t>CAAGATGGTGAAGGTCGGTGT</w:t>
            </w:r>
          </w:p>
        </w:tc>
        <w:tc>
          <w:tcPr>
            <w:tcW w:w="2020" w:type="pct"/>
            <w:shd w:val="clear" w:color="auto" w:fill="auto"/>
            <w:noWrap/>
            <w:vAlign w:val="center"/>
          </w:tcPr>
          <w:p w14:paraId="3A27D045" w14:textId="77777777" w:rsidR="00B46110" w:rsidRPr="00CA1FCD" w:rsidRDefault="00B46110" w:rsidP="00026916">
            <w:pPr>
              <w:rPr>
                <w:rFonts w:ascii="Book Antiqua" w:eastAsia="宋体" w:hAnsi="Book Antiqua"/>
                <w:color w:val="000000"/>
              </w:rPr>
            </w:pPr>
            <w:r w:rsidRPr="00CA1FCD">
              <w:rPr>
                <w:rFonts w:ascii="Book Antiqua" w:eastAsia="宋体" w:hAnsi="Book Antiqua"/>
                <w:color w:val="000000"/>
              </w:rPr>
              <w:t>CTTACTCCTTGGAGGCCATGTAG</w:t>
            </w:r>
          </w:p>
        </w:tc>
      </w:tr>
    </w:tbl>
    <w:p w14:paraId="1E8BF89D" w14:textId="77777777" w:rsidR="00B46110" w:rsidRPr="00CA1FCD" w:rsidRDefault="00B46110" w:rsidP="00B46110">
      <w:pPr>
        <w:jc w:val="both"/>
        <w:rPr>
          <w:rFonts w:ascii="Book Antiqua" w:hAnsi="Book Antiqua"/>
        </w:rPr>
      </w:pPr>
      <w:r w:rsidRPr="00CA1FCD">
        <w:rPr>
          <w:rFonts w:ascii="Book Antiqua" w:eastAsia="宋体" w:hAnsi="Book Antiqua"/>
          <w:color w:val="000000"/>
        </w:rPr>
        <w:t>XIST</w:t>
      </w:r>
      <w:r w:rsidRPr="00CA1FCD">
        <w:rPr>
          <w:rFonts w:ascii="Book Antiqua" w:eastAsia="宋体" w:hAnsi="Book Antiqua"/>
          <w:color w:val="000000"/>
        </w:rPr>
        <w:t>：</w:t>
      </w:r>
      <w:r w:rsidRPr="00CA1FCD">
        <w:rPr>
          <w:rFonts w:ascii="Book Antiqua" w:eastAsia="宋体" w:hAnsi="Book Antiqua"/>
        </w:rPr>
        <w:t xml:space="preserve"> X inactive specific transcript; </w:t>
      </w:r>
      <w:r w:rsidRPr="00CA1FCD">
        <w:rPr>
          <w:rFonts w:ascii="Book Antiqua" w:eastAsia="宋体" w:hAnsi="Book Antiqua"/>
          <w:color w:val="000000"/>
        </w:rPr>
        <w:t xml:space="preserve">TLR4: </w:t>
      </w:r>
      <w:r w:rsidRPr="00CA1FCD">
        <w:rPr>
          <w:rFonts w:ascii="Book Antiqua" w:eastAsia="宋体" w:hAnsi="Book Antiqua"/>
        </w:rPr>
        <w:t xml:space="preserve">toll like receptor 4; </w:t>
      </w:r>
      <w:r w:rsidRPr="00CA1FCD">
        <w:rPr>
          <w:rFonts w:ascii="Book Antiqua" w:eastAsia="宋体" w:hAnsi="Book Antiqua"/>
          <w:color w:val="000000"/>
        </w:rPr>
        <w:t>hsa</w:t>
      </w:r>
      <w:r w:rsidRPr="00CA1FCD">
        <w:rPr>
          <w:rFonts w:ascii="Book Antiqua" w:eastAsia="宋体" w:hAnsi="Book Antiqua"/>
        </w:rPr>
        <w:t xml:space="preserve">: </w:t>
      </w:r>
      <w:r w:rsidRPr="00CA1FCD">
        <w:rPr>
          <w:rFonts w:ascii="Book Antiqua" w:eastAsia="宋体" w:hAnsi="Book Antiqua"/>
          <w:i/>
          <w:iCs/>
        </w:rPr>
        <w:t>Homo sapiens</w:t>
      </w:r>
      <w:r w:rsidRPr="00CA1FCD">
        <w:rPr>
          <w:rFonts w:ascii="Book Antiqua" w:eastAsia="宋体" w:hAnsi="Book Antiqua"/>
        </w:rPr>
        <w:t xml:space="preserve">; </w:t>
      </w:r>
      <w:r w:rsidRPr="00CA1FCD">
        <w:rPr>
          <w:rFonts w:ascii="Book Antiqua" w:eastAsia="宋体" w:hAnsi="Book Antiqua"/>
          <w:color w:val="000000"/>
        </w:rPr>
        <w:t xml:space="preserve">rno: </w:t>
      </w:r>
      <w:r w:rsidRPr="00CA1FCD">
        <w:rPr>
          <w:rFonts w:ascii="Book Antiqua" w:eastAsia="宋体" w:hAnsi="Book Antiqua"/>
          <w:i/>
          <w:iCs/>
          <w:color w:val="000000"/>
        </w:rPr>
        <w:t>Rattus norvegicus</w:t>
      </w:r>
      <w:bookmarkStart w:id="1" w:name="OLE_LINK15"/>
      <w:r w:rsidRPr="00CA1FCD">
        <w:rPr>
          <w:rFonts w:ascii="Book Antiqua" w:eastAsia="宋体" w:hAnsi="Book Antiqua"/>
          <w:color w:val="000000"/>
        </w:rPr>
        <w:t>; U6</w:t>
      </w:r>
      <w:bookmarkEnd w:id="1"/>
      <w:r w:rsidRPr="00CA1FCD">
        <w:rPr>
          <w:rFonts w:ascii="Book Antiqua" w:eastAsia="宋体" w:hAnsi="Book Antiqua"/>
          <w:color w:val="000000"/>
        </w:rPr>
        <w:t xml:space="preserve">: U6 small nuclear RNA; GAPDH: glyceraldehyde-3-phosphate dehydrogenase; </w:t>
      </w:r>
      <w:r w:rsidRPr="00CA1FCD">
        <w:rPr>
          <w:rFonts w:ascii="Book Antiqua" w:hAnsi="Book Antiqua"/>
        </w:rPr>
        <w:t xml:space="preserve">pre: </w:t>
      </w:r>
      <w:r w:rsidRPr="00CA1FCD">
        <w:rPr>
          <w:rFonts w:ascii="Book Antiqua" w:eastAsia="宋体" w:hAnsi="Book Antiqua"/>
          <w:color w:val="000000"/>
        </w:rPr>
        <w:t xml:space="preserve">precursor; </w:t>
      </w:r>
      <w:r w:rsidRPr="00CA1FCD">
        <w:rPr>
          <w:rFonts w:ascii="Book Antiqua" w:eastAsia="宋体" w:hAnsi="Book Antiqua"/>
        </w:rPr>
        <w:t>miR: microRNA</w:t>
      </w:r>
    </w:p>
    <w:p w14:paraId="20B561CB" w14:textId="77777777" w:rsidR="006C73CE" w:rsidRDefault="006C73CE">
      <w:pPr>
        <w:spacing w:line="360" w:lineRule="auto"/>
        <w:jc w:val="both"/>
        <w:sectPr w:rsidR="006C73CE">
          <w:pgSz w:w="12240" w:h="15840"/>
          <w:pgMar w:top="1440" w:right="1440" w:bottom="1440" w:left="1440" w:header="720" w:footer="720" w:gutter="0"/>
          <w:cols w:space="720"/>
          <w:docGrid w:linePitch="360"/>
        </w:sectPr>
      </w:pPr>
    </w:p>
    <w:p w14:paraId="69755A6C" w14:textId="77777777" w:rsidR="006C73CE" w:rsidRDefault="006C73CE" w:rsidP="006C73CE">
      <w:pPr>
        <w:jc w:val="center"/>
        <w:rPr>
          <w:rFonts w:ascii="Book Antiqua" w:hAnsi="Book Antiqua"/>
        </w:rPr>
      </w:pPr>
      <w:bookmarkStart w:id="2" w:name="_Hlk85997773"/>
      <w:bookmarkStart w:id="3" w:name="_Hlk93326163"/>
    </w:p>
    <w:p w14:paraId="561ACB7B" w14:textId="77777777" w:rsidR="006C73CE" w:rsidRDefault="006C73CE" w:rsidP="006C73CE">
      <w:pPr>
        <w:jc w:val="center"/>
        <w:rPr>
          <w:rFonts w:ascii="Book Antiqua" w:hAnsi="Book Antiqua"/>
        </w:rPr>
      </w:pPr>
    </w:p>
    <w:p w14:paraId="5CFD1D40" w14:textId="77777777" w:rsidR="006C73CE" w:rsidRDefault="006C73CE" w:rsidP="006C73CE">
      <w:pPr>
        <w:jc w:val="center"/>
        <w:rPr>
          <w:rFonts w:ascii="Book Antiqua" w:hAnsi="Book Antiqua"/>
        </w:rPr>
      </w:pPr>
    </w:p>
    <w:p w14:paraId="75580BD8" w14:textId="77777777" w:rsidR="006C73CE" w:rsidRDefault="006C73CE" w:rsidP="006C73CE">
      <w:pPr>
        <w:jc w:val="center"/>
        <w:rPr>
          <w:rFonts w:ascii="Book Antiqua" w:hAnsi="Book Antiqua"/>
        </w:rPr>
      </w:pPr>
    </w:p>
    <w:p w14:paraId="4DCB5760" w14:textId="77777777" w:rsidR="006C73CE" w:rsidRDefault="006C73CE" w:rsidP="006C73CE">
      <w:pPr>
        <w:jc w:val="center"/>
        <w:rPr>
          <w:rFonts w:ascii="Book Antiqua" w:hAnsi="Book Antiqua"/>
        </w:rPr>
      </w:pPr>
    </w:p>
    <w:p w14:paraId="0CE3EC19" w14:textId="77777777" w:rsidR="006C73CE" w:rsidRDefault="006C73CE" w:rsidP="006C73CE">
      <w:pPr>
        <w:jc w:val="center"/>
        <w:rPr>
          <w:rFonts w:ascii="Book Antiqua" w:hAnsi="Book Antiqua"/>
        </w:rPr>
      </w:pPr>
      <w:r>
        <w:rPr>
          <w:rFonts w:ascii="Book Antiqua" w:hAnsi="Book Antiqua"/>
          <w:noProof/>
        </w:rPr>
        <w:drawing>
          <wp:inline distT="0" distB="0" distL="0" distR="0" wp14:anchorId="504F795B" wp14:editId="13EF6F81">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1EE535FA" w14:textId="77777777" w:rsidR="006C73CE" w:rsidRDefault="006C73CE" w:rsidP="006C73CE">
      <w:pPr>
        <w:jc w:val="center"/>
        <w:rPr>
          <w:rFonts w:ascii="Book Antiqua" w:hAnsi="Book Antiqua"/>
        </w:rPr>
      </w:pPr>
    </w:p>
    <w:p w14:paraId="5A5488D1" w14:textId="77777777" w:rsidR="006C73CE" w:rsidRDefault="006C73CE" w:rsidP="006C73CE">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7811A153" w14:textId="77777777" w:rsidR="006C73CE" w:rsidRDefault="006C73CE" w:rsidP="006C73CE">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766E077" w14:textId="77777777" w:rsidR="006C73CE" w:rsidRDefault="006C73CE" w:rsidP="006C73CE">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0BE240D" w14:textId="77777777" w:rsidR="006C73CE" w:rsidRDefault="006C73CE" w:rsidP="006C73CE">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979D300" w14:textId="77777777" w:rsidR="006C73CE" w:rsidRDefault="006C73CE" w:rsidP="006C73CE">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1A07D65" w14:textId="77777777" w:rsidR="006C73CE" w:rsidRDefault="006C73CE" w:rsidP="006C73CE">
      <w:pPr>
        <w:jc w:val="center"/>
        <w:rPr>
          <w:rFonts w:ascii="Book Antiqua" w:hAnsi="Book Antiqua"/>
        </w:rPr>
      </w:pPr>
      <w:r>
        <w:rPr>
          <w:rFonts w:ascii="Book Antiqua" w:eastAsia="TimesNewRomanPSMT" w:hAnsi="Book Antiqua" w:cs="Garamond"/>
          <w:color w:val="D56400"/>
          <w:sz w:val="28"/>
          <w:szCs w:val="28"/>
        </w:rPr>
        <w:t>https://www.wjgnet.com</w:t>
      </w:r>
    </w:p>
    <w:p w14:paraId="54F74FBA" w14:textId="77777777" w:rsidR="006C73CE" w:rsidRDefault="006C73CE" w:rsidP="006C73CE">
      <w:pPr>
        <w:jc w:val="center"/>
        <w:rPr>
          <w:rFonts w:ascii="Book Antiqua" w:hAnsi="Book Antiqua"/>
        </w:rPr>
      </w:pPr>
    </w:p>
    <w:p w14:paraId="2EBA69B7" w14:textId="77777777" w:rsidR="006C73CE" w:rsidRDefault="006C73CE" w:rsidP="006C73CE">
      <w:pPr>
        <w:jc w:val="center"/>
        <w:rPr>
          <w:rFonts w:ascii="Book Antiqua" w:hAnsi="Book Antiqua"/>
        </w:rPr>
      </w:pPr>
    </w:p>
    <w:p w14:paraId="40764E79" w14:textId="77777777" w:rsidR="006C73CE" w:rsidRDefault="006C73CE" w:rsidP="006C73CE">
      <w:pPr>
        <w:jc w:val="center"/>
        <w:rPr>
          <w:rFonts w:ascii="Book Antiqua" w:hAnsi="Book Antiqua"/>
        </w:rPr>
      </w:pPr>
    </w:p>
    <w:p w14:paraId="15AD4C41" w14:textId="77777777" w:rsidR="006C73CE" w:rsidRDefault="006C73CE" w:rsidP="006C73CE">
      <w:pPr>
        <w:jc w:val="center"/>
        <w:rPr>
          <w:rFonts w:ascii="Book Antiqua" w:hAnsi="Book Antiqua"/>
        </w:rPr>
      </w:pPr>
      <w:r>
        <w:rPr>
          <w:rFonts w:ascii="Book Antiqua" w:hAnsi="Book Antiqua"/>
          <w:noProof/>
        </w:rPr>
        <w:drawing>
          <wp:inline distT="0" distB="0" distL="0" distR="0" wp14:anchorId="63955A5D" wp14:editId="73B88BF5">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34531A5A" w14:textId="77777777" w:rsidR="006C73CE" w:rsidRDefault="006C73CE" w:rsidP="006C73CE">
      <w:pPr>
        <w:jc w:val="center"/>
        <w:rPr>
          <w:rFonts w:ascii="Book Antiqua" w:hAnsi="Book Antiqua"/>
        </w:rPr>
      </w:pPr>
    </w:p>
    <w:p w14:paraId="7326C622" w14:textId="77777777" w:rsidR="006C73CE" w:rsidRDefault="006C73CE" w:rsidP="006C73CE">
      <w:pPr>
        <w:jc w:val="center"/>
        <w:rPr>
          <w:rFonts w:ascii="Book Antiqua" w:hAnsi="Book Antiqua"/>
        </w:rPr>
      </w:pPr>
    </w:p>
    <w:p w14:paraId="318C0595" w14:textId="77777777" w:rsidR="006C73CE" w:rsidRDefault="006C73CE" w:rsidP="006C73CE">
      <w:pPr>
        <w:jc w:val="center"/>
        <w:rPr>
          <w:rFonts w:ascii="Book Antiqua" w:hAnsi="Book Antiqua"/>
        </w:rPr>
      </w:pPr>
    </w:p>
    <w:p w14:paraId="63BEE916" w14:textId="77777777" w:rsidR="006C73CE" w:rsidRDefault="006C73CE" w:rsidP="006C73CE">
      <w:pPr>
        <w:jc w:val="center"/>
        <w:rPr>
          <w:rFonts w:ascii="Book Antiqua" w:hAnsi="Book Antiqua"/>
        </w:rPr>
      </w:pPr>
    </w:p>
    <w:p w14:paraId="2E00E788" w14:textId="77777777" w:rsidR="006C73CE" w:rsidRDefault="006C73CE" w:rsidP="006C73CE">
      <w:pPr>
        <w:jc w:val="center"/>
        <w:rPr>
          <w:rFonts w:ascii="Book Antiqua" w:hAnsi="Book Antiqua"/>
        </w:rPr>
      </w:pPr>
    </w:p>
    <w:p w14:paraId="73BF0D84" w14:textId="77777777" w:rsidR="006C73CE" w:rsidRDefault="006C73CE" w:rsidP="006C73CE">
      <w:pPr>
        <w:jc w:val="center"/>
        <w:rPr>
          <w:rFonts w:ascii="Book Antiqua" w:hAnsi="Book Antiqua"/>
        </w:rPr>
      </w:pPr>
    </w:p>
    <w:p w14:paraId="03767B3D" w14:textId="77777777" w:rsidR="006C73CE" w:rsidRDefault="006C73CE" w:rsidP="006C73CE">
      <w:pPr>
        <w:jc w:val="center"/>
        <w:rPr>
          <w:rFonts w:ascii="Book Antiqua" w:hAnsi="Book Antiqua"/>
        </w:rPr>
      </w:pPr>
    </w:p>
    <w:p w14:paraId="7362976B" w14:textId="77777777" w:rsidR="006C73CE" w:rsidRDefault="006C73CE" w:rsidP="006C73CE">
      <w:pPr>
        <w:jc w:val="center"/>
        <w:rPr>
          <w:rFonts w:ascii="Book Antiqua" w:hAnsi="Book Antiqua"/>
        </w:rPr>
      </w:pPr>
    </w:p>
    <w:p w14:paraId="2857CFEB" w14:textId="77777777" w:rsidR="006C73CE" w:rsidRDefault="006C73CE" w:rsidP="006C73CE">
      <w:pPr>
        <w:jc w:val="center"/>
        <w:rPr>
          <w:rFonts w:ascii="Book Antiqua" w:hAnsi="Book Antiqua"/>
        </w:rPr>
      </w:pPr>
    </w:p>
    <w:p w14:paraId="4BD04183" w14:textId="77777777" w:rsidR="006C73CE" w:rsidRDefault="006C73CE" w:rsidP="006C73CE">
      <w:pPr>
        <w:jc w:val="right"/>
        <w:rPr>
          <w:rFonts w:ascii="Book Antiqua" w:hAnsi="Book Antiqua"/>
          <w:color w:val="000000" w:themeColor="text1"/>
        </w:rPr>
      </w:pPr>
    </w:p>
    <w:p w14:paraId="0F6E21F3" w14:textId="77777777" w:rsidR="006C73CE" w:rsidRDefault="006C73CE" w:rsidP="006C73CE">
      <w:pPr>
        <w:jc w:val="center"/>
        <w:rPr>
          <w:rFonts w:ascii="Book Antiqua" w:hAnsi="Book Antiqua"/>
          <w:color w:val="000000" w:themeColor="text1"/>
        </w:rPr>
      </w:pPr>
      <w:bookmarkStart w:id="4" w:name="_Hlk86002093"/>
      <w:r>
        <w:rPr>
          <w:rFonts w:ascii="Book Antiqua" w:eastAsia="BookAntiqua-Bold" w:hAnsi="Book Antiqua" w:cs="BookAntiqua-Bold"/>
          <w:b/>
          <w:bCs/>
          <w:color w:val="000000" w:themeColor="text1"/>
        </w:rPr>
        <w:t>© 2022 Baishideng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bookmarkEnd w:id="2"/>
      <w:bookmarkEnd w:id="4"/>
    </w:p>
    <w:bookmarkEnd w:id="3"/>
    <w:p w14:paraId="7ACD7054" w14:textId="77777777" w:rsidR="00F76B23" w:rsidRDefault="00F76B23">
      <w:pPr>
        <w:spacing w:line="360" w:lineRule="auto"/>
        <w:jc w:val="both"/>
      </w:pPr>
    </w:p>
    <w:sectPr w:rsidR="00F76B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8F5C3C" w14:textId="77777777" w:rsidR="00F57C2E" w:rsidRDefault="00F57C2E">
      <w:r>
        <w:separator/>
      </w:r>
    </w:p>
  </w:endnote>
  <w:endnote w:type="continuationSeparator" w:id="0">
    <w:p w14:paraId="5F7121C8" w14:textId="77777777" w:rsidR="00F57C2E" w:rsidRDefault="00F57C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4CEC2" w14:textId="77777777" w:rsidR="00F76B23" w:rsidRDefault="00DB35EC">
    <w:pPr>
      <w:pStyle w:val="a5"/>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Pr>
        <w:rFonts w:ascii="Book Antiqua" w:hAnsi="Book Antiqua"/>
        <w:sz w:val="24"/>
        <w:szCs w:val="24"/>
      </w:rPr>
      <w:t>1</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Pr>
        <w:rFonts w:ascii="Book Antiqua" w:hAnsi="Book Antiqua"/>
        <w:sz w:val="24"/>
        <w:szCs w:val="24"/>
      </w:rPr>
      <w:t>16</w:t>
    </w:r>
    <w:r>
      <w:rPr>
        <w:rFonts w:ascii="Book Antiqua" w:hAnsi="Book Antiqua"/>
        <w:sz w:val="24"/>
        <w:szCs w:val="24"/>
      </w:rPr>
      <w:fldChar w:fldCharType="end"/>
    </w:r>
  </w:p>
  <w:p w14:paraId="2B5CE6F5" w14:textId="77777777" w:rsidR="00F76B23" w:rsidRDefault="00F76B2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E00A78" w14:textId="77777777" w:rsidR="00F57C2E" w:rsidRDefault="00F57C2E">
      <w:r>
        <w:separator/>
      </w:r>
    </w:p>
  </w:footnote>
  <w:footnote w:type="continuationSeparator" w:id="0">
    <w:p w14:paraId="324CA295" w14:textId="77777777" w:rsidR="00F57C2E" w:rsidRDefault="00F57C2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61C1"/>
    <w:rsid w:val="00006CFB"/>
    <w:rsid w:val="00021C12"/>
    <w:rsid w:val="00052146"/>
    <w:rsid w:val="00054305"/>
    <w:rsid w:val="00054ACB"/>
    <w:rsid w:val="00065CE9"/>
    <w:rsid w:val="000722A4"/>
    <w:rsid w:val="00073A8E"/>
    <w:rsid w:val="00085E5F"/>
    <w:rsid w:val="000A183D"/>
    <w:rsid w:val="000B03EA"/>
    <w:rsid w:val="000C3C90"/>
    <w:rsid w:val="001273DB"/>
    <w:rsid w:val="00134892"/>
    <w:rsid w:val="0015502E"/>
    <w:rsid w:val="001561FE"/>
    <w:rsid w:val="00167332"/>
    <w:rsid w:val="0017200B"/>
    <w:rsid w:val="001759AF"/>
    <w:rsid w:val="001760BA"/>
    <w:rsid w:val="001910AF"/>
    <w:rsid w:val="001B03CD"/>
    <w:rsid w:val="001B554B"/>
    <w:rsid w:val="001C06C0"/>
    <w:rsid w:val="001C2E0A"/>
    <w:rsid w:val="001C6678"/>
    <w:rsid w:val="001D5CAF"/>
    <w:rsid w:val="001D675F"/>
    <w:rsid w:val="001E6373"/>
    <w:rsid w:val="00206DF4"/>
    <w:rsid w:val="0021290E"/>
    <w:rsid w:val="00236876"/>
    <w:rsid w:val="002371C0"/>
    <w:rsid w:val="00250984"/>
    <w:rsid w:val="0026171B"/>
    <w:rsid w:val="00270D2E"/>
    <w:rsid w:val="0027201E"/>
    <w:rsid w:val="0027622D"/>
    <w:rsid w:val="002B418C"/>
    <w:rsid w:val="002B4514"/>
    <w:rsid w:val="002B4E3F"/>
    <w:rsid w:val="002B6ECF"/>
    <w:rsid w:val="002D0BB6"/>
    <w:rsid w:val="002D1AF2"/>
    <w:rsid w:val="002D540D"/>
    <w:rsid w:val="002E5F06"/>
    <w:rsid w:val="00307537"/>
    <w:rsid w:val="0031057C"/>
    <w:rsid w:val="003241D5"/>
    <w:rsid w:val="003279BC"/>
    <w:rsid w:val="0033632C"/>
    <w:rsid w:val="00356DD7"/>
    <w:rsid w:val="00374286"/>
    <w:rsid w:val="0038378F"/>
    <w:rsid w:val="00386127"/>
    <w:rsid w:val="003B71EC"/>
    <w:rsid w:val="003C038D"/>
    <w:rsid w:val="003C7720"/>
    <w:rsid w:val="003D60C6"/>
    <w:rsid w:val="003E3617"/>
    <w:rsid w:val="00411E12"/>
    <w:rsid w:val="00426CBB"/>
    <w:rsid w:val="00433416"/>
    <w:rsid w:val="00433A90"/>
    <w:rsid w:val="0043587B"/>
    <w:rsid w:val="00442C9B"/>
    <w:rsid w:val="004463A2"/>
    <w:rsid w:val="00447A92"/>
    <w:rsid w:val="0046342B"/>
    <w:rsid w:val="00464467"/>
    <w:rsid w:val="00482FB4"/>
    <w:rsid w:val="004B40CA"/>
    <w:rsid w:val="004C0D62"/>
    <w:rsid w:val="004C5FB2"/>
    <w:rsid w:val="004C6287"/>
    <w:rsid w:val="004E2A66"/>
    <w:rsid w:val="0050496F"/>
    <w:rsid w:val="005064C8"/>
    <w:rsid w:val="0050719C"/>
    <w:rsid w:val="00524CAB"/>
    <w:rsid w:val="005301F5"/>
    <w:rsid w:val="00544AAA"/>
    <w:rsid w:val="00565141"/>
    <w:rsid w:val="00567A3C"/>
    <w:rsid w:val="0057568D"/>
    <w:rsid w:val="00576000"/>
    <w:rsid w:val="00577404"/>
    <w:rsid w:val="00580787"/>
    <w:rsid w:val="005A5D2B"/>
    <w:rsid w:val="005B2F47"/>
    <w:rsid w:val="005C14B1"/>
    <w:rsid w:val="005D1265"/>
    <w:rsid w:val="005D51EE"/>
    <w:rsid w:val="005E1F19"/>
    <w:rsid w:val="005F1C5C"/>
    <w:rsid w:val="005F263C"/>
    <w:rsid w:val="0060463F"/>
    <w:rsid w:val="00616FFB"/>
    <w:rsid w:val="00631C87"/>
    <w:rsid w:val="00636947"/>
    <w:rsid w:val="00652F76"/>
    <w:rsid w:val="006703C2"/>
    <w:rsid w:val="00683F57"/>
    <w:rsid w:val="0069064D"/>
    <w:rsid w:val="00695792"/>
    <w:rsid w:val="006C0639"/>
    <w:rsid w:val="006C73CE"/>
    <w:rsid w:val="006D2A4E"/>
    <w:rsid w:val="006D4398"/>
    <w:rsid w:val="006D70CE"/>
    <w:rsid w:val="006F5D9D"/>
    <w:rsid w:val="0070365D"/>
    <w:rsid w:val="00705256"/>
    <w:rsid w:val="007116F6"/>
    <w:rsid w:val="00712E6B"/>
    <w:rsid w:val="00713D61"/>
    <w:rsid w:val="00746951"/>
    <w:rsid w:val="0074735E"/>
    <w:rsid w:val="0076258C"/>
    <w:rsid w:val="007811B6"/>
    <w:rsid w:val="007971C9"/>
    <w:rsid w:val="007E14AB"/>
    <w:rsid w:val="007F34E8"/>
    <w:rsid w:val="00801C81"/>
    <w:rsid w:val="0082541D"/>
    <w:rsid w:val="008314C9"/>
    <w:rsid w:val="00831DCF"/>
    <w:rsid w:val="00840AE4"/>
    <w:rsid w:val="008545BD"/>
    <w:rsid w:val="00855836"/>
    <w:rsid w:val="00864330"/>
    <w:rsid w:val="0087409A"/>
    <w:rsid w:val="0088499D"/>
    <w:rsid w:val="0089200C"/>
    <w:rsid w:val="008A63ED"/>
    <w:rsid w:val="008C2D50"/>
    <w:rsid w:val="008E438C"/>
    <w:rsid w:val="008E7AF4"/>
    <w:rsid w:val="0092741F"/>
    <w:rsid w:val="00950F83"/>
    <w:rsid w:val="00997B87"/>
    <w:rsid w:val="009A378B"/>
    <w:rsid w:val="009C3D32"/>
    <w:rsid w:val="009E3F7A"/>
    <w:rsid w:val="00A02F3F"/>
    <w:rsid w:val="00A07124"/>
    <w:rsid w:val="00A1155C"/>
    <w:rsid w:val="00A11967"/>
    <w:rsid w:val="00A15354"/>
    <w:rsid w:val="00A16965"/>
    <w:rsid w:val="00A21125"/>
    <w:rsid w:val="00A21225"/>
    <w:rsid w:val="00A24A11"/>
    <w:rsid w:val="00A27C48"/>
    <w:rsid w:val="00A77B3E"/>
    <w:rsid w:val="00A90BF3"/>
    <w:rsid w:val="00AA018C"/>
    <w:rsid w:val="00AE30A9"/>
    <w:rsid w:val="00B01F5A"/>
    <w:rsid w:val="00B1613A"/>
    <w:rsid w:val="00B24627"/>
    <w:rsid w:val="00B27D79"/>
    <w:rsid w:val="00B40F74"/>
    <w:rsid w:val="00B46110"/>
    <w:rsid w:val="00B504EC"/>
    <w:rsid w:val="00B54CFB"/>
    <w:rsid w:val="00B72377"/>
    <w:rsid w:val="00B8281B"/>
    <w:rsid w:val="00BB1424"/>
    <w:rsid w:val="00BB4D1D"/>
    <w:rsid w:val="00BB664C"/>
    <w:rsid w:val="00BC0CB0"/>
    <w:rsid w:val="00BC2596"/>
    <w:rsid w:val="00C247C8"/>
    <w:rsid w:val="00C30B6C"/>
    <w:rsid w:val="00C571ED"/>
    <w:rsid w:val="00C61C39"/>
    <w:rsid w:val="00C7750B"/>
    <w:rsid w:val="00C855B6"/>
    <w:rsid w:val="00C90447"/>
    <w:rsid w:val="00CA1FCD"/>
    <w:rsid w:val="00CA2A55"/>
    <w:rsid w:val="00CA395D"/>
    <w:rsid w:val="00CA4E89"/>
    <w:rsid w:val="00CB2BA1"/>
    <w:rsid w:val="00CC2EDE"/>
    <w:rsid w:val="00CD25C6"/>
    <w:rsid w:val="00CE1849"/>
    <w:rsid w:val="00CE38AA"/>
    <w:rsid w:val="00D02106"/>
    <w:rsid w:val="00D3039A"/>
    <w:rsid w:val="00D36F89"/>
    <w:rsid w:val="00D44BC5"/>
    <w:rsid w:val="00D47747"/>
    <w:rsid w:val="00D52739"/>
    <w:rsid w:val="00D64BEF"/>
    <w:rsid w:val="00D7560C"/>
    <w:rsid w:val="00D87A66"/>
    <w:rsid w:val="00DB35EC"/>
    <w:rsid w:val="00DB50E6"/>
    <w:rsid w:val="00DD5404"/>
    <w:rsid w:val="00DD6C0F"/>
    <w:rsid w:val="00DE0EC8"/>
    <w:rsid w:val="00E2257F"/>
    <w:rsid w:val="00E27252"/>
    <w:rsid w:val="00E32FE7"/>
    <w:rsid w:val="00E43A0F"/>
    <w:rsid w:val="00E531CA"/>
    <w:rsid w:val="00E53698"/>
    <w:rsid w:val="00E62BDE"/>
    <w:rsid w:val="00E677DF"/>
    <w:rsid w:val="00E8441C"/>
    <w:rsid w:val="00EA3724"/>
    <w:rsid w:val="00EC2526"/>
    <w:rsid w:val="00ED4CC7"/>
    <w:rsid w:val="00EE3499"/>
    <w:rsid w:val="00EE5D12"/>
    <w:rsid w:val="00F04B23"/>
    <w:rsid w:val="00F13CE1"/>
    <w:rsid w:val="00F331A0"/>
    <w:rsid w:val="00F45C01"/>
    <w:rsid w:val="00F57C2E"/>
    <w:rsid w:val="00F73DCC"/>
    <w:rsid w:val="00F76B23"/>
    <w:rsid w:val="00F77362"/>
    <w:rsid w:val="00F82331"/>
    <w:rsid w:val="00F8480F"/>
    <w:rsid w:val="00FC37EC"/>
    <w:rsid w:val="00FD366E"/>
    <w:rsid w:val="00FD7EE9"/>
    <w:rsid w:val="00FE244C"/>
    <w:rsid w:val="00FF2E07"/>
    <w:rsid w:val="00FF73DF"/>
    <w:rsid w:val="4CC271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18ED45"/>
  <w15:docId w15:val="{7E2FEFF8-CE5B-440F-B135-725B42D74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style>
  <w:style w:type="paragraph" w:styleId="a5">
    <w:name w:val="footer"/>
    <w:basedOn w:val="a"/>
    <w:link w:val="a6"/>
    <w:unhideWhenUsed/>
    <w:pPr>
      <w:tabs>
        <w:tab w:val="center" w:pos="4153"/>
        <w:tab w:val="right" w:pos="8306"/>
      </w:tabs>
      <w:snapToGrid w:val="0"/>
    </w:pPr>
    <w:rPr>
      <w:sz w:val="18"/>
      <w:szCs w:val="18"/>
    </w:rPr>
  </w:style>
  <w:style w:type="paragraph" w:styleId="a7">
    <w:name w:val="header"/>
    <w:basedOn w:val="a"/>
    <w:link w:val="a8"/>
    <w:unhideWhenUsed/>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semiHidden/>
    <w:unhideWhenUsed/>
    <w:rPr>
      <w:b/>
      <w:bCs/>
    </w:rPr>
  </w:style>
  <w:style w:type="character" w:styleId="ab">
    <w:name w:val="annotation reference"/>
    <w:basedOn w:val="a0"/>
    <w:semiHidden/>
    <w:unhideWhenUsed/>
    <w:rPr>
      <w:sz w:val="21"/>
      <w:szCs w:val="21"/>
    </w:rPr>
  </w:style>
  <w:style w:type="character" w:customStyle="1" w:styleId="15">
    <w:name w:val="15"/>
    <w:basedOn w:val="a0"/>
  </w:style>
  <w:style w:type="character" w:customStyle="1" w:styleId="a4">
    <w:name w:val="批注文字 字符"/>
    <w:basedOn w:val="a0"/>
    <w:link w:val="a3"/>
    <w:semiHidden/>
    <w:rPr>
      <w:sz w:val="24"/>
      <w:szCs w:val="24"/>
    </w:rPr>
  </w:style>
  <w:style w:type="character" w:customStyle="1" w:styleId="aa">
    <w:name w:val="批注主题 字符"/>
    <w:basedOn w:val="a4"/>
    <w:link w:val="a9"/>
    <w:semiHidden/>
    <w:rPr>
      <w:b/>
      <w:bCs/>
      <w:sz w:val="24"/>
      <w:szCs w:val="24"/>
    </w:rPr>
  </w:style>
  <w:style w:type="character" w:customStyle="1" w:styleId="a8">
    <w:name w:val="页眉 字符"/>
    <w:basedOn w:val="a0"/>
    <w:link w:val="a7"/>
    <w:rPr>
      <w:sz w:val="18"/>
      <w:szCs w:val="18"/>
    </w:rPr>
  </w:style>
  <w:style w:type="character" w:customStyle="1" w:styleId="a6">
    <w:name w:val="页脚 字符"/>
    <w:basedOn w:val="a0"/>
    <w:link w:val="a5"/>
    <w:rPr>
      <w:sz w:val="18"/>
      <w:szCs w:val="18"/>
    </w:rPr>
  </w:style>
  <w:style w:type="paragraph" w:customStyle="1" w:styleId="1">
    <w:name w:val="修订1"/>
    <w:hidden/>
    <w:uiPriority w:val="99"/>
    <w:semiHidden/>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tarbase.sysu.edu.cn/index.php"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25C98CC0-5BBD-4B8D-970F-944558CB0986}">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45</Pages>
  <Words>9271</Words>
  <Characters>52845</Characters>
  <Application>Microsoft Office Word</Application>
  <DocSecurity>0</DocSecurity>
  <Lines>440</Lines>
  <Paragraphs>123</Paragraphs>
  <ScaleCrop>false</ScaleCrop>
  <Company/>
  <LinksUpToDate>false</LinksUpToDate>
  <CharactersWithSpaces>61993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Wu ruirui</cp:lastModifiedBy>
  <cp:revision>12</cp:revision>
  <dcterms:created xsi:type="dcterms:W3CDTF">2022-04-08T14:13:00Z</dcterms:created>
  <dcterms:modified xsi:type="dcterms:W3CDTF">2022-04-14T10:25:00Z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15811EB2BDC3423FBA01BE8A3142CE5F</vt:lpwstr>
  </property>
</Properties>
</file>