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09C"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Name of Journal: </w:t>
      </w:r>
      <w:r w:rsidRPr="00807723">
        <w:rPr>
          <w:rFonts w:ascii="Book Antiqua" w:eastAsia="Book Antiqua" w:hAnsi="Book Antiqua" w:cs="Book Antiqua"/>
          <w:i/>
          <w:color w:val="000000"/>
        </w:rPr>
        <w:t>World Journal of Hepatology</w:t>
      </w:r>
    </w:p>
    <w:p w14:paraId="555D5084"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Manuscript NO: </w:t>
      </w:r>
      <w:r w:rsidRPr="00807723">
        <w:rPr>
          <w:rFonts w:ascii="Book Antiqua" w:eastAsia="Book Antiqua" w:hAnsi="Book Antiqua" w:cs="Book Antiqua"/>
          <w:color w:val="000000"/>
        </w:rPr>
        <w:t>72516</w:t>
      </w:r>
    </w:p>
    <w:p w14:paraId="77E6B95C"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Manuscript Type: </w:t>
      </w:r>
      <w:r w:rsidRPr="00807723">
        <w:rPr>
          <w:rFonts w:ascii="Book Antiqua" w:eastAsia="Book Antiqua" w:hAnsi="Book Antiqua" w:cs="Book Antiqua"/>
          <w:color w:val="000000"/>
        </w:rPr>
        <w:t>ORIGINAL ARTICLE</w:t>
      </w:r>
    </w:p>
    <w:p w14:paraId="6961F45B" w14:textId="77777777" w:rsidR="00A40FE6" w:rsidRPr="00807723" w:rsidRDefault="00A40FE6">
      <w:pPr>
        <w:spacing w:line="360" w:lineRule="auto"/>
        <w:jc w:val="both"/>
      </w:pPr>
    </w:p>
    <w:p w14:paraId="6DE843A9" w14:textId="77777777" w:rsidR="00A40FE6" w:rsidRPr="00807723" w:rsidRDefault="00214602">
      <w:pPr>
        <w:spacing w:line="360" w:lineRule="auto"/>
        <w:jc w:val="both"/>
      </w:pPr>
      <w:r w:rsidRPr="00807723">
        <w:rPr>
          <w:rFonts w:ascii="Book Antiqua" w:eastAsia="Book Antiqua" w:hAnsi="Book Antiqua" w:cs="Book Antiqua"/>
          <w:b/>
          <w:i/>
          <w:color w:val="000000"/>
        </w:rPr>
        <w:t>Observational Study</w:t>
      </w:r>
    </w:p>
    <w:p w14:paraId="0278AD39" w14:textId="77777777" w:rsidR="00A40FE6" w:rsidRPr="00807723" w:rsidRDefault="00214602">
      <w:pPr>
        <w:spacing w:line="360" w:lineRule="auto"/>
        <w:jc w:val="both"/>
      </w:pPr>
      <w:r w:rsidRPr="00807723">
        <w:rPr>
          <w:rFonts w:ascii="Book Antiqua" w:eastAsia="Book Antiqua" w:hAnsi="Book Antiqua" w:cs="Book Antiqua"/>
          <w:b/>
          <w:color w:val="000000"/>
        </w:rPr>
        <w:t>Assessment of fibroblast growth factor 19 as a non-invasive serum marker for hepatocellular carcinoma</w:t>
      </w:r>
    </w:p>
    <w:p w14:paraId="6A9A1CE0" w14:textId="77777777" w:rsidR="00A40FE6" w:rsidRPr="00807723" w:rsidRDefault="00A40FE6">
      <w:pPr>
        <w:spacing w:line="360" w:lineRule="auto"/>
        <w:jc w:val="both"/>
      </w:pPr>
    </w:p>
    <w:p w14:paraId="3552ADEC" w14:textId="77777777" w:rsidR="00A40FE6" w:rsidRPr="00807723" w:rsidRDefault="00214602">
      <w:pPr>
        <w:spacing w:line="360" w:lineRule="auto"/>
        <w:jc w:val="both"/>
      </w:pPr>
      <w:r w:rsidRPr="00807723">
        <w:rPr>
          <w:rFonts w:ascii="Book Antiqua" w:eastAsia="Book Antiqua" w:hAnsi="Book Antiqua" w:cs="Book Antiqua"/>
          <w:color w:val="000000"/>
        </w:rPr>
        <w:t xml:space="preserve">Mohamed GA </w:t>
      </w:r>
      <w:r w:rsidRPr="00807723">
        <w:rPr>
          <w:rFonts w:ascii="Book Antiqua" w:eastAsia="宋体" w:hAnsi="Book Antiqua" w:cs="宋体"/>
          <w:i/>
          <w:iCs/>
          <w:color w:val="000000"/>
          <w:lang w:eastAsia="zh-CN"/>
        </w:rPr>
        <w:t>et al</w:t>
      </w:r>
      <w:r w:rsidRPr="00807723">
        <w:rPr>
          <w:rFonts w:ascii="Book Antiqua" w:eastAsia="宋体" w:hAnsi="Book Antiqua" w:cs="宋体"/>
          <w:color w:val="000000"/>
          <w:lang w:eastAsia="zh-CN"/>
        </w:rPr>
        <w:t xml:space="preserve">. </w:t>
      </w:r>
      <w:r w:rsidRPr="00807723">
        <w:rPr>
          <w:rFonts w:ascii="Book Antiqua" w:eastAsia="Book Antiqua" w:hAnsi="Book Antiqua" w:cs="Book Antiqua"/>
          <w:color w:val="000000"/>
        </w:rPr>
        <w:t>FGF-19 as a non-invasive marker for HCC</w:t>
      </w:r>
    </w:p>
    <w:p w14:paraId="3FE6FA78" w14:textId="77777777" w:rsidR="00A40FE6" w:rsidRPr="00807723" w:rsidRDefault="00A40FE6">
      <w:pPr>
        <w:spacing w:line="360" w:lineRule="auto"/>
        <w:jc w:val="both"/>
      </w:pPr>
    </w:p>
    <w:p w14:paraId="1B23AF3A" w14:textId="77777777" w:rsidR="00A40FE6" w:rsidRPr="00807723" w:rsidRDefault="00214602">
      <w:pPr>
        <w:spacing w:line="360" w:lineRule="auto"/>
        <w:jc w:val="both"/>
      </w:pPr>
      <w:proofErr w:type="spellStart"/>
      <w:r w:rsidRPr="00807723">
        <w:rPr>
          <w:rFonts w:ascii="Book Antiqua" w:eastAsia="Book Antiqua" w:hAnsi="Book Antiqua" w:cs="Book Antiqua"/>
          <w:color w:val="000000"/>
        </w:rPr>
        <w:t>Ghada</w:t>
      </w:r>
      <w:proofErr w:type="spellEnd"/>
      <w:r w:rsidRPr="00807723">
        <w:rPr>
          <w:rFonts w:ascii="Book Antiqua" w:eastAsia="Book Antiqua" w:hAnsi="Book Antiqua" w:cs="Book Antiqua"/>
          <w:color w:val="000000"/>
        </w:rPr>
        <w:t xml:space="preserve"> Abdelrahman Mohamed, Ehab Hasan </w:t>
      </w:r>
      <w:proofErr w:type="spellStart"/>
      <w:r w:rsidRPr="00807723">
        <w:rPr>
          <w:rFonts w:ascii="Book Antiqua" w:eastAsia="Book Antiqua" w:hAnsi="Book Antiqua" w:cs="Book Antiqua"/>
          <w:color w:val="000000"/>
        </w:rPr>
        <w:t>Nashaat</w:t>
      </w:r>
      <w:proofErr w:type="spellEnd"/>
      <w:r w:rsidRPr="00807723">
        <w:rPr>
          <w:rFonts w:ascii="Book Antiqua" w:eastAsia="Book Antiqua" w:hAnsi="Book Antiqua" w:cs="Book Antiqua"/>
          <w:color w:val="000000"/>
        </w:rPr>
        <w:t xml:space="preserve">, </w:t>
      </w:r>
      <w:proofErr w:type="spellStart"/>
      <w:r w:rsidRPr="00807723">
        <w:rPr>
          <w:rFonts w:ascii="Book Antiqua" w:eastAsia="Book Antiqua" w:hAnsi="Book Antiqua" w:cs="Book Antiqua"/>
          <w:color w:val="000000"/>
        </w:rPr>
        <w:t>Hadeer</w:t>
      </w:r>
      <w:proofErr w:type="spellEnd"/>
      <w:r w:rsidRPr="00807723">
        <w:rPr>
          <w:rFonts w:ascii="Book Antiqua" w:eastAsia="Book Antiqua" w:hAnsi="Book Antiqua" w:cs="Book Antiqua"/>
          <w:color w:val="000000"/>
        </w:rPr>
        <w:t xml:space="preserve"> Mohamed </w:t>
      </w:r>
      <w:proofErr w:type="spellStart"/>
      <w:r w:rsidRPr="00807723">
        <w:rPr>
          <w:rFonts w:ascii="Book Antiqua" w:eastAsia="Book Antiqua" w:hAnsi="Book Antiqua" w:cs="Book Antiqua"/>
          <w:color w:val="000000"/>
        </w:rPr>
        <w:t>Fawzy</w:t>
      </w:r>
      <w:proofErr w:type="spellEnd"/>
      <w:r w:rsidRPr="00807723">
        <w:rPr>
          <w:rFonts w:ascii="Book Antiqua" w:eastAsia="Book Antiqua" w:hAnsi="Book Antiqua" w:cs="Book Antiqua"/>
          <w:color w:val="000000"/>
        </w:rPr>
        <w:t xml:space="preserve">, Ahmed Mohamed </w:t>
      </w:r>
      <w:proofErr w:type="spellStart"/>
      <w:r w:rsidRPr="00807723">
        <w:rPr>
          <w:rFonts w:ascii="Book Antiqua" w:eastAsia="Book Antiqua" w:hAnsi="Book Antiqua" w:cs="Book Antiqua"/>
          <w:color w:val="000000"/>
        </w:rPr>
        <w:t>ElGhandour</w:t>
      </w:r>
      <w:proofErr w:type="spellEnd"/>
    </w:p>
    <w:p w14:paraId="4306118C" w14:textId="77777777" w:rsidR="00A40FE6" w:rsidRPr="00807723" w:rsidRDefault="00A40FE6">
      <w:pPr>
        <w:spacing w:line="360" w:lineRule="auto"/>
        <w:jc w:val="both"/>
      </w:pPr>
    </w:p>
    <w:p w14:paraId="5ADBFAA7" w14:textId="77777777" w:rsidR="00A40FE6" w:rsidRPr="00807723" w:rsidRDefault="00214602">
      <w:pPr>
        <w:spacing w:line="360" w:lineRule="auto"/>
        <w:jc w:val="both"/>
      </w:pPr>
      <w:proofErr w:type="spellStart"/>
      <w:r w:rsidRPr="00807723">
        <w:rPr>
          <w:rFonts w:ascii="Book Antiqua" w:eastAsia="Book Antiqua" w:hAnsi="Book Antiqua" w:cs="Book Antiqua"/>
          <w:b/>
          <w:bCs/>
          <w:color w:val="000000"/>
        </w:rPr>
        <w:t>Ghada</w:t>
      </w:r>
      <w:proofErr w:type="spellEnd"/>
      <w:r w:rsidRPr="00807723">
        <w:rPr>
          <w:rFonts w:ascii="Book Antiqua" w:eastAsia="Book Antiqua" w:hAnsi="Book Antiqua" w:cs="Book Antiqua"/>
          <w:b/>
          <w:bCs/>
          <w:color w:val="000000"/>
        </w:rPr>
        <w:t xml:space="preserve"> Abdelrahman Mohamed, Ehab Hasan </w:t>
      </w:r>
      <w:proofErr w:type="spellStart"/>
      <w:r w:rsidRPr="00807723">
        <w:rPr>
          <w:rFonts w:ascii="Book Antiqua" w:eastAsia="Book Antiqua" w:hAnsi="Book Antiqua" w:cs="Book Antiqua"/>
          <w:b/>
          <w:bCs/>
          <w:color w:val="000000"/>
        </w:rPr>
        <w:t>Nashaat</w:t>
      </w:r>
      <w:proofErr w:type="spellEnd"/>
      <w:r w:rsidRPr="00807723">
        <w:rPr>
          <w:rFonts w:ascii="Book Antiqua" w:eastAsia="Book Antiqua" w:hAnsi="Book Antiqua" w:cs="Book Antiqua"/>
          <w:b/>
          <w:bCs/>
          <w:color w:val="000000"/>
        </w:rPr>
        <w:t xml:space="preserve">, </w:t>
      </w:r>
      <w:proofErr w:type="spellStart"/>
      <w:r w:rsidRPr="00807723">
        <w:rPr>
          <w:rFonts w:ascii="Book Antiqua" w:eastAsia="Book Antiqua" w:hAnsi="Book Antiqua" w:cs="Book Antiqua"/>
          <w:b/>
          <w:bCs/>
          <w:color w:val="000000"/>
        </w:rPr>
        <w:t>Hadeer</w:t>
      </w:r>
      <w:proofErr w:type="spellEnd"/>
      <w:r w:rsidRPr="00807723">
        <w:rPr>
          <w:rFonts w:ascii="Book Antiqua" w:eastAsia="Book Antiqua" w:hAnsi="Book Antiqua" w:cs="Book Antiqua"/>
          <w:b/>
          <w:bCs/>
          <w:color w:val="000000"/>
        </w:rPr>
        <w:t xml:space="preserve"> Mohamed </w:t>
      </w:r>
      <w:proofErr w:type="spellStart"/>
      <w:r w:rsidRPr="00807723">
        <w:rPr>
          <w:rFonts w:ascii="Book Antiqua" w:eastAsia="Book Antiqua" w:hAnsi="Book Antiqua" w:cs="Book Antiqua"/>
          <w:b/>
          <w:bCs/>
          <w:color w:val="000000"/>
        </w:rPr>
        <w:t>Fawzy</w:t>
      </w:r>
      <w:proofErr w:type="spellEnd"/>
      <w:r w:rsidRPr="00807723">
        <w:rPr>
          <w:rFonts w:ascii="Book Antiqua" w:eastAsia="Book Antiqua" w:hAnsi="Book Antiqua" w:cs="Book Antiqua"/>
          <w:b/>
          <w:bCs/>
          <w:color w:val="000000"/>
        </w:rPr>
        <w:t xml:space="preserve">, Ahmed Mohamed </w:t>
      </w:r>
      <w:proofErr w:type="spellStart"/>
      <w:r w:rsidRPr="00807723">
        <w:rPr>
          <w:rFonts w:ascii="Book Antiqua" w:eastAsia="Book Antiqua" w:hAnsi="Book Antiqua" w:cs="Book Antiqua"/>
          <w:b/>
          <w:bCs/>
          <w:color w:val="000000"/>
        </w:rPr>
        <w:t>ElGhandour</w:t>
      </w:r>
      <w:proofErr w:type="spellEnd"/>
      <w:r w:rsidRPr="00807723">
        <w:rPr>
          <w:rFonts w:ascii="Book Antiqua" w:eastAsia="Book Antiqua" w:hAnsi="Book Antiqua" w:cs="Book Antiqua"/>
          <w:b/>
          <w:bCs/>
          <w:color w:val="000000"/>
        </w:rPr>
        <w:t xml:space="preserve">, </w:t>
      </w:r>
      <w:r w:rsidRPr="00807723">
        <w:rPr>
          <w:rFonts w:ascii="Book Antiqua" w:eastAsia="Book Antiqua" w:hAnsi="Book Antiqua" w:cs="Book Antiqua"/>
          <w:color w:val="000000"/>
        </w:rPr>
        <w:t>Department of Internal Medicine, Gastroenterology and Hepatology Unit, Faculty of Medicine, Ain Shams University, Cairo 11591, Egypt</w:t>
      </w:r>
    </w:p>
    <w:p w14:paraId="442BCDDB" w14:textId="77777777" w:rsidR="00A40FE6" w:rsidRPr="00807723" w:rsidRDefault="00A40FE6">
      <w:pPr>
        <w:spacing w:line="360" w:lineRule="auto"/>
        <w:jc w:val="both"/>
      </w:pPr>
    </w:p>
    <w:p w14:paraId="5F8527B1" w14:textId="77777777" w:rsidR="00A40FE6" w:rsidRPr="00807723" w:rsidRDefault="00214602">
      <w:pPr>
        <w:spacing w:line="360" w:lineRule="auto"/>
        <w:jc w:val="both"/>
      </w:pPr>
      <w:r w:rsidRPr="00807723">
        <w:rPr>
          <w:rFonts w:ascii="Book Antiqua" w:eastAsia="Book Antiqua" w:hAnsi="Book Antiqua" w:cs="Book Antiqua"/>
          <w:b/>
          <w:bCs/>
          <w:color w:val="000000"/>
          <w:szCs w:val="22"/>
        </w:rPr>
        <w:t xml:space="preserve">Author contributions: </w:t>
      </w:r>
      <w:r w:rsidRPr="00807723">
        <w:rPr>
          <w:rFonts w:ascii="Book Antiqua" w:eastAsia="Book Antiqua" w:hAnsi="Book Antiqua" w:cs="Book Antiqua"/>
          <w:color w:val="000000"/>
        </w:rPr>
        <w:t xml:space="preserve">Mohamed GA, </w:t>
      </w:r>
      <w:proofErr w:type="spellStart"/>
      <w:r w:rsidRPr="00807723">
        <w:rPr>
          <w:rFonts w:ascii="Book Antiqua" w:eastAsia="Book Antiqua" w:hAnsi="Book Antiqua" w:cs="Book Antiqua"/>
          <w:color w:val="000000"/>
        </w:rPr>
        <w:t>Nashaat</w:t>
      </w:r>
      <w:proofErr w:type="spellEnd"/>
      <w:r w:rsidRPr="00807723">
        <w:rPr>
          <w:rFonts w:ascii="Book Antiqua" w:eastAsia="Book Antiqua" w:hAnsi="Book Antiqua" w:cs="Book Antiqua"/>
          <w:color w:val="000000"/>
        </w:rPr>
        <w:t xml:space="preserve"> EH, and </w:t>
      </w:r>
      <w:proofErr w:type="spellStart"/>
      <w:r w:rsidRPr="00807723">
        <w:rPr>
          <w:rFonts w:ascii="Book Antiqua" w:eastAsia="Book Antiqua" w:hAnsi="Book Antiqua" w:cs="Book Antiqua"/>
          <w:color w:val="000000"/>
        </w:rPr>
        <w:t>ElGhandour</w:t>
      </w:r>
      <w:proofErr w:type="spellEnd"/>
      <w:r w:rsidRPr="00807723">
        <w:rPr>
          <w:rFonts w:ascii="Book Antiqua" w:eastAsia="Book Antiqua" w:hAnsi="Book Antiqua" w:cs="Book Antiqua"/>
          <w:color w:val="000000"/>
        </w:rPr>
        <w:t xml:space="preserve"> AM designed the study; </w:t>
      </w:r>
      <w:proofErr w:type="spellStart"/>
      <w:r w:rsidRPr="00807723">
        <w:rPr>
          <w:rFonts w:ascii="Book Antiqua" w:eastAsia="Book Antiqua" w:hAnsi="Book Antiqua" w:cs="Book Antiqua"/>
          <w:color w:val="000000"/>
        </w:rPr>
        <w:t>Fawzy</w:t>
      </w:r>
      <w:proofErr w:type="spellEnd"/>
      <w:r w:rsidRPr="00807723">
        <w:rPr>
          <w:rFonts w:ascii="Book Antiqua" w:eastAsia="Book Antiqua" w:hAnsi="Book Antiqua" w:cs="Book Antiqua"/>
          <w:color w:val="000000"/>
        </w:rPr>
        <w:t xml:space="preserve"> HM participated in the acquisition of the data; Mohamed GA, </w:t>
      </w:r>
      <w:proofErr w:type="spellStart"/>
      <w:r w:rsidRPr="00807723">
        <w:rPr>
          <w:rFonts w:ascii="Book Antiqua" w:eastAsia="Book Antiqua" w:hAnsi="Book Antiqua" w:cs="Book Antiqua"/>
          <w:color w:val="000000"/>
        </w:rPr>
        <w:t>Nashaat</w:t>
      </w:r>
      <w:proofErr w:type="spellEnd"/>
      <w:r w:rsidRPr="00807723">
        <w:rPr>
          <w:rFonts w:ascii="Book Antiqua" w:eastAsia="Book Antiqua" w:hAnsi="Book Antiqua" w:cs="Book Antiqua"/>
          <w:color w:val="000000"/>
        </w:rPr>
        <w:t xml:space="preserve"> EH, </w:t>
      </w:r>
      <w:proofErr w:type="spellStart"/>
      <w:r w:rsidRPr="00807723">
        <w:rPr>
          <w:rFonts w:ascii="Book Antiqua" w:eastAsia="Book Antiqua" w:hAnsi="Book Antiqua" w:cs="Book Antiqua"/>
          <w:color w:val="000000"/>
        </w:rPr>
        <w:t>Fawzy</w:t>
      </w:r>
      <w:proofErr w:type="spellEnd"/>
      <w:r w:rsidRPr="00807723">
        <w:rPr>
          <w:rFonts w:ascii="Book Antiqua" w:eastAsia="Book Antiqua" w:hAnsi="Book Antiqua" w:cs="Book Antiqua"/>
          <w:color w:val="000000"/>
        </w:rPr>
        <w:t xml:space="preserve"> HM, and </w:t>
      </w:r>
      <w:proofErr w:type="spellStart"/>
      <w:r w:rsidRPr="00807723">
        <w:rPr>
          <w:rFonts w:ascii="Book Antiqua" w:eastAsia="Book Antiqua" w:hAnsi="Book Antiqua" w:cs="Book Antiqua"/>
          <w:color w:val="000000"/>
        </w:rPr>
        <w:t>ElGhandour</w:t>
      </w:r>
      <w:proofErr w:type="spellEnd"/>
      <w:r w:rsidRPr="00807723">
        <w:rPr>
          <w:rFonts w:ascii="Book Antiqua" w:eastAsia="Book Antiqua" w:hAnsi="Book Antiqua" w:cs="Book Antiqua"/>
          <w:color w:val="000000"/>
        </w:rPr>
        <w:t xml:space="preserve"> AM participated in the analysis and interpretation of the data; Mohamed GA, </w:t>
      </w:r>
      <w:proofErr w:type="spellStart"/>
      <w:r w:rsidRPr="00807723">
        <w:rPr>
          <w:rFonts w:ascii="Book Antiqua" w:eastAsia="Book Antiqua" w:hAnsi="Book Antiqua" w:cs="Book Antiqua"/>
          <w:color w:val="000000"/>
        </w:rPr>
        <w:t>Nashaat</w:t>
      </w:r>
      <w:proofErr w:type="spellEnd"/>
      <w:r w:rsidRPr="00807723">
        <w:rPr>
          <w:rFonts w:ascii="Book Antiqua" w:eastAsia="Book Antiqua" w:hAnsi="Book Antiqua" w:cs="Book Antiqua"/>
          <w:color w:val="000000"/>
        </w:rPr>
        <w:t xml:space="preserve"> EH, </w:t>
      </w:r>
      <w:proofErr w:type="spellStart"/>
      <w:r w:rsidRPr="00807723">
        <w:rPr>
          <w:rFonts w:ascii="Book Antiqua" w:eastAsia="Book Antiqua" w:hAnsi="Book Antiqua" w:cs="Book Antiqua"/>
          <w:color w:val="000000"/>
        </w:rPr>
        <w:t>Fawzy</w:t>
      </w:r>
      <w:proofErr w:type="spellEnd"/>
      <w:r w:rsidRPr="00807723">
        <w:rPr>
          <w:rFonts w:ascii="Book Antiqua" w:eastAsia="Book Antiqua" w:hAnsi="Book Antiqua" w:cs="Book Antiqua"/>
          <w:color w:val="000000"/>
        </w:rPr>
        <w:t xml:space="preserve"> HM, and </w:t>
      </w:r>
      <w:proofErr w:type="spellStart"/>
      <w:r w:rsidRPr="00807723">
        <w:rPr>
          <w:rFonts w:ascii="Book Antiqua" w:eastAsia="Book Antiqua" w:hAnsi="Book Antiqua" w:cs="Book Antiqua"/>
          <w:color w:val="000000"/>
        </w:rPr>
        <w:t>ElGhandour</w:t>
      </w:r>
      <w:proofErr w:type="spellEnd"/>
      <w:r w:rsidRPr="00807723">
        <w:rPr>
          <w:rFonts w:ascii="Book Antiqua" w:eastAsia="Book Antiqua" w:hAnsi="Book Antiqua" w:cs="Book Antiqua"/>
          <w:color w:val="000000"/>
        </w:rPr>
        <w:t xml:space="preserve"> AM revised the article critically for important intellectual content; Mohamed GA wrote the manuscript.</w:t>
      </w:r>
    </w:p>
    <w:p w14:paraId="1250A90A" w14:textId="77777777" w:rsidR="00A40FE6" w:rsidRPr="00807723" w:rsidRDefault="00A40FE6">
      <w:pPr>
        <w:spacing w:line="360" w:lineRule="auto"/>
        <w:jc w:val="both"/>
      </w:pPr>
    </w:p>
    <w:p w14:paraId="3B71A226" w14:textId="77777777" w:rsidR="00A40FE6" w:rsidRPr="00807723" w:rsidRDefault="00214602">
      <w:pPr>
        <w:spacing w:line="360" w:lineRule="auto"/>
        <w:jc w:val="both"/>
      </w:pPr>
      <w:r w:rsidRPr="00807723">
        <w:rPr>
          <w:rFonts w:ascii="Book Antiqua" w:eastAsia="Book Antiqua" w:hAnsi="Book Antiqua" w:cs="Book Antiqua"/>
          <w:b/>
          <w:bCs/>
          <w:color w:val="000000"/>
        </w:rPr>
        <w:t xml:space="preserve">Corresponding author: </w:t>
      </w:r>
      <w:proofErr w:type="spellStart"/>
      <w:r w:rsidRPr="00807723">
        <w:rPr>
          <w:rFonts w:ascii="Book Antiqua" w:eastAsia="Book Antiqua" w:hAnsi="Book Antiqua" w:cs="Book Antiqua"/>
          <w:b/>
          <w:bCs/>
          <w:color w:val="000000"/>
        </w:rPr>
        <w:t>Ghada</w:t>
      </w:r>
      <w:proofErr w:type="spellEnd"/>
      <w:r w:rsidRPr="00807723">
        <w:rPr>
          <w:rFonts w:ascii="Book Antiqua" w:eastAsia="Book Antiqua" w:hAnsi="Book Antiqua" w:cs="Book Antiqua"/>
          <w:b/>
          <w:bCs/>
          <w:color w:val="000000"/>
        </w:rPr>
        <w:t xml:space="preserve"> Abdelrahman Mohamed, MD, Lecturer, </w:t>
      </w:r>
      <w:r w:rsidRPr="00807723">
        <w:rPr>
          <w:rFonts w:ascii="Book Antiqua" w:eastAsia="Book Antiqua" w:hAnsi="Book Antiqua" w:cs="Book Antiqua"/>
          <w:color w:val="000000"/>
        </w:rPr>
        <w:t>Department of Internal Medicine, Gastroenterology and Hepatology Unit, Faculty of Medicine, Ain Shams University, El Khalifa El-</w:t>
      </w:r>
      <w:proofErr w:type="spellStart"/>
      <w:r w:rsidRPr="00807723">
        <w:rPr>
          <w:rFonts w:ascii="Book Antiqua" w:eastAsia="Book Antiqua" w:hAnsi="Book Antiqua" w:cs="Book Antiqua"/>
          <w:color w:val="000000"/>
        </w:rPr>
        <w:t>Maamon</w:t>
      </w:r>
      <w:proofErr w:type="spellEnd"/>
      <w:r w:rsidRPr="00807723">
        <w:rPr>
          <w:rFonts w:ascii="Book Antiqua" w:eastAsia="Book Antiqua" w:hAnsi="Book Antiqua" w:cs="Book Antiqua"/>
          <w:color w:val="000000"/>
        </w:rPr>
        <w:t xml:space="preserve"> St., </w:t>
      </w:r>
      <w:proofErr w:type="spellStart"/>
      <w:r w:rsidRPr="00807723">
        <w:rPr>
          <w:rFonts w:ascii="Book Antiqua" w:eastAsia="Book Antiqua" w:hAnsi="Book Antiqua" w:cs="Book Antiqua"/>
          <w:color w:val="000000"/>
        </w:rPr>
        <w:t>Abbassia</w:t>
      </w:r>
      <w:proofErr w:type="spellEnd"/>
      <w:r w:rsidRPr="00807723">
        <w:rPr>
          <w:rFonts w:ascii="Book Antiqua" w:eastAsia="Book Antiqua" w:hAnsi="Book Antiqua" w:cs="Book Antiqua"/>
          <w:color w:val="000000"/>
        </w:rPr>
        <w:t>, Cairo 11591, Egypt. ghadaabdelrahman@med.asu.edu.eg</w:t>
      </w:r>
    </w:p>
    <w:p w14:paraId="11666A84" w14:textId="77777777" w:rsidR="00A40FE6" w:rsidRPr="00807723" w:rsidRDefault="00A40FE6">
      <w:pPr>
        <w:spacing w:line="360" w:lineRule="auto"/>
        <w:jc w:val="both"/>
      </w:pPr>
    </w:p>
    <w:p w14:paraId="21111436" w14:textId="77777777" w:rsidR="00A40FE6" w:rsidRPr="00807723" w:rsidRDefault="00214602">
      <w:pPr>
        <w:spacing w:line="360" w:lineRule="auto"/>
        <w:jc w:val="both"/>
      </w:pPr>
      <w:r w:rsidRPr="00807723">
        <w:rPr>
          <w:rFonts w:ascii="Book Antiqua" w:eastAsia="Book Antiqua" w:hAnsi="Book Antiqua" w:cs="Book Antiqua"/>
          <w:b/>
          <w:bCs/>
          <w:color w:val="000000"/>
        </w:rPr>
        <w:t xml:space="preserve">Received: </w:t>
      </w:r>
      <w:r w:rsidRPr="00807723">
        <w:rPr>
          <w:rFonts w:ascii="Book Antiqua" w:eastAsia="Book Antiqua" w:hAnsi="Book Antiqua" w:cs="Book Antiqua"/>
          <w:color w:val="000000"/>
        </w:rPr>
        <w:t>October 19, 2021</w:t>
      </w:r>
    </w:p>
    <w:p w14:paraId="27410F52" w14:textId="77777777" w:rsidR="00A40FE6" w:rsidRPr="00807723" w:rsidRDefault="00214602">
      <w:pPr>
        <w:spacing w:line="360" w:lineRule="auto"/>
        <w:jc w:val="both"/>
      </w:pPr>
      <w:r w:rsidRPr="00807723">
        <w:rPr>
          <w:rFonts w:ascii="Book Antiqua" w:eastAsia="Book Antiqua" w:hAnsi="Book Antiqua" w:cs="Book Antiqua"/>
          <w:b/>
          <w:bCs/>
          <w:color w:val="000000"/>
        </w:rPr>
        <w:lastRenderedPageBreak/>
        <w:t xml:space="preserve">Revised: </w:t>
      </w:r>
      <w:r w:rsidRPr="00807723">
        <w:rPr>
          <w:rFonts w:ascii="Book Antiqua" w:eastAsia="Book Antiqua" w:hAnsi="Book Antiqua" w:cs="Book Antiqua"/>
          <w:color w:val="000000"/>
        </w:rPr>
        <w:t>December 19, 2022</w:t>
      </w:r>
    </w:p>
    <w:p w14:paraId="05F57D02" w14:textId="77777777" w:rsidR="00A40FE6" w:rsidRPr="00807723" w:rsidRDefault="00214602">
      <w:pPr>
        <w:spacing w:line="360" w:lineRule="auto"/>
        <w:jc w:val="both"/>
      </w:pPr>
      <w:r w:rsidRPr="00807723">
        <w:rPr>
          <w:rFonts w:ascii="Book Antiqua" w:eastAsia="Book Antiqua" w:hAnsi="Book Antiqua" w:cs="Book Antiqua"/>
          <w:b/>
          <w:bCs/>
          <w:color w:val="000000"/>
        </w:rPr>
        <w:t xml:space="preserve">Accepted: </w:t>
      </w:r>
      <w:r w:rsidRPr="00807723">
        <w:rPr>
          <w:rFonts w:ascii="Book Antiqua" w:eastAsia="Book Antiqua" w:hAnsi="Book Antiqua" w:cs="Book Antiqua"/>
          <w:color w:val="000000"/>
        </w:rPr>
        <w:t>February 20, 2022</w:t>
      </w:r>
    </w:p>
    <w:p w14:paraId="35C95C64" w14:textId="77777777" w:rsidR="00A40FE6" w:rsidRPr="00807723" w:rsidRDefault="00214602">
      <w:pPr>
        <w:spacing w:line="360" w:lineRule="auto"/>
        <w:jc w:val="both"/>
      </w:pPr>
      <w:r w:rsidRPr="00807723">
        <w:rPr>
          <w:rFonts w:ascii="Book Antiqua" w:eastAsia="Book Antiqua" w:hAnsi="Book Antiqua" w:cs="Book Antiqua"/>
          <w:b/>
          <w:bCs/>
          <w:color w:val="000000"/>
        </w:rPr>
        <w:t xml:space="preserve">Published online: </w:t>
      </w:r>
      <w:r w:rsidRPr="00807723">
        <w:rPr>
          <w:rFonts w:ascii="Book Antiqua" w:eastAsia="Book Antiqua" w:hAnsi="Book Antiqua" w:cs="Book Antiqua"/>
          <w:color w:val="000000"/>
          <w:shd w:val="clear" w:color="auto" w:fill="FFFFFF"/>
        </w:rPr>
        <w:t>March 27, 2022</w:t>
      </w:r>
    </w:p>
    <w:p w14:paraId="08EA37AE" w14:textId="77777777" w:rsidR="00A40FE6" w:rsidRPr="00807723" w:rsidRDefault="00A40FE6">
      <w:pPr>
        <w:spacing w:line="360" w:lineRule="auto"/>
        <w:jc w:val="both"/>
        <w:sectPr w:rsidR="00A40FE6" w:rsidRPr="00807723">
          <w:footerReference w:type="default" r:id="rId8"/>
          <w:pgSz w:w="12240" w:h="15840"/>
          <w:pgMar w:top="1440" w:right="1440" w:bottom="1440" w:left="1440" w:header="720" w:footer="720" w:gutter="0"/>
          <w:cols w:space="720"/>
          <w:docGrid w:linePitch="360"/>
        </w:sectPr>
      </w:pPr>
    </w:p>
    <w:p w14:paraId="1C66CF67" w14:textId="77777777" w:rsidR="00A40FE6" w:rsidRPr="00807723" w:rsidRDefault="00214602">
      <w:pPr>
        <w:spacing w:line="360" w:lineRule="auto"/>
        <w:jc w:val="both"/>
      </w:pPr>
      <w:r w:rsidRPr="00807723">
        <w:rPr>
          <w:rFonts w:ascii="Book Antiqua" w:eastAsia="Book Antiqua" w:hAnsi="Book Antiqua" w:cs="Book Antiqua"/>
          <w:b/>
          <w:color w:val="000000"/>
        </w:rPr>
        <w:lastRenderedPageBreak/>
        <w:t>Abstract</w:t>
      </w:r>
    </w:p>
    <w:p w14:paraId="2F2F56F2" w14:textId="77777777" w:rsidR="00A40FE6" w:rsidRPr="00807723" w:rsidRDefault="00214602">
      <w:pPr>
        <w:spacing w:line="360" w:lineRule="auto"/>
        <w:jc w:val="both"/>
      </w:pPr>
      <w:r w:rsidRPr="00807723">
        <w:rPr>
          <w:rFonts w:ascii="Book Antiqua" w:eastAsia="Book Antiqua" w:hAnsi="Book Antiqua" w:cs="Book Antiqua"/>
          <w:color w:val="000000"/>
        </w:rPr>
        <w:t>BACKGROUND</w:t>
      </w:r>
    </w:p>
    <w:p w14:paraId="4627420D" w14:textId="77777777" w:rsidR="00A40FE6" w:rsidRPr="00807723" w:rsidRDefault="00214602">
      <w:pPr>
        <w:spacing w:line="360" w:lineRule="auto"/>
        <w:jc w:val="both"/>
      </w:pPr>
      <w:r w:rsidRPr="00807723">
        <w:rPr>
          <w:rFonts w:ascii="Book Antiqua" w:eastAsia="Book Antiqua" w:hAnsi="Book Antiqua" w:cs="Book Antiqua"/>
          <w:color w:val="000000"/>
        </w:rPr>
        <w:t xml:space="preserve">Fibroblast growth factor 19 (FGF-19) is one of the founding members of the endocrine FGF subfamily. Recently, it has been the subject of much interest owing to its role in various physiological processes affecting glucose and lipid metabolism and the regulation of bile acid secretion as well as cell proliferation, differentiation, and motility. Additionally, FGF-19 secretion in an autocrine style has reportedly contributed to cancer progression in various types of malignancies including hepatocellular carcinoma (HCC). </w:t>
      </w:r>
    </w:p>
    <w:p w14:paraId="6B1DD924" w14:textId="77777777" w:rsidR="00A40FE6" w:rsidRPr="00807723" w:rsidRDefault="00A40FE6">
      <w:pPr>
        <w:spacing w:line="360" w:lineRule="auto"/>
        <w:jc w:val="both"/>
      </w:pPr>
    </w:p>
    <w:p w14:paraId="732033E9" w14:textId="77777777" w:rsidR="00A40FE6" w:rsidRPr="00807723" w:rsidRDefault="00214602">
      <w:pPr>
        <w:spacing w:line="360" w:lineRule="auto"/>
        <w:jc w:val="both"/>
      </w:pPr>
      <w:r w:rsidRPr="00807723">
        <w:rPr>
          <w:rFonts w:ascii="Book Antiqua" w:eastAsia="Book Antiqua" w:hAnsi="Book Antiqua" w:cs="Book Antiqua"/>
          <w:color w:val="000000"/>
        </w:rPr>
        <w:t>AIM</w:t>
      </w:r>
    </w:p>
    <w:p w14:paraId="357458F9" w14:textId="77777777" w:rsidR="00A40FE6" w:rsidRPr="00807723" w:rsidRDefault="00214602">
      <w:pPr>
        <w:spacing w:line="360" w:lineRule="auto"/>
        <w:jc w:val="both"/>
      </w:pPr>
      <w:r w:rsidRPr="00807723">
        <w:rPr>
          <w:rFonts w:ascii="Book Antiqua" w:eastAsia="Book Antiqua" w:hAnsi="Book Antiqua" w:cs="Book Antiqua"/>
          <w:color w:val="000000"/>
        </w:rPr>
        <w:t>To estimate the serum FGF-19 concentrations in HCC cases and assess its diagnostic performance for the detection of HCC.</w:t>
      </w:r>
    </w:p>
    <w:p w14:paraId="4B860E84" w14:textId="77777777" w:rsidR="00A40FE6" w:rsidRPr="00807723" w:rsidRDefault="00A40FE6">
      <w:pPr>
        <w:spacing w:line="360" w:lineRule="auto"/>
        <w:jc w:val="both"/>
      </w:pPr>
    </w:p>
    <w:p w14:paraId="70E7B16C" w14:textId="77777777" w:rsidR="00A40FE6" w:rsidRPr="00807723" w:rsidRDefault="00214602">
      <w:pPr>
        <w:spacing w:line="360" w:lineRule="auto"/>
        <w:jc w:val="both"/>
      </w:pPr>
      <w:r w:rsidRPr="00807723">
        <w:rPr>
          <w:rFonts w:ascii="Book Antiqua" w:eastAsia="Book Antiqua" w:hAnsi="Book Antiqua" w:cs="Book Antiqua"/>
          <w:color w:val="000000"/>
        </w:rPr>
        <w:t>METHODS</w:t>
      </w:r>
    </w:p>
    <w:p w14:paraId="038E636A" w14:textId="77777777" w:rsidR="00A40FE6" w:rsidRPr="00807723" w:rsidRDefault="00214602">
      <w:pPr>
        <w:spacing w:line="360" w:lineRule="auto"/>
        <w:jc w:val="both"/>
      </w:pPr>
      <w:r w:rsidRPr="00807723">
        <w:rPr>
          <w:rFonts w:ascii="Book Antiqua" w:eastAsia="Book Antiqua" w:hAnsi="Book Antiqua" w:cs="Book Antiqua"/>
          <w:color w:val="000000"/>
        </w:rPr>
        <w:t xml:space="preserve">We recruited 90 adult participants and divided them into three equal groups: Healthy controls, cirrhosis patients, and HCC patients. Serum FGF-19 concentrations were measured using the Human FGF-19 ELISA kit. </w:t>
      </w:r>
    </w:p>
    <w:p w14:paraId="088891A2" w14:textId="77777777" w:rsidR="00A40FE6" w:rsidRPr="00807723" w:rsidRDefault="00A40FE6">
      <w:pPr>
        <w:spacing w:line="360" w:lineRule="auto"/>
        <w:jc w:val="both"/>
      </w:pPr>
    </w:p>
    <w:p w14:paraId="7A47A933" w14:textId="77777777" w:rsidR="00A40FE6" w:rsidRPr="00807723" w:rsidRDefault="00214602">
      <w:pPr>
        <w:spacing w:line="360" w:lineRule="auto"/>
        <w:jc w:val="both"/>
      </w:pPr>
      <w:r w:rsidRPr="00807723">
        <w:rPr>
          <w:rFonts w:ascii="Book Antiqua" w:eastAsia="Book Antiqua" w:hAnsi="Book Antiqua" w:cs="Book Antiqua"/>
          <w:color w:val="000000"/>
        </w:rPr>
        <w:t>RESULTS</w:t>
      </w:r>
    </w:p>
    <w:p w14:paraId="2A32EFF5" w14:textId="77777777" w:rsidR="00A40FE6" w:rsidRPr="00807723" w:rsidRDefault="00214602">
      <w:pPr>
        <w:spacing w:line="360" w:lineRule="auto"/>
        <w:jc w:val="both"/>
      </w:pPr>
      <w:r w:rsidRPr="00807723">
        <w:rPr>
          <w:rFonts w:ascii="Book Antiqua" w:eastAsia="Book Antiqua" w:hAnsi="Book Antiqua" w:cs="Book Antiqua"/>
          <w:color w:val="000000"/>
        </w:rPr>
        <w:t xml:space="preserve">We detected a high statistically significant difference in serum FGF-19 levels among the three groups. The highest level was observed in the HCC group, followed by the cirrhosis and control groups (236.44 ± 40.94 </w:t>
      </w:r>
      <w:r w:rsidRPr="00807723">
        <w:rPr>
          <w:rFonts w:ascii="Book Antiqua" w:eastAsia="Book Antiqua" w:hAnsi="Book Antiqua" w:cs="Book Antiqua"/>
          <w:i/>
          <w:iCs/>
          <w:color w:val="000000"/>
        </w:rPr>
        <w:t xml:space="preserve">vs </w:t>
      </w:r>
      <w:r w:rsidRPr="00807723">
        <w:rPr>
          <w:rFonts w:ascii="Book Antiqua" w:eastAsia="Book Antiqua" w:hAnsi="Book Antiqua" w:cs="Book Antiqua"/>
          <w:color w:val="000000"/>
        </w:rPr>
        <w:t xml:space="preserve">125.63 ± 31.54 </w:t>
      </w:r>
      <w:r w:rsidRPr="00807723">
        <w:rPr>
          <w:rFonts w:ascii="Book Antiqua" w:eastAsia="Book Antiqua" w:hAnsi="Book Antiqua" w:cs="Book Antiqua"/>
          <w:i/>
          <w:iCs/>
          <w:color w:val="000000"/>
        </w:rPr>
        <w:t>vs</w:t>
      </w:r>
      <w:r w:rsidRPr="00807723">
        <w:rPr>
          <w:rFonts w:ascii="Book Antiqua" w:eastAsia="Book Antiqua" w:hAnsi="Book Antiqua" w:cs="Book Antiqua"/>
          <w:color w:val="000000"/>
        </w:rPr>
        <w:t xml:space="preserve"> 69.60 ± 20.90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respectively,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0.001). FGF-19 was positively correlated with alpha fetoprotein (AFP;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0.383,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0.003) and international normalised ratio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0.357,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0.005), while it was negatively correlated with albumin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-0.500,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0.001). For the detection of HCC, receiver operating characteristic curve analysis showed that the best cut-off </w:t>
      </w:r>
      <w:proofErr w:type="gramStart"/>
      <w:r w:rsidRPr="00807723">
        <w:rPr>
          <w:rFonts w:ascii="Book Antiqua" w:eastAsia="Book Antiqua" w:hAnsi="Book Antiqua" w:cs="Book Antiqua"/>
          <w:color w:val="000000"/>
        </w:rPr>
        <w:t>point</w:t>
      </w:r>
      <w:proofErr w:type="gramEnd"/>
      <w:r w:rsidRPr="00807723">
        <w:rPr>
          <w:rFonts w:ascii="Book Antiqua" w:eastAsia="Book Antiqua" w:hAnsi="Book Antiqua" w:cs="Book Antiqua"/>
          <w:color w:val="000000"/>
        </w:rPr>
        <w:t xml:space="preserve"> of AFP was &gt; 8.2 ng/mL with an area under the curve (AUC) of 0.78, sensitivity of 63.33%, specificity of 83.33%, positive predictive value (PPV) of 79.2%, negative predictive value (NPV) of 69.4%, and total accuracy of 78%. However, FGF-19 at a cut-off point &gt; 180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had </w:t>
      </w:r>
      <w:r w:rsidRPr="00807723">
        <w:rPr>
          <w:rFonts w:ascii="Book Antiqua" w:eastAsia="Book Antiqua" w:hAnsi="Book Antiqua" w:cs="Book Antiqua"/>
          <w:color w:val="000000"/>
        </w:rPr>
        <w:lastRenderedPageBreak/>
        <w:t>an AUC of 0.98, sensitivity of 100%, specificity of 90.0%, PPV of 90.0%, NPV of 100%, and total accuracy of 98%.</w:t>
      </w:r>
    </w:p>
    <w:p w14:paraId="7F2C492A" w14:textId="77777777" w:rsidR="00A40FE6" w:rsidRPr="00807723" w:rsidRDefault="00A40FE6">
      <w:pPr>
        <w:spacing w:line="360" w:lineRule="auto"/>
        <w:jc w:val="both"/>
      </w:pPr>
    </w:p>
    <w:p w14:paraId="60FFD52E" w14:textId="77777777" w:rsidR="00A40FE6" w:rsidRPr="00807723" w:rsidRDefault="00214602">
      <w:pPr>
        <w:spacing w:line="360" w:lineRule="auto"/>
        <w:jc w:val="both"/>
      </w:pPr>
      <w:r w:rsidRPr="00807723">
        <w:rPr>
          <w:rFonts w:ascii="Book Antiqua" w:eastAsia="Book Antiqua" w:hAnsi="Book Antiqua" w:cs="Book Antiqua"/>
          <w:color w:val="000000"/>
        </w:rPr>
        <w:t>CONCLUSION</w:t>
      </w:r>
    </w:p>
    <w:p w14:paraId="51A2288A" w14:textId="77777777" w:rsidR="00A40FE6" w:rsidRPr="00807723" w:rsidRDefault="00214602">
      <w:pPr>
        <w:spacing w:line="360" w:lineRule="auto"/>
        <w:jc w:val="both"/>
      </w:pPr>
      <w:r w:rsidRPr="00807723">
        <w:rPr>
          <w:rFonts w:ascii="Book Antiqua" w:eastAsia="Book Antiqua" w:hAnsi="Book Antiqua" w:cs="Book Antiqua"/>
          <w:color w:val="000000"/>
        </w:rPr>
        <w:t>FGF-19 represents a possible novel non-invasive marker for HCC. It may improve the prognosis of HCC patients due to its utility in several aspects of HCC detection and management.</w:t>
      </w:r>
    </w:p>
    <w:p w14:paraId="54FA2660" w14:textId="77777777" w:rsidR="00A40FE6" w:rsidRPr="00807723" w:rsidRDefault="00A40FE6">
      <w:pPr>
        <w:spacing w:line="360" w:lineRule="auto"/>
        <w:jc w:val="both"/>
      </w:pPr>
    </w:p>
    <w:p w14:paraId="1B9F0E77" w14:textId="77777777" w:rsidR="00A40FE6" w:rsidRPr="00807723" w:rsidRDefault="00214602">
      <w:pPr>
        <w:spacing w:line="360" w:lineRule="auto"/>
        <w:jc w:val="both"/>
      </w:pPr>
      <w:r w:rsidRPr="00807723">
        <w:rPr>
          <w:rFonts w:ascii="Book Antiqua" w:eastAsia="Book Antiqua" w:hAnsi="Book Antiqua" w:cs="Book Antiqua"/>
          <w:b/>
          <w:bCs/>
          <w:color w:val="000000"/>
        </w:rPr>
        <w:t xml:space="preserve">Key Words: </w:t>
      </w:r>
      <w:r w:rsidRPr="00807723">
        <w:rPr>
          <w:rFonts w:ascii="Book Antiqua" w:eastAsia="Book Antiqua" w:hAnsi="Book Antiqua" w:cs="Book Antiqua"/>
          <w:color w:val="000000"/>
        </w:rPr>
        <w:t>Fibroblast growth factor 19; FGF-19; Fibroblast growth factors; Tumour biomarkers; Hepatocellular carcinoma; Detection; Cirrhosis</w:t>
      </w:r>
    </w:p>
    <w:p w14:paraId="3FFA99B0" w14:textId="77777777" w:rsidR="00A40FE6" w:rsidRPr="00807723" w:rsidRDefault="00A40FE6">
      <w:pPr>
        <w:spacing w:line="360" w:lineRule="auto"/>
        <w:jc w:val="both"/>
      </w:pPr>
    </w:p>
    <w:p w14:paraId="3E54BE71" w14:textId="77777777" w:rsidR="006A57E3" w:rsidRPr="00807723" w:rsidRDefault="006A57E3" w:rsidP="006A57E3">
      <w:pPr>
        <w:spacing w:line="360" w:lineRule="auto"/>
        <w:rPr>
          <w:rFonts w:ascii="Book Antiqua" w:eastAsia="Book Antiqua" w:hAnsi="Book Antiqua" w:cs="Book Antiqua"/>
          <w:color w:val="000000"/>
          <w:lang w:val="en-US"/>
        </w:rPr>
      </w:pPr>
      <w:bookmarkStart w:id="0" w:name="_Hlk85017019"/>
      <w:bookmarkStart w:id="1" w:name="_Hlk85017027"/>
      <w:r w:rsidRPr="00807723">
        <w:rPr>
          <w:rFonts w:ascii="Book Antiqua" w:eastAsia="Book Antiqua" w:hAnsi="Book Antiqua" w:cs="Book Antiqua"/>
          <w:b/>
          <w:color w:val="000000"/>
        </w:rPr>
        <w:t>©The</w:t>
      </w:r>
      <w:r w:rsidRPr="00807723">
        <w:rPr>
          <w:rFonts w:ascii="Book Antiqua" w:eastAsia="Book Antiqua" w:hAnsi="Book Antiqua" w:cs="Book Antiqua"/>
          <w:color w:val="000000"/>
        </w:rPr>
        <w:t xml:space="preserve"> </w:t>
      </w:r>
      <w:r w:rsidRPr="00807723">
        <w:rPr>
          <w:rFonts w:ascii="Book Antiqua" w:eastAsia="Book Antiqua" w:hAnsi="Book Antiqua" w:cs="Book Antiqua"/>
          <w:b/>
          <w:color w:val="000000"/>
        </w:rPr>
        <w:t xml:space="preserve">Author(s) 2022. </w:t>
      </w:r>
      <w:r w:rsidRPr="00807723">
        <w:rPr>
          <w:rFonts w:ascii="Book Antiqua" w:eastAsia="Book Antiqua" w:hAnsi="Book Antiqua" w:cs="Book Antiqua"/>
          <w:color w:val="000000"/>
        </w:rPr>
        <w:t xml:space="preserve">Published by </w:t>
      </w:r>
      <w:proofErr w:type="spellStart"/>
      <w:r w:rsidRPr="00807723">
        <w:rPr>
          <w:rFonts w:ascii="Book Antiqua" w:eastAsia="Book Antiqua" w:hAnsi="Book Antiqua" w:cs="Book Antiqua"/>
          <w:color w:val="000000"/>
        </w:rPr>
        <w:t>Baishideng</w:t>
      </w:r>
      <w:proofErr w:type="spellEnd"/>
      <w:r w:rsidRPr="00807723">
        <w:rPr>
          <w:rFonts w:ascii="Book Antiqua" w:eastAsia="Book Antiqua" w:hAnsi="Book Antiqua" w:cs="Book Antiqua"/>
          <w:color w:val="000000"/>
        </w:rPr>
        <w:t xml:space="preserve"> Publishing Group Inc. All rights reserved. </w:t>
      </w:r>
    </w:p>
    <w:p w14:paraId="541AC8AB" w14:textId="77777777" w:rsidR="006A57E3" w:rsidRPr="00807723" w:rsidRDefault="006A57E3" w:rsidP="006A57E3">
      <w:pPr>
        <w:adjustRightInd w:val="0"/>
        <w:snapToGrid w:val="0"/>
        <w:spacing w:line="360" w:lineRule="auto"/>
        <w:rPr>
          <w:rFonts w:ascii="Book Antiqua" w:hAnsi="Book Antiqua"/>
        </w:rPr>
      </w:pPr>
    </w:p>
    <w:p w14:paraId="68CD7186" w14:textId="22913D3C" w:rsidR="008B5ABC" w:rsidRPr="00807723" w:rsidRDefault="006A57E3" w:rsidP="006A57E3">
      <w:pPr>
        <w:spacing w:line="360" w:lineRule="auto"/>
        <w:jc w:val="both"/>
        <w:rPr>
          <w:rFonts w:ascii="Book Antiqua" w:eastAsia="宋体" w:hAnsi="Book Antiqua" w:cs="Book Antiqua"/>
          <w:color w:val="000000"/>
          <w:lang w:val="en-US" w:eastAsia="zh-CN"/>
        </w:rPr>
      </w:pPr>
      <w:r w:rsidRPr="00807723">
        <w:rPr>
          <w:rFonts w:ascii="Book Antiqua" w:hAnsi="Book Antiqua"/>
          <w:b/>
          <w:bCs/>
        </w:rPr>
        <w:t>Citation:</w:t>
      </w:r>
      <w:bookmarkEnd w:id="0"/>
      <w:r w:rsidRPr="00807723">
        <w:rPr>
          <w:rFonts w:ascii="Book Antiqua" w:hAnsi="Book Antiqua"/>
          <w:b/>
          <w:bCs/>
        </w:rPr>
        <w:t xml:space="preserve"> </w:t>
      </w:r>
      <w:bookmarkEnd w:id="1"/>
      <w:r w:rsidR="00214602" w:rsidRPr="00807723">
        <w:rPr>
          <w:rFonts w:ascii="Book Antiqua" w:eastAsia="Book Antiqua" w:hAnsi="Book Antiqua" w:cs="Book Antiqua"/>
          <w:color w:val="000000"/>
        </w:rPr>
        <w:t xml:space="preserve">Mohamed GA, </w:t>
      </w:r>
      <w:proofErr w:type="spellStart"/>
      <w:r w:rsidR="00214602" w:rsidRPr="00807723">
        <w:rPr>
          <w:rFonts w:ascii="Book Antiqua" w:eastAsia="Book Antiqua" w:hAnsi="Book Antiqua" w:cs="Book Antiqua"/>
          <w:color w:val="000000"/>
        </w:rPr>
        <w:t>Nashaat</w:t>
      </w:r>
      <w:proofErr w:type="spellEnd"/>
      <w:r w:rsidR="00214602" w:rsidRPr="00807723">
        <w:rPr>
          <w:rFonts w:ascii="Book Antiqua" w:eastAsia="Book Antiqua" w:hAnsi="Book Antiqua" w:cs="Book Antiqua"/>
          <w:color w:val="000000"/>
        </w:rPr>
        <w:t xml:space="preserve"> EH, </w:t>
      </w:r>
      <w:proofErr w:type="spellStart"/>
      <w:r w:rsidR="00214602" w:rsidRPr="00807723">
        <w:rPr>
          <w:rFonts w:ascii="Book Antiqua" w:eastAsia="Book Antiqua" w:hAnsi="Book Antiqua" w:cs="Book Antiqua"/>
          <w:color w:val="000000"/>
        </w:rPr>
        <w:t>Fawzy</w:t>
      </w:r>
      <w:proofErr w:type="spellEnd"/>
      <w:r w:rsidR="00214602" w:rsidRPr="00807723">
        <w:rPr>
          <w:rFonts w:ascii="Book Antiqua" w:eastAsia="Book Antiqua" w:hAnsi="Book Antiqua" w:cs="Book Antiqua"/>
          <w:color w:val="000000"/>
        </w:rPr>
        <w:t xml:space="preserve"> HM, </w:t>
      </w:r>
      <w:proofErr w:type="spellStart"/>
      <w:r w:rsidR="00214602" w:rsidRPr="00807723">
        <w:rPr>
          <w:rFonts w:ascii="Book Antiqua" w:eastAsia="Book Antiqua" w:hAnsi="Book Antiqua" w:cs="Book Antiqua"/>
          <w:color w:val="000000"/>
        </w:rPr>
        <w:t>ElGhandour</w:t>
      </w:r>
      <w:proofErr w:type="spellEnd"/>
      <w:r w:rsidR="00214602" w:rsidRPr="00807723">
        <w:rPr>
          <w:rFonts w:ascii="Book Antiqua" w:eastAsia="Book Antiqua" w:hAnsi="Book Antiqua" w:cs="Book Antiqua"/>
          <w:color w:val="000000"/>
        </w:rPr>
        <w:t xml:space="preserve"> AM. Assessment of fibroblast growth factor 19 as a non-invasive serum marker for hepatocellular carcinoma. </w:t>
      </w:r>
      <w:r w:rsidR="00214602" w:rsidRPr="00807723">
        <w:rPr>
          <w:rFonts w:ascii="Book Antiqua" w:eastAsia="Book Antiqua" w:hAnsi="Book Antiqua" w:cs="Book Antiqua"/>
          <w:i/>
          <w:iCs/>
          <w:color w:val="000000"/>
        </w:rPr>
        <w:t>World J Hepatol</w:t>
      </w:r>
      <w:r w:rsidR="00214602" w:rsidRPr="00807723">
        <w:rPr>
          <w:rFonts w:ascii="Book Antiqua" w:eastAsia="Book Antiqua" w:hAnsi="Book Antiqua" w:cs="Book Antiqua"/>
          <w:color w:val="000000"/>
        </w:rPr>
        <w:t xml:space="preserve"> 2022;</w:t>
      </w:r>
      <w:r w:rsidR="00214602" w:rsidRPr="00807723">
        <w:rPr>
          <w:rFonts w:ascii="Book Antiqua" w:eastAsia="宋体" w:hAnsi="Book Antiqua" w:cs="Book Antiqua" w:hint="eastAsia"/>
          <w:color w:val="000000"/>
          <w:lang w:val="en-US" w:eastAsia="zh-CN"/>
        </w:rPr>
        <w:t xml:space="preserve"> 14(3): </w:t>
      </w:r>
      <w:r w:rsidR="008B5ABC" w:rsidRPr="00807723">
        <w:rPr>
          <w:rFonts w:ascii="Book Antiqua" w:eastAsia="宋体" w:hAnsi="Book Antiqua" w:cs="Book Antiqua"/>
          <w:color w:val="000000"/>
          <w:lang w:val="en-US" w:eastAsia="zh-CN"/>
        </w:rPr>
        <w:t>623-633</w:t>
      </w:r>
    </w:p>
    <w:p w14:paraId="218A07EF" w14:textId="3BD270A8" w:rsidR="008B5ABC" w:rsidRPr="00807723" w:rsidRDefault="00214602">
      <w:pPr>
        <w:spacing w:line="360" w:lineRule="auto"/>
        <w:jc w:val="both"/>
        <w:rPr>
          <w:rFonts w:ascii="Book Antiqua" w:eastAsia="宋体" w:hAnsi="Book Antiqua" w:cs="Book Antiqua"/>
          <w:color w:val="000000"/>
          <w:lang w:val="en-US" w:eastAsia="zh-CN"/>
        </w:rPr>
      </w:pPr>
      <w:r w:rsidRPr="00807723">
        <w:rPr>
          <w:rFonts w:ascii="Book Antiqua" w:eastAsia="宋体" w:hAnsi="Book Antiqua" w:cs="Book Antiqua" w:hint="eastAsia"/>
          <w:b/>
          <w:bCs/>
          <w:color w:val="000000"/>
          <w:lang w:val="en-US" w:eastAsia="zh-CN"/>
        </w:rPr>
        <w:t xml:space="preserve">URL: </w:t>
      </w:r>
      <w:r w:rsidR="008B5ABC" w:rsidRPr="00807723">
        <w:rPr>
          <w:rFonts w:ascii="Book Antiqua" w:eastAsia="宋体" w:hAnsi="Book Antiqua" w:cs="Book Antiqua" w:hint="eastAsia"/>
          <w:color w:val="000000"/>
          <w:lang w:val="en-US" w:eastAsia="zh-CN"/>
        </w:rPr>
        <w:t>https://www.wjgnet.com/1948-5182/full/v14/i3/</w:t>
      </w:r>
      <w:r w:rsidR="008B5ABC" w:rsidRPr="00807723">
        <w:rPr>
          <w:rFonts w:ascii="Book Antiqua" w:eastAsia="宋体" w:hAnsi="Book Antiqua" w:cs="Book Antiqua"/>
          <w:color w:val="000000"/>
          <w:lang w:val="en-US" w:eastAsia="zh-CN"/>
        </w:rPr>
        <w:t>623</w:t>
      </w:r>
      <w:r w:rsidR="008B5ABC" w:rsidRPr="00807723">
        <w:rPr>
          <w:rFonts w:ascii="Book Antiqua" w:eastAsia="宋体" w:hAnsi="Book Antiqua" w:cs="Book Antiqua" w:hint="eastAsia"/>
          <w:color w:val="000000"/>
          <w:lang w:val="en-US" w:eastAsia="zh-CN"/>
        </w:rPr>
        <w:t>.htm</w:t>
      </w:r>
      <w:r w:rsidRPr="00807723">
        <w:rPr>
          <w:rFonts w:ascii="Book Antiqua" w:eastAsia="宋体" w:hAnsi="Book Antiqua" w:cs="Book Antiqua" w:hint="eastAsia"/>
          <w:color w:val="000000"/>
          <w:lang w:val="en-US" w:eastAsia="zh-CN"/>
        </w:rPr>
        <w:t xml:space="preserve"> </w:t>
      </w:r>
    </w:p>
    <w:p w14:paraId="0BE6C018" w14:textId="710FA400" w:rsidR="00A40FE6" w:rsidRPr="00807723" w:rsidRDefault="00214602">
      <w:pPr>
        <w:spacing w:line="360" w:lineRule="auto"/>
        <w:jc w:val="both"/>
        <w:rPr>
          <w:rFonts w:eastAsia="宋体"/>
          <w:lang w:val="en-US" w:eastAsia="zh-CN"/>
        </w:rPr>
      </w:pPr>
      <w:r w:rsidRPr="00807723">
        <w:rPr>
          <w:rFonts w:ascii="Book Antiqua" w:eastAsia="宋体" w:hAnsi="Book Antiqua" w:cs="Book Antiqua" w:hint="eastAsia"/>
          <w:b/>
          <w:bCs/>
          <w:color w:val="000000"/>
          <w:lang w:val="en-US" w:eastAsia="zh-CN"/>
        </w:rPr>
        <w:t>DOI:</w:t>
      </w:r>
      <w:r w:rsidRPr="00807723">
        <w:rPr>
          <w:rFonts w:ascii="Book Antiqua" w:eastAsia="宋体" w:hAnsi="Book Antiqua" w:cs="Book Antiqua" w:hint="eastAsia"/>
          <w:color w:val="000000"/>
          <w:lang w:val="en-US" w:eastAsia="zh-CN"/>
        </w:rPr>
        <w:t xml:space="preserve"> https://dx.doi.org/10.4254/wjh.v14.i3.</w:t>
      </w:r>
      <w:r w:rsidR="008B5ABC" w:rsidRPr="00807723">
        <w:rPr>
          <w:rFonts w:ascii="Book Antiqua" w:eastAsia="宋体" w:hAnsi="Book Antiqua" w:cs="Book Antiqua"/>
          <w:color w:val="000000"/>
          <w:lang w:val="en-US" w:eastAsia="zh-CN"/>
        </w:rPr>
        <w:t>623</w:t>
      </w:r>
    </w:p>
    <w:p w14:paraId="2E641350" w14:textId="77777777" w:rsidR="00A40FE6" w:rsidRPr="00807723" w:rsidRDefault="00A40FE6">
      <w:pPr>
        <w:spacing w:line="360" w:lineRule="auto"/>
        <w:jc w:val="both"/>
      </w:pPr>
    </w:p>
    <w:p w14:paraId="5045BF8D" w14:textId="77777777" w:rsidR="00A40FE6" w:rsidRPr="00807723" w:rsidRDefault="00214602">
      <w:pPr>
        <w:spacing w:line="360" w:lineRule="auto"/>
        <w:jc w:val="both"/>
      </w:pPr>
      <w:r w:rsidRPr="00807723">
        <w:rPr>
          <w:rFonts w:ascii="Book Antiqua" w:eastAsia="Book Antiqua" w:hAnsi="Book Antiqua" w:cs="Book Antiqua"/>
          <w:b/>
          <w:bCs/>
          <w:color w:val="000000"/>
          <w:szCs w:val="22"/>
        </w:rPr>
        <w:t xml:space="preserve">Core Tip: </w:t>
      </w:r>
      <w:r w:rsidRPr="00807723">
        <w:rPr>
          <w:rFonts w:ascii="Book Antiqua" w:eastAsia="Book Antiqua" w:hAnsi="Book Antiqua" w:cs="Book Antiqua"/>
          <w:color w:val="000000"/>
        </w:rPr>
        <w:t xml:space="preserve">We recruited 90 adult participants and divided them into three equal groups: Healthy controls, cirrhosis patients, and hepatocellular carcinoma (HCC) patients. We detected a high statistically significant difference in fibroblast growth factor 19 (FGF-19) levels among the three groups, with the highest level occurring in the HCC group, followed by the cirrhosis and control groups (236.44 ± 40.94 </w:t>
      </w:r>
      <w:r w:rsidRPr="00807723">
        <w:rPr>
          <w:rFonts w:ascii="Book Antiqua" w:eastAsia="Book Antiqua" w:hAnsi="Book Antiqua" w:cs="Book Antiqua"/>
          <w:i/>
          <w:iCs/>
          <w:color w:val="000000"/>
        </w:rPr>
        <w:t xml:space="preserve">vs </w:t>
      </w:r>
      <w:r w:rsidRPr="00807723">
        <w:rPr>
          <w:rFonts w:ascii="Book Antiqua" w:eastAsia="Book Antiqua" w:hAnsi="Book Antiqua" w:cs="Book Antiqua"/>
          <w:color w:val="000000"/>
        </w:rPr>
        <w:t xml:space="preserve">125.63 ± 31.54 </w:t>
      </w:r>
      <w:r w:rsidRPr="00807723">
        <w:rPr>
          <w:rFonts w:ascii="Book Antiqua" w:eastAsia="Book Antiqua" w:hAnsi="Book Antiqua" w:cs="Book Antiqua"/>
          <w:i/>
          <w:iCs/>
          <w:color w:val="000000"/>
        </w:rPr>
        <w:t>vs</w:t>
      </w:r>
      <w:r w:rsidRPr="00807723">
        <w:rPr>
          <w:rFonts w:ascii="Book Antiqua" w:eastAsia="Book Antiqua" w:hAnsi="Book Antiqua" w:cs="Book Antiqua"/>
          <w:color w:val="000000"/>
        </w:rPr>
        <w:t xml:space="preserve"> 69.60 ± 20.90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respectively,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0.001). For the detection of HCC, receiver operating characteristic curve analysis showed that FGF-19 demonstrated a better diagnostic performance than alpha fetoprotein (area under the curve = 0.98 </w:t>
      </w:r>
      <w:r w:rsidRPr="00807723">
        <w:rPr>
          <w:rFonts w:ascii="Book Antiqua" w:eastAsia="Book Antiqua" w:hAnsi="Book Antiqua" w:cs="Book Antiqua"/>
          <w:i/>
          <w:iCs/>
          <w:color w:val="000000"/>
        </w:rPr>
        <w:t xml:space="preserve">vs </w:t>
      </w:r>
      <w:r w:rsidRPr="00807723">
        <w:rPr>
          <w:rFonts w:ascii="Book Antiqua" w:eastAsia="Book Antiqua" w:hAnsi="Book Antiqua" w:cs="Book Antiqua"/>
          <w:color w:val="000000"/>
        </w:rPr>
        <w:t xml:space="preserve">0.78). Consequently, we can conclude that FGF-19 represents a possible novel non-invasive marker for HCC. </w:t>
      </w:r>
    </w:p>
    <w:p w14:paraId="1ED255BF" w14:textId="77777777" w:rsidR="00A40FE6" w:rsidRPr="00807723" w:rsidRDefault="00A40FE6">
      <w:pPr>
        <w:spacing w:line="360" w:lineRule="auto"/>
        <w:jc w:val="both"/>
      </w:pPr>
    </w:p>
    <w:p w14:paraId="06304BD8" w14:textId="77777777" w:rsidR="00A40FE6" w:rsidRPr="00807723" w:rsidRDefault="00214602">
      <w:pPr>
        <w:spacing w:line="360" w:lineRule="auto"/>
        <w:jc w:val="both"/>
      </w:pPr>
      <w:r w:rsidRPr="00807723">
        <w:rPr>
          <w:rFonts w:ascii="Book Antiqua" w:eastAsia="Book Antiqua" w:hAnsi="Book Antiqua" w:cs="Book Antiqua"/>
          <w:b/>
          <w:caps/>
          <w:color w:val="000000"/>
          <w:u w:val="single"/>
        </w:rPr>
        <w:t>INTRODUCTION</w:t>
      </w:r>
    </w:p>
    <w:p w14:paraId="05DA4D94" w14:textId="77777777" w:rsidR="00A40FE6" w:rsidRPr="00807723" w:rsidRDefault="00214602">
      <w:pPr>
        <w:spacing w:line="360" w:lineRule="auto"/>
        <w:jc w:val="both"/>
      </w:pPr>
      <w:r w:rsidRPr="00807723">
        <w:rPr>
          <w:rFonts w:ascii="Book Antiqua" w:eastAsia="Book Antiqua" w:hAnsi="Book Antiqua" w:cs="Book Antiqua"/>
          <w:color w:val="000000"/>
        </w:rPr>
        <w:t xml:space="preserve">Fibroblast growth factor 19 (FGF-19) is one of the founding members of the endocrine FGF </w:t>
      </w:r>
      <w:proofErr w:type="gramStart"/>
      <w:r w:rsidRPr="00807723">
        <w:rPr>
          <w:rFonts w:ascii="Book Antiqua" w:eastAsia="Book Antiqua" w:hAnsi="Book Antiqua" w:cs="Book Antiqua"/>
          <w:color w:val="000000"/>
        </w:rPr>
        <w:t>subfamily</w:t>
      </w:r>
      <w:r w:rsidRPr="00807723">
        <w:rPr>
          <w:rFonts w:ascii="Book Antiqua" w:eastAsia="Book Antiqua" w:hAnsi="Book Antiqua" w:cs="Book Antiqua"/>
          <w:color w:val="000000"/>
          <w:vertAlign w:val="superscript"/>
        </w:rPr>
        <w:t>[</w:t>
      </w:r>
      <w:proofErr w:type="gramEnd"/>
      <w:r w:rsidRPr="00807723">
        <w:rPr>
          <w:rFonts w:ascii="Book Antiqua" w:eastAsia="Book Antiqua" w:hAnsi="Book Antiqua" w:cs="Book Antiqua"/>
          <w:color w:val="000000"/>
          <w:vertAlign w:val="superscript"/>
        </w:rPr>
        <w:t>1]</w:t>
      </w:r>
      <w:r w:rsidRPr="00807723">
        <w:rPr>
          <w:rFonts w:ascii="Book Antiqua" w:eastAsia="Book Antiqua" w:hAnsi="Book Antiqua" w:cs="Book Antiqua"/>
          <w:color w:val="000000"/>
        </w:rPr>
        <w:t xml:space="preserve">. Recently, it has been the subject of much interest owing to its role in various physiological processes affecting glucose and lipid metabolism and bile acid secretion as well as cell proliferation, differentiation, and </w:t>
      </w:r>
      <w:proofErr w:type="gramStart"/>
      <w:r w:rsidRPr="00807723">
        <w:rPr>
          <w:rFonts w:ascii="Book Antiqua" w:eastAsia="Book Antiqua" w:hAnsi="Book Antiqua" w:cs="Book Antiqua"/>
          <w:color w:val="000000"/>
        </w:rPr>
        <w:t>motility</w:t>
      </w:r>
      <w:r w:rsidRPr="00807723">
        <w:rPr>
          <w:rFonts w:ascii="Book Antiqua" w:eastAsia="Book Antiqua" w:hAnsi="Book Antiqua" w:cs="Book Antiqua"/>
          <w:color w:val="000000"/>
          <w:vertAlign w:val="superscript"/>
        </w:rPr>
        <w:t>[</w:t>
      </w:r>
      <w:proofErr w:type="gramEnd"/>
      <w:r w:rsidRPr="00807723">
        <w:rPr>
          <w:rFonts w:ascii="Book Antiqua" w:eastAsia="Book Antiqua" w:hAnsi="Book Antiqua" w:cs="Book Antiqua"/>
          <w:color w:val="000000"/>
          <w:vertAlign w:val="superscript"/>
        </w:rPr>
        <w:t>2-4]</w:t>
      </w:r>
      <w:r w:rsidRPr="00807723">
        <w:rPr>
          <w:rFonts w:ascii="Book Antiqua" w:eastAsia="Book Antiqua" w:hAnsi="Book Antiqua" w:cs="Book Antiqua"/>
          <w:color w:val="000000"/>
        </w:rPr>
        <w:t>. Additionally, FGF-19 secretion in an autocrine style has reportedly contributed to cancer progression in various types of malignancies including hepatocellular carcinoma (HCC</w:t>
      </w:r>
      <w:proofErr w:type="gramStart"/>
      <w:r w:rsidRPr="00807723">
        <w:rPr>
          <w:rFonts w:ascii="Book Antiqua" w:eastAsia="Book Antiqua" w:hAnsi="Book Antiqua" w:cs="Book Antiqua"/>
          <w:color w:val="000000"/>
        </w:rPr>
        <w:t>)</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5-9]</w:t>
      </w:r>
      <w:r w:rsidRPr="00807723">
        <w:rPr>
          <w:rFonts w:ascii="Book Antiqua" w:eastAsia="Book Antiqua" w:hAnsi="Book Antiqua" w:cs="Book Antiqua"/>
          <w:color w:val="000000"/>
        </w:rPr>
        <w:t>.</w:t>
      </w:r>
    </w:p>
    <w:p w14:paraId="22DECB68"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FGF-19 has a restricted pattern of expression. It is mostly expressed in the terminal ileum in response to the bile-acid-stimulated intestinal </w:t>
      </w:r>
      <w:proofErr w:type="spellStart"/>
      <w:r w:rsidRPr="00807723">
        <w:rPr>
          <w:rFonts w:ascii="Book Antiqua" w:eastAsia="Book Antiqua" w:hAnsi="Book Antiqua" w:cs="Book Antiqua"/>
          <w:color w:val="000000"/>
        </w:rPr>
        <w:t>Farnesoid</w:t>
      </w:r>
      <w:proofErr w:type="spellEnd"/>
      <w:r w:rsidRPr="00807723">
        <w:rPr>
          <w:rFonts w:ascii="Book Antiqua" w:eastAsia="Book Antiqua" w:hAnsi="Book Antiqua" w:cs="Book Antiqua"/>
          <w:color w:val="000000"/>
        </w:rPr>
        <w:t xml:space="preserve"> X receptor (FXR</w:t>
      </w:r>
      <w:proofErr w:type="gramStart"/>
      <w:r w:rsidRPr="00807723">
        <w:rPr>
          <w:rFonts w:ascii="Book Antiqua" w:eastAsia="Book Antiqua" w:hAnsi="Book Antiqua" w:cs="Book Antiqua"/>
          <w:color w:val="000000"/>
        </w:rPr>
        <w:t>)</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10]</w:t>
      </w:r>
      <w:r w:rsidRPr="00807723">
        <w:rPr>
          <w:rFonts w:ascii="Book Antiqua" w:eastAsia="Book Antiqua" w:hAnsi="Book Antiqua" w:cs="Book Antiqua"/>
          <w:color w:val="000000"/>
        </w:rPr>
        <w:t>, and then, through the portal circulation to the liver, it attaches to its receptor, fibroblast growth factor receptor 4 (FGFR4), and a co-factor known as β-klotho. This action initiates the transcription of various genes that negatively regulate bile acid synthesis through the downregulation of CYP7A1</w:t>
      </w:r>
      <w:r w:rsidRPr="00807723">
        <w:rPr>
          <w:rFonts w:ascii="Book Antiqua" w:eastAsia="Book Antiqua" w:hAnsi="Book Antiqua" w:cs="Book Antiqua"/>
          <w:color w:val="000000"/>
          <w:szCs w:val="30"/>
          <w:vertAlign w:val="superscript"/>
        </w:rPr>
        <w:t>[11]</w:t>
      </w:r>
      <w:r w:rsidRPr="00807723">
        <w:rPr>
          <w:rFonts w:ascii="Book Antiqua" w:eastAsia="Book Antiqua" w:hAnsi="Book Antiqua" w:cs="Book Antiqua"/>
          <w:color w:val="000000"/>
        </w:rPr>
        <w:t xml:space="preserve">. </w:t>
      </w:r>
    </w:p>
    <w:p w14:paraId="582E27CD"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Although FGF-19 is formed principally in the ileum and FGF-19 expression is almost absent in the human liver under normal conditions, current studies propose that FGF-19 may be </w:t>
      </w:r>
      <w:proofErr w:type="spellStart"/>
      <w:r w:rsidRPr="00807723">
        <w:rPr>
          <w:rFonts w:ascii="Book Antiqua" w:eastAsia="Book Antiqua" w:hAnsi="Book Antiqua" w:cs="Book Antiqua"/>
          <w:color w:val="000000"/>
        </w:rPr>
        <w:t>autocrined</w:t>
      </w:r>
      <w:proofErr w:type="spellEnd"/>
      <w:r w:rsidRPr="00807723">
        <w:rPr>
          <w:rFonts w:ascii="Book Antiqua" w:eastAsia="Book Antiqua" w:hAnsi="Book Antiqua" w:cs="Book Antiqua"/>
          <w:color w:val="000000"/>
        </w:rPr>
        <w:t xml:space="preserve"> by human hepatocytes under cholestatic conditions, peritumoral tissue cirrhosis, and HCC. The secretion of FGF-19 in these conditions demonstrates the protective negative feedback of FGF-19 in order to guard hepatocytes from the cytotoxicity of bile </w:t>
      </w:r>
      <w:proofErr w:type="gramStart"/>
      <w:r w:rsidRPr="00807723">
        <w:rPr>
          <w:rFonts w:ascii="Book Antiqua" w:eastAsia="Book Antiqua" w:hAnsi="Book Antiqua" w:cs="Book Antiqua"/>
          <w:color w:val="000000"/>
        </w:rPr>
        <w:t>acids</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12-14]</w:t>
      </w:r>
      <w:r w:rsidRPr="00807723">
        <w:rPr>
          <w:rFonts w:ascii="Book Antiqua" w:eastAsia="Book Antiqua" w:hAnsi="Book Antiqua" w:cs="Book Antiqua"/>
          <w:color w:val="000000"/>
        </w:rPr>
        <w:t xml:space="preserve"> and the promotion of the development and progression of HCC by bile acids through mTOR dependent mechanisms</w:t>
      </w:r>
      <w:r w:rsidRPr="00807723">
        <w:rPr>
          <w:rFonts w:ascii="Book Antiqua" w:eastAsia="Book Antiqua" w:hAnsi="Book Antiqua" w:cs="Book Antiqua"/>
          <w:color w:val="000000"/>
          <w:szCs w:val="30"/>
          <w:vertAlign w:val="superscript"/>
        </w:rPr>
        <w:t>[15]</w:t>
      </w:r>
      <w:r w:rsidRPr="00807723">
        <w:rPr>
          <w:rFonts w:ascii="Book Antiqua" w:eastAsia="Book Antiqua" w:hAnsi="Book Antiqua" w:cs="Book Antiqua"/>
          <w:color w:val="000000"/>
        </w:rPr>
        <w:t xml:space="preserve">. This beneficial effect of the FGF-19 pathway has also been proposed in other studies in </w:t>
      </w:r>
      <w:r w:rsidRPr="00807723">
        <w:rPr>
          <w:rFonts w:ascii="Book Antiqua" w:eastAsia="Book Antiqua" w:hAnsi="Book Antiqua" w:cs="Book Antiqua"/>
          <w:i/>
          <w:color w:val="000000"/>
        </w:rPr>
        <w:t>FXR</w:t>
      </w:r>
      <w:r w:rsidRPr="00807723">
        <w:rPr>
          <w:rFonts w:ascii="Book Antiqua" w:eastAsia="Book Antiqua" w:hAnsi="Book Antiqua" w:cs="Book Antiqua"/>
          <w:color w:val="000000"/>
        </w:rPr>
        <w:t xml:space="preserve">-/-knock out mice that developed hepatic malignancies, which were inhibited by the expression of an </w:t>
      </w:r>
      <w:r w:rsidRPr="00807723">
        <w:rPr>
          <w:rFonts w:ascii="Book Antiqua" w:eastAsia="Book Antiqua" w:hAnsi="Book Antiqua" w:cs="Book Antiqua"/>
          <w:i/>
          <w:color w:val="000000"/>
        </w:rPr>
        <w:t>FXR</w:t>
      </w:r>
      <w:r w:rsidRPr="00807723">
        <w:rPr>
          <w:rFonts w:ascii="Book Antiqua" w:eastAsia="Book Antiqua" w:hAnsi="Book Antiqua" w:cs="Book Antiqua"/>
          <w:color w:val="000000"/>
        </w:rPr>
        <w:t xml:space="preserve"> transgene in the </w:t>
      </w:r>
      <w:proofErr w:type="gramStart"/>
      <w:r w:rsidRPr="00807723">
        <w:rPr>
          <w:rFonts w:ascii="Book Antiqua" w:eastAsia="Book Antiqua" w:hAnsi="Book Antiqua" w:cs="Book Antiqua"/>
          <w:color w:val="000000"/>
        </w:rPr>
        <w:t>intestine</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16]</w:t>
      </w:r>
      <w:r w:rsidRPr="00807723">
        <w:rPr>
          <w:rFonts w:ascii="Book Antiqua" w:eastAsia="Book Antiqua" w:hAnsi="Book Antiqua" w:cs="Book Antiqua"/>
          <w:color w:val="000000"/>
        </w:rPr>
        <w:t xml:space="preserve">. This effect indicates the protective aspect of Fgf15 (the mouse homolog of human FGF-19) in relation to hepatic malignancies. Additionally, Fgf15/FGF19 mediated hepatic regeneration in mice in other </w:t>
      </w:r>
      <w:proofErr w:type="gramStart"/>
      <w:r w:rsidRPr="00807723">
        <w:rPr>
          <w:rFonts w:ascii="Book Antiqua" w:eastAsia="Book Antiqua" w:hAnsi="Book Antiqua" w:cs="Book Antiqua"/>
          <w:color w:val="000000"/>
        </w:rPr>
        <w:t>studies</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17,18]</w:t>
      </w:r>
      <w:r w:rsidRPr="00807723">
        <w:rPr>
          <w:rFonts w:ascii="Book Antiqua" w:eastAsia="Book Antiqua" w:hAnsi="Book Antiqua" w:cs="Book Antiqua"/>
          <w:color w:val="000000"/>
        </w:rPr>
        <w:t xml:space="preserve">. </w:t>
      </w:r>
    </w:p>
    <w:p w14:paraId="7DB9C733"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However, the higher expression of FGF-19 in HCC patients has been found to promote tumour cell survival and has antiapoptotic impacts that are applied through the FGFR4-glycogen synthase kinase (GSK)3β-Nrf2 signalling </w:t>
      </w:r>
      <w:proofErr w:type="gramStart"/>
      <w:r w:rsidRPr="00807723">
        <w:rPr>
          <w:rFonts w:ascii="Book Antiqua" w:eastAsia="Book Antiqua" w:hAnsi="Book Antiqua" w:cs="Book Antiqua"/>
          <w:color w:val="000000"/>
        </w:rPr>
        <w:t>pathway</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19]</w:t>
      </w:r>
      <w:r w:rsidRPr="00807723">
        <w:rPr>
          <w:rFonts w:ascii="Book Antiqua" w:eastAsia="Book Antiqua" w:hAnsi="Book Antiqua" w:cs="Book Antiqua"/>
          <w:color w:val="000000"/>
        </w:rPr>
        <w:t xml:space="preserve">. Moreover, Kang </w:t>
      </w:r>
      <w:r w:rsidRPr="00807723">
        <w:rPr>
          <w:rFonts w:ascii="Book Antiqua" w:eastAsia="Book Antiqua" w:hAnsi="Book Antiqua" w:cs="Book Antiqua"/>
          <w:i/>
          <w:iCs/>
          <w:color w:val="000000"/>
        </w:rPr>
        <w:lastRenderedPageBreak/>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20]</w:t>
      </w:r>
      <w:r w:rsidRPr="00807723">
        <w:rPr>
          <w:rFonts w:ascii="Book Antiqua" w:eastAsia="Book Antiqua" w:hAnsi="Book Antiqua" w:cs="Book Antiqua"/>
          <w:color w:val="000000"/>
        </w:rPr>
        <w:t xml:space="preserve"> showed that a distinctive molecular subtype of FGF-19 is correlated with a poor prognosis in HCC patients. In addition, Cui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 xml:space="preserve">21] </w:t>
      </w:r>
      <w:r w:rsidRPr="00807723">
        <w:rPr>
          <w:rFonts w:ascii="Book Antiqua" w:eastAsia="Book Antiqua" w:hAnsi="Book Antiqua" w:cs="Book Antiqua"/>
          <w:color w:val="000000"/>
        </w:rPr>
        <w:t xml:space="preserve">and Zhao </w:t>
      </w:r>
      <w:r w:rsidRPr="00807723">
        <w:rPr>
          <w:rFonts w:ascii="Book Antiqua" w:eastAsia="Book Antiqua" w:hAnsi="Book Antiqua" w:cs="Book Antiqua"/>
          <w:i/>
          <w:iCs/>
          <w:color w:val="000000"/>
        </w:rPr>
        <w:t>et al</w:t>
      </w:r>
      <w:r w:rsidRPr="00807723">
        <w:rPr>
          <w:rFonts w:ascii="Book Antiqua" w:eastAsia="Book Antiqua" w:hAnsi="Book Antiqua" w:cs="Book Antiqua"/>
          <w:color w:val="000000"/>
          <w:szCs w:val="30"/>
          <w:vertAlign w:val="superscript"/>
        </w:rPr>
        <w:t>[22]</w:t>
      </w:r>
      <w:r w:rsidRPr="00807723">
        <w:rPr>
          <w:rFonts w:ascii="Book Antiqua" w:eastAsia="Book Antiqua" w:hAnsi="Book Antiqua" w:cs="Book Antiqua"/>
          <w:color w:val="000000"/>
        </w:rPr>
        <w:t xml:space="preserve"> reported that Fgf15 and FGF-19, respectively, promoted the progression of HCC by stimulating epithelial-mesenchymal transition and </w:t>
      </w:r>
      <w:proofErr w:type="spellStart"/>
      <w:r w:rsidRPr="00807723">
        <w:rPr>
          <w:rFonts w:ascii="Book Antiqua" w:eastAsia="Book Antiqua" w:hAnsi="Book Antiqua" w:cs="Book Antiqua"/>
          <w:color w:val="000000"/>
        </w:rPr>
        <w:t>Wnt</w:t>
      </w:r>
      <w:proofErr w:type="spellEnd"/>
      <w:r w:rsidRPr="00807723">
        <w:rPr>
          <w:rFonts w:ascii="Book Antiqua" w:eastAsia="Book Antiqua" w:hAnsi="Book Antiqua" w:cs="Book Antiqua"/>
          <w:color w:val="000000"/>
        </w:rPr>
        <w:t xml:space="preserve">/β-catenin cascade, which is linked to tumour aggression and mortality. Furthermore, previous data has pointed to FGF-19 as a promoter of liver stem cells in HCC patients, as noted in the robust association between FGF-19 and </w:t>
      </w:r>
      <w:proofErr w:type="spellStart"/>
      <w:r w:rsidRPr="00807723">
        <w:rPr>
          <w:rFonts w:ascii="Book Antiqua" w:eastAsia="Book Antiqua" w:hAnsi="Book Antiqua" w:cs="Book Antiqua"/>
          <w:color w:val="000000"/>
        </w:rPr>
        <w:t>EpCAM</w:t>
      </w:r>
      <w:proofErr w:type="spellEnd"/>
      <w:r w:rsidRPr="00807723">
        <w:rPr>
          <w:rFonts w:ascii="Book Antiqua" w:eastAsia="Book Antiqua" w:hAnsi="Book Antiqua" w:cs="Book Antiqua"/>
          <w:color w:val="000000"/>
        </w:rPr>
        <w:t xml:space="preserve">, which is a moderator of cell adhesion and signalling and a special biomarker for liver cancer stem </w:t>
      </w:r>
      <w:proofErr w:type="gramStart"/>
      <w:r w:rsidRPr="00807723">
        <w:rPr>
          <w:rFonts w:ascii="Book Antiqua" w:eastAsia="Book Antiqua" w:hAnsi="Book Antiqua" w:cs="Book Antiqua"/>
          <w:color w:val="000000"/>
        </w:rPr>
        <w:t>cells</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23,24]</w:t>
      </w:r>
      <w:r w:rsidRPr="00807723">
        <w:rPr>
          <w:rFonts w:ascii="Book Antiqua" w:eastAsia="Book Antiqua" w:hAnsi="Book Antiqua" w:cs="Book Antiqua"/>
          <w:color w:val="000000"/>
        </w:rPr>
        <w:t xml:space="preserve">. Additionally, confirmation of the role of FGF-19 signalling in HCC progression arises from the tumour-preventing effect of the selective FGFR4 inhibitor BLU9931 in a mouse HCC model with implanted FGF-19-producing, FGFR4-expressing hepatic </w:t>
      </w:r>
      <w:proofErr w:type="gramStart"/>
      <w:r w:rsidRPr="00807723">
        <w:rPr>
          <w:rFonts w:ascii="Book Antiqua" w:eastAsia="Book Antiqua" w:hAnsi="Book Antiqua" w:cs="Book Antiqua"/>
          <w:color w:val="000000"/>
        </w:rPr>
        <w:t>cells</w:t>
      </w:r>
      <w:r w:rsidRPr="00807723">
        <w:rPr>
          <w:rFonts w:ascii="Book Antiqua" w:eastAsia="Book Antiqua" w:hAnsi="Book Antiqua" w:cs="Book Antiqua"/>
          <w:color w:val="000000"/>
          <w:vertAlign w:val="superscript"/>
        </w:rPr>
        <w:t>[</w:t>
      </w:r>
      <w:proofErr w:type="gramEnd"/>
      <w:r w:rsidRPr="00807723">
        <w:rPr>
          <w:rFonts w:ascii="Book Antiqua" w:eastAsia="Book Antiqua" w:hAnsi="Book Antiqua" w:cs="Book Antiqua"/>
          <w:color w:val="000000"/>
          <w:vertAlign w:val="superscript"/>
        </w:rPr>
        <w:t>25]</w:t>
      </w:r>
      <w:r w:rsidRPr="00807723">
        <w:rPr>
          <w:rFonts w:ascii="Book Antiqua" w:eastAsia="Book Antiqua" w:hAnsi="Book Antiqua" w:cs="Book Antiqua"/>
          <w:color w:val="000000"/>
        </w:rPr>
        <w:t>. These results suggest that FGF-19 may be implicated in tumour development in HCC cases.</w:t>
      </w:r>
    </w:p>
    <w:p w14:paraId="5B1BE6A9"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Since FGF-19 is a serum protein secreted by HCC cells in an autocrine loop style, and systemic concentrations of FGF-19 have been found to reflect its portal </w:t>
      </w:r>
      <w:proofErr w:type="gramStart"/>
      <w:r w:rsidRPr="00807723">
        <w:rPr>
          <w:rFonts w:ascii="Book Antiqua" w:eastAsia="Book Antiqua" w:hAnsi="Book Antiqua" w:cs="Book Antiqua"/>
          <w:color w:val="000000"/>
        </w:rPr>
        <w:t>concentrations</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14,26]</w:t>
      </w:r>
      <w:r w:rsidRPr="00807723">
        <w:rPr>
          <w:rFonts w:ascii="Book Antiqua" w:eastAsia="Book Antiqua" w:hAnsi="Book Antiqua" w:cs="Book Antiqua"/>
          <w:color w:val="000000"/>
        </w:rPr>
        <w:t>, we aimed to estimate the serum FGF-19 concentrations in HCC cases and assess the diagnostic performance of FGF-19 for the detection of HCC.</w:t>
      </w:r>
    </w:p>
    <w:p w14:paraId="586CDA67" w14:textId="77777777" w:rsidR="00A40FE6" w:rsidRPr="00807723" w:rsidRDefault="00A40FE6">
      <w:pPr>
        <w:spacing w:line="360" w:lineRule="auto"/>
        <w:jc w:val="both"/>
      </w:pPr>
    </w:p>
    <w:p w14:paraId="630388AB" w14:textId="77777777" w:rsidR="00A40FE6" w:rsidRPr="00807723" w:rsidRDefault="00214602">
      <w:pPr>
        <w:spacing w:line="360" w:lineRule="auto"/>
        <w:jc w:val="both"/>
      </w:pPr>
      <w:r w:rsidRPr="00807723">
        <w:rPr>
          <w:rFonts w:ascii="Book Antiqua" w:eastAsia="Book Antiqua" w:hAnsi="Book Antiqua" w:cs="Book Antiqua"/>
          <w:b/>
          <w:caps/>
          <w:color w:val="000000"/>
          <w:u w:val="single"/>
        </w:rPr>
        <w:t>MATERIALS AND METHODS</w:t>
      </w:r>
    </w:p>
    <w:p w14:paraId="199EED80" w14:textId="77777777" w:rsidR="00A40FE6" w:rsidRPr="00807723" w:rsidRDefault="00214602">
      <w:pPr>
        <w:spacing w:line="360" w:lineRule="auto"/>
        <w:jc w:val="both"/>
      </w:pPr>
      <w:r w:rsidRPr="00807723">
        <w:rPr>
          <w:rFonts w:ascii="Book Antiqua" w:eastAsia="Book Antiqua" w:hAnsi="Book Antiqua" w:cs="Book Antiqua"/>
          <w:color w:val="000000"/>
        </w:rPr>
        <w:t>This observational study was conducted at Ain Shams University Hospitals in Cairo, Egypt from March 2021 to September 2021. This study was performed in accordance with the ethics principles of the Declaration of Helsinki and was authorised by the ethics board of the Faculty of Medicine, Ain Shams University (No. FMASU MS 66/2021)</w:t>
      </w:r>
      <w:r w:rsidRPr="00807723">
        <w:rPr>
          <w:rFonts w:ascii="Book Antiqua" w:eastAsia="Book Antiqua" w:hAnsi="Book Antiqua" w:cs="Book Antiqua"/>
          <w:color w:val="000000"/>
          <w:shd w:val="clear" w:color="auto" w:fill="FCFCFC"/>
        </w:rPr>
        <w:t xml:space="preserve">. </w:t>
      </w:r>
      <w:r w:rsidRPr="00807723">
        <w:rPr>
          <w:rFonts w:ascii="Book Antiqua" w:eastAsia="Book Antiqua" w:hAnsi="Book Antiqua" w:cs="Book Antiqua"/>
          <w:color w:val="000000"/>
        </w:rPr>
        <w:t xml:space="preserve">Written informed approval was obtained from all the participants before they were enrolled in the study. </w:t>
      </w:r>
    </w:p>
    <w:p w14:paraId="010A1821" w14:textId="77777777" w:rsidR="00A40FE6" w:rsidRPr="00807723" w:rsidRDefault="00214602">
      <w:pPr>
        <w:spacing w:line="360" w:lineRule="auto"/>
        <w:ind w:firstLineChars="200" w:firstLine="480"/>
        <w:jc w:val="both"/>
        <w:rPr>
          <w:rFonts w:ascii="Book Antiqua" w:eastAsia="Book Antiqua" w:hAnsi="Book Antiqua" w:cs="Book Antiqua"/>
          <w:color w:val="000000"/>
        </w:rPr>
      </w:pPr>
      <w:r w:rsidRPr="00807723">
        <w:rPr>
          <w:rFonts w:ascii="Book Antiqua" w:eastAsia="Book Antiqua" w:hAnsi="Book Antiqua" w:cs="Book Antiqua"/>
          <w:color w:val="000000"/>
        </w:rPr>
        <w:t xml:space="preserve">We consecutively recruited 90 adult participants and divided them into three equal groups: Healthy controls, cirrhosis patients, and HCC patients. Patients with any malignant disease other than HCC were excluded. None of the HCC cases had either neoadjuvant chemotherapy or radiotherapy. </w:t>
      </w:r>
    </w:p>
    <w:p w14:paraId="7B4C482E" w14:textId="77777777" w:rsidR="00A40FE6" w:rsidRPr="00807723" w:rsidRDefault="00A40FE6">
      <w:pPr>
        <w:spacing w:line="360" w:lineRule="auto"/>
        <w:jc w:val="both"/>
      </w:pPr>
    </w:p>
    <w:p w14:paraId="387A14A2" w14:textId="77777777" w:rsidR="00A40FE6" w:rsidRPr="00807723" w:rsidRDefault="00214602">
      <w:pPr>
        <w:spacing w:line="360" w:lineRule="auto"/>
        <w:jc w:val="both"/>
        <w:rPr>
          <w:b/>
          <w:bCs/>
          <w:i/>
          <w:iCs/>
        </w:rPr>
      </w:pPr>
      <w:r w:rsidRPr="00807723">
        <w:rPr>
          <w:rFonts w:ascii="Book Antiqua" w:eastAsia="Book Antiqua" w:hAnsi="Book Antiqua" w:cs="Book Antiqua"/>
          <w:b/>
          <w:bCs/>
          <w:i/>
          <w:iCs/>
          <w:color w:val="000000"/>
        </w:rPr>
        <w:lastRenderedPageBreak/>
        <w:t>Diagnosis of cirrhosis and HCC</w:t>
      </w:r>
    </w:p>
    <w:p w14:paraId="3E765CE6" w14:textId="77777777" w:rsidR="00A40FE6" w:rsidRPr="00807723" w:rsidRDefault="00214602">
      <w:pPr>
        <w:spacing w:line="360" w:lineRule="auto"/>
        <w:jc w:val="both"/>
        <w:rPr>
          <w:rFonts w:ascii="Book Antiqua" w:eastAsia="Book Antiqua" w:hAnsi="Book Antiqua" w:cs="Book Antiqua"/>
          <w:color w:val="000000"/>
        </w:rPr>
      </w:pPr>
      <w:r w:rsidRPr="00807723">
        <w:rPr>
          <w:rFonts w:ascii="Book Antiqua" w:eastAsia="Book Antiqua" w:hAnsi="Book Antiqua" w:cs="Book Antiqua"/>
          <w:color w:val="000000"/>
        </w:rPr>
        <w:t xml:space="preserve">Cirrhosis was diagnosed according to laboratory parameters, clinical manifestations, and/or histological </w:t>
      </w:r>
      <w:proofErr w:type="gramStart"/>
      <w:r w:rsidRPr="00807723">
        <w:rPr>
          <w:rFonts w:ascii="Book Antiqua" w:eastAsia="Book Antiqua" w:hAnsi="Book Antiqua" w:cs="Book Antiqua"/>
          <w:color w:val="000000"/>
        </w:rPr>
        <w:t>criteria</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27]</w:t>
      </w:r>
      <w:r w:rsidRPr="00807723">
        <w:rPr>
          <w:rFonts w:ascii="Book Antiqua" w:eastAsia="Book Antiqua" w:hAnsi="Book Antiqua" w:cs="Book Antiqua"/>
          <w:color w:val="000000"/>
        </w:rPr>
        <w:t xml:space="preserve">. HCC was identified through contrast-enhanced imaging studies and/or histological criteria as per the practice </w:t>
      </w:r>
      <w:proofErr w:type="gramStart"/>
      <w:r w:rsidRPr="00807723">
        <w:rPr>
          <w:rFonts w:ascii="Book Antiqua" w:eastAsia="Book Antiqua" w:hAnsi="Book Antiqua" w:cs="Book Antiqua"/>
          <w:color w:val="000000"/>
        </w:rPr>
        <w:t>guidelines</w:t>
      </w:r>
      <w:r w:rsidRPr="00807723">
        <w:rPr>
          <w:rFonts w:ascii="Book Antiqua" w:eastAsia="Book Antiqua" w:hAnsi="Book Antiqua" w:cs="Book Antiqua"/>
          <w:color w:val="000000"/>
          <w:vertAlign w:val="superscript"/>
        </w:rPr>
        <w:t>[</w:t>
      </w:r>
      <w:proofErr w:type="gramEnd"/>
      <w:r w:rsidRPr="00807723">
        <w:rPr>
          <w:rFonts w:ascii="Book Antiqua" w:eastAsia="Book Antiqua" w:hAnsi="Book Antiqua" w:cs="Book Antiqua"/>
          <w:color w:val="000000"/>
          <w:vertAlign w:val="superscript"/>
        </w:rPr>
        <w:t>28]</w:t>
      </w:r>
      <w:r w:rsidRPr="00807723">
        <w:rPr>
          <w:rFonts w:ascii="Book Antiqua" w:eastAsia="Book Antiqua" w:hAnsi="Book Antiqua" w:cs="Book Antiqua"/>
          <w:color w:val="000000"/>
        </w:rPr>
        <w:t xml:space="preserve">. </w:t>
      </w:r>
    </w:p>
    <w:p w14:paraId="5DD6B96C" w14:textId="77777777" w:rsidR="00A40FE6" w:rsidRPr="00807723" w:rsidRDefault="00A40FE6">
      <w:pPr>
        <w:spacing w:line="360" w:lineRule="auto"/>
        <w:jc w:val="both"/>
      </w:pPr>
    </w:p>
    <w:p w14:paraId="11944438" w14:textId="77777777" w:rsidR="00A40FE6" w:rsidRPr="00807723" w:rsidRDefault="00214602">
      <w:pPr>
        <w:spacing w:line="360" w:lineRule="auto"/>
        <w:jc w:val="both"/>
        <w:rPr>
          <w:b/>
          <w:bCs/>
          <w:i/>
          <w:iCs/>
        </w:rPr>
      </w:pPr>
      <w:r w:rsidRPr="00807723">
        <w:rPr>
          <w:rFonts w:ascii="Book Antiqua" w:eastAsia="Book Antiqua" w:hAnsi="Book Antiqua" w:cs="Book Antiqua"/>
          <w:b/>
          <w:bCs/>
          <w:i/>
          <w:iCs/>
          <w:color w:val="000000"/>
        </w:rPr>
        <w:t>Measurement of serum FGF-19 concentrations</w:t>
      </w:r>
    </w:p>
    <w:p w14:paraId="0009E5F9" w14:textId="77777777" w:rsidR="00A40FE6" w:rsidRPr="00807723" w:rsidRDefault="00214602">
      <w:pPr>
        <w:spacing w:line="360" w:lineRule="auto"/>
        <w:jc w:val="both"/>
        <w:rPr>
          <w:rFonts w:ascii="Book Antiqua" w:eastAsia="Book Antiqua" w:hAnsi="Book Antiqua" w:cs="Book Antiqua"/>
          <w:color w:val="000000"/>
        </w:rPr>
      </w:pPr>
      <w:r w:rsidRPr="00807723">
        <w:rPr>
          <w:rFonts w:ascii="Book Antiqua" w:eastAsia="Book Antiqua" w:hAnsi="Book Antiqua" w:cs="Book Antiqua"/>
          <w:color w:val="000000"/>
        </w:rPr>
        <w:t>The serum FGF-19 concentrations were measured using the Human FGF-19 ELISA kit (</w:t>
      </w:r>
      <w:proofErr w:type="spellStart"/>
      <w:r w:rsidRPr="00807723">
        <w:rPr>
          <w:rFonts w:ascii="Book Antiqua" w:eastAsia="Book Antiqua" w:hAnsi="Book Antiqua" w:cs="Book Antiqua"/>
          <w:color w:val="000000"/>
        </w:rPr>
        <w:t>SunRed</w:t>
      </w:r>
      <w:proofErr w:type="spellEnd"/>
      <w:r w:rsidRPr="00807723">
        <w:rPr>
          <w:rFonts w:ascii="Book Antiqua" w:eastAsia="Book Antiqua" w:hAnsi="Book Antiqua" w:cs="Book Antiqua"/>
          <w:color w:val="000000"/>
        </w:rPr>
        <w:t xml:space="preserve"> Biological Technology Co. Ltd., Shanghai, China, Catalogue # 201-12-2199) with a sensitivity of 2.032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assay range of 2.5-700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/mL, intra-assay coefficient of variability (CV) &lt; 10%, and inter-assay CV &lt; 12%.</w:t>
      </w:r>
    </w:p>
    <w:p w14:paraId="16C83BD4" w14:textId="77777777" w:rsidR="00A40FE6" w:rsidRPr="00807723" w:rsidRDefault="00A40FE6">
      <w:pPr>
        <w:spacing w:line="360" w:lineRule="auto"/>
        <w:jc w:val="both"/>
      </w:pPr>
    </w:p>
    <w:p w14:paraId="1AABFA9A" w14:textId="77777777" w:rsidR="00A40FE6" w:rsidRPr="00807723" w:rsidRDefault="00214602">
      <w:pPr>
        <w:spacing w:line="360" w:lineRule="auto"/>
        <w:jc w:val="both"/>
        <w:rPr>
          <w:i/>
          <w:iCs/>
        </w:rPr>
      </w:pPr>
      <w:r w:rsidRPr="00807723">
        <w:rPr>
          <w:rFonts w:ascii="Book Antiqua" w:eastAsia="Book Antiqua" w:hAnsi="Book Antiqua" w:cs="Book Antiqua"/>
          <w:b/>
          <w:bCs/>
          <w:i/>
          <w:iCs/>
          <w:color w:val="000000"/>
        </w:rPr>
        <w:t>Statistical methods</w:t>
      </w:r>
    </w:p>
    <w:p w14:paraId="52B9AB1F" w14:textId="77777777" w:rsidR="00A40FE6" w:rsidRPr="00807723" w:rsidRDefault="00214602">
      <w:pPr>
        <w:spacing w:line="360" w:lineRule="auto"/>
        <w:jc w:val="both"/>
      </w:pPr>
      <w:r w:rsidRPr="00807723">
        <w:rPr>
          <w:rFonts w:ascii="Book Antiqua" w:eastAsia="Book Antiqua" w:hAnsi="Book Antiqua" w:cs="Book Antiqua"/>
          <w:color w:val="000000"/>
        </w:rPr>
        <w:t xml:space="preserve">Data were analysed using the Statistical Package for Social Science (IBM SPSS Statistics for Windows, Version 20.0. Armonk, NY: IBM Corp). The qualitative variables are shown as numbers and percentages, while the quantitative variables are shown as the mean, standard deviation, or median and interquartile range, as appropriate. The differences among the groups were calculated using the Chi-square test, Fisher exact test, independent </w:t>
      </w:r>
      <w:r w:rsidRPr="00807723">
        <w:rPr>
          <w:rFonts w:ascii="Book Antiqua" w:eastAsia="Book Antiqua" w:hAnsi="Book Antiqua" w:cs="Book Antiqua"/>
          <w:i/>
          <w:iCs/>
          <w:color w:val="000000"/>
        </w:rPr>
        <w:t>t</w:t>
      </w:r>
      <w:r w:rsidRPr="00807723">
        <w:rPr>
          <w:rFonts w:ascii="Book Antiqua" w:eastAsia="Book Antiqua" w:hAnsi="Book Antiqua" w:cs="Book Antiqua"/>
          <w:color w:val="000000"/>
        </w:rPr>
        <w:t>-test, one-way ANOVA test, or Kruskal-</w:t>
      </w:r>
      <w:proofErr w:type="gramStart"/>
      <w:r w:rsidRPr="00807723">
        <w:rPr>
          <w:rFonts w:ascii="Book Antiqua" w:eastAsia="Book Antiqua" w:hAnsi="Book Antiqua" w:cs="Book Antiqua"/>
          <w:color w:val="000000"/>
        </w:rPr>
        <w:t>Wallis</w:t>
      </w:r>
      <w:proofErr w:type="gramEnd"/>
      <w:r w:rsidRPr="00807723">
        <w:rPr>
          <w:rFonts w:ascii="Book Antiqua" w:eastAsia="Book Antiqua" w:hAnsi="Book Antiqua" w:cs="Book Antiqua"/>
          <w:color w:val="000000"/>
        </w:rPr>
        <w:t xml:space="preserve"> test, as appropriate. A receiver operating characteristic (ROC) curve analysis was applied to assess the diagnostic performance of FGF-19 and alpha fetoprotein (AFP) for HCC detection. A </w:t>
      </w:r>
      <w:r w:rsidRPr="00807723">
        <w:rPr>
          <w:rFonts w:ascii="Book Antiqua" w:eastAsia="Book Antiqua" w:hAnsi="Book Antiqua" w:cs="Book Antiqua"/>
          <w:i/>
          <w:iCs/>
          <w:color w:val="000000"/>
        </w:rPr>
        <w:t xml:space="preserve">P </w:t>
      </w:r>
      <w:r w:rsidRPr="00807723">
        <w:rPr>
          <w:rFonts w:ascii="Book Antiqua" w:eastAsia="Book Antiqua" w:hAnsi="Book Antiqua" w:cs="Book Antiqua"/>
          <w:color w:val="000000"/>
        </w:rPr>
        <w:t>value of less than 0.05 was considered statistically significant.</w:t>
      </w:r>
    </w:p>
    <w:p w14:paraId="37E6AF5B" w14:textId="77777777" w:rsidR="00A40FE6" w:rsidRPr="00807723" w:rsidRDefault="00A40FE6">
      <w:pPr>
        <w:spacing w:line="360" w:lineRule="auto"/>
        <w:jc w:val="both"/>
      </w:pPr>
    </w:p>
    <w:p w14:paraId="27E1F753" w14:textId="77777777" w:rsidR="00A40FE6" w:rsidRPr="00807723" w:rsidRDefault="00214602">
      <w:pPr>
        <w:spacing w:line="360" w:lineRule="auto"/>
        <w:jc w:val="both"/>
      </w:pPr>
      <w:r w:rsidRPr="00807723">
        <w:rPr>
          <w:rFonts w:ascii="Book Antiqua" w:eastAsia="Book Antiqua" w:hAnsi="Book Antiqua" w:cs="Book Antiqua"/>
          <w:b/>
          <w:caps/>
          <w:color w:val="000000"/>
          <w:u w:val="single"/>
        </w:rPr>
        <w:t>RESULTS</w:t>
      </w:r>
    </w:p>
    <w:p w14:paraId="22D9E6A6" w14:textId="77777777" w:rsidR="00A40FE6" w:rsidRPr="00807723" w:rsidRDefault="00214602">
      <w:pPr>
        <w:spacing w:line="360" w:lineRule="auto"/>
        <w:jc w:val="both"/>
      </w:pPr>
      <w:r w:rsidRPr="00807723">
        <w:rPr>
          <w:rFonts w:ascii="Book Antiqua" w:eastAsia="Book Antiqua" w:hAnsi="Book Antiqua" w:cs="Book Antiqua"/>
          <w:color w:val="000000"/>
        </w:rPr>
        <w:t xml:space="preserve">This study included 90 participants divided into control, cirrhosis, and HCC groups. The HCC group was comprised of 19 males (63.3%) and 11 females (36.7%), with a mean age of 57.37 years. In the cirrhotic group, there were 20 males (66.7%) and 10 (33.3%) females, with a mean age of 53.57 years. The control group included 18 males (60%) and 12 females (40%), with a mean age of 51.07 years (Table 1). According to the Child-Pugh class, 14 of the HCC cases (46.7%) belonged to Class C, while 18 (60%) of the cirrhotic cases belonged </w:t>
      </w:r>
      <w:r w:rsidRPr="00807723">
        <w:rPr>
          <w:rFonts w:ascii="Book Antiqua" w:eastAsia="Book Antiqua" w:hAnsi="Book Antiqua" w:cs="Book Antiqua"/>
          <w:color w:val="000000"/>
        </w:rPr>
        <w:lastRenderedPageBreak/>
        <w:t>to Class A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0.002, Table 1). There were statistically significant differences among the three groups concerning AFP, haemoglobin, platelets, alanine aminotransferase, aspartate aminotransferase (AST), albumin, international normalised ratio (INR), fasting blood glucose, and bilirubin (Table 1). </w:t>
      </w:r>
    </w:p>
    <w:p w14:paraId="1C722A53"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We detected a high statistically significant difference in the FGF-19 levels of the three groups. The highest level occurred in the HCC group, followed by the cirrhosis and control groups (236.44 ± 40.94 </w:t>
      </w:r>
      <w:r w:rsidRPr="00807723">
        <w:rPr>
          <w:rFonts w:ascii="Book Antiqua" w:eastAsia="Book Antiqua" w:hAnsi="Book Antiqua" w:cs="Book Antiqua"/>
          <w:i/>
          <w:iCs/>
          <w:color w:val="000000"/>
        </w:rPr>
        <w:t xml:space="preserve">vs </w:t>
      </w:r>
      <w:r w:rsidRPr="00807723">
        <w:rPr>
          <w:rFonts w:ascii="Book Antiqua" w:eastAsia="Book Antiqua" w:hAnsi="Book Antiqua" w:cs="Book Antiqua"/>
          <w:color w:val="000000"/>
        </w:rPr>
        <w:t xml:space="preserve">125.63 ± 31.54 </w:t>
      </w:r>
      <w:r w:rsidRPr="00807723">
        <w:rPr>
          <w:rFonts w:ascii="Book Antiqua" w:eastAsia="Book Antiqua" w:hAnsi="Book Antiqua" w:cs="Book Antiqua"/>
          <w:i/>
          <w:iCs/>
          <w:color w:val="000000"/>
        </w:rPr>
        <w:t>vs</w:t>
      </w:r>
      <w:r w:rsidRPr="00807723">
        <w:rPr>
          <w:rFonts w:ascii="Book Antiqua" w:eastAsia="Book Antiqua" w:hAnsi="Book Antiqua" w:cs="Book Antiqua"/>
          <w:color w:val="000000"/>
        </w:rPr>
        <w:t xml:space="preserve"> 69.60 ± 20.90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respectively,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0.001; Table 1, Figure 1). There were seven HCC patients with negative AFP; however, they had elevated FGF-19 levels (&gt; 180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/mL). Serum FGF-19 levels were not significantly different according to the Child–Pugh class in the cirrhosis and HCC groups (Table 2).</w:t>
      </w:r>
    </w:p>
    <w:p w14:paraId="62CE7895"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The tumour characteristics of the HCC cases are shown in Table 3. Serum FGF-19 levels were higher in relation to the size of the tumour, the presence of portal vein thrombosis, jaundice, lower limb oedema, and weight loss; however, these differences did not reach statistical significance (Table 4). FGF-19 was positively correlated with AFP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0.383,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0.003) and INR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0.357,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0.005), while it was negatively correlated with albumin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-0.500,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0.001; Table 5, Figure 2). </w:t>
      </w:r>
    </w:p>
    <w:p w14:paraId="25F4E271"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For the detection of HCC, the ROC curve analysis showed that the best cut-off </w:t>
      </w:r>
      <w:proofErr w:type="gramStart"/>
      <w:r w:rsidRPr="00807723">
        <w:rPr>
          <w:rFonts w:ascii="Book Antiqua" w:eastAsia="Book Antiqua" w:hAnsi="Book Antiqua" w:cs="Book Antiqua"/>
          <w:color w:val="000000"/>
        </w:rPr>
        <w:t>point</w:t>
      </w:r>
      <w:proofErr w:type="gramEnd"/>
      <w:r w:rsidRPr="00807723">
        <w:rPr>
          <w:rFonts w:ascii="Book Antiqua" w:eastAsia="Book Antiqua" w:hAnsi="Book Antiqua" w:cs="Book Antiqua"/>
          <w:color w:val="000000"/>
        </w:rPr>
        <w:t xml:space="preserve"> of AFP was &gt; 8.2 ng/mL with an area under the curve (AUC) of 0.78, sensitivity of 63.33%, specificity of 83.33%, positive predictive value (PPV) of 79.2%, negative predictive value (NPV) of 69.4%, and total accuracy of 78%. However, FGF-19 at a cut-off point &gt; 180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/mL had an AUC of 0.98, sensitivity of 100%, specificity of 90.0%, PPV of 90.0%, NPV of 100%, and total accuracy of 98% (Table 6, Figure 3).</w:t>
      </w:r>
    </w:p>
    <w:p w14:paraId="3E9FDB9F" w14:textId="77777777" w:rsidR="00A40FE6" w:rsidRPr="00807723" w:rsidRDefault="00A40FE6">
      <w:pPr>
        <w:spacing w:line="360" w:lineRule="auto"/>
        <w:jc w:val="both"/>
      </w:pPr>
    </w:p>
    <w:p w14:paraId="15B9430C" w14:textId="77777777" w:rsidR="00A40FE6" w:rsidRPr="00807723" w:rsidRDefault="00214602">
      <w:pPr>
        <w:spacing w:line="360" w:lineRule="auto"/>
        <w:jc w:val="both"/>
      </w:pPr>
      <w:r w:rsidRPr="00807723">
        <w:rPr>
          <w:rFonts w:ascii="Book Antiqua" w:eastAsia="Book Antiqua" w:hAnsi="Book Antiqua" w:cs="Book Antiqua"/>
          <w:b/>
          <w:caps/>
          <w:color w:val="000000"/>
          <w:u w:val="single"/>
        </w:rPr>
        <w:t>DISCUSSION</w:t>
      </w:r>
    </w:p>
    <w:p w14:paraId="7F4DE67E" w14:textId="77777777" w:rsidR="00A40FE6" w:rsidRPr="00807723" w:rsidRDefault="00214602">
      <w:pPr>
        <w:spacing w:line="360" w:lineRule="auto"/>
        <w:jc w:val="both"/>
      </w:pPr>
      <w:r w:rsidRPr="00807723">
        <w:rPr>
          <w:rFonts w:ascii="Book Antiqua" w:eastAsia="Book Antiqua" w:hAnsi="Book Antiqua" w:cs="Book Antiqua"/>
          <w:color w:val="000000"/>
        </w:rPr>
        <w:t xml:space="preserve">HCC is the third highest cause of tumour death globally, with a 5-year survival rate of approximately 20% despite the developments in imaging technologies and therapeutic </w:t>
      </w:r>
      <w:proofErr w:type="gramStart"/>
      <w:r w:rsidRPr="00807723">
        <w:rPr>
          <w:rFonts w:ascii="Book Antiqua" w:eastAsia="Book Antiqua" w:hAnsi="Book Antiqua" w:cs="Book Antiqua"/>
          <w:color w:val="000000"/>
        </w:rPr>
        <w:t>methodologies</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29]</w:t>
      </w:r>
      <w:r w:rsidRPr="00807723">
        <w:rPr>
          <w:rFonts w:ascii="Book Antiqua" w:eastAsia="Book Antiqua" w:hAnsi="Book Antiqua" w:cs="Book Antiqua"/>
          <w:color w:val="000000"/>
        </w:rPr>
        <w:t xml:space="preserve">. Unfortunately, the majority of HCC patients are diagnosed at an </w:t>
      </w:r>
      <w:r w:rsidRPr="00807723">
        <w:rPr>
          <w:rFonts w:ascii="Book Antiqua" w:eastAsia="Book Antiqua" w:hAnsi="Book Antiqua" w:cs="Book Antiqua"/>
          <w:color w:val="000000"/>
        </w:rPr>
        <w:lastRenderedPageBreak/>
        <w:t xml:space="preserve">advanced stage of disease; therefore, early recognition of the disease is crucial to improving the prognosis and overall survival of </w:t>
      </w:r>
      <w:proofErr w:type="gramStart"/>
      <w:r w:rsidRPr="00807723">
        <w:rPr>
          <w:rFonts w:ascii="Book Antiqua" w:eastAsia="Book Antiqua" w:hAnsi="Book Antiqua" w:cs="Book Antiqua"/>
          <w:color w:val="000000"/>
        </w:rPr>
        <w:t>patients</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24]</w:t>
      </w:r>
      <w:r w:rsidRPr="00807723">
        <w:rPr>
          <w:rFonts w:ascii="Book Antiqua" w:eastAsia="Book Antiqua" w:hAnsi="Book Antiqua" w:cs="Book Antiqua"/>
          <w:color w:val="000000"/>
        </w:rPr>
        <w:t xml:space="preserve">. </w:t>
      </w:r>
    </w:p>
    <w:p w14:paraId="6A906662"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Tumour markers have commonly been utilised for numerous objectives, such as diagnosis, follow-up care after treatment, optimisation of therapeutic effectiveness, and prediction of prognosis. Earlier studies have identified various serum markers for HCC which can be applied as diagnostic and prognostic markers for HCC. Although the assessment of these biomarkers is not essential for establishing a conclusive diagnosis of HCC as per the guidelines, these biomarkers play a key role in HCC diagnosis and </w:t>
      </w:r>
      <w:proofErr w:type="gramStart"/>
      <w:r w:rsidRPr="00807723">
        <w:rPr>
          <w:rFonts w:ascii="Book Antiqua" w:eastAsia="Book Antiqua" w:hAnsi="Book Antiqua" w:cs="Book Antiqua"/>
          <w:color w:val="000000"/>
        </w:rPr>
        <w:t>monitoring</w:t>
      </w:r>
      <w:r w:rsidRPr="00807723">
        <w:rPr>
          <w:rFonts w:ascii="Book Antiqua" w:eastAsia="Book Antiqua" w:hAnsi="Book Antiqua" w:cs="Book Antiqua"/>
          <w:color w:val="000000"/>
          <w:vertAlign w:val="superscript"/>
        </w:rPr>
        <w:t>[</w:t>
      </w:r>
      <w:proofErr w:type="gramEnd"/>
      <w:r w:rsidRPr="00807723">
        <w:rPr>
          <w:rFonts w:ascii="Book Antiqua" w:eastAsia="Book Antiqua" w:hAnsi="Book Antiqua" w:cs="Book Antiqua"/>
          <w:color w:val="000000"/>
          <w:vertAlign w:val="superscript"/>
        </w:rPr>
        <w:t>28,30,31]</w:t>
      </w:r>
      <w:r w:rsidRPr="00807723">
        <w:rPr>
          <w:rFonts w:ascii="Book Antiqua" w:eastAsia="Book Antiqua" w:hAnsi="Book Antiqua" w:cs="Book Antiqua"/>
          <w:color w:val="000000"/>
        </w:rPr>
        <w:t xml:space="preserve">. However, it has been found that AFP, which is the most studied marker, may remain in the normal range not only in the early stages, but also in the advanced stages of </w:t>
      </w:r>
      <w:proofErr w:type="gramStart"/>
      <w:r w:rsidRPr="00807723">
        <w:rPr>
          <w:rFonts w:ascii="Book Antiqua" w:eastAsia="Book Antiqua" w:hAnsi="Book Antiqua" w:cs="Book Antiqua"/>
          <w:color w:val="000000"/>
        </w:rPr>
        <w:t>HCC</w:t>
      </w:r>
      <w:r w:rsidRPr="00807723">
        <w:rPr>
          <w:rFonts w:ascii="Book Antiqua" w:eastAsia="Book Antiqua" w:hAnsi="Book Antiqua" w:cs="Book Antiqua"/>
          <w:color w:val="000000"/>
          <w:vertAlign w:val="superscript"/>
        </w:rPr>
        <w:t>[</w:t>
      </w:r>
      <w:proofErr w:type="gramEnd"/>
      <w:r w:rsidRPr="00807723">
        <w:rPr>
          <w:rFonts w:ascii="Book Antiqua" w:eastAsia="Book Antiqua" w:hAnsi="Book Antiqua" w:cs="Book Antiqua"/>
          <w:color w:val="000000"/>
          <w:vertAlign w:val="superscript"/>
        </w:rPr>
        <w:t>32]</w:t>
      </w:r>
      <w:r w:rsidRPr="00807723">
        <w:rPr>
          <w:rFonts w:ascii="Book Antiqua" w:eastAsia="Book Antiqua" w:hAnsi="Book Antiqua" w:cs="Book Antiqua"/>
          <w:color w:val="000000"/>
        </w:rPr>
        <w:t>. Moreover, an increase of AFP is occasionally detected in cirrhotic patients. Considering these two facts, alternative serum markers with high levels of sensitivity and specificity are needed.</w:t>
      </w:r>
    </w:p>
    <w:p w14:paraId="40B4AC1F"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It has previously been reported that FGF-19 may be associated with the pathogenesis and clinical characteristics of </w:t>
      </w:r>
      <w:proofErr w:type="gramStart"/>
      <w:r w:rsidRPr="00807723">
        <w:rPr>
          <w:rFonts w:ascii="Book Antiqua" w:eastAsia="Book Antiqua" w:hAnsi="Book Antiqua" w:cs="Book Antiqua"/>
          <w:color w:val="000000"/>
        </w:rPr>
        <w:t>HCC</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12,24]</w:t>
      </w:r>
      <w:r w:rsidRPr="00807723">
        <w:rPr>
          <w:rFonts w:ascii="Book Antiqua" w:eastAsia="Book Antiqua" w:hAnsi="Book Antiqua" w:cs="Book Antiqua"/>
          <w:color w:val="000000"/>
        </w:rPr>
        <w:t xml:space="preserve">. Thus, we aimed to investigate the diagnostic utility of FGF-19 in HCC cases. We observed significantly higher serum FGF-19 levels in the HCC group compared to the control and cirrhosis groups. Serum FGF-19 levels were also higher in relation to the size of the tumour and presence of portal vein thrombosis; however, these differences did not reach statistical significance owing to the small sample size.  </w:t>
      </w:r>
    </w:p>
    <w:p w14:paraId="6E3BF807"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In accordance with our results, Maeda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12]</w:t>
      </w:r>
      <w:r w:rsidRPr="00807723">
        <w:rPr>
          <w:rFonts w:ascii="Book Antiqua" w:eastAsia="Book Antiqua" w:hAnsi="Book Antiqua" w:cs="Book Antiqua"/>
          <w:color w:val="000000"/>
        </w:rPr>
        <w:t xml:space="preserve"> detected higher serum levels of FGF-19 in their HCC group (214.5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compared to the cirrhosis group (100.1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&lt; 0.001) and the control group (78.8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0.002). However, no statistically significant difference was detected between the cirrhotic cases and controls in their study. </w:t>
      </w:r>
    </w:p>
    <w:p w14:paraId="0DA70B6C"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Similar to the current results, Li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24]</w:t>
      </w:r>
      <w:r w:rsidRPr="00807723">
        <w:rPr>
          <w:rFonts w:ascii="Book Antiqua" w:eastAsia="Book Antiqua" w:hAnsi="Book Antiqua" w:cs="Book Antiqua"/>
          <w:color w:val="000000"/>
        </w:rPr>
        <w:t xml:space="preserve"> detected significantly higher serum FGF-19 levels in the HCC group compared to the control group (145.57 ± 118.72 </w:t>
      </w:r>
      <w:r w:rsidRPr="00807723">
        <w:rPr>
          <w:rFonts w:ascii="Book Antiqua" w:eastAsia="Book Antiqua" w:hAnsi="Book Antiqua" w:cs="Book Antiqua"/>
          <w:i/>
          <w:iCs/>
          <w:color w:val="000000"/>
        </w:rPr>
        <w:t>vs</w:t>
      </w:r>
      <w:r w:rsidRPr="00807723">
        <w:rPr>
          <w:rFonts w:ascii="Book Antiqua" w:eastAsia="Book Antiqua" w:hAnsi="Book Antiqua" w:cs="Book Antiqua"/>
          <w:color w:val="000000"/>
        </w:rPr>
        <w:t xml:space="preserve"> 90.18 ± 13.88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w:t>
      </w:r>
      <w:r w:rsidRPr="00807723">
        <w:rPr>
          <w:rFonts w:ascii="Book Antiqua" w:eastAsia="Book Antiqua" w:hAnsi="Book Antiqua" w:cs="Book Antiqua"/>
          <w:i/>
          <w:iCs/>
          <w:color w:val="000000"/>
        </w:rPr>
        <w:t xml:space="preserve">P </w:t>
      </w:r>
      <w:r w:rsidRPr="00807723">
        <w:rPr>
          <w:rFonts w:ascii="Book Antiqua" w:eastAsia="Book Antiqua" w:hAnsi="Book Antiqua" w:cs="Book Antiqua"/>
          <w:color w:val="000000"/>
        </w:rPr>
        <w:t xml:space="preserve">= 0.044). They also reported that FGF-19 levels were significantly raised in the HCC tissues (57.80 ± 4.39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/10 mg total protein) in comparison to both healthy control tissues (33.29 ± 1.53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/10 mg total protein,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&lt; 0.001) and paired peritumoral tissues </w:t>
      </w:r>
      <w:r w:rsidRPr="00807723">
        <w:rPr>
          <w:rFonts w:ascii="Book Antiqua" w:eastAsia="Book Antiqua" w:hAnsi="Book Antiqua" w:cs="Book Antiqua"/>
          <w:color w:val="000000"/>
        </w:rPr>
        <w:lastRenderedPageBreak/>
        <w:t xml:space="preserve">(46.33 ± 2.53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/10 mg total protein,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0.032). Additionally, </w:t>
      </w:r>
      <w:r w:rsidRPr="00807723">
        <w:rPr>
          <w:rFonts w:ascii="Book Antiqua" w:eastAsia="Book Antiqua" w:hAnsi="Book Antiqua" w:cs="Book Antiqua"/>
          <w:i/>
          <w:color w:val="000000"/>
        </w:rPr>
        <w:t>FGF-19</w:t>
      </w:r>
      <w:r w:rsidRPr="00807723">
        <w:rPr>
          <w:rFonts w:ascii="Book Antiqua" w:eastAsia="Book Antiqua" w:hAnsi="Book Antiqua" w:cs="Book Antiqua"/>
          <w:color w:val="000000"/>
        </w:rPr>
        <w:t xml:space="preserve"> mRNA expression was significantly raised in the HCC tissues in comparison to paired peritumoral tissues (3.30 ± 1.82 </w:t>
      </w:r>
      <w:r w:rsidRPr="00807723">
        <w:rPr>
          <w:rFonts w:ascii="Book Antiqua" w:eastAsia="Book Antiqua" w:hAnsi="Book Antiqua" w:cs="Book Antiqua"/>
          <w:i/>
          <w:iCs/>
          <w:color w:val="000000"/>
        </w:rPr>
        <w:t>vs</w:t>
      </w:r>
      <w:r w:rsidRPr="00807723">
        <w:rPr>
          <w:rFonts w:ascii="Book Antiqua" w:eastAsia="Book Antiqua" w:hAnsi="Book Antiqua" w:cs="Book Antiqua"/>
          <w:color w:val="000000"/>
        </w:rPr>
        <w:t xml:space="preserve"> 2.25 ± 0.82, respectively,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0.025).</w:t>
      </w:r>
      <w:r w:rsidRPr="00807723">
        <w:rPr>
          <w:rFonts w:ascii="Book Antiqua" w:eastAsia="Book Antiqua" w:hAnsi="Book Antiqua" w:cs="Book Antiqua"/>
          <w:b/>
          <w:bCs/>
          <w:color w:val="000000"/>
        </w:rPr>
        <w:t xml:space="preserve"> </w:t>
      </w:r>
      <w:r w:rsidRPr="00807723">
        <w:rPr>
          <w:rFonts w:ascii="Book Antiqua" w:eastAsia="Book Antiqua" w:hAnsi="Book Antiqua" w:cs="Book Antiqua"/>
          <w:color w:val="000000"/>
        </w:rPr>
        <w:t>Moreover, FGF-19 expression increased significantly with a strong positive correlation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0.968) consistent with the histological severity of hepatic disease, showing a trend in samples with steatosis (224.13 ± 115.68,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0.087), steatohepatitis (413.99 ± 159.55,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0.002), cirrhosis (613.35 ± 157.29,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&lt; 0.001), and HCC (2507.28 ± 831.10,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0.001) in comparison to the paired peritumoral tissues (142.96 ± 41.32).</w:t>
      </w:r>
      <w:r w:rsidRPr="00807723">
        <w:rPr>
          <w:rFonts w:ascii="Book Antiqua" w:eastAsia="Book Antiqua" w:hAnsi="Book Antiqua" w:cs="Book Antiqua"/>
          <w:b/>
          <w:bCs/>
          <w:color w:val="000000"/>
        </w:rPr>
        <w:t xml:space="preserve"> </w:t>
      </w:r>
    </w:p>
    <w:p w14:paraId="5C6DF0D8"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Our results are also consistent with those of Sun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33]</w:t>
      </w:r>
      <w:r w:rsidRPr="00807723">
        <w:rPr>
          <w:rFonts w:ascii="Book Antiqua" w:eastAsia="Book Antiqua" w:hAnsi="Book Antiqua" w:cs="Book Antiqua"/>
          <w:color w:val="000000"/>
        </w:rPr>
        <w:t xml:space="preserve">, who detected higher FGF-19 levels in the HCC and diabetes-HCC groups than in the control and diabetes groups (220.5, 185.1, 115.8, and 70.4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respectively,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&lt; 0.001). All these results indicate that FGF-19 may have a role in the pathogenesis of HCC. </w:t>
      </w:r>
    </w:p>
    <w:p w14:paraId="00BD7AAB"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In line with the results of the current research, Sun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33]</w:t>
      </w:r>
      <w:r w:rsidRPr="00807723">
        <w:rPr>
          <w:rFonts w:ascii="Book Antiqua" w:eastAsia="Book Antiqua" w:hAnsi="Book Antiqua" w:cs="Book Antiqua"/>
          <w:color w:val="000000"/>
        </w:rPr>
        <w:t xml:space="preserve"> detected a positive association between FGF-19 and AFP in HCC patients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&lt; 0.05). However, Maeda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12]</w:t>
      </w:r>
      <w:r w:rsidRPr="00807723">
        <w:rPr>
          <w:rFonts w:ascii="Book Antiqua" w:eastAsia="Book Antiqua" w:hAnsi="Book Antiqua" w:cs="Book Antiqua"/>
          <w:color w:val="000000"/>
        </w:rPr>
        <w:t xml:space="preserve"> found no significant association between serum FGF-19 concentrations and AFP. Moreover, in partial agreement with the present study, Wunsch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34]</w:t>
      </w:r>
      <w:r w:rsidRPr="00807723">
        <w:rPr>
          <w:rFonts w:ascii="Book Antiqua" w:eastAsia="Book Antiqua" w:hAnsi="Book Antiqua" w:cs="Book Antiqua"/>
          <w:color w:val="000000"/>
        </w:rPr>
        <w:t xml:space="preserve"> observed that serum and hepatic concentrations of FGF-19 were associated with the severity of hepatic disease, as measured by laboratory parameters</w:t>
      </w:r>
      <w:r w:rsidRPr="00807723">
        <w:rPr>
          <w:rFonts w:ascii="Book Antiqua" w:eastAsia="Book Antiqua" w:hAnsi="Book Antiqua" w:cs="Book Antiqua"/>
          <w:b/>
          <w:bCs/>
          <w:color w:val="000000"/>
        </w:rPr>
        <w:t xml:space="preserve"> </w:t>
      </w:r>
      <w:r w:rsidRPr="00807723">
        <w:rPr>
          <w:rFonts w:ascii="Book Antiqua" w:eastAsia="Book Antiqua" w:hAnsi="Book Antiqua" w:cs="Book Antiqua"/>
          <w:color w:val="000000"/>
        </w:rPr>
        <w:t>including albumin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-0.408,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 0.007), haemoglobin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-0.394,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 0.01), AST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0.328,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 0.03), and total bilirubin (</w:t>
      </w:r>
      <w:r w:rsidRPr="00807723">
        <w:rPr>
          <w:rFonts w:ascii="Book Antiqua" w:eastAsia="Book Antiqua" w:hAnsi="Book Antiqua" w:cs="Book Antiqua"/>
          <w:i/>
          <w:iCs/>
          <w:color w:val="000000"/>
        </w:rPr>
        <w:t>r</w:t>
      </w:r>
      <w:r w:rsidRPr="00807723">
        <w:rPr>
          <w:rFonts w:ascii="Book Antiqua" w:eastAsia="Book Antiqua" w:hAnsi="Book Antiqua" w:cs="Book Antiqua"/>
          <w:color w:val="000000"/>
        </w:rPr>
        <w:t xml:space="preserve"> = 0.577,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&lt; 0.001). </w:t>
      </w:r>
    </w:p>
    <w:p w14:paraId="0017B0B1"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For HCC detection, in the study by Maeda </w:t>
      </w:r>
      <w:r w:rsidRPr="00807723">
        <w:rPr>
          <w:rFonts w:ascii="Book Antiqua" w:eastAsia="Book Antiqua" w:hAnsi="Book Antiqua" w:cs="Book Antiqua"/>
          <w:i/>
          <w:iCs/>
          <w:color w:val="000000"/>
        </w:rPr>
        <w:t xml:space="preserve">et </w:t>
      </w:r>
      <w:proofErr w:type="gramStart"/>
      <w:r w:rsidRPr="00807723">
        <w:rPr>
          <w:rFonts w:ascii="Book Antiqua" w:eastAsia="Book Antiqua" w:hAnsi="Book Antiqua" w:cs="Book Antiqua"/>
          <w:i/>
          <w:iCs/>
          <w:color w:val="000000"/>
        </w:rPr>
        <w:t>al</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12]</w:t>
      </w:r>
      <w:r w:rsidRPr="00807723">
        <w:rPr>
          <w:rFonts w:ascii="Book Antiqua" w:eastAsia="Book Antiqua" w:hAnsi="Book Antiqua" w:cs="Book Antiqua"/>
          <w:color w:val="000000"/>
        </w:rPr>
        <w:t xml:space="preserve">, the ROC curve analysis determined a cut-off point of FGF-19 of 200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which had an AUC of 0.795, sensitivity of 53.2%, specificity of 95.1%, PPV of 95.9%, and NPV of 48.7%. This result was comparable to those of AFP (AUC = 0.827). However, in the current study, FGF-19 had a better diagnostic performance at a cut-off &gt; 180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/mL with an AUC of 0.98, sensitivity of 100%, specificity of 90%, PPV of 90%, and NPV of 100%.</w:t>
      </w:r>
    </w:p>
    <w:p w14:paraId="27E21D1E" w14:textId="77777777" w:rsidR="00A40FE6" w:rsidRPr="00807723" w:rsidRDefault="00214602">
      <w:pPr>
        <w:spacing w:line="360" w:lineRule="auto"/>
        <w:ind w:firstLineChars="200" w:firstLine="480"/>
        <w:jc w:val="both"/>
      </w:pPr>
      <w:r w:rsidRPr="00807723">
        <w:rPr>
          <w:rFonts w:ascii="Book Antiqua" w:eastAsia="Book Antiqua" w:hAnsi="Book Antiqua" w:cs="Book Antiqua"/>
          <w:color w:val="000000"/>
        </w:rPr>
        <w:t xml:space="preserve">The current study was limited by a small sample size and a high ratio of patients with advanced HCC. Further studies are needed to investigate the clinical applications of the current results. FGF-19 could serve as a predictor of prognosis and a marker for </w:t>
      </w:r>
      <w:r w:rsidRPr="00807723">
        <w:rPr>
          <w:rFonts w:ascii="Book Antiqua" w:eastAsia="Book Antiqua" w:hAnsi="Book Antiqua" w:cs="Book Antiqua"/>
          <w:color w:val="000000"/>
        </w:rPr>
        <w:lastRenderedPageBreak/>
        <w:t xml:space="preserve">follow-up after HCC treatment. Additionally, the FGF-19 pathway has received increased interest as a possible therapeutic target in chronic liver </w:t>
      </w:r>
      <w:proofErr w:type="gramStart"/>
      <w:r w:rsidRPr="00807723">
        <w:rPr>
          <w:rFonts w:ascii="Book Antiqua" w:eastAsia="Book Antiqua" w:hAnsi="Book Antiqua" w:cs="Book Antiqua"/>
          <w:color w:val="000000"/>
        </w:rPr>
        <w:t>diseases</w:t>
      </w:r>
      <w:r w:rsidRPr="00807723">
        <w:rPr>
          <w:rFonts w:ascii="Book Antiqua" w:eastAsia="Book Antiqua" w:hAnsi="Book Antiqua" w:cs="Book Antiqua"/>
          <w:color w:val="000000"/>
          <w:vertAlign w:val="superscript"/>
        </w:rPr>
        <w:t>[</w:t>
      </w:r>
      <w:proofErr w:type="gramEnd"/>
      <w:r w:rsidRPr="00807723">
        <w:rPr>
          <w:rFonts w:ascii="Book Antiqua" w:eastAsia="Book Antiqua" w:hAnsi="Book Antiqua" w:cs="Book Antiqua"/>
          <w:color w:val="000000"/>
          <w:vertAlign w:val="superscript"/>
        </w:rPr>
        <w:t>5,35-37]</w:t>
      </w:r>
      <w:r w:rsidRPr="00807723">
        <w:rPr>
          <w:rFonts w:ascii="Book Antiqua" w:eastAsia="Book Antiqua" w:hAnsi="Book Antiqua" w:cs="Book Antiqua"/>
          <w:color w:val="000000"/>
        </w:rPr>
        <w:t xml:space="preserve">. In fact, anti-FGF-19 antibody therapy has been described as inhibiting HCC evolution in FGF-19 transgenic </w:t>
      </w:r>
      <w:proofErr w:type="gramStart"/>
      <w:r w:rsidRPr="00807723">
        <w:rPr>
          <w:rFonts w:ascii="Book Antiqua" w:eastAsia="Book Antiqua" w:hAnsi="Book Antiqua" w:cs="Book Antiqua"/>
          <w:color w:val="000000"/>
        </w:rPr>
        <w:t>mice</w:t>
      </w:r>
      <w:r w:rsidRPr="00807723">
        <w:rPr>
          <w:rFonts w:ascii="Book Antiqua" w:eastAsia="Book Antiqua" w:hAnsi="Book Antiqua" w:cs="Book Antiqua"/>
          <w:color w:val="000000"/>
          <w:szCs w:val="30"/>
          <w:vertAlign w:val="superscript"/>
        </w:rPr>
        <w:t>[</w:t>
      </w:r>
      <w:proofErr w:type="gramEnd"/>
      <w:r w:rsidRPr="00807723">
        <w:rPr>
          <w:rFonts w:ascii="Book Antiqua" w:eastAsia="Book Antiqua" w:hAnsi="Book Antiqua" w:cs="Book Antiqua"/>
          <w:color w:val="000000"/>
          <w:szCs w:val="30"/>
          <w:vertAlign w:val="superscript"/>
        </w:rPr>
        <w:t>38]</w:t>
      </w:r>
      <w:r w:rsidRPr="00807723">
        <w:rPr>
          <w:rFonts w:ascii="Book Antiqua" w:eastAsia="Book Antiqua" w:hAnsi="Book Antiqua" w:cs="Book Antiqua"/>
          <w:color w:val="000000"/>
        </w:rPr>
        <w:t>.</w:t>
      </w:r>
    </w:p>
    <w:p w14:paraId="2883CA52" w14:textId="77777777" w:rsidR="00A40FE6" w:rsidRPr="00807723" w:rsidRDefault="00A40FE6">
      <w:pPr>
        <w:spacing w:line="360" w:lineRule="auto"/>
        <w:jc w:val="both"/>
      </w:pPr>
    </w:p>
    <w:p w14:paraId="62F584EA" w14:textId="77777777" w:rsidR="00A40FE6" w:rsidRPr="00807723" w:rsidRDefault="00214602">
      <w:pPr>
        <w:spacing w:line="360" w:lineRule="auto"/>
        <w:jc w:val="both"/>
      </w:pPr>
      <w:r w:rsidRPr="00807723">
        <w:rPr>
          <w:rFonts w:ascii="Book Antiqua" w:eastAsia="Book Antiqua" w:hAnsi="Book Antiqua" w:cs="Book Antiqua"/>
          <w:b/>
          <w:caps/>
          <w:color w:val="000000"/>
          <w:u w:val="single"/>
        </w:rPr>
        <w:t>CONCLUSION</w:t>
      </w:r>
    </w:p>
    <w:p w14:paraId="7FF8F463" w14:textId="77777777" w:rsidR="00A40FE6" w:rsidRPr="00807723" w:rsidRDefault="00214602">
      <w:pPr>
        <w:spacing w:line="360" w:lineRule="auto"/>
        <w:jc w:val="both"/>
      </w:pPr>
      <w:r w:rsidRPr="00807723">
        <w:rPr>
          <w:rFonts w:ascii="Book Antiqua" w:eastAsia="Book Antiqua" w:hAnsi="Book Antiqua" w:cs="Book Antiqua"/>
          <w:color w:val="000000"/>
        </w:rPr>
        <w:t>FGF-19 could be a possible novel non-invasive marker for HCC. It may improve the prognosis of HCC patients due to its utility in several aspects of HCC detection and management.</w:t>
      </w:r>
    </w:p>
    <w:p w14:paraId="0CC4675D" w14:textId="77777777" w:rsidR="00A40FE6" w:rsidRPr="00807723" w:rsidRDefault="00A40FE6">
      <w:pPr>
        <w:spacing w:line="360" w:lineRule="auto"/>
        <w:jc w:val="both"/>
      </w:pPr>
    </w:p>
    <w:p w14:paraId="65BE15C0" w14:textId="77777777" w:rsidR="00A40FE6" w:rsidRPr="00807723" w:rsidRDefault="00214602">
      <w:pPr>
        <w:spacing w:line="360" w:lineRule="auto"/>
        <w:jc w:val="both"/>
      </w:pPr>
      <w:r w:rsidRPr="00807723">
        <w:rPr>
          <w:rFonts w:ascii="Book Antiqua" w:eastAsia="Book Antiqua" w:hAnsi="Book Antiqua" w:cs="Book Antiqua"/>
          <w:b/>
          <w:caps/>
          <w:color w:val="000000"/>
          <w:u w:val="single"/>
        </w:rPr>
        <w:t>ARTICLE HIGHLIGHTS</w:t>
      </w:r>
    </w:p>
    <w:p w14:paraId="48556514" w14:textId="77777777" w:rsidR="00A40FE6" w:rsidRPr="00807723" w:rsidRDefault="00214602">
      <w:pPr>
        <w:spacing w:line="360" w:lineRule="auto"/>
        <w:jc w:val="both"/>
      </w:pPr>
      <w:r w:rsidRPr="00807723">
        <w:rPr>
          <w:rFonts w:ascii="Book Antiqua" w:eastAsia="Book Antiqua" w:hAnsi="Book Antiqua" w:cs="Book Antiqua"/>
          <w:b/>
          <w:i/>
          <w:color w:val="000000"/>
        </w:rPr>
        <w:t>Research background</w:t>
      </w:r>
    </w:p>
    <w:p w14:paraId="0F13938D" w14:textId="77777777" w:rsidR="00A40FE6" w:rsidRPr="00807723" w:rsidRDefault="00214602">
      <w:pPr>
        <w:spacing w:line="360" w:lineRule="auto"/>
        <w:jc w:val="both"/>
      </w:pPr>
      <w:r w:rsidRPr="00807723">
        <w:rPr>
          <w:rFonts w:ascii="Book Antiqua" w:eastAsia="Book Antiqua" w:hAnsi="Book Antiqua" w:cs="Book Antiqua"/>
          <w:color w:val="000000"/>
        </w:rPr>
        <w:t xml:space="preserve">Fibroblast growth factor 19 (FGF-19) is one of the founding members of the endocrine FGF subfamily. Recently, it has been the subject of much interest owing to its role in various physiological processes affecting glucose and lipid metabolism and bile acid secretion as well as cell proliferation, differentiation, and motility. Additionally, FGF-19 secretion in an autocrine style has reportedly contributed to cancer progression in various types of malignancies including hepatocellular carcinoma (HCC). </w:t>
      </w:r>
    </w:p>
    <w:p w14:paraId="7D102F2F" w14:textId="77777777" w:rsidR="00A40FE6" w:rsidRPr="00807723" w:rsidRDefault="00A40FE6">
      <w:pPr>
        <w:spacing w:line="360" w:lineRule="auto"/>
        <w:jc w:val="both"/>
      </w:pPr>
    </w:p>
    <w:p w14:paraId="70EF094B" w14:textId="77777777" w:rsidR="00A40FE6" w:rsidRPr="00807723" w:rsidRDefault="00214602">
      <w:pPr>
        <w:spacing w:line="360" w:lineRule="auto"/>
        <w:jc w:val="both"/>
      </w:pPr>
      <w:r w:rsidRPr="00807723">
        <w:rPr>
          <w:rFonts w:ascii="Book Antiqua" w:eastAsia="Book Antiqua" w:hAnsi="Book Antiqua" w:cs="Book Antiqua"/>
          <w:b/>
          <w:i/>
          <w:color w:val="000000"/>
        </w:rPr>
        <w:t>Research motivation</w:t>
      </w:r>
    </w:p>
    <w:p w14:paraId="1D447FC1" w14:textId="77777777" w:rsidR="00A40FE6" w:rsidRPr="00807723" w:rsidRDefault="00214602">
      <w:pPr>
        <w:spacing w:line="360" w:lineRule="auto"/>
        <w:jc w:val="both"/>
      </w:pPr>
      <w:r w:rsidRPr="00807723">
        <w:rPr>
          <w:rFonts w:ascii="Book Antiqua" w:eastAsia="Book Antiqua" w:hAnsi="Book Antiqua" w:cs="Book Antiqua"/>
          <w:color w:val="000000"/>
        </w:rPr>
        <w:t xml:space="preserve">Tumour markers for HCC with a high sensitivity and specificity are necessary. </w:t>
      </w:r>
    </w:p>
    <w:p w14:paraId="67E5CC2D" w14:textId="77777777" w:rsidR="00A40FE6" w:rsidRPr="00807723" w:rsidRDefault="00A40FE6">
      <w:pPr>
        <w:spacing w:line="360" w:lineRule="auto"/>
        <w:jc w:val="both"/>
      </w:pPr>
    </w:p>
    <w:p w14:paraId="75D6DBF8" w14:textId="77777777" w:rsidR="00A40FE6" w:rsidRPr="00807723" w:rsidRDefault="00214602">
      <w:pPr>
        <w:spacing w:line="360" w:lineRule="auto"/>
        <w:jc w:val="both"/>
      </w:pPr>
      <w:r w:rsidRPr="00807723">
        <w:rPr>
          <w:rFonts w:ascii="Book Antiqua" w:eastAsia="Book Antiqua" w:hAnsi="Book Antiqua" w:cs="Book Antiqua"/>
          <w:b/>
          <w:i/>
          <w:color w:val="000000"/>
        </w:rPr>
        <w:t>Research objectives</w:t>
      </w:r>
    </w:p>
    <w:p w14:paraId="4EC1C270" w14:textId="77777777" w:rsidR="00A40FE6" w:rsidRPr="00807723" w:rsidRDefault="00214602">
      <w:pPr>
        <w:spacing w:line="360" w:lineRule="auto"/>
        <w:jc w:val="both"/>
      </w:pPr>
      <w:r w:rsidRPr="00807723">
        <w:rPr>
          <w:rFonts w:ascii="Book Antiqua" w:eastAsia="Book Antiqua" w:hAnsi="Book Antiqua" w:cs="Book Antiqua"/>
          <w:color w:val="000000"/>
        </w:rPr>
        <w:t>We aimed to estimate the serum FGF-19 concentrations in HCC cases and assess the diagnostic performance of FGF-19 for the detection of HCC.</w:t>
      </w:r>
    </w:p>
    <w:p w14:paraId="7A4D1A93" w14:textId="77777777" w:rsidR="00A40FE6" w:rsidRPr="00807723" w:rsidRDefault="00A40FE6">
      <w:pPr>
        <w:spacing w:line="360" w:lineRule="auto"/>
        <w:jc w:val="both"/>
      </w:pPr>
    </w:p>
    <w:p w14:paraId="7B017C13" w14:textId="77777777" w:rsidR="00A40FE6" w:rsidRPr="00807723" w:rsidRDefault="00214602">
      <w:pPr>
        <w:spacing w:line="360" w:lineRule="auto"/>
        <w:jc w:val="both"/>
      </w:pPr>
      <w:r w:rsidRPr="00807723">
        <w:rPr>
          <w:rFonts w:ascii="Book Antiqua" w:eastAsia="Book Antiqua" w:hAnsi="Book Antiqua" w:cs="Book Antiqua"/>
          <w:b/>
          <w:i/>
          <w:color w:val="000000"/>
        </w:rPr>
        <w:t>Research methods</w:t>
      </w:r>
    </w:p>
    <w:p w14:paraId="0301DCB7" w14:textId="77777777" w:rsidR="00A40FE6" w:rsidRPr="00807723" w:rsidRDefault="00214602">
      <w:pPr>
        <w:spacing w:line="360" w:lineRule="auto"/>
        <w:jc w:val="both"/>
      </w:pPr>
      <w:r w:rsidRPr="00807723">
        <w:rPr>
          <w:rFonts w:ascii="Book Antiqua" w:eastAsia="Book Antiqua" w:hAnsi="Book Antiqua" w:cs="Book Antiqua"/>
          <w:color w:val="000000"/>
        </w:rPr>
        <w:lastRenderedPageBreak/>
        <w:t>We recruited 90 adult participants and divided them into three equal groups: Healthy controls, cirrhosis patients, and HCC patients. Serum FGF-19 concentrations were measured using the Human FGF-19 ELISA kit.</w:t>
      </w:r>
    </w:p>
    <w:p w14:paraId="797D1D09" w14:textId="77777777" w:rsidR="00A40FE6" w:rsidRPr="00807723" w:rsidRDefault="00A40FE6">
      <w:pPr>
        <w:spacing w:line="360" w:lineRule="auto"/>
        <w:jc w:val="both"/>
      </w:pPr>
    </w:p>
    <w:p w14:paraId="4FCFEA31" w14:textId="77777777" w:rsidR="00A40FE6" w:rsidRPr="00807723" w:rsidRDefault="00214602">
      <w:pPr>
        <w:spacing w:line="360" w:lineRule="auto"/>
        <w:jc w:val="both"/>
      </w:pPr>
      <w:r w:rsidRPr="00807723">
        <w:rPr>
          <w:rFonts w:ascii="Book Antiqua" w:eastAsia="Book Antiqua" w:hAnsi="Book Antiqua" w:cs="Book Antiqua"/>
          <w:b/>
          <w:i/>
          <w:color w:val="000000"/>
        </w:rPr>
        <w:t>Research results</w:t>
      </w:r>
    </w:p>
    <w:p w14:paraId="76583762" w14:textId="77777777" w:rsidR="00A40FE6" w:rsidRPr="00807723" w:rsidRDefault="00214602">
      <w:pPr>
        <w:spacing w:line="360" w:lineRule="auto"/>
        <w:jc w:val="both"/>
      </w:pPr>
      <w:r w:rsidRPr="00807723">
        <w:rPr>
          <w:rFonts w:ascii="Book Antiqua" w:eastAsia="Book Antiqua" w:hAnsi="Book Antiqua" w:cs="Book Antiqua"/>
          <w:color w:val="000000"/>
        </w:rPr>
        <w:t xml:space="preserve">We detected a high statistically significant difference in the FGF-19 levels between the three groups, with the highest level occurring in the HCC group, followed by the cirrhosis and control groups (236.44 ± 40.94 </w:t>
      </w:r>
      <w:r w:rsidRPr="00807723">
        <w:rPr>
          <w:rFonts w:ascii="Book Antiqua" w:eastAsia="Book Antiqua" w:hAnsi="Book Antiqua" w:cs="Book Antiqua"/>
          <w:i/>
          <w:iCs/>
          <w:color w:val="000000"/>
        </w:rPr>
        <w:t xml:space="preserve">vs </w:t>
      </w:r>
      <w:r w:rsidRPr="00807723">
        <w:rPr>
          <w:rFonts w:ascii="Book Antiqua" w:eastAsia="Book Antiqua" w:hAnsi="Book Antiqua" w:cs="Book Antiqua"/>
          <w:color w:val="000000"/>
        </w:rPr>
        <w:t xml:space="preserve">125.63 ± 31.54 </w:t>
      </w:r>
      <w:r w:rsidRPr="00807723">
        <w:rPr>
          <w:rFonts w:ascii="Book Antiqua" w:eastAsia="Book Antiqua" w:hAnsi="Book Antiqua" w:cs="Book Antiqua"/>
          <w:i/>
          <w:iCs/>
          <w:color w:val="000000"/>
        </w:rPr>
        <w:t>vs</w:t>
      </w:r>
      <w:r w:rsidRPr="00807723">
        <w:rPr>
          <w:rFonts w:ascii="Book Antiqua" w:eastAsia="Book Antiqua" w:hAnsi="Book Antiqua" w:cs="Book Antiqua"/>
          <w:color w:val="000000"/>
        </w:rPr>
        <w:t xml:space="preserve"> 69.60 ± 20.90 </w:t>
      </w:r>
      <w:proofErr w:type="spellStart"/>
      <w:r w:rsidRPr="00807723">
        <w:rPr>
          <w:rFonts w:ascii="Book Antiqua" w:eastAsia="Book Antiqua" w:hAnsi="Book Antiqua" w:cs="Book Antiqua"/>
          <w:color w:val="000000"/>
        </w:rPr>
        <w:t>pg</w:t>
      </w:r>
      <w:proofErr w:type="spellEnd"/>
      <w:r w:rsidRPr="00807723">
        <w:rPr>
          <w:rFonts w:ascii="Book Antiqua" w:eastAsia="Book Antiqua" w:hAnsi="Book Antiqua" w:cs="Book Antiqua"/>
          <w:color w:val="000000"/>
        </w:rPr>
        <w:t xml:space="preserve">/mL, respectively, </w:t>
      </w:r>
      <w:r w:rsidRPr="00807723">
        <w:rPr>
          <w:rFonts w:ascii="Book Antiqua" w:eastAsia="Book Antiqua" w:hAnsi="Book Antiqua" w:cs="Book Antiqua"/>
          <w:i/>
          <w:iCs/>
          <w:color w:val="000000"/>
        </w:rPr>
        <w:t>P</w:t>
      </w:r>
      <w:r w:rsidRPr="00807723">
        <w:rPr>
          <w:rFonts w:ascii="Book Antiqua" w:eastAsia="Book Antiqua" w:hAnsi="Book Antiqua" w:cs="Book Antiqua"/>
          <w:color w:val="000000"/>
        </w:rPr>
        <w:t xml:space="preserve"> ≤ 0.001). For the detection of HCC, ROC curve analysis showed that FGF-19 produced a better diagnostic performance than alpha fetoprotein with an AUC of 0.98 </w:t>
      </w:r>
      <w:r w:rsidRPr="00807723">
        <w:rPr>
          <w:rFonts w:ascii="Book Antiqua" w:eastAsia="Book Antiqua" w:hAnsi="Book Antiqua" w:cs="Book Antiqua"/>
          <w:i/>
          <w:iCs/>
          <w:color w:val="000000"/>
        </w:rPr>
        <w:t xml:space="preserve">vs </w:t>
      </w:r>
      <w:r w:rsidRPr="00807723">
        <w:rPr>
          <w:rFonts w:ascii="Book Antiqua" w:eastAsia="Book Antiqua" w:hAnsi="Book Antiqua" w:cs="Book Antiqua"/>
          <w:color w:val="000000"/>
        </w:rPr>
        <w:t xml:space="preserve">0.78. </w:t>
      </w:r>
    </w:p>
    <w:p w14:paraId="3151A5C9" w14:textId="77777777" w:rsidR="00A40FE6" w:rsidRPr="00807723" w:rsidRDefault="00A40FE6">
      <w:pPr>
        <w:spacing w:line="360" w:lineRule="auto"/>
        <w:jc w:val="both"/>
      </w:pPr>
    </w:p>
    <w:p w14:paraId="2451DB2D" w14:textId="77777777" w:rsidR="00A40FE6" w:rsidRPr="00807723" w:rsidRDefault="00214602">
      <w:pPr>
        <w:spacing w:line="360" w:lineRule="auto"/>
        <w:jc w:val="both"/>
      </w:pPr>
      <w:r w:rsidRPr="00807723">
        <w:rPr>
          <w:rFonts w:ascii="Book Antiqua" w:eastAsia="Book Antiqua" w:hAnsi="Book Antiqua" w:cs="Book Antiqua"/>
          <w:b/>
          <w:i/>
          <w:color w:val="000000"/>
        </w:rPr>
        <w:t>Research conclusions</w:t>
      </w:r>
    </w:p>
    <w:p w14:paraId="735207F0" w14:textId="77777777" w:rsidR="00A40FE6" w:rsidRPr="00807723" w:rsidRDefault="00214602">
      <w:pPr>
        <w:spacing w:line="360" w:lineRule="auto"/>
        <w:jc w:val="both"/>
      </w:pPr>
      <w:r w:rsidRPr="00807723">
        <w:rPr>
          <w:rFonts w:ascii="Book Antiqua" w:eastAsia="Book Antiqua" w:hAnsi="Book Antiqua" w:cs="Book Antiqua"/>
          <w:color w:val="000000"/>
        </w:rPr>
        <w:t xml:space="preserve">FGF-19 may be a possible novel non-invasive marker for HCC. </w:t>
      </w:r>
    </w:p>
    <w:p w14:paraId="2D07840A" w14:textId="77777777" w:rsidR="00A40FE6" w:rsidRPr="00807723" w:rsidRDefault="00A40FE6">
      <w:pPr>
        <w:spacing w:line="360" w:lineRule="auto"/>
        <w:jc w:val="both"/>
      </w:pPr>
    </w:p>
    <w:p w14:paraId="1461453C" w14:textId="77777777" w:rsidR="00A40FE6" w:rsidRPr="00807723" w:rsidRDefault="00214602">
      <w:pPr>
        <w:spacing w:line="360" w:lineRule="auto"/>
        <w:jc w:val="both"/>
      </w:pPr>
      <w:r w:rsidRPr="00807723">
        <w:rPr>
          <w:rFonts w:ascii="Book Antiqua" w:eastAsia="Book Antiqua" w:hAnsi="Book Antiqua" w:cs="Book Antiqua"/>
          <w:b/>
          <w:i/>
          <w:color w:val="000000"/>
        </w:rPr>
        <w:t>Research perspectives</w:t>
      </w:r>
    </w:p>
    <w:p w14:paraId="72A9BADA" w14:textId="77777777" w:rsidR="00A40FE6" w:rsidRPr="00807723" w:rsidRDefault="00214602">
      <w:pPr>
        <w:spacing w:line="360" w:lineRule="auto"/>
        <w:jc w:val="both"/>
      </w:pPr>
      <w:r w:rsidRPr="00807723">
        <w:rPr>
          <w:rFonts w:ascii="Book Antiqua" w:eastAsia="Book Antiqua" w:hAnsi="Book Antiqua" w:cs="Book Antiqua"/>
          <w:color w:val="000000"/>
        </w:rPr>
        <w:t>FGF-19 could serve as a predictor of prognosis and a marker for follow-up after HCC treatment. Furthermore, the FGF-19 pathway may be a therapeutic target for the management of HCC.</w:t>
      </w:r>
    </w:p>
    <w:p w14:paraId="747235E7" w14:textId="77777777" w:rsidR="00A40FE6" w:rsidRPr="00807723" w:rsidRDefault="00A40FE6">
      <w:pPr>
        <w:spacing w:line="360" w:lineRule="auto"/>
        <w:jc w:val="both"/>
      </w:pPr>
    </w:p>
    <w:p w14:paraId="5C8AD0BC" w14:textId="77777777" w:rsidR="00A40FE6" w:rsidRPr="00807723" w:rsidRDefault="00214602">
      <w:pPr>
        <w:spacing w:line="360" w:lineRule="auto"/>
        <w:jc w:val="both"/>
      </w:pPr>
      <w:r w:rsidRPr="00807723">
        <w:rPr>
          <w:rFonts w:ascii="Book Antiqua" w:eastAsia="Book Antiqua" w:hAnsi="Book Antiqua" w:cs="Book Antiqua"/>
          <w:b/>
          <w:color w:val="000000"/>
        </w:rPr>
        <w:t>REFERENCES</w:t>
      </w:r>
    </w:p>
    <w:p w14:paraId="547692D7" w14:textId="2088A3D4" w:rsidR="00A40FE6" w:rsidRPr="00807723" w:rsidRDefault="00214602">
      <w:pPr>
        <w:spacing w:line="360" w:lineRule="auto"/>
        <w:jc w:val="both"/>
        <w:rPr>
          <w:rFonts w:ascii="Book Antiqua" w:hAnsi="Book Antiqua"/>
        </w:rPr>
      </w:pPr>
      <w:r w:rsidRPr="00807723">
        <w:rPr>
          <w:rFonts w:ascii="Book Antiqua" w:hAnsi="Book Antiqua"/>
        </w:rPr>
        <w:t xml:space="preserve">1 </w:t>
      </w:r>
      <w:proofErr w:type="spellStart"/>
      <w:r w:rsidRPr="00807723">
        <w:rPr>
          <w:rFonts w:ascii="Book Antiqua" w:hAnsi="Book Antiqua"/>
          <w:b/>
          <w:bCs/>
        </w:rPr>
        <w:t>Rysz</w:t>
      </w:r>
      <w:proofErr w:type="spellEnd"/>
      <w:r w:rsidRPr="00807723">
        <w:rPr>
          <w:rFonts w:ascii="Book Antiqua" w:hAnsi="Book Antiqua"/>
          <w:b/>
          <w:bCs/>
        </w:rPr>
        <w:t xml:space="preserve"> J</w:t>
      </w:r>
      <w:r w:rsidRPr="00807723">
        <w:rPr>
          <w:rFonts w:ascii="Book Antiqua" w:hAnsi="Book Antiqua"/>
        </w:rPr>
        <w:t xml:space="preserve">, </w:t>
      </w:r>
      <w:proofErr w:type="spellStart"/>
      <w:r w:rsidRPr="00807723">
        <w:rPr>
          <w:rFonts w:ascii="Book Antiqua" w:hAnsi="Book Antiqua"/>
        </w:rPr>
        <w:t>Gluba-Brzózka</w:t>
      </w:r>
      <w:proofErr w:type="spellEnd"/>
      <w:r w:rsidRPr="00807723">
        <w:rPr>
          <w:rFonts w:ascii="Book Antiqua" w:hAnsi="Book Antiqua"/>
        </w:rPr>
        <w:t xml:space="preserve"> A, </w:t>
      </w:r>
      <w:proofErr w:type="spellStart"/>
      <w:r w:rsidRPr="00807723">
        <w:rPr>
          <w:rFonts w:ascii="Book Antiqua" w:hAnsi="Book Antiqua"/>
        </w:rPr>
        <w:t>Mikhailidis</w:t>
      </w:r>
      <w:proofErr w:type="spellEnd"/>
      <w:r w:rsidRPr="00807723">
        <w:rPr>
          <w:rFonts w:ascii="Book Antiqua" w:hAnsi="Book Antiqua"/>
        </w:rPr>
        <w:t xml:space="preserve"> DP, Banach M. Fibroblast growth factor 19-targeted therapies for the treatment of metabolic disease. </w:t>
      </w:r>
      <w:r w:rsidRPr="008F576D">
        <w:rPr>
          <w:rFonts w:ascii="Book Antiqua" w:hAnsi="Book Antiqua"/>
          <w:i/>
          <w:iCs/>
        </w:rPr>
        <w:t xml:space="preserve">Expert </w:t>
      </w:r>
      <w:proofErr w:type="spellStart"/>
      <w:r w:rsidRPr="008F576D">
        <w:rPr>
          <w:rFonts w:ascii="Book Antiqua" w:hAnsi="Book Antiqua"/>
          <w:i/>
          <w:iCs/>
        </w:rPr>
        <w:t>Opin</w:t>
      </w:r>
      <w:proofErr w:type="spellEnd"/>
      <w:r w:rsidRPr="008F576D">
        <w:rPr>
          <w:rFonts w:ascii="Book Antiqua" w:hAnsi="Book Antiqua"/>
          <w:i/>
          <w:iCs/>
        </w:rPr>
        <w:t xml:space="preserve"> </w:t>
      </w:r>
      <w:proofErr w:type="spellStart"/>
      <w:r w:rsidRPr="008F576D">
        <w:rPr>
          <w:rFonts w:ascii="Book Antiqua" w:hAnsi="Book Antiqua"/>
          <w:i/>
          <w:iCs/>
        </w:rPr>
        <w:t>Investig</w:t>
      </w:r>
      <w:proofErr w:type="spellEnd"/>
      <w:r w:rsidRPr="008F576D">
        <w:rPr>
          <w:rFonts w:ascii="Book Antiqua" w:hAnsi="Book Antiqua"/>
          <w:i/>
          <w:iCs/>
        </w:rPr>
        <w:t xml:space="preserve"> Drugs</w:t>
      </w:r>
      <w:r w:rsidRPr="00807723">
        <w:rPr>
          <w:rFonts w:ascii="Book Antiqua" w:hAnsi="Book Antiqua"/>
        </w:rPr>
        <w:t xml:space="preserve"> 2015; </w:t>
      </w:r>
      <w:r w:rsidRPr="008F576D">
        <w:rPr>
          <w:rFonts w:ascii="Book Antiqua" w:hAnsi="Book Antiqua"/>
          <w:b/>
          <w:bCs/>
        </w:rPr>
        <w:t>24</w:t>
      </w:r>
      <w:r w:rsidRPr="00807723">
        <w:rPr>
          <w:rFonts w:ascii="Book Antiqua" w:hAnsi="Book Antiqua"/>
        </w:rPr>
        <w:t>: 603-610 [DOI: 10.1517/13543784.2015.1006357]</w:t>
      </w:r>
    </w:p>
    <w:p w14:paraId="63EC1413"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 </w:t>
      </w:r>
      <w:r w:rsidRPr="00807723">
        <w:rPr>
          <w:rFonts w:ascii="Book Antiqua" w:hAnsi="Book Antiqua"/>
          <w:b/>
          <w:bCs/>
        </w:rPr>
        <w:t>Zhang J</w:t>
      </w:r>
      <w:r w:rsidRPr="00807723">
        <w:rPr>
          <w:rFonts w:ascii="Book Antiqua" w:hAnsi="Book Antiqua"/>
        </w:rPr>
        <w:t xml:space="preserve">, Li H, Bai N, Xu Y, Song Q, Zhang L, Wu G, Chen S, Hou X, Wang C, Wei L, Xu A, Fang Q, Jia W. Decrease of FGF19 contributes to the increase of fasting glucose in human in an insulin-independent manner. </w:t>
      </w:r>
      <w:r w:rsidRPr="00807723">
        <w:rPr>
          <w:rFonts w:ascii="Book Antiqua" w:hAnsi="Book Antiqua"/>
          <w:i/>
          <w:iCs/>
        </w:rPr>
        <w:t>J Endocrinol Invest</w:t>
      </w:r>
      <w:r w:rsidRPr="00807723">
        <w:rPr>
          <w:rFonts w:ascii="Book Antiqua" w:hAnsi="Book Antiqua"/>
        </w:rPr>
        <w:t xml:space="preserve"> 2019; </w:t>
      </w:r>
      <w:r w:rsidRPr="00807723">
        <w:rPr>
          <w:rFonts w:ascii="Book Antiqua" w:hAnsi="Book Antiqua"/>
          <w:b/>
          <w:bCs/>
        </w:rPr>
        <w:t>42</w:t>
      </w:r>
      <w:r w:rsidRPr="00807723">
        <w:rPr>
          <w:rFonts w:ascii="Book Antiqua" w:hAnsi="Book Antiqua"/>
        </w:rPr>
        <w:t>: 1019-1027 [PMID: 30852757 DOI: 10.1007/s40618-019-01018-5]</w:t>
      </w:r>
    </w:p>
    <w:p w14:paraId="72CB122A" w14:textId="691C91D7" w:rsidR="00A40FE6" w:rsidRPr="00807723" w:rsidRDefault="00214602">
      <w:pPr>
        <w:spacing w:line="360" w:lineRule="auto"/>
        <w:jc w:val="both"/>
        <w:rPr>
          <w:rFonts w:ascii="Book Antiqua" w:hAnsi="Book Antiqua"/>
        </w:rPr>
      </w:pPr>
      <w:r w:rsidRPr="00807723">
        <w:rPr>
          <w:rFonts w:ascii="Book Antiqua" w:hAnsi="Book Antiqua"/>
        </w:rPr>
        <w:lastRenderedPageBreak/>
        <w:t xml:space="preserve">3 </w:t>
      </w:r>
      <w:proofErr w:type="spellStart"/>
      <w:r w:rsidRPr="00807723">
        <w:rPr>
          <w:rFonts w:ascii="Book Antiqua" w:hAnsi="Book Antiqua"/>
          <w:b/>
          <w:bCs/>
        </w:rPr>
        <w:t>Babaknejad</w:t>
      </w:r>
      <w:proofErr w:type="spellEnd"/>
      <w:r w:rsidRPr="00807723">
        <w:rPr>
          <w:rFonts w:ascii="Book Antiqua" w:hAnsi="Book Antiqua"/>
          <w:b/>
          <w:bCs/>
        </w:rPr>
        <w:t xml:space="preserve"> N</w:t>
      </w:r>
      <w:r w:rsidRPr="00807723">
        <w:rPr>
          <w:rFonts w:ascii="Book Antiqua" w:hAnsi="Book Antiqua"/>
        </w:rPr>
        <w:t xml:space="preserve">, </w:t>
      </w:r>
      <w:proofErr w:type="spellStart"/>
      <w:r w:rsidRPr="00807723">
        <w:rPr>
          <w:rFonts w:ascii="Book Antiqua" w:hAnsi="Book Antiqua"/>
        </w:rPr>
        <w:t>Nayeri</w:t>
      </w:r>
      <w:proofErr w:type="spellEnd"/>
      <w:r w:rsidRPr="00807723">
        <w:rPr>
          <w:rFonts w:ascii="Book Antiqua" w:hAnsi="Book Antiqua"/>
        </w:rPr>
        <w:t xml:space="preserve"> H, </w:t>
      </w:r>
      <w:proofErr w:type="spellStart"/>
      <w:r w:rsidRPr="00807723">
        <w:rPr>
          <w:rFonts w:ascii="Book Antiqua" w:hAnsi="Book Antiqua"/>
        </w:rPr>
        <w:t>Hemmati</w:t>
      </w:r>
      <w:proofErr w:type="spellEnd"/>
      <w:r w:rsidRPr="00807723">
        <w:rPr>
          <w:rFonts w:ascii="Book Antiqua" w:hAnsi="Book Antiqua"/>
        </w:rPr>
        <w:t xml:space="preserve"> R, </w:t>
      </w:r>
      <w:proofErr w:type="spellStart"/>
      <w:r w:rsidRPr="00807723">
        <w:rPr>
          <w:rFonts w:ascii="Book Antiqua" w:hAnsi="Book Antiqua"/>
        </w:rPr>
        <w:t>Bahrami</w:t>
      </w:r>
      <w:proofErr w:type="spellEnd"/>
      <w:r w:rsidRPr="00807723">
        <w:rPr>
          <w:rFonts w:ascii="Book Antiqua" w:hAnsi="Book Antiqua"/>
        </w:rPr>
        <w:t xml:space="preserve"> S, </w:t>
      </w:r>
      <w:proofErr w:type="spellStart"/>
      <w:r w:rsidRPr="00807723">
        <w:rPr>
          <w:rFonts w:ascii="Book Antiqua" w:hAnsi="Book Antiqua"/>
        </w:rPr>
        <w:t>Esmaillzadeh</w:t>
      </w:r>
      <w:proofErr w:type="spellEnd"/>
      <w:r w:rsidRPr="00807723">
        <w:rPr>
          <w:rFonts w:ascii="Book Antiqua" w:hAnsi="Book Antiqua"/>
        </w:rPr>
        <w:t xml:space="preserve"> A. An Overview of FGF19 and FGF21: The Therapeutic Role in the Treatment of the Metabolic Disorders and Obesity. </w:t>
      </w:r>
      <w:proofErr w:type="spellStart"/>
      <w:r w:rsidRPr="001C7242">
        <w:rPr>
          <w:rFonts w:ascii="Book Antiqua" w:hAnsi="Book Antiqua"/>
          <w:i/>
          <w:iCs/>
        </w:rPr>
        <w:t>Horm</w:t>
      </w:r>
      <w:proofErr w:type="spellEnd"/>
      <w:r w:rsidRPr="001C7242">
        <w:rPr>
          <w:rFonts w:ascii="Book Antiqua" w:hAnsi="Book Antiqua"/>
          <w:i/>
          <w:iCs/>
        </w:rPr>
        <w:t xml:space="preserve"> </w:t>
      </w:r>
      <w:proofErr w:type="spellStart"/>
      <w:r w:rsidRPr="001C7242">
        <w:rPr>
          <w:rFonts w:ascii="Book Antiqua" w:hAnsi="Book Antiqua"/>
          <w:i/>
          <w:iCs/>
        </w:rPr>
        <w:t>Metab</w:t>
      </w:r>
      <w:proofErr w:type="spellEnd"/>
      <w:r w:rsidRPr="001C7242">
        <w:rPr>
          <w:rFonts w:ascii="Book Antiqua" w:hAnsi="Book Antiqua"/>
          <w:i/>
          <w:iCs/>
        </w:rPr>
        <w:t xml:space="preserve"> Res</w:t>
      </w:r>
      <w:r w:rsidRPr="00807723">
        <w:rPr>
          <w:rFonts w:ascii="Book Antiqua" w:hAnsi="Book Antiqua"/>
        </w:rPr>
        <w:t xml:space="preserve"> 2018; </w:t>
      </w:r>
      <w:r w:rsidRPr="001C7242">
        <w:rPr>
          <w:rFonts w:ascii="Book Antiqua" w:hAnsi="Book Antiqua"/>
          <w:b/>
          <w:bCs/>
        </w:rPr>
        <w:t>50</w:t>
      </w:r>
      <w:r w:rsidRPr="00807723">
        <w:rPr>
          <w:rFonts w:ascii="Book Antiqua" w:hAnsi="Book Antiqua"/>
        </w:rPr>
        <w:t>: 441-452 [DOI:10.1055/a-0623-2909]</w:t>
      </w:r>
    </w:p>
    <w:p w14:paraId="7384B95C" w14:textId="77777777" w:rsidR="00A40FE6" w:rsidRPr="00807723" w:rsidRDefault="00214602">
      <w:pPr>
        <w:spacing w:line="360" w:lineRule="auto"/>
        <w:jc w:val="both"/>
        <w:rPr>
          <w:rFonts w:ascii="Book Antiqua" w:hAnsi="Book Antiqua"/>
        </w:rPr>
      </w:pPr>
      <w:r w:rsidRPr="00807723">
        <w:rPr>
          <w:rFonts w:ascii="Book Antiqua" w:hAnsi="Book Antiqua"/>
        </w:rPr>
        <w:t xml:space="preserve">4 </w:t>
      </w:r>
      <w:r w:rsidRPr="00807723">
        <w:rPr>
          <w:rFonts w:ascii="Book Antiqua" w:hAnsi="Book Antiqua"/>
          <w:b/>
          <w:bCs/>
        </w:rPr>
        <w:t>Gómez-</w:t>
      </w:r>
      <w:proofErr w:type="spellStart"/>
      <w:r w:rsidRPr="00807723">
        <w:rPr>
          <w:rFonts w:ascii="Book Antiqua" w:hAnsi="Book Antiqua"/>
          <w:b/>
          <w:bCs/>
        </w:rPr>
        <w:t>Ambrosi</w:t>
      </w:r>
      <w:proofErr w:type="spellEnd"/>
      <w:r w:rsidRPr="00807723">
        <w:rPr>
          <w:rFonts w:ascii="Book Antiqua" w:hAnsi="Book Antiqua"/>
          <w:b/>
          <w:bCs/>
        </w:rPr>
        <w:t xml:space="preserve"> J</w:t>
      </w:r>
      <w:r w:rsidRPr="00807723">
        <w:rPr>
          <w:rFonts w:ascii="Book Antiqua" w:hAnsi="Book Antiqua"/>
        </w:rPr>
        <w:t>, Gallego-</w:t>
      </w:r>
      <w:proofErr w:type="spellStart"/>
      <w:r w:rsidRPr="00807723">
        <w:rPr>
          <w:rFonts w:ascii="Book Antiqua" w:hAnsi="Book Antiqua"/>
        </w:rPr>
        <w:t>Escuredo</w:t>
      </w:r>
      <w:proofErr w:type="spellEnd"/>
      <w:r w:rsidRPr="00807723">
        <w:rPr>
          <w:rFonts w:ascii="Book Antiqua" w:hAnsi="Book Antiqua"/>
        </w:rPr>
        <w:t xml:space="preserve"> JM, </w:t>
      </w:r>
      <w:proofErr w:type="spellStart"/>
      <w:r w:rsidRPr="00807723">
        <w:rPr>
          <w:rFonts w:ascii="Book Antiqua" w:hAnsi="Book Antiqua"/>
        </w:rPr>
        <w:t>Catalán</w:t>
      </w:r>
      <w:proofErr w:type="spellEnd"/>
      <w:r w:rsidRPr="00807723">
        <w:rPr>
          <w:rFonts w:ascii="Book Antiqua" w:hAnsi="Book Antiqua"/>
        </w:rPr>
        <w:t xml:space="preserve"> V, Rodríguez A, Domingo P, Moncada R, </w:t>
      </w:r>
      <w:proofErr w:type="spellStart"/>
      <w:r w:rsidRPr="00807723">
        <w:rPr>
          <w:rFonts w:ascii="Book Antiqua" w:hAnsi="Book Antiqua"/>
        </w:rPr>
        <w:t>Valentí</w:t>
      </w:r>
      <w:proofErr w:type="spellEnd"/>
      <w:r w:rsidRPr="00807723">
        <w:rPr>
          <w:rFonts w:ascii="Book Antiqua" w:hAnsi="Book Antiqua"/>
        </w:rPr>
        <w:t xml:space="preserve"> V, Salvador J, Giralt M, </w:t>
      </w:r>
      <w:proofErr w:type="spellStart"/>
      <w:r w:rsidRPr="00807723">
        <w:rPr>
          <w:rFonts w:ascii="Book Antiqua" w:hAnsi="Book Antiqua"/>
        </w:rPr>
        <w:t>Villarroya</w:t>
      </w:r>
      <w:proofErr w:type="spellEnd"/>
      <w:r w:rsidRPr="00807723">
        <w:rPr>
          <w:rFonts w:ascii="Book Antiqua" w:hAnsi="Book Antiqua"/>
        </w:rPr>
        <w:t xml:space="preserve"> F, </w:t>
      </w:r>
      <w:proofErr w:type="spellStart"/>
      <w:r w:rsidRPr="00807723">
        <w:rPr>
          <w:rFonts w:ascii="Book Antiqua" w:hAnsi="Book Antiqua"/>
        </w:rPr>
        <w:t>Frühbeck</w:t>
      </w:r>
      <w:proofErr w:type="spellEnd"/>
      <w:r w:rsidRPr="00807723">
        <w:rPr>
          <w:rFonts w:ascii="Book Antiqua" w:hAnsi="Book Antiqua"/>
        </w:rPr>
        <w:t xml:space="preserve"> G. FGF19 and FGF21 serum concentrations in human obesity and type 2 diabetes behave differently after diet- or surgically-induced weight loss. </w:t>
      </w:r>
      <w:r w:rsidRPr="00807723">
        <w:rPr>
          <w:rFonts w:ascii="Book Antiqua" w:hAnsi="Book Antiqua"/>
          <w:i/>
          <w:iCs/>
        </w:rPr>
        <w:t xml:space="preserve">Clin </w:t>
      </w:r>
      <w:proofErr w:type="spellStart"/>
      <w:r w:rsidRPr="00807723">
        <w:rPr>
          <w:rFonts w:ascii="Book Antiqua" w:hAnsi="Book Antiqua"/>
          <w:i/>
          <w:iCs/>
        </w:rPr>
        <w:t>Nutr</w:t>
      </w:r>
      <w:proofErr w:type="spellEnd"/>
      <w:r w:rsidRPr="00807723">
        <w:rPr>
          <w:rFonts w:ascii="Book Antiqua" w:hAnsi="Book Antiqua"/>
        </w:rPr>
        <w:t xml:space="preserve"> 2017; </w:t>
      </w:r>
      <w:r w:rsidRPr="00807723">
        <w:rPr>
          <w:rFonts w:ascii="Book Antiqua" w:hAnsi="Book Antiqua"/>
          <w:b/>
          <w:bCs/>
        </w:rPr>
        <w:t>36</w:t>
      </w:r>
      <w:r w:rsidRPr="00807723">
        <w:rPr>
          <w:rFonts w:ascii="Book Antiqua" w:hAnsi="Book Antiqua"/>
        </w:rPr>
        <w:t>: 861-868 [PMID: 27188262 DOI: 10.1016/j.clnu.2016.04.027]</w:t>
      </w:r>
    </w:p>
    <w:p w14:paraId="45C7F209" w14:textId="77777777" w:rsidR="00A40FE6" w:rsidRPr="00807723" w:rsidRDefault="00214602">
      <w:pPr>
        <w:spacing w:line="360" w:lineRule="auto"/>
        <w:jc w:val="both"/>
        <w:rPr>
          <w:rFonts w:ascii="Book Antiqua" w:hAnsi="Book Antiqua"/>
        </w:rPr>
      </w:pPr>
      <w:r w:rsidRPr="00807723">
        <w:rPr>
          <w:rFonts w:ascii="Book Antiqua" w:hAnsi="Book Antiqua"/>
        </w:rPr>
        <w:t xml:space="preserve">5 </w:t>
      </w:r>
      <w:proofErr w:type="spellStart"/>
      <w:r w:rsidRPr="00807723">
        <w:rPr>
          <w:rFonts w:ascii="Book Antiqua" w:hAnsi="Book Antiqua"/>
          <w:b/>
          <w:bCs/>
        </w:rPr>
        <w:t>Repana</w:t>
      </w:r>
      <w:proofErr w:type="spellEnd"/>
      <w:r w:rsidRPr="00807723">
        <w:rPr>
          <w:rFonts w:ascii="Book Antiqua" w:hAnsi="Book Antiqua"/>
          <w:b/>
          <w:bCs/>
        </w:rPr>
        <w:t xml:space="preserve"> D</w:t>
      </w:r>
      <w:r w:rsidRPr="00807723">
        <w:rPr>
          <w:rFonts w:ascii="Book Antiqua" w:hAnsi="Book Antiqua"/>
        </w:rPr>
        <w:t xml:space="preserve">, Ross P. Targeting FGF19/FGFR4 Pathway: A Novel Therapeutic Strategy for Hepatocellular Carcinoma. </w:t>
      </w:r>
      <w:r w:rsidRPr="00807723">
        <w:rPr>
          <w:rFonts w:ascii="Book Antiqua" w:hAnsi="Book Antiqua"/>
          <w:i/>
          <w:iCs/>
        </w:rPr>
        <w:t>Diseases</w:t>
      </w:r>
      <w:r w:rsidRPr="00807723">
        <w:rPr>
          <w:rFonts w:ascii="Book Antiqua" w:hAnsi="Book Antiqua"/>
        </w:rPr>
        <w:t xml:space="preserve"> 2015; </w:t>
      </w:r>
      <w:r w:rsidRPr="00807723">
        <w:rPr>
          <w:rFonts w:ascii="Book Antiqua" w:hAnsi="Book Antiqua"/>
          <w:b/>
          <w:bCs/>
        </w:rPr>
        <w:t>3</w:t>
      </w:r>
      <w:r w:rsidRPr="00807723">
        <w:rPr>
          <w:rFonts w:ascii="Book Antiqua" w:hAnsi="Book Antiqua"/>
        </w:rPr>
        <w:t>: 294-305 [PMID: 28943626 DOI: 10.3390/diseases3040294]</w:t>
      </w:r>
    </w:p>
    <w:p w14:paraId="229D279A" w14:textId="77777777" w:rsidR="00A40FE6" w:rsidRPr="00807723" w:rsidRDefault="00214602">
      <w:pPr>
        <w:spacing w:line="360" w:lineRule="auto"/>
        <w:jc w:val="both"/>
        <w:rPr>
          <w:rFonts w:ascii="Book Antiqua" w:hAnsi="Book Antiqua"/>
        </w:rPr>
      </w:pPr>
      <w:r w:rsidRPr="00807723">
        <w:rPr>
          <w:rFonts w:ascii="Book Antiqua" w:hAnsi="Book Antiqua"/>
        </w:rPr>
        <w:t xml:space="preserve">6 </w:t>
      </w:r>
      <w:proofErr w:type="spellStart"/>
      <w:r w:rsidRPr="00807723">
        <w:rPr>
          <w:rFonts w:ascii="Book Antiqua" w:hAnsi="Book Antiqua"/>
          <w:b/>
          <w:bCs/>
        </w:rPr>
        <w:t>Shimokawa</w:t>
      </w:r>
      <w:proofErr w:type="spellEnd"/>
      <w:r w:rsidRPr="00807723">
        <w:rPr>
          <w:rFonts w:ascii="Book Antiqua" w:hAnsi="Book Antiqua"/>
          <w:b/>
          <w:bCs/>
        </w:rPr>
        <w:t xml:space="preserve"> T</w:t>
      </w:r>
      <w:r w:rsidRPr="00807723">
        <w:rPr>
          <w:rFonts w:ascii="Book Antiqua" w:hAnsi="Book Antiqua"/>
        </w:rPr>
        <w:t xml:space="preserve">, Furukawa Y, Sakai M, Li M, Miwa N, Lin YM, Nakamura Y. Involvement of the FGF18 gene in colorectal carcinogenesis, as a novel downstream target of the beta-catenin/T-cell factor complex. </w:t>
      </w:r>
      <w:r w:rsidRPr="00807723">
        <w:rPr>
          <w:rFonts w:ascii="Book Antiqua" w:hAnsi="Book Antiqua"/>
          <w:i/>
          <w:iCs/>
        </w:rPr>
        <w:t>Cancer Res</w:t>
      </w:r>
      <w:r w:rsidRPr="00807723">
        <w:rPr>
          <w:rFonts w:ascii="Book Antiqua" w:hAnsi="Book Antiqua"/>
        </w:rPr>
        <w:t xml:space="preserve"> 2003; </w:t>
      </w:r>
      <w:r w:rsidRPr="00807723">
        <w:rPr>
          <w:rFonts w:ascii="Book Antiqua" w:hAnsi="Book Antiqua"/>
          <w:b/>
          <w:bCs/>
        </w:rPr>
        <w:t>63</w:t>
      </w:r>
      <w:r w:rsidRPr="00807723">
        <w:rPr>
          <w:rFonts w:ascii="Book Antiqua" w:hAnsi="Book Antiqua"/>
        </w:rPr>
        <w:t>: 6116-6120 [PMID: 14559787]</w:t>
      </w:r>
    </w:p>
    <w:p w14:paraId="0204FABE" w14:textId="77777777" w:rsidR="00A40FE6" w:rsidRPr="00807723" w:rsidRDefault="00214602">
      <w:pPr>
        <w:spacing w:line="360" w:lineRule="auto"/>
        <w:jc w:val="both"/>
        <w:rPr>
          <w:rFonts w:ascii="Book Antiqua" w:hAnsi="Book Antiqua"/>
        </w:rPr>
      </w:pPr>
      <w:r w:rsidRPr="00807723">
        <w:rPr>
          <w:rFonts w:ascii="Book Antiqua" w:hAnsi="Book Antiqua"/>
        </w:rPr>
        <w:t xml:space="preserve">7 </w:t>
      </w:r>
      <w:proofErr w:type="spellStart"/>
      <w:r w:rsidRPr="00807723">
        <w:rPr>
          <w:rFonts w:ascii="Book Antiqua" w:hAnsi="Book Antiqua"/>
          <w:b/>
          <w:bCs/>
        </w:rPr>
        <w:t>Zaharieva</w:t>
      </w:r>
      <w:proofErr w:type="spellEnd"/>
      <w:r w:rsidRPr="00807723">
        <w:rPr>
          <w:rFonts w:ascii="Book Antiqua" w:hAnsi="Book Antiqua"/>
          <w:b/>
          <w:bCs/>
        </w:rPr>
        <w:t xml:space="preserve"> BM</w:t>
      </w:r>
      <w:r w:rsidRPr="00807723">
        <w:rPr>
          <w:rFonts w:ascii="Book Antiqua" w:hAnsi="Book Antiqua"/>
        </w:rPr>
        <w:t xml:space="preserve">, Simon R, Diener PA, Ackermann D, Maurer R, </w:t>
      </w:r>
      <w:proofErr w:type="spellStart"/>
      <w:r w:rsidRPr="00807723">
        <w:rPr>
          <w:rFonts w:ascii="Book Antiqua" w:hAnsi="Book Antiqua"/>
        </w:rPr>
        <w:t>Alund</w:t>
      </w:r>
      <w:proofErr w:type="spellEnd"/>
      <w:r w:rsidRPr="00807723">
        <w:rPr>
          <w:rFonts w:ascii="Book Antiqua" w:hAnsi="Book Antiqua"/>
        </w:rPr>
        <w:t xml:space="preserve"> G, </w:t>
      </w:r>
      <w:proofErr w:type="spellStart"/>
      <w:r w:rsidRPr="00807723">
        <w:rPr>
          <w:rFonts w:ascii="Book Antiqua" w:hAnsi="Book Antiqua"/>
        </w:rPr>
        <w:t>Knönagel</w:t>
      </w:r>
      <w:proofErr w:type="spellEnd"/>
      <w:r w:rsidRPr="00807723">
        <w:rPr>
          <w:rFonts w:ascii="Book Antiqua" w:hAnsi="Book Antiqua"/>
        </w:rPr>
        <w:t xml:space="preserve"> H, </w:t>
      </w:r>
      <w:proofErr w:type="spellStart"/>
      <w:r w:rsidRPr="00807723">
        <w:rPr>
          <w:rFonts w:ascii="Book Antiqua" w:hAnsi="Book Antiqua"/>
        </w:rPr>
        <w:t>Rist</w:t>
      </w:r>
      <w:proofErr w:type="spellEnd"/>
      <w:r w:rsidRPr="00807723">
        <w:rPr>
          <w:rFonts w:ascii="Book Antiqua" w:hAnsi="Book Antiqua"/>
        </w:rPr>
        <w:t xml:space="preserve"> M, Wilber K, </w:t>
      </w:r>
      <w:proofErr w:type="spellStart"/>
      <w:r w:rsidRPr="00807723">
        <w:rPr>
          <w:rFonts w:ascii="Book Antiqua" w:hAnsi="Book Antiqua"/>
        </w:rPr>
        <w:t>Hering</w:t>
      </w:r>
      <w:proofErr w:type="spellEnd"/>
      <w:r w:rsidRPr="00807723">
        <w:rPr>
          <w:rFonts w:ascii="Book Antiqua" w:hAnsi="Book Antiqua"/>
        </w:rPr>
        <w:t xml:space="preserve"> F, </w:t>
      </w:r>
      <w:proofErr w:type="spellStart"/>
      <w:r w:rsidRPr="00807723">
        <w:rPr>
          <w:rFonts w:ascii="Book Antiqua" w:hAnsi="Book Antiqua"/>
        </w:rPr>
        <w:t>Schönenberger</w:t>
      </w:r>
      <w:proofErr w:type="spellEnd"/>
      <w:r w:rsidRPr="00807723">
        <w:rPr>
          <w:rFonts w:ascii="Book Antiqua" w:hAnsi="Book Antiqua"/>
        </w:rPr>
        <w:t xml:space="preserve"> A, </w:t>
      </w:r>
      <w:proofErr w:type="spellStart"/>
      <w:r w:rsidRPr="00807723">
        <w:rPr>
          <w:rFonts w:ascii="Book Antiqua" w:hAnsi="Book Antiqua"/>
        </w:rPr>
        <w:t>Flury</w:t>
      </w:r>
      <w:proofErr w:type="spellEnd"/>
      <w:r w:rsidRPr="00807723">
        <w:rPr>
          <w:rFonts w:ascii="Book Antiqua" w:hAnsi="Book Antiqua"/>
        </w:rPr>
        <w:t xml:space="preserve"> R, </w:t>
      </w:r>
      <w:proofErr w:type="spellStart"/>
      <w:r w:rsidRPr="00807723">
        <w:rPr>
          <w:rFonts w:ascii="Book Antiqua" w:hAnsi="Book Antiqua"/>
        </w:rPr>
        <w:t>Jäger</w:t>
      </w:r>
      <w:proofErr w:type="spellEnd"/>
      <w:r w:rsidRPr="00807723">
        <w:rPr>
          <w:rFonts w:ascii="Book Antiqua" w:hAnsi="Book Antiqua"/>
        </w:rPr>
        <w:t xml:space="preserve"> P, Fehr JL, </w:t>
      </w:r>
      <w:proofErr w:type="spellStart"/>
      <w:r w:rsidRPr="00807723">
        <w:rPr>
          <w:rFonts w:ascii="Book Antiqua" w:hAnsi="Book Antiqua"/>
        </w:rPr>
        <w:t>Mihatsch</w:t>
      </w:r>
      <w:proofErr w:type="spellEnd"/>
      <w:r w:rsidRPr="00807723">
        <w:rPr>
          <w:rFonts w:ascii="Book Antiqua" w:hAnsi="Book Antiqua"/>
        </w:rPr>
        <w:t xml:space="preserve"> MJ, Gasser T, Sauter G, </w:t>
      </w:r>
      <w:proofErr w:type="spellStart"/>
      <w:r w:rsidRPr="00807723">
        <w:rPr>
          <w:rFonts w:ascii="Book Antiqua" w:hAnsi="Book Antiqua"/>
        </w:rPr>
        <w:t>Toncheva</w:t>
      </w:r>
      <w:proofErr w:type="spellEnd"/>
      <w:r w:rsidRPr="00807723">
        <w:rPr>
          <w:rFonts w:ascii="Book Antiqua" w:hAnsi="Book Antiqua"/>
        </w:rPr>
        <w:t xml:space="preserve"> DI. High-throughput tissue microarray analysis of 11q13 gene amplification (CCND1, FGF3, FGF4, EMS1) in urinary bladder cancer. </w:t>
      </w:r>
      <w:r w:rsidRPr="00807723">
        <w:rPr>
          <w:rFonts w:ascii="Book Antiqua" w:hAnsi="Book Antiqua"/>
          <w:i/>
          <w:iCs/>
        </w:rPr>
        <w:t xml:space="preserve">J </w:t>
      </w:r>
      <w:proofErr w:type="spellStart"/>
      <w:r w:rsidRPr="00807723">
        <w:rPr>
          <w:rFonts w:ascii="Book Antiqua" w:hAnsi="Book Antiqua"/>
          <w:i/>
          <w:iCs/>
        </w:rPr>
        <w:t>Pathol</w:t>
      </w:r>
      <w:proofErr w:type="spellEnd"/>
      <w:r w:rsidRPr="00807723">
        <w:rPr>
          <w:rFonts w:ascii="Book Antiqua" w:hAnsi="Book Antiqua"/>
        </w:rPr>
        <w:t xml:space="preserve"> 2003; </w:t>
      </w:r>
      <w:r w:rsidRPr="00807723">
        <w:rPr>
          <w:rFonts w:ascii="Book Antiqua" w:hAnsi="Book Antiqua"/>
          <w:b/>
          <w:bCs/>
        </w:rPr>
        <w:t>201</w:t>
      </w:r>
      <w:r w:rsidRPr="00807723">
        <w:rPr>
          <w:rFonts w:ascii="Book Antiqua" w:hAnsi="Book Antiqua"/>
        </w:rPr>
        <w:t>: 603-608 [PMID: 14648664 DOI: 10.1002/path.1481]</w:t>
      </w:r>
    </w:p>
    <w:p w14:paraId="1413FC8E" w14:textId="77777777" w:rsidR="00A40FE6" w:rsidRPr="00807723" w:rsidRDefault="00214602">
      <w:pPr>
        <w:spacing w:line="360" w:lineRule="auto"/>
        <w:jc w:val="both"/>
        <w:rPr>
          <w:rFonts w:ascii="Book Antiqua" w:hAnsi="Book Antiqua"/>
        </w:rPr>
      </w:pPr>
      <w:r w:rsidRPr="00807723">
        <w:rPr>
          <w:rFonts w:ascii="Book Antiqua" w:hAnsi="Book Antiqua"/>
        </w:rPr>
        <w:t xml:space="preserve">8 </w:t>
      </w:r>
      <w:proofErr w:type="spellStart"/>
      <w:r w:rsidRPr="00807723">
        <w:rPr>
          <w:rFonts w:ascii="Book Antiqua" w:hAnsi="Book Antiqua"/>
          <w:b/>
          <w:bCs/>
        </w:rPr>
        <w:t>Gowardhan</w:t>
      </w:r>
      <w:proofErr w:type="spellEnd"/>
      <w:r w:rsidRPr="00807723">
        <w:rPr>
          <w:rFonts w:ascii="Book Antiqua" w:hAnsi="Book Antiqua"/>
          <w:b/>
          <w:bCs/>
        </w:rPr>
        <w:t xml:space="preserve"> B</w:t>
      </w:r>
      <w:r w:rsidRPr="00807723">
        <w:rPr>
          <w:rFonts w:ascii="Book Antiqua" w:hAnsi="Book Antiqua"/>
        </w:rPr>
        <w:t xml:space="preserve">, Douglas DA, Mathers ME, McKie AB, McCracken SR, Robson CN, Leung HY. Evaluation of the fibroblast growth factor system as a potential target for therapy in human prostate cancer. </w:t>
      </w:r>
      <w:r w:rsidRPr="00807723">
        <w:rPr>
          <w:rFonts w:ascii="Book Antiqua" w:hAnsi="Book Antiqua"/>
          <w:i/>
          <w:iCs/>
        </w:rPr>
        <w:t>Br J Cancer</w:t>
      </w:r>
      <w:r w:rsidRPr="00807723">
        <w:rPr>
          <w:rFonts w:ascii="Book Antiqua" w:hAnsi="Book Antiqua"/>
        </w:rPr>
        <w:t xml:space="preserve"> 2005; </w:t>
      </w:r>
      <w:r w:rsidRPr="00807723">
        <w:rPr>
          <w:rFonts w:ascii="Book Antiqua" w:hAnsi="Book Antiqua"/>
          <w:b/>
          <w:bCs/>
        </w:rPr>
        <w:t>92</w:t>
      </w:r>
      <w:r w:rsidRPr="00807723">
        <w:rPr>
          <w:rFonts w:ascii="Book Antiqua" w:hAnsi="Book Antiqua"/>
        </w:rPr>
        <w:t>: 320-327 [PMID: 15655558 DOI: 10.1038/sj.bjc.6602274]</w:t>
      </w:r>
    </w:p>
    <w:p w14:paraId="5DCC8989" w14:textId="77777777" w:rsidR="00A40FE6" w:rsidRPr="00807723" w:rsidRDefault="00214602">
      <w:pPr>
        <w:spacing w:line="360" w:lineRule="auto"/>
        <w:jc w:val="both"/>
        <w:rPr>
          <w:rFonts w:ascii="Book Antiqua" w:hAnsi="Book Antiqua"/>
        </w:rPr>
      </w:pPr>
      <w:r w:rsidRPr="00807723">
        <w:rPr>
          <w:rFonts w:ascii="Book Antiqua" w:hAnsi="Book Antiqua"/>
        </w:rPr>
        <w:t xml:space="preserve">9 </w:t>
      </w:r>
      <w:proofErr w:type="spellStart"/>
      <w:r w:rsidRPr="00807723">
        <w:rPr>
          <w:rFonts w:ascii="Book Antiqua" w:hAnsi="Book Antiqua"/>
          <w:b/>
          <w:bCs/>
        </w:rPr>
        <w:t>Ruohola</w:t>
      </w:r>
      <w:proofErr w:type="spellEnd"/>
      <w:r w:rsidRPr="00807723">
        <w:rPr>
          <w:rFonts w:ascii="Book Antiqua" w:hAnsi="Book Antiqua"/>
          <w:b/>
          <w:bCs/>
        </w:rPr>
        <w:t xml:space="preserve"> JK</w:t>
      </w:r>
      <w:r w:rsidRPr="00807723">
        <w:rPr>
          <w:rFonts w:ascii="Book Antiqua" w:hAnsi="Book Antiqua"/>
        </w:rPr>
        <w:t xml:space="preserve">, </w:t>
      </w:r>
      <w:proofErr w:type="spellStart"/>
      <w:r w:rsidRPr="00807723">
        <w:rPr>
          <w:rFonts w:ascii="Book Antiqua" w:hAnsi="Book Antiqua"/>
        </w:rPr>
        <w:t>Viitanen</w:t>
      </w:r>
      <w:proofErr w:type="spellEnd"/>
      <w:r w:rsidRPr="00807723">
        <w:rPr>
          <w:rFonts w:ascii="Book Antiqua" w:hAnsi="Book Antiqua"/>
        </w:rPr>
        <w:t xml:space="preserve"> TP, Valve EM, </w:t>
      </w:r>
      <w:proofErr w:type="spellStart"/>
      <w:r w:rsidRPr="00807723">
        <w:rPr>
          <w:rFonts w:ascii="Book Antiqua" w:hAnsi="Book Antiqua"/>
        </w:rPr>
        <w:t>Seppänen</w:t>
      </w:r>
      <w:proofErr w:type="spellEnd"/>
      <w:r w:rsidRPr="00807723">
        <w:rPr>
          <w:rFonts w:ascii="Book Antiqua" w:hAnsi="Book Antiqua"/>
        </w:rPr>
        <w:t xml:space="preserve"> JA, </w:t>
      </w:r>
      <w:proofErr w:type="spellStart"/>
      <w:r w:rsidRPr="00807723">
        <w:rPr>
          <w:rFonts w:ascii="Book Antiqua" w:hAnsi="Book Antiqua"/>
        </w:rPr>
        <w:t>Loponen</w:t>
      </w:r>
      <w:proofErr w:type="spellEnd"/>
      <w:r w:rsidRPr="00807723">
        <w:rPr>
          <w:rFonts w:ascii="Book Antiqua" w:hAnsi="Book Antiqua"/>
        </w:rPr>
        <w:t xml:space="preserve"> NT, </w:t>
      </w:r>
      <w:proofErr w:type="spellStart"/>
      <w:r w:rsidRPr="00807723">
        <w:rPr>
          <w:rFonts w:ascii="Book Antiqua" w:hAnsi="Book Antiqua"/>
        </w:rPr>
        <w:t>Keskitalo</w:t>
      </w:r>
      <w:proofErr w:type="spellEnd"/>
      <w:r w:rsidRPr="00807723">
        <w:rPr>
          <w:rFonts w:ascii="Book Antiqua" w:hAnsi="Book Antiqua"/>
        </w:rPr>
        <w:t xml:space="preserve"> JJ, </w:t>
      </w:r>
      <w:proofErr w:type="spellStart"/>
      <w:r w:rsidRPr="00807723">
        <w:rPr>
          <w:rFonts w:ascii="Book Antiqua" w:hAnsi="Book Antiqua"/>
        </w:rPr>
        <w:t>Lakkakorpi</w:t>
      </w:r>
      <w:proofErr w:type="spellEnd"/>
      <w:r w:rsidRPr="00807723">
        <w:rPr>
          <w:rFonts w:ascii="Book Antiqua" w:hAnsi="Book Antiqua"/>
        </w:rPr>
        <w:t xml:space="preserve"> PT, </w:t>
      </w:r>
      <w:proofErr w:type="spellStart"/>
      <w:r w:rsidRPr="00807723">
        <w:rPr>
          <w:rFonts w:ascii="Book Antiqua" w:hAnsi="Book Antiqua"/>
        </w:rPr>
        <w:t>Härkönen</w:t>
      </w:r>
      <w:proofErr w:type="spellEnd"/>
      <w:r w:rsidRPr="00807723">
        <w:rPr>
          <w:rFonts w:ascii="Book Antiqua" w:hAnsi="Book Antiqua"/>
        </w:rPr>
        <w:t xml:space="preserve"> PL. Enhanced invasion and </w:t>
      </w:r>
      <w:proofErr w:type="spellStart"/>
      <w:r w:rsidRPr="00807723">
        <w:rPr>
          <w:rFonts w:ascii="Book Antiqua" w:hAnsi="Book Antiqua"/>
        </w:rPr>
        <w:t>tumor</w:t>
      </w:r>
      <w:proofErr w:type="spellEnd"/>
      <w:r w:rsidRPr="00807723">
        <w:rPr>
          <w:rFonts w:ascii="Book Antiqua" w:hAnsi="Book Antiqua"/>
        </w:rPr>
        <w:t xml:space="preserve"> growth of fibroblast growth factor 8b-overexpressing MCF-7 human breast cancer cells. </w:t>
      </w:r>
      <w:r w:rsidRPr="00807723">
        <w:rPr>
          <w:rFonts w:ascii="Book Antiqua" w:hAnsi="Book Antiqua"/>
          <w:i/>
          <w:iCs/>
        </w:rPr>
        <w:t>Cancer Res</w:t>
      </w:r>
      <w:r w:rsidRPr="00807723">
        <w:rPr>
          <w:rFonts w:ascii="Book Antiqua" w:hAnsi="Book Antiqua"/>
        </w:rPr>
        <w:t xml:space="preserve"> 2001; </w:t>
      </w:r>
      <w:r w:rsidRPr="00807723">
        <w:rPr>
          <w:rFonts w:ascii="Book Antiqua" w:hAnsi="Book Antiqua"/>
          <w:b/>
          <w:bCs/>
        </w:rPr>
        <w:t>61</w:t>
      </w:r>
      <w:r w:rsidRPr="00807723">
        <w:rPr>
          <w:rFonts w:ascii="Book Antiqua" w:hAnsi="Book Antiqua"/>
        </w:rPr>
        <w:t>: 4229-4237 [PMID: 11358849]</w:t>
      </w:r>
    </w:p>
    <w:p w14:paraId="0AC53539"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10 </w:t>
      </w:r>
      <w:r w:rsidRPr="00807723">
        <w:rPr>
          <w:rFonts w:ascii="Book Antiqua" w:hAnsi="Book Antiqua"/>
          <w:b/>
          <w:bCs/>
        </w:rPr>
        <w:t>Zhang JH</w:t>
      </w:r>
      <w:r w:rsidRPr="00807723">
        <w:rPr>
          <w:rFonts w:ascii="Book Antiqua" w:hAnsi="Book Antiqua"/>
        </w:rPr>
        <w:t xml:space="preserve">, Nolan JD, </w:t>
      </w:r>
      <w:proofErr w:type="spellStart"/>
      <w:r w:rsidRPr="00807723">
        <w:rPr>
          <w:rFonts w:ascii="Book Antiqua" w:hAnsi="Book Antiqua"/>
        </w:rPr>
        <w:t>Kennie</w:t>
      </w:r>
      <w:proofErr w:type="spellEnd"/>
      <w:r w:rsidRPr="00807723">
        <w:rPr>
          <w:rFonts w:ascii="Book Antiqua" w:hAnsi="Book Antiqua"/>
        </w:rPr>
        <w:t xml:space="preserve"> SL, Johnston IM, Dew T, Dixon PH, Williamson C, Walters JR. Potent stimulation of fibroblast growth factor 19 expression in the human </w:t>
      </w:r>
      <w:r w:rsidRPr="00807723">
        <w:rPr>
          <w:rFonts w:ascii="Book Antiqua" w:hAnsi="Book Antiqua"/>
        </w:rPr>
        <w:lastRenderedPageBreak/>
        <w:t xml:space="preserve">ileum by bile acids. </w:t>
      </w:r>
      <w:r w:rsidRPr="00807723">
        <w:rPr>
          <w:rFonts w:ascii="Book Antiqua" w:hAnsi="Book Antiqua"/>
          <w:i/>
          <w:iCs/>
        </w:rPr>
        <w:t xml:space="preserve">Am J </w:t>
      </w:r>
      <w:proofErr w:type="spellStart"/>
      <w:r w:rsidRPr="00807723">
        <w:rPr>
          <w:rFonts w:ascii="Book Antiqua" w:hAnsi="Book Antiqua"/>
          <w:i/>
          <w:iCs/>
        </w:rPr>
        <w:t>Physiol</w:t>
      </w:r>
      <w:proofErr w:type="spellEnd"/>
      <w:r w:rsidRPr="00807723">
        <w:rPr>
          <w:rFonts w:ascii="Book Antiqua" w:hAnsi="Book Antiqua"/>
          <w:i/>
          <w:iCs/>
        </w:rPr>
        <w:t xml:space="preserve"> </w:t>
      </w:r>
      <w:proofErr w:type="spellStart"/>
      <w:r w:rsidRPr="00807723">
        <w:rPr>
          <w:rFonts w:ascii="Book Antiqua" w:hAnsi="Book Antiqua"/>
          <w:i/>
          <w:iCs/>
        </w:rPr>
        <w:t>Gastrointest</w:t>
      </w:r>
      <w:proofErr w:type="spellEnd"/>
      <w:r w:rsidRPr="00807723">
        <w:rPr>
          <w:rFonts w:ascii="Book Antiqua" w:hAnsi="Book Antiqua"/>
          <w:i/>
          <w:iCs/>
        </w:rPr>
        <w:t xml:space="preserve"> Liver </w:t>
      </w:r>
      <w:proofErr w:type="spellStart"/>
      <w:r w:rsidRPr="00807723">
        <w:rPr>
          <w:rFonts w:ascii="Book Antiqua" w:hAnsi="Book Antiqua"/>
          <w:i/>
          <w:iCs/>
        </w:rPr>
        <w:t>Physiol</w:t>
      </w:r>
      <w:proofErr w:type="spellEnd"/>
      <w:r w:rsidRPr="00807723">
        <w:rPr>
          <w:rFonts w:ascii="Book Antiqua" w:hAnsi="Book Antiqua"/>
        </w:rPr>
        <w:t xml:space="preserve"> 2013; </w:t>
      </w:r>
      <w:r w:rsidRPr="00807723">
        <w:rPr>
          <w:rFonts w:ascii="Book Antiqua" w:hAnsi="Book Antiqua"/>
          <w:b/>
          <w:bCs/>
        </w:rPr>
        <w:t>304</w:t>
      </w:r>
      <w:r w:rsidRPr="00807723">
        <w:rPr>
          <w:rFonts w:ascii="Book Antiqua" w:hAnsi="Book Antiqua"/>
        </w:rPr>
        <w:t>: G940-G948 [PMID: 23518683 DOI: 10.1152/ajpgi.00398.2012]</w:t>
      </w:r>
    </w:p>
    <w:p w14:paraId="4A978720"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11 </w:t>
      </w:r>
      <w:r w:rsidRPr="00807723">
        <w:rPr>
          <w:rFonts w:ascii="Book Antiqua" w:hAnsi="Book Antiqua"/>
          <w:b/>
          <w:bCs/>
        </w:rPr>
        <w:t>Kong B</w:t>
      </w:r>
      <w:r w:rsidRPr="00807723">
        <w:rPr>
          <w:rFonts w:ascii="Book Antiqua" w:hAnsi="Book Antiqua"/>
        </w:rPr>
        <w:t xml:space="preserve">, Wang L, Chiang JY, Zhang Y, </w:t>
      </w:r>
      <w:proofErr w:type="spellStart"/>
      <w:r w:rsidRPr="00807723">
        <w:rPr>
          <w:rFonts w:ascii="Book Antiqua" w:hAnsi="Book Antiqua"/>
        </w:rPr>
        <w:t>Klaassen</w:t>
      </w:r>
      <w:proofErr w:type="spellEnd"/>
      <w:r w:rsidRPr="00807723">
        <w:rPr>
          <w:rFonts w:ascii="Book Antiqua" w:hAnsi="Book Antiqua"/>
        </w:rPr>
        <w:t xml:space="preserve"> CD, Guo GL. Mechanism of tissue-specific </w:t>
      </w:r>
      <w:proofErr w:type="spellStart"/>
      <w:r w:rsidRPr="00807723">
        <w:rPr>
          <w:rFonts w:ascii="Book Antiqua" w:hAnsi="Book Antiqua"/>
        </w:rPr>
        <w:t>farnesoid</w:t>
      </w:r>
      <w:proofErr w:type="spellEnd"/>
      <w:r w:rsidRPr="00807723">
        <w:rPr>
          <w:rFonts w:ascii="Book Antiqua" w:hAnsi="Book Antiqua"/>
        </w:rPr>
        <w:t xml:space="preserve"> X receptor in suppressing the expression of genes in bile-acid synthesis in mice. </w:t>
      </w:r>
      <w:r w:rsidRPr="00807723">
        <w:rPr>
          <w:rFonts w:ascii="Book Antiqua" w:hAnsi="Book Antiqua"/>
          <w:i/>
          <w:iCs/>
        </w:rPr>
        <w:t>Hepatology</w:t>
      </w:r>
      <w:r w:rsidRPr="00807723">
        <w:rPr>
          <w:rFonts w:ascii="Book Antiqua" w:hAnsi="Book Antiqua"/>
        </w:rPr>
        <w:t xml:space="preserve"> 2012; </w:t>
      </w:r>
      <w:r w:rsidRPr="00807723">
        <w:rPr>
          <w:rFonts w:ascii="Book Antiqua" w:hAnsi="Book Antiqua"/>
          <w:b/>
          <w:bCs/>
        </w:rPr>
        <w:t>56</w:t>
      </w:r>
      <w:r w:rsidRPr="00807723">
        <w:rPr>
          <w:rFonts w:ascii="Book Antiqua" w:hAnsi="Book Antiqua"/>
        </w:rPr>
        <w:t>: 1034-1043 [PMID: 22467244 DOI: 10.1002/hep.25740]</w:t>
      </w:r>
    </w:p>
    <w:p w14:paraId="3227B20A"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12 </w:t>
      </w:r>
      <w:r w:rsidRPr="00807723">
        <w:rPr>
          <w:rFonts w:ascii="Book Antiqua" w:hAnsi="Book Antiqua"/>
          <w:b/>
          <w:bCs/>
        </w:rPr>
        <w:t>Maeda T</w:t>
      </w:r>
      <w:r w:rsidRPr="00807723">
        <w:rPr>
          <w:rFonts w:ascii="Book Antiqua" w:hAnsi="Book Antiqua"/>
        </w:rPr>
        <w:t xml:space="preserve">, </w:t>
      </w:r>
      <w:proofErr w:type="spellStart"/>
      <w:r w:rsidRPr="00807723">
        <w:rPr>
          <w:rFonts w:ascii="Book Antiqua" w:hAnsi="Book Antiqua"/>
        </w:rPr>
        <w:t>Kanzaki</w:t>
      </w:r>
      <w:proofErr w:type="spellEnd"/>
      <w:r w:rsidRPr="00807723">
        <w:rPr>
          <w:rFonts w:ascii="Book Antiqua" w:hAnsi="Book Antiqua"/>
        </w:rPr>
        <w:t xml:space="preserve"> H, Chiba T, </w:t>
      </w:r>
      <w:proofErr w:type="spellStart"/>
      <w:r w:rsidRPr="00807723">
        <w:rPr>
          <w:rFonts w:ascii="Book Antiqua" w:hAnsi="Book Antiqua"/>
        </w:rPr>
        <w:t>Ao</w:t>
      </w:r>
      <w:proofErr w:type="spellEnd"/>
      <w:r w:rsidRPr="00807723">
        <w:rPr>
          <w:rFonts w:ascii="Book Antiqua" w:hAnsi="Book Antiqua"/>
        </w:rPr>
        <w:t xml:space="preserve"> J, Kanayama K, </w:t>
      </w:r>
      <w:proofErr w:type="spellStart"/>
      <w:r w:rsidRPr="00807723">
        <w:rPr>
          <w:rFonts w:ascii="Book Antiqua" w:hAnsi="Book Antiqua"/>
        </w:rPr>
        <w:t>Maruta</w:t>
      </w:r>
      <w:proofErr w:type="spellEnd"/>
      <w:r w:rsidRPr="00807723">
        <w:rPr>
          <w:rFonts w:ascii="Book Antiqua" w:hAnsi="Book Antiqua"/>
        </w:rPr>
        <w:t xml:space="preserve"> S, Kusakabe Y, Saito T, Kobayashi K, </w:t>
      </w:r>
      <w:proofErr w:type="spellStart"/>
      <w:r w:rsidRPr="00807723">
        <w:rPr>
          <w:rFonts w:ascii="Book Antiqua" w:hAnsi="Book Antiqua"/>
        </w:rPr>
        <w:t>Kiyono</w:t>
      </w:r>
      <w:proofErr w:type="spellEnd"/>
      <w:r w:rsidRPr="00807723">
        <w:rPr>
          <w:rFonts w:ascii="Book Antiqua" w:hAnsi="Book Antiqua"/>
        </w:rPr>
        <w:t xml:space="preserve"> S, Nakamura M, Ogasawara S, Suzuki E, </w:t>
      </w:r>
      <w:proofErr w:type="spellStart"/>
      <w:r w:rsidRPr="00807723">
        <w:rPr>
          <w:rFonts w:ascii="Book Antiqua" w:hAnsi="Book Antiqua"/>
        </w:rPr>
        <w:t>Ooka</w:t>
      </w:r>
      <w:proofErr w:type="spellEnd"/>
      <w:r w:rsidRPr="00807723">
        <w:rPr>
          <w:rFonts w:ascii="Book Antiqua" w:hAnsi="Book Antiqua"/>
        </w:rPr>
        <w:t xml:space="preserve"> Y, Nakamoto S, Nakagawa R, </w:t>
      </w:r>
      <w:proofErr w:type="spellStart"/>
      <w:r w:rsidRPr="00807723">
        <w:rPr>
          <w:rFonts w:ascii="Book Antiqua" w:hAnsi="Book Antiqua"/>
        </w:rPr>
        <w:t>Muroyama</w:t>
      </w:r>
      <w:proofErr w:type="spellEnd"/>
      <w:r w:rsidRPr="00807723">
        <w:rPr>
          <w:rFonts w:ascii="Book Antiqua" w:hAnsi="Book Antiqua"/>
        </w:rPr>
        <w:t xml:space="preserve"> R, Kanda T, Maruyama H, Kato N. Serum fibroblast growth factor 19 serves as a potential novel biomarker for hepatocellular carcinoma. </w:t>
      </w:r>
      <w:r w:rsidRPr="00807723">
        <w:rPr>
          <w:rFonts w:ascii="Book Antiqua" w:hAnsi="Book Antiqua"/>
          <w:i/>
          <w:iCs/>
        </w:rPr>
        <w:t>BMC Cancer</w:t>
      </w:r>
      <w:r w:rsidRPr="00807723">
        <w:rPr>
          <w:rFonts w:ascii="Book Antiqua" w:hAnsi="Book Antiqua"/>
        </w:rPr>
        <w:t xml:space="preserve"> 2019; </w:t>
      </w:r>
      <w:r w:rsidRPr="00807723">
        <w:rPr>
          <w:rFonts w:ascii="Book Antiqua" w:hAnsi="Book Antiqua"/>
          <w:b/>
          <w:bCs/>
        </w:rPr>
        <w:t>19</w:t>
      </w:r>
      <w:r w:rsidRPr="00807723">
        <w:rPr>
          <w:rFonts w:ascii="Book Antiqua" w:hAnsi="Book Antiqua"/>
        </w:rPr>
        <w:t>: 1088 [PMID: 31718608 DOI: 10.1186/s12885-019-6322-9]</w:t>
      </w:r>
    </w:p>
    <w:p w14:paraId="37E5F430"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13 </w:t>
      </w:r>
      <w:r w:rsidRPr="00807723">
        <w:rPr>
          <w:rFonts w:ascii="Book Antiqua" w:hAnsi="Book Antiqua"/>
          <w:b/>
          <w:bCs/>
        </w:rPr>
        <w:t>Lin ZZ</w:t>
      </w:r>
      <w:r w:rsidRPr="00807723">
        <w:rPr>
          <w:rFonts w:ascii="Book Antiqua" w:hAnsi="Book Antiqua"/>
        </w:rPr>
        <w:t xml:space="preserve">, Hsu C, </w:t>
      </w:r>
      <w:proofErr w:type="spellStart"/>
      <w:r w:rsidRPr="00807723">
        <w:rPr>
          <w:rFonts w:ascii="Book Antiqua" w:hAnsi="Book Antiqua"/>
        </w:rPr>
        <w:t>Jeng</w:t>
      </w:r>
      <w:proofErr w:type="spellEnd"/>
      <w:r w:rsidRPr="00807723">
        <w:rPr>
          <w:rFonts w:ascii="Book Antiqua" w:hAnsi="Book Antiqua"/>
        </w:rPr>
        <w:t xml:space="preserve"> YM, Hu FC, Pan HW, Wu YM, Hsu HC, Hu MC, Cheng AL. Klotho-beta and fibroblast growth factor 19 expression correlates with early recurrence of </w:t>
      </w:r>
      <w:proofErr w:type="spellStart"/>
      <w:r w:rsidRPr="00807723">
        <w:rPr>
          <w:rFonts w:ascii="Book Antiqua" w:hAnsi="Book Antiqua"/>
        </w:rPr>
        <w:t>resectable</w:t>
      </w:r>
      <w:proofErr w:type="spellEnd"/>
      <w:r w:rsidRPr="00807723">
        <w:rPr>
          <w:rFonts w:ascii="Book Antiqua" w:hAnsi="Book Antiqua"/>
        </w:rPr>
        <w:t xml:space="preserve"> hepatocellular carcinoma. </w:t>
      </w:r>
      <w:r w:rsidRPr="00807723">
        <w:rPr>
          <w:rFonts w:ascii="Book Antiqua" w:hAnsi="Book Antiqua"/>
          <w:i/>
          <w:iCs/>
        </w:rPr>
        <w:t>Liver Int</w:t>
      </w:r>
      <w:r w:rsidRPr="00807723">
        <w:rPr>
          <w:rFonts w:ascii="Book Antiqua" w:hAnsi="Book Antiqua"/>
        </w:rPr>
        <w:t xml:space="preserve"> 2019; </w:t>
      </w:r>
      <w:r w:rsidRPr="00807723">
        <w:rPr>
          <w:rFonts w:ascii="Book Antiqua" w:hAnsi="Book Antiqua"/>
          <w:b/>
          <w:bCs/>
        </w:rPr>
        <w:t>39</w:t>
      </w:r>
      <w:r w:rsidRPr="00807723">
        <w:rPr>
          <w:rFonts w:ascii="Book Antiqua" w:hAnsi="Book Antiqua"/>
        </w:rPr>
        <w:t>: 1682-1691 [PMID: 30698907]</w:t>
      </w:r>
    </w:p>
    <w:p w14:paraId="0BD5A504"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14 </w:t>
      </w:r>
      <w:r w:rsidRPr="00807723">
        <w:rPr>
          <w:rFonts w:ascii="Book Antiqua" w:hAnsi="Book Antiqua"/>
          <w:b/>
          <w:bCs/>
        </w:rPr>
        <w:t>Johansson H</w:t>
      </w:r>
      <w:r w:rsidRPr="00807723">
        <w:rPr>
          <w:rFonts w:ascii="Book Antiqua" w:hAnsi="Book Antiqua"/>
        </w:rPr>
        <w:t xml:space="preserve">, </w:t>
      </w:r>
      <w:proofErr w:type="spellStart"/>
      <w:r w:rsidRPr="00807723">
        <w:rPr>
          <w:rFonts w:ascii="Book Antiqua" w:hAnsi="Book Antiqua"/>
        </w:rPr>
        <w:t>Mörk</w:t>
      </w:r>
      <w:proofErr w:type="spellEnd"/>
      <w:r w:rsidRPr="00807723">
        <w:rPr>
          <w:rFonts w:ascii="Book Antiqua" w:hAnsi="Book Antiqua"/>
        </w:rPr>
        <w:t xml:space="preserve"> LM, Li M, </w:t>
      </w:r>
      <w:proofErr w:type="spellStart"/>
      <w:r w:rsidRPr="00807723">
        <w:rPr>
          <w:rFonts w:ascii="Book Antiqua" w:hAnsi="Book Antiqua"/>
        </w:rPr>
        <w:t>Sandblom</w:t>
      </w:r>
      <w:proofErr w:type="spellEnd"/>
      <w:r w:rsidRPr="00807723">
        <w:rPr>
          <w:rFonts w:ascii="Book Antiqua" w:hAnsi="Book Antiqua"/>
        </w:rPr>
        <w:t xml:space="preserve"> AL, </w:t>
      </w:r>
      <w:proofErr w:type="spellStart"/>
      <w:r w:rsidRPr="00807723">
        <w:rPr>
          <w:rFonts w:ascii="Book Antiqua" w:hAnsi="Book Antiqua"/>
        </w:rPr>
        <w:t>Björkhem</w:t>
      </w:r>
      <w:proofErr w:type="spellEnd"/>
      <w:r w:rsidRPr="00807723">
        <w:rPr>
          <w:rFonts w:ascii="Book Antiqua" w:hAnsi="Book Antiqua"/>
        </w:rPr>
        <w:t xml:space="preserve"> I, </w:t>
      </w:r>
      <w:proofErr w:type="spellStart"/>
      <w:r w:rsidRPr="00807723">
        <w:rPr>
          <w:rFonts w:ascii="Book Antiqua" w:hAnsi="Book Antiqua"/>
        </w:rPr>
        <w:t>Höijer</w:t>
      </w:r>
      <w:proofErr w:type="spellEnd"/>
      <w:r w:rsidRPr="00807723">
        <w:rPr>
          <w:rFonts w:ascii="Book Antiqua" w:hAnsi="Book Antiqua"/>
        </w:rPr>
        <w:t xml:space="preserve"> J, </w:t>
      </w:r>
      <w:proofErr w:type="spellStart"/>
      <w:r w:rsidRPr="00807723">
        <w:rPr>
          <w:rFonts w:ascii="Book Antiqua" w:hAnsi="Book Antiqua"/>
        </w:rPr>
        <w:t>Ericzon</w:t>
      </w:r>
      <w:proofErr w:type="spellEnd"/>
      <w:r w:rsidRPr="00807723">
        <w:rPr>
          <w:rFonts w:ascii="Book Antiqua" w:hAnsi="Book Antiqua"/>
        </w:rPr>
        <w:t xml:space="preserve"> BG, </w:t>
      </w:r>
      <w:proofErr w:type="spellStart"/>
      <w:r w:rsidRPr="00807723">
        <w:rPr>
          <w:rFonts w:ascii="Book Antiqua" w:hAnsi="Book Antiqua"/>
        </w:rPr>
        <w:t>Jorns</w:t>
      </w:r>
      <w:proofErr w:type="spellEnd"/>
      <w:r w:rsidRPr="00807723">
        <w:rPr>
          <w:rFonts w:ascii="Book Antiqua" w:hAnsi="Book Antiqua"/>
        </w:rPr>
        <w:t xml:space="preserve"> C, </w:t>
      </w:r>
      <w:proofErr w:type="spellStart"/>
      <w:r w:rsidRPr="00807723">
        <w:rPr>
          <w:rFonts w:ascii="Book Antiqua" w:hAnsi="Book Antiqua"/>
        </w:rPr>
        <w:t>Gilg</w:t>
      </w:r>
      <w:proofErr w:type="spellEnd"/>
      <w:r w:rsidRPr="00807723">
        <w:rPr>
          <w:rFonts w:ascii="Book Antiqua" w:hAnsi="Book Antiqua"/>
        </w:rPr>
        <w:t xml:space="preserve"> S, </w:t>
      </w:r>
      <w:proofErr w:type="spellStart"/>
      <w:r w:rsidRPr="00807723">
        <w:rPr>
          <w:rFonts w:ascii="Book Antiqua" w:hAnsi="Book Antiqua"/>
        </w:rPr>
        <w:t>Sparrelid</w:t>
      </w:r>
      <w:proofErr w:type="spellEnd"/>
      <w:r w:rsidRPr="00807723">
        <w:rPr>
          <w:rFonts w:ascii="Book Antiqua" w:hAnsi="Book Antiqua"/>
        </w:rPr>
        <w:t xml:space="preserve"> E, Isaksson B, Nowak G, Ellis E. Circulating Fibroblast Growth Factor 19 in Portal and Systemic Blood. </w:t>
      </w:r>
      <w:r w:rsidRPr="00807723">
        <w:rPr>
          <w:rFonts w:ascii="Book Antiqua" w:hAnsi="Book Antiqua"/>
          <w:i/>
          <w:iCs/>
        </w:rPr>
        <w:t>J Clin Exp Hepatol</w:t>
      </w:r>
      <w:r w:rsidRPr="00807723">
        <w:rPr>
          <w:rFonts w:ascii="Book Antiqua" w:hAnsi="Book Antiqua"/>
        </w:rPr>
        <w:t xml:space="preserve"> 2018; </w:t>
      </w:r>
      <w:r w:rsidRPr="00807723">
        <w:rPr>
          <w:rFonts w:ascii="Book Antiqua" w:hAnsi="Book Antiqua"/>
          <w:b/>
          <w:bCs/>
        </w:rPr>
        <w:t>8</w:t>
      </w:r>
      <w:r w:rsidRPr="00807723">
        <w:rPr>
          <w:rFonts w:ascii="Book Antiqua" w:hAnsi="Book Antiqua"/>
        </w:rPr>
        <w:t>: 162-168 [PMID: 29892179 DOI: 10.1016/j.jceh.2017.07.001]</w:t>
      </w:r>
    </w:p>
    <w:p w14:paraId="1E283A2F"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15 </w:t>
      </w:r>
      <w:r w:rsidRPr="00807723">
        <w:rPr>
          <w:rFonts w:ascii="Book Antiqua" w:hAnsi="Book Antiqua"/>
          <w:b/>
          <w:bCs/>
        </w:rPr>
        <w:t>Gao L</w:t>
      </w:r>
      <w:r w:rsidRPr="00807723">
        <w:rPr>
          <w:rFonts w:ascii="Book Antiqua" w:hAnsi="Book Antiqua"/>
        </w:rPr>
        <w:t xml:space="preserve">, </w:t>
      </w:r>
      <w:proofErr w:type="spellStart"/>
      <w:r w:rsidRPr="00807723">
        <w:rPr>
          <w:rFonts w:ascii="Book Antiqua" w:hAnsi="Book Antiqua"/>
        </w:rPr>
        <w:t>Lv</w:t>
      </w:r>
      <w:proofErr w:type="spellEnd"/>
      <w:r w:rsidRPr="00807723">
        <w:rPr>
          <w:rFonts w:ascii="Book Antiqua" w:hAnsi="Book Antiqua"/>
        </w:rPr>
        <w:t xml:space="preserve"> G, Li R, Liu WT, </w:t>
      </w:r>
      <w:proofErr w:type="spellStart"/>
      <w:r w:rsidRPr="00807723">
        <w:rPr>
          <w:rFonts w:ascii="Book Antiqua" w:hAnsi="Book Antiqua"/>
        </w:rPr>
        <w:t>Zong</w:t>
      </w:r>
      <w:proofErr w:type="spellEnd"/>
      <w:r w:rsidRPr="00807723">
        <w:rPr>
          <w:rFonts w:ascii="Book Antiqua" w:hAnsi="Book Antiqua"/>
        </w:rPr>
        <w:t xml:space="preserve"> C, Ye F, Li XY, Yang X, Jiang JH, Hou XJ, Jing YY, Han ZP, Wei LX. Glycochenodeoxycholate promotes hepatocellular carcinoma invasion and migration by AMPK/mTOR dependent autophagy activation. </w:t>
      </w:r>
      <w:r w:rsidRPr="00807723">
        <w:rPr>
          <w:rFonts w:ascii="Book Antiqua" w:hAnsi="Book Antiqua"/>
          <w:i/>
          <w:iCs/>
        </w:rPr>
        <w:t>Cancer Lett</w:t>
      </w:r>
      <w:r w:rsidRPr="00807723">
        <w:rPr>
          <w:rFonts w:ascii="Book Antiqua" w:hAnsi="Book Antiqua"/>
        </w:rPr>
        <w:t xml:space="preserve"> 2019; </w:t>
      </w:r>
      <w:r w:rsidRPr="00807723">
        <w:rPr>
          <w:rFonts w:ascii="Book Antiqua" w:hAnsi="Book Antiqua"/>
          <w:b/>
          <w:bCs/>
        </w:rPr>
        <w:t>454</w:t>
      </w:r>
      <w:r w:rsidRPr="00807723">
        <w:rPr>
          <w:rFonts w:ascii="Book Antiqua" w:hAnsi="Book Antiqua"/>
        </w:rPr>
        <w:t>: 215-223 [PMID: 30980867 DOI: 10.1016/j.canlet.2019.04.009]</w:t>
      </w:r>
    </w:p>
    <w:p w14:paraId="084CEB9A"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16 </w:t>
      </w:r>
      <w:proofErr w:type="spellStart"/>
      <w:r w:rsidRPr="00807723">
        <w:rPr>
          <w:rFonts w:ascii="Book Antiqua" w:hAnsi="Book Antiqua"/>
          <w:b/>
          <w:bCs/>
        </w:rPr>
        <w:t>Degirolamo</w:t>
      </w:r>
      <w:proofErr w:type="spellEnd"/>
      <w:r w:rsidRPr="00807723">
        <w:rPr>
          <w:rFonts w:ascii="Book Antiqua" w:hAnsi="Book Antiqua"/>
          <w:b/>
          <w:bCs/>
        </w:rPr>
        <w:t xml:space="preserve"> C</w:t>
      </w:r>
      <w:r w:rsidRPr="00807723">
        <w:rPr>
          <w:rFonts w:ascii="Book Antiqua" w:hAnsi="Book Antiqua"/>
        </w:rPr>
        <w:t xml:space="preserve">, </w:t>
      </w:r>
      <w:proofErr w:type="spellStart"/>
      <w:r w:rsidRPr="00807723">
        <w:rPr>
          <w:rFonts w:ascii="Book Antiqua" w:hAnsi="Book Antiqua"/>
        </w:rPr>
        <w:t>Modica</w:t>
      </w:r>
      <w:proofErr w:type="spellEnd"/>
      <w:r w:rsidRPr="00807723">
        <w:rPr>
          <w:rFonts w:ascii="Book Antiqua" w:hAnsi="Book Antiqua"/>
        </w:rPr>
        <w:t xml:space="preserve"> S, Vacca M, Di </w:t>
      </w:r>
      <w:proofErr w:type="spellStart"/>
      <w:r w:rsidRPr="00807723">
        <w:rPr>
          <w:rFonts w:ascii="Book Antiqua" w:hAnsi="Book Antiqua"/>
        </w:rPr>
        <w:t>Tullio</w:t>
      </w:r>
      <w:proofErr w:type="spellEnd"/>
      <w:r w:rsidRPr="00807723">
        <w:rPr>
          <w:rFonts w:ascii="Book Antiqua" w:hAnsi="Book Antiqua"/>
        </w:rPr>
        <w:t xml:space="preserve"> G, </w:t>
      </w:r>
      <w:proofErr w:type="spellStart"/>
      <w:r w:rsidRPr="00807723">
        <w:rPr>
          <w:rFonts w:ascii="Book Antiqua" w:hAnsi="Book Antiqua"/>
        </w:rPr>
        <w:t>Morgano</w:t>
      </w:r>
      <w:proofErr w:type="spellEnd"/>
      <w:r w:rsidRPr="00807723">
        <w:rPr>
          <w:rFonts w:ascii="Book Antiqua" w:hAnsi="Book Antiqua"/>
        </w:rPr>
        <w:t xml:space="preserve"> A, </w:t>
      </w:r>
      <w:proofErr w:type="spellStart"/>
      <w:r w:rsidRPr="00807723">
        <w:rPr>
          <w:rFonts w:ascii="Book Antiqua" w:hAnsi="Book Antiqua"/>
        </w:rPr>
        <w:t>D'Orazio</w:t>
      </w:r>
      <w:proofErr w:type="spellEnd"/>
      <w:r w:rsidRPr="00807723">
        <w:rPr>
          <w:rFonts w:ascii="Book Antiqua" w:hAnsi="Book Antiqua"/>
        </w:rPr>
        <w:t xml:space="preserve"> A, </w:t>
      </w:r>
      <w:proofErr w:type="spellStart"/>
      <w:r w:rsidRPr="00807723">
        <w:rPr>
          <w:rFonts w:ascii="Book Antiqua" w:hAnsi="Book Antiqua"/>
        </w:rPr>
        <w:t>Kannisto</w:t>
      </w:r>
      <w:proofErr w:type="spellEnd"/>
      <w:r w:rsidRPr="00807723">
        <w:rPr>
          <w:rFonts w:ascii="Book Antiqua" w:hAnsi="Book Antiqua"/>
        </w:rPr>
        <w:t xml:space="preserve"> K, </w:t>
      </w:r>
      <w:proofErr w:type="spellStart"/>
      <w:r w:rsidRPr="00807723">
        <w:rPr>
          <w:rFonts w:ascii="Book Antiqua" w:hAnsi="Book Antiqua"/>
        </w:rPr>
        <w:t>Parini</w:t>
      </w:r>
      <w:proofErr w:type="spellEnd"/>
      <w:r w:rsidRPr="00807723">
        <w:rPr>
          <w:rFonts w:ascii="Book Antiqua" w:hAnsi="Book Antiqua"/>
        </w:rPr>
        <w:t xml:space="preserve"> P, </w:t>
      </w:r>
      <w:proofErr w:type="spellStart"/>
      <w:r w:rsidRPr="00807723">
        <w:rPr>
          <w:rFonts w:ascii="Book Antiqua" w:hAnsi="Book Antiqua"/>
        </w:rPr>
        <w:t>Moschetta</w:t>
      </w:r>
      <w:proofErr w:type="spellEnd"/>
      <w:r w:rsidRPr="00807723">
        <w:rPr>
          <w:rFonts w:ascii="Book Antiqua" w:hAnsi="Book Antiqua"/>
        </w:rPr>
        <w:t xml:space="preserve"> A. Prevention of spontaneous hepatocarcinogenesis in </w:t>
      </w:r>
      <w:proofErr w:type="spellStart"/>
      <w:r w:rsidRPr="00807723">
        <w:rPr>
          <w:rFonts w:ascii="Book Antiqua" w:hAnsi="Book Antiqua"/>
        </w:rPr>
        <w:t>farnesoid</w:t>
      </w:r>
      <w:proofErr w:type="spellEnd"/>
      <w:r w:rsidRPr="00807723">
        <w:rPr>
          <w:rFonts w:ascii="Book Antiqua" w:hAnsi="Book Antiqua"/>
        </w:rPr>
        <w:t xml:space="preserve"> X receptor-null mice by intestinal-specific </w:t>
      </w:r>
      <w:proofErr w:type="spellStart"/>
      <w:r w:rsidRPr="00807723">
        <w:rPr>
          <w:rFonts w:ascii="Book Antiqua" w:hAnsi="Book Antiqua"/>
        </w:rPr>
        <w:t>farnesoid</w:t>
      </w:r>
      <w:proofErr w:type="spellEnd"/>
      <w:r w:rsidRPr="00807723">
        <w:rPr>
          <w:rFonts w:ascii="Book Antiqua" w:hAnsi="Book Antiqua"/>
        </w:rPr>
        <w:t xml:space="preserve"> X receptor reactivation. </w:t>
      </w:r>
      <w:r w:rsidRPr="00807723">
        <w:rPr>
          <w:rFonts w:ascii="Book Antiqua" w:hAnsi="Book Antiqua"/>
          <w:i/>
          <w:iCs/>
        </w:rPr>
        <w:t>Hepatology</w:t>
      </w:r>
      <w:r w:rsidRPr="00807723">
        <w:rPr>
          <w:rFonts w:ascii="Book Antiqua" w:hAnsi="Book Antiqua"/>
        </w:rPr>
        <w:t xml:space="preserve"> 2015; </w:t>
      </w:r>
      <w:r w:rsidRPr="00807723">
        <w:rPr>
          <w:rFonts w:ascii="Book Antiqua" w:hAnsi="Book Antiqua"/>
          <w:b/>
          <w:bCs/>
        </w:rPr>
        <w:t>61</w:t>
      </w:r>
      <w:r w:rsidRPr="00807723">
        <w:rPr>
          <w:rFonts w:ascii="Book Antiqua" w:hAnsi="Book Antiqua"/>
        </w:rPr>
        <w:t>: 161-170 [PMID: 24954587 DOI: 10.1002/hep.27274]</w:t>
      </w:r>
    </w:p>
    <w:p w14:paraId="09F73436"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17 </w:t>
      </w:r>
      <w:r w:rsidRPr="00807723">
        <w:rPr>
          <w:rFonts w:ascii="Book Antiqua" w:hAnsi="Book Antiqua"/>
          <w:b/>
          <w:bCs/>
        </w:rPr>
        <w:t>Kong B</w:t>
      </w:r>
      <w:r w:rsidRPr="00807723">
        <w:rPr>
          <w:rFonts w:ascii="Book Antiqua" w:hAnsi="Book Antiqua"/>
        </w:rPr>
        <w:t xml:space="preserve">, Huang J, Zhu Y, Li G, Williams J, Shen S, </w:t>
      </w:r>
      <w:proofErr w:type="spellStart"/>
      <w:r w:rsidRPr="00807723">
        <w:rPr>
          <w:rFonts w:ascii="Book Antiqua" w:hAnsi="Book Antiqua"/>
        </w:rPr>
        <w:t>Aleksunes</w:t>
      </w:r>
      <w:proofErr w:type="spellEnd"/>
      <w:r w:rsidRPr="00807723">
        <w:rPr>
          <w:rFonts w:ascii="Book Antiqua" w:hAnsi="Book Antiqua"/>
        </w:rPr>
        <w:t xml:space="preserve"> LM, Richardson JR, </w:t>
      </w:r>
      <w:proofErr w:type="spellStart"/>
      <w:r w:rsidRPr="00807723">
        <w:rPr>
          <w:rFonts w:ascii="Book Antiqua" w:hAnsi="Book Antiqua"/>
        </w:rPr>
        <w:t>Apte</w:t>
      </w:r>
      <w:proofErr w:type="spellEnd"/>
      <w:r w:rsidRPr="00807723">
        <w:rPr>
          <w:rFonts w:ascii="Book Antiqua" w:hAnsi="Book Antiqua"/>
        </w:rPr>
        <w:t xml:space="preserve"> U, Rudnick DA, Guo GL. Fibroblast growth factor 15 deficiency impairs liver regeneration in mice. </w:t>
      </w:r>
      <w:r w:rsidRPr="00807723">
        <w:rPr>
          <w:rFonts w:ascii="Book Antiqua" w:hAnsi="Book Antiqua"/>
          <w:i/>
          <w:iCs/>
        </w:rPr>
        <w:t xml:space="preserve">Am J </w:t>
      </w:r>
      <w:proofErr w:type="spellStart"/>
      <w:r w:rsidRPr="00807723">
        <w:rPr>
          <w:rFonts w:ascii="Book Antiqua" w:hAnsi="Book Antiqua"/>
          <w:i/>
          <w:iCs/>
        </w:rPr>
        <w:t>Physiol</w:t>
      </w:r>
      <w:proofErr w:type="spellEnd"/>
      <w:r w:rsidRPr="00807723">
        <w:rPr>
          <w:rFonts w:ascii="Book Antiqua" w:hAnsi="Book Antiqua"/>
          <w:i/>
          <w:iCs/>
        </w:rPr>
        <w:t xml:space="preserve"> </w:t>
      </w:r>
      <w:proofErr w:type="spellStart"/>
      <w:r w:rsidRPr="00807723">
        <w:rPr>
          <w:rFonts w:ascii="Book Antiqua" w:hAnsi="Book Antiqua"/>
          <w:i/>
          <w:iCs/>
        </w:rPr>
        <w:t>Gastrointest</w:t>
      </w:r>
      <w:proofErr w:type="spellEnd"/>
      <w:r w:rsidRPr="00807723">
        <w:rPr>
          <w:rFonts w:ascii="Book Antiqua" w:hAnsi="Book Antiqua"/>
          <w:i/>
          <w:iCs/>
        </w:rPr>
        <w:t xml:space="preserve"> Liver </w:t>
      </w:r>
      <w:proofErr w:type="spellStart"/>
      <w:r w:rsidRPr="00807723">
        <w:rPr>
          <w:rFonts w:ascii="Book Antiqua" w:hAnsi="Book Antiqua"/>
          <w:i/>
          <w:iCs/>
        </w:rPr>
        <w:t>Physiol</w:t>
      </w:r>
      <w:proofErr w:type="spellEnd"/>
      <w:r w:rsidRPr="00807723">
        <w:rPr>
          <w:rFonts w:ascii="Book Antiqua" w:hAnsi="Book Antiqua"/>
        </w:rPr>
        <w:t xml:space="preserve"> 2014; </w:t>
      </w:r>
      <w:r w:rsidRPr="00807723">
        <w:rPr>
          <w:rFonts w:ascii="Book Antiqua" w:hAnsi="Book Antiqua"/>
          <w:b/>
          <w:bCs/>
        </w:rPr>
        <w:t>306</w:t>
      </w:r>
      <w:r w:rsidRPr="00807723">
        <w:rPr>
          <w:rFonts w:ascii="Book Antiqua" w:hAnsi="Book Antiqua"/>
        </w:rPr>
        <w:t>: G893-G902 [PMID: 24699334 DOI: 10.1152/ajpgi.00337.2013]</w:t>
      </w:r>
    </w:p>
    <w:p w14:paraId="6B9AB71C" w14:textId="77777777" w:rsidR="00A40FE6" w:rsidRPr="00807723" w:rsidRDefault="00214602">
      <w:pPr>
        <w:spacing w:line="360" w:lineRule="auto"/>
        <w:jc w:val="both"/>
        <w:rPr>
          <w:rFonts w:ascii="Book Antiqua" w:hAnsi="Book Antiqua"/>
        </w:rPr>
      </w:pPr>
      <w:r w:rsidRPr="00807723">
        <w:rPr>
          <w:rFonts w:ascii="Book Antiqua" w:hAnsi="Book Antiqua"/>
        </w:rPr>
        <w:lastRenderedPageBreak/>
        <w:t xml:space="preserve">18 </w:t>
      </w:r>
      <w:proofErr w:type="spellStart"/>
      <w:r w:rsidRPr="00807723">
        <w:rPr>
          <w:rFonts w:ascii="Book Antiqua" w:hAnsi="Book Antiqua"/>
          <w:b/>
          <w:bCs/>
        </w:rPr>
        <w:t>Uriarte</w:t>
      </w:r>
      <w:proofErr w:type="spellEnd"/>
      <w:r w:rsidRPr="00807723">
        <w:rPr>
          <w:rFonts w:ascii="Book Antiqua" w:hAnsi="Book Antiqua"/>
          <w:b/>
          <w:bCs/>
        </w:rPr>
        <w:t xml:space="preserve"> I</w:t>
      </w:r>
      <w:r w:rsidRPr="00807723">
        <w:rPr>
          <w:rFonts w:ascii="Book Antiqua" w:hAnsi="Book Antiqua"/>
        </w:rPr>
        <w:t>, Fernandez-</w:t>
      </w:r>
      <w:proofErr w:type="spellStart"/>
      <w:r w:rsidRPr="00807723">
        <w:rPr>
          <w:rFonts w:ascii="Book Antiqua" w:hAnsi="Book Antiqua"/>
        </w:rPr>
        <w:t>Barrena</w:t>
      </w:r>
      <w:proofErr w:type="spellEnd"/>
      <w:r w:rsidRPr="00807723">
        <w:rPr>
          <w:rFonts w:ascii="Book Antiqua" w:hAnsi="Book Antiqua"/>
        </w:rPr>
        <w:t xml:space="preserve"> MG, Monte MJ, </w:t>
      </w:r>
      <w:proofErr w:type="spellStart"/>
      <w:r w:rsidRPr="00807723">
        <w:rPr>
          <w:rFonts w:ascii="Book Antiqua" w:hAnsi="Book Antiqua"/>
        </w:rPr>
        <w:t>Latasa</w:t>
      </w:r>
      <w:proofErr w:type="spellEnd"/>
      <w:r w:rsidRPr="00807723">
        <w:rPr>
          <w:rFonts w:ascii="Book Antiqua" w:hAnsi="Book Antiqua"/>
        </w:rPr>
        <w:t xml:space="preserve"> MU, Chang HC, </w:t>
      </w:r>
      <w:proofErr w:type="spellStart"/>
      <w:r w:rsidRPr="00807723">
        <w:rPr>
          <w:rFonts w:ascii="Book Antiqua" w:hAnsi="Book Antiqua"/>
        </w:rPr>
        <w:t>Carotti</w:t>
      </w:r>
      <w:proofErr w:type="spellEnd"/>
      <w:r w:rsidRPr="00807723">
        <w:rPr>
          <w:rFonts w:ascii="Book Antiqua" w:hAnsi="Book Antiqua"/>
        </w:rPr>
        <w:t xml:space="preserve"> S, </w:t>
      </w:r>
      <w:proofErr w:type="spellStart"/>
      <w:r w:rsidRPr="00807723">
        <w:rPr>
          <w:rFonts w:ascii="Book Antiqua" w:hAnsi="Book Antiqua"/>
        </w:rPr>
        <w:t>Vespasiani-Gentilucci</w:t>
      </w:r>
      <w:proofErr w:type="spellEnd"/>
      <w:r w:rsidRPr="00807723">
        <w:rPr>
          <w:rFonts w:ascii="Book Antiqua" w:hAnsi="Book Antiqua"/>
        </w:rPr>
        <w:t xml:space="preserve"> U, </w:t>
      </w:r>
      <w:proofErr w:type="spellStart"/>
      <w:r w:rsidRPr="00807723">
        <w:rPr>
          <w:rFonts w:ascii="Book Antiqua" w:hAnsi="Book Antiqua"/>
        </w:rPr>
        <w:t>Morini</w:t>
      </w:r>
      <w:proofErr w:type="spellEnd"/>
      <w:r w:rsidRPr="00807723">
        <w:rPr>
          <w:rFonts w:ascii="Book Antiqua" w:hAnsi="Book Antiqua"/>
        </w:rPr>
        <w:t xml:space="preserve"> S, Vicente E, Concepcion AR, Medina JF, Marin JJ, </w:t>
      </w:r>
      <w:proofErr w:type="spellStart"/>
      <w:r w:rsidRPr="00807723">
        <w:rPr>
          <w:rFonts w:ascii="Book Antiqua" w:hAnsi="Book Antiqua"/>
        </w:rPr>
        <w:t>Berasain</w:t>
      </w:r>
      <w:proofErr w:type="spellEnd"/>
      <w:r w:rsidRPr="00807723">
        <w:rPr>
          <w:rFonts w:ascii="Book Antiqua" w:hAnsi="Book Antiqua"/>
        </w:rPr>
        <w:t xml:space="preserve"> C, Prieto J, Avila MA. Identification of fibroblast growth factor 15 as a novel mediator of liver regeneration and its application in the prevention of post-resection liver failure in mice. </w:t>
      </w:r>
      <w:r w:rsidRPr="00807723">
        <w:rPr>
          <w:rFonts w:ascii="Book Antiqua" w:hAnsi="Book Antiqua"/>
          <w:i/>
          <w:iCs/>
        </w:rPr>
        <w:t>Gut</w:t>
      </w:r>
      <w:r w:rsidRPr="00807723">
        <w:rPr>
          <w:rFonts w:ascii="Book Antiqua" w:hAnsi="Book Antiqua"/>
        </w:rPr>
        <w:t xml:space="preserve"> 2013; </w:t>
      </w:r>
      <w:r w:rsidRPr="00807723">
        <w:rPr>
          <w:rFonts w:ascii="Book Antiqua" w:hAnsi="Book Antiqua"/>
          <w:b/>
          <w:bCs/>
        </w:rPr>
        <w:t>62</w:t>
      </w:r>
      <w:r w:rsidRPr="00807723">
        <w:rPr>
          <w:rFonts w:ascii="Book Antiqua" w:hAnsi="Book Antiqua"/>
        </w:rPr>
        <w:t>: 899-910 [PMID: 23292666 DOI: 10.1136/gutjnl-2012-302945]</w:t>
      </w:r>
    </w:p>
    <w:p w14:paraId="296F8F8E" w14:textId="77777777" w:rsidR="00A40FE6" w:rsidRPr="00807723" w:rsidRDefault="00214602">
      <w:pPr>
        <w:spacing w:line="360" w:lineRule="auto"/>
        <w:jc w:val="both"/>
        <w:rPr>
          <w:rFonts w:ascii="Book Antiqua" w:hAnsi="Book Antiqua"/>
        </w:rPr>
      </w:pPr>
      <w:r w:rsidRPr="00807723">
        <w:rPr>
          <w:rFonts w:ascii="Book Antiqua" w:hAnsi="Book Antiqua"/>
        </w:rPr>
        <w:t xml:space="preserve">19 </w:t>
      </w:r>
      <w:r w:rsidRPr="00807723">
        <w:rPr>
          <w:rFonts w:ascii="Book Antiqua" w:hAnsi="Book Antiqua"/>
          <w:b/>
          <w:bCs/>
        </w:rPr>
        <w:t>Teng Y</w:t>
      </w:r>
      <w:r w:rsidRPr="00807723">
        <w:rPr>
          <w:rFonts w:ascii="Book Antiqua" w:hAnsi="Book Antiqua"/>
        </w:rPr>
        <w:t xml:space="preserve">, Zhao H, Gao L, Zhang W, Shull AY, Shay C. FGF19 Protects Hepatocellular Carcinoma Cells against Endoplasmic Reticulum Stress via Activation of FGFR4-GSK3β-Nrf2 </w:t>
      </w:r>
      <w:proofErr w:type="spellStart"/>
      <w:r w:rsidRPr="00807723">
        <w:rPr>
          <w:rFonts w:ascii="Book Antiqua" w:hAnsi="Book Antiqua"/>
        </w:rPr>
        <w:t>Signaling</w:t>
      </w:r>
      <w:proofErr w:type="spellEnd"/>
      <w:r w:rsidRPr="00807723">
        <w:rPr>
          <w:rFonts w:ascii="Book Antiqua" w:hAnsi="Book Antiqua"/>
        </w:rPr>
        <w:t xml:space="preserve">. </w:t>
      </w:r>
      <w:r w:rsidRPr="00807723">
        <w:rPr>
          <w:rFonts w:ascii="Book Antiqua" w:hAnsi="Book Antiqua"/>
          <w:i/>
          <w:iCs/>
        </w:rPr>
        <w:t>Cancer Res</w:t>
      </w:r>
      <w:r w:rsidRPr="00807723">
        <w:rPr>
          <w:rFonts w:ascii="Book Antiqua" w:hAnsi="Book Antiqua"/>
        </w:rPr>
        <w:t xml:space="preserve"> 2017; </w:t>
      </w:r>
      <w:r w:rsidRPr="00807723">
        <w:rPr>
          <w:rFonts w:ascii="Book Antiqua" w:hAnsi="Book Antiqua"/>
          <w:b/>
          <w:bCs/>
        </w:rPr>
        <w:t>77</w:t>
      </w:r>
      <w:r w:rsidRPr="00807723">
        <w:rPr>
          <w:rFonts w:ascii="Book Antiqua" w:hAnsi="Book Antiqua"/>
        </w:rPr>
        <w:t>: 6215-6225 [PMID: 28951455 DOI: 10.1158/0008-5472.CAN-17-2039]</w:t>
      </w:r>
    </w:p>
    <w:p w14:paraId="37E30118"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20 </w:t>
      </w:r>
      <w:r w:rsidRPr="00807723">
        <w:rPr>
          <w:rFonts w:ascii="Book Antiqua" w:hAnsi="Book Antiqua"/>
          <w:b/>
          <w:bCs/>
        </w:rPr>
        <w:t>Kang HJ</w:t>
      </w:r>
      <w:r w:rsidRPr="00807723">
        <w:rPr>
          <w:rFonts w:ascii="Book Antiqua" w:hAnsi="Book Antiqua"/>
        </w:rPr>
        <w:t xml:space="preserve">, </w:t>
      </w:r>
      <w:proofErr w:type="spellStart"/>
      <w:r w:rsidRPr="00807723">
        <w:rPr>
          <w:rFonts w:ascii="Book Antiqua" w:hAnsi="Book Antiqua"/>
        </w:rPr>
        <w:t>Haq</w:t>
      </w:r>
      <w:proofErr w:type="spellEnd"/>
      <w:r w:rsidRPr="00807723">
        <w:rPr>
          <w:rFonts w:ascii="Book Antiqua" w:hAnsi="Book Antiqua"/>
        </w:rPr>
        <w:t xml:space="preserve"> F, Sung CO, Choi J, Hong SM, </w:t>
      </w:r>
      <w:proofErr w:type="spellStart"/>
      <w:r w:rsidRPr="00807723">
        <w:rPr>
          <w:rFonts w:ascii="Book Antiqua" w:hAnsi="Book Antiqua"/>
        </w:rPr>
        <w:t>Eo</w:t>
      </w:r>
      <w:proofErr w:type="spellEnd"/>
      <w:r w:rsidRPr="00807723">
        <w:rPr>
          <w:rFonts w:ascii="Book Antiqua" w:hAnsi="Book Antiqua"/>
        </w:rPr>
        <w:t xml:space="preserve"> SH, </w:t>
      </w:r>
      <w:proofErr w:type="spellStart"/>
      <w:r w:rsidRPr="00807723">
        <w:rPr>
          <w:rFonts w:ascii="Book Antiqua" w:hAnsi="Book Antiqua"/>
        </w:rPr>
        <w:t>Jeong</w:t>
      </w:r>
      <w:proofErr w:type="spellEnd"/>
      <w:r w:rsidRPr="00807723">
        <w:rPr>
          <w:rFonts w:ascii="Book Antiqua" w:hAnsi="Book Antiqua"/>
        </w:rPr>
        <w:t xml:space="preserve"> HJ, Shin J, Shim JH, Lee HC, </w:t>
      </w:r>
      <w:proofErr w:type="gramStart"/>
      <w:r w:rsidRPr="00807723">
        <w:rPr>
          <w:rFonts w:ascii="Book Antiqua" w:hAnsi="Book Antiqua"/>
        </w:rPr>
        <w:t>An</w:t>
      </w:r>
      <w:proofErr w:type="gramEnd"/>
      <w:r w:rsidRPr="00807723">
        <w:rPr>
          <w:rFonts w:ascii="Book Antiqua" w:hAnsi="Book Antiqua"/>
        </w:rPr>
        <w:t xml:space="preserve"> J, Kim MJ, Kim KP, </w:t>
      </w:r>
      <w:proofErr w:type="spellStart"/>
      <w:r w:rsidRPr="00807723">
        <w:rPr>
          <w:rFonts w:ascii="Book Antiqua" w:hAnsi="Book Antiqua"/>
        </w:rPr>
        <w:t>Ahn</w:t>
      </w:r>
      <w:proofErr w:type="spellEnd"/>
      <w:r w:rsidRPr="00807723">
        <w:rPr>
          <w:rFonts w:ascii="Book Antiqua" w:hAnsi="Book Antiqua"/>
        </w:rPr>
        <w:t xml:space="preserve"> SM, Yu E. Characterization of Hepatocellular Carcinoma Patients with </w:t>
      </w:r>
      <w:r w:rsidRPr="00807723">
        <w:rPr>
          <w:rFonts w:ascii="Book Antiqua" w:hAnsi="Book Antiqua"/>
          <w:i/>
          <w:iCs/>
        </w:rPr>
        <w:t>FGF19</w:t>
      </w:r>
      <w:r w:rsidRPr="00807723">
        <w:rPr>
          <w:rFonts w:ascii="Book Antiqua" w:hAnsi="Book Antiqua"/>
        </w:rPr>
        <w:t xml:space="preserve"> Amplification Assessed by Fluorescence in situ Hybridization: A Large Cohort Study. </w:t>
      </w:r>
      <w:r w:rsidRPr="00807723">
        <w:rPr>
          <w:rFonts w:ascii="Book Antiqua" w:hAnsi="Book Antiqua"/>
          <w:i/>
          <w:iCs/>
        </w:rPr>
        <w:t>Liver Cancer</w:t>
      </w:r>
      <w:r w:rsidRPr="00807723">
        <w:rPr>
          <w:rFonts w:ascii="Book Antiqua" w:hAnsi="Book Antiqua"/>
        </w:rPr>
        <w:t xml:space="preserve"> 2019; </w:t>
      </w:r>
      <w:r w:rsidRPr="00807723">
        <w:rPr>
          <w:rFonts w:ascii="Book Antiqua" w:hAnsi="Book Antiqua"/>
          <w:b/>
          <w:bCs/>
        </w:rPr>
        <w:t>8</w:t>
      </w:r>
      <w:r w:rsidRPr="00807723">
        <w:rPr>
          <w:rFonts w:ascii="Book Antiqua" w:hAnsi="Book Antiqua"/>
        </w:rPr>
        <w:t>: 12-23 [PMID: 30815392 DOI: 10.1159/000488541]</w:t>
      </w:r>
    </w:p>
    <w:p w14:paraId="1AADCCA3"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21 </w:t>
      </w:r>
      <w:r w:rsidRPr="00807723">
        <w:rPr>
          <w:rFonts w:ascii="Book Antiqua" w:hAnsi="Book Antiqua"/>
          <w:b/>
          <w:bCs/>
        </w:rPr>
        <w:t>Cui G</w:t>
      </w:r>
      <w:r w:rsidRPr="00807723">
        <w:rPr>
          <w:rFonts w:ascii="Book Antiqua" w:hAnsi="Book Antiqua"/>
        </w:rPr>
        <w:t xml:space="preserve">, Martin RC, </w:t>
      </w:r>
      <w:proofErr w:type="spellStart"/>
      <w:r w:rsidRPr="00807723">
        <w:rPr>
          <w:rFonts w:ascii="Book Antiqua" w:hAnsi="Book Antiqua"/>
        </w:rPr>
        <w:t>Jin</w:t>
      </w:r>
      <w:proofErr w:type="spellEnd"/>
      <w:r w:rsidRPr="00807723">
        <w:rPr>
          <w:rFonts w:ascii="Book Antiqua" w:hAnsi="Book Antiqua"/>
        </w:rPr>
        <w:t xml:space="preserve"> H, Liu X, Pandit H, Zhao H, Cai L, Zhang P, Li W, Li Y. Up-regulation of FGF15/19 </w:t>
      </w:r>
      <w:proofErr w:type="spellStart"/>
      <w:r w:rsidRPr="00807723">
        <w:rPr>
          <w:rFonts w:ascii="Book Antiqua" w:hAnsi="Book Antiqua"/>
        </w:rPr>
        <w:t>signaling</w:t>
      </w:r>
      <w:proofErr w:type="spellEnd"/>
      <w:r w:rsidRPr="00807723">
        <w:rPr>
          <w:rFonts w:ascii="Book Antiqua" w:hAnsi="Book Antiqua"/>
        </w:rPr>
        <w:t xml:space="preserve"> promotes hepatocellular carcinoma in the background of fatty liver. </w:t>
      </w:r>
      <w:r w:rsidRPr="00807723">
        <w:rPr>
          <w:rFonts w:ascii="Book Antiqua" w:hAnsi="Book Antiqua"/>
          <w:i/>
          <w:iCs/>
        </w:rPr>
        <w:t>J Exp Clin Cancer Res</w:t>
      </w:r>
      <w:r w:rsidRPr="00807723">
        <w:rPr>
          <w:rFonts w:ascii="Book Antiqua" w:hAnsi="Book Antiqua"/>
        </w:rPr>
        <w:t xml:space="preserve"> 2018; </w:t>
      </w:r>
      <w:r w:rsidRPr="00807723">
        <w:rPr>
          <w:rFonts w:ascii="Book Antiqua" w:hAnsi="Book Antiqua"/>
          <w:b/>
          <w:bCs/>
        </w:rPr>
        <w:t>37</w:t>
      </w:r>
      <w:r w:rsidRPr="00807723">
        <w:rPr>
          <w:rFonts w:ascii="Book Antiqua" w:hAnsi="Book Antiqua"/>
        </w:rPr>
        <w:t>: 136 [PMID: 29973237 DOI: 10.1186/s13046-018-0781-8]</w:t>
      </w:r>
    </w:p>
    <w:p w14:paraId="189057AB"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22 </w:t>
      </w:r>
      <w:r w:rsidRPr="00807723">
        <w:rPr>
          <w:rFonts w:ascii="Book Antiqua" w:hAnsi="Book Antiqua"/>
          <w:b/>
          <w:bCs/>
        </w:rPr>
        <w:t>Zhao H</w:t>
      </w:r>
      <w:r w:rsidRPr="00807723">
        <w:rPr>
          <w:rFonts w:ascii="Book Antiqua" w:hAnsi="Book Antiqua"/>
        </w:rPr>
        <w:t xml:space="preserve">, </w:t>
      </w:r>
      <w:proofErr w:type="spellStart"/>
      <w:r w:rsidRPr="00807723">
        <w:rPr>
          <w:rFonts w:ascii="Book Antiqua" w:hAnsi="Book Antiqua"/>
        </w:rPr>
        <w:t>Lv</w:t>
      </w:r>
      <w:proofErr w:type="spellEnd"/>
      <w:r w:rsidRPr="00807723">
        <w:rPr>
          <w:rFonts w:ascii="Book Antiqua" w:hAnsi="Book Antiqua"/>
        </w:rPr>
        <w:t xml:space="preserve"> F, Liang G, Huang X, Wu G, Zhang W, Yu L, Shi L, Teng Y. FGF19 promotes epithelial-mesenchymal transition in hepatocellular carcinoma cells by modulating the GSK3β/β- catenin </w:t>
      </w:r>
      <w:proofErr w:type="spellStart"/>
      <w:r w:rsidRPr="00807723">
        <w:rPr>
          <w:rFonts w:ascii="Book Antiqua" w:hAnsi="Book Antiqua"/>
        </w:rPr>
        <w:t>signaling</w:t>
      </w:r>
      <w:proofErr w:type="spellEnd"/>
      <w:r w:rsidRPr="00807723">
        <w:rPr>
          <w:rFonts w:ascii="Book Antiqua" w:hAnsi="Book Antiqua"/>
        </w:rPr>
        <w:t xml:space="preserve"> cascade via FGFR4 activation. </w:t>
      </w:r>
      <w:proofErr w:type="spellStart"/>
      <w:r w:rsidRPr="00807723">
        <w:rPr>
          <w:rFonts w:ascii="Book Antiqua" w:hAnsi="Book Antiqua"/>
          <w:i/>
          <w:iCs/>
        </w:rPr>
        <w:t>Oncotarget</w:t>
      </w:r>
      <w:proofErr w:type="spellEnd"/>
      <w:r w:rsidRPr="00807723">
        <w:rPr>
          <w:rFonts w:ascii="Book Antiqua" w:hAnsi="Book Antiqua"/>
        </w:rPr>
        <w:t xml:space="preserve"> 2016; </w:t>
      </w:r>
      <w:r w:rsidRPr="00807723">
        <w:rPr>
          <w:rFonts w:ascii="Book Antiqua" w:hAnsi="Book Antiqua"/>
          <w:b/>
          <w:bCs/>
        </w:rPr>
        <w:t>7</w:t>
      </w:r>
      <w:r w:rsidRPr="00807723">
        <w:rPr>
          <w:rFonts w:ascii="Book Antiqua" w:hAnsi="Book Antiqua"/>
        </w:rPr>
        <w:t>: 13575-13586 [PMID: 26498355 DOI: 10.18632/oncotarget.6185]</w:t>
      </w:r>
    </w:p>
    <w:p w14:paraId="747FF56A"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23 </w:t>
      </w:r>
      <w:r w:rsidRPr="00807723">
        <w:rPr>
          <w:rFonts w:ascii="Book Antiqua" w:hAnsi="Book Antiqua"/>
          <w:b/>
          <w:bCs/>
        </w:rPr>
        <w:t>Chan AW</w:t>
      </w:r>
      <w:r w:rsidRPr="00807723">
        <w:rPr>
          <w:rFonts w:ascii="Book Antiqua" w:hAnsi="Book Antiqua"/>
        </w:rPr>
        <w:t xml:space="preserve">, Tong JH, Chan SL, Lai PB, To KF. Expression of stemness markers (CD133 and </w:t>
      </w:r>
      <w:proofErr w:type="spellStart"/>
      <w:r w:rsidRPr="00807723">
        <w:rPr>
          <w:rFonts w:ascii="Book Antiqua" w:hAnsi="Book Antiqua"/>
        </w:rPr>
        <w:t>EpCAM</w:t>
      </w:r>
      <w:proofErr w:type="spellEnd"/>
      <w:r w:rsidRPr="00807723">
        <w:rPr>
          <w:rFonts w:ascii="Book Antiqua" w:hAnsi="Book Antiqua"/>
        </w:rPr>
        <w:t xml:space="preserve">) in prognostication of hepatocellular carcinoma. </w:t>
      </w:r>
      <w:r w:rsidRPr="00807723">
        <w:rPr>
          <w:rFonts w:ascii="Book Antiqua" w:hAnsi="Book Antiqua"/>
          <w:i/>
          <w:iCs/>
        </w:rPr>
        <w:t>Histopathology</w:t>
      </w:r>
      <w:r w:rsidRPr="00807723">
        <w:rPr>
          <w:rFonts w:ascii="Book Antiqua" w:hAnsi="Book Antiqua"/>
        </w:rPr>
        <w:t xml:space="preserve"> 2014; </w:t>
      </w:r>
      <w:r w:rsidRPr="00807723">
        <w:rPr>
          <w:rFonts w:ascii="Book Antiqua" w:hAnsi="Book Antiqua"/>
          <w:b/>
          <w:bCs/>
        </w:rPr>
        <w:t>64</w:t>
      </w:r>
      <w:r w:rsidRPr="00807723">
        <w:rPr>
          <w:rFonts w:ascii="Book Antiqua" w:hAnsi="Book Antiqua"/>
        </w:rPr>
        <w:t>: 935-950 [PMID: 24506513 DOI: 10.1111/his.12342]</w:t>
      </w:r>
    </w:p>
    <w:p w14:paraId="6BF6C97C"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24 </w:t>
      </w:r>
      <w:r w:rsidRPr="00807723">
        <w:rPr>
          <w:rFonts w:ascii="Book Antiqua" w:hAnsi="Book Antiqua"/>
          <w:b/>
          <w:bCs/>
        </w:rPr>
        <w:t>Li Y</w:t>
      </w:r>
      <w:r w:rsidRPr="00807723">
        <w:rPr>
          <w:rFonts w:ascii="Book Antiqua" w:hAnsi="Book Antiqua"/>
        </w:rPr>
        <w:t xml:space="preserve">, Zhang W, </w:t>
      </w:r>
      <w:proofErr w:type="spellStart"/>
      <w:r w:rsidRPr="00807723">
        <w:rPr>
          <w:rFonts w:ascii="Book Antiqua" w:hAnsi="Book Antiqua"/>
        </w:rPr>
        <w:t>Doughtie</w:t>
      </w:r>
      <w:proofErr w:type="spellEnd"/>
      <w:r w:rsidRPr="00807723">
        <w:rPr>
          <w:rFonts w:ascii="Book Antiqua" w:hAnsi="Book Antiqua"/>
        </w:rPr>
        <w:t xml:space="preserve"> A, Cui G, Li X, Pandit H, Yang Y, Li S, Martin R. Up-regulation of fibroblast growth factor 19 and its receptor associates with progression from fatty liver to hepatocellular carcinoma. </w:t>
      </w:r>
      <w:proofErr w:type="spellStart"/>
      <w:r w:rsidRPr="00807723">
        <w:rPr>
          <w:rFonts w:ascii="Book Antiqua" w:hAnsi="Book Antiqua"/>
          <w:i/>
          <w:iCs/>
        </w:rPr>
        <w:t>Oncotarget</w:t>
      </w:r>
      <w:proofErr w:type="spellEnd"/>
      <w:r w:rsidRPr="00807723">
        <w:rPr>
          <w:rFonts w:ascii="Book Antiqua" w:hAnsi="Book Antiqua"/>
        </w:rPr>
        <w:t xml:space="preserve"> 2016; </w:t>
      </w:r>
      <w:r w:rsidRPr="00807723">
        <w:rPr>
          <w:rFonts w:ascii="Book Antiqua" w:hAnsi="Book Antiqua"/>
          <w:b/>
          <w:bCs/>
        </w:rPr>
        <w:t>7</w:t>
      </w:r>
      <w:r w:rsidRPr="00807723">
        <w:rPr>
          <w:rFonts w:ascii="Book Antiqua" w:hAnsi="Book Antiqua"/>
        </w:rPr>
        <w:t>: 52329-52339 [PMID: 27447573 DOI: 10.18632/oncotarget.10750]</w:t>
      </w:r>
    </w:p>
    <w:p w14:paraId="759C7C20" w14:textId="77777777" w:rsidR="00A40FE6" w:rsidRPr="00807723" w:rsidRDefault="00214602">
      <w:pPr>
        <w:spacing w:line="360" w:lineRule="auto"/>
        <w:jc w:val="both"/>
        <w:rPr>
          <w:rFonts w:ascii="Book Antiqua" w:hAnsi="Book Antiqua"/>
        </w:rPr>
      </w:pPr>
      <w:r w:rsidRPr="00807723">
        <w:rPr>
          <w:rFonts w:ascii="Book Antiqua" w:hAnsi="Book Antiqua"/>
        </w:rPr>
        <w:lastRenderedPageBreak/>
        <w:t xml:space="preserve">25 </w:t>
      </w:r>
      <w:r w:rsidRPr="00807723">
        <w:rPr>
          <w:rFonts w:ascii="Book Antiqua" w:hAnsi="Book Antiqua"/>
          <w:b/>
          <w:bCs/>
        </w:rPr>
        <w:t>Hagel M</w:t>
      </w:r>
      <w:r w:rsidRPr="00807723">
        <w:rPr>
          <w:rFonts w:ascii="Book Antiqua" w:hAnsi="Book Antiqua"/>
        </w:rPr>
        <w:t xml:space="preserve">, </w:t>
      </w:r>
      <w:proofErr w:type="spellStart"/>
      <w:r w:rsidRPr="00807723">
        <w:rPr>
          <w:rFonts w:ascii="Book Antiqua" w:hAnsi="Book Antiqua"/>
        </w:rPr>
        <w:t>Miduturu</w:t>
      </w:r>
      <w:proofErr w:type="spellEnd"/>
      <w:r w:rsidRPr="00807723">
        <w:rPr>
          <w:rFonts w:ascii="Book Antiqua" w:hAnsi="Book Antiqua"/>
        </w:rPr>
        <w:t xml:space="preserve"> C, Sheets M, Rubin N, Weng W, </w:t>
      </w:r>
      <w:proofErr w:type="spellStart"/>
      <w:r w:rsidRPr="00807723">
        <w:rPr>
          <w:rFonts w:ascii="Book Antiqua" w:hAnsi="Book Antiqua"/>
        </w:rPr>
        <w:t>Stransky</w:t>
      </w:r>
      <w:proofErr w:type="spellEnd"/>
      <w:r w:rsidRPr="00807723">
        <w:rPr>
          <w:rFonts w:ascii="Book Antiqua" w:hAnsi="Book Antiqua"/>
        </w:rPr>
        <w:t xml:space="preserve"> N, </w:t>
      </w:r>
      <w:proofErr w:type="spellStart"/>
      <w:r w:rsidRPr="00807723">
        <w:rPr>
          <w:rFonts w:ascii="Book Antiqua" w:hAnsi="Book Antiqua"/>
        </w:rPr>
        <w:t>Bifulco</w:t>
      </w:r>
      <w:proofErr w:type="spellEnd"/>
      <w:r w:rsidRPr="00807723">
        <w:rPr>
          <w:rFonts w:ascii="Book Antiqua" w:hAnsi="Book Antiqua"/>
        </w:rPr>
        <w:t xml:space="preserve"> N, Kim JL, </w:t>
      </w:r>
      <w:proofErr w:type="spellStart"/>
      <w:r w:rsidRPr="00807723">
        <w:rPr>
          <w:rFonts w:ascii="Book Antiqua" w:hAnsi="Book Antiqua"/>
        </w:rPr>
        <w:t>Hodous</w:t>
      </w:r>
      <w:proofErr w:type="spellEnd"/>
      <w:r w:rsidRPr="00807723">
        <w:rPr>
          <w:rFonts w:ascii="Book Antiqua" w:hAnsi="Book Antiqua"/>
        </w:rPr>
        <w:t xml:space="preserve"> B, </w:t>
      </w:r>
      <w:proofErr w:type="spellStart"/>
      <w:r w:rsidRPr="00807723">
        <w:rPr>
          <w:rFonts w:ascii="Book Antiqua" w:hAnsi="Book Antiqua"/>
        </w:rPr>
        <w:t>Brooijmans</w:t>
      </w:r>
      <w:proofErr w:type="spellEnd"/>
      <w:r w:rsidRPr="00807723">
        <w:rPr>
          <w:rFonts w:ascii="Book Antiqua" w:hAnsi="Book Antiqua"/>
        </w:rPr>
        <w:t xml:space="preserve"> N, </w:t>
      </w:r>
      <w:proofErr w:type="spellStart"/>
      <w:r w:rsidRPr="00807723">
        <w:rPr>
          <w:rFonts w:ascii="Book Antiqua" w:hAnsi="Book Antiqua"/>
        </w:rPr>
        <w:t>Shutes</w:t>
      </w:r>
      <w:proofErr w:type="spellEnd"/>
      <w:r w:rsidRPr="00807723">
        <w:rPr>
          <w:rFonts w:ascii="Book Antiqua" w:hAnsi="Book Antiqua"/>
        </w:rPr>
        <w:t xml:space="preserve"> A, Winter C, </w:t>
      </w:r>
      <w:proofErr w:type="spellStart"/>
      <w:r w:rsidRPr="00807723">
        <w:rPr>
          <w:rFonts w:ascii="Book Antiqua" w:hAnsi="Book Antiqua"/>
        </w:rPr>
        <w:t>Lengauer</w:t>
      </w:r>
      <w:proofErr w:type="spellEnd"/>
      <w:r w:rsidRPr="00807723">
        <w:rPr>
          <w:rFonts w:ascii="Book Antiqua" w:hAnsi="Book Antiqua"/>
        </w:rPr>
        <w:t xml:space="preserve"> C, Kohl NE, </w:t>
      </w:r>
      <w:proofErr w:type="spellStart"/>
      <w:r w:rsidRPr="00807723">
        <w:rPr>
          <w:rFonts w:ascii="Book Antiqua" w:hAnsi="Book Antiqua"/>
        </w:rPr>
        <w:t>Guzi</w:t>
      </w:r>
      <w:proofErr w:type="spellEnd"/>
      <w:r w:rsidRPr="00807723">
        <w:rPr>
          <w:rFonts w:ascii="Book Antiqua" w:hAnsi="Book Antiqua"/>
        </w:rPr>
        <w:t xml:space="preserve"> T. First Selective Small Molecule Inhibitor of FGFR4 for the Treatment of Hepatocellular Carcinomas with an Activated FGFR4 </w:t>
      </w:r>
      <w:proofErr w:type="spellStart"/>
      <w:r w:rsidRPr="00807723">
        <w:rPr>
          <w:rFonts w:ascii="Book Antiqua" w:hAnsi="Book Antiqua"/>
        </w:rPr>
        <w:t>Signaling</w:t>
      </w:r>
      <w:proofErr w:type="spellEnd"/>
      <w:r w:rsidRPr="00807723">
        <w:rPr>
          <w:rFonts w:ascii="Book Antiqua" w:hAnsi="Book Antiqua"/>
        </w:rPr>
        <w:t xml:space="preserve"> Pathway. </w:t>
      </w:r>
      <w:r w:rsidRPr="00807723">
        <w:rPr>
          <w:rFonts w:ascii="Book Antiqua" w:hAnsi="Book Antiqua"/>
          <w:i/>
          <w:iCs/>
        </w:rPr>
        <w:t xml:space="preserve">Cancer </w:t>
      </w:r>
      <w:proofErr w:type="spellStart"/>
      <w:r w:rsidRPr="00807723">
        <w:rPr>
          <w:rFonts w:ascii="Book Antiqua" w:hAnsi="Book Antiqua"/>
          <w:i/>
          <w:iCs/>
        </w:rPr>
        <w:t>Discov</w:t>
      </w:r>
      <w:proofErr w:type="spellEnd"/>
      <w:r w:rsidRPr="00807723">
        <w:rPr>
          <w:rFonts w:ascii="Book Antiqua" w:hAnsi="Book Antiqua"/>
        </w:rPr>
        <w:t xml:space="preserve"> 2015; </w:t>
      </w:r>
      <w:r w:rsidRPr="00807723">
        <w:rPr>
          <w:rFonts w:ascii="Book Antiqua" w:hAnsi="Book Antiqua"/>
          <w:b/>
          <w:bCs/>
        </w:rPr>
        <w:t>5</w:t>
      </w:r>
      <w:r w:rsidRPr="00807723">
        <w:rPr>
          <w:rFonts w:ascii="Book Antiqua" w:hAnsi="Book Antiqua"/>
        </w:rPr>
        <w:t>: 424-437 [PMID: 25776529 DOI: 10.1158/2159-8290.CD-14-1029]</w:t>
      </w:r>
    </w:p>
    <w:p w14:paraId="0F52CEFD"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26 </w:t>
      </w:r>
      <w:proofErr w:type="spellStart"/>
      <w:r w:rsidRPr="00807723">
        <w:rPr>
          <w:rFonts w:ascii="Book Antiqua" w:hAnsi="Book Antiqua"/>
          <w:b/>
          <w:bCs/>
        </w:rPr>
        <w:t>Koelfat</w:t>
      </w:r>
      <w:proofErr w:type="spellEnd"/>
      <w:r w:rsidRPr="00807723">
        <w:rPr>
          <w:rFonts w:ascii="Book Antiqua" w:hAnsi="Book Antiqua"/>
          <w:b/>
          <w:bCs/>
        </w:rPr>
        <w:t xml:space="preserve"> KV</w:t>
      </w:r>
      <w:r w:rsidRPr="00807723">
        <w:rPr>
          <w:rFonts w:ascii="Book Antiqua" w:hAnsi="Book Antiqua"/>
        </w:rPr>
        <w:t xml:space="preserve">, </w:t>
      </w:r>
      <w:proofErr w:type="spellStart"/>
      <w:r w:rsidRPr="00807723">
        <w:rPr>
          <w:rFonts w:ascii="Book Antiqua" w:hAnsi="Book Antiqua"/>
        </w:rPr>
        <w:t>Bloemen</w:t>
      </w:r>
      <w:proofErr w:type="spellEnd"/>
      <w:r w:rsidRPr="00807723">
        <w:rPr>
          <w:rFonts w:ascii="Book Antiqua" w:hAnsi="Book Antiqua"/>
        </w:rPr>
        <w:t xml:space="preserve"> JG, Jansen PL, </w:t>
      </w:r>
      <w:proofErr w:type="spellStart"/>
      <w:r w:rsidRPr="00807723">
        <w:rPr>
          <w:rFonts w:ascii="Book Antiqua" w:hAnsi="Book Antiqua"/>
        </w:rPr>
        <w:t>Dejong</w:t>
      </w:r>
      <w:proofErr w:type="spellEnd"/>
      <w:r w:rsidRPr="00807723">
        <w:rPr>
          <w:rFonts w:ascii="Book Antiqua" w:hAnsi="Book Antiqua"/>
        </w:rPr>
        <w:t xml:space="preserve"> CH, </w:t>
      </w:r>
      <w:proofErr w:type="spellStart"/>
      <w:r w:rsidRPr="00807723">
        <w:rPr>
          <w:rFonts w:ascii="Book Antiqua" w:hAnsi="Book Antiqua"/>
        </w:rPr>
        <w:t>Schaap</w:t>
      </w:r>
      <w:proofErr w:type="spellEnd"/>
      <w:r w:rsidRPr="00807723">
        <w:rPr>
          <w:rFonts w:ascii="Book Antiqua" w:hAnsi="Book Antiqua"/>
        </w:rPr>
        <w:t xml:space="preserve"> FG, Olde </w:t>
      </w:r>
      <w:proofErr w:type="spellStart"/>
      <w:r w:rsidRPr="00807723">
        <w:rPr>
          <w:rFonts w:ascii="Book Antiqua" w:hAnsi="Book Antiqua"/>
        </w:rPr>
        <w:t>Damink</w:t>
      </w:r>
      <w:proofErr w:type="spellEnd"/>
      <w:r w:rsidRPr="00807723">
        <w:rPr>
          <w:rFonts w:ascii="Book Antiqua" w:hAnsi="Book Antiqua"/>
        </w:rPr>
        <w:t xml:space="preserve"> SW. The portal-drained viscera release fibroblast growth factor 19 in humans. </w:t>
      </w:r>
      <w:proofErr w:type="spellStart"/>
      <w:r w:rsidRPr="00807723">
        <w:rPr>
          <w:rFonts w:ascii="Book Antiqua" w:hAnsi="Book Antiqua"/>
          <w:i/>
          <w:iCs/>
        </w:rPr>
        <w:t>Physiol</w:t>
      </w:r>
      <w:proofErr w:type="spellEnd"/>
      <w:r w:rsidRPr="00807723">
        <w:rPr>
          <w:rFonts w:ascii="Book Antiqua" w:hAnsi="Book Antiqua"/>
          <w:i/>
          <w:iCs/>
        </w:rPr>
        <w:t xml:space="preserve"> Rep</w:t>
      </w:r>
      <w:r w:rsidRPr="00807723">
        <w:rPr>
          <w:rFonts w:ascii="Book Antiqua" w:hAnsi="Book Antiqua"/>
        </w:rPr>
        <w:t xml:space="preserve"> 2016; </w:t>
      </w:r>
      <w:r w:rsidRPr="00807723">
        <w:rPr>
          <w:rFonts w:ascii="Book Antiqua" w:hAnsi="Book Antiqua"/>
          <w:b/>
          <w:bCs/>
        </w:rPr>
        <w:t>4</w:t>
      </w:r>
      <w:r w:rsidRPr="00807723">
        <w:rPr>
          <w:rFonts w:ascii="Book Antiqua" w:hAnsi="Book Antiqua"/>
        </w:rPr>
        <w:t xml:space="preserve"> [PMID: 28003563 DOI: 10.14814/phy2.13037]</w:t>
      </w:r>
    </w:p>
    <w:p w14:paraId="76DB8105"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27 </w:t>
      </w:r>
      <w:proofErr w:type="spellStart"/>
      <w:r w:rsidRPr="00807723">
        <w:rPr>
          <w:rFonts w:ascii="Book Antiqua" w:hAnsi="Book Antiqua"/>
          <w:b/>
          <w:bCs/>
        </w:rPr>
        <w:t>Heidelbaugh</w:t>
      </w:r>
      <w:proofErr w:type="spellEnd"/>
      <w:r w:rsidRPr="00807723">
        <w:rPr>
          <w:rFonts w:ascii="Book Antiqua" w:hAnsi="Book Antiqua"/>
          <w:b/>
          <w:bCs/>
        </w:rPr>
        <w:t xml:space="preserve"> JJ</w:t>
      </w:r>
      <w:r w:rsidRPr="00807723">
        <w:rPr>
          <w:rFonts w:ascii="Book Antiqua" w:hAnsi="Book Antiqua"/>
        </w:rPr>
        <w:t xml:space="preserve">, </w:t>
      </w:r>
      <w:proofErr w:type="spellStart"/>
      <w:r w:rsidRPr="00807723">
        <w:rPr>
          <w:rFonts w:ascii="Book Antiqua" w:hAnsi="Book Antiqua"/>
        </w:rPr>
        <w:t>Bruderly</w:t>
      </w:r>
      <w:proofErr w:type="spellEnd"/>
      <w:r w:rsidRPr="00807723">
        <w:rPr>
          <w:rFonts w:ascii="Book Antiqua" w:hAnsi="Book Antiqua"/>
        </w:rPr>
        <w:t xml:space="preserve"> M. Cirrhosis and chronic liver failure: part I. Diagnosis and evaluation. </w:t>
      </w:r>
      <w:r w:rsidRPr="00807723">
        <w:rPr>
          <w:rFonts w:ascii="Book Antiqua" w:hAnsi="Book Antiqua"/>
          <w:i/>
          <w:iCs/>
        </w:rPr>
        <w:t>Am Fam Physician</w:t>
      </w:r>
      <w:r w:rsidRPr="00807723">
        <w:rPr>
          <w:rFonts w:ascii="Book Antiqua" w:hAnsi="Book Antiqua"/>
        </w:rPr>
        <w:t xml:space="preserve"> 2006; </w:t>
      </w:r>
      <w:r w:rsidRPr="00807723">
        <w:rPr>
          <w:rFonts w:ascii="Book Antiqua" w:hAnsi="Book Antiqua"/>
          <w:b/>
          <w:bCs/>
        </w:rPr>
        <w:t>74</w:t>
      </w:r>
      <w:r w:rsidRPr="00807723">
        <w:rPr>
          <w:rFonts w:ascii="Book Antiqua" w:hAnsi="Book Antiqua"/>
        </w:rPr>
        <w:t>: 756-762 [PMID: 16970019]</w:t>
      </w:r>
    </w:p>
    <w:p w14:paraId="5DF19719" w14:textId="0C61B424" w:rsidR="00A40FE6" w:rsidRPr="00807723" w:rsidRDefault="00214602">
      <w:pPr>
        <w:spacing w:line="360" w:lineRule="auto"/>
        <w:jc w:val="both"/>
        <w:rPr>
          <w:rFonts w:ascii="Book Antiqua" w:hAnsi="Book Antiqua"/>
        </w:rPr>
      </w:pPr>
      <w:r w:rsidRPr="00807723">
        <w:rPr>
          <w:rFonts w:ascii="Book Antiqua" w:hAnsi="Book Antiqua"/>
        </w:rPr>
        <w:t xml:space="preserve">28 </w:t>
      </w:r>
      <w:r w:rsidRPr="00807723">
        <w:rPr>
          <w:rFonts w:ascii="Book Antiqua" w:hAnsi="Book Antiqua"/>
          <w:b/>
          <w:bCs/>
        </w:rPr>
        <w:t>European Association for the Study of the Liver</w:t>
      </w:r>
      <w:r w:rsidRPr="00807723">
        <w:rPr>
          <w:rFonts w:ascii="Book Antiqua" w:hAnsi="Book Antiqua"/>
        </w:rPr>
        <w:t xml:space="preserve">. EASL Clinical Practice Guidelines: Management of hepatocellular carcinoma. </w:t>
      </w:r>
      <w:r w:rsidRPr="00807723">
        <w:rPr>
          <w:rFonts w:ascii="Book Antiqua" w:hAnsi="Book Antiqua"/>
          <w:i/>
          <w:iCs/>
        </w:rPr>
        <w:t>J Hepatol</w:t>
      </w:r>
      <w:r w:rsidRPr="00807723">
        <w:rPr>
          <w:rFonts w:ascii="Book Antiqua" w:hAnsi="Book Antiqua"/>
        </w:rPr>
        <w:t xml:space="preserve"> 2018; </w:t>
      </w:r>
      <w:r w:rsidRPr="00807723">
        <w:rPr>
          <w:rFonts w:ascii="Book Antiqua" w:hAnsi="Book Antiqua"/>
          <w:b/>
          <w:bCs/>
        </w:rPr>
        <w:t>69</w:t>
      </w:r>
      <w:r w:rsidRPr="00807723">
        <w:rPr>
          <w:rFonts w:ascii="Book Antiqua" w:hAnsi="Book Antiqua"/>
        </w:rPr>
        <w:t>: 182-236 [PMID: 29628281 DOI: 10.1016/j.jhep.2018.03.019]</w:t>
      </w:r>
    </w:p>
    <w:p w14:paraId="183E84B5" w14:textId="77777777" w:rsidR="00A40FE6" w:rsidRPr="00807723" w:rsidRDefault="00214602">
      <w:pPr>
        <w:spacing w:line="360" w:lineRule="auto"/>
        <w:jc w:val="both"/>
        <w:rPr>
          <w:rFonts w:ascii="Book Antiqua" w:hAnsi="Book Antiqua"/>
        </w:rPr>
      </w:pPr>
      <w:r w:rsidRPr="00807723">
        <w:rPr>
          <w:rFonts w:ascii="Book Antiqua" w:hAnsi="Book Antiqua"/>
        </w:rPr>
        <w:t xml:space="preserve">29 </w:t>
      </w:r>
      <w:proofErr w:type="spellStart"/>
      <w:r w:rsidRPr="00807723">
        <w:rPr>
          <w:rFonts w:ascii="Book Antiqua" w:hAnsi="Book Antiqua"/>
          <w:b/>
          <w:bCs/>
        </w:rPr>
        <w:t>Ferlay</w:t>
      </w:r>
      <w:proofErr w:type="spellEnd"/>
      <w:r w:rsidRPr="00807723">
        <w:rPr>
          <w:rFonts w:ascii="Book Antiqua" w:hAnsi="Book Antiqua"/>
          <w:b/>
          <w:bCs/>
        </w:rPr>
        <w:t xml:space="preserve"> J</w:t>
      </w:r>
      <w:r w:rsidRPr="00807723">
        <w:rPr>
          <w:rFonts w:ascii="Book Antiqua" w:hAnsi="Book Antiqua"/>
        </w:rPr>
        <w:t xml:space="preserve">, </w:t>
      </w:r>
      <w:proofErr w:type="spellStart"/>
      <w:r w:rsidRPr="00807723">
        <w:rPr>
          <w:rFonts w:ascii="Book Antiqua" w:hAnsi="Book Antiqua"/>
        </w:rPr>
        <w:t>Soerjomataram</w:t>
      </w:r>
      <w:proofErr w:type="spellEnd"/>
      <w:r w:rsidRPr="00807723">
        <w:rPr>
          <w:rFonts w:ascii="Book Antiqua" w:hAnsi="Book Antiqua"/>
        </w:rPr>
        <w:t xml:space="preserve"> I, Dikshit R, </w:t>
      </w:r>
      <w:proofErr w:type="spellStart"/>
      <w:r w:rsidRPr="00807723">
        <w:rPr>
          <w:rFonts w:ascii="Book Antiqua" w:hAnsi="Book Antiqua"/>
        </w:rPr>
        <w:t>Eser</w:t>
      </w:r>
      <w:proofErr w:type="spellEnd"/>
      <w:r w:rsidRPr="00807723">
        <w:rPr>
          <w:rFonts w:ascii="Book Antiqua" w:hAnsi="Book Antiqua"/>
        </w:rPr>
        <w:t xml:space="preserve"> S, Mathers C, </w:t>
      </w:r>
      <w:proofErr w:type="spellStart"/>
      <w:r w:rsidRPr="00807723">
        <w:rPr>
          <w:rFonts w:ascii="Book Antiqua" w:hAnsi="Book Antiqua"/>
        </w:rPr>
        <w:t>Rebelo</w:t>
      </w:r>
      <w:proofErr w:type="spellEnd"/>
      <w:r w:rsidRPr="00807723">
        <w:rPr>
          <w:rFonts w:ascii="Book Antiqua" w:hAnsi="Book Antiqua"/>
        </w:rPr>
        <w:t xml:space="preserve"> M, Parkin DM, Forman D, Bray F. Cancer incidence and mortality worldwide: sources, methods and major patterns in GLOBOCAN 2012. </w:t>
      </w:r>
      <w:r w:rsidRPr="00807723">
        <w:rPr>
          <w:rFonts w:ascii="Book Antiqua" w:hAnsi="Book Antiqua"/>
          <w:i/>
          <w:iCs/>
        </w:rPr>
        <w:t>Int J Cancer</w:t>
      </w:r>
      <w:r w:rsidRPr="00807723">
        <w:rPr>
          <w:rFonts w:ascii="Book Antiqua" w:hAnsi="Book Antiqua"/>
        </w:rPr>
        <w:t xml:space="preserve"> 2015; </w:t>
      </w:r>
      <w:r w:rsidRPr="00807723">
        <w:rPr>
          <w:rFonts w:ascii="Book Antiqua" w:hAnsi="Book Antiqua"/>
          <w:b/>
          <w:bCs/>
        </w:rPr>
        <w:t>136</w:t>
      </w:r>
      <w:r w:rsidRPr="00807723">
        <w:rPr>
          <w:rFonts w:ascii="Book Antiqua" w:hAnsi="Book Antiqua"/>
        </w:rPr>
        <w:t>: E359-E386 [PMID: 25220842 DOI: 10.1002/ijc.29210]</w:t>
      </w:r>
    </w:p>
    <w:p w14:paraId="3175D970"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30 </w:t>
      </w:r>
      <w:proofErr w:type="spellStart"/>
      <w:r w:rsidRPr="00807723">
        <w:rPr>
          <w:rFonts w:ascii="Book Antiqua" w:hAnsi="Book Antiqua"/>
          <w:b/>
          <w:bCs/>
        </w:rPr>
        <w:t>Aboelfotoh</w:t>
      </w:r>
      <w:proofErr w:type="spellEnd"/>
      <w:r w:rsidRPr="00807723">
        <w:rPr>
          <w:rFonts w:ascii="Book Antiqua" w:hAnsi="Book Antiqua"/>
          <w:b/>
          <w:bCs/>
        </w:rPr>
        <w:t xml:space="preserve"> AO</w:t>
      </w:r>
      <w:r w:rsidRPr="00807723">
        <w:rPr>
          <w:rFonts w:ascii="Book Antiqua" w:hAnsi="Book Antiqua"/>
        </w:rPr>
        <w:t xml:space="preserve">, </w:t>
      </w:r>
      <w:proofErr w:type="spellStart"/>
      <w:r w:rsidRPr="00807723">
        <w:rPr>
          <w:rFonts w:ascii="Book Antiqua" w:hAnsi="Book Antiqua"/>
        </w:rPr>
        <w:t>Foda</w:t>
      </w:r>
      <w:proofErr w:type="spellEnd"/>
      <w:r w:rsidRPr="00807723">
        <w:rPr>
          <w:rFonts w:ascii="Book Antiqua" w:hAnsi="Book Antiqua"/>
        </w:rPr>
        <w:t xml:space="preserve"> EM, </w:t>
      </w:r>
      <w:proofErr w:type="spellStart"/>
      <w:r w:rsidRPr="00807723">
        <w:rPr>
          <w:rFonts w:ascii="Book Antiqua" w:hAnsi="Book Antiqua"/>
        </w:rPr>
        <w:t>Elghandour</w:t>
      </w:r>
      <w:proofErr w:type="spellEnd"/>
      <w:r w:rsidRPr="00807723">
        <w:rPr>
          <w:rFonts w:ascii="Book Antiqua" w:hAnsi="Book Antiqua"/>
        </w:rPr>
        <w:t xml:space="preserve"> AM, </w:t>
      </w:r>
      <w:proofErr w:type="spellStart"/>
      <w:r w:rsidRPr="00807723">
        <w:rPr>
          <w:rFonts w:ascii="Book Antiqua" w:hAnsi="Book Antiqua"/>
        </w:rPr>
        <w:t>Teama</w:t>
      </w:r>
      <w:proofErr w:type="spellEnd"/>
      <w:r w:rsidRPr="00807723">
        <w:rPr>
          <w:rFonts w:ascii="Book Antiqua" w:hAnsi="Book Antiqua"/>
        </w:rPr>
        <w:t xml:space="preserve"> NM, </w:t>
      </w:r>
      <w:proofErr w:type="spellStart"/>
      <w:r w:rsidRPr="00807723">
        <w:rPr>
          <w:rFonts w:ascii="Book Antiqua" w:hAnsi="Book Antiqua"/>
        </w:rPr>
        <w:t>Abouzein</w:t>
      </w:r>
      <w:proofErr w:type="spellEnd"/>
      <w:r w:rsidRPr="00807723">
        <w:rPr>
          <w:rFonts w:ascii="Book Antiqua" w:hAnsi="Book Antiqua"/>
        </w:rPr>
        <w:t xml:space="preserve"> RA, Mohamed GA. Talin-1; other than a potential marker for hepatocellular carcinoma diagnosis. </w:t>
      </w:r>
      <w:r w:rsidRPr="00807723">
        <w:rPr>
          <w:rFonts w:ascii="Book Antiqua" w:hAnsi="Book Antiqua"/>
          <w:i/>
          <w:iCs/>
        </w:rPr>
        <w:t>Arab J Gastroenterol</w:t>
      </w:r>
      <w:r w:rsidRPr="00807723">
        <w:rPr>
          <w:rFonts w:ascii="Book Antiqua" w:hAnsi="Book Antiqua"/>
        </w:rPr>
        <w:t xml:space="preserve"> 2020; </w:t>
      </w:r>
      <w:r w:rsidRPr="00807723">
        <w:rPr>
          <w:rFonts w:ascii="Book Antiqua" w:hAnsi="Book Antiqua"/>
          <w:b/>
          <w:bCs/>
        </w:rPr>
        <w:t>21</w:t>
      </w:r>
      <w:r w:rsidRPr="00807723">
        <w:rPr>
          <w:rFonts w:ascii="Book Antiqua" w:hAnsi="Book Antiqua"/>
        </w:rPr>
        <w:t>: 80-84 [PMID: 32439236 DOI: 10.1016/j.ajg.2020.04.017]</w:t>
      </w:r>
    </w:p>
    <w:p w14:paraId="112374AF"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31 </w:t>
      </w:r>
      <w:proofErr w:type="spellStart"/>
      <w:r w:rsidRPr="00807723">
        <w:rPr>
          <w:rFonts w:ascii="Book Antiqua" w:hAnsi="Book Antiqua"/>
          <w:b/>
          <w:bCs/>
        </w:rPr>
        <w:t>Heimbach</w:t>
      </w:r>
      <w:proofErr w:type="spellEnd"/>
      <w:r w:rsidRPr="00807723">
        <w:rPr>
          <w:rFonts w:ascii="Book Antiqua" w:hAnsi="Book Antiqua"/>
          <w:b/>
          <w:bCs/>
        </w:rPr>
        <w:t xml:space="preserve"> JK</w:t>
      </w:r>
      <w:r w:rsidRPr="00807723">
        <w:rPr>
          <w:rFonts w:ascii="Book Antiqua" w:hAnsi="Book Antiqua"/>
        </w:rPr>
        <w:t xml:space="preserve">, Kulik LM, Finn RS, </w:t>
      </w:r>
      <w:proofErr w:type="spellStart"/>
      <w:r w:rsidRPr="00807723">
        <w:rPr>
          <w:rFonts w:ascii="Book Antiqua" w:hAnsi="Book Antiqua"/>
        </w:rPr>
        <w:t>Sirlin</w:t>
      </w:r>
      <w:proofErr w:type="spellEnd"/>
      <w:r w:rsidRPr="00807723">
        <w:rPr>
          <w:rFonts w:ascii="Book Antiqua" w:hAnsi="Book Antiqua"/>
        </w:rPr>
        <w:t xml:space="preserve"> CB, </w:t>
      </w:r>
      <w:proofErr w:type="spellStart"/>
      <w:r w:rsidRPr="00807723">
        <w:rPr>
          <w:rFonts w:ascii="Book Antiqua" w:hAnsi="Book Antiqua"/>
        </w:rPr>
        <w:t>Abecassis</w:t>
      </w:r>
      <w:proofErr w:type="spellEnd"/>
      <w:r w:rsidRPr="00807723">
        <w:rPr>
          <w:rFonts w:ascii="Book Antiqua" w:hAnsi="Book Antiqua"/>
        </w:rPr>
        <w:t xml:space="preserve"> MM, Roberts LR, Zhu AX, Murad MH, Marrero JA. AASLD guidelines for the treatment of hepatocellular carcinoma. </w:t>
      </w:r>
      <w:r w:rsidRPr="00807723">
        <w:rPr>
          <w:rFonts w:ascii="Book Antiqua" w:hAnsi="Book Antiqua"/>
          <w:i/>
          <w:iCs/>
        </w:rPr>
        <w:t>Hepatology</w:t>
      </w:r>
      <w:r w:rsidRPr="00807723">
        <w:rPr>
          <w:rFonts w:ascii="Book Antiqua" w:hAnsi="Book Antiqua"/>
        </w:rPr>
        <w:t xml:space="preserve"> 2018; </w:t>
      </w:r>
      <w:r w:rsidRPr="00807723">
        <w:rPr>
          <w:rFonts w:ascii="Book Antiqua" w:hAnsi="Book Antiqua"/>
          <w:b/>
          <w:bCs/>
        </w:rPr>
        <w:t>67</w:t>
      </w:r>
      <w:r w:rsidRPr="00807723">
        <w:rPr>
          <w:rFonts w:ascii="Book Antiqua" w:hAnsi="Book Antiqua"/>
        </w:rPr>
        <w:t>: 358-380 [PMID: 28130846 DOI: 10.1002/hep.29086]</w:t>
      </w:r>
    </w:p>
    <w:p w14:paraId="18400CA2"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32 </w:t>
      </w:r>
      <w:r w:rsidRPr="00807723">
        <w:rPr>
          <w:rFonts w:ascii="Book Antiqua" w:hAnsi="Book Antiqua"/>
          <w:b/>
          <w:bCs/>
        </w:rPr>
        <w:t>Toyoda H</w:t>
      </w:r>
      <w:r w:rsidRPr="00807723">
        <w:rPr>
          <w:rFonts w:ascii="Book Antiqua" w:hAnsi="Book Antiqua"/>
        </w:rPr>
        <w:t xml:space="preserve">, </w:t>
      </w:r>
      <w:proofErr w:type="spellStart"/>
      <w:r w:rsidRPr="00807723">
        <w:rPr>
          <w:rFonts w:ascii="Book Antiqua" w:hAnsi="Book Antiqua"/>
        </w:rPr>
        <w:t>Kumada</w:t>
      </w:r>
      <w:proofErr w:type="spellEnd"/>
      <w:r w:rsidRPr="00807723">
        <w:rPr>
          <w:rFonts w:ascii="Book Antiqua" w:hAnsi="Book Antiqua"/>
        </w:rPr>
        <w:t xml:space="preserve"> T, Tada T, Sone Y, </w:t>
      </w:r>
      <w:proofErr w:type="spellStart"/>
      <w:r w:rsidRPr="00807723">
        <w:rPr>
          <w:rFonts w:ascii="Book Antiqua" w:hAnsi="Book Antiqua"/>
        </w:rPr>
        <w:t>Kaneoka</w:t>
      </w:r>
      <w:proofErr w:type="spellEnd"/>
      <w:r w:rsidRPr="00807723">
        <w:rPr>
          <w:rFonts w:ascii="Book Antiqua" w:hAnsi="Book Antiqua"/>
        </w:rPr>
        <w:t xml:space="preserve"> Y, Maeda A. </w:t>
      </w:r>
      <w:proofErr w:type="spellStart"/>
      <w:r w:rsidRPr="00807723">
        <w:rPr>
          <w:rFonts w:ascii="Book Antiqua" w:hAnsi="Book Antiqua"/>
        </w:rPr>
        <w:t>Tumor</w:t>
      </w:r>
      <w:proofErr w:type="spellEnd"/>
      <w:r w:rsidRPr="00807723">
        <w:rPr>
          <w:rFonts w:ascii="Book Antiqua" w:hAnsi="Book Antiqua"/>
        </w:rPr>
        <w:t xml:space="preserve"> Markers for Hepatocellular Carcinoma: Simple and Significant Predictors of Outcome in Patients with HCC. </w:t>
      </w:r>
      <w:r w:rsidRPr="00807723">
        <w:rPr>
          <w:rFonts w:ascii="Book Antiqua" w:hAnsi="Book Antiqua"/>
          <w:i/>
          <w:iCs/>
        </w:rPr>
        <w:t>Liver Cancer</w:t>
      </w:r>
      <w:r w:rsidRPr="00807723">
        <w:rPr>
          <w:rFonts w:ascii="Book Antiqua" w:hAnsi="Book Antiqua"/>
        </w:rPr>
        <w:t xml:space="preserve"> 2015; </w:t>
      </w:r>
      <w:r w:rsidRPr="00807723">
        <w:rPr>
          <w:rFonts w:ascii="Book Antiqua" w:hAnsi="Book Antiqua"/>
          <w:b/>
          <w:bCs/>
        </w:rPr>
        <w:t>4</w:t>
      </w:r>
      <w:r w:rsidRPr="00807723">
        <w:rPr>
          <w:rFonts w:ascii="Book Antiqua" w:hAnsi="Book Antiqua"/>
        </w:rPr>
        <w:t>: 126-136 [PMID: 26020034 DOI: 10.1159/000367735]</w:t>
      </w:r>
    </w:p>
    <w:p w14:paraId="6C315906"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33 </w:t>
      </w:r>
      <w:r w:rsidRPr="00807723">
        <w:rPr>
          <w:rFonts w:ascii="Book Antiqua" w:hAnsi="Book Antiqua"/>
          <w:b/>
          <w:bCs/>
        </w:rPr>
        <w:t>Sun Y</w:t>
      </w:r>
      <w:r w:rsidRPr="00807723">
        <w:rPr>
          <w:rFonts w:ascii="Book Antiqua" w:hAnsi="Book Antiqua"/>
        </w:rPr>
        <w:t xml:space="preserve">, Zhu M, Zhao H, Ni X, Chang R, </w:t>
      </w:r>
      <w:proofErr w:type="spellStart"/>
      <w:r w:rsidRPr="00807723">
        <w:rPr>
          <w:rFonts w:ascii="Book Antiqua" w:hAnsi="Book Antiqua"/>
        </w:rPr>
        <w:t>Su</w:t>
      </w:r>
      <w:proofErr w:type="spellEnd"/>
      <w:r w:rsidRPr="00807723">
        <w:rPr>
          <w:rFonts w:ascii="Book Antiqua" w:hAnsi="Book Antiqua"/>
        </w:rPr>
        <w:t xml:space="preserve"> J, Huang H, Cui S, Wang X, Yuan J, Yuan J, </w:t>
      </w:r>
      <w:proofErr w:type="spellStart"/>
      <w:r w:rsidRPr="00807723">
        <w:rPr>
          <w:rFonts w:ascii="Book Antiqua" w:hAnsi="Book Antiqua"/>
        </w:rPr>
        <w:t>OuYang</w:t>
      </w:r>
      <w:proofErr w:type="spellEnd"/>
      <w:r w:rsidRPr="00807723">
        <w:rPr>
          <w:rFonts w:ascii="Book Antiqua" w:hAnsi="Book Antiqua"/>
        </w:rPr>
        <w:t xml:space="preserve"> R, Zhang R, Chen W, Gu Y, Sun Y. Serum Fibroblast Growth Factor 19 and Total Bile Acid Concentrations Are Potential Biomarkers of Hepatocellular Carcinoma in </w:t>
      </w:r>
      <w:r w:rsidRPr="00807723">
        <w:rPr>
          <w:rFonts w:ascii="Book Antiqua" w:hAnsi="Book Antiqua"/>
        </w:rPr>
        <w:lastRenderedPageBreak/>
        <w:t xml:space="preserve">Patients with Type 2 Diabetes Mellitus. </w:t>
      </w:r>
      <w:r w:rsidRPr="00807723">
        <w:rPr>
          <w:rFonts w:ascii="Book Antiqua" w:hAnsi="Book Antiqua"/>
          <w:i/>
          <w:iCs/>
        </w:rPr>
        <w:t>Biomed Res Int</w:t>
      </w:r>
      <w:r w:rsidRPr="00807723">
        <w:rPr>
          <w:rFonts w:ascii="Book Antiqua" w:hAnsi="Book Antiqua"/>
        </w:rPr>
        <w:t xml:space="preserve"> 2020; </w:t>
      </w:r>
      <w:r w:rsidRPr="00807723">
        <w:rPr>
          <w:rFonts w:ascii="Book Antiqua" w:hAnsi="Book Antiqua"/>
          <w:b/>
          <w:bCs/>
        </w:rPr>
        <w:t>2020</w:t>
      </w:r>
      <w:r w:rsidRPr="00807723">
        <w:rPr>
          <w:rFonts w:ascii="Book Antiqua" w:hAnsi="Book Antiqua"/>
        </w:rPr>
        <w:t>: 1751989 [PMID: 32104677 DOI: 10.1155/2020/1751989]</w:t>
      </w:r>
    </w:p>
    <w:p w14:paraId="3C312188"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34 </w:t>
      </w:r>
      <w:r w:rsidRPr="00807723">
        <w:rPr>
          <w:rFonts w:ascii="Book Antiqua" w:hAnsi="Book Antiqua"/>
          <w:b/>
          <w:bCs/>
        </w:rPr>
        <w:t>Wunsch E</w:t>
      </w:r>
      <w:r w:rsidRPr="00807723">
        <w:rPr>
          <w:rFonts w:ascii="Book Antiqua" w:hAnsi="Book Antiqua"/>
        </w:rPr>
        <w:t xml:space="preserve">, </w:t>
      </w:r>
      <w:proofErr w:type="spellStart"/>
      <w:r w:rsidRPr="00807723">
        <w:rPr>
          <w:rFonts w:ascii="Book Antiqua" w:hAnsi="Book Antiqua"/>
        </w:rPr>
        <w:t>Milkiewicz</w:t>
      </w:r>
      <w:proofErr w:type="spellEnd"/>
      <w:r w:rsidRPr="00807723">
        <w:rPr>
          <w:rFonts w:ascii="Book Antiqua" w:hAnsi="Book Antiqua"/>
        </w:rPr>
        <w:t xml:space="preserve"> M, </w:t>
      </w:r>
      <w:proofErr w:type="spellStart"/>
      <w:r w:rsidRPr="00807723">
        <w:rPr>
          <w:rFonts w:ascii="Book Antiqua" w:hAnsi="Book Antiqua"/>
        </w:rPr>
        <w:t>Wasik</w:t>
      </w:r>
      <w:proofErr w:type="spellEnd"/>
      <w:r w:rsidRPr="00807723">
        <w:rPr>
          <w:rFonts w:ascii="Book Antiqua" w:hAnsi="Book Antiqua"/>
        </w:rPr>
        <w:t xml:space="preserve"> U, Trottier J, </w:t>
      </w:r>
      <w:proofErr w:type="spellStart"/>
      <w:r w:rsidRPr="00807723">
        <w:rPr>
          <w:rFonts w:ascii="Book Antiqua" w:hAnsi="Book Antiqua"/>
        </w:rPr>
        <w:t>Kempińska-Podhorodecka</w:t>
      </w:r>
      <w:proofErr w:type="spellEnd"/>
      <w:r w:rsidRPr="00807723">
        <w:rPr>
          <w:rFonts w:ascii="Book Antiqua" w:hAnsi="Book Antiqua"/>
        </w:rPr>
        <w:t xml:space="preserve"> A, Elias E, </w:t>
      </w:r>
      <w:proofErr w:type="spellStart"/>
      <w:r w:rsidRPr="00807723">
        <w:rPr>
          <w:rFonts w:ascii="Book Antiqua" w:hAnsi="Book Antiqua"/>
        </w:rPr>
        <w:t>Barbier</w:t>
      </w:r>
      <w:proofErr w:type="spellEnd"/>
      <w:r w:rsidRPr="00807723">
        <w:rPr>
          <w:rFonts w:ascii="Book Antiqua" w:hAnsi="Book Antiqua"/>
        </w:rPr>
        <w:t xml:space="preserve"> O, </w:t>
      </w:r>
      <w:proofErr w:type="spellStart"/>
      <w:r w:rsidRPr="00807723">
        <w:rPr>
          <w:rFonts w:ascii="Book Antiqua" w:hAnsi="Book Antiqua"/>
        </w:rPr>
        <w:t>Milkiewicz</w:t>
      </w:r>
      <w:proofErr w:type="spellEnd"/>
      <w:r w:rsidRPr="00807723">
        <w:rPr>
          <w:rFonts w:ascii="Book Antiqua" w:hAnsi="Book Antiqua"/>
        </w:rPr>
        <w:t xml:space="preserve"> P. Expression of hepatic Fibroblast Growth Factor 19 is enhanced in Primary Biliary Cirrhosis and correlates with severity of the disease. </w:t>
      </w:r>
      <w:r w:rsidRPr="00807723">
        <w:rPr>
          <w:rFonts w:ascii="Book Antiqua" w:hAnsi="Book Antiqua"/>
          <w:i/>
          <w:iCs/>
        </w:rPr>
        <w:t>Sci Rep</w:t>
      </w:r>
      <w:r w:rsidRPr="00807723">
        <w:rPr>
          <w:rFonts w:ascii="Book Antiqua" w:hAnsi="Book Antiqua"/>
        </w:rPr>
        <w:t xml:space="preserve"> 2015; </w:t>
      </w:r>
      <w:r w:rsidRPr="00807723">
        <w:rPr>
          <w:rFonts w:ascii="Book Antiqua" w:hAnsi="Book Antiqua"/>
          <w:b/>
          <w:bCs/>
        </w:rPr>
        <w:t>5</w:t>
      </w:r>
      <w:r w:rsidRPr="00807723">
        <w:rPr>
          <w:rFonts w:ascii="Book Antiqua" w:hAnsi="Book Antiqua"/>
        </w:rPr>
        <w:t>: 13462 [PMID: 26293907 DOI: 10.1038/srep13462]</w:t>
      </w:r>
    </w:p>
    <w:p w14:paraId="43E03D0A"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35 </w:t>
      </w:r>
      <w:r w:rsidRPr="00807723">
        <w:rPr>
          <w:rFonts w:ascii="Book Antiqua" w:hAnsi="Book Antiqua"/>
          <w:b/>
          <w:bCs/>
        </w:rPr>
        <w:t>Hirschfield GM</w:t>
      </w:r>
      <w:r w:rsidRPr="00807723">
        <w:rPr>
          <w:rFonts w:ascii="Book Antiqua" w:hAnsi="Book Antiqua"/>
        </w:rPr>
        <w:t xml:space="preserve">, Mason A, </w:t>
      </w:r>
      <w:proofErr w:type="spellStart"/>
      <w:r w:rsidRPr="00807723">
        <w:rPr>
          <w:rFonts w:ascii="Book Antiqua" w:hAnsi="Book Antiqua"/>
        </w:rPr>
        <w:t>Luketic</w:t>
      </w:r>
      <w:proofErr w:type="spellEnd"/>
      <w:r w:rsidRPr="00807723">
        <w:rPr>
          <w:rFonts w:ascii="Book Antiqua" w:hAnsi="Book Antiqua"/>
        </w:rPr>
        <w:t xml:space="preserve"> V, Lindor K, Gordon SC, Mayo M, </w:t>
      </w:r>
      <w:proofErr w:type="spellStart"/>
      <w:r w:rsidRPr="00807723">
        <w:rPr>
          <w:rFonts w:ascii="Book Antiqua" w:hAnsi="Book Antiqua"/>
        </w:rPr>
        <w:t>Kowdley</w:t>
      </w:r>
      <w:proofErr w:type="spellEnd"/>
      <w:r w:rsidRPr="00807723">
        <w:rPr>
          <w:rFonts w:ascii="Book Antiqua" w:hAnsi="Book Antiqua"/>
        </w:rPr>
        <w:t xml:space="preserve"> KV, Vincent C, </w:t>
      </w:r>
      <w:proofErr w:type="spellStart"/>
      <w:r w:rsidRPr="00807723">
        <w:rPr>
          <w:rFonts w:ascii="Book Antiqua" w:hAnsi="Book Antiqua"/>
        </w:rPr>
        <w:t>Bodhenheimer</w:t>
      </w:r>
      <w:proofErr w:type="spellEnd"/>
      <w:r w:rsidRPr="00807723">
        <w:rPr>
          <w:rFonts w:ascii="Book Antiqua" w:hAnsi="Book Antiqua"/>
        </w:rPr>
        <w:t xml:space="preserve"> HC Jr, </w:t>
      </w:r>
      <w:proofErr w:type="spellStart"/>
      <w:r w:rsidRPr="00807723">
        <w:rPr>
          <w:rFonts w:ascii="Book Antiqua" w:hAnsi="Book Antiqua"/>
        </w:rPr>
        <w:t>Parés</w:t>
      </w:r>
      <w:proofErr w:type="spellEnd"/>
      <w:r w:rsidRPr="00807723">
        <w:rPr>
          <w:rFonts w:ascii="Book Antiqua" w:hAnsi="Book Antiqua"/>
        </w:rPr>
        <w:t xml:space="preserve"> A, </w:t>
      </w:r>
      <w:proofErr w:type="spellStart"/>
      <w:r w:rsidRPr="00807723">
        <w:rPr>
          <w:rFonts w:ascii="Book Antiqua" w:hAnsi="Book Antiqua"/>
        </w:rPr>
        <w:t>Trauner</w:t>
      </w:r>
      <w:proofErr w:type="spellEnd"/>
      <w:r w:rsidRPr="00807723">
        <w:rPr>
          <w:rFonts w:ascii="Book Antiqua" w:hAnsi="Book Antiqua"/>
        </w:rPr>
        <w:t xml:space="preserve"> M, </w:t>
      </w:r>
      <w:proofErr w:type="spellStart"/>
      <w:r w:rsidRPr="00807723">
        <w:rPr>
          <w:rFonts w:ascii="Book Antiqua" w:hAnsi="Book Antiqua"/>
        </w:rPr>
        <w:t>Marschall</w:t>
      </w:r>
      <w:proofErr w:type="spellEnd"/>
      <w:r w:rsidRPr="00807723">
        <w:rPr>
          <w:rFonts w:ascii="Book Antiqua" w:hAnsi="Book Antiqua"/>
        </w:rPr>
        <w:t xml:space="preserve"> HU, </w:t>
      </w:r>
      <w:proofErr w:type="spellStart"/>
      <w:r w:rsidRPr="00807723">
        <w:rPr>
          <w:rFonts w:ascii="Book Antiqua" w:hAnsi="Book Antiqua"/>
        </w:rPr>
        <w:t>Adorini</w:t>
      </w:r>
      <w:proofErr w:type="spellEnd"/>
      <w:r w:rsidRPr="00807723">
        <w:rPr>
          <w:rFonts w:ascii="Book Antiqua" w:hAnsi="Book Antiqua"/>
        </w:rPr>
        <w:t xml:space="preserve"> L, Sciacca C, Beecher-Jones T, </w:t>
      </w:r>
      <w:proofErr w:type="spellStart"/>
      <w:r w:rsidRPr="00807723">
        <w:rPr>
          <w:rFonts w:ascii="Book Antiqua" w:hAnsi="Book Antiqua"/>
        </w:rPr>
        <w:t>Castelloe</w:t>
      </w:r>
      <w:proofErr w:type="spellEnd"/>
      <w:r w:rsidRPr="00807723">
        <w:rPr>
          <w:rFonts w:ascii="Book Antiqua" w:hAnsi="Book Antiqua"/>
        </w:rPr>
        <w:t xml:space="preserve"> E, </w:t>
      </w:r>
      <w:proofErr w:type="spellStart"/>
      <w:r w:rsidRPr="00807723">
        <w:rPr>
          <w:rFonts w:ascii="Book Antiqua" w:hAnsi="Book Antiqua"/>
        </w:rPr>
        <w:t>Böhm</w:t>
      </w:r>
      <w:proofErr w:type="spellEnd"/>
      <w:r w:rsidRPr="00807723">
        <w:rPr>
          <w:rFonts w:ascii="Book Antiqua" w:hAnsi="Book Antiqua"/>
        </w:rPr>
        <w:t xml:space="preserve"> O, Shapiro D. Efficacy of </w:t>
      </w:r>
      <w:proofErr w:type="spellStart"/>
      <w:r w:rsidRPr="00807723">
        <w:rPr>
          <w:rFonts w:ascii="Book Antiqua" w:hAnsi="Book Antiqua"/>
        </w:rPr>
        <w:t>obeticholic</w:t>
      </w:r>
      <w:proofErr w:type="spellEnd"/>
      <w:r w:rsidRPr="00807723">
        <w:rPr>
          <w:rFonts w:ascii="Book Antiqua" w:hAnsi="Book Antiqua"/>
        </w:rPr>
        <w:t xml:space="preserve"> acid in patients with primary biliary cirrhosis and inadequate response to </w:t>
      </w:r>
      <w:proofErr w:type="spellStart"/>
      <w:r w:rsidRPr="00807723">
        <w:rPr>
          <w:rFonts w:ascii="Book Antiqua" w:hAnsi="Book Antiqua"/>
        </w:rPr>
        <w:t>ursodeoxycholic</w:t>
      </w:r>
      <w:proofErr w:type="spellEnd"/>
      <w:r w:rsidRPr="00807723">
        <w:rPr>
          <w:rFonts w:ascii="Book Antiqua" w:hAnsi="Book Antiqua"/>
        </w:rPr>
        <w:t xml:space="preserve"> acid. </w:t>
      </w:r>
      <w:r w:rsidRPr="00807723">
        <w:rPr>
          <w:rFonts w:ascii="Book Antiqua" w:hAnsi="Book Antiqua"/>
          <w:i/>
          <w:iCs/>
        </w:rPr>
        <w:t>Gastroenterology</w:t>
      </w:r>
      <w:r w:rsidRPr="00807723">
        <w:rPr>
          <w:rFonts w:ascii="Book Antiqua" w:hAnsi="Book Antiqua"/>
        </w:rPr>
        <w:t xml:space="preserve"> 2015; </w:t>
      </w:r>
      <w:r w:rsidRPr="00807723">
        <w:rPr>
          <w:rFonts w:ascii="Book Antiqua" w:hAnsi="Book Antiqua"/>
          <w:b/>
          <w:bCs/>
        </w:rPr>
        <w:t>148</w:t>
      </w:r>
      <w:r w:rsidRPr="00807723">
        <w:rPr>
          <w:rFonts w:ascii="Book Antiqua" w:hAnsi="Book Antiqua"/>
        </w:rPr>
        <w:t>: 751-</w:t>
      </w:r>
      <w:proofErr w:type="gramStart"/>
      <w:r w:rsidRPr="00807723">
        <w:rPr>
          <w:rFonts w:ascii="Book Antiqua" w:hAnsi="Book Antiqua"/>
        </w:rPr>
        <w:t>61.e</w:t>
      </w:r>
      <w:proofErr w:type="gramEnd"/>
      <w:r w:rsidRPr="00807723">
        <w:rPr>
          <w:rFonts w:ascii="Book Antiqua" w:hAnsi="Book Antiqua"/>
        </w:rPr>
        <w:t>8 [PMID: 25500425 DOI: 10.1053/j.gastro.2014.12.005]</w:t>
      </w:r>
    </w:p>
    <w:p w14:paraId="0C929249"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36 </w:t>
      </w:r>
      <w:proofErr w:type="spellStart"/>
      <w:r w:rsidRPr="00807723">
        <w:rPr>
          <w:rFonts w:ascii="Book Antiqua" w:hAnsi="Book Antiqua"/>
          <w:b/>
          <w:bCs/>
        </w:rPr>
        <w:t>Neuschwander</w:t>
      </w:r>
      <w:proofErr w:type="spellEnd"/>
      <w:r w:rsidRPr="00807723">
        <w:rPr>
          <w:rFonts w:ascii="Book Antiqua" w:hAnsi="Book Antiqua"/>
          <w:b/>
          <w:bCs/>
        </w:rPr>
        <w:t>-Tetri BA</w:t>
      </w:r>
      <w:r w:rsidRPr="00807723">
        <w:rPr>
          <w:rFonts w:ascii="Book Antiqua" w:hAnsi="Book Antiqua"/>
        </w:rPr>
        <w:t xml:space="preserve">, Loomba R, Sanyal AJ, Lavine JE, Van Natta ML, </w:t>
      </w:r>
      <w:proofErr w:type="spellStart"/>
      <w:r w:rsidRPr="00807723">
        <w:rPr>
          <w:rFonts w:ascii="Book Antiqua" w:hAnsi="Book Antiqua"/>
        </w:rPr>
        <w:t>Abdelmalek</w:t>
      </w:r>
      <w:proofErr w:type="spellEnd"/>
      <w:r w:rsidRPr="00807723">
        <w:rPr>
          <w:rFonts w:ascii="Book Antiqua" w:hAnsi="Book Antiqua"/>
        </w:rPr>
        <w:t xml:space="preserve"> MF, </w:t>
      </w:r>
      <w:proofErr w:type="spellStart"/>
      <w:r w:rsidRPr="00807723">
        <w:rPr>
          <w:rFonts w:ascii="Book Antiqua" w:hAnsi="Book Antiqua"/>
        </w:rPr>
        <w:t>Chalasani</w:t>
      </w:r>
      <w:proofErr w:type="spellEnd"/>
      <w:r w:rsidRPr="00807723">
        <w:rPr>
          <w:rFonts w:ascii="Book Antiqua" w:hAnsi="Book Antiqua"/>
        </w:rPr>
        <w:t xml:space="preserve"> N, </w:t>
      </w:r>
      <w:proofErr w:type="spellStart"/>
      <w:r w:rsidRPr="00807723">
        <w:rPr>
          <w:rFonts w:ascii="Book Antiqua" w:hAnsi="Book Antiqua"/>
        </w:rPr>
        <w:t>Dasarathy</w:t>
      </w:r>
      <w:proofErr w:type="spellEnd"/>
      <w:r w:rsidRPr="00807723">
        <w:rPr>
          <w:rFonts w:ascii="Book Antiqua" w:hAnsi="Book Antiqua"/>
        </w:rPr>
        <w:t xml:space="preserve"> S, Diehl AM, Hameed B, </w:t>
      </w:r>
      <w:proofErr w:type="spellStart"/>
      <w:r w:rsidRPr="00807723">
        <w:rPr>
          <w:rFonts w:ascii="Book Antiqua" w:hAnsi="Book Antiqua"/>
        </w:rPr>
        <w:t>Kowdley</w:t>
      </w:r>
      <w:proofErr w:type="spellEnd"/>
      <w:r w:rsidRPr="00807723">
        <w:rPr>
          <w:rFonts w:ascii="Book Antiqua" w:hAnsi="Book Antiqua"/>
        </w:rPr>
        <w:t xml:space="preserve"> KV, McCullough A, </w:t>
      </w:r>
      <w:proofErr w:type="spellStart"/>
      <w:r w:rsidRPr="00807723">
        <w:rPr>
          <w:rFonts w:ascii="Book Antiqua" w:hAnsi="Book Antiqua"/>
        </w:rPr>
        <w:t>Terrault</w:t>
      </w:r>
      <w:proofErr w:type="spellEnd"/>
      <w:r w:rsidRPr="00807723">
        <w:rPr>
          <w:rFonts w:ascii="Book Antiqua" w:hAnsi="Book Antiqua"/>
        </w:rPr>
        <w:t xml:space="preserve"> N, Clark JM, </w:t>
      </w:r>
      <w:proofErr w:type="spellStart"/>
      <w:r w:rsidRPr="00807723">
        <w:rPr>
          <w:rFonts w:ascii="Book Antiqua" w:hAnsi="Book Antiqua"/>
        </w:rPr>
        <w:t>Tonascia</w:t>
      </w:r>
      <w:proofErr w:type="spellEnd"/>
      <w:r w:rsidRPr="00807723">
        <w:rPr>
          <w:rFonts w:ascii="Book Antiqua" w:hAnsi="Book Antiqua"/>
        </w:rPr>
        <w:t xml:space="preserve"> J, Brunt EM, Kleiner DE, Doo E; NASH Clinical Research Network. </w:t>
      </w:r>
      <w:proofErr w:type="spellStart"/>
      <w:r w:rsidRPr="00807723">
        <w:rPr>
          <w:rFonts w:ascii="Book Antiqua" w:hAnsi="Book Antiqua"/>
        </w:rPr>
        <w:t>Farnesoid</w:t>
      </w:r>
      <w:proofErr w:type="spellEnd"/>
      <w:r w:rsidRPr="00807723">
        <w:rPr>
          <w:rFonts w:ascii="Book Antiqua" w:hAnsi="Book Antiqua"/>
        </w:rPr>
        <w:t xml:space="preserve"> X nuclear receptor ligand </w:t>
      </w:r>
      <w:proofErr w:type="spellStart"/>
      <w:r w:rsidRPr="00807723">
        <w:rPr>
          <w:rFonts w:ascii="Book Antiqua" w:hAnsi="Book Antiqua"/>
        </w:rPr>
        <w:t>obeticholic</w:t>
      </w:r>
      <w:proofErr w:type="spellEnd"/>
      <w:r w:rsidRPr="00807723">
        <w:rPr>
          <w:rFonts w:ascii="Book Antiqua" w:hAnsi="Book Antiqua"/>
        </w:rPr>
        <w:t xml:space="preserve"> acid for non-cirrhotic, non-alcoholic steatohepatitis (FLINT): a multicentre, randomised, placebo-controlled trial. </w:t>
      </w:r>
      <w:r w:rsidRPr="00807723">
        <w:rPr>
          <w:rFonts w:ascii="Book Antiqua" w:hAnsi="Book Antiqua"/>
          <w:i/>
          <w:iCs/>
        </w:rPr>
        <w:t>Lancet</w:t>
      </w:r>
      <w:r w:rsidRPr="00807723">
        <w:rPr>
          <w:rFonts w:ascii="Book Antiqua" w:hAnsi="Book Antiqua"/>
        </w:rPr>
        <w:t xml:space="preserve"> 2015; </w:t>
      </w:r>
      <w:r w:rsidRPr="00807723">
        <w:rPr>
          <w:rFonts w:ascii="Book Antiqua" w:hAnsi="Book Antiqua"/>
          <w:b/>
          <w:bCs/>
        </w:rPr>
        <w:t>385</w:t>
      </w:r>
      <w:r w:rsidRPr="00807723">
        <w:rPr>
          <w:rFonts w:ascii="Book Antiqua" w:hAnsi="Book Antiqua"/>
        </w:rPr>
        <w:t>: 956-965 [PMID: 25468160 DOI: 10.1016/S0140-6736(14)61933-4]</w:t>
      </w:r>
    </w:p>
    <w:p w14:paraId="6E02B257"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37 </w:t>
      </w:r>
      <w:r w:rsidRPr="00807723">
        <w:rPr>
          <w:rFonts w:ascii="Book Antiqua" w:hAnsi="Book Antiqua"/>
          <w:b/>
          <w:bCs/>
        </w:rPr>
        <w:t>Chae YK</w:t>
      </w:r>
      <w:r w:rsidRPr="00807723">
        <w:rPr>
          <w:rFonts w:ascii="Book Antiqua" w:hAnsi="Book Antiqua"/>
        </w:rPr>
        <w:t xml:space="preserve">, </w:t>
      </w:r>
      <w:proofErr w:type="spellStart"/>
      <w:r w:rsidRPr="00807723">
        <w:rPr>
          <w:rFonts w:ascii="Book Antiqua" w:hAnsi="Book Antiqua"/>
        </w:rPr>
        <w:t>Ranganath</w:t>
      </w:r>
      <w:proofErr w:type="spellEnd"/>
      <w:r w:rsidRPr="00807723">
        <w:rPr>
          <w:rFonts w:ascii="Book Antiqua" w:hAnsi="Book Antiqua"/>
        </w:rPr>
        <w:t xml:space="preserve"> K, Hammerman PS, </w:t>
      </w:r>
      <w:proofErr w:type="spellStart"/>
      <w:r w:rsidRPr="00807723">
        <w:rPr>
          <w:rFonts w:ascii="Book Antiqua" w:hAnsi="Book Antiqua"/>
        </w:rPr>
        <w:t>Vaklavas</w:t>
      </w:r>
      <w:proofErr w:type="spellEnd"/>
      <w:r w:rsidRPr="00807723">
        <w:rPr>
          <w:rFonts w:ascii="Book Antiqua" w:hAnsi="Book Antiqua"/>
        </w:rPr>
        <w:t xml:space="preserve"> C, </w:t>
      </w:r>
      <w:proofErr w:type="spellStart"/>
      <w:r w:rsidRPr="00807723">
        <w:rPr>
          <w:rFonts w:ascii="Book Antiqua" w:hAnsi="Book Antiqua"/>
        </w:rPr>
        <w:t>Mohindra</w:t>
      </w:r>
      <w:proofErr w:type="spellEnd"/>
      <w:r w:rsidRPr="00807723">
        <w:rPr>
          <w:rFonts w:ascii="Book Antiqua" w:hAnsi="Book Antiqua"/>
        </w:rPr>
        <w:t xml:space="preserve"> N, Kalyan A, </w:t>
      </w:r>
      <w:proofErr w:type="spellStart"/>
      <w:r w:rsidRPr="00807723">
        <w:rPr>
          <w:rFonts w:ascii="Book Antiqua" w:hAnsi="Book Antiqua"/>
        </w:rPr>
        <w:t>Matsangou</w:t>
      </w:r>
      <w:proofErr w:type="spellEnd"/>
      <w:r w:rsidRPr="00807723">
        <w:rPr>
          <w:rFonts w:ascii="Book Antiqua" w:hAnsi="Book Antiqua"/>
        </w:rPr>
        <w:t xml:space="preserve"> M, Costa R, Carneiro B, </w:t>
      </w:r>
      <w:proofErr w:type="spellStart"/>
      <w:r w:rsidRPr="00807723">
        <w:rPr>
          <w:rFonts w:ascii="Book Antiqua" w:hAnsi="Book Antiqua"/>
        </w:rPr>
        <w:t>Villaflor</w:t>
      </w:r>
      <w:proofErr w:type="spellEnd"/>
      <w:r w:rsidRPr="00807723">
        <w:rPr>
          <w:rFonts w:ascii="Book Antiqua" w:hAnsi="Book Antiqua"/>
        </w:rPr>
        <w:t xml:space="preserve"> VM, </w:t>
      </w:r>
      <w:proofErr w:type="spellStart"/>
      <w:r w:rsidRPr="00807723">
        <w:rPr>
          <w:rFonts w:ascii="Book Antiqua" w:hAnsi="Book Antiqua"/>
        </w:rPr>
        <w:t>Cristofanilli</w:t>
      </w:r>
      <w:proofErr w:type="spellEnd"/>
      <w:r w:rsidRPr="00807723">
        <w:rPr>
          <w:rFonts w:ascii="Book Antiqua" w:hAnsi="Book Antiqua"/>
        </w:rPr>
        <w:t xml:space="preserve"> M, Giles FJ. Inhibition of the fibroblast growth factor receptor (FGFR) pathway: the current landscape and barriers to clinical application. </w:t>
      </w:r>
      <w:proofErr w:type="spellStart"/>
      <w:r w:rsidRPr="00807723">
        <w:rPr>
          <w:rFonts w:ascii="Book Antiqua" w:hAnsi="Book Antiqua"/>
          <w:i/>
          <w:iCs/>
        </w:rPr>
        <w:t>Oncotarget</w:t>
      </w:r>
      <w:proofErr w:type="spellEnd"/>
      <w:r w:rsidRPr="00807723">
        <w:rPr>
          <w:rFonts w:ascii="Book Antiqua" w:hAnsi="Book Antiqua"/>
        </w:rPr>
        <w:t xml:space="preserve"> 2017; </w:t>
      </w:r>
      <w:r w:rsidRPr="00807723">
        <w:rPr>
          <w:rFonts w:ascii="Book Antiqua" w:hAnsi="Book Antiqua"/>
          <w:b/>
          <w:bCs/>
        </w:rPr>
        <w:t>8</w:t>
      </w:r>
      <w:r w:rsidRPr="00807723">
        <w:rPr>
          <w:rFonts w:ascii="Book Antiqua" w:hAnsi="Book Antiqua"/>
        </w:rPr>
        <w:t>: 16052-16074 [PMID: 28030802 DOI: 10.18632/oncotarget.14109]</w:t>
      </w:r>
    </w:p>
    <w:p w14:paraId="788099CE" w14:textId="77777777" w:rsidR="00A40FE6" w:rsidRPr="00807723" w:rsidRDefault="00214602">
      <w:pPr>
        <w:spacing w:line="360" w:lineRule="auto"/>
        <w:jc w:val="both"/>
        <w:rPr>
          <w:rFonts w:ascii="Book Antiqua" w:hAnsi="Book Antiqua"/>
        </w:rPr>
      </w:pPr>
      <w:r w:rsidRPr="00807723">
        <w:rPr>
          <w:rFonts w:ascii="Book Antiqua" w:hAnsi="Book Antiqua"/>
        </w:rPr>
        <w:t xml:space="preserve">38 </w:t>
      </w:r>
      <w:r w:rsidRPr="00807723">
        <w:rPr>
          <w:rFonts w:ascii="Book Antiqua" w:hAnsi="Book Antiqua"/>
          <w:b/>
          <w:bCs/>
        </w:rPr>
        <w:t>Zheng N</w:t>
      </w:r>
      <w:r w:rsidRPr="00807723">
        <w:rPr>
          <w:rFonts w:ascii="Book Antiqua" w:hAnsi="Book Antiqua"/>
        </w:rPr>
        <w:t xml:space="preserve">, Wei W, Wang Z. Emerging roles of FGF </w:t>
      </w:r>
      <w:proofErr w:type="spellStart"/>
      <w:r w:rsidRPr="00807723">
        <w:rPr>
          <w:rFonts w:ascii="Book Antiqua" w:hAnsi="Book Antiqua"/>
        </w:rPr>
        <w:t>signaling</w:t>
      </w:r>
      <w:proofErr w:type="spellEnd"/>
      <w:r w:rsidRPr="00807723">
        <w:rPr>
          <w:rFonts w:ascii="Book Antiqua" w:hAnsi="Book Antiqua"/>
        </w:rPr>
        <w:t xml:space="preserve"> in hepatocellular carcinoma. </w:t>
      </w:r>
      <w:proofErr w:type="spellStart"/>
      <w:r w:rsidRPr="00807723">
        <w:rPr>
          <w:rFonts w:ascii="Book Antiqua" w:hAnsi="Book Antiqua"/>
          <w:i/>
          <w:iCs/>
        </w:rPr>
        <w:t>Transl</w:t>
      </w:r>
      <w:proofErr w:type="spellEnd"/>
      <w:r w:rsidRPr="00807723">
        <w:rPr>
          <w:rFonts w:ascii="Book Antiqua" w:hAnsi="Book Antiqua"/>
          <w:i/>
          <w:iCs/>
        </w:rPr>
        <w:t xml:space="preserve"> Cancer Res</w:t>
      </w:r>
      <w:r w:rsidRPr="00807723">
        <w:rPr>
          <w:rFonts w:ascii="Book Antiqua" w:hAnsi="Book Antiqua"/>
        </w:rPr>
        <w:t xml:space="preserve"> 2016; </w:t>
      </w:r>
      <w:r w:rsidRPr="00807723">
        <w:rPr>
          <w:rFonts w:ascii="Book Antiqua" w:hAnsi="Book Antiqua"/>
          <w:b/>
          <w:bCs/>
        </w:rPr>
        <w:t>5</w:t>
      </w:r>
      <w:r w:rsidRPr="00807723">
        <w:rPr>
          <w:rFonts w:ascii="Book Antiqua" w:hAnsi="Book Antiqua"/>
        </w:rPr>
        <w:t>: 1-6 [PMID: 27226954]</w:t>
      </w:r>
    </w:p>
    <w:p w14:paraId="78996ABE" w14:textId="77777777" w:rsidR="00A40FE6" w:rsidRPr="00807723" w:rsidRDefault="00A40FE6">
      <w:pPr>
        <w:spacing w:line="360" w:lineRule="auto"/>
        <w:jc w:val="both"/>
        <w:sectPr w:rsidR="00A40FE6" w:rsidRPr="00807723">
          <w:pgSz w:w="12240" w:h="15840"/>
          <w:pgMar w:top="1440" w:right="1440" w:bottom="1440" w:left="1440" w:header="720" w:footer="720" w:gutter="0"/>
          <w:cols w:space="720"/>
          <w:docGrid w:linePitch="360"/>
        </w:sectPr>
      </w:pPr>
    </w:p>
    <w:p w14:paraId="30A1056B" w14:textId="77777777" w:rsidR="00A40FE6" w:rsidRPr="00807723" w:rsidRDefault="00214602">
      <w:pPr>
        <w:spacing w:line="360" w:lineRule="auto"/>
        <w:jc w:val="both"/>
      </w:pPr>
      <w:r w:rsidRPr="00807723">
        <w:rPr>
          <w:rFonts w:ascii="Book Antiqua" w:eastAsia="Book Antiqua" w:hAnsi="Book Antiqua" w:cs="Book Antiqua"/>
          <w:b/>
          <w:color w:val="000000"/>
        </w:rPr>
        <w:lastRenderedPageBreak/>
        <w:t>Footnotes</w:t>
      </w:r>
    </w:p>
    <w:p w14:paraId="2C59A03B" w14:textId="77777777" w:rsidR="00A40FE6" w:rsidRPr="00807723" w:rsidRDefault="00214602">
      <w:pPr>
        <w:spacing w:line="360" w:lineRule="auto"/>
        <w:jc w:val="both"/>
      </w:pPr>
      <w:r w:rsidRPr="00807723">
        <w:rPr>
          <w:rFonts w:ascii="Book Antiqua" w:eastAsia="Book Antiqua" w:hAnsi="Book Antiqua" w:cs="Book Antiqua"/>
          <w:b/>
          <w:bCs/>
          <w:color w:val="000000"/>
          <w:szCs w:val="22"/>
        </w:rPr>
        <w:t xml:space="preserve">Institutional review board statement: </w:t>
      </w:r>
      <w:r w:rsidRPr="00807723">
        <w:rPr>
          <w:rFonts w:ascii="Book Antiqua" w:eastAsia="Book Antiqua" w:hAnsi="Book Antiqua" w:cs="Book Antiqua"/>
          <w:color w:val="000000"/>
        </w:rPr>
        <w:t xml:space="preserve">The study was reviewed and approved by the institutional review board of Faculty of Medicine, Ain Shams University, Cairo, Egypt. </w:t>
      </w:r>
    </w:p>
    <w:p w14:paraId="0564C06B" w14:textId="77777777" w:rsidR="00A40FE6" w:rsidRPr="00807723" w:rsidRDefault="00A40FE6">
      <w:pPr>
        <w:spacing w:line="360" w:lineRule="auto"/>
        <w:jc w:val="both"/>
      </w:pPr>
    </w:p>
    <w:p w14:paraId="05367934" w14:textId="76C66B1F" w:rsidR="00A40FE6" w:rsidRPr="00807723" w:rsidRDefault="00214602">
      <w:pPr>
        <w:spacing w:line="360" w:lineRule="auto"/>
        <w:jc w:val="both"/>
      </w:pPr>
      <w:r w:rsidRPr="00807723">
        <w:rPr>
          <w:rFonts w:ascii="Book Antiqua" w:eastAsia="Book Antiqua" w:hAnsi="Book Antiqua" w:cs="Book Antiqua"/>
          <w:b/>
          <w:bCs/>
          <w:color w:val="000000"/>
          <w:szCs w:val="22"/>
        </w:rPr>
        <w:t xml:space="preserve">Informed consent statement: </w:t>
      </w:r>
      <w:r w:rsidRPr="00807723">
        <w:rPr>
          <w:rFonts w:ascii="Book Antiqua" w:eastAsia="Book Antiqua" w:hAnsi="Book Antiqua" w:cs="Book Antiqua"/>
          <w:bCs/>
          <w:color w:val="000000"/>
          <w:szCs w:val="22"/>
        </w:rPr>
        <w:t xml:space="preserve">Informed consent </w:t>
      </w:r>
      <w:r w:rsidRPr="00807723">
        <w:rPr>
          <w:rFonts w:ascii="Book Antiqua" w:eastAsia="Book Antiqua" w:hAnsi="Book Antiqua" w:cs="Book Antiqua"/>
          <w:color w:val="000000"/>
        </w:rPr>
        <w:t xml:space="preserve">was obtained from every participant before the </w:t>
      </w:r>
      <w:proofErr w:type="spellStart"/>
      <w:r w:rsidRPr="00807723">
        <w:rPr>
          <w:rFonts w:ascii="Book Antiqua" w:eastAsia="Book Antiqua" w:hAnsi="Book Antiqua" w:cs="Book Antiqua"/>
          <w:color w:val="000000"/>
        </w:rPr>
        <w:t>enro</w:t>
      </w:r>
      <w:r w:rsidR="007974F6" w:rsidRPr="007974F6">
        <w:rPr>
          <w:rFonts w:ascii="Book Antiqua" w:eastAsia="Book Antiqua" w:hAnsi="Book Antiqua" w:cs="Book Antiqua" w:hint="eastAsia"/>
          <w:color w:val="000000"/>
        </w:rPr>
        <w:t>l</w:t>
      </w:r>
      <w:r w:rsidRPr="00807723">
        <w:rPr>
          <w:rFonts w:ascii="Book Antiqua" w:eastAsia="Book Antiqua" w:hAnsi="Book Antiqua" w:cs="Book Antiqua"/>
          <w:color w:val="000000"/>
        </w:rPr>
        <w:t>lment</w:t>
      </w:r>
      <w:proofErr w:type="spellEnd"/>
      <w:r w:rsidRPr="00807723">
        <w:rPr>
          <w:rFonts w:ascii="Book Antiqua" w:eastAsia="Book Antiqua" w:hAnsi="Book Antiqua" w:cs="Book Antiqua"/>
          <w:color w:val="000000"/>
        </w:rPr>
        <w:t xml:space="preserve"> into the study. </w:t>
      </w:r>
    </w:p>
    <w:p w14:paraId="15D47970" w14:textId="77777777" w:rsidR="00A40FE6" w:rsidRPr="00807723" w:rsidRDefault="00A40FE6">
      <w:pPr>
        <w:spacing w:line="360" w:lineRule="auto"/>
        <w:jc w:val="both"/>
      </w:pPr>
    </w:p>
    <w:p w14:paraId="13438459" w14:textId="77777777" w:rsidR="00A40FE6" w:rsidRPr="00807723" w:rsidRDefault="00214602">
      <w:pPr>
        <w:spacing w:line="360" w:lineRule="auto"/>
        <w:jc w:val="both"/>
      </w:pPr>
      <w:r w:rsidRPr="00807723">
        <w:rPr>
          <w:rFonts w:ascii="Book Antiqua" w:eastAsia="Book Antiqua" w:hAnsi="Book Antiqua" w:cs="Book Antiqua"/>
          <w:b/>
          <w:bCs/>
          <w:color w:val="000000"/>
          <w:szCs w:val="22"/>
        </w:rPr>
        <w:t xml:space="preserve">Conflict-of-interest statement: </w:t>
      </w:r>
      <w:r w:rsidRPr="00807723">
        <w:rPr>
          <w:rFonts w:ascii="Book Antiqua" w:eastAsia="Book Antiqua" w:hAnsi="Book Antiqua" w:cs="Book Antiqua"/>
          <w:color w:val="000000"/>
        </w:rPr>
        <w:t>All authors have nothing to disclose.</w:t>
      </w:r>
    </w:p>
    <w:p w14:paraId="203908D3" w14:textId="77777777" w:rsidR="00A40FE6" w:rsidRPr="00807723" w:rsidRDefault="00A40FE6">
      <w:pPr>
        <w:spacing w:line="360" w:lineRule="auto"/>
        <w:jc w:val="both"/>
      </w:pPr>
    </w:p>
    <w:p w14:paraId="47144CDC" w14:textId="77777777" w:rsidR="00A40FE6" w:rsidRPr="00807723" w:rsidRDefault="00214602">
      <w:pPr>
        <w:spacing w:line="360" w:lineRule="auto"/>
        <w:jc w:val="both"/>
      </w:pPr>
      <w:r w:rsidRPr="00807723">
        <w:rPr>
          <w:rFonts w:ascii="Book Antiqua" w:eastAsia="Book Antiqua" w:hAnsi="Book Antiqua" w:cs="Book Antiqua"/>
          <w:b/>
          <w:bCs/>
          <w:color w:val="000000"/>
          <w:szCs w:val="22"/>
        </w:rPr>
        <w:t xml:space="preserve">Data sharing statement: </w:t>
      </w:r>
      <w:r w:rsidRPr="00807723">
        <w:rPr>
          <w:rFonts w:ascii="Book Antiqua" w:eastAsia="Book Antiqua" w:hAnsi="Book Antiqua" w:cs="Book Antiqua"/>
          <w:color w:val="000000"/>
        </w:rPr>
        <w:t xml:space="preserve">The statistical code and dataset are available from the corresponding author at </w:t>
      </w:r>
      <w:hyperlink r:id="rId9" w:history="1">
        <w:r w:rsidRPr="00807723">
          <w:rPr>
            <w:rFonts w:ascii="Book Antiqua" w:eastAsia="Book Antiqua" w:hAnsi="Book Antiqua" w:cs="Book Antiqua"/>
            <w:color w:val="000000"/>
          </w:rPr>
          <w:t>ghadaabdelrahman@med.asu.edu.eg</w:t>
        </w:r>
      </w:hyperlink>
      <w:r w:rsidRPr="00807723">
        <w:rPr>
          <w:rFonts w:ascii="Book Antiqua" w:eastAsia="Book Antiqua" w:hAnsi="Book Antiqua" w:cs="Book Antiqua"/>
          <w:color w:val="000000"/>
        </w:rPr>
        <w:t>. The participants gave informed consent for the data sharing.</w:t>
      </w:r>
    </w:p>
    <w:p w14:paraId="70D57553" w14:textId="77777777" w:rsidR="00A40FE6" w:rsidRPr="00807723" w:rsidRDefault="00A40FE6">
      <w:pPr>
        <w:spacing w:line="360" w:lineRule="auto"/>
        <w:jc w:val="both"/>
      </w:pPr>
    </w:p>
    <w:p w14:paraId="4802F673" w14:textId="77777777" w:rsidR="00A40FE6" w:rsidRPr="00807723" w:rsidRDefault="00214602">
      <w:pPr>
        <w:spacing w:line="360" w:lineRule="auto"/>
        <w:jc w:val="both"/>
        <w:rPr>
          <w:rFonts w:ascii="Book Antiqua" w:hAnsi="Book Antiqua" w:cs="Garamond-Bold"/>
          <w:bCs/>
          <w:color w:val="000000"/>
        </w:rPr>
      </w:pPr>
      <w:bookmarkStart w:id="2" w:name="OLE_LINK507"/>
      <w:bookmarkStart w:id="3" w:name="OLE_LINK506"/>
      <w:bookmarkStart w:id="4" w:name="OLE_LINK496"/>
      <w:bookmarkStart w:id="5" w:name="OLE_LINK479"/>
      <w:r w:rsidRPr="00807723">
        <w:rPr>
          <w:rFonts w:ascii="Book Antiqua" w:hAnsi="Book Antiqua"/>
          <w:b/>
          <w:color w:val="000000"/>
        </w:rPr>
        <w:t>STROBE statement</w:t>
      </w:r>
      <w:r w:rsidRPr="00807723">
        <w:rPr>
          <w:rFonts w:ascii="Book Antiqua" w:hAnsi="Book Antiqua" w:hint="eastAsia"/>
          <w:b/>
          <w:color w:val="000000"/>
        </w:rPr>
        <w:t>:</w:t>
      </w:r>
      <w:r w:rsidRPr="00807723">
        <w:rPr>
          <w:rFonts w:ascii="Book Antiqua" w:hAnsi="Book Antiqua"/>
          <w:b/>
          <w:color w:val="000000"/>
        </w:rPr>
        <w:t xml:space="preserve"> </w:t>
      </w:r>
      <w:r w:rsidRPr="00807723">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14:paraId="34B57903" w14:textId="77777777" w:rsidR="00A40FE6" w:rsidRPr="00807723" w:rsidRDefault="00A40FE6">
      <w:pPr>
        <w:spacing w:line="360" w:lineRule="auto"/>
        <w:jc w:val="both"/>
      </w:pPr>
    </w:p>
    <w:p w14:paraId="30F03CC3" w14:textId="77777777" w:rsidR="00A40FE6" w:rsidRPr="00807723" w:rsidRDefault="00214602">
      <w:pPr>
        <w:spacing w:line="360" w:lineRule="auto"/>
        <w:jc w:val="both"/>
      </w:pPr>
      <w:r w:rsidRPr="00807723">
        <w:rPr>
          <w:rFonts w:ascii="Book Antiqua" w:eastAsia="Book Antiqua" w:hAnsi="Book Antiqua" w:cs="Book Antiqua"/>
          <w:b/>
          <w:bCs/>
          <w:color w:val="000000"/>
        </w:rPr>
        <w:t xml:space="preserve">Open-Access: </w:t>
      </w:r>
      <w:r w:rsidRPr="008077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7723">
        <w:rPr>
          <w:rFonts w:ascii="Book Antiqua" w:eastAsia="Book Antiqua" w:hAnsi="Book Antiqua" w:cs="Book Antiqua"/>
          <w:color w:val="000000"/>
        </w:rPr>
        <w:t>NonCommercial</w:t>
      </w:r>
      <w:proofErr w:type="spellEnd"/>
      <w:r w:rsidRPr="008077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57C20F" w14:textId="77777777" w:rsidR="00A40FE6" w:rsidRPr="00807723" w:rsidRDefault="00A40FE6">
      <w:pPr>
        <w:spacing w:line="360" w:lineRule="auto"/>
        <w:jc w:val="both"/>
      </w:pPr>
    </w:p>
    <w:p w14:paraId="40BC7C49"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Provenance and peer review: </w:t>
      </w:r>
      <w:r w:rsidRPr="00807723">
        <w:rPr>
          <w:rFonts w:ascii="Book Antiqua" w:eastAsia="Book Antiqua" w:hAnsi="Book Antiqua" w:cs="Book Antiqua"/>
          <w:color w:val="000000"/>
        </w:rPr>
        <w:t>Invited article; Externally peer reviewed.</w:t>
      </w:r>
    </w:p>
    <w:p w14:paraId="19F8D743"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Peer-review model: </w:t>
      </w:r>
      <w:r w:rsidRPr="00807723">
        <w:rPr>
          <w:rFonts w:ascii="Book Antiqua" w:eastAsia="Book Antiqua" w:hAnsi="Book Antiqua" w:cs="Book Antiqua"/>
          <w:color w:val="000000"/>
        </w:rPr>
        <w:t>Single blind</w:t>
      </w:r>
    </w:p>
    <w:p w14:paraId="7A66D78A" w14:textId="77777777" w:rsidR="00A40FE6" w:rsidRPr="00807723" w:rsidRDefault="00A40FE6">
      <w:pPr>
        <w:spacing w:line="360" w:lineRule="auto"/>
        <w:jc w:val="both"/>
      </w:pPr>
    </w:p>
    <w:p w14:paraId="5667BDCC"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Peer-review started: </w:t>
      </w:r>
      <w:r w:rsidRPr="00807723">
        <w:rPr>
          <w:rFonts w:ascii="Book Antiqua" w:eastAsia="Book Antiqua" w:hAnsi="Book Antiqua" w:cs="Book Antiqua"/>
          <w:color w:val="000000"/>
        </w:rPr>
        <w:t>October 19, 2021</w:t>
      </w:r>
    </w:p>
    <w:p w14:paraId="64E90DE7"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First decision: </w:t>
      </w:r>
      <w:r w:rsidRPr="00807723">
        <w:rPr>
          <w:rFonts w:ascii="Book Antiqua" w:eastAsia="Book Antiqua" w:hAnsi="Book Antiqua" w:cs="Book Antiqua"/>
          <w:color w:val="000000"/>
        </w:rPr>
        <w:t>December 3, 2021</w:t>
      </w:r>
    </w:p>
    <w:p w14:paraId="5BC74C1B" w14:textId="77777777" w:rsidR="00A40FE6" w:rsidRPr="00807723" w:rsidRDefault="00214602">
      <w:pPr>
        <w:spacing w:line="360" w:lineRule="auto"/>
        <w:jc w:val="both"/>
      </w:pPr>
      <w:r w:rsidRPr="00807723">
        <w:rPr>
          <w:rFonts w:ascii="Book Antiqua" w:eastAsia="Book Antiqua" w:hAnsi="Book Antiqua" w:cs="Book Antiqua"/>
          <w:b/>
          <w:color w:val="000000"/>
        </w:rPr>
        <w:lastRenderedPageBreak/>
        <w:t xml:space="preserve">Article in press: </w:t>
      </w:r>
      <w:r w:rsidRPr="00807723">
        <w:rPr>
          <w:rFonts w:ascii="Book Antiqua" w:eastAsia="Book Antiqua" w:hAnsi="Book Antiqua" w:cs="Book Antiqua"/>
          <w:color w:val="000000"/>
        </w:rPr>
        <w:t>February 20, 2022</w:t>
      </w:r>
    </w:p>
    <w:p w14:paraId="07BF84F3" w14:textId="77777777" w:rsidR="00A40FE6" w:rsidRPr="00807723" w:rsidRDefault="00A40FE6">
      <w:pPr>
        <w:spacing w:line="360" w:lineRule="auto"/>
        <w:jc w:val="both"/>
      </w:pPr>
    </w:p>
    <w:p w14:paraId="595C0949"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Specialty type: </w:t>
      </w:r>
      <w:r w:rsidRPr="00807723">
        <w:rPr>
          <w:rFonts w:ascii="Book Antiqua" w:eastAsia="Book Antiqua" w:hAnsi="Book Antiqua" w:cs="Book Antiqua"/>
          <w:color w:val="000000"/>
        </w:rPr>
        <w:t>Gastroenterology and hepatology</w:t>
      </w:r>
    </w:p>
    <w:p w14:paraId="3ADD1966" w14:textId="77777777" w:rsidR="00A40FE6" w:rsidRPr="00807723" w:rsidRDefault="00214602">
      <w:pPr>
        <w:spacing w:line="360" w:lineRule="auto"/>
        <w:jc w:val="both"/>
      </w:pPr>
      <w:r w:rsidRPr="00807723">
        <w:rPr>
          <w:rFonts w:ascii="Book Antiqua" w:eastAsia="Book Antiqua" w:hAnsi="Book Antiqua" w:cs="Book Antiqua"/>
          <w:b/>
          <w:color w:val="000000"/>
        </w:rPr>
        <w:t xml:space="preserve">Country/Territory of origin: </w:t>
      </w:r>
      <w:r w:rsidRPr="00807723">
        <w:rPr>
          <w:rFonts w:ascii="Book Antiqua" w:eastAsia="Book Antiqua" w:hAnsi="Book Antiqua" w:cs="Book Antiqua"/>
          <w:color w:val="000000"/>
        </w:rPr>
        <w:t>Egypt</w:t>
      </w:r>
    </w:p>
    <w:p w14:paraId="4F243CC3" w14:textId="77777777" w:rsidR="00A40FE6" w:rsidRPr="00807723" w:rsidRDefault="00214602">
      <w:pPr>
        <w:spacing w:line="360" w:lineRule="auto"/>
        <w:jc w:val="both"/>
      </w:pPr>
      <w:r w:rsidRPr="00807723">
        <w:rPr>
          <w:rFonts w:ascii="Book Antiqua" w:eastAsia="Book Antiqua" w:hAnsi="Book Antiqua" w:cs="Book Antiqua"/>
          <w:b/>
          <w:color w:val="000000"/>
        </w:rPr>
        <w:t>Peer-review report’s scientific quality classification</w:t>
      </w:r>
    </w:p>
    <w:p w14:paraId="3C3BF575" w14:textId="77777777" w:rsidR="00A40FE6" w:rsidRPr="00807723" w:rsidRDefault="00214602">
      <w:pPr>
        <w:spacing w:line="360" w:lineRule="auto"/>
        <w:jc w:val="both"/>
      </w:pPr>
      <w:r w:rsidRPr="00807723">
        <w:rPr>
          <w:rFonts w:ascii="Book Antiqua" w:eastAsia="Book Antiqua" w:hAnsi="Book Antiqua" w:cs="Book Antiqua"/>
          <w:color w:val="000000"/>
        </w:rPr>
        <w:t>Grade A (Excellent): 0</w:t>
      </w:r>
    </w:p>
    <w:p w14:paraId="63446391" w14:textId="77777777" w:rsidR="00A40FE6" w:rsidRPr="00807723" w:rsidRDefault="00214602">
      <w:pPr>
        <w:spacing w:line="360" w:lineRule="auto"/>
        <w:jc w:val="both"/>
      </w:pPr>
      <w:r w:rsidRPr="00807723">
        <w:rPr>
          <w:rFonts w:ascii="Book Antiqua" w:eastAsia="Book Antiqua" w:hAnsi="Book Antiqua" w:cs="Book Antiqua"/>
          <w:color w:val="000000"/>
        </w:rPr>
        <w:t>Grade B (Very good): 0</w:t>
      </w:r>
    </w:p>
    <w:p w14:paraId="51AC9840" w14:textId="77777777" w:rsidR="00A40FE6" w:rsidRPr="00807723" w:rsidRDefault="00214602">
      <w:pPr>
        <w:spacing w:line="360" w:lineRule="auto"/>
        <w:jc w:val="both"/>
      </w:pPr>
      <w:r w:rsidRPr="00807723">
        <w:rPr>
          <w:rFonts w:ascii="Book Antiqua" w:eastAsia="Book Antiqua" w:hAnsi="Book Antiqua" w:cs="Book Antiqua"/>
          <w:color w:val="000000"/>
        </w:rPr>
        <w:t>Grade C (Good): C</w:t>
      </w:r>
    </w:p>
    <w:p w14:paraId="6559C2A3" w14:textId="77777777" w:rsidR="00A40FE6" w:rsidRPr="00807723" w:rsidRDefault="00214602">
      <w:pPr>
        <w:spacing w:line="360" w:lineRule="auto"/>
        <w:jc w:val="both"/>
      </w:pPr>
      <w:r w:rsidRPr="00807723">
        <w:rPr>
          <w:rFonts w:ascii="Book Antiqua" w:eastAsia="Book Antiqua" w:hAnsi="Book Antiqua" w:cs="Book Antiqua"/>
          <w:color w:val="000000"/>
        </w:rPr>
        <w:t>Grade D (Fair): D</w:t>
      </w:r>
    </w:p>
    <w:p w14:paraId="3F8CDCED" w14:textId="77777777" w:rsidR="00A40FE6" w:rsidRPr="00807723" w:rsidRDefault="00214602">
      <w:pPr>
        <w:spacing w:line="360" w:lineRule="auto"/>
        <w:jc w:val="both"/>
      </w:pPr>
      <w:r w:rsidRPr="00807723">
        <w:rPr>
          <w:rFonts w:ascii="Book Antiqua" w:eastAsia="Book Antiqua" w:hAnsi="Book Antiqua" w:cs="Book Antiqua"/>
          <w:color w:val="000000"/>
        </w:rPr>
        <w:t>Grade E (Poor): 0</w:t>
      </w:r>
    </w:p>
    <w:p w14:paraId="1A0457A7" w14:textId="77777777" w:rsidR="00A40FE6" w:rsidRPr="00807723" w:rsidRDefault="00A40FE6">
      <w:pPr>
        <w:spacing w:line="360" w:lineRule="auto"/>
        <w:jc w:val="both"/>
      </w:pPr>
    </w:p>
    <w:p w14:paraId="33A35632" w14:textId="77777777" w:rsidR="00A40FE6" w:rsidRPr="00807723" w:rsidRDefault="00214602">
      <w:pPr>
        <w:spacing w:line="360" w:lineRule="auto"/>
        <w:jc w:val="both"/>
        <w:sectPr w:rsidR="00A40FE6" w:rsidRPr="00807723">
          <w:pgSz w:w="12240" w:h="15840"/>
          <w:pgMar w:top="1440" w:right="1440" w:bottom="1440" w:left="1440" w:header="720" w:footer="720" w:gutter="0"/>
          <w:cols w:space="720"/>
          <w:docGrid w:linePitch="360"/>
        </w:sectPr>
      </w:pPr>
      <w:r w:rsidRPr="00807723">
        <w:rPr>
          <w:rFonts w:ascii="Book Antiqua" w:eastAsia="Book Antiqua" w:hAnsi="Book Antiqua" w:cs="Book Antiqua"/>
          <w:b/>
          <w:color w:val="000000"/>
        </w:rPr>
        <w:t xml:space="preserve">P-Reviewer: </w:t>
      </w:r>
      <w:proofErr w:type="spellStart"/>
      <w:r w:rsidRPr="00807723">
        <w:rPr>
          <w:rFonts w:ascii="Book Antiqua" w:eastAsia="Book Antiqua" w:hAnsi="Book Antiqua" w:cs="Book Antiqua"/>
          <w:color w:val="000000"/>
        </w:rPr>
        <w:t>Kanno</w:t>
      </w:r>
      <w:proofErr w:type="spellEnd"/>
      <w:r w:rsidRPr="00807723">
        <w:rPr>
          <w:rFonts w:ascii="Book Antiqua" w:eastAsia="Book Antiqua" w:hAnsi="Book Antiqua" w:cs="Book Antiqua"/>
          <w:color w:val="000000"/>
        </w:rPr>
        <w:t xml:space="preserve"> H, Tong GD</w:t>
      </w:r>
      <w:r w:rsidRPr="00807723">
        <w:rPr>
          <w:rFonts w:ascii="Book Antiqua" w:eastAsia="Book Antiqua" w:hAnsi="Book Antiqua" w:cs="Book Antiqua"/>
          <w:b/>
          <w:color w:val="000000"/>
        </w:rPr>
        <w:t xml:space="preserve"> S-Editor: </w:t>
      </w:r>
      <w:r w:rsidRPr="00807723">
        <w:rPr>
          <w:rFonts w:ascii="Book Antiqua" w:eastAsia="Book Antiqua" w:hAnsi="Book Antiqua" w:cs="Book Antiqua"/>
          <w:color w:val="000000"/>
        </w:rPr>
        <w:t>Ma YJ</w:t>
      </w:r>
      <w:r w:rsidRPr="00807723">
        <w:rPr>
          <w:rFonts w:ascii="Book Antiqua" w:eastAsia="Book Antiqua" w:hAnsi="Book Antiqua" w:cs="Book Antiqua"/>
          <w:b/>
          <w:color w:val="000000"/>
        </w:rPr>
        <w:t xml:space="preserve"> L-Editor: </w:t>
      </w:r>
      <w:r w:rsidRPr="00807723">
        <w:rPr>
          <w:rFonts w:ascii="Book Antiqua" w:eastAsia="Book Antiqua" w:hAnsi="Book Antiqua" w:cs="Book Antiqua"/>
          <w:color w:val="000000"/>
        </w:rPr>
        <w:t>Wang TQ</w:t>
      </w:r>
      <w:r w:rsidRPr="00807723">
        <w:rPr>
          <w:rFonts w:ascii="Book Antiqua" w:eastAsia="Book Antiqua" w:hAnsi="Book Antiqua" w:cs="Book Antiqua"/>
          <w:b/>
          <w:color w:val="000000"/>
        </w:rPr>
        <w:t xml:space="preserve"> P-Editor: </w:t>
      </w:r>
      <w:r w:rsidRPr="00807723">
        <w:rPr>
          <w:rFonts w:ascii="Book Antiqua" w:eastAsia="Book Antiqua" w:hAnsi="Book Antiqua" w:cs="Book Antiqua"/>
          <w:bCs/>
          <w:color w:val="000000"/>
        </w:rPr>
        <w:t>Ma YJ</w:t>
      </w:r>
    </w:p>
    <w:p w14:paraId="1C2E7C4E" w14:textId="77777777" w:rsidR="00A40FE6" w:rsidRPr="00807723" w:rsidRDefault="00214602">
      <w:pPr>
        <w:spacing w:line="360" w:lineRule="auto"/>
        <w:jc w:val="both"/>
        <w:rPr>
          <w:rFonts w:ascii="Book Antiqua" w:eastAsia="Book Antiqua" w:hAnsi="Book Antiqua" w:cs="Book Antiqua"/>
          <w:b/>
          <w:color w:val="000000"/>
        </w:rPr>
      </w:pPr>
      <w:r w:rsidRPr="00807723">
        <w:rPr>
          <w:rFonts w:ascii="Book Antiqua" w:eastAsia="Book Antiqua" w:hAnsi="Book Antiqua" w:cs="Book Antiqua"/>
          <w:b/>
          <w:color w:val="000000"/>
        </w:rPr>
        <w:lastRenderedPageBreak/>
        <w:t>Figure Legends</w:t>
      </w:r>
    </w:p>
    <w:p w14:paraId="3E638265" w14:textId="77777777" w:rsidR="00A40FE6" w:rsidRPr="00807723" w:rsidRDefault="00A40FE6">
      <w:pPr>
        <w:spacing w:line="360" w:lineRule="auto"/>
        <w:jc w:val="both"/>
        <w:rPr>
          <w:rFonts w:ascii="Book Antiqua" w:eastAsia="Book Antiqua" w:hAnsi="Book Antiqua" w:cs="Book Antiqua"/>
          <w:b/>
          <w:color w:val="000000"/>
        </w:rPr>
      </w:pPr>
    </w:p>
    <w:p w14:paraId="0A8E302A" w14:textId="58072378" w:rsidR="00A40FE6" w:rsidRPr="00807723" w:rsidRDefault="00BD5B91">
      <w:pPr>
        <w:spacing w:line="360" w:lineRule="auto"/>
        <w:jc w:val="both"/>
      </w:pPr>
      <w:r>
        <w:rPr>
          <w:noProof/>
        </w:rPr>
        <w:drawing>
          <wp:inline distT="0" distB="0" distL="0" distR="0" wp14:anchorId="333106D8" wp14:editId="4CA7AF91">
            <wp:extent cx="3175000" cy="22098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0" cy="2209800"/>
                    </a:xfrm>
                    <a:prstGeom prst="rect">
                      <a:avLst/>
                    </a:prstGeom>
                    <a:noFill/>
                    <a:ln>
                      <a:noFill/>
                    </a:ln>
                  </pic:spPr>
                </pic:pic>
              </a:graphicData>
            </a:graphic>
          </wp:inline>
        </w:drawing>
      </w:r>
    </w:p>
    <w:p w14:paraId="0BDA7C13" w14:textId="77777777" w:rsidR="00A40FE6" w:rsidRPr="00807723" w:rsidRDefault="00214602">
      <w:pPr>
        <w:spacing w:line="360" w:lineRule="auto"/>
        <w:jc w:val="both"/>
        <w:rPr>
          <w:rFonts w:ascii="Book Antiqua" w:eastAsia="Book Antiqua" w:hAnsi="Book Antiqua" w:cs="Book Antiqua"/>
          <w:b/>
          <w:bCs/>
          <w:color w:val="000000"/>
        </w:rPr>
      </w:pPr>
      <w:r w:rsidRPr="00807723">
        <w:rPr>
          <w:rFonts w:ascii="Book Antiqua" w:eastAsia="Book Antiqua" w:hAnsi="Book Antiqua" w:cs="Book Antiqua"/>
          <w:b/>
          <w:bCs/>
          <w:color w:val="000000"/>
        </w:rPr>
        <w:t>Figure 1</w:t>
      </w:r>
      <w:r w:rsidRPr="00807723">
        <w:rPr>
          <w:rFonts w:ascii="Book Antiqua" w:eastAsia="Book Antiqua" w:hAnsi="Book Antiqua" w:cs="Book Antiqua"/>
          <w:color w:val="000000"/>
        </w:rPr>
        <w:t xml:space="preserve"> </w:t>
      </w:r>
      <w:r w:rsidRPr="00807723">
        <w:rPr>
          <w:rFonts w:ascii="Book Antiqua" w:eastAsia="Book Antiqua" w:hAnsi="Book Antiqua" w:cs="Book Antiqua"/>
          <w:b/>
          <w:bCs/>
          <w:color w:val="000000"/>
        </w:rPr>
        <w:t xml:space="preserve">Serum fibroblast growth factor 19 levels in the control, cirrhosis, and hepatocellular carcinoma groups. </w:t>
      </w:r>
      <w:r w:rsidRPr="00807723">
        <w:rPr>
          <w:rFonts w:ascii="Book Antiqua" w:eastAsia="Book Antiqua" w:hAnsi="Book Antiqua" w:cs="Book Antiqua"/>
          <w:color w:val="000000"/>
        </w:rPr>
        <w:t>FGF-19: Fibroblast growth factor 19; HCC: Hepatocellular carcinoma.</w:t>
      </w:r>
    </w:p>
    <w:p w14:paraId="57D69CF3" w14:textId="77777777" w:rsidR="00A40FE6" w:rsidRPr="00807723" w:rsidRDefault="00A40FE6">
      <w:pPr>
        <w:spacing w:line="360" w:lineRule="auto"/>
        <w:jc w:val="both"/>
      </w:pPr>
    </w:p>
    <w:p w14:paraId="5F4FEB05" w14:textId="4FA005A5" w:rsidR="00A40FE6" w:rsidRPr="00807723" w:rsidRDefault="00BD5B91">
      <w:pPr>
        <w:spacing w:line="360" w:lineRule="auto"/>
        <w:jc w:val="both"/>
      </w:pPr>
      <w:r>
        <w:rPr>
          <w:noProof/>
        </w:rPr>
        <w:drawing>
          <wp:inline distT="0" distB="0" distL="0" distR="0" wp14:anchorId="37265D43" wp14:editId="1261DE76">
            <wp:extent cx="2616200" cy="2133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00" cy="2133600"/>
                    </a:xfrm>
                    <a:prstGeom prst="rect">
                      <a:avLst/>
                    </a:prstGeom>
                    <a:noFill/>
                    <a:ln>
                      <a:noFill/>
                    </a:ln>
                  </pic:spPr>
                </pic:pic>
              </a:graphicData>
            </a:graphic>
          </wp:inline>
        </w:drawing>
      </w:r>
    </w:p>
    <w:p w14:paraId="17F8095E" w14:textId="77777777" w:rsidR="00A40FE6" w:rsidRPr="00807723" w:rsidRDefault="00214602">
      <w:pPr>
        <w:spacing w:line="360" w:lineRule="auto"/>
        <w:jc w:val="both"/>
        <w:rPr>
          <w:rFonts w:ascii="Book Antiqua" w:eastAsia="Book Antiqua" w:hAnsi="Book Antiqua" w:cs="Book Antiqua"/>
          <w:color w:val="000000"/>
        </w:rPr>
      </w:pPr>
      <w:r w:rsidRPr="00807723">
        <w:rPr>
          <w:rFonts w:ascii="Book Antiqua" w:eastAsia="Book Antiqua" w:hAnsi="Book Antiqua" w:cs="Book Antiqua"/>
          <w:b/>
          <w:bCs/>
          <w:color w:val="000000"/>
        </w:rPr>
        <w:t xml:space="preserve">Figure 2 Correlation between serum fibroblast growth factor 19 and alpha fetoprotein. </w:t>
      </w:r>
      <w:r w:rsidRPr="00807723">
        <w:rPr>
          <w:rFonts w:ascii="Book Antiqua" w:eastAsia="Book Antiqua" w:hAnsi="Book Antiqua" w:cs="Book Antiqua"/>
          <w:color w:val="000000"/>
        </w:rPr>
        <w:t>AFP: Alpha fetoprotein; FGF-19: Fibroblast growth factor 19.</w:t>
      </w:r>
    </w:p>
    <w:p w14:paraId="218C19DE" w14:textId="77777777" w:rsidR="00A40FE6" w:rsidRPr="00807723" w:rsidRDefault="00A40FE6">
      <w:pPr>
        <w:spacing w:line="360" w:lineRule="auto"/>
        <w:jc w:val="both"/>
        <w:rPr>
          <w:rFonts w:ascii="Book Antiqua" w:eastAsia="Book Antiqua" w:hAnsi="Book Antiqua" w:cs="Book Antiqua"/>
          <w:color w:val="000000"/>
        </w:rPr>
      </w:pPr>
    </w:p>
    <w:p w14:paraId="16C90E67" w14:textId="15389E06" w:rsidR="00A40FE6" w:rsidRPr="00807723" w:rsidRDefault="00BD5B91">
      <w:pPr>
        <w:spacing w:line="360" w:lineRule="auto"/>
        <w:jc w:val="both"/>
      </w:pPr>
      <w:r>
        <w:rPr>
          <w:noProof/>
        </w:rPr>
        <w:lastRenderedPageBreak/>
        <w:drawing>
          <wp:inline distT="0" distB="0" distL="0" distR="0" wp14:anchorId="7012E5EA" wp14:editId="224391AF">
            <wp:extent cx="2616200" cy="2057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6200" cy="2057400"/>
                    </a:xfrm>
                    <a:prstGeom prst="rect">
                      <a:avLst/>
                    </a:prstGeom>
                    <a:noFill/>
                    <a:ln>
                      <a:noFill/>
                    </a:ln>
                  </pic:spPr>
                </pic:pic>
              </a:graphicData>
            </a:graphic>
          </wp:inline>
        </w:drawing>
      </w:r>
    </w:p>
    <w:p w14:paraId="3A3A3419" w14:textId="77777777" w:rsidR="00A40FE6" w:rsidRPr="00807723" w:rsidRDefault="00214602">
      <w:pPr>
        <w:spacing w:line="360" w:lineRule="auto"/>
        <w:jc w:val="both"/>
        <w:rPr>
          <w:rFonts w:ascii="Book Antiqua" w:eastAsia="Book Antiqua" w:hAnsi="Book Antiqua" w:cs="Book Antiqua"/>
          <w:color w:val="000000"/>
        </w:rPr>
      </w:pPr>
      <w:r w:rsidRPr="00807723">
        <w:rPr>
          <w:rFonts w:ascii="Book Antiqua" w:eastAsia="Book Antiqua" w:hAnsi="Book Antiqua" w:cs="Book Antiqua"/>
          <w:b/>
          <w:bCs/>
          <w:color w:val="000000"/>
        </w:rPr>
        <w:t xml:space="preserve">Figure 3 Receiver operating characteristic curves for assessing the diagnostic performance of FGF-19 and alpha fetoprotein for the differentiation of HCC cases. </w:t>
      </w:r>
      <w:r w:rsidRPr="00807723">
        <w:rPr>
          <w:rFonts w:ascii="Book Antiqua" w:eastAsia="Book Antiqua" w:hAnsi="Book Antiqua" w:cs="Book Antiqua"/>
          <w:color w:val="000000"/>
        </w:rPr>
        <w:t>AFP: Alpha fetoprotein; FGF-19: Fibroblast growth factor 19.</w:t>
      </w:r>
    </w:p>
    <w:p w14:paraId="65ED8323" w14:textId="77777777" w:rsidR="00A40FE6" w:rsidRPr="00807723" w:rsidRDefault="00214602">
      <w:pPr>
        <w:spacing w:line="360" w:lineRule="auto"/>
        <w:jc w:val="both"/>
        <w:rPr>
          <w:rFonts w:ascii="Book Antiqua" w:hAnsi="Book Antiqua"/>
          <w:color w:val="000000" w:themeColor="text1"/>
        </w:rPr>
      </w:pPr>
      <w:r w:rsidRPr="00807723">
        <w:rPr>
          <w:rFonts w:ascii="Book Antiqua" w:eastAsia="Book Antiqua" w:hAnsi="Book Antiqua" w:cs="Book Antiqua"/>
          <w:color w:val="000000"/>
        </w:rPr>
        <w:br w:type="page"/>
      </w:r>
      <w:r w:rsidRPr="00807723">
        <w:rPr>
          <w:rFonts w:ascii="Book Antiqua" w:hAnsi="Book Antiqua"/>
          <w:b/>
          <w:bCs/>
          <w:color w:val="000000" w:themeColor="text1"/>
        </w:rPr>
        <w:lastRenderedPageBreak/>
        <w:t>Table 1 Characteristics of all participants</w:t>
      </w:r>
      <w:r w:rsidRPr="00807723">
        <w:rPr>
          <w:rFonts w:ascii="Book Antiqua" w:hAnsi="Book Antiqua"/>
          <w:color w:val="000000" w:themeColor="text1"/>
        </w:rPr>
        <w:t xml:space="preserve"> </w:t>
      </w:r>
    </w:p>
    <w:tbl>
      <w:tblPr>
        <w:tblStyle w:val="ad"/>
        <w:tblW w:w="523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2"/>
        <w:gridCol w:w="1147"/>
        <w:gridCol w:w="1581"/>
        <w:gridCol w:w="1577"/>
        <w:gridCol w:w="1659"/>
        <w:gridCol w:w="1024"/>
        <w:gridCol w:w="1267"/>
      </w:tblGrid>
      <w:tr w:rsidR="00A40FE6" w:rsidRPr="00807723" w14:paraId="749A2550" w14:textId="77777777">
        <w:trPr>
          <w:trHeight w:val="1193"/>
        </w:trPr>
        <w:tc>
          <w:tcPr>
            <w:tcW w:w="1376" w:type="pct"/>
            <w:gridSpan w:val="2"/>
            <w:tcBorders>
              <w:top w:val="single" w:sz="4" w:space="0" w:color="auto"/>
              <w:bottom w:val="single" w:sz="4" w:space="0" w:color="auto"/>
            </w:tcBorders>
            <w:noWrap/>
            <w:vAlign w:val="center"/>
          </w:tcPr>
          <w:p w14:paraId="63CCD0AC" w14:textId="77777777" w:rsidR="00A40FE6" w:rsidRPr="00807723" w:rsidRDefault="00A40FE6">
            <w:pPr>
              <w:spacing w:line="360" w:lineRule="auto"/>
              <w:jc w:val="both"/>
              <w:rPr>
                <w:rFonts w:ascii="Book Antiqua" w:hAnsi="Book Antiqua" w:cs="Arial"/>
                <w:b/>
                <w:bCs/>
                <w:color w:val="000000" w:themeColor="text1"/>
              </w:rPr>
            </w:pPr>
          </w:p>
        </w:tc>
        <w:tc>
          <w:tcPr>
            <w:tcW w:w="806" w:type="pct"/>
            <w:tcBorders>
              <w:top w:val="single" w:sz="4" w:space="0" w:color="auto"/>
              <w:bottom w:val="single" w:sz="4" w:space="0" w:color="auto"/>
            </w:tcBorders>
            <w:noWrap/>
            <w:vAlign w:val="center"/>
          </w:tcPr>
          <w:p w14:paraId="436E3319" w14:textId="77777777" w:rsidR="00A40FE6" w:rsidRPr="00807723" w:rsidRDefault="00214602">
            <w:pPr>
              <w:spacing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 xml:space="preserve">Control </w:t>
            </w:r>
            <w:r w:rsidRPr="00807723">
              <w:rPr>
                <w:rFonts w:ascii="Book Antiqua" w:hAnsi="Book Antiqua"/>
                <w:b/>
                <w:bCs/>
                <w:color w:val="000000" w:themeColor="text1"/>
              </w:rPr>
              <w:t>(</w:t>
            </w:r>
            <w:r w:rsidRPr="00807723">
              <w:rPr>
                <w:rFonts w:ascii="Book Antiqua" w:hAnsi="Book Antiqua"/>
                <w:b/>
                <w:bCs/>
                <w:i/>
                <w:iCs/>
                <w:color w:val="000000" w:themeColor="text1"/>
              </w:rPr>
              <w:t>n</w:t>
            </w:r>
            <w:r w:rsidRPr="00807723">
              <w:rPr>
                <w:rFonts w:ascii="Book Antiqua" w:hAnsi="Book Antiqua"/>
                <w:b/>
                <w:bCs/>
                <w:color w:val="000000" w:themeColor="text1"/>
              </w:rPr>
              <w:t xml:space="preserve"> = 30)</w:t>
            </w:r>
          </w:p>
        </w:tc>
        <w:tc>
          <w:tcPr>
            <w:tcW w:w="804" w:type="pct"/>
            <w:tcBorders>
              <w:top w:val="single" w:sz="4" w:space="0" w:color="auto"/>
              <w:bottom w:val="single" w:sz="4" w:space="0" w:color="auto"/>
            </w:tcBorders>
            <w:noWrap/>
            <w:vAlign w:val="center"/>
          </w:tcPr>
          <w:p w14:paraId="75AB0D09" w14:textId="77777777" w:rsidR="00A40FE6" w:rsidRPr="00807723" w:rsidRDefault="00214602">
            <w:pPr>
              <w:spacing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Cirrhosis</w:t>
            </w:r>
            <w:r w:rsidRPr="00807723">
              <w:rPr>
                <w:rFonts w:ascii="Book Antiqua" w:hAnsi="Book Antiqua"/>
                <w:b/>
                <w:bCs/>
                <w:color w:val="000000" w:themeColor="text1"/>
              </w:rPr>
              <w:t xml:space="preserve"> (</w:t>
            </w:r>
            <w:r w:rsidRPr="00807723">
              <w:rPr>
                <w:rFonts w:ascii="Book Antiqua" w:hAnsi="Book Antiqua"/>
                <w:b/>
                <w:bCs/>
                <w:i/>
                <w:iCs/>
                <w:color w:val="000000" w:themeColor="text1"/>
              </w:rPr>
              <w:t>n</w:t>
            </w:r>
            <w:r w:rsidRPr="00807723">
              <w:rPr>
                <w:rFonts w:ascii="Book Antiqua" w:hAnsi="Book Antiqua"/>
                <w:b/>
                <w:bCs/>
                <w:color w:val="000000" w:themeColor="text1"/>
              </w:rPr>
              <w:t xml:space="preserve"> = 30)</w:t>
            </w:r>
          </w:p>
        </w:tc>
        <w:tc>
          <w:tcPr>
            <w:tcW w:w="846" w:type="pct"/>
            <w:tcBorders>
              <w:top w:val="single" w:sz="4" w:space="0" w:color="auto"/>
              <w:bottom w:val="single" w:sz="4" w:space="0" w:color="auto"/>
            </w:tcBorders>
            <w:noWrap/>
            <w:vAlign w:val="center"/>
          </w:tcPr>
          <w:p w14:paraId="3E2012FF" w14:textId="77777777" w:rsidR="00A40FE6" w:rsidRPr="00807723" w:rsidRDefault="00214602">
            <w:pPr>
              <w:spacing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 xml:space="preserve">HCC </w:t>
            </w:r>
            <w:r w:rsidRPr="00807723">
              <w:rPr>
                <w:rFonts w:ascii="Book Antiqua" w:hAnsi="Book Antiqua"/>
                <w:b/>
                <w:bCs/>
                <w:color w:val="000000" w:themeColor="text1"/>
              </w:rPr>
              <w:t>(</w:t>
            </w:r>
            <w:r w:rsidRPr="00807723">
              <w:rPr>
                <w:rFonts w:ascii="Book Antiqua" w:hAnsi="Book Antiqua"/>
                <w:b/>
                <w:bCs/>
                <w:i/>
                <w:iCs/>
                <w:color w:val="000000" w:themeColor="text1"/>
              </w:rPr>
              <w:t>n</w:t>
            </w:r>
            <w:r w:rsidRPr="00807723">
              <w:rPr>
                <w:rFonts w:ascii="Book Antiqua" w:hAnsi="Book Antiqua"/>
                <w:b/>
                <w:bCs/>
                <w:color w:val="000000" w:themeColor="text1"/>
              </w:rPr>
              <w:t xml:space="preserve"> = 30)</w:t>
            </w:r>
          </w:p>
        </w:tc>
        <w:tc>
          <w:tcPr>
            <w:tcW w:w="522" w:type="pct"/>
            <w:tcBorders>
              <w:top w:val="single" w:sz="4" w:space="0" w:color="auto"/>
              <w:bottom w:val="single" w:sz="4" w:space="0" w:color="auto"/>
            </w:tcBorders>
            <w:noWrap/>
            <w:vAlign w:val="center"/>
          </w:tcPr>
          <w:p w14:paraId="6F859CDF" w14:textId="77777777" w:rsidR="00A40FE6" w:rsidRPr="00807723" w:rsidRDefault="00214602">
            <w:pPr>
              <w:spacing w:line="360" w:lineRule="auto"/>
              <w:jc w:val="both"/>
              <w:rPr>
                <w:rFonts w:ascii="Book Antiqua" w:hAnsi="Book Antiqua" w:cs="Arial"/>
                <w:b/>
                <w:bCs/>
                <w:color w:val="000000" w:themeColor="text1"/>
              </w:rPr>
            </w:pPr>
            <w:r w:rsidRPr="00807723">
              <w:rPr>
                <w:rFonts w:ascii="Book Antiqua" w:hAnsi="Book Antiqua" w:cs="Arial"/>
                <w:b/>
                <w:bCs/>
                <w:i/>
                <w:iCs/>
                <w:color w:val="000000" w:themeColor="text1"/>
              </w:rPr>
              <w:t>P</w:t>
            </w:r>
            <w:r w:rsidRPr="00807723">
              <w:rPr>
                <w:rFonts w:ascii="Book Antiqua" w:hAnsi="Book Antiqua" w:cs="Arial"/>
                <w:b/>
                <w:bCs/>
                <w:color w:val="000000" w:themeColor="text1"/>
              </w:rPr>
              <w:t xml:space="preserve"> value</w:t>
            </w:r>
          </w:p>
        </w:tc>
        <w:tc>
          <w:tcPr>
            <w:tcW w:w="646" w:type="pct"/>
            <w:tcBorders>
              <w:top w:val="single" w:sz="4" w:space="0" w:color="auto"/>
              <w:bottom w:val="single" w:sz="4" w:space="0" w:color="auto"/>
            </w:tcBorders>
            <w:vAlign w:val="center"/>
          </w:tcPr>
          <w:p w14:paraId="73E007DA" w14:textId="77777777" w:rsidR="00A40FE6" w:rsidRPr="00807723" w:rsidRDefault="00214602">
            <w:pPr>
              <w:spacing w:line="360" w:lineRule="auto"/>
              <w:jc w:val="both"/>
              <w:rPr>
                <w:rFonts w:ascii="Book Antiqua" w:hAnsi="Book Antiqua" w:cs="Arial"/>
                <w:b/>
                <w:bCs/>
                <w:color w:val="000000" w:themeColor="text1"/>
              </w:rPr>
            </w:pPr>
            <w:r w:rsidRPr="00807723">
              <w:rPr>
                <w:rFonts w:ascii="Book Antiqua" w:hAnsi="Book Antiqua" w:cs="Arial"/>
                <w:b/>
                <w:bCs/>
                <w:i/>
                <w:color w:val="000000" w:themeColor="text1"/>
              </w:rPr>
              <w:t>Post-hoc</w:t>
            </w:r>
            <w:r w:rsidRPr="00807723">
              <w:rPr>
                <w:rFonts w:ascii="Book Antiqua" w:hAnsi="Book Antiqua" w:cs="Arial"/>
                <w:b/>
                <w:bCs/>
                <w:color w:val="000000" w:themeColor="text1"/>
              </w:rPr>
              <w:t xml:space="preserve"> analysis</w:t>
            </w:r>
          </w:p>
        </w:tc>
      </w:tr>
      <w:tr w:rsidR="00A40FE6" w:rsidRPr="00807723" w14:paraId="73E51E70" w14:textId="77777777">
        <w:trPr>
          <w:trHeight w:val="1193"/>
        </w:trPr>
        <w:tc>
          <w:tcPr>
            <w:tcW w:w="1376" w:type="pct"/>
            <w:gridSpan w:val="2"/>
            <w:tcBorders>
              <w:top w:val="single" w:sz="4" w:space="0" w:color="auto"/>
            </w:tcBorders>
            <w:noWrap/>
            <w:vAlign w:val="center"/>
          </w:tcPr>
          <w:p w14:paraId="5896564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Age (</w:t>
            </w:r>
            <w:proofErr w:type="spellStart"/>
            <w:r w:rsidRPr="00807723">
              <w:rPr>
                <w:rFonts w:ascii="Book Antiqua" w:hAnsi="Book Antiqua" w:cs="Arial"/>
                <w:color w:val="000000" w:themeColor="text1"/>
              </w:rPr>
              <w:t>yr</w:t>
            </w:r>
            <w:proofErr w:type="spellEnd"/>
            <w:r w:rsidRPr="00807723">
              <w:rPr>
                <w:rFonts w:ascii="Book Antiqua" w:hAnsi="Book Antiqua" w:cs="Arial"/>
                <w:color w:val="000000" w:themeColor="text1"/>
              </w:rPr>
              <w:t>)</w:t>
            </w:r>
          </w:p>
        </w:tc>
        <w:tc>
          <w:tcPr>
            <w:tcW w:w="806" w:type="pct"/>
            <w:tcBorders>
              <w:top w:val="single" w:sz="4" w:space="0" w:color="auto"/>
            </w:tcBorders>
            <w:noWrap/>
            <w:vAlign w:val="center"/>
          </w:tcPr>
          <w:p w14:paraId="1A7921D6"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51.07 ± 12.38</w:t>
            </w:r>
          </w:p>
        </w:tc>
        <w:tc>
          <w:tcPr>
            <w:tcW w:w="804" w:type="pct"/>
            <w:tcBorders>
              <w:top w:val="single" w:sz="4" w:space="0" w:color="auto"/>
            </w:tcBorders>
            <w:noWrap/>
            <w:vAlign w:val="center"/>
          </w:tcPr>
          <w:p w14:paraId="3413D72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53.57 ± 10.48</w:t>
            </w:r>
          </w:p>
        </w:tc>
        <w:tc>
          <w:tcPr>
            <w:tcW w:w="846" w:type="pct"/>
            <w:tcBorders>
              <w:top w:val="single" w:sz="4" w:space="0" w:color="auto"/>
            </w:tcBorders>
            <w:noWrap/>
            <w:vAlign w:val="center"/>
          </w:tcPr>
          <w:p w14:paraId="7830ABE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57.37 ± 10.25</w:t>
            </w:r>
          </w:p>
        </w:tc>
        <w:tc>
          <w:tcPr>
            <w:tcW w:w="522" w:type="pct"/>
            <w:tcBorders>
              <w:top w:val="single" w:sz="4" w:space="0" w:color="auto"/>
            </w:tcBorders>
            <w:noWrap/>
            <w:vAlign w:val="center"/>
          </w:tcPr>
          <w:p w14:paraId="7E40CA56"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0.091</w:t>
            </w:r>
          </w:p>
        </w:tc>
        <w:tc>
          <w:tcPr>
            <w:tcW w:w="646" w:type="pct"/>
            <w:tcBorders>
              <w:top w:val="single" w:sz="4" w:space="0" w:color="auto"/>
            </w:tcBorders>
            <w:vAlign w:val="center"/>
          </w:tcPr>
          <w:p w14:paraId="169F2F45"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56E6E6B9" w14:textId="77777777">
        <w:trPr>
          <w:trHeight w:val="1193"/>
        </w:trPr>
        <w:tc>
          <w:tcPr>
            <w:tcW w:w="791" w:type="pct"/>
            <w:vMerge w:val="restart"/>
            <w:noWrap/>
            <w:vAlign w:val="center"/>
          </w:tcPr>
          <w:p w14:paraId="37CDAD9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Sex</w:t>
            </w:r>
          </w:p>
        </w:tc>
        <w:tc>
          <w:tcPr>
            <w:tcW w:w="585" w:type="pct"/>
            <w:noWrap/>
            <w:vAlign w:val="center"/>
          </w:tcPr>
          <w:p w14:paraId="688A54D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Female</w:t>
            </w:r>
          </w:p>
        </w:tc>
        <w:tc>
          <w:tcPr>
            <w:tcW w:w="806" w:type="pct"/>
            <w:noWrap/>
            <w:vAlign w:val="center"/>
          </w:tcPr>
          <w:p w14:paraId="1DE5E97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12 (40%)</w:t>
            </w:r>
          </w:p>
        </w:tc>
        <w:tc>
          <w:tcPr>
            <w:tcW w:w="804" w:type="pct"/>
            <w:noWrap/>
            <w:vAlign w:val="center"/>
          </w:tcPr>
          <w:p w14:paraId="183B466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10 (33.3%)</w:t>
            </w:r>
          </w:p>
        </w:tc>
        <w:tc>
          <w:tcPr>
            <w:tcW w:w="846" w:type="pct"/>
            <w:noWrap/>
            <w:vAlign w:val="center"/>
          </w:tcPr>
          <w:p w14:paraId="350825F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11 (36.7%)</w:t>
            </w:r>
          </w:p>
        </w:tc>
        <w:tc>
          <w:tcPr>
            <w:tcW w:w="522" w:type="pct"/>
            <w:vMerge w:val="restart"/>
            <w:noWrap/>
            <w:vAlign w:val="center"/>
          </w:tcPr>
          <w:p w14:paraId="14A58B6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0.866</w:t>
            </w:r>
          </w:p>
        </w:tc>
        <w:tc>
          <w:tcPr>
            <w:tcW w:w="646" w:type="pct"/>
            <w:vMerge w:val="restart"/>
            <w:vAlign w:val="center"/>
          </w:tcPr>
          <w:p w14:paraId="2DE21FB3"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68924F04" w14:textId="77777777">
        <w:trPr>
          <w:trHeight w:val="1193"/>
        </w:trPr>
        <w:tc>
          <w:tcPr>
            <w:tcW w:w="791" w:type="pct"/>
            <w:vMerge/>
            <w:vAlign w:val="center"/>
          </w:tcPr>
          <w:p w14:paraId="732E3918" w14:textId="77777777" w:rsidR="00A40FE6" w:rsidRPr="00807723" w:rsidRDefault="00A40FE6">
            <w:pPr>
              <w:spacing w:line="360" w:lineRule="auto"/>
              <w:jc w:val="both"/>
              <w:rPr>
                <w:rFonts w:ascii="Book Antiqua" w:hAnsi="Book Antiqua" w:cs="Arial"/>
                <w:color w:val="000000" w:themeColor="text1"/>
              </w:rPr>
            </w:pPr>
          </w:p>
        </w:tc>
        <w:tc>
          <w:tcPr>
            <w:tcW w:w="585" w:type="pct"/>
            <w:noWrap/>
            <w:vAlign w:val="center"/>
          </w:tcPr>
          <w:p w14:paraId="4F51518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Male</w:t>
            </w:r>
          </w:p>
        </w:tc>
        <w:tc>
          <w:tcPr>
            <w:tcW w:w="806" w:type="pct"/>
            <w:noWrap/>
            <w:vAlign w:val="center"/>
          </w:tcPr>
          <w:p w14:paraId="7DB1224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18 (60%)</w:t>
            </w:r>
          </w:p>
        </w:tc>
        <w:tc>
          <w:tcPr>
            <w:tcW w:w="804" w:type="pct"/>
            <w:noWrap/>
            <w:vAlign w:val="center"/>
          </w:tcPr>
          <w:p w14:paraId="0F7CB1C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20 (66.7%)</w:t>
            </w:r>
          </w:p>
        </w:tc>
        <w:tc>
          <w:tcPr>
            <w:tcW w:w="846" w:type="pct"/>
            <w:noWrap/>
            <w:vAlign w:val="center"/>
          </w:tcPr>
          <w:p w14:paraId="3DBD94F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19 (63.3%)</w:t>
            </w:r>
          </w:p>
        </w:tc>
        <w:tc>
          <w:tcPr>
            <w:tcW w:w="522" w:type="pct"/>
            <w:vMerge/>
            <w:vAlign w:val="center"/>
          </w:tcPr>
          <w:p w14:paraId="2D095207" w14:textId="77777777" w:rsidR="00A40FE6" w:rsidRPr="00807723" w:rsidRDefault="00A40FE6">
            <w:pPr>
              <w:spacing w:line="360" w:lineRule="auto"/>
              <w:jc w:val="both"/>
              <w:rPr>
                <w:rFonts w:ascii="Book Antiqua" w:hAnsi="Book Antiqua" w:cs="Arial"/>
                <w:color w:val="000000" w:themeColor="text1"/>
              </w:rPr>
            </w:pPr>
          </w:p>
        </w:tc>
        <w:tc>
          <w:tcPr>
            <w:tcW w:w="646" w:type="pct"/>
            <w:vMerge/>
            <w:vAlign w:val="center"/>
          </w:tcPr>
          <w:p w14:paraId="599C9F26"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0974E8FE" w14:textId="77777777">
        <w:trPr>
          <w:trHeight w:val="298"/>
        </w:trPr>
        <w:tc>
          <w:tcPr>
            <w:tcW w:w="1376" w:type="pct"/>
            <w:gridSpan w:val="2"/>
            <w:vMerge w:val="restart"/>
            <w:noWrap/>
            <w:vAlign w:val="center"/>
          </w:tcPr>
          <w:p w14:paraId="4FEE40F7" w14:textId="77777777" w:rsidR="00A40FE6" w:rsidRPr="00807723" w:rsidRDefault="00214602">
            <w:pPr>
              <w:spacing w:line="360" w:lineRule="auto"/>
              <w:jc w:val="both"/>
              <w:rPr>
                <w:rFonts w:ascii="Book Antiqua" w:hAnsi="Book Antiqua"/>
                <w:color w:val="000000" w:themeColor="text1"/>
                <w:lang w:bidi="ar-EG"/>
              </w:rPr>
            </w:pPr>
            <w:r w:rsidRPr="00807723">
              <w:rPr>
                <w:rFonts w:ascii="Book Antiqua" w:hAnsi="Book Antiqua"/>
                <w:color w:val="000000" w:themeColor="text1"/>
                <w:lang w:bidi="ar-EG"/>
              </w:rPr>
              <w:t xml:space="preserve">Aetiology of hepatic disease </w:t>
            </w:r>
          </w:p>
        </w:tc>
        <w:tc>
          <w:tcPr>
            <w:tcW w:w="806" w:type="pct"/>
            <w:vMerge w:val="restart"/>
            <w:noWrap/>
            <w:vAlign w:val="center"/>
          </w:tcPr>
          <w:p w14:paraId="023F2EE2" w14:textId="77777777" w:rsidR="00A40FE6" w:rsidRPr="00807723" w:rsidRDefault="00A40FE6">
            <w:pPr>
              <w:spacing w:line="360" w:lineRule="auto"/>
              <w:jc w:val="both"/>
              <w:rPr>
                <w:rFonts w:ascii="Book Antiqua" w:hAnsi="Book Antiqua" w:cs="Arial"/>
                <w:color w:val="000000" w:themeColor="text1"/>
              </w:rPr>
            </w:pPr>
          </w:p>
        </w:tc>
        <w:tc>
          <w:tcPr>
            <w:tcW w:w="804" w:type="pct"/>
            <w:noWrap/>
            <w:vAlign w:val="center"/>
          </w:tcPr>
          <w:p w14:paraId="4CF63DD6"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HCV (</w:t>
            </w:r>
            <w:r w:rsidRPr="00807723">
              <w:rPr>
                <w:rFonts w:ascii="Book Antiqua" w:hAnsi="Book Antiqua" w:cs="Arial"/>
                <w:i/>
                <w:iCs/>
                <w:color w:val="000000" w:themeColor="text1"/>
              </w:rPr>
              <w:t>n</w:t>
            </w:r>
            <w:r w:rsidRPr="00807723">
              <w:rPr>
                <w:rFonts w:ascii="Book Antiqua" w:hAnsi="Book Antiqua" w:cs="Arial"/>
                <w:color w:val="000000" w:themeColor="text1"/>
              </w:rPr>
              <w:t xml:space="preserve"> = 18, 60%)</w:t>
            </w:r>
          </w:p>
        </w:tc>
        <w:tc>
          <w:tcPr>
            <w:tcW w:w="846" w:type="pct"/>
            <w:noWrap/>
            <w:vAlign w:val="center"/>
          </w:tcPr>
          <w:p w14:paraId="1DAF1B41"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HCV (</w:t>
            </w:r>
            <w:r w:rsidRPr="00807723">
              <w:rPr>
                <w:rFonts w:ascii="Book Antiqua" w:hAnsi="Book Antiqua" w:cs="Arial"/>
                <w:i/>
                <w:iCs/>
                <w:color w:val="000000" w:themeColor="text1"/>
              </w:rPr>
              <w:t>n</w:t>
            </w:r>
            <w:r w:rsidRPr="00807723">
              <w:rPr>
                <w:rFonts w:ascii="Book Antiqua" w:hAnsi="Book Antiqua" w:cs="Arial"/>
                <w:color w:val="000000" w:themeColor="text1"/>
              </w:rPr>
              <w:t xml:space="preserve"> = 25, 83.33%)</w:t>
            </w:r>
          </w:p>
        </w:tc>
        <w:tc>
          <w:tcPr>
            <w:tcW w:w="522" w:type="pct"/>
            <w:vMerge w:val="restart"/>
            <w:noWrap/>
            <w:vAlign w:val="center"/>
          </w:tcPr>
          <w:p w14:paraId="61B5554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0.691</w:t>
            </w:r>
          </w:p>
        </w:tc>
        <w:tc>
          <w:tcPr>
            <w:tcW w:w="646" w:type="pct"/>
            <w:vMerge w:val="restart"/>
            <w:vAlign w:val="center"/>
          </w:tcPr>
          <w:p w14:paraId="0495FF6F"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16E45274" w14:textId="77777777">
        <w:trPr>
          <w:trHeight w:val="296"/>
        </w:trPr>
        <w:tc>
          <w:tcPr>
            <w:tcW w:w="1376" w:type="pct"/>
            <w:gridSpan w:val="2"/>
            <w:vMerge/>
            <w:noWrap/>
            <w:vAlign w:val="center"/>
          </w:tcPr>
          <w:p w14:paraId="651B1D6E" w14:textId="77777777" w:rsidR="00A40FE6" w:rsidRPr="00807723" w:rsidRDefault="00A40FE6">
            <w:pPr>
              <w:spacing w:line="360" w:lineRule="auto"/>
              <w:jc w:val="both"/>
              <w:rPr>
                <w:rFonts w:ascii="Book Antiqua" w:hAnsi="Book Antiqua"/>
                <w:color w:val="000000" w:themeColor="text1"/>
                <w:lang w:bidi="ar-EG"/>
              </w:rPr>
            </w:pPr>
          </w:p>
        </w:tc>
        <w:tc>
          <w:tcPr>
            <w:tcW w:w="806" w:type="pct"/>
            <w:vMerge/>
            <w:noWrap/>
            <w:vAlign w:val="center"/>
          </w:tcPr>
          <w:p w14:paraId="5C44F7E6" w14:textId="77777777" w:rsidR="00A40FE6" w:rsidRPr="00807723" w:rsidRDefault="00A40FE6">
            <w:pPr>
              <w:spacing w:line="360" w:lineRule="auto"/>
              <w:jc w:val="both"/>
              <w:rPr>
                <w:rFonts w:ascii="Book Antiqua" w:hAnsi="Book Antiqua" w:cs="Arial"/>
                <w:color w:val="000000" w:themeColor="text1"/>
              </w:rPr>
            </w:pPr>
          </w:p>
        </w:tc>
        <w:tc>
          <w:tcPr>
            <w:tcW w:w="804" w:type="pct"/>
            <w:noWrap/>
            <w:vAlign w:val="center"/>
          </w:tcPr>
          <w:p w14:paraId="5CE724D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HBV (</w:t>
            </w:r>
            <w:r w:rsidRPr="00807723">
              <w:rPr>
                <w:rFonts w:ascii="Book Antiqua" w:hAnsi="Book Antiqua" w:cs="Arial"/>
                <w:i/>
                <w:iCs/>
                <w:color w:val="000000" w:themeColor="text1"/>
              </w:rPr>
              <w:t>n</w:t>
            </w:r>
            <w:r w:rsidRPr="00807723">
              <w:rPr>
                <w:rFonts w:ascii="Book Antiqua" w:hAnsi="Book Antiqua" w:cs="Arial"/>
                <w:color w:val="000000" w:themeColor="text1"/>
              </w:rPr>
              <w:t xml:space="preserve"> = 7, 23.3%)</w:t>
            </w:r>
          </w:p>
        </w:tc>
        <w:tc>
          <w:tcPr>
            <w:tcW w:w="846" w:type="pct"/>
            <w:noWrap/>
            <w:vAlign w:val="center"/>
          </w:tcPr>
          <w:p w14:paraId="2A7C663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HBV (</w:t>
            </w:r>
            <w:r w:rsidRPr="00807723">
              <w:rPr>
                <w:rFonts w:ascii="Book Antiqua" w:hAnsi="Book Antiqua" w:cs="Arial"/>
                <w:i/>
                <w:iCs/>
                <w:color w:val="000000" w:themeColor="text1"/>
              </w:rPr>
              <w:t>n</w:t>
            </w:r>
            <w:r w:rsidRPr="00807723">
              <w:rPr>
                <w:rFonts w:ascii="Book Antiqua" w:hAnsi="Book Antiqua" w:cs="Arial"/>
                <w:color w:val="000000" w:themeColor="text1"/>
              </w:rPr>
              <w:t xml:space="preserve"> = 3, 10%)</w:t>
            </w:r>
          </w:p>
        </w:tc>
        <w:tc>
          <w:tcPr>
            <w:tcW w:w="522" w:type="pct"/>
            <w:vMerge/>
            <w:noWrap/>
            <w:vAlign w:val="center"/>
          </w:tcPr>
          <w:p w14:paraId="0169B189" w14:textId="77777777" w:rsidR="00A40FE6" w:rsidRPr="00807723" w:rsidRDefault="00A40FE6">
            <w:pPr>
              <w:spacing w:line="360" w:lineRule="auto"/>
              <w:jc w:val="both"/>
              <w:rPr>
                <w:rFonts w:ascii="Book Antiqua" w:hAnsi="Book Antiqua" w:cs="Arial"/>
                <w:color w:val="000000" w:themeColor="text1"/>
              </w:rPr>
            </w:pPr>
          </w:p>
        </w:tc>
        <w:tc>
          <w:tcPr>
            <w:tcW w:w="646" w:type="pct"/>
            <w:vMerge/>
            <w:vAlign w:val="center"/>
          </w:tcPr>
          <w:p w14:paraId="4ECC83AD"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4FCCB202" w14:textId="77777777">
        <w:trPr>
          <w:trHeight w:val="296"/>
        </w:trPr>
        <w:tc>
          <w:tcPr>
            <w:tcW w:w="1376" w:type="pct"/>
            <w:gridSpan w:val="2"/>
            <w:vMerge/>
            <w:noWrap/>
            <w:vAlign w:val="center"/>
          </w:tcPr>
          <w:p w14:paraId="503BD979" w14:textId="77777777" w:rsidR="00A40FE6" w:rsidRPr="00807723" w:rsidRDefault="00A40FE6">
            <w:pPr>
              <w:spacing w:line="360" w:lineRule="auto"/>
              <w:jc w:val="both"/>
              <w:rPr>
                <w:rFonts w:ascii="Book Antiqua" w:hAnsi="Book Antiqua"/>
                <w:color w:val="000000" w:themeColor="text1"/>
                <w:lang w:bidi="ar-EG"/>
              </w:rPr>
            </w:pPr>
          </w:p>
        </w:tc>
        <w:tc>
          <w:tcPr>
            <w:tcW w:w="806" w:type="pct"/>
            <w:vMerge/>
            <w:noWrap/>
            <w:vAlign w:val="center"/>
          </w:tcPr>
          <w:p w14:paraId="2312CCAD" w14:textId="77777777" w:rsidR="00A40FE6" w:rsidRPr="00807723" w:rsidRDefault="00A40FE6">
            <w:pPr>
              <w:spacing w:line="360" w:lineRule="auto"/>
              <w:jc w:val="both"/>
              <w:rPr>
                <w:rFonts w:ascii="Book Antiqua" w:hAnsi="Book Antiqua" w:cs="Arial"/>
                <w:color w:val="000000" w:themeColor="text1"/>
              </w:rPr>
            </w:pPr>
          </w:p>
        </w:tc>
        <w:tc>
          <w:tcPr>
            <w:tcW w:w="804" w:type="pct"/>
            <w:noWrap/>
            <w:vAlign w:val="center"/>
          </w:tcPr>
          <w:p w14:paraId="2342DAE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Others (</w:t>
            </w:r>
            <w:r w:rsidRPr="00807723">
              <w:rPr>
                <w:rFonts w:ascii="Book Antiqua" w:hAnsi="Book Antiqua" w:cs="Arial"/>
                <w:i/>
                <w:iCs/>
                <w:color w:val="000000" w:themeColor="text1"/>
              </w:rPr>
              <w:t>n</w:t>
            </w:r>
            <w:r w:rsidRPr="00807723">
              <w:rPr>
                <w:rFonts w:ascii="Book Antiqua" w:hAnsi="Book Antiqua" w:cs="Arial"/>
                <w:color w:val="000000" w:themeColor="text1"/>
              </w:rPr>
              <w:t xml:space="preserve"> = 5, 16.6%)</w:t>
            </w:r>
          </w:p>
        </w:tc>
        <w:tc>
          <w:tcPr>
            <w:tcW w:w="846" w:type="pct"/>
            <w:noWrap/>
            <w:vAlign w:val="center"/>
          </w:tcPr>
          <w:p w14:paraId="56D4590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Others (</w:t>
            </w:r>
            <w:r w:rsidRPr="00807723">
              <w:rPr>
                <w:rFonts w:ascii="Book Antiqua" w:hAnsi="Book Antiqua" w:cs="Arial"/>
                <w:i/>
                <w:iCs/>
                <w:color w:val="000000" w:themeColor="text1"/>
              </w:rPr>
              <w:t>n</w:t>
            </w:r>
            <w:r w:rsidRPr="00807723">
              <w:rPr>
                <w:rFonts w:ascii="Book Antiqua" w:hAnsi="Book Antiqua" w:cs="Arial"/>
                <w:color w:val="000000" w:themeColor="text1"/>
              </w:rPr>
              <w:t xml:space="preserve"> = 2, 6.66%)</w:t>
            </w:r>
          </w:p>
        </w:tc>
        <w:tc>
          <w:tcPr>
            <w:tcW w:w="522" w:type="pct"/>
            <w:vMerge/>
            <w:noWrap/>
            <w:vAlign w:val="center"/>
          </w:tcPr>
          <w:p w14:paraId="2B69746F" w14:textId="77777777" w:rsidR="00A40FE6" w:rsidRPr="00807723" w:rsidRDefault="00A40FE6">
            <w:pPr>
              <w:spacing w:line="360" w:lineRule="auto"/>
              <w:jc w:val="both"/>
              <w:rPr>
                <w:rFonts w:ascii="Book Antiqua" w:hAnsi="Book Antiqua" w:cs="Arial"/>
                <w:color w:val="000000" w:themeColor="text1"/>
              </w:rPr>
            </w:pPr>
          </w:p>
        </w:tc>
        <w:tc>
          <w:tcPr>
            <w:tcW w:w="646" w:type="pct"/>
            <w:vMerge/>
            <w:vAlign w:val="center"/>
          </w:tcPr>
          <w:p w14:paraId="07A493F4"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0147B22D" w14:textId="77777777">
        <w:trPr>
          <w:trHeight w:val="404"/>
        </w:trPr>
        <w:tc>
          <w:tcPr>
            <w:tcW w:w="791" w:type="pct"/>
            <w:vMerge w:val="restart"/>
            <w:noWrap/>
            <w:vAlign w:val="center"/>
          </w:tcPr>
          <w:p w14:paraId="7AD5E3AB" w14:textId="77777777" w:rsidR="00A40FE6" w:rsidRPr="00807723" w:rsidRDefault="00214602">
            <w:pPr>
              <w:spacing w:line="360" w:lineRule="auto"/>
              <w:jc w:val="both"/>
              <w:rPr>
                <w:rFonts w:ascii="Book Antiqua" w:hAnsi="Book Antiqua"/>
                <w:color w:val="000000" w:themeColor="text1"/>
                <w:lang w:bidi="ar-EG"/>
              </w:rPr>
            </w:pPr>
            <w:r w:rsidRPr="00807723">
              <w:rPr>
                <w:rFonts w:ascii="Book Antiqua" w:hAnsi="Book Antiqua"/>
                <w:color w:val="000000" w:themeColor="text1"/>
                <w:lang w:bidi="ar-EG"/>
              </w:rPr>
              <w:t>Child-Pugh Class</w:t>
            </w:r>
          </w:p>
        </w:tc>
        <w:tc>
          <w:tcPr>
            <w:tcW w:w="585" w:type="pct"/>
            <w:vAlign w:val="center"/>
          </w:tcPr>
          <w:p w14:paraId="7A8C1B5E" w14:textId="77777777" w:rsidR="00A40FE6" w:rsidRPr="00807723" w:rsidRDefault="00214602">
            <w:pPr>
              <w:spacing w:line="360" w:lineRule="auto"/>
              <w:jc w:val="both"/>
              <w:rPr>
                <w:rFonts w:ascii="Book Antiqua" w:hAnsi="Book Antiqua"/>
                <w:color w:val="000000" w:themeColor="text1"/>
                <w:lang w:bidi="ar-EG"/>
              </w:rPr>
            </w:pPr>
            <w:r w:rsidRPr="00807723">
              <w:rPr>
                <w:rFonts w:ascii="Book Antiqua" w:hAnsi="Book Antiqua"/>
                <w:color w:val="000000" w:themeColor="text1"/>
                <w:lang w:bidi="ar-EG"/>
              </w:rPr>
              <w:t>Class A</w:t>
            </w:r>
          </w:p>
        </w:tc>
        <w:tc>
          <w:tcPr>
            <w:tcW w:w="806" w:type="pct"/>
            <w:vMerge w:val="restart"/>
            <w:noWrap/>
            <w:vAlign w:val="center"/>
          </w:tcPr>
          <w:p w14:paraId="6C02D5EA" w14:textId="77777777" w:rsidR="00A40FE6" w:rsidRPr="00807723" w:rsidRDefault="00A40FE6">
            <w:pPr>
              <w:spacing w:line="360" w:lineRule="auto"/>
              <w:jc w:val="both"/>
              <w:rPr>
                <w:rFonts w:ascii="Book Antiqua" w:hAnsi="Book Antiqua" w:cs="Arial"/>
                <w:color w:val="000000" w:themeColor="text1"/>
              </w:rPr>
            </w:pPr>
          </w:p>
        </w:tc>
        <w:tc>
          <w:tcPr>
            <w:tcW w:w="804" w:type="pct"/>
            <w:noWrap/>
            <w:vAlign w:val="center"/>
          </w:tcPr>
          <w:p w14:paraId="43D55A1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18 (60%)</w:t>
            </w:r>
          </w:p>
        </w:tc>
        <w:tc>
          <w:tcPr>
            <w:tcW w:w="846" w:type="pct"/>
            <w:noWrap/>
            <w:vAlign w:val="center"/>
          </w:tcPr>
          <w:p w14:paraId="6AEDBD01"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 (16.7%)</w:t>
            </w:r>
          </w:p>
        </w:tc>
        <w:tc>
          <w:tcPr>
            <w:tcW w:w="522" w:type="pct"/>
            <w:vMerge w:val="restart"/>
            <w:noWrap/>
            <w:vAlign w:val="center"/>
          </w:tcPr>
          <w:p w14:paraId="3D78C65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0.002</w:t>
            </w:r>
          </w:p>
        </w:tc>
        <w:tc>
          <w:tcPr>
            <w:tcW w:w="646" w:type="pct"/>
            <w:vMerge w:val="restart"/>
            <w:vAlign w:val="center"/>
          </w:tcPr>
          <w:p w14:paraId="5D5E2F41"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14C1493F" w14:textId="77777777">
        <w:trPr>
          <w:trHeight w:val="403"/>
        </w:trPr>
        <w:tc>
          <w:tcPr>
            <w:tcW w:w="791" w:type="pct"/>
            <w:vMerge/>
            <w:noWrap/>
            <w:vAlign w:val="center"/>
          </w:tcPr>
          <w:p w14:paraId="368B087E" w14:textId="77777777" w:rsidR="00A40FE6" w:rsidRPr="00807723" w:rsidRDefault="00A40FE6">
            <w:pPr>
              <w:spacing w:line="360" w:lineRule="auto"/>
              <w:jc w:val="both"/>
              <w:rPr>
                <w:rFonts w:ascii="Book Antiqua" w:hAnsi="Book Antiqua"/>
                <w:color w:val="000000" w:themeColor="text1"/>
                <w:lang w:bidi="ar-EG"/>
              </w:rPr>
            </w:pPr>
          </w:p>
        </w:tc>
        <w:tc>
          <w:tcPr>
            <w:tcW w:w="585" w:type="pct"/>
            <w:vAlign w:val="center"/>
          </w:tcPr>
          <w:p w14:paraId="0ED1A0B2" w14:textId="77777777" w:rsidR="00A40FE6" w:rsidRPr="00807723" w:rsidRDefault="00214602">
            <w:pPr>
              <w:spacing w:line="360" w:lineRule="auto"/>
              <w:jc w:val="both"/>
              <w:rPr>
                <w:rFonts w:ascii="Book Antiqua" w:hAnsi="Book Antiqua"/>
                <w:color w:val="000000" w:themeColor="text1"/>
                <w:lang w:bidi="ar-EG"/>
              </w:rPr>
            </w:pPr>
            <w:r w:rsidRPr="00807723">
              <w:rPr>
                <w:rFonts w:ascii="Book Antiqua" w:hAnsi="Book Antiqua"/>
                <w:color w:val="000000" w:themeColor="text1"/>
                <w:lang w:bidi="ar-EG"/>
              </w:rPr>
              <w:t>Class B</w:t>
            </w:r>
          </w:p>
        </w:tc>
        <w:tc>
          <w:tcPr>
            <w:tcW w:w="806" w:type="pct"/>
            <w:vMerge/>
            <w:noWrap/>
            <w:vAlign w:val="center"/>
          </w:tcPr>
          <w:p w14:paraId="1B0E8038" w14:textId="77777777" w:rsidR="00A40FE6" w:rsidRPr="00807723" w:rsidRDefault="00A40FE6">
            <w:pPr>
              <w:spacing w:line="360" w:lineRule="auto"/>
              <w:jc w:val="both"/>
              <w:rPr>
                <w:rFonts w:ascii="Book Antiqua" w:hAnsi="Book Antiqua" w:cs="Arial"/>
                <w:color w:val="000000" w:themeColor="text1"/>
              </w:rPr>
            </w:pPr>
          </w:p>
        </w:tc>
        <w:tc>
          <w:tcPr>
            <w:tcW w:w="804" w:type="pct"/>
            <w:noWrap/>
            <w:vAlign w:val="center"/>
          </w:tcPr>
          <w:p w14:paraId="165996A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6 (20%)</w:t>
            </w:r>
          </w:p>
        </w:tc>
        <w:tc>
          <w:tcPr>
            <w:tcW w:w="846" w:type="pct"/>
            <w:noWrap/>
            <w:vAlign w:val="center"/>
          </w:tcPr>
          <w:p w14:paraId="05F4270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11 (36.7%)</w:t>
            </w:r>
          </w:p>
        </w:tc>
        <w:tc>
          <w:tcPr>
            <w:tcW w:w="522" w:type="pct"/>
            <w:vMerge/>
            <w:noWrap/>
            <w:vAlign w:val="center"/>
          </w:tcPr>
          <w:p w14:paraId="028A2C83" w14:textId="77777777" w:rsidR="00A40FE6" w:rsidRPr="00807723" w:rsidRDefault="00A40FE6">
            <w:pPr>
              <w:spacing w:line="360" w:lineRule="auto"/>
              <w:jc w:val="both"/>
              <w:rPr>
                <w:rFonts w:ascii="Book Antiqua" w:hAnsi="Book Antiqua" w:cs="Arial"/>
                <w:color w:val="000000" w:themeColor="text1"/>
              </w:rPr>
            </w:pPr>
          </w:p>
        </w:tc>
        <w:tc>
          <w:tcPr>
            <w:tcW w:w="646" w:type="pct"/>
            <w:vMerge/>
            <w:vAlign w:val="center"/>
          </w:tcPr>
          <w:p w14:paraId="09DA3F76"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42907181" w14:textId="77777777">
        <w:trPr>
          <w:trHeight w:val="403"/>
        </w:trPr>
        <w:tc>
          <w:tcPr>
            <w:tcW w:w="791" w:type="pct"/>
            <w:vMerge/>
            <w:noWrap/>
            <w:vAlign w:val="center"/>
          </w:tcPr>
          <w:p w14:paraId="5623A2E9" w14:textId="77777777" w:rsidR="00A40FE6" w:rsidRPr="00807723" w:rsidRDefault="00A40FE6">
            <w:pPr>
              <w:spacing w:line="360" w:lineRule="auto"/>
              <w:jc w:val="both"/>
              <w:rPr>
                <w:rFonts w:ascii="Book Antiqua" w:hAnsi="Book Antiqua"/>
                <w:color w:val="000000" w:themeColor="text1"/>
                <w:lang w:bidi="ar-EG"/>
              </w:rPr>
            </w:pPr>
          </w:p>
        </w:tc>
        <w:tc>
          <w:tcPr>
            <w:tcW w:w="585" w:type="pct"/>
            <w:vAlign w:val="center"/>
          </w:tcPr>
          <w:p w14:paraId="302D959B" w14:textId="77777777" w:rsidR="00A40FE6" w:rsidRPr="00807723" w:rsidRDefault="00214602">
            <w:pPr>
              <w:spacing w:line="360" w:lineRule="auto"/>
              <w:jc w:val="both"/>
              <w:rPr>
                <w:rFonts w:ascii="Book Antiqua" w:hAnsi="Book Antiqua"/>
                <w:color w:val="000000" w:themeColor="text1"/>
                <w:lang w:bidi="ar-EG"/>
              </w:rPr>
            </w:pPr>
            <w:r w:rsidRPr="00807723">
              <w:rPr>
                <w:rFonts w:ascii="Book Antiqua" w:hAnsi="Book Antiqua"/>
                <w:color w:val="000000" w:themeColor="text1"/>
                <w:lang w:bidi="ar-EG"/>
              </w:rPr>
              <w:t xml:space="preserve">Class C </w:t>
            </w:r>
          </w:p>
        </w:tc>
        <w:tc>
          <w:tcPr>
            <w:tcW w:w="806" w:type="pct"/>
            <w:vMerge/>
            <w:noWrap/>
            <w:vAlign w:val="center"/>
          </w:tcPr>
          <w:p w14:paraId="5FD12C14" w14:textId="77777777" w:rsidR="00A40FE6" w:rsidRPr="00807723" w:rsidRDefault="00A40FE6">
            <w:pPr>
              <w:spacing w:line="360" w:lineRule="auto"/>
              <w:jc w:val="both"/>
              <w:rPr>
                <w:rFonts w:ascii="Book Antiqua" w:hAnsi="Book Antiqua" w:cs="Arial"/>
                <w:color w:val="000000" w:themeColor="text1"/>
              </w:rPr>
            </w:pPr>
          </w:p>
        </w:tc>
        <w:tc>
          <w:tcPr>
            <w:tcW w:w="804" w:type="pct"/>
            <w:noWrap/>
            <w:vAlign w:val="center"/>
          </w:tcPr>
          <w:p w14:paraId="7694F41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6 (20%)</w:t>
            </w:r>
          </w:p>
        </w:tc>
        <w:tc>
          <w:tcPr>
            <w:tcW w:w="846" w:type="pct"/>
            <w:noWrap/>
            <w:vAlign w:val="center"/>
          </w:tcPr>
          <w:p w14:paraId="4B6648F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14 (46.7%)</w:t>
            </w:r>
          </w:p>
        </w:tc>
        <w:tc>
          <w:tcPr>
            <w:tcW w:w="522" w:type="pct"/>
            <w:vMerge/>
            <w:noWrap/>
            <w:vAlign w:val="center"/>
          </w:tcPr>
          <w:p w14:paraId="2E090CCF" w14:textId="77777777" w:rsidR="00A40FE6" w:rsidRPr="00807723" w:rsidRDefault="00A40FE6">
            <w:pPr>
              <w:spacing w:line="360" w:lineRule="auto"/>
              <w:jc w:val="both"/>
              <w:rPr>
                <w:rFonts w:ascii="Book Antiqua" w:hAnsi="Book Antiqua" w:cs="Arial"/>
                <w:color w:val="000000" w:themeColor="text1"/>
              </w:rPr>
            </w:pPr>
          </w:p>
        </w:tc>
        <w:tc>
          <w:tcPr>
            <w:tcW w:w="646" w:type="pct"/>
            <w:vMerge/>
            <w:vAlign w:val="center"/>
          </w:tcPr>
          <w:p w14:paraId="2C3D3113"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052C9316" w14:textId="77777777">
        <w:trPr>
          <w:trHeight w:val="331"/>
        </w:trPr>
        <w:tc>
          <w:tcPr>
            <w:tcW w:w="1376" w:type="pct"/>
            <w:gridSpan w:val="2"/>
            <w:vMerge w:val="restart"/>
            <w:noWrap/>
            <w:vAlign w:val="center"/>
          </w:tcPr>
          <w:p w14:paraId="3A5F464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olor w:val="000000" w:themeColor="text1"/>
                <w:lang w:bidi="ar-EG"/>
              </w:rPr>
              <w:t>Fibroblast growth factor 19</w:t>
            </w:r>
            <w:r w:rsidRPr="00807723">
              <w:rPr>
                <w:rFonts w:ascii="Book Antiqua" w:hAnsi="Book Antiqua" w:cs="Arial"/>
                <w:color w:val="000000" w:themeColor="text1"/>
              </w:rPr>
              <w:t xml:space="preserve"> (</w:t>
            </w:r>
            <w:proofErr w:type="spellStart"/>
            <w:r w:rsidRPr="00807723">
              <w:rPr>
                <w:rFonts w:ascii="Book Antiqua" w:hAnsi="Book Antiqua" w:cs="Arial"/>
                <w:color w:val="000000" w:themeColor="text1"/>
              </w:rPr>
              <w:t>pg</w:t>
            </w:r>
            <w:proofErr w:type="spellEnd"/>
            <w:r w:rsidRPr="00807723">
              <w:rPr>
                <w:rFonts w:ascii="Book Antiqua" w:hAnsi="Book Antiqua" w:cs="Arial"/>
                <w:color w:val="000000" w:themeColor="text1"/>
              </w:rPr>
              <w:t>/mL)</w:t>
            </w:r>
          </w:p>
        </w:tc>
        <w:tc>
          <w:tcPr>
            <w:tcW w:w="806" w:type="pct"/>
            <w:vMerge w:val="restart"/>
            <w:noWrap/>
            <w:vAlign w:val="center"/>
          </w:tcPr>
          <w:p w14:paraId="741787D3"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69.60 ± 20.90</w:t>
            </w:r>
          </w:p>
        </w:tc>
        <w:tc>
          <w:tcPr>
            <w:tcW w:w="804" w:type="pct"/>
            <w:vMerge w:val="restart"/>
            <w:noWrap/>
            <w:vAlign w:val="center"/>
          </w:tcPr>
          <w:p w14:paraId="45C2A3C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125.63 ± 31.54</w:t>
            </w:r>
          </w:p>
        </w:tc>
        <w:tc>
          <w:tcPr>
            <w:tcW w:w="846" w:type="pct"/>
            <w:vMerge w:val="restart"/>
            <w:noWrap/>
            <w:vAlign w:val="center"/>
          </w:tcPr>
          <w:p w14:paraId="571232D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236.44 ± 40.94</w:t>
            </w:r>
          </w:p>
        </w:tc>
        <w:tc>
          <w:tcPr>
            <w:tcW w:w="522" w:type="pct"/>
            <w:vMerge w:val="restart"/>
            <w:noWrap/>
            <w:vAlign w:val="center"/>
          </w:tcPr>
          <w:p w14:paraId="7035D76B" w14:textId="77777777" w:rsidR="00A40FE6" w:rsidRPr="00807723" w:rsidRDefault="00214602">
            <w:pPr>
              <w:spacing w:line="360" w:lineRule="auto"/>
              <w:jc w:val="both"/>
              <w:rPr>
                <w:rFonts w:ascii="Book Antiqua" w:hAnsi="Book Antiqua" w:cs="Arial"/>
                <w:color w:val="000000" w:themeColor="text1"/>
              </w:rPr>
            </w:pPr>
            <w:bookmarkStart w:id="6" w:name="_Hlk90075871"/>
            <w:r w:rsidRPr="00807723">
              <w:rPr>
                <w:rFonts w:ascii="Book Antiqua" w:hAnsi="Book Antiqua" w:cs="Arial"/>
                <w:color w:val="000000" w:themeColor="text1"/>
              </w:rPr>
              <w:t>≤ 0.001</w:t>
            </w:r>
            <w:bookmarkEnd w:id="6"/>
          </w:p>
        </w:tc>
        <w:tc>
          <w:tcPr>
            <w:tcW w:w="646" w:type="pct"/>
            <w:vAlign w:val="center"/>
          </w:tcPr>
          <w:p w14:paraId="5C96183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76D4F5A4" w14:textId="77777777">
        <w:trPr>
          <w:trHeight w:val="330"/>
        </w:trPr>
        <w:tc>
          <w:tcPr>
            <w:tcW w:w="1376" w:type="pct"/>
            <w:gridSpan w:val="2"/>
            <w:vMerge/>
            <w:noWrap/>
            <w:vAlign w:val="center"/>
          </w:tcPr>
          <w:p w14:paraId="1A136BF1" w14:textId="77777777" w:rsidR="00A40FE6" w:rsidRPr="00807723" w:rsidRDefault="00A40FE6">
            <w:pPr>
              <w:spacing w:line="360" w:lineRule="auto"/>
              <w:jc w:val="both"/>
              <w:rPr>
                <w:rFonts w:ascii="Book Antiqua" w:hAnsi="Book Antiqua"/>
                <w:color w:val="000000" w:themeColor="text1"/>
                <w:lang w:bidi="ar-EG"/>
              </w:rPr>
            </w:pPr>
          </w:p>
        </w:tc>
        <w:tc>
          <w:tcPr>
            <w:tcW w:w="806" w:type="pct"/>
            <w:vMerge/>
            <w:noWrap/>
            <w:vAlign w:val="center"/>
          </w:tcPr>
          <w:p w14:paraId="7620B1D2"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5F52CB1C"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0646DAE6"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67486858"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FD7DA0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10146047" w14:textId="77777777">
        <w:trPr>
          <w:trHeight w:val="330"/>
        </w:trPr>
        <w:tc>
          <w:tcPr>
            <w:tcW w:w="1376" w:type="pct"/>
            <w:gridSpan w:val="2"/>
            <w:vMerge/>
            <w:noWrap/>
            <w:vAlign w:val="center"/>
          </w:tcPr>
          <w:p w14:paraId="62E09B5F" w14:textId="77777777" w:rsidR="00A40FE6" w:rsidRPr="00807723" w:rsidRDefault="00A40FE6">
            <w:pPr>
              <w:spacing w:line="360" w:lineRule="auto"/>
              <w:jc w:val="both"/>
              <w:rPr>
                <w:rFonts w:ascii="Book Antiqua" w:hAnsi="Book Antiqua"/>
                <w:color w:val="000000" w:themeColor="text1"/>
                <w:lang w:bidi="ar-EG"/>
              </w:rPr>
            </w:pPr>
          </w:p>
        </w:tc>
        <w:tc>
          <w:tcPr>
            <w:tcW w:w="806" w:type="pct"/>
            <w:vMerge/>
            <w:noWrap/>
            <w:vAlign w:val="center"/>
          </w:tcPr>
          <w:p w14:paraId="5DB58305"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17704C28"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4A265F3D"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3D2096A7"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2640694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P3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19B72712" w14:textId="77777777">
        <w:trPr>
          <w:trHeight w:val="331"/>
        </w:trPr>
        <w:tc>
          <w:tcPr>
            <w:tcW w:w="1376" w:type="pct"/>
            <w:gridSpan w:val="2"/>
            <w:vMerge w:val="restart"/>
            <w:noWrap/>
            <w:vAlign w:val="center"/>
          </w:tcPr>
          <w:p w14:paraId="78BE4B3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olor w:val="000000" w:themeColor="text1"/>
              </w:rPr>
              <w:t>Alpha fetoprotein</w:t>
            </w:r>
            <w:r w:rsidRPr="00807723">
              <w:rPr>
                <w:rFonts w:ascii="Book Antiqua" w:hAnsi="Book Antiqua" w:cs="Arial"/>
                <w:color w:val="000000" w:themeColor="text1"/>
              </w:rPr>
              <w:t xml:space="preserve"> (ng/mL)</w:t>
            </w:r>
          </w:p>
        </w:tc>
        <w:tc>
          <w:tcPr>
            <w:tcW w:w="806" w:type="pct"/>
            <w:vMerge w:val="restart"/>
            <w:noWrap/>
            <w:vAlign w:val="center"/>
          </w:tcPr>
          <w:p w14:paraId="3757C15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3.35 (2.5 – 4.5)</w:t>
            </w:r>
          </w:p>
        </w:tc>
        <w:tc>
          <w:tcPr>
            <w:tcW w:w="804" w:type="pct"/>
            <w:vMerge w:val="restart"/>
            <w:noWrap/>
            <w:vAlign w:val="center"/>
          </w:tcPr>
          <w:p w14:paraId="3CA0E9F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6.4 (4 – 6.9)</w:t>
            </w:r>
          </w:p>
        </w:tc>
        <w:tc>
          <w:tcPr>
            <w:tcW w:w="846" w:type="pct"/>
            <w:vMerge w:val="restart"/>
            <w:noWrap/>
            <w:vAlign w:val="center"/>
          </w:tcPr>
          <w:p w14:paraId="043C8DE3"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513.5 (5.6 – 1500)</w:t>
            </w:r>
          </w:p>
        </w:tc>
        <w:tc>
          <w:tcPr>
            <w:tcW w:w="522" w:type="pct"/>
            <w:vMerge w:val="restart"/>
            <w:noWrap/>
            <w:vAlign w:val="center"/>
          </w:tcPr>
          <w:p w14:paraId="221BF92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2633510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0D5EEEA6" w14:textId="77777777">
        <w:trPr>
          <w:trHeight w:val="330"/>
        </w:trPr>
        <w:tc>
          <w:tcPr>
            <w:tcW w:w="1376" w:type="pct"/>
            <w:gridSpan w:val="2"/>
            <w:vMerge/>
            <w:noWrap/>
            <w:vAlign w:val="center"/>
          </w:tcPr>
          <w:p w14:paraId="2262AE9D" w14:textId="77777777" w:rsidR="00A40FE6" w:rsidRPr="00807723" w:rsidRDefault="00A40FE6">
            <w:pPr>
              <w:spacing w:line="360" w:lineRule="auto"/>
              <w:jc w:val="both"/>
              <w:rPr>
                <w:rFonts w:ascii="Book Antiqua" w:hAnsi="Book Antiqua"/>
                <w:color w:val="000000" w:themeColor="text1"/>
              </w:rPr>
            </w:pPr>
          </w:p>
        </w:tc>
        <w:tc>
          <w:tcPr>
            <w:tcW w:w="806" w:type="pct"/>
            <w:vMerge/>
            <w:noWrap/>
            <w:vAlign w:val="center"/>
          </w:tcPr>
          <w:p w14:paraId="3ED1850B"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06E9BFD5"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5070F0C5"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17D19DB8"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F9C61C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5D0F8921" w14:textId="77777777">
        <w:trPr>
          <w:trHeight w:val="330"/>
        </w:trPr>
        <w:tc>
          <w:tcPr>
            <w:tcW w:w="1376" w:type="pct"/>
            <w:gridSpan w:val="2"/>
            <w:vMerge/>
            <w:noWrap/>
            <w:vAlign w:val="center"/>
          </w:tcPr>
          <w:p w14:paraId="0DF61F5D" w14:textId="77777777" w:rsidR="00A40FE6" w:rsidRPr="00807723" w:rsidRDefault="00A40FE6">
            <w:pPr>
              <w:spacing w:line="360" w:lineRule="auto"/>
              <w:jc w:val="both"/>
              <w:rPr>
                <w:rFonts w:ascii="Book Antiqua" w:hAnsi="Book Antiqua"/>
                <w:color w:val="000000" w:themeColor="text1"/>
              </w:rPr>
            </w:pPr>
          </w:p>
        </w:tc>
        <w:tc>
          <w:tcPr>
            <w:tcW w:w="806" w:type="pct"/>
            <w:vMerge/>
            <w:noWrap/>
            <w:vAlign w:val="center"/>
          </w:tcPr>
          <w:p w14:paraId="361DEA15"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34AA036B"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7951E6E6"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56140D40"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A4D284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P3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765F19BD" w14:textId="77777777">
        <w:trPr>
          <w:trHeight w:val="331"/>
        </w:trPr>
        <w:tc>
          <w:tcPr>
            <w:tcW w:w="1376" w:type="pct"/>
            <w:gridSpan w:val="2"/>
            <w:vMerge w:val="restart"/>
            <w:noWrap/>
            <w:vAlign w:val="center"/>
          </w:tcPr>
          <w:p w14:paraId="380CA68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Haemoglobin (g/dL)</w:t>
            </w:r>
          </w:p>
        </w:tc>
        <w:tc>
          <w:tcPr>
            <w:tcW w:w="806" w:type="pct"/>
            <w:vMerge w:val="restart"/>
            <w:noWrap/>
            <w:vAlign w:val="center"/>
          </w:tcPr>
          <w:p w14:paraId="585E812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13.16 ± 1.24</w:t>
            </w:r>
          </w:p>
        </w:tc>
        <w:tc>
          <w:tcPr>
            <w:tcW w:w="804" w:type="pct"/>
            <w:vMerge w:val="restart"/>
            <w:noWrap/>
            <w:vAlign w:val="center"/>
          </w:tcPr>
          <w:p w14:paraId="3C8EBB9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10.68 ± 1.11</w:t>
            </w:r>
          </w:p>
        </w:tc>
        <w:tc>
          <w:tcPr>
            <w:tcW w:w="846" w:type="pct"/>
            <w:vMerge w:val="restart"/>
            <w:noWrap/>
            <w:vAlign w:val="center"/>
          </w:tcPr>
          <w:p w14:paraId="4AC08A8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10.49 ± 1.59</w:t>
            </w:r>
          </w:p>
        </w:tc>
        <w:tc>
          <w:tcPr>
            <w:tcW w:w="522" w:type="pct"/>
            <w:vMerge w:val="restart"/>
            <w:noWrap/>
            <w:vAlign w:val="center"/>
          </w:tcPr>
          <w:p w14:paraId="578FD0C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43498423"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152F6F56" w14:textId="77777777">
        <w:trPr>
          <w:trHeight w:val="330"/>
        </w:trPr>
        <w:tc>
          <w:tcPr>
            <w:tcW w:w="1376" w:type="pct"/>
            <w:gridSpan w:val="2"/>
            <w:vMerge/>
            <w:noWrap/>
            <w:vAlign w:val="center"/>
          </w:tcPr>
          <w:p w14:paraId="396B5E7F"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67150B45"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2D5E4DCE"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15DB955B"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23FD7C68"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4E9A6C0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254CF579" w14:textId="77777777">
        <w:trPr>
          <w:trHeight w:val="330"/>
        </w:trPr>
        <w:tc>
          <w:tcPr>
            <w:tcW w:w="1376" w:type="pct"/>
            <w:gridSpan w:val="2"/>
            <w:vMerge/>
            <w:noWrap/>
            <w:vAlign w:val="center"/>
          </w:tcPr>
          <w:p w14:paraId="57CEF674"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39D1B388"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3CE137C1"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2724CEAB"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4A192AA5"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4285E27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P3 = 0.588</w:t>
            </w:r>
          </w:p>
        </w:tc>
      </w:tr>
      <w:tr w:rsidR="00A40FE6" w:rsidRPr="00807723" w14:paraId="5072AB0A" w14:textId="77777777">
        <w:trPr>
          <w:trHeight w:val="1193"/>
        </w:trPr>
        <w:tc>
          <w:tcPr>
            <w:tcW w:w="1376" w:type="pct"/>
            <w:gridSpan w:val="2"/>
            <w:noWrap/>
            <w:vAlign w:val="center"/>
          </w:tcPr>
          <w:p w14:paraId="1471F66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White blood cells (</w:t>
            </w:r>
            <w:r w:rsidRPr="00807723">
              <w:rPr>
                <w:rFonts w:ascii="Book Antiqua" w:hAnsi="Book Antiqua"/>
                <w:color w:val="000000" w:themeColor="text1"/>
              </w:rPr>
              <w:t>10</w:t>
            </w:r>
            <w:r w:rsidRPr="00807723">
              <w:rPr>
                <w:rFonts w:ascii="Book Antiqua" w:hAnsi="Book Antiqua"/>
                <w:color w:val="000000" w:themeColor="text1"/>
                <w:vertAlign w:val="superscript"/>
              </w:rPr>
              <w:t>9</w:t>
            </w:r>
            <w:r w:rsidRPr="00807723">
              <w:rPr>
                <w:rFonts w:ascii="Book Antiqua" w:hAnsi="Book Antiqua"/>
                <w:color w:val="000000" w:themeColor="text1"/>
              </w:rPr>
              <w:t>/L)</w:t>
            </w:r>
          </w:p>
        </w:tc>
        <w:tc>
          <w:tcPr>
            <w:tcW w:w="806" w:type="pct"/>
            <w:noWrap/>
            <w:vAlign w:val="center"/>
          </w:tcPr>
          <w:p w14:paraId="73079AC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7.09 ± 2.01</w:t>
            </w:r>
          </w:p>
        </w:tc>
        <w:tc>
          <w:tcPr>
            <w:tcW w:w="804" w:type="pct"/>
            <w:noWrap/>
            <w:vAlign w:val="center"/>
          </w:tcPr>
          <w:p w14:paraId="05C97C58"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6.37 ± 2.27</w:t>
            </w:r>
          </w:p>
        </w:tc>
        <w:tc>
          <w:tcPr>
            <w:tcW w:w="846" w:type="pct"/>
            <w:noWrap/>
            <w:vAlign w:val="center"/>
          </w:tcPr>
          <w:p w14:paraId="1DB3EA5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5.86 ± 2.43</w:t>
            </w:r>
          </w:p>
        </w:tc>
        <w:tc>
          <w:tcPr>
            <w:tcW w:w="522" w:type="pct"/>
            <w:noWrap/>
            <w:vAlign w:val="center"/>
          </w:tcPr>
          <w:p w14:paraId="1A3242E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0.109</w:t>
            </w:r>
          </w:p>
        </w:tc>
        <w:tc>
          <w:tcPr>
            <w:tcW w:w="646" w:type="pct"/>
            <w:vAlign w:val="center"/>
          </w:tcPr>
          <w:p w14:paraId="153C96D2"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1B126262" w14:textId="77777777">
        <w:trPr>
          <w:trHeight w:val="331"/>
        </w:trPr>
        <w:tc>
          <w:tcPr>
            <w:tcW w:w="1376" w:type="pct"/>
            <w:gridSpan w:val="2"/>
            <w:vMerge w:val="restart"/>
            <w:noWrap/>
            <w:vAlign w:val="center"/>
          </w:tcPr>
          <w:p w14:paraId="5A1873AD"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Platelets (</w:t>
            </w:r>
            <w:r w:rsidRPr="00807723">
              <w:rPr>
                <w:rFonts w:ascii="Book Antiqua" w:hAnsi="Book Antiqua"/>
                <w:color w:val="000000" w:themeColor="text1"/>
              </w:rPr>
              <w:t>10</w:t>
            </w:r>
            <w:r w:rsidRPr="00807723">
              <w:rPr>
                <w:rFonts w:ascii="Book Antiqua" w:hAnsi="Book Antiqua"/>
                <w:color w:val="000000" w:themeColor="text1"/>
                <w:vertAlign w:val="superscript"/>
              </w:rPr>
              <w:t>9</w:t>
            </w:r>
            <w:r w:rsidRPr="00807723">
              <w:rPr>
                <w:rFonts w:ascii="Book Antiqua" w:hAnsi="Book Antiqua"/>
                <w:color w:val="000000" w:themeColor="text1"/>
              </w:rPr>
              <w:t>/L)</w:t>
            </w:r>
          </w:p>
        </w:tc>
        <w:tc>
          <w:tcPr>
            <w:tcW w:w="806" w:type="pct"/>
            <w:vMerge w:val="restart"/>
            <w:noWrap/>
            <w:vAlign w:val="center"/>
          </w:tcPr>
          <w:p w14:paraId="771A93E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288.10 ± 92.79</w:t>
            </w:r>
          </w:p>
        </w:tc>
        <w:tc>
          <w:tcPr>
            <w:tcW w:w="804" w:type="pct"/>
            <w:vMerge w:val="restart"/>
            <w:noWrap/>
            <w:vAlign w:val="center"/>
          </w:tcPr>
          <w:p w14:paraId="51A8FFE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144.17 ± 48.27</w:t>
            </w:r>
          </w:p>
        </w:tc>
        <w:tc>
          <w:tcPr>
            <w:tcW w:w="846" w:type="pct"/>
            <w:vMerge w:val="restart"/>
            <w:noWrap/>
            <w:vAlign w:val="center"/>
          </w:tcPr>
          <w:p w14:paraId="5B6D110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136.13 ± 43.78</w:t>
            </w:r>
          </w:p>
        </w:tc>
        <w:tc>
          <w:tcPr>
            <w:tcW w:w="522" w:type="pct"/>
            <w:vMerge w:val="restart"/>
            <w:noWrap/>
            <w:vAlign w:val="center"/>
          </w:tcPr>
          <w:p w14:paraId="023460B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2E7008E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02E50459" w14:textId="77777777">
        <w:trPr>
          <w:trHeight w:val="330"/>
        </w:trPr>
        <w:tc>
          <w:tcPr>
            <w:tcW w:w="1376" w:type="pct"/>
            <w:gridSpan w:val="2"/>
            <w:vMerge/>
            <w:noWrap/>
            <w:vAlign w:val="center"/>
          </w:tcPr>
          <w:p w14:paraId="2B5519A0"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7AC4E8A9"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6F1E9DEB"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049D2A66"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1C703F6F"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193E378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35157912" w14:textId="77777777">
        <w:trPr>
          <w:trHeight w:val="330"/>
        </w:trPr>
        <w:tc>
          <w:tcPr>
            <w:tcW w:w="1376" w:type="pct"/>
            <w:gridSpan w:val="2"/>
            <w:vMerge/>
            <w:noWrap/>
            <w:vAlign w:val="center"/>
          </w:tcPr>
          <w:p w14:paraId="26E476B1"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25AA2C29"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0C6CF2CB"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4AAB1DAD"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219E5E13"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38BCBC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P3 = 0.636</w:t>
            </w:r>
          </w:p>
        </w:tc>
      </w:tr>
      <w:tr w:rsidR="00A40FE6" w:rsidRPr="00807723" w14:paraId="5D2518E4" w14:textId="77777777">
        <w:trPr>
          <w:trHeight w:val="331"/>
        </w:trPr>
        <w:tc>
          <w:tcPr>
            <w:tcW w:w="1376" w:type="pct"/>
            <w:gridSpan w:val="2"/>
            <w:vMerge w:val="restart"/>
            <w:noWrap/>
            <w:vAlign w:val="center"/>
          </w:tcPr>
          <w:p w14:paraId="13D270F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Alanine aminotransferase</w:t>
            </w:r>
            <w:r w:rsidRPr="00807723">
              <w:rPr>
                <w:rFonts w:ascii="Book Antiqua" w:hAnsi="Book Antiqua"/>
                <w:color w:val="000000" w:themeColor="text1"/>
              </w:rPr>
              <w:t xml:space="preserve"> (U/L)</w:t>
            </w:r>
          </w:p>
        </w:tc>
        <w:tc>
          <w:tcPr>
            <w:tcW w:w="806" w:type="pct"/>
            <w:vMerge w:val="restart"/>
            <w:noWrap/>
            <w:vAlign w:val="center"/>
          </w:tcPr>
          <w:p w14:paraId="0B44B43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20.67 ± 7.02</w:t>
            </w:r>
          </w:p>
        </w:tc>
        <w:tc>
          <w:tcPr>
            <w:tcW w:w="804" w:type="pct"/>
            <w:vMerge w:val="restart"/>
            <w:noWrap/>
            <w:vAlign w:val="center"/>
          </w:tcPr>
          <w:p w14:paraId="65C328F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65.47 ± 33.00</w:t>
            </w:r>
          </w:p>
        </w:tc>
        <w:tc>
          <w:tcPr>
            <w:tcW w:w="846" w:type="pct"/>
            <w:vMerge w:val="restart"/>
            <w:noWrap/>
            <w:vAlign w:val="center"/>
          </w:tcPr>
          <w:p w14:paraId="0B07EE18"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52.97 ± 23.25</w:t>
            </w:r>
          </w:p>
        </w:tc>
        <w:tc>
          <w:tcPr>
            <w:tcW w:w="522" w:type="pct"/>
            <w:vMerge w:val="restart"/>
            <w:noWrap/>
            <w:vAlign w:val="center"/>
          </w:tcPr>
          <w:p w14:paraId="4A45B81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6FB3BB4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17A711D4" w14:textId="77777777">
        <w:trPr>
          <w:trHeight w:val="330"/>
        </w:trPr>
        <w:tc>
          <w:tcPr>
            <w:tcW w:w="1376" w:type="pct"/>
            <w:gridSpan w:val="2"/>
            <w:vMerge/>
            <w:noWrap/>
            <w:vAlign w:val="center"/>
          </w:tcPr>
          <w:p w14:paraId="7338CB5A"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64DE2471"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392900DB"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7512AA6C"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6820DB68"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4F8E0D7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70907920" w14:textId="77777777">
        <w:trPr>
          <w:trHeight w:val="330"/>
        </w:trPr>
        <w:tc>
          <w:tcPr>
            <w:tcW w:w="1376" w:type="pct"/>
            <w:gridSpan w:val="2"/>
            <w:vMerge/>
            <w:noWrap/>
            <w:vAlign w:val="center"/>
          </w:tcPr>
          <w:p w14:paraId="7F63C110"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30F274DB"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6079BAB7"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38FCF16C"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5AC68823"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0D6180A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P3 = 0.044</w:t>
            </w:r>
          </w:p>
        </w:tc>
      </w:tr>
      <w:tr w:rsidR="00A40FE6" w:rsidRPr="00807723" w14:paraId="0C8C645D" w14:textId="77777777">
        <w:trPr>
          <w:trHeight w:val="331"/>
        </w:trPr>
        <w:tc>
          <w:tcPr>
            <w:tcW w:w="1376" w:type="pct"/>
            <w:gridSpan w:val="2"/>
            <w:vMerge w:val="restart"/>
            <w:noWrap/>
            <w:vAlign w:val="center"/>
          </w:tcPr>
          <w:p w14:paraId="7183BC41"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Aspartate aminotransferase</w:t>
            </w:r>
            <w:r w:rsidRPr="00807723">
              <w:rPr>
                <w:rFonts w:ascii="Book Antiqua" w:hAnsi="Book Antiqua"/>
                <w:color w:val="000000" w:themeColor="text1"/>
              </w:rPr>
              <w:t xml:space="preserve"> (U/L)</w:t>
            </w:r>
          </w:p>
        </w:tc>
        <w:tc>
          <w:tcPr>
            <w:tcW w:w="806" w:type="pct"/>
            <w:vMerge w:val="restart"/>
            <w:noWrap/>
            <w:vAlign w:val="center"/>
          </w:tcPr>
          <w:p w14:paraId="65D9FEB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23.23 ± 12.69</w:t>
            </w:r>
          </w:p>
        </w:tc>
        <w:tc>
          <w:tcPr>
            <w:tcW w:w="804" w:type="pct"/>
            <w:vMerge w:val="restart"/>
            <w:noWrap/>
            <w:vAlign w:val="center"/>
          </w:tcPr>
          <w:p w14:paraId="770DFBC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49.87 ± 24.78</w:t>
            </w:r>
          </w:p>
        </w:tc>
        <w:tc>
          <w:tcPr>
            <w:tcW w:w="846" w:type="pct"/>
            <w:vMerge w:val="restart"/>
            <w:noWrap/>
            <w:vAlign w:val="center"/>
          </w:tcPr>
          <w:p w14:paraId="6E823706"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45.93 ± 20.02</w:t>
            </w:r>
          </w:p>
        </w:tc>
        <w:tc>
          <w:tcPr>
            <w:tcW w:w="522" w:type="pct"/>
            <w:vMerge w:val="restart"/>
            <w:noWrap/>
            <w:vAlign w:val="center"/>
          </w:tcPr>
          <w:p w14:paraId="1485C0B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6A3EF6B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368D8B40" w14:textId="77777777">
        <w:trPr>
          <w:trHeight w:val="330"/>
        </w:trPr>
        <w:tc>
          <w:tcPr>
            <w:tcW w:w="1376" w:type="pct"/>
            <w:gridSpan w:val="2"/>
            <w:vMerge/>
            <w:noWrap/>
            <w:vAlign w:val="center"/>
          </w:tcPr>
          <w:p w14:paraId="00F30401"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05ED4108"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79E478E4"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4CFEB5E0"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6294344E"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6AA77DA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42687A75" w14:textId="77777777">
        <w:trPr>
          <w:trHeight w:val="330"/>
        </w:trPr>
        <w:tc>
          <w:tcPr>
            <w:tcW w:w="1376" w:type="pct"/>
            <w:gridSpan w:val="2"/>
            <w:vMerge/>
            <w:noWrap/>
            <w:vAlign w:val="center"/>
          </w:tcPr>
          <w:p w14:paraId="6F23E692"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4F516473"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008781E6"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698EFA2B"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2D202482"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452548D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P3 = 0.444</w:t>
            </w:r>
          </w:p>
        </w:tc>
      </w:tr>
      <w:tr w:rsidR="00A40FE6" w:rsidRPr="00807723" w14:paraId="251A12EC" w14:textId="77777777">
        <w:trPr>
          <w:trHeight w:val="1193"/>
        </w:trPr>
        <w:tc>
          <w:tcPr>
            <w:tcW w:w="1376" w:type="pct"/>
            <w:gridSpan w:val="2"/>
            <w:noWrap/>
            <w:vAlign w:val="center"/>
          </w:tcPr>
          <w:p w14:paraId="3D2EBB3D"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lastRenderedPageBreak/>
              <w:t>Creatinine</w:t>
            </w:r>
            <w:r w:rsidRPr="00807723">
              <w:rPr>
                <w:rFonts w:ascii="Book Antiqua" w:hAnsi="Book Antiqua"/>
                <w:color w:val="000000" w:themeColor="text1"/>
              </w:rPr>
              <w:t xml:space="preserve"> (mg/dL)</w:t>
            </w:r>
          </w:p>
        </w:tc>
        <w:tc>
          <w:tcPr>
            <w:tcW w:w="806" w:type="pct"/>
            <w:noWrap/>
            <w:vAlign w:val="center"/>
          </w:tcPr>
          <w:p w14:paraId="44D1D9B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0.90 ± 0.22</w:t>
            </w:r>
          </w:p>
        </w:tc>
        <w:tc>
          <w:tcPr>
            <w:tcW w:w="804" w:type="pct"/>
            <w:noWrap/>
            <w:vAlign w:val="center"/>
          </w:tcPr>
          <w:p w14:paraId="419B2BE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0.99 ± 0.36</w:t>
            </w:r>
          </w:p>
        </w:tc>
        <w:tc>
          <w:tcPr>
            <w:tcW w:w="846" w:type="pct"/>
            <w:noWrap/>
            <w:vAlign w:val="center"/>
          </w:tcPr>
          <w:p w14:paraId="78F053F8"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1.11 ± 0.51</w:t>
            </w:r>
          </w:p>
        </w:tc>
        <w:tc>
          <w:tcPr>
            <w:tcW w:w="522" w:type="pct"/>
            <w:noWrap/>
            <w:vAlign w:val="center"/>
          </w:tcPr>
          <w:p w14:paraId="36D2587D"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0.112</w:t>
            </w:r>
          </w:p>
        </w:tc>
        <w:tc>
          <w:tcPr>
            <w:tcW w:w="646" w:type="pct"/>
            <w:vAlign w:val="center"/>
          </w:tcPr>
          <w:p w14:paraId="3E9995F1"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446F0A6D" w14:textId="77777777">
        <w:trPr>
          <w:trHeight w:val="1193"/>
        </w:trPr>
        <w:tc>
          <w:tcPr>
            <w:tcW w:w="1376" w:type="pct"/>
            <w:gridSpan w:val="2"/>
            <w:noWrap/>
            <w:vAlign w:val="center"/>
          </w:tcPr>
          <w:p w14:paraId="7454AF7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Urea</w:t>
            </w:r>
            <w:r w:rsidRPr="00807723">
              <w:rPr>
                <w:rFonts w:ascii="Book Antiqua" w:hAnsi="Book Antiqua"/>
                <w:color w:val="000000" w:themeColor="text1"/>
              </w:rPr>
              <w:t xml:space="preserve"> (mg/dL)</w:t>
            </w:r>
          </w:p>
        </w:tc>
        <w:tc>
          <w:tcPr>
            <w:tcW w:w="806" w:type="pct"/>
            <w:noWrap/>
            <w:vAlign w:val="center"/>
          </w:tcPr>
          <w:p w14:paraId="6FDB555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21.70 ± 7.37</w:t>
            </w:r>
          </w:p>
        </w:tc>
        <w:tc>
          <w:tcPr>
            <w:tcW w:w="804" w:type="pct"/>
            <w:noWrap/>
            <w:vAlign w:val="center"/>
          </w:tcPr>
          <w:p w14:paraId="4C66F6C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30.10 ± 18.82</w:t>
            </w:r>
          </w:p>
        </w:tc>
        <w:tc>
          <w:tcPr>
            <w:tcW w:w="846" w:type="pct"/>
            <w:noWrap/>
            <w:vAlign w:val="center"/>
          </w:tcPr>
          <w:p w14:paraId="25150A7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32.97 ± 25.17</w:t>
            </w:r>
          </w:p>
        </w:tc>
        <w:tc>
          <w:tcPr>
            <w:tcW w:w="522" w:type="pct"/>
            <w:noWrap/>
            <w:vAlign w:val="center"/>
          </w:tcPr>
          <w:p w14:paraId="333FC54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0.057</w:t>
            </w:r>
          </w:p>
        </w:tc>
        <w:tc>
          <w:tcPr>
            <w:tcW w:w="646" w:type="pct"/>
            <w:vAlign w:val="center"/>
          </w:tcPr>
          <w:p w14:paraId="308048A1" w14:textId="77777777" w:rsidR="00A40FE6" w:rsidRPr="00807723" w:rsidRDefault="00A40FE6">
            <w:pPr>
              <w:spacing w:line="360" w:lineRule="auto"/>
              <w:jc w:val="both"/>
              <w:rPr>
                <w:rFonts w:ascii="Book Antiqua" w:hAnsi="Book Antiqua" w:cs="Arial"/>
                <w:color w:val="000000" w:themeColor="text1"/>
              </w:rPr>
            </w:pPr>
          </w:p>
        </w:tc>
      </w:tr>
      <w:tr w:rsidR="00A40FE6" w:rsidRPr="00807723" w14:paraId="68AB6EC4" w14:textId="77777777">
        <w:trPr>
          <w:trHeight w:val="331"/>
        </w:trPr>
        <w:tc>
          <w:tcPr>
            <w:tcW w:w="1376" w:type="pct"/>
            <w:gridSpan w:val="2"/>
            <w:vMerge w:val="restart"/>
            <w:noWrap/>
            <w:vAlign w:val="center"/>
          </w:tcPr>
          <w:p w14:paraId="72EFCB71"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color w:val="000000" w:themeColor="text1"/>
              </w:rPr>
              <w:t>Albumin (g/dL)</w:t>
            </w:r>
          </w:p>
        </w:tc>
        <w:tc>
          <w:tcPr>
            <w:tcW w:w="806" w:type="pct"/>
            <w:vMerge w:val="restart"/>
            <w:noWrap/>
            <w:vAlign w:val="center"/>
          </w:tcPr>
          <w:p w14:paraId="745C91B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3.96 ± 0.34</w:t>
            </w:r>
          </w:p>
        </w:tc>
        <w:tc>
          <w:tcPr>
            <w:tcW w:w="804" w:type="pct"/>
            <w:vMerge w:val="restart"/>
            <w:noWrap/>
            <w:vAlign w:val="center"/>
          </w:tcPr>
          <w:p w14:paraId="1E4E96B6"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3.33 ± 0.53</w:t>
            </w:r>
          </w:p>
        </w:tc>
        <w:tc>
          <w:tcPr>
            <w:tcW w:w="846" w:type="pct"/>
            <w:vMerge w:val="restart"/>
            <w:noWrap/>
            <w:vAlign w:val="center"/>
          </w:tcPr>
          <w:p w14:paraId="47F8826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2.65 ± 0.43</w:t>
            </w:r>
          </w:p>
        </w:tc>
        <w:tc>
          <w:tcPr>
            <w:tcW w:w="522" w:type="pct"/>
            <w:vMerge w:val="restart"/>
            <w:noWrap/>
            <w:vAlign w:val="center"/>
          </w:tcPr>
          <w:p w14:paraId="23AEC14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02393B7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44D5ED6B" w14:textId="77777777">
        <w:trPr>
          <w:trHeight w:val="330"/>
        </w:trPr>
        <w:tc>
          <w:tcPr>
            <w:tcW w:w="1376" w:type="pct"/>
            <w:gridSpan w:val="2"/>
            <w:vMerge/>
            <w:noWrap/>
            <w:vAlign w:val="center"/>
          </w:tcPr>
          <w:p w14:paraId="13C53EEF" w14:textId="77777777" w:rsidR="00A40FE6" w:rsidRPr="00807723" w:rsidRDefault="00A40FE6">
            <w:pPr>
              <w:spacing w:line="360" w:lineRule="auto"/>
              <w:jc w:val="both"/>
              <w:rPr>
                <w:rFonts w:ascii="Book Antiqua" w:hAnsi="Book Antiqua"/>
                <w:color w:val="000000" w:themeColor="text1"/>
              </w:rPr>
            </w:pPr>
          </w:p>
        </w:tc>
        <w:tc>
          <w:tcPr>
            <w:tcW w:w="806" w:type="pct"/>
            <w:vMerge/>
            <w:noWrap/>
            <w:vAlign w:val="center"/>
          </w:tcPr>
          <w:p w14:paraId="110C0642"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1558C4A2"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097C263D"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7AD3AC27"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258044A3"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6FD2279F" w14:textId="77777777">
        <w:trPr>
          <w:trHeight w:val="330"/>
        </w:trPr>
        <w:tc>
          <w:tcPr>
            <w:tcW w:w="1376" w:type="pct"/>
            <w:gridSpan w:val="2"/>
            <w:vMerge/>
            <w:noWrap/>
            <w:vAlign w:val="center"/>
          </w:tcPr>
          <w:p w14:paraId="5E01F14B" w14:textId="77777777" w:rsidR="00A40FE6" w:rsidRPr="00807723" w:rsidRDefault="00A40FE6">
            <w:pPr>
              <w:spacing w:line="360" w:lineRule="auto"/>
              <w:jc w:val="both"/>
              <w:rPr>
                <w:rFonts w:ascii="Book Antiqua" w:hAnsi="Book Antiqua"/>
                <w:color w:val="000000" w:themeColor="text1"/>
              </w:rPr>
            </w:pPr>
          </w:p>
        </w:tc>
        <w:tc>
          <w:tcPr>
            <w:tcW w:w="806" w:type="pct"/>
            <w:vMerge/>
            <w:noWrap/>
            <w:vAlign w:val="center"/>
          </w:tcPr>
          <w:p w14:paraId="0B92B8C5"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16C70DF9"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6D6FC9F8"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74A417FE"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639508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P3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4FAFC913" w14:textId="77777777">
        <w:trPr>
          <w:trHeight w:val="331"/>
        </w:trPr>
        <w:tc>
          <w:tcPr>
            <w:tcW w:w="1376" w:type="pct"/>
            <w:gridSpan w:val="2"/>
            <w:vMerge w:val="restart"/>
            <w:noWrap/>
            <w:vAlign w:val="center"/>
          </w:tcPr>
          <w:p w14:paraId="6C46F8E4"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color w:val="000000" w:themeColor="text1"/>
              </w:rPr>
              <w:t>INR</w:t>
            </w:r>
          </w:p>
        </w:tc>
        <w:tc>
          <w:tcPr>
            <w:tcW w:w="806" w:type="pct"/>
            <w:vMerge w:val="restart"/>
            <w:noWrap/>
            <w:vAlign w:val="center"/>
          </w:tcPr>
          <w:p w14:paraId="79C74606"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1.09 ± 0.11</w:t>
            </w:r>
          </w:p>
        </w:tc>
        <w:tc>
          <w:tcPr>
            <w:tcW w:w="804" w:type="pct"/>
            <w:vMerge w:val="restart"/>
            <w:noWrap/>
            <w:vAlign w:val="center"/>
          </w:tcPr>
          <w:p w14:paraId="6CD6567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1.54 ± 0.24</w:t>
            </w:r>
          </w:p>
        </w:tc>
        <w:tc>
          <w:tcPr>
            <w:tcW w:w="846" w:type="pct"/>
            <w:vMerge w:val="restart"/>
            <w:noWrap/>
            <w:vAlign w:val="center"/>
          </w:tcPr>
          <w:p w14:paraId="75C081B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1.85 ± 0.36</w:t>
            </w:r>
          </w:p>
        </w:tc>
        <w:tc>
          <w:tcPr>
            <w:tcW w:w="522" w:type="pct"/>
            <w:vMerge w:val="restart"/>
            <w:noWrap/>
            <w:vAlign w:val="center"/>
          </w:tcPr>
          <w:p w14:paraId="753D9CB3"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57B1810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4C4DC89A" w14:textId="77777777">
        <w:trPr>
          <w:trHeight w:val="330"/>
        </w:trPr>
        <w:tc>
          <w:tcPr>
            <w:tcW w:w="1376" w:type="pct"/>
            <w:gridSpan w:val="2"/>
            <w:vMerge/>
            <w:noWrap/>
            <w:vAlign w:val="center"/>
          </w:tcPr>
          <w:p w14:paraId="25C1CE72" w14:textId="77777777" w:rsidR="00A40FE6" w:rsidRPr="00807723" w:rsidRDefault="00A40FE6">
            <w:pPr>
              <w:spacing w:line="360" w:lineRule="auto"/>
              <w:jc w:val="both"/>
              <w:rPr>
                <w:rFonts w:ascii="Book Antiqua" w:hAnsi="Book Antiqua"/>
                <w:color w:val="000000" w:themeColor="text1"/>
              </w:rPr>
            </w:pPr>
          </w:p>
        </w:tc>
        <w:tc>
          <w:tcPr>
            <w:tcW w:w="806" w:type="pct"/>
            <w:vMerge/>
            <w:noWrap/>
            <w:vAlign w:val="center"/>
          </w:tcPr>
          <w:p w14:paraId="1719BE83"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51AE6BEC"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2B6F2FC0"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6387AB9E"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66CFC88D"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0F4DE832" w14:textId="77777777">
        <w:trPr>
          <w:trHeight w:val="330"/>
        </w:trPr>
        <w:tc>
          <w:tcPr>
            <w:tcW w:w="1376" w:type="pct"/>
            <w:gridSpan w:val="2"/>
            <w:vMerge/>
            <w:noWrap/>
            <w:vAlign w:val="center"/>
          </w:tcPr>
          <w:p w14:paraId="5F158DB1" w14:textId="77777777" w:rsidR="00A40FE6" w:rsidRPr="00807723" w:rsidRDefault="00A40FE6">
            <w:pPr>
              <w:spacing w:line="360" w:lineRule="auto"/>
              <w:jc w:val="both"/>
              <w:rPr>
                <w:rFonts w:ascii="Book Antiqua" w:hAnsi="Book Antiqua"/>
                <w:color w:val="000000" w:themeColor="text1"/>
              </w:rPr>
            </w:pPr>
          </w:p>
        </w:tc>
        <w:tc>
          <w:tcPr>
            <w:tcW w:w="806" w:type="pct"/>
            <w:vMerge/>
            <w:noWrap/>
            <w:vAlign w:val="center"/>
          </w:tcPr>
          <w:p w14:paraId="58E99FA8"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159EE080"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0B175AA1"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19FC9AF2"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0AD1023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P3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403B0B66" w14:textId="77777777">
        <w:trPr>
          <w:trHeight w:val="331"/>
        </w:trPr>
        <w:tc>
          <w:tcPr>
            <w:tcW w:w="1376" w:type="pct"/>
            <w:gridSpan w:val="2"/>
            <w:vMerge w:val="restart"/>
            <w:noWrap/>
            <w:vAlign w:val="center"/>
          </w:tcPr>
          <w:p w14:paraId="3AD18A33"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Bilirubin</w:t>
            </w:r>
            <w:r w:rsidRPr="00807723">
              <w:rPr>
                <w:rFonts w:ascii="Book Antiqua" w:hAnsi="Book Antiqua"/>
                <w:color w:val="000000" w:themeColor="text1"/>
              </w:rPr>
              <w:t xml:space="preserve"> (mg/dL)</w:t>
            </w:r>
          </w:p>
        </w:tc>
        <w:tc>
          <w:tcPr>
            <w:tcW w:w="806" w:type="pct"/>
            <w:vMerge w:val="restart"/>
            <w:noWrap/>
            <w:vAlign w:val="center"/>
          </w:tcPr>
          <w:p w14:paraId="13AF9DA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0.75 ± 0.26</w:t>
            </w:r>
          </w:p>
        </w:tc>
        <w:tc>
          <w:tcPr>
            <w:tcW w:w="804" w:type="pct"/>
            <w:vMerge w:val="restart"/>
            <w:noWrap/>
            <w:vAlign w:val="center"/>
          </w:tcPr>
          <w:p w14:paraId="53408C7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1.80 ± 0.74</w:t>
            </w:r>
          </w:p>
        </w:tc>
        <w:tc>
          <w:tcPr>
            <w:tcW w:w="846" w:type="pct"/>
            <w:vMerge w:val="restart"/>
            <w:noWrap/>
            <w:vAlign w:val="center"/>
          </w:tcPr>
          <w:p w14:paraId="6E59F89D"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1.97 ± 0.42</w:t>
            </w:r>
          </w:p>
        </w:tc>
        <w:tc>
          <w:tcPr>
            <w:tcW w:w="522" w:type="pct"/>
            <w:vMerge w:val="restart"/>
            <w:noWrap/>
            <w:vAlign w:val="center"/>
          </w:tcPr>
          <w:p w14:paraId="0CA3862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785DC42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64773A81" w14:textId="77777777">
        <w:trPr>
          <w:trHeight w:val="330"/>
        </w:trPr>
        <w:tc>
          <w:tcPr>
            <w:tcW w:w="1376" w:type="pct"/>
            <w:gridSpan w:val="2"/>
            <w:vMerge/>
            <w:noWrap/>
            <w:vAlign w:val="center"/>
          </w:tcPr>
          <w:p w14:paraId="34310C04"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58A6C5A0"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10F8729B"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265151DE"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18BE75E9"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DBE315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066C4034" w14:textId="77777777">
        <w:trPr>
          <w:trHeight w:val="330"/>
        </w:trPr>
        <w:tc>
          <w:tcPr>
            <w:tcW w:w="1376" w:type="pct"/>
            <w:gridSpan w:val="2"/>
            <w:vMerge/>
            <w:noWrap/>
            <w:vAlign w:val="center"/>
          </w:tcPr>
          <w:p w14:paraId="4D0C62A5"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6F31307A"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4D1D9EAC"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045D0B1F" w14:textId="77777777" w:rsidR="00A40FE6" w:rsidRPr="00807723" w:rsidRDefault="00A40FE6">
            <w:pPr>
              <w:spacing w:line="360" w:lineRule="auto"/>
              <w:jc w:val="both"/>
              <w:rPr>
                <w:rFonts w:ascii="Book Antiqua" w:hAnsi="Book Antiqua" w:cs="Arial"/>
                <w:color w:val="000000" w:themeColor="text1"/>
              </w:rPr>
            </w:pPr>
          </w:p>
        </w:tc>
        <w:tc>
          <w:tcPr>
            <w:tcW w:w="522" w:type="pct"/>
            <w:vMerge/>
            <w:noWrap/>
            <w:vAlign w:val="center"/>
          </w:tcPr>
          <w:p w14:paraId="0080678D"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911440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P3 = 0.211</w:t>
            </w:r>
          </w:p>
        </w:tc>
      </w:tr>
      <w:tr w:rsidR="00A40FE6" w:rsidRPr="00807723" w14:paraId="5AD4F24D" w14:textId="77777777">
        <w:trPr>
          <w:trHeight w:val="331"/>
        </w:trPr>
        <w:tc>
          <w:tcPr>
            <w:tcW w:w="1376" w:type="pct"/>
            <w:gridSpan w:val="2"/>
            <w:vMerge w:val="restart"/>
            <w:vAlign w:val="center"/>
          </w:tcPr>
          <w:p w14:paraId="01E7C08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Fasting blood glucose (µ</w:t>
            </w:r>
            <w:proofErr w:type="spellStart"/>
            <w:r w:rsidRPr="00807723">
              <w:rPr>
                <w:rFonts w:ascii="Book Antiqua" w:hAnsi="Book Antiqua" w:cs="Arial"/>
                <w:color w:val="000000" w:themeColor="text1"/>
              </w:rPr>
              <w:t>moI</w:t>
            </w:r>
            <w:proofErr w:type="spellEnd"/>
            <w:r w:rsidRPr="00807723">
              <w:rPr>
                <w:rFonts w:ascii="Book Antiqua" w:hAnsi="Book Antiqua" w:cs="Arial"/>
                <w:color w:val="000000" w:themeColor="text1"/>
              </w:rPr>
              <w:t>/L)</w:t>
            </w:r>
          </w:p>
        </w:tc>
        <w:tc>
          <w:tcPr>
            <w:tcW w:w="806" w:type="pct"/>
            <w:vMerge w:val="restart"/>
            <w:noWrap/>
            <w:vAlign w:val="center"/>
          </w:tcPr>
          <w:p w14:paraId="32D24A1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5.19 ± 0.19</w:t>
            </w:r>
          </w:p>
        </w:tc>
        <w:tc>
          <w:tcPr>
            <w:tcW w:w="804" w:type="pct"/>
            <w:vMerge w:val="restart"/>
            <w:noWrap/>
            <w:vAlign w:val="center"/>
          </w:tcPr>
          <w:p w14:paraId="48706983"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4.46 ± 0.28</w:t>
            </w:r>
          </w:p>
        </w:tc>
        <w:tc>
          <w:tcPr>
            <w:tcW w:w="846" w:type="pct"/>
            <w:vMerge w:val="restart"/>
            <w:noWrap/>
            <w:vAlign w:val="center"/>
          </w:tcPr>
          <w:p w14:paraId="1B8C905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4.46 ± 0.28</w:t>
            </w:r>
          </w:p>
        </w:tc>
        <w:tc>
          <w:tcPr>
            <w:tcW w:w="522" w:type="pct"/>
            <w:vMerge w:val="restart"/>
            <w:vAlign w:val="center"/>
          </w:tcPr>
          <w:p w14:paraId="7A89696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0.001</w:t>
            </w:r>
          </w:p>
        </w:tc>
        <w:tc>
          <w:tcPr>
            <w:tcW w:w="646" w:type="pct"/>
            <w:vAlign w:val="center"/>
          </w:tcPr>
          <w:p w14:paraId="049ECAC1"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P1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32E91B7B" w14:textId="77777777">
        <w:trPr>
          <w:trHeight w:val="330"/>
        </w:trPr>
        <w:tc>
          <w:tcPr>
            <w:tcW w:w="1376" w:type="pct"/>
            <w:gridSpan w:val="2"/>
            <w:vMerge/>
            <w:vAlign w:val="center"/>
          </w:tcPr>
          <w:p w14:paraId="366069E9"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2BCBE5BD"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4839522F"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5A12BCB3" w14:textId="77777777" w:rsidR="00A40FE6" w:rsidRPr="00807723" w:rsidRDefault="00A40FE6">
            <w:pPr>
              <w:spacing w:line="360" w:lineRule="auto"/>
              <w:jc w:val="both"/>
              <w:rPr>
                <w:rFonts w:ascii="Book Antiqua" w:hAnsi="Book Antiqua" w:cs="Arial"/>
                <w:color w:val="000000" w:themeColor="text1"/>
              </w:rPr>
            </w:pPr>
          </w:p>
        </w:tc>
        <w:tc>
          <w:tcPr>
            <w:tcW w:w="522" w:type="pct"/>
            <w:vMerge/>
            <w:vAlign w:val="center"/>
          </w:tcPr>
          <w:p w14:paraId="1BDE00E3"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2ED4C07C"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P2 </w:t>
            </w:r>
            <w:proofErr w:type="gramStart"/>
            <w:r w:rsidRPr="00807723">
              <w:rPr>
                <w:rFonts w:ascii="Book Antiqua" w:hAnsi="Book Antiqua" w:cs="Arial"/>
                <w:color w:val="000000" w:themeColor="text1"/>
              </w:rPr>
              <w:t>≤  0</w:t>
            </w:r>
            <w:proofErr w:type="gramEnd"/>
            <w:r w:rsidRPr="00807723">
              <w:rPr>
                <w:rFonts w:ascii="Book Antiqua" w:hAnsi="Book Antiqua" w:cs="Arial"/>
                <w:color w:val="000000" w:themeColor="text1"/>
              </w:rPr>
              <w:t>.001</w:t>
            </w:r>
          </w:p>
        </w:tc>
      </w:tr>
      <w:tr w:rsidR="00A40FE6" w:rsidRPr="00807723" w14:paraId="582D2018" w14:textId="77777777">
        <w:trPr>
          <w:trHeight w:val="330"/>
        </w:trPr>
        <w:tc>
          <w:tcPr>
            <w:tcW w:w="1376" w:type="pct"/>
            <w:gridSpan w:val="2"/>
            <w:vMerge/>
            <w:vAlign w:val="center"/>
          </w:tcPr>
          <w:p w14:paraId="33D00DA2" w14:textId="77777777" w:rsidR="00A40FE6" w:rsidRPr="00807723" w:rsidRDefault="00A40FE6">
            <w:pPr>
              <w:spacing w:line="360" w:lineRule="auto"/>
              <w:jc w:val="both"/>
              <w:rPr>
                <w:rFonts w:ascii="Book Antiqua" w:hAnsi="Book Antiqua" w:cs="Arial"/>
                <w:color w:val="000000" w:themeColor="text1"/>
              </w:rPr>
            </w:pPr>
          </w:p>
        </w:tc>
        <w:tc>
          <w:tcPr>
            <w:tcW w:w="806" w:type="pct"/>
            <w:vMerge/>
            <w:noWrap/>
            <w:vAlign w:val="center"/>
          </w:tcPr>
          <w:p w14:paraId="4FA7D26C" w14:textId="77777777" w:rsidR="00A40FE6" w:rsidRPr="00807723" w:rsidRDefault="00A40FE6">
            <w:pPr>
              <w:spacing w:line="360" w:lineRule="auto"/>
              <w:jc w:val="both"/>
              <w:rPr>
                <w:rFonts w:ascii="Book Antiqua" w:hAnsi="Book Antiqua" w:cs="Arial"/>
                <w:color w:val="000000" w:themeColor="text1"/>
              </w:rPr>
            </w:pPr>
          </w:p>
        </w:tc>
        <w:tc>
          <w:tcPr>
            <w:tcW w:w="804" w:type="pct"/>
            <w:vMerge/>
            <w:noWrap/>
            <w:vAlign w:val="center"/>
          </w:tcPr>
          <w:p w14:paraId="74405984" w14:textId="77777777" w:rsidR="00A40FE6" w:rsidRPr="00807723" w:rsidRDefault="00A40FE6">
            <w:pPr>
              <w:spacing w:line="360" w:lineRule="auto"/>
              <w:jc w:val="both"/>
              <w:rPr>
                <w:rFonts w:ascii="Book Antiqua" w:hAnsi="Book Antiqua" w:cs="Arial"/>
                <w:color w:val="000000" w:themeColor="text1"/>
              </w:rPr>
            </w:pPr>
          </w:p>
        </w:tc>
        <w:tc>
          <w:tcPr>
            <w:tcW w:w="846" w:type="pct"/>
            <w:vMerge/>
            <w:noWrap/>
            <w:vAlign w:val="center"/>
          </w:tcPr>
          <w:p w14:paraId="63B70673" w14:textId="77777777" w:rsidR="00A40FE6" w:rsidRPr="00807723" w:rsidRDefault="00A40FE6">
            <w:pPr>
              <w:spacing w:line="360" w:lineRule="auto"/>
              <w:jc w:val="both"/>
              <w:rPr>
                <w:rFonts w:ascii="Book Antiqua" w:hAnsi="Book Antiqua" w:cs="Arial"/>
                <w:color w:val="000000" w:themeColor="text1"/>
              </w:rPr>
            </w:pPr>
          </w:p>
        </w:tc>
        <w:tc>
          <w:tcPr>
            <w:tcW w:w="522" w:type="pct"/>
            <w:vMerge/>
            <w:vAlign w:val="center"/>
          </w:tcPr>
          <w:p w14:paraId="7F7F6063" w14:textId="77777777" w:rsidR="00A40FE6" w:rsidRPr="00807723" w:rsidRDefault="00A40FE6">
            <w:pPr>
              <w:spacing w:line="360" w:lineRule="auto"/>
              <w:jc w:val="both"/>
              <w:rPr>
                <w:rFonts w:ascii="Book Antiqua" w:hAnsi="Book Antiqua" w:cs="Arial"/>
                <w:color w:val="000000" w:themeColor="text1"/>
              </w:rPr>
            </w:pPr>
          </w:p>
        </w:tc>
        <w:tc>
          <w:tcPr>
            <w:tcW w:w="646" w:type="pct"/>
            <w:vAlign w:val="center"/>
          </w:tcPr>
          <w:p w14:paraId="54A1A469"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P3 = 1.000</w:t>
            </w:r>
          </w:p>
        </w:tc>
      </w:tr>
    </w:tbl>
    <w:p w14:paraId="56350B4A" w14:textId="77777777" w:rsidR="00A40FE6" w:rsidRPr="00807723" w:rsidRDefault="00214602">
      <w:pPr>
        <w:spacing w:line="360" w:lineRule="auto"/>
        <w:jc w:val="both"/>
        <w:rPr>
          <w:rFonts w:ascii="Book Antiqua" w:hAnsi="Book Antiqua"/>
          <w:color w:val="000000" w:themeColor="text1"/>
        </w:rPr>
      </w:pPr>
      <w:r w:rsidRPr="00807723">
        <w:rPr>
          <w:rFonts w:ascii="Book Antiqua" w:eastAsia="Book Antiqua" w:hAnsi="Book Antiqua" w:cs="Book Antiqua"/>
          <w:color w:val="000000"/>
        </w:rPr>
        <w:lastRenderedPageBreak/>
        <w:t xml:space="preserve">HBV: Hepatitis B virus; </w:t>
      </w:r>
      <w:r w:rsidRPr="00807723">
        <w:rPr>
          <w:rFonts w:ascii="Book Antiqua" w:hAnsi="Book Antiqua" w:cs="Arial"/>
          <w:color w:val="000000" w:themeColor="text1"/>
        </w:rPr>
        <w:t>HCC: Hepatocellular carcinoma</w:t>
      </w:r>
      <w:r w:rsidRPr="00807723">
        <w:rPr>
          <w:rFonts w:ascii="Book Antiqua" w:hAnsi="Book Antiqua"/>
          <w:color w:val="000000" w:themeColor="text1"/>
        </w:rPr>
        <w:t xml:space="preserve">; </w:t>
      </w:r>
      <w:r w:rsidRPr="00807723">
        <w:rPr>
          <w:rFonts w:ascii="Book Antiqua" w:hAnsi="Book Antiqua" w:cs="Arial"/>
          <w:color w:val="000000" w:themeColor="text1"/>
        </w:rPr>
        <w:t xml:space="preserve">HCV: Hepatitis C virus; </w:t>
      </w:r>
      <w:r w:rsidRPr="00807723">
        <w:rPr>
          <w:rFonts w:ascii="Book Antiqua" w:hAnsi="Book Antiqua"/>
          <w:color w:val="000000" w:themeColor="text1"/>
        </w:rPr>
        <w:t xml:space="preserve">INR: </w:t>
      </w:r>
      <w:r w:rsidRPr="00807723">
        <w:rPr>
          <w:rFonts w:ascii="Book Antiqua" w:eastAsia="Book Antiqua" w:hAnsi="Book Antiqua" w:cs="Book Antiqua"/>
          <w:color w:val="000000"/>
        </w:rPr>
        <w:t>International normalised ratio.</w:t>
      </w:r>
      <w:r w:rsidRPr="00807723">
        <w:rPr>
          <w:rFonts w:ascii="Book Antiqua" w:hAnsi="Book Antiqua"/>
          <w:color w:val="000000" w:themeColor="text1"/>
        </w:rPr>
        <w:t xml:space="preserve"> </w:t>
      </w:r>
    </w:p>
    <w:p w14:paraId="4BFEF62A" w14:textId="77777777" w:rsidR="00A40FE6" w:rsidRPr="00807723" w:rsidRDefault="00A40FE6">
      <w:pPr>
        <w:spacing w:line="360" w:lineRule="auto"/>
        <w:jc w:val="both"/>
        <w:rPr>
          <w:rFonts w:ascii="Book Antiqua" w:hAnsi="Book Antiqua"/>
          <w:b/>
          <w:bCs/>
          <w:color w:val="000000" w:themeColor="text1"/>
        </w:rPr>
      </w:pPr>
    </w:p>
    <w:p w14:paraId="0F3692C3" w14:textId="77777777" w:rsidR="00A40FE6" w:rsidRPr="00807723" w:rsidRDefault="00214602">
      <w:pPr>
        <w:rPr>
          <w:rFonts w:ascii="Book Antiqua" w:hAnsi="Book Antiqua"/>
          <w:b/>
          <w:bCs/>
          <w:color w:val="000000" w:themeColor="text1"/>
        </w:rPr>
      </w:pPr>
      <w:r w:rsidRPr="00807723">
        <w:rPr>
          <w:rFonts w:ascii="Book Antiqua" w:hAnsi="Book Antiqua"/>
          <w:b/>
          <w:bCs/>
          <w:color w:val="000000" w:themeColor="text1"/>
        </w:rPr>
        <w:br w:type="page"/>
      </w:r>
    </w:p>
    <w:p w14:paraId="3BA8ECBA"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b/>
          <w:bCs/>
          <w:color w:val="000000" w:themeColor="text1"/>
        </w:rPr>
        <w:lastRenderedPageBreak/>
        <w:t xml:space="preserve">Table 2 </w:t>
      </w:r>
      <w:r w:rsidRPr="00807723">
        <w:rPr>
          <w:rFonts w:ascii="Book Antiqua" w:hAnsi="Book Antiqua"/>
          <w:b/>
          <w:bCs/>
          <w:color w:val="000000" w:themeColor="text1"/>
          <w:lang w:bidi="ar-EG"/>
        </w:rPr>
        <w:t>Serum fibroblast growth factor 19 levels</w:t>
      </w:r>
      <w:r w:rsidRPr="00807723">
        <w:rPr>
          <w:rFonts w:ascii="Book Antiqua" w:hAnsi="Book Antiqua" w:cs="Arial"/>
          <w:b/>
          <w:bCs/>
          <w:color w:val="000000" w:themeColor="text1"/>
        </w:rPr>
        <w:t xml:space="preserve"> in the </w:t>
      </w:r>
      <w:r w:rsidRPr="00807723">
        <w:rPr>
          <w:rFonts w:ascii="Book Antiqua" w:hAnsi="Book Antiqua"/>
          <w:b/>
          <w:bCs/>
          <w:color w:val="000000" w:themeColor="text1"/>
        </w:rPr>
        <w:t>cirrhosis and hepatocellular carcinoma groups according to Child-Pugh score</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170"/>
        <w:gridCol w:w="2626"/>
        <w:gridCol w:w="2636"/>
      </w:tblGrid>
      <w:tr w:rsidR="00A40FE6" w:rsidRPr="00807723" w14:paraId="769805F7" w14:textId="77777777">
        <w:trPr>
          <w:trHeight w:val="507"/>
        </w:trPr>
        <w:tc>
          <w:tcPr>
            <w:tcW w:w="1030" w:type="pct"/>
            <w:tcBorders>
              <w:top w:val="single" w:sz="4" w:space="0" w:color="auto"/>
              <w:bottom w:val="single" w:sz="4" w:space="0" w:color="auto"/>
            </w:tcBorders>
          </w:tcPr>
          <w:p w14:paraId="5A8E63A6" w14:textId="77777777" w:rsidR="00A40FE6" w:rsidRPr="00807723" w:rsidRDefault="00A40FE6">
            <w:pPr>
              <w:spacing w:before="120" w:after="120" w:line="360" w:lineRule="auto"/>
              <w:jc w:val="both"/>
              <w:rPr>
                <w:rFonts w:ascii="Book Antiqua" w:hAnsi="Book Antiqua" w:cs="Arial"/>
                <w:b/>
                <w:bCs/>
                <w:color w:val="000000" w:themeColor="text1"/>
              </w:rPr>
            </w:pPr>
          </w:p>
        </w:tc>
        <w:tc>
          <w:tcPr>
            <w:tcW w:w="1159" w:type="pct"/>
            <w:tcBorders>
              <w:top w:val="single" w:sz="4" w:space="0" w:color="auto"/>
              <w:bottom w:val="single" w:sz="4" w:space="0" w:color="auto"/>
            </w:tcBorders>
            <w:noWrap/>
            <w:vAlign w:val="center"/>
          </w:tcPr>
          <w:p w14:paraId="2391CD78"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Child-Pugh Class</w:t>
            </w:r>
          </w:p>
        </w:tc>
        <w:tc>
          <w:tcPr>
            <w:tcW w:w="1403" w:type="pct"/>
            <w:tcBorders>
              <w:top w:val="single" w:sz="4" w:space="0" w:color="auto"/>
              <w:bottom w:val="single" w:sz="4" w:space="0" w:color="auto"/>
            </w:tcBorders>
            <w:noWrap/>
            <w:vAlign w:val="center"/>
          </w:tcPr>
          <w:p w14:paraId="2B84393B"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 xml:space="preserve">Cirrhosis </w:t>
            </w:r>
            <w:r w:rsidRPr="00807723">
              <w:rPr>
                <w:rFonts w:ascii="Book Antiqua" w:hAnsi="Book Antiqua"/>
                <w:color w:val="000000" w:themeColor="text1"/>
              </w:rPr>
              <w:t>(</w:t>
            </w:r>
            <w:r w:rsidRPr="00807723">
              <w:rPr>
                <w:rFonts w:ascii="Book Antiqua" w:hAnsi="Book Antiqua"/>
                <w:b/>
                <w:bCs/>
                <w:i/>
                <w:iCs/>
                <w:color w:val="000000" w:themeColor="text1"/>
              </w:rPr>
              <w:t>n</w:t>
            </w:r>
            <w:r w:rsidRPr="00807723">
              <w:rPr>
                <w:rFonts w:ascii="Book Antiqua" w:hAnsi="Book Antiqua"/>
                <w:b/>
                <w:bCs/>
                <w:color w:val="000000" w:themeColor="text1"/>
              </w:rPr>
              <w:t xml:space="preserve"> =</w:t>
            </w:r>
            <w:r w:rsidRPr="00807723">
              <w:rPr>
                <w:rFonts w:ascii="Book Antiqua" w:hAnsi="Book Antiqua"/>
                <w:color w:val="000000" w:themeColor="text1"/>
              </w:rPr>
              <w:t xml:space="preserve"> 30)</w:t>
            </w:r>
          </w:p>
        </w:tc>
        <w:tc>
          <w:tcPr>
            <w:tcW w:w="1408" w:type="pct"/>
            <w:tcBorders>
              <w:top w:val="single" w:sz="4" w:space="0" w:color="auto"/>
              <w:bottom w:val="single" w:sz="4" w:space="0" w:color="auto"/>
            </w:tcBorders>
            <w:noWrap/>
            <w:vAlign w:val="center"/>
          </w:tcPr>
          <w:p w14:paraId="0A944E99"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 xml:space="preserve">HCC </w:t>
            </w:r>
            <w:r w:rsidRPr="00807723">
              <w:rPr>
                <w:rFonts w:ascii="Book Antiqua" w:hAnsi="Book Antiqua"/>
                <w:color w:val="000000" w:themeColor="text1"/>
              </w:rPr>
              <w:t>(</w:t>
            </w:r>
            <w:r w:rsidRPr="00807723">
              <w:rPr>
                <w:rFonts w:ascii="Book Antiqua" w:hAnsi="Book Antiqua"/>
                <w:b/>
                <w:bCs/>
                <w:i/>
                <w:iCs/>
                <w:color w:val="000000" w:themeColor="text1"/>
              </w:rPr>
              <w:t>n</w:t>
            </w:r>
            <w:r w:rsidRPr="00807723">
              <w:rPr>
                <w:rFonts w:ascii="Book Antiqua" w:hAnsi="Book Antiqua"/>
                <w:b/>
                <w:bCs/>
                <w:color w:val="000000" w:themeColor="text1"/>
              </w:rPr>
              <w:t xml:space="preserve"> =</w:t>
            </w:r>
            <w:r w:rsidRPr="00807723">
              <w:rPr>
                <w:rFonts w:ascii="Book Antiqua" w:hAnsi="Book Antiqua"/>
                <w:color w:val="000000" w:themeColor="text1"/>
              </w:rPr>
              <w:t xml:space="preserve"> 30)</w:t>
            </w:r>
          </w:p>
        </w:tc>
      </w:tr>
      <w:tr w:rsidR="00A40FE6" w:rsidRPr="00807723" w14:paraId="4777047A" w14:textId="77777777">
        <w:trPr>
          <w:trHeight w:val="516"/>
        </w:trPr>
        <w:tc>
          <w:tcPr>
            <w:tcW w:w="1030" w:type="pct"/>
            <w:vMerge w:val="restart"/>
            <w:tcBorders>
              <w:top w:val="single" w:sz="4" w:space="0" w:color="auto"/>
            </w:tcBorders>
          </w:tcPr>
          <w:p w14:paraId="4129D263"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olor w:val="000000" w:themeColor="text1"/>
                <w:lang w:bidi="ar-EG"/>
              </w:rPr>
              <w:t>Fibroblast growth factor 19</w:t>
            </w:r>
            <w:r w:rsidRPr="00807723">
              <w:rPr>
                <w:rFonts w:ascii="Book Antiqua" w:hAnsi="Book Antiqua" w:cs="Arial"/>
                <w:color w:val="000000" w:themeColor="text1"/>
              </w:rPr>
              <w:t xml:space="preserve"> (</w:t>
            </w:r>
            <w:proofErr w:type="spellStart"/>
            <w:r w:rsidRPr="00807723">
              <w:rPr>
                <w:rFonts w:ascii="Book Antiqua" w:hAnsi="Book Antiqua" w:cs="Arial"/>
                <w:color w:val="000000" w:themeColor="text1"/>
              </w:rPr>
              <w:t>pg</w:t>
            </w:r>
            <w:proofErr w:type="spellEnd"/>
            <w:r w:rsidRPr="00807723">
              <w:rPr>
                <w:rFonts w:ascii="Book Antiqua" w:hAnsi="Book Antiqua" w:cs="Arial"/>
                <w:color w:val="000000" w:themeColor="text1"/>
              </w:rPr>
              <w:t>/mL)</w:t>
            </w:r>
          </w:p>
        </w:tc>
        <w:tc>
          <w:tcPr>
            <w:tcW w:w="1159" w:type="pct"/>
            <w:tcBorders>
              <w:top w:val="single" w:sz="4" w:space="0" w:color="auto"/>
            </w:tcBorders>
            <w:noWrap/>
            <w:vAlign w:val="center"/>
          </w:tcPr>
          <w:p w14:paraId="7C78EAF7"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Class A</w:t>
            </w:r>
          </w:p>
        </w:tc>
        <w:tc>
          <w:tcPr>
            <w:tcW w:w="1403" w:type="pct"/>
            <w:tcBorders>
              <w:top w:val="single" w:sz="4" w:space="0" w:color="auto"/>
            </w:tcBorders>
            <w:noWrap/>
            <w:vAlign w:val="center"/>
          </w:tcPr>
          <w:p w14:paraId="45DAFF1D"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129.311 (</w:t>
            </w:r>
            <w:r w:rsidRPr="00807723">
              <w:rPr>
                <w:rFonts w:ascii="Book Antiqua" w:hAnsi="Book Antiqua"/>
                <w:color w:val="000000" w:themeColor="text1"/>
              </w:rPr>
              <w:t>±</w:t>
            </w:r>
            <w:r w:rsidRPr="00807723">
              <w:rPr>
                <w:rFonts w:ascii="Book Antiqua" w:hAnsi="Book Antiqua" w:cs="Arial"/>
                <w:color w:val="000000" w:themeColor="text1"/>
              </w:rPr>
              <w:t xml:space="preserve"> 38.01)</w:t>
            </w:r>
          </w:p>
        </w:tc>
        <w:tc>
          <w:tcPr>
            <w:tcW w:w="1408" w:type="pct"/>
            <w:tcBorders>
              <w:top w:val="single" w:sz="4" w:space="0" w:color="auto"/>
            </w:tcBorders>
            <w:noWrap/>
            <w:vAlign w:val="center"/>
          </w:tcPr>
          <w:p w14:paraId="7D79DF43"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223.320 (</w:t>
            </w:r>
            <w:r w:rsidRPr="00807723">
              <w:rPr>
                <w:rFonts w:ascii="Book Antiqua" w:hAnsi="Book Antiqua"/>
                <w:color w:val="000000" w:themeColor="text1"/>
              </w:rPr>
              <w:t>±</w:t>
            </w:r>
            <w:r w:rsidRPr="00807723">
              <w:rPr>
                <w:rFonts w:ascii="Book Antiqua" w:hAnsi="Book Antiqua" w:cs="Arial"/>
                <w:color w:val="000000" w:themeColor="text1"/>
              </w:rPr>
              <w:t xml:space="preserve"> 37.39)</w:t>
            </w:r>
          </w:p>
        </w:tc>
      </w:tr>
      <w:tr w:rsidR="00A40FE6" w:rsidRPr="00807723" w14:paraId="48EBA1BF" w14:textId="77777777">
        <w:tc>
          <w:tcPr>
            <w:tcW w:w="1030" w:type="pct"/>
            <w:vMerge/>
          </w:tcPr>
          <w:p w14:paraId="3BF38EF7" w14:textId="77777777" w:rsidR="00A40FE6" w:rsidRPr="00807723" w:rsidRDefault="00A40FE6">
            <w:pPr>
              <w:spacing w:before="120" w:after="120" w:line="360" w:lineRule="auto"/>
              <w:jc w:val="both"/>
              <w:rPr>
                <w:rFonts w:ascii="Book Antiqua" w:hAnsi="Book Antiqua" w:cs="Arial"/>
                <w:color w:val="000000" w:themeColor="text1"/>
              </w:rPr>
            </w:pPr>
          </w:p>
        </w:tc>
        <w:tc>
          <w:tcPr>
            <w:tcW w:w="1159" w:type="pct"/>
            <w:noWrap/>
            <w:vAlign w:val="center"/>
          </w:tcPr>
          <w:p w14:paraId="09C080FC"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Class B</w:t>
            </w:r>
          </w:p>
        </w:tc>
        <w:tc>
          <w:tcPr>
            <w:tcW w:w="1403" w:type="pct"/>
            <w:noWrap/>
            <w:vAlign w:val="center"/>
          </w:tcPr>
          <w:p w14:paraId="39210290"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123.383 (</w:t>
            </w:r>
            <w:r w:rsidRPr="00807723">
              <w:rPr>
                <w:rFonts w:ascii="Book Antiqua" w:hAnsi="Book Antiqua"/>
                <w:color w:val="000000" w:themeColor="text1"/>
              </w:rPr>
              <w:t>±</w:t>
            </w:r>
            <w:r w:rsidRPr="00807723">
              <w:rPr>
                <w:rFonts w:ascii="Book Antiqua" w:hAnsi="Book Antiqua" w:cs="Arial"/>
                <w:color w:val="000000" w:themeColor="text1"/>
              </w:rPr>
              <w:t xml:space="preserve"> 21.51)</w:t>
            </w:r>
          </w:p>
        </w:tc>
        <w:tc>
          <w:tcPr>
            <w:tcW w:w="1408" w:type="pct"/>
            <w:noWrap/>
            <w:vAlign w:val="center"/>
          </w:tcPr>
          <w:p w14:paraId="426C1EEF"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230.209 (</w:t>
            </w:r>
            <w:r w:rsidRPr="00807723">
              <w:rPr>
                <w:rFonts w:ascii="Book Antiqua" w:hAnsi="Book Antiqua"/>
                <w:color w:val="000000" w:themeColor="text1"/>
              </w:rPr>
              <w:t>±</w:t>
            </w:r>
            <w:r w:rsidRPr="00807723">
              <w:rPr>
                <w:rFonts w:ascii="Book Antiqua" w:hAnsi="Book Antiqua" w:cs="Arial"/>
                <w:color w:val="000000" w:themeColor="text1"/>
              </w:rPr>
              <w:t xml:space="preserve"> 30.96)</w:t>
            </w:r>
          </w:p>
        </w:tc>
      </w:tr>
      <w:tr w:rsidR="00A40FE6" w:rsidRPr="00807723" w14:paraId="564D5121" w14:textId="77777777">
        <w:tc>
          <w:tcPr>
            <w:tcW w:w="1030" w:type="pct"/>
            <w:vMerge/>
          </w:tcPr>
          <w:p w14:paraId="12A8FDF2" w14:textId="77777777" w:rsidR="00A40FE6" w:rsidRPr="00807723" w:rsidRDefault="00A40FE6">
            <w:pPr>
              <w:spacing w:before="120" w:after="120" w:line="360" w:lineRule="auto"/>
              <w:jc w:val="both"/>
              <w:rPr>
                <w:rFonts w:ascii="Book Antiqua" w:hAnsi="Book Antiqua" w:cs="Arial"/>
                <w:color w:val="000000" w:themeColor="text1"/>
              </w:rPr>
            </w:pPr>
          </w:p>
        </w:tc>
        <w:tc>
          <w:tcPr>
            <w:tcW w:w="1159" w:type="pct"/>
            <w:noWrap/>
            <w:vAlign w:val="center"/>
          </w:tcPr>
          <w:p w14:paraId="7822F36B"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Class C</w:t>
            </w:r>
          </w:p>
        </w:tc>
        <w:tc>
          <w:tcPr>
            <w:tcW w:w="1403" w:type="pct"/>
            <w:noWrap/>
            <w:vAlign w:val="center"/>
          </w:tcPr>
          <w:p w14:paraId="6FE14D26"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116.833 (</w:t>
            </w:r>
            <w:r w:rsidRPr="00807723">
              <w:rPr>
                <w:rFonts w:ascii="Book Antiqua" w:hAnsi="Book Antiqua"/>
                <w:color w:val="000000" w:themeColor="text1"/>
              </w:rPr>
              <w:t>±</w:t>
            </w:r>
            <w:r w:rsidRPr="00807723">
              <w:rPr>
                <w:rFonts w:ascii="Book Antiqua" w:hAnsi="Book Antiqua" w:cs="Arial"/>
                <w:color w:val="000000" w:themeColor="text1"/>
              </w:rPr>
              <w:t xml:space="preserve"> 15.69)</w:t>
            </w:r>
          </w:p>
        </w:tc>
        <w:tc>
          <w:tcPr>
            <w:tcW w:w="1408" w:type="pct"/>
            <w:noWrap/>
            <w:vAlign w:val="center"/>
          </w:tcPr>
          <w:p w14:paraId="31599F9E"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246.029 (</w:t>
            </w:r>
            <w:r w:rsidRPr="00807723">
              <w:rPr>
                <w:rFonts w:ascii="Book Antiqua" w:hAnsi="Book Antiqua"/>
                <w:color w:val="000000" w:themeColor="text1"/>
              </w:rPr>
              <w:t>±</w:t>
            </w:r>
            <w:r w:rsidRPr="00807723">
              <w:rPr>
                <w:rFonts w:ascii="Book Antiqua" w:hAnsi="Book Antiqua" w:cs="Arial"/>
                <w:color w:val="000000" w:themeColor="text1"/>
              </w:rPr>
              <w:t xml:space="preserve"> 48.71)</w:t>
            </w:r>
          </w:p>
        </w:tc>
      </w:tr>
      <w:tr w:rsidR="00A40FE6" w:rsidRPr="00807723" w14:paraId="6AEAF0C2" w14:textId="77777777">
        <w:tc>
          <w:tcPr>
            <w:tcW w:w="1030" w:type="pct"/>
          </w:tcPr>
          <w:p w14:paraId="6F2E4BEE" w14:textId="77777777" w:rsidR="00A40FE6" w:rsidRPr="00807723" w:rsidRDefault="00A40FE6">
            <w:pPr>
              <w:spacing w:before="120" w:after="120" w:line="360" w:lineRule="auto"/>
              <w:jc w:val="both"/>
              <w:rPr>
                <w:rFonts w:ascii="Book Antiqua" w:hAnsi="Book Antiqua" w:cs="Arial"/>
                <w:b/>
                <w:bCs/>
                <w:i/>
                <w:iCs/>
                <w:color w:val="000000" w:themeColor="text1"/>
              </w:rPr>
            </w:pPr>
          </w:p>
        </w:tc>
        <w:tc>
          <w:tcPr>
            <w:tcW w:w="1159" w:type="pct"/>
            <w:noWrap/>
            <w:vAlign w:val="center"/>
          </w:tcPr>
          <w:p w14:paraId="5E23EDB5"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i/>
                <w:iCs/>
                <w:color w:val="000000" w:themeColor="text1"/>
              </w:rPr>
              <w:t xml:space="preserve">P </w:t>
            </w:r>
            <w:r w:rsidRPr="00807723">
              <w:rPr>
                <w:rFonts w:ascii="Book Antiqua" w:hAnsi="Book Antiqua" w:cs="Arial"/>
                <w:color w:val="000000" w:themeColor="text1"/>
              </w:rPr>
              <w:t>value</w:t>
            </w:r>
          </w:p>
        </w:tc>
        <w:tc>
          <w:tcPr>
            <w:tcW w:w="1403" w:type="pct"/>
            <w:noWrap/>
            <w:vAlign w:val="center"/>
          </w:tcPr>
          <w:p w14:paraId="23632986"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0.7046</w:t>
            </w:r>
          </w:p>
        </w:tc>
        <w:tc>
          <w:tcPr>
            <w:tcW w:w="1408" w:type="pct"/>
            <w:noWrap/>
            <w:vAlign w:val="center"/>
          </w:tcPr>
          <w:p w14:paraId="2E3CBB51"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0.479</w:t>
            </w:r>
          </w:p>
        </w:tc>
      </w:tr>
    </w:tbl>
    <w:p w14:paraId="5223369D" w14:textId="77777777" w:rsidR="00A40FE6" w:rsidRPr="00807723" w:rsidRDefault="00214602">
      <w:pPr>
        <w:spacing w:line="360" w:lineRule="auto"/>
        <w:jc w:val="both"/>
        <w:rPr>
          <w:rFonts w:ascii="Book Antiqua" w:hAnsi="Book Antiqua"/>
          <w:b/>
          <w:bCs/>
          <w:color w:val="000000" w:themeColor="text1"/>
          <w:lang w:bidi="ar-EG"/>
        </w:rPr>
      </w:pPr>
      <w:r w:rsidRPr="00807723">
        <w:rPr>
          <w:rFonts w:ascii="Book Antiqua" w:hAnsi="Book Antiqua" w:cs="Arial"/>
          <w:color w:val="000000" w:themeColor="text1"/>
        </w:rPr>
        <w:t>HCC: Hepatocellular carcinoma.</w:t>
      </w:r>
    </w:p>
    <w:p w14:paraId="2BF313DB"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color w:val="000000" w:themeColor="text1"/>
        </w:rPr>
        <w:br w:type="page"/>
      </w:r>
      <w:r w:rsidRPr="00807723">
        <w:rPr>
          <w:rFonts w:ascii="Book Antiqua" w:hAnsi="Book Antiqua"/>
          <w:b/>
          <w:bCs/>
          <w:color w:val="000000" w:themeColor="text1"/>
        </w:rPr>
        <w:lastRenderedPageBreak/>
        <w:t xml:space="preserve"> Table 3 Tumour characteristics of </w:t>
      </w:r>
      <w:r w:rsidRPr="00807723">
        <w:rPr>
          <w:rFonts w:ascii="Book Antiqua" w:hAnsi="Book Antiqua" w:cs="Arial"/>
          <w:b/>
          <w:bCs/>
          <w:color w:val="000000" w:themeColor="text1"/>
        </w:rPr>
        <w:t>hepatocellular carcinoma</w:t>
      </w:r>
      <w:r w:rsidRPr="00807723">
        <w:rPr>
          <w:rFonts w:ascii="Book Antiqua" w:hAnsi="Book Antiqua"/>
          <w:b/>
          <w:bCs/>
          <w:color w:val="000000" w:themeColor="text1"/>
        </w:rPr>
        <w:t xml:space="preserve"> cases</w:t>
      </w:r>
    </w:p>
    <w:tbl>
      <w:tblPr>
        <w:tblStyle w:val="ad"/>
        <w:tblW w:w="480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1871"/>
        <w:gridCol w:w="2671"/>
      </w:tblGrid>
      <w:tr w:rsidR="00A40FE6" w:rsidRPr="00807723" w14:paraId="3722EEC0" w14:textId="77777777">
        <w:trPr>
          <w:trHeight w:val="433"/>
        </w:trPr>
        <w:tc>
          <w:tcPr>
            <w:tcW w:w="3514" w:type="pct"/>
            <w:gridSpan w:val="2"/>
            <w:tcBorders>
              <w:top w:val="single" w:sz="4" w:space="0" w:color="auto"/>
              <w:bottom w:val="single" w:sz="4" w:space="0" w:color="auto"/>
            </w:tcBorders>
            <w:noWrap/>
            <w:vAlign w:val="center"/>
          </w:tcPr>
          <w:p w14:paraId="274D84D6" w14:textId="77777777" w:rsidR="00A40FE6" w:rsidRPr="00807723" w:rsidRDefault="00A40FE6">
            <w:pPr>
              <w:spacing w:line="360" w:lineRule="auto"/>
              <w:jc w:val="both"/>
              <w:rPr>
                <w:rFonts w:ascii="Book Antiqua" w:hAnsi="Book Antiqua" w:cs="Arial"/>
                <w:b/>
                <w:bCs/>
                <w:color w:val="000000" w:themeColor="text1"/>
              </w:rPr>
            </w:pPr>
          </w:p>
        </w:tc>
        <w:tc>
          <w:tcPr>
            <w:tcW w:w="1486" w:type="pct"/>
            <w:tcBorders>
              <w:top w:val="single" w:sz="4" w:space="0" w:color="auto"/>
              <w:bottom w:val="single" w:sz="4" w:space="0" w:color="auto"/>
            </w:tcBorders>
            <w:noWrap/>
            <w:vAlign w:val="center"/>
          </w:tcPr>
          <w:p w14:paraId="63EDDC22" w14:textId="77777777" w:rsidR="00A40FE6" w:rsidRPr="00807723" w:rsidRDefault="00214602">
            <w:pPr>
              <w:spacing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HCC (</w:t>
            </w:r>
            <w:r w:rsidRPr="00807723">
              <w:rPr>
                <w:rFonts w:ascii="Book Antiqua" w:hAnsi="Book Antiqua"/>
                <w:b/>
                <w:bCs/>
                <w:i/>
                <w:iCs/>
                <w:color w:val="000000" w:themeColor="text1"/>
              </w:rPr>
              <w:t>n</w:t>
            </w:r>
            <w:r w:rsidRPr="00807723">
              <w:rPr>
                <w:rFonts w:ascii="Book Antiqua" w:hAnsi="Book Antiqua" w:cs="Arial"/>
                <w:b/>
                <w:bCs/>
                <w:color w:val="000000" w:themeColor="text1"/>
              </w:rPr>
              <w:t xml:space="preserve"> = 30)</w:t>
            </w:r>
          </w:p>
        </w:tc>
      </w:tr>
      <w:tr w:rsidR="00A40FE6" w:rsidRPr="00807723" w14:paraId="5AAB5840" w14:textId="77777777">
        <w:trPr>
          <w:trHeight w:val="433"/>
        </w:trPr>
        <w:tc>
          <w:tcPr>
            <w:tcW w:w="2473" w:type="pct"/>
            <w:vMerge w:val="restart"/>
            <w:tcBorders>
              <w:top w:val="single" w:sz="4" w:space="0" w:color="auto"/>
            </w:tcBorders>
            <w:noWrap/>
            <w:vAlign w:val="center"/>
          </w:tcPr>
          <w:p w14:paraId="522E12E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Size</w:t>
            </w:r>
          </w:p>
        </w:tc>
        <w:tc>
          <w:tcPr>
            <w:tcW w:w="1041" w:type="pct"/>
            <w:tcBorders>
              <w:top w:val="single" w:sz="4" w:space="0" w:color="auto"/>
            </w:tcBorders>
            <w:noWrap/>
            <w:vAlign w:val="center"/>
          </w:tcPr>
          <w:p w14:paraId="4C97982F"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&lt; 2 cm</w:t>
            </w:r>
          </w:p>
        </w:tc>
        <w:tc>
          <w:tcPr>
            <w:tcW w:w="1486" w:type="pct"/>
            <w:tcBorders>
              <w:top w:val="single" w:sz="4" w:space="0" w:color="auto"/>
            </w:tcBorders>
            <w:noWrap/>
            <w:vAlign w:val="center"/>
          </w:tcPr>
          <w:p w14:paraId="6EB6175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3 (10%)</w:t>
            </w:r>
          </w:p>
        </w:tc>
      </w:tr>
      <w:tr w:rsidR="00A40FE6" w:rsidRPr="00807723" w14:paraId="3CB2FA4D" w14:textId="77777777">
        <w:trPr>
          <w:trHeight w:val="433"/>
        </w:trPr>
        <w:tc>
          <w:tcPr>
            <w:tcW w:w="2473" w:type="pct"/>
            <w:vMerge/>
            <w:noWrap/>
            <w:vAlign w:val="center"/>
          </w:tcPr>
          <w:p w14:paraId="7A6566B0" w14:textId="77777777" w:rsidR="00A40FE6" w:rsidRPr="00807723" w:rsidRDefault="00A40FE6">
            <w:pPr>
              <w:spacing w:line="360" w:lineRule="auto"/>
              <w:jc w:val="both"/>
              <w:rPr>
                <w:rFonts w:ascii="Book Antiqua" w:hAnsi="Book Antiqua" w:cs="Arial"/>
                <w:color w:val="000000" w:themeColor="text1"/>
              </w:rPr>
            </w:pPr>
          </w:p>
        </w:tc>
        <w:tc>
          <w:tcPr>
            <w:tcW w:w="1041" w:type="pct"/>
            <w:noWrap/>
            <w:vAlign w:val="center"/>
          </w:tcPr>
          <w:p w14:paraId="1F216D2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2-3 cm</w:t>
            </w:r>
          </w:p>
        </w:tc>
        <w:tc>
          <w:tcPr>
            <w:tcW w:w="1486" w:type="pct"/>
            <w:noWrap/>
            <w:vAlign w:val="center"/>
          </w:tcPr>
          <w:p w14:paraId="6065CE9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17 (56.7%)</w:t>
            </w:r>
          </w:p>
        </w:tc>
      </w:tr>
      <w:tr w:rsidR="00A40FE6" w:rsidRPr="00807723" w14:paraId="1906CD92" w14:textId="77777777">
        <w:trPr>
          <w:trHeight w:val="433"/>
        </w:trPr>
        <w:tc>
          <w:tcPr>
            <w:tcW w:w="2473" w:type="pct"/>
            <w:vMerge/>
            <w:vAlign w:val="center"/>
          </w:tcPr>
          <w:p w14:paraId="39394373" w14:textId="77777777" w:rsidR="00A40FE6" w:rsidRPr="00807723" w:rsidRDefault="00A40FE6">
            <w:pPr>
              <w:spacing w:line="360" w:lineRule="auto"/>
              <w:jc w:val="both"/>
              <w:rPr>
                <w:rFonts w:ascii="Book Antiqua" w:hAnsi="Book Antiqua" w:cs="Arial"/>
                <w:color w:val="000000" w:themeColor="text1"/>
              </w:rPr>
            </w:pPr>
          </w:p>
        </w:tc>
        <w:tc>
          <w:tcPr>
            <w:tcW w:w="1041" w:type="pct"/>
            <w:noWrap/>
            <w:vAlign w:val="center"/>
          </w:tcPr>
          <w:p w14:paraId="64DD66B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&gt; 5 cm</w:t>
            </w:r>
          </w:p>
        </w:tc>
        <w:tc>
          <w:tcPr>
            <w:tcW w:w="1486" w:type="pct"/>
            <w:noWrap/>
            <w:vAlign w:val="center"/>
          </w:tcPr>
          <w:p w14:paraId="1CB9A54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10 (33.3%)</w:t>
            </w:r>
          </w:p>
        </w:tc>
      </w:tr>
      <w:tr w:rsidR="00A40FE6" w:rsidRPr="00807723" w14:paraId="4861B779" w14:textId="77777777">
        <w:trPr>
          <w:trHeight w:val="433"/>
        </w:trPr>
        <w:tc>
          <w:tcPr>
            <w:tcW w:w="2473" w:type="pct"/>
            <w:vMerge w:val="restart"/>
            <w:noWrap/>
            <w:vAlign w:val="center"/>
          </w:tcPr>
          <w:p w14:paraId="35090AA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Number of tumour foci</w:t>
            </w:r>
          </w:p>
        </w:tc>
        <w:tc>
          <w:tcPr>
            <w:tcW w:w="1041" w:type="pct"/>
            <w:noWrap/>
            <w:vAlign w:val="center"/>
          </w:tcPr>
          <w:p w14:paraId="36EB178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Single</w:t>
            </w:r>
          </w:p>
        </w:tc>
        <w:tc>
          <w:tcPr>
            <w:tcW w:w="1486" w:type="pct"/>
            <w:noWrap/>
            <w:vAlign w:val="center"/>
          </w:tcPr>
          <w:p w14:paraId="73F2E5A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10 (33.3%)</w:t>
            </w:r>
          </w:p>
        </w:tc>
      </w:tr>
      <w:tr w:rsidR="00A40FE6" w:rsidRPr="00807723" w14:paraId="471EFA90" w14:textId="77777777">
        <w:trPr>
          <w:trHeight w:val="433"/>
        </w:trPr>
        <w:tc>
          <w:tcPr>
            <w:tcW w:w="2473" w:type="pct"/>
            <w:vMerge/>
            <w:noWrap/>
            <w:vAlign w:val="center"/>
          </w:tcPr>
          <w:p w14:paraId="67C87B97" w14:textId="77777777" w:rsidR="00A40FE6" w:rsidRPr="00807723" w:rsidRDefault="00A40FE6">
            <w:pPr>
              <w:spacing w:line="360" w:lineRule="auto"/>
              <w:jc w:val="both"/>
              <w:rPr>
                <w:rFonts w:ascii="Book Antiqua" w:hAnsi="Book Antiqua" w:cs="Arial"/>
                <w:color w:val="000000" w:themeColor="text1"/>
              </w:rPr>
            </w:pPr>
          </w:p>
        </w:tc>
        <w:tc>
          <w:tcPr>
            <w:tcW w:w="1041" w:type="pct"/>
            <w:noWrap/>
            <w:vAlign w:val="center"/>
          </w:tcPr>
          <w:p w14:paraId="113A3982"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2-3</w:t>
            </w:r>
          </w:p>
        </w:tc>
        <w:tc>
          <w:tcPr>
            <w:tcW w:w="1486" w:type="pct"/>
            <w:noWrap/>
            <w:vAlign w:val="center"/>
          </w:tcPr>
          <w:p w14:paraId="01BCE80D"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9 (30%)</w:t>
            </w:r>
          </w:p>
        </w:tc>
      </w:tr>
      <w:tr w:rsidR="00A40FE6" w:rsidRPr="00807723" w14:paraId="4E6717A7" w14:textId="77777777">
        <w:trPr>
          <w:trHeight w:val="433"/>
        </w:trPr>
        <w:tc>
          <w:tcPr>
            <w:tcW w:w="2473" w:type="pct"/>
            <w:vMerge/>
            <w:vAlign w:val="center"/>
          </w:tcPr>
          <w:p w14:paraId="0A7F36DE" w14:textId="77777777" w:rsidR="00A40FE6" w:rsidRPr="00807723" w:rsidRDefault="00A40FE6">
            <w:pPr>
              <w:spacing w:line="360" w:lineRule="auto"/>
              <w:jc w:val="both"/>
              <w:rPr>
                <w:rFonts w:ascii="Book Antiqua" w:hAnsi="Book Antiqua" w:cs="Arial"/>
                <w:color w:val="000000" w:themeColor="text1"/>
              </w:rPr>
            </w:pPr>
          </w:p>
        </w:tc>
        <w:tc>
          <w:tcPr>
            <w:tcW w:w="1041" w:type="pct"/>
            <w:noWrap/>
            <w:vAlign w:val="center"/>
          </w:tcPr>
          <w:p w14:paraId="4D6890E1"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Multiple</w:t>
            </w:r>
          </w:p>
        </w:tc>
        <w:tc>
          <w:tcPr>
            <w:tcW w:w="1486" w:type="pct"/>
            <w:noWrap/>
            <w:vAlign w:val="center"/>
          </w:tcPr>
          <w:p w14:paraId="3F8AE45A"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11 (36.7%)</w:t>
            </w:r>
          </w:p>
        </w:tc>
      </w:tr>
      <w:tr w:rsidR="00A40FE6" w:rsidRPr="00807723" w14:paraId="0BF72690" w14:textId="77777777">
        <w:trPr>
          <w:trHeight w:val="433"/>
        </w:trPr>
        <w:tc>
          <w:tcPr>
            <w:tcW w:w="2473" w:type="pct"/>
            <w:vMerge w:val="restart"/>
            <w:noWrap/>
            <w:vAlign w:val="center"/>
          </w:tcPr>
          <w:p w14:paraId="64033C08"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Portal vein thrombosis</w:t>
            </w:r>
          </w:p>
        </w:tc>
        <w:tc>
          <w:tcPr>
            <w:tcW w:w="1041" w:type="pct"/>
            <w:noWrap/>
            <w:vAlign w:val="center"/>
          </w:tcPr>
          <w:p w14:paraId="6B22DAF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486" w:type="pct"/>
            <w:noWrap/>
            <w:vAlign w:val="center"/>
          </w:tcPr>
          <w:p w14:paraId="3338252E"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21 (70%)</w:t>
            </w:r>
          </w:p>
        </w:tc>
      </w:tr>
      <w:tr w:rsidR="00A40FE6" w:rsidRPr="00807723" w14:paraId="2DFEE788" w14:textId="77777777">
        <w:trPr>
          <w:trHeight w:val="433"/>
        </w:trPr>
        <w:tc>
          <w:tcPr>
            <w:tcW w:w="2473" w:type="pct"/>
            <w:vMerge/>
            <w:vAlign w:val="center"/>
          </w:tcPr>
          <w:p w14:paraId="238F156A" w14:textId="77777777" w:rsidR="00A40FE6" w:rsidRPr="00807723" w:rsidRDefault="00A40FE6">
            <w:pPr>
              <w:spacing w:line="360" w:lineRule="auto"/>
              <w:jc w:val="both"/>
              <w:rPr>
                <w:rFonts w:ascii="Book Antiqua" w:hAnsi="Book Antiqua" w:cs="Arial"/>
                <w:color w:val="000000" w:themeColor="text1"/>
              </w:rPr>
            </w:pPr>
          </w:p>
        </w:tc>
        <w:tc>
          <w:tcPr>
            <w:tcW w:w="1041" w:type="pct"/>
            <w:noWrap/>
            <w:vAlign w:val="center"/>
          </w:tcPr>
          <w:p w14:paraId="433558B4"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486" w:type="pct"/>
            <w:noWrap/>
            <w:vAlign w:val="center"/>
          </w:tcPr>
          <w:p w14:paraId="7098B90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9 (30%)</w:t>
            </w:r>
          </w:p>
        </w:tc>
      </w:tr>
      <w:tr w:rsidR="00A40FE6" w:rsidRPr="00807723" w14:paraId="37643C90" w14:textId="77777777">
        <w:trPr>
          <w:trHeight w:val="433"/>
        </w:trPr>
        <w:tc>
          <w:tcPr>
            <w:tcW w:w="2473" w:type="pct"/>
            <w:vMerge w:val="restart"/>
            <w:noWrap/>
            <w:vAlign w:val="center"/>
          </w:tcPr>
          <w:p w14:paraId="270529D8"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Metastasis</w:t>
            </w:r>
          </w:p>
        </w:tc>
        <w:tc>
          <w:tcPr>
            <w:tcW w:w="1041" w:type="pct"/>
            <w:noWrap/>
            <w:vAlign w:val="center"/>
          </w:tcPr>
          <w:p w14:paraId="0C230A5B"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486" w:type="pct"/>
            <w:noWrap/>
            <w:vAlign w:val="center"/>
          </w:tcPr>
          <w:p w14:paraId="3750F217"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27</w:t>
            </w:r>
          </w:p>
        </w:tc>
      </w:tr>
      <w:tr w:rsidR="00A40FE6" w:rsidRPr="00807723" w14:paraId="6D9A2DE1" w14:textId="77777777">
        <w:trPr>
          <w:trHeight w:val="433"/>
        </w:trPr>
        <w:tc>
          <w:tcPr>
            <w:tcW w:w="2473" w:type="pct"/>
            <w:vMerge/>
            <w:vAlign w:val="center"/>
          </w:tcPr>
          <w:p w14:paraId="1B7442D9" w14:textId="77777777" w:rsidR="00A40FE6" w:rsidRPr="00807723" w:rsidRDefault="00A40FE6">
            <w:pPr>
              <w:spacing w:line="360" w:lineRule="auto"/>
              <w:jc w:val="both"/>
              <w:rPr>
                <w:rFonts w:ascii="Book Antiqua" w:hAnsi="Book Antiqua" w:cs="Arial"/>
                <w:color w:val="000000" w:themeColor="text1"/>
              </w:rPr>
            </w:pPr>
          </w:p>
        </w:tc>
        <w:tc>
          <w:tcPr>
            <w:tcW w:w="1041" w:type="pct"/>
            <w:noWrap/>
            <w:vAlign w:val="center"/>
          </w:tcPr>
          <w:p w14:paraId="56352CD6"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486" w:type="pct"/>
            <w:noWrap/>
            <w:vAlign w:val="center"/>
          </w:tcPr>
          <w:p w14:paraId="5105FBD0"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3</w:t>
            </w:r>
          </w:p>
        </w:tc>
      </w:tr>
    </w:tbl>
    <w:p w14:paraId="4EDF1057" w14:textId="77777777" w:rsidR="00A40FE6" w:rsidRPr="00807723" w:rsidRDefault="00214602">
      <w:pPr>
        <w:spacing w:line="360" w:lineRule="auto"/>
        <w:jc w:val="both"/>
        <w:rPr>
          <w:rFonts w:ascii="Book Antiqua" w:hAnsi="Book Antiqua"/>
          <w:b/>
          <w:bCs/>
          <w:color w:val="000000" w:themeColor="text1"/>
          <w:lang w:bidi="ar-EG"/>
        </w:rPr>
      </w:pPr>
      <w:r w:rsidRPr="00807723">
        <w:rPr>
          <w:rFonts w:ascii="Book Antiqua" w:hAnsi="Book Antiqua" w:cs="Arial"/>
          <w:color w:val="000000" w:themeColor="text1"/>
        </w:rPr>
        <w:t>HCC: Hepatocellular carcinoma.</w:t>
      </w:r>
    </w:p>
    <w:p w14:paraId="5E82C055"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color w:val="000000" w:themeColor="text1"/>
        </w:rPr>
        <w:br w:type="page"/>
      </w:r>
      <w:r w:rsidRPr="00807723">
        <w:rPr>
          <w:rFonts w:ascii="Book Antiqua" w:hAnsi="Book Antiqua"/>
          <w:b/>
          <w:bCs/>
          <w:color w:val="000000" w:themeColor="text1"/>
        </w:rPr>
        <w:lastRenderedPageBreak/>
        <w:t xml:space="preserve"> Table 4 Serum </w:t>
      </w:r>
      <w:r w:rsidRPr="00807723">
        <w:rPr>
          <w:rFonts w:ascii="Book Antiqua" w:hAnsi="Book Antiqua"/>
          <w:b/>
          <w:bCs/>
          <w:color w:val="000000" w:themeColor="text1"/>
          <w:lang w:bidi="ar-EG"/>
        </w:rPr>
        <w:t>fibroblast growth factor 19</w:t>
      </w:r>
      <w:r w:rsidRPr="00807723">
        <w:rPr>
          <w:rFonts w:ascii="Book Antiqua" w:hAnsi="Book Antiqua"/>
          <w:b/>
          <w:bCs/>
          <w:color w:val="000000" w:themeColor="text1"/>
        </w:rPr>
        <w:t xml:space="preserve"> levels according to variables in the </w:t>
      </w:r>
      <w:r w:rsidRPr="00807723">
        <w:rPr>
          <w:rFonts w:ascii="Book Antiqua" w:hAnsi="Book Antiqua" w:cs="Arial"/>
          <w:b/>
          <w:bCs/>
          <w:color w:val="000000" w:themeColor="text1"/>
        </w:rPr>
        <w:t>hepatocellular carcinoma</w:t>
      </w:r>
      <w:r w:rsidRPr="00807723">
        <w:rPr>
          <w:rFonts w:ascii="Book Antiqua" w:hAnsi="Book Antiqua"/>
          <w:b/>
          <w:bCs/>
          <w:color w:val="000000" w:themeColor="text1"/>
        </w:rPr>
        <w:t xml:space="preserve"> group </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1241"/>
        <w:gridCol w:w="3564"/>
        <w:gridCol w:w="1136"/>
      </w:tblGrid>
      <w:tr w:rsidR="00A40FE6" w:rsidRPr="00807723" w14:paraId="2A8C603D" w14:textId="77777777">
        <w:trPr>
          <w:trHeight w:val="835"/>
        </w:trPr>
        <w:tc>
          <w:tcPr>
            <w:tcW w:w="2489" w:type="pct"/>
            <w:gridSpan w:val="2"/>
            <w:tcBorders>
              <w:top w:val="single" w:sz="4" w:space="0" w:color="auto"/>
              <w:bottom w:val="single" w:sz="4" w:space="0" w:color="auto"/>
            </w:tcBorders>
            <w:noWrap/>
            <w:vAlign w:val="center"/>
          </w:tcPr>
          <w:p w14:paraId="591957D7" w14:textId="77777777" w:rsidR="00A40FE6" w:rsidRPr="00807723" w:rsidRDefault="00A40FE6">
            <w:pPr>
              <w:spacing w:before="40" w:after="40" w:line="360" w:lineRule="auto"/>
              <w:jc w:val="both"/>
              <w:rPr>
                <w:rFonts w:ascii="Book Antiqua" w:hAnsi="Book Antiqua" w:cs="Arial"/>
                <w:b/>
                <w:bCs/>
                <w:color w:val="000000" w:themeColor="text1"/>
              </w:rPr>
            </w:pPr>
          </w:p>
        </w:tc>
        <w:tc>
          <w:tcPr>
            <w:tcW w:w="1904" w:type="pct"/>
            <w:tcBorders>
              <w:top w:val="single" w:sz="4" w:space="0" w:color="auto"/>
              <w:bottom w:val="single" w:sz="4" w:space="0" w:color="auto"/>
            </w:tcBorders>
            <w:noWrap/>
            <w:vAlign w:val="center"/>
          </w:tcPr>
          <w:p w14:paraId="3C4BC094" w14:textId="77777777" w:rsidR="00A40FE6" w:rsidRPr="00807723" w:rsidRDefault="00214602">
            <w:pPr>
              <w:spacing w:before="40" w:after="4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 xml:space="preserve">FGF-19 </w:t>
            </w:r>
            <w:proofErr w:type="spellStart"/>
            <w:r w:rsidRPr="00807723">
              <w:rPr>
                <w:rFonts w:ascii="Book Antiqua" w:hAnsi="Book Antiqua" w:cs="Arial"/>
                <w:b/>
                <w:bCs/>
                <w:color w:val="000000" w:themeColor="text1"/>
              </w:rPr>
              <w:t>pg</w:t>
            </w:r>
            <w:proofErr w:type="spellEnd"/>
            <w:r w:rsidRPr="00807723">
              <w:rPr>
                <w:rFonts w:ascii="Book Antiqua" w:hAnsi="Book Antiqua" w:cs="Arial"/>
                <w:b/>
                <w:bCs/>
                <w:color w:val="000000" w:themeColor="text1"/>
              </w:rPr>
              <w:t>/mL (mean ± SD)</w:t>
            </w:r>
          </w:p>
        </w:tc>
        <w:tc>
          <w:tcPr>
            <w:tcW w:w="607" w:type="pct"/>
            <w:tcBorders>
              <w:top w:val="single" w:sz="4" w:space="0" w:color="auto"/>
              <w:bottom w:val="single" w:sz="4" w:space="0" w:color="auto"/>
            </w:tcBorders>
            <w:noWrap/>
            <w:vAlign w:val="center"/>
          </w:tcPr>
          <w:p w14:paraId="4127AFB4" w14:textId="77777777" w:rsidR="00A40FE6" w:rsidRPr="00807723" w:rsidRDefault="00214602">
            <w:pPr>
              <w:spacing w:before="40" w:after="40" w:line="360" w:lineRule="auto"/>
              <w:jc w:val="both"/>
              <w:rPr>
                <w:rFonts w:ascii="Book Antiqua" w:hAnsi="Book Antiqua" w:cs="Arial"/>
                <w:b/>
                <w:bCs/>
                <w:color w:val="000000" w:themeColor="text1"/>
              </w:rPr>
            </w:pPr>
            <w:r w:rsidRPr="00807723">
              <w:rPr>
                <w:rFonts w:ascii="Book Antiqua" w:hAnsi="Book Antiqua" w:cs="Arial"/>
                <w:b/>
                <w:bCs/>
                <w:i/>
                <w:iCs/>
                <w:color w:val="000000" w:themeColor="text1"/>
              </w:rPr>
              <w:t xml:space="preserve">P </w:t>
            </w:r>
            <w:r w:rsidRPr="00807723">
              <w:rPr>
                <w:rFonts w:ascii="Book Antiqua" w:hAnsi="Book Antiqua" w:cs="Arial"/>
                <w:b/>
                <w:bCs/>
                <w:color w:val="000000" w:themeColor="text1"/>
              </w:rPr>
              <w:t>value</w:t>
            </w:r>
          </w:p>
        </w:tc>
      </w:tr>
      <w:tr w:rsidR="00A40FE6" w:rsidRPr="00807723" w14:paraId="338F051D" w14:textId="77777777">
        <w:tc>
          <w:tcPr>
            <w:tcW w:w="1826" w:type="pct"/>
            <w:vMerge w:val="restart"/>
            <w:tcBorders>
              <w:top w:val="single" w:sz="4" w:space="0" w:color="auto"/>
            </w:tcBorders>
            <w:noWrap/>
            <w:vAlign w:val="center"/>
          </w:tcPr>
          <w:p w14:paraId="6654C17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Size</w:t>
            </w:r>
          </w:p>
        </w:tc>
        <w:tc>
          <w:tcPr>
            <w:tcW w:w="662" w:type="pct"/>
            <w:tcBorders>
              <w:top w:val="single" w:sz="4" w:space="0" w:color="auto"/>
            </w:tcBorders>
            <w:noWrap/>
            <w:vAlign w:val="center"/>
          </w:tcPr>
          <w:p w14:paraId="5C8E48F2"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&lt; 2 cm</w:t>
            </w:r>
          </w:p>
        </w:tc>
        <w:tc>
          <w:tcPr>
            <w:tcW w:w="1904" w:type="pct"/>
            <w:tcBorders>
              <w:top w:val="single" w:sz="4" w:space="0" w:color="auto"/>
            </w:tcBorders>
            <w:noWrap/>
            <w:vAlign w:val="center"/>
          </w:tcPr>
          <w:p w14:paraId="59914288"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219.9 ± 51.79</w:t>
            </w:r>
          </w:p>
        </w:tc>
        <w:tc>
          <w:tcPr>
            <w:tcW w:w="607" w:type="pct"/>
            <w:vMerge w:val="restart"/>
            <w:tcBorders>
              <w:top w:val="single" w:sz="4" w:space="0" w:color="auto"/>
            </w:tcBorders>
            <w:noWrap/>
            <w:vAlign w:val="center"/>
          </w:tcPr>
          <w:p w14:paraId="34B2345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0.254</w:t>
            </w:r>
          </w:p>
        </w:tc>
      </w:tr>
      <w:tr w:rsidR="00A40FE6" w:rsidRPr="00807723" w14:paraId="353F698C" w14:textId="77777777">
        <w:tc>
          <w:tcPr>
            <w:tcW w:w="1826" w:type="pct"/>
            <w:vMerge/>
            <w:vAlign w:val="center"/>
          </w:tcPr>
          <w:p w14:paraId="10C3E7A7"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noWrap/>
            <w:vAlign w:val="center"/>
          </w:tcPr>
          <w:p w14:paraId="469ABB6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2-3 cm</w:t>
            </w:r>
          </w:p>
        </w:tc>
        <w:tc>
          <w:tcPr>
            <w:tcW w:w="1904" w:type="pct"/>
            <w:noWrap/>
            <w:vAlign w:val="center"/>
          </w:tcPr>
          <w:p w14:paraId="391407B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229.2 ± 36.06</w:t>
            </w:r>
          </w:p>
        </w:tc>
        <w:tc>
          <w:tcPr>
            <w:tcW w:w="607" w:type="pct"/>
            <w:vMerge/>
            <w:vAlign w:val="center"/>
          </w:tcPr>
          <w:p w14:paraId="50786173" w14:textId="77777777" w:rsidR="00A40FE6" w:rsidRPr="00807723" w:rsidRDefault="00A40FE6">
            <w:pPr>
              <w:spacing w:before="40" w:after="40" w:line="360" w:lineRule="auto"/>
              <w:jc w:val="both"/>
              <w:rPr>
                <w:rFonts w:ascii="Book Antiqua" w:hAnsi="Book Antiqua" w:cs="Arial"/>
                <w:color w:val="000000" w:themeColor="text1"/>
              </w:rPr>
            </w:pPr>
          </w:p>
        </w:tc>
      </w:tr>
      <w:tr w:rsidR="00A40FE6" w:rsidRPr="00807723" w14:paraId="794D3263" w14:textId="77777777">
        <w:tc>
          <w:tcPr>
            <w:tcW w:w="1826" w:type="pct"/>
            <w:vMerge/>
            <w:vAlign w:val="center"/>
          </w:tcPr>
          <w:p w14:paraId="5CC0E17F"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noWrap/>
            <w:vAlign w:val="center"/>
          </w:tcPr>
          <w:p w14:paraId="6E97A378"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&gt; 5 cm</w:t>
            </w:r>
          </w:p>
        </w:tc>
        <w:tc>
          <w:tcPr>
            <w:tcW w:w="1904" w:type="pct"/>
            <w:noWrap/>
            <w:vAlign w:val="center"/>
          </w:tcPr>
          <w:p w14:paraId="4A6726BB"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253.72 ± 44.39</w:t>
            </w:r>
          </w:p>
        </w:tc>
        <w:tc>
          <w:tcPr>
            <w:tcW w:w="607" w:type="pct"/>
            <w:vMerge/>
            <w:vAlign w:val="center"/>
          </w:tcPr>
          <w:p w14:paraId="7245C2C0" w14:textId="77777777" w:rsidR="00A40FE6" w:rsidRPr="00807723" w:rsidRDefault="00A40FE6">
            <w:pPr>
              <w:spacing w:before="40" w:after="40" w:line="360" w:lineRule="auto"/>
              <w:jc w:val="both"/>
              <w:rPr>
                <w:rFonts w:ascii="Book Antiqua" w:hAnsi="Book Antiqua" w:cs="Arial"/>
                <w:color w:val="000000" w:themeColor="text1"/>
              </w:rPr>
            </w:pPr>
          </w:p>
        </w:tc>
      </w:tr>
      <w:tr w:rsidR="00A40FE6" w:rsidRPr="00807723" w14:paraId="30F00AC6" w14:textId="77777777">
        <w:tc>
          <w:tcPr>
            <w:tcW w:w="1826" w:type="pct"/>
            <w:vMerge w:val="restart"/>
            <w:noWrap/>
            <w:vAlign w:val="center"/>
          </w:tcPr>
          <w:p w14:paraId="2192FCDF"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Number</w:t>
            </w:r>
          </w:p>
        </w:tc>
        <w:tc>
          <w:tcPr>
            <w:tcW w:w="662" w:type="pct"/>
            <w:noWrap/>
            <w:vAlign w:val="center"/>
          </w:tcPr>
          <w:p w14:paraId="1EFBC90F"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Single</w:t>
            </w:r>
          </w:p>
        </w:tc>
        <w:tc>
          <w:tcPr>
            <w:tcW w:w="1904" w:type="pct"/>
            <w:noWrap/>
            <w:vAlign w:val="center"/>
          </w:tcPr>
          <w:p w14:paraId="3C5D1A51"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234.17 ± 36.38</w:t>
            </w:r>
          </w:p>
        </w:tc>
        <w:tc>
          <w:tcPr>
            <w:tcW w:w="607" w:type="pct"/>
            <w:vMerge w:val="restart"/>
            <w:noWrap/>
            <w:vAlign w:val="center"/>
          </w:tcPr>
          <w:p w14:paraId="5AC77568"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0.885</w:t>
            </w:r>
          </w:p>
        </w:tc>
      </w:tr>
      <w:tr w:rsidR="00A40FE6" w:rsidRPr="00807723" w14:paraId="7EADB28C" w14:textId="77777777">
        <w:tc>
          <w:tcPr>
            <w:tcW w:w="1826" w:type="pct"/>
            <w:vMerge/>
            <w:vAlign w:val="center"/>
          </w:tcPr>
          <w:p w14:paraId="03DA084E"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noWrap/>
            <w:vAlign w:val="center"/>
          </w:tcPr>
          <w:p w14:paraId="5E7D388E"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2 - 3</w:t>
            </w:r>
          </w:p>
        </w:tc>
        <w:tc>
          <w:tcPr>
            <w:tcW w:w="1904" w:type="pct"/>
            <w:noWrap/>
            <w:vAlign w:val="center"/>
          </w:tcPr>
          <w:p w14:paraId="04EF7D7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242.28 ± 45.69</w:t>
            </w:r>
          </w:p>
        </w:tc>
        <w:tc>
          <w:tcPr>
            <w:tcW w:w="607" w:type="pct"/>
            <w:vMerge/>
            <w:vAlign w:val="center"/>
          </w:tcPr>
          <w:p w14:paraId="72AD5548" w14:textId="77777777" w:rsidR="00A40FE6" w:rsidRPr="00807723" w:rsidRDefault="00A40FE6">
            <w:pPr>
              <w:spacing w:before="40" w:after="40" w:line="360" w:lineRule="auto"/>
              <w:jc w:val="both"/>
              <w:rPr>
                <w:rFonts w:ascii="Book Antiqua" w:hAnsi="Book Antiqua" w:cs="Arial"/>
                <w:color w:val="000000" w:themeColor="text1"/>
              </w:rPr>
            </w:pPr>
          </w:p>
        </w:tc>
      </w:tr>
      <w:tr w:rsidR="00A40FE6" w:rsidRPr="00807723" w14:paraId="32C967C5" w14:textId="77777777">
        <w:tc>
          <w:tcPr>
            <w:tcW w:w="1826" w:type="pct"/>
            <w:vMerge/>
            <w:vAlign w:val="center"/>
          </w:tcPr>
          <w:p w14:paraId="68A7ADC0"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noWrap/>
            <w:vAlign w:val="center"/>
          </w:tcPr>
          <w:p w14:paraId="03C1999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Multiple</w:t>
            </w:r>
          </w:p>
        </w:tc>
        <w:tc>
          <w:tcPr>
            <w:tcW w:w="1904" w:type="pct"/>
            <w:noWrap/>
            <w:vAlign w:val="center"/>
          </w:tcPr>
          <w:p w14:paraId="352CD1A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233.74 ± 44.22</w:t>
            </w:r>
          </w:p>
        </w:tc>
        <w:tc>
          <w:tcPr>
            <w:tcW w:w="607" w:type="pct"/>
            <w:vMerge/>
            <w:vAlign w:val="center"/>
          </w:tcPr>
          <w:p w14:paraId="1372B654" w14:textId="77777777" w:rsidR="00A40FE6" w:rsidRPr="00807723" w:rsidRDefault="00A40FE6">
            <w:pPr>
              <w:spacing w:before="40" w:after="40" w:line="360" w:lineRule="auto"/>
              <w:jc w:val="both"/>
              <w:rPr>
                <w:rFonts w:ascii="Book Antiqua" w:hAnsi="Book Antiqua" w:cs="Arial"/>
                <w:color w:val="000000" w:themeColor="text1"/>
              </w:rPr>
            </w:pPr>
          </w:p>
        </w:tc>
      </w:tr>
      <w:tr w:rsidR="00A40FE6" w:rsidRPr="00807723" w14:paraId="7A2DCE36" w14:textId="77777777">
        <w:tc>
          <w:tcPr>
            <w:tcW w:w="1826" w:type="pct"/>
            <w:vMerge w:val="restart"/>
            <w:noWrap/>
            <w:vAlign w:val="center"/>
          </w:tcPr>
          <w:p w14:paraId="739EAD55"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Portal vein thrombosis</w:t>
            </w:r>
          </w:p>
        </w:tc>
        <w:tc>
          <w:tcPr>
            <w:tcW w:w="662" w:type="pct"/>
            <w:noWrap/>
            <w:vAlign w:val="center"/>
          </w:tcPr>
          <w:p w14:paraId="296C7BA2"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904" w:type="pct"/>
            <w:noWrap/>
            <w:vAlign w:val="center"/>
          </w:tcPr>
          <w:p w14:paraId="41CFC31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230.55 ± 39.13</w:t>
            </w:r>
          </w:p>
        </w:tc>
        <w:tc>
          <w:tcPr>
            <w:tcW w:w="607" w:type="pct"/>
            <w:vMerge w:val="restart"/>
            <w:noWrap/>
            <w:vAlign w:val="center"/>
          </w:tcPr>
          <w:p w14:paraId="5A7CA0B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0.235</w:t>
            </w:r>
          </w:p>
        </w:tc>
      </w:tr>
      <w:tr w:rsidR="00A40FE6" w:rsidRPr="00807723" w14:paraId="504A5AEB" w14:textId="77777777">
        <w:tc>
          <w:tcPr>
            <w:tcW w:w="1826" w:type="pct"/>
            <w:vMerge/>
            <w:vAlign w:val="center"/>
          </w:tcPr>
          <w:p w14:paraId="4A4CEFFE"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noWrap/>
            <w:vAlign w:val="center"/>
          </w:tcPr>
          <w:p w14:paraId="049FBF37"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904" w:type="pct"/>
            <w:noWrap/>
            <w:vAlign w:val="center"/>
          </w:tcPr>
          <w:p w14:paraId="7F774F95"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250.2 ± 44.08</w:t>
            </w:r>
          </w:p>
        </w:tc>
        <w:tc>
          <w:tcPr>
            <w:tcW w:w="607" w:type="pct"/>
            <w:vMerge/>
            <w:vAlign w:val="center"/>
          </w:tcPr>
          <w:p w14:paraId="1F350696" w14:textId="77777777" w:rsidR="00A40FE6" w:rsidRPr="00807723" w:rsidRDefault="00A40FE6">
            <w:pPr>
              <w:spacing w:before="40" w:after="40" w:line="360" w:lineRule="auto"/>
              <w:jc w:val="both"/>
              <w:rPr>
                <w:rFonts w:ascii="Book Antiqua" w:hAnsi="Book Antiqua" w:cs="Arial"/>
                <w:color w:val="000000" w:themeColor="text1"/>
              </w:rPr>
            </w:pPr>
          </w:p>
        </w:tc>
      </w:tr>
      <w:tr w:rsidR="00A40FE6" w:rsidRPr="00807723" w14:paraId="52B590E8" w14:textId="77777777">
        <w:trPr>
          <w:trHeight w:val="595"/>
        </w:trPr>
        <w:tc>
          <w:tcPr>
            <w:tcW w:w="1826" w:type="pct"/>
            <w:vMerge w:val="restart"/>
            <w:noWrap/>
            <w:vAlign w:val="center"/>
          </w:tcPr>
          <w:p w14:paraId="4F8ECC9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Right upper quadrant pain</w:t>
            </w:r>
          </w:p>
        </w:tc>
        <w:tc>
          <w:tcPr>
            <w:tcW w:w="662" w:type="pct"/>
            <w:vAlign w:val="center"/>
          </w:tcPr>
          <w:p w14:paraId="344B102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904" w:type="pct"/>
            <w:noWrap/>
            <w:vAlign w:val="center"/>
          </w:tcPr>
          <w:p w14:paraId="3EB6649B"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237.171 ± 41.026</w:t>
            </w:r>
          </w:p>
        </w:tc>
        <w:tc>
          <w:tcPr>
            <w:tcW w:w="607" w:type="pct"/>
            <w:vMerge w:val="restart"/>
            <w:noWrap/>
            <w:vAlign w:val="center"/>
          </w:tcPr>
          <w:p w14:paraId="763E64FF"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0.885</w:t>
            </w:r>
          </w:p>
        </w:tc>
      </w:tr>
      <w:tr w:rsidR="00A40FE6" w:rsidRPr="00807723" w14:paraId="1EE36D58" w14:textId="77777777">
        <w:trPr>
          <w:trHeight w:val="595"/>
        </w:trPr>
        <w:tc>
          <w:tcPr>
            <w:tcW w:w="1826" w:type="pct"/>
            <w:vMerge/>
            <w:noWrap/>
            <w:vAlign w:val="center"/>
          </w:tcPr>
          <w:p w14:paraId="1A85014E"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vAlign w:val="center"/>
          </w:tcPr>
          <w:p w14:paraId="7B8FCBD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904" w:type="pct"/>
            <w:noWrap/>
            <w:vAlign w:val="center"/>
          </w:tcPr>
          <w:p w14:paraId="568B4A39"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234.744 ± 43.163</w:t>
            </w:r>
          </w:p>
        </w:tc>
        <w:tc>
          <w:tcPr>
            <w:tcW w:w="607" w:type="pct"/>
            <w:vMerge/>
            <w:noWrap/>
            <w:vAlign w:val="center"/>
          </w:tcPr>
          <w:p w14:paraId="38AB4E31" w14:textId="77777777" w:rsidR="00A40FE6" w:rsidRPr="00807723" w:rsidRDefault="00A40FE6">
            <w:pPr>
              <w:spacing w:before="120" w:after="120" w:line="360" w:lineRule="auto"/>
              <w:jc w:val="both"/>
              <w:rPr>
                <w:rFonts w:ascii="Book Antiqua" w:hAnsi="Book Antiqua" w:cs="Arial"/>
                <w:color w:val="000000" w:themeColor="text1"/>
              </w:rPr>
            </w:pPr>
          </w:p>
        </w:tc>
      </w:tr>
      <w:tr w:rsidR="00A40FE6" w:rsidRPr="00807723" w14:paraId="1EDF3BAD" w14:textId="77777777">
        <w:trPr>
          <w:trHeight w:val="350"/>
        </w:trPr>
        <w:tc>
          <w:tcPr>
            <w:tcW w:w="1826" w:type="pct"/>
            <w:vMerge w:val="restart"/>
            <w:noWrap/>
            <w:vAlign w:val="center"/>
          </w:tcPr>
          <w:p w14:paraId="15E67DA5"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Weight loss</w:t>
            </w:r>
          </w:p>
        </w:tc>
        <w:tc>
          <w:tcPr>
            <w:tcW w:w="662" w:type="pct"/>
            <w:vAlign w:val="center"/>
          </w:tcPr>
          <w:p w14:paraId="466EF10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904" w:type="pct"/>
            <w:noWrap/>
            <w:vAlign w:val="center"/>
          </w:tcPr>
          <w:p w14:paraId="29210AA2"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229.132 ± 34.285</w:t>
            </w:r>
          </w:p>
        </w:tc>
        <w:tc>
          <w:tcPr>
            <w:tcW w:w="607" w:type="pct"/>
            <w:vMerge w:val="restart"/>
            <w:noWrap/>
            <w:vAlign w:val="center"/>
          </w:tcPr>
          <w:p w14:paraId="73A1BD11"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0.106</w:t>
            </w:r>
          </w:p>
        </w:tc>
      </w:tr>
      <w:tr w:rsidR="00A40FE6" w:rsidRPr="00807723" w14:paraId="6ADD3B18" w14:textId="77777777">
        <w:trPr>
          <w:trHeight w:val="349"/>
        </w:trPr>
        <w:tc>
          <w:tcPr>
            <w:tcW w:w="1826" w:type="pct"/>
            <w:vMerge/>
            <w:noWrap/>
            <w:vAlign w:val="center"/>
          </w:tcPr>
          <w:p w14:paraId="7501111E"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vAlign w:val="center"/>
          </w:tcPr>
          <w:p w14:paraId="44FAB1B8"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904" w:type="pct"/>
            <w:noWrap/>
            <w:vAlign w:val="center"/>
          </w:tcPr>
          <w:p w14:paraId="6080C991"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256.550 ± 52.793</w:t>
            </w:r>
          </w:p>
        </w:tc>
        <w:tc>
          <w:tcPr>
            <w:tcW w:w="607" w:type="pct"/>
            <w:vMerge/>
            <w:noWrap/>
            <w:vAlign w:val="center"/>
          </w:tcPr>
          <w:p w14:paraId="47C1A4D4" w14:textId="77777777" w:rsidR="00A40FE6" w:rsidRPr="00807723" w:rsidRDefault="00A40FE6">
            <w:pPr>
              <w:spacing w:before="120" w:after="120" w:line="360" w:lineRule="auto"/>
              <w:jc w:val="both"/>
              <w:rPr>
                <w:rFonts w:ascii="Book Antiqua" w:hAnsi="Book Antiqua" w:cs="Arial"/>
                <w:color w:val="000000" w:themeColor="text1"/>
              </w:rPr>
            </w:pPr>
          </w:p>
        </w:tc>
      </w:tr>
      <w:tr w:rsidR="00A40FE6" w:rsidRPr="00807723" w14:paraId="05479D77" w14:textId="77777777">
        <w:trPr>
          <w:trHeight w:val="350"/>
        </w:trPr>
        <w:tc>
          <w:tcPr>
            <w:tcW w:w="1826" w:type="pct"/>
            <w:vMerge w:val="restart"/>
            <w:noWrap/>
            <w:vAlign w:val="center"/>
          </w:tcPr>
          <w:p w14:paraId="4430FF01"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Pruritus</w:t>
            </w:r>
          </w:p>
        </w:tc>
        <w:tc>
          <w:tcPr>
            <w:tcW w:w="662" w:type="pct"/>
            <w:vAlign w:val="center"/>
          </w:tcPr>
          <w:p w14:paraId="26B3A9CC"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904" w:type="pct"/>
            <w:noWrap/>
            <w:vAlign w:val="center"/>
          </w:tcPr>
          <w:p w14:paraId="5585C82E"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239.518 ± 39.170</w:t>
            </w:r>
          </w:p>
        </w:tc>
        <w:tc>
          <w:tcPr>
            <w:tcW w:w="607" w:type="pct"/>
            <w:vMerge w:val="restart"/>
            <w:noWrap/>
            <w:vAlign w:val="center"/>
          </w:tcPr>
          <w:p w14:paraId="085D7B16"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0.505</w:t>
            </w:r>
          </w:p>
        </w:tc>
      </w:tr>
      <w:tr w:rsidR="00A40FE6" w:rsidRPr="00807723" w14:paraId="3FBB4656" w14:textId="77777777">
        <w:trPr>
          <w:trHeight w:val="349"/>
        </w:trPr>
        <w:tc>
          <w:tcPr>
            <w:tcW w:w="1826" w:type="pct"/>
            <w:vMerge/>
            <w:noWrap/>
            <w:vAlign w:val="center"/>
          </w:tcPr>
          <w:p w14:paraId="277080A0"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vAlign w:val="center"/>
          </w:tcPr>
          <w:p w14:paraId="22033BE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904" w:type="pct"/>
            <w:noWrap/>
            <w:vAlign w:val="center"/>
          </w:tcPr>
          <w:p w14:paraId="711E45EA"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227.988 ± 47.214</w:t>
            </w:r>
          </w:p>
        </w:tc>
        <w:tc>
          <w:tcPr>
            <w:tcW w:w="607" w:type="pct"/>
            <w:vMerge/>
            <w:noWrap/>
            <w:vAlign w:val="center"/>
          </w:tcPr>
          <w:p w14:paraId="316D0DE8" w14:textId="77777777" w:rsidR="00A40FE6" w:rsidRPr="00807723" w:rsidRDefault="00A40FE6">
            <w:pPr>
              <w:spacing w:before="120" w:after="120" w:line="360" w:lineRule="auto"/>
              <w:jc w:val="both"/>
              <w:rPr>
                <w:rFonts w:ascii="Book Antiqua" w:hAnsi="Book Antiqua" w:cs="Arial"/>
                <w:color w:val="000000" w:themeColor="text1"/>
              </w:rPr>
            </w:pPr>
          </w:p>
        </w:tc>
      </w:tr>
      <w:tr w:rsidR="00A40FE6" w:rsidRPr="00807723" w14:paraId="2E5DD5AA" w14:textId="77777777">
        <w:trPr>
          <w:trHeight w:val="350"/>
        </w:trPr>
        <w:tc>
          <w:tcPr>
            <w:tcW w:w="1826" w:type="pct"/>
            <w:vMerge w:val="restart"/>
            <w:noWrap/>
            <w:vAlign w:val="center"/>
          </w:tcPr>
          <w:p w14:paraId="0E862EE8"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Jaundice</w:t>
            </w:r>
          </w:p>
        </w:tc>
        <w:tc>
          <w:tcPr>
            <w:tcW w:w="662" w:type="pct"/>
            <w:vAlign w:val="center"/>
          </w:tcPr>
          <w:p w14:paraId="4CC22FB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904" w:type="pct"/>
            <w:noWrap/>
            <w:vAlign w:val="center"/>
          </w:tcPr>
          <w:p w14:paraId="50ACF9C9"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226.182 ± 29.468</w:t>
            </w:r>
          </w:p>
        </w:tc>
        <w:tc>
          <w:tcPr>
            <w:tcW w:w="607" w:type="pct"/>
            <w:vMerge w:val="restart"/>
            <w:noWrap/>
            <w:vAlign w:val="center"/>
          </w:tcPr>
          <w:p w14:paraId="16F7755B"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0.118</w:t>
            </w:r>
          </w:p>
        </w:tc>
      </w:tr>
      <w:tr w:rsidR="00A40FE6" w:rsidRPr="00807723" w14:paraId="6AA6922C" w14:textId="77777777">
        <w:trPr>
          <w:trHeight w:val="349"/>
        </w:trPr>
        <w:tc>
          <w:tcPr>
            <w:tcW w:w="1826" w:type="pct"/>
            <w:vMerge/>
            <w:noWrap/>
            <w:vAlign w:val="center"/>
          </w:tcPr>
          <w:p w14:paraId="60DA97AC"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vAlign w:val="center"/>
          </w:tcPr>
          <w:p w14:paraId="3CF9952D"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904" w:type="pct"/>
            <w:noWrap/>
            <w:vAlign w:val="center"/>
          </w:tcPr>
          <w:p w14:paraId="4DDCA435"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249.86 ± 50.48</w:t>
            </w:r>
          </w:p>
        </w:tc>
        <w:tc>
          <w:tcPr>
            <w:tcW w:w="607" w:type="pct"/>
            <w:vMerge/>
            <w:noWrap/>
            <w:vAlign w:val="center"/>
          </w:tcPr>
          <w:p w14:paraId="24945C53" w14:textId="77777777" w:rsidR="00A40FE6" w:rsidRPr="00807723" w:rsidRDefault="00A40FE6">
            <w:pPr>
              <w:spacing w:before="120" w:after="120" w:line="360" w:lineRule="auto"/>
              <w:jc w:val="both"/>
              <w:rPr>
                <w:rFonts w:ascii="Book Antiqua" w:hAnsi="Book Antiqua" w:cs="Arial"/>
                <w:color w:val="000000" w:themeColor="text1"/>
              </w:rPr>
            </w:pPr>
          </w:p>
        </w:tc>
      </w:tr>
      <w:tr w:rsidR="00A40FE6" w:rsidRPr="00807723" w14:paraId="0911CB9F" w14:textId="77777777">
        <w:trPr>
          <w:trHeight w:val="350"/>
        </w:trPr>
        <w:tc>
          <w:tcPr>
            <w:tcW w:w="1826" w:type="pct"/>
            <w:vMerge w:val="restart"/>
            <w:noWrap/>
            <w:vAlign w:val="center"/>
          </w:tcPr>
          <w:p w14:paraId="1342A0C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Fever</w:t>
            </w:r>
          </w:p>
        </w:tc>
        <w:tc>
          <w:tcPr>
            <w:tcW w:w="662" w:type="pct"/>
            <w:vAlign w:val="center"/>
          </w:tcPr>
          <w:p w14:paraId="7E1E3F9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904" w:type="pct"/>
            <w:noWrap/>
            <w:vAlign w:val="center"/>
          </w:tcPr>
          <w:p w14:paraId="697978A3"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237.668 ± 40.531</w:t>
            </w:r>
          </w:p>
        </w:tc>
        <w:tc>
          <w:tcPr>
            <w:tcW w:w="607" w:type="pct"/>
            <w:vMerge w:val="restart"/>
            <w:noWrap/>
            <w:vAlign w:val="center"/>
          </w:tcPr>
          <w:p w14:paraId="7415F2D5"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0.834</w:t>
            </w:r>
          </w:p>
        </w:tc>
      </w:tr>
      <w:tr w:rsidR="00A40FE6" w:rsidRPr="00807723" w14:paraId="4C1F0821" w14:textId="77777777">
        <w:trPr>
          <w:trHeight w:val="349"/>
        </w:trPr>
        <w:tc>
          <w:tcPr>
            <w:tcW w:w="1826" w:type="pct"/>
            <w:vMerge/>
            <w:noWrap/>
            <w:vAlign w:val="center"/>
          </w:tcPr>
          <w:p w14:paraId="0ABD3828"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vAlign w:val="center"/>
          </w:tcPr>
          <w:p w14:paraId="181FFC2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904" w:type="pct"/>
            <w:noWrap/>
            <w:vAlign w:val="center"/>
          </w:tcPr>
          <w:p w14:paraId="1E18F853"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234.33 ± 43.54</w:t>
            </w:r>
          </w:p>
        </w:tc>
        <w:tc>
          <w:tcPr>
            <w:tcW w:w="607" w:type="pct"/>
            <w:vMerge/>
            <w:noWrap/>
            <w:vAlign w:val="center"/>
          </w:tcPr>
          <w:p w14:paraId="3EFB5CAC" w14:textId="77777777" w:rsidR="00A40FE6" w:rsidRPr="00807723" w:rsidRDefault="00A40FE6">
            <w:pPr>
              <w:spacing w:before="120" w:after="120" w:line="360" w:lineRule="auto"/>
              <w:jc w:val="both"/>
              <w:rPr>
                <w:rFonts w:ascii="Book Antiqua" w:hAnsi="Book Antiqua" w:cs="Arial"/>
                <w:color w:val="000000" w:themeColor="text1"/>
              </w:rPr>
            </w:pPr>
          </w:p>
        </w:tc>
      </w:tr>
      <w:tr w:rsidR="00A40FE6" w:rsidRPr="00807723" w14:paraId="4032AF16" w14:textId="77777777">
        <w:trPr>
          <w:trHeight w:val="350"/>
        </w:trPr>
        <w:tc>
          <w:tcPr>
            <w:tcW w:w="1826" w:type="pct"/>
            <w:vMerge w:val="restart"/>
            <w:noWrap/>
            <w:vAlign w:val="center"/>
          </w:tcPr>
          <w:p w14:paraId="5D87A511"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lastRenderedPageBreak/>
              <w:t>Oedema</w:t>
            </w:r>
          </w:p>
        </w:tc>
        <w:tc>
          <w:tcPr>
            <w:tcW w:w="662" w:type="pct"/>
            <w:vAlign w:val="center"/>
          </w:tcPr>
          <w:p w14:paraId="37D4572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No</w:t>
            </w:r>
          </w:p>
        </w:tc>
        <w:tc>
          <w:tcPr>
            <w:tcW w:w="1904" w:type="pct"/>
            <w:noWrap/>
            <w:vAlign w:val="center"/>
          </w:tcPr>
          <w:p w14:paraId="6820C5DD"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228.945 ± 37.054</w:t>
            </w:r>
          </w:p>
        </w:tc>
        <w:tc>
          <w:tcPr>
            <w:tcW w:w="607" w:type="pct"/>
            <w:vMerge w:val="restart"/>
            <w:noWrap/>
            <w:vAlign w:val="center"/>
          </w:tcPr>
          <w:p w14:paraId="4C53A6CC"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0.16</w:t>
            </w:r>
          </w:p>
        </w:tc>
      </w:tr>
      <w:tr w:rsidR="00A40FE6" w:rsidRPr="00807723" w14:paraId="211EA98A" w14:textId="77777777">
        <w:trPr>
          <w:trHeight w:val="349"/>
        </w:trPr>
        <w:tc>
          <w:tcPr>
            <w:tcW w:w="1826" w:type="pct"/>
            <w:vMerge/>
            <w:noWrap/>
            <w:vAlign w:val="center"/>
          </w:tcPr>
          <w:p w14:paraId="7373A3B3" w14:textId="77777777" w:rsidR="00A40FE6" w:rsidRPr="00807723" w:rsidRDefault="00A40FE6">
            <w:pPr>
              <w:spacing w:before="40" w:after="40" w:line="360" w:lineRule="auto"/>
              <w:jc w:val="both"/>
              <w:rPr>
                <w:rFonts w:ascii="Book Antiqua" w:hAnsi="Book Antiqua" w:cs="Arial"/>
                <w:color w:val="000000" w:themeColor="text1"/>
              </w:rPr>
            </w:pPr>
          </w:p>
        </w:tc>
        <w:tc>
          <w:tcPr>
            <w:tcW w:w="662" w:type="pct"/>
            <w:vAlign w:val="center"/>
          </w:tcPr>
          <w:p w14:paraId="365BF98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Yes</w:t>
            </w:r>
          </w:p>
        </w:tc>
        <w:tc>
          <w:tcPr>
            <w:tcW w:w="1904" w:type="pct"/>
            <w:noWrap/>
            <w:vAlign w:val="center"/>
          </w:tcPr>
          <w:p w14:paraId="018047F3"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251.44 ± 46.12</w:t>
            </w:r>
          </w:p>
        </w:tc>
        <w:tc>
          <w:tcPr>
            <w:tcW w:w="607" w:type="pct"/>
            <w:vMerge/>
            <w:noWrap/>
            <w:vAlign w:val="center"/>
          </w:tcPr>
          <w:p w14:paraId="3154E695" w14:textId="77777777" w:rsidR="00A40FE6" w:rsidRPr="00807723" w:rsidRDefault="00A40FE6">
            <w:pPr>
              <w:spacing w:before="120" w:after="120" w:line="360" w:lineRule="auto"/>
              <w:jc w:val="both"/>
              <w:rPr>
                <w:rFonts w:ascii="Book Antiqua" w:hAnsi="Book Antiqua" w:cs="Arial"/>
                <w:color w:val="000000" w:themeColor="text1"/>
              </w:rPr>
            </w:pPr>
          </w:p>
        </w:tc>
      </w:tr>
    </w:tbl>
    <w:p w14:paraId="305AD615" w14:textId="77777777" w:rsidR="00A40FE6" w:rsidRPr="00807723" w:rsidRDefault="00214602">
      <w:pPr>
        <w:spacing w:line="360" w:lineRule="auto"/>
        <w:jc w:val="both"/>
        <w:rPr>
          <w:rFonts w:ascii="Book Antiqua" w:hAnsi="Book Antiqua" w:cs="Arial"/>
          <w:color w:val="000000" w:themeColor="text1"/>
        </w:rPr>
      </w:pPr>
      <w:r w:rsidRPr="00807723">
        <w:rPr>
          <w:rFonts w:ascii="Book Antiqua" w:hAnsi="Book Antiqua" w:cs="Arial"/>
          <w:color w:val="000000" w:themeColor="text1"/>
        </w:rPr>
        <w:t>FGF-19: Fibroblast growth factor 19.</w:t>
      </w:r>
    </w:p>
    <w:p w14:paraId="27D3B5A4"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cs="Arial"/>
          <w:color w:val="000000" w:themeColor="text1"/>
        </w:rPr>
        <w:br w:type="page"/>
      </w:r>
      <w:r w:rsidRPr="00807723">
        <w:rPr>
          <w:rFonts w:ascii="Book Antiqua" w:hAnsi="Book Antiqua"/>
          <w:b/>
          <w:bCs/>
          <w:color w:val="000000" w:themeColor="text1"/>
        </w:rPr>
        <w:lastRenderedPageBreak/>
        <w:t xml:space="preserve">Table 5 Correlation between </w:t>
      </w:r>
      <w:r w:rsidRPr="00807723">
        <w:rPr>
          <w:rFonts w:ascii="Book Antiqua" w:hAnsi="Book Antiqua" w:cs="Arial"/>
          <w:b/>
          <w:bCs/>
          <w:color w:val="000000" w:themeColor="text1"/>
        </w:rPr>
        <w:t>fibroblast growth factor 19</w:t>
      </w:r>
      <w:r w:rsidRPr="00807723">
        <w:rPr>
          <w:rFonts w:ascii="Book Antiqua" w:hAnsi="Book Antiqua"/>
          <w:b/>
          <w:bCs/>
          <w:color w:val="000000" w:themeColor="text1"/>
        </w:rPr>
        <w:t xml:space="preserve"> and </w:t>
      </w:r>
      <w:r w:rsidRPr="00807723">
        <w:rPr>
          <w:rFonts w:ascii="Book Antiqua" w:eastAsia="Book Antiqua" w:hAnsi="Book Antiqua" w:cs="Book Antiqua"/>
          <w:b/>
          <w:bCs/>
          <w:color w:val="000000"/>
        </w:rPr>
        <w:t>alpha fetoprotein</w:t>
      </w:r>
      <w:r w:rsidRPr="00807723">
        <w:rPr>
          <w:rFonts w:ascii="Book Antiqua" w:hAnsi="Book Antiqua"/>
          <w:b/>
          <w:bCs/>
          <w:color w:val="000000" w:themeColor="text1"/>
        </w:rPr>
        <w:t xml:space="preserve"> with patients’ laboratory data</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1552"/>
        <w:gridCol w:w="1554"/>
        <w:gridCol w:w="1552"/>
        <w:gridCol w:w="1553"/>
      </w:tblGrid>
      <w:tr w:rsidR="00A40FE6" w:rsidRPr="00807723" w14:paraId="4BC9AB6A" w14:textId="77777777">
        <w:tc>
          <w:tcPr>
            <w:tcW w:w="1367" w:type="pct"/>
            <w:vMerge w:val="restart"/>
            <w:tcBorders>
              <w:top w:val="single" w:sz="4" w:space="0" w:color="auto"/>
              <w:bottom w:val="nil"/>
            </w:tcBorders>
            <w:noWrap/>
            <w:vAlign w:val="center"/>
          </w:tcPr>
          <w:p w14:paraId="7FEC13C7" w14:textId="77777777" w:rsidR="00A40FE6" w:rsidRPr="00807723" w:rsidRDefault="00A40FE6">
            <w:pPr>
              <w:spacing w:before="40" w:after="40" w:line="360" w:lineRule="auto"/>
              <w:jc w:val="both"/>
              <w:rPr>
                <w:rFonts w:ascii="Book Antiqua" w:hAnsi="Book Antiqua" w:cs="Arial"/>
                <w:b/>
                <w:bCs/>
                <w:color w:val="000000" w:themeColor="text1"/>
              </w:rPr>
            </w:pPr>
          </w:p>
        </w:tc>
        <w:tc>
          <w:tcPr>
            <w:tcW w:w="1817" w:type="pct"/>
            <w:gridSpan w:val="2"/>
            <w:tcBorders>
              <w:top w:val="single" w:sz="4" w:space="0" w:color="auto"/>
              <w:bottom w:val="single" w:sz="4" w:space="0" w:color="auto"/>
            </w:tcBorders>
            <w:noWrap/>
            <w:vAlign w:val="center"/>
          </w:tcPr>
          <w:p w14:paraId="1EBFAE85" w14:textId="77777777" w:rsidR="00A40FE6" w:rsidRPr="00807723" w:rsidRDefault="00214602">
            <w:pPr>
              <w:spacing w:before="40" w:after="4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AFP</w:t>
            </w:r>
          </w:p>
        </w:tc>
        <w:tc>
          <w:tcPr>
            <w:tcW w:w="1817" w:type="pct"/>
            <w:gridSpan w:val="2"/>
            <w:tcBorders>
              <w:top w:val="single" w:sz="4" w:space="0" w:color="auto"/>
              <w:bottom w:val="single" w:sz="4" w:space="0" w:color="auto"/>
            </w:tcBorders>
            <w:noWrap/>
            <w:vAlign w:val="center"/>
          </w:tcPr>
          <w:p w14:paraId="3A96F1DE" w14:textId="77777777" w:rsidR="00A40FE6" w:rsidRPr="00807723" w:rsidRDefault="00214602">
            <w:pPr>
              <w:spacing w:before="40" w:after="4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FGF-19</w:t>
            </w:r>
          </w:p>
        </w:tc>
      </w:tr>
      <w:tr w:rsidR="00A40FE6" w:rsidRPr="00807723" w14:paraId="26B6974D" w14:textId="77777777">
        <w:trPr>
          <w:trHeight w:val="55"/>
        </w:trPr>
        <w:tc>
          <w:tcPr>
            <w:tcW w:w="1367" w:type="pct"/>
            <w:vMerge/>
            <w:tcBorders>
              <w:top w:val="nil"/>
              <w:bottom w:val="single" w:sz="4" w:space="0" w:color="auto"/>
            </w:tcBorders>
            <w:vAlign w:val="center"/>
          </w:tcPr>
          <w:p w14:paraId="12C1CC37" w14:textId="77777777" w:rsidR="00A40FE6" w:rsidRPr="00807723" w:rsidRDefault="00A40FE6">
            <w:pPr>
              <w:spacing w:before="40" w:after="40" w:line="360" w:lineRule="auto"/>
              <w:jc w:val="both"/>
              <w:rPr>
                <w:rFonts w:ascii="Book Antiqua" w:hAnsi="Book Antiqua" w:cs="Arial"/>
                <w:b/>
                <w:bCs/>
                <w:color w:val="000000" w:themeColor="text1"/>
              </w:rPr>
            </w:pPr>
          </w:p>
        </w:tc>
        <w:tc>
          <w:tcPr>
            <w:tcW w:w="908" w:type="pct"/>
            <w:tcBorders>
              <w:top w:val="single" w:sz="4" w:space="0" w:color="auto"/>
              <w:bottom w:val="single" w:sz="4" w:space="0" w:color="auto"/>
            </w:tcBorders>
            <w:noWrap/>
            <w:vAlign w:val="center"/>
          </w:tcPr>
          <w:p w14:paraId="2FC41121" w14:textId="77777777" w:rsidR="00A40FE6" w:rsidRPr="00807723" w:rsidRDefault="00214602">
            <w:pPr>
              <w:spacing w:before="40" w:after="40" w:line="360" w:lineRule="auto"/>
              <w:jc w:val="both"/>
              <w:rPr>
                <w:rFonts w:ascii="Book Antiqua" w:hAnsi="Book Antiqua" w:cs="Arial"/>
                <w:b/>
                <w:bCs/>
                <w:i/>
                <w:iCs/>
                <w:color w:val="000000" w:themeColor="text1"/>
              </w:rPr>
            </w:pPr>
            <w:r w:rsidRPr="00807723">
              <w:rPr>
                <w:rFonts w:ascii="Book Antiqua" w:hAnsi="Book Antiqua" w:cs="Arial"/>
                <w:b/>
                <w:bCs/>
                <w:i/>
                <w:iCs/>
                <w:color w:val="000000" w:themeColor="text1"/>
              </w:rPr>
              <w:t>r</w:t>
            </w:r>
          </w:p>
        </w:tc>
        <w:tc>
          <w:tcPr>
            <w:tcW w:w="908" w:type="pct"/>
            <w:tcBorders>
              <w:top w:val="single" w:sz="4" w:space="0" w:color="auto"/>
              <w:bottom w:val="single" w:sz="4" w:space="0" w:color="auto"/>
            </w:tcBorders>
            <w:noWrap/>
            <w:vAlign w:val="center"/>
          </w:tcPr>
          <w:p w14:paraId="0FD1ECD8" w14:textId="77777777" w:rsidR="00A40FE6" w:rsidRPr="00807723" w:rsidRDefault="00214602">
            <w:pPr>
              <w:spacing w:before="40" w:after="40" w:line="360" w:lineRule="auto"/>
              <w:jc w:val="both"/>
              <w:rPr>
                <w:rFonts w:ascii="Book Antiqua" w:hAnsi="Book Antiqua" w:cs="Arial"/>
                <w:b/>
                <w:bCs/>
                <w:color w:val="000000" w:themeColor="text1"/>
              </w:rPr>
            </w:pPr>
            <w:r w:rsidRPr="00807723">
              <w:rPr>
                <w:rFonts w:ascii="Book Antiqua" w:hAnsi="Book Antiqua" w:cs="Arial"/>
                <w:b/>
                <w:bCs/>
                <w:i/>
                <w:iCs/>
                <w:color w:val="000000" w:themeColor="text1"/>
              </w:rPr>
              <w:t xml:space="preserve">P </w:t>
            </w:r>
            <w:r w:rsidRPr="00807723">
              <w:rPr>
                <w:rFonts w:ascii="Book Antiqua" w:hAnsi="Book Antiqua" w:cs="Arial"/>
                <w:b/>
                <w:bCs/>
                <w:color w:val="000000" w:themeColor="text1"/>
              </w:rPr>
              <w:t>value</w:t>
            </w:r>
          </w:p>
        </w:tc>
        <w:tc>
          <w:tcPr>
            <w:tcW w:w="908" w:type="pct"/>
            <w:tcBorders>
              <w:top w:val="single" w:sz="4" w:space="0" w:color="auto"/>
              <w:bottom w:val="single" w:sz="4" w:space="0" w:color="auto"/>
            </w:tcBorders>
            <w:noWrap/>
            <w:vAlign w:val="center"/>
          </w:tcPr>
          <w:p w14:paraId="0377C362" w14:textId="77777777" w:rsidR="00A40FE6" w:rsidRPr="00807723" w:rsidRDefault="00214602">
            <w:pPr>
              <w:spacing w:before="40" w:after="40" w:line="360" w:lineRule="auto"/>
              <w:jc w:val="both"/>
              <w:rPr>
                <w:rFonts w:ascii="Book Antiqua" w:hAnsi="Book Antiqua" w:cs="Arial"/>
                <w:b/>
                <w:bCs/>
                <w:i/>
                <w:iCs/>
                <w:color w:val="000000" w:themeColor="text1"/>
              </w:rPr>
            </w:pPr>
            <w:r w:rsidRPr="00807723">
              <w:rPr>
                <w:rFonts w:ascii="Book Antiqua" w:hAnsi="Book Antiqua" w:cs="Arial"/>
                <w:b/>
                <w:bCs/>
                <w:i/>
                <w:iCs/>
                <w:color w:val="000000" w:themeColor="text1"/>
              </w:rPr>
              <w:t>r</w:t>
            </w:r>
          </w:p>
        </w:tc>
        <w:tc>
          <w:tcPr>
            <w:tcW w:w="908" w:type="pct"/>
            <w:tcBorders>
              <w:top w:val="single" w:sz="4" w:space="0" w:color="auto"/>
              <w:bottom w:val="single" w:sz="4" w:space="0" w:color="auto"/>
            </w:tcBorders>
            <w:noWrap/>
            <w:vAlign w:val="center"/>
          </w:tcPr>
          <w:p w14:paraId="248F40D3" w14:textId="77777777" w:rsidR="00A40FE6" w:rsidRPr="00807723" w:rsidRDefault="00214602">
            <w:pPr>
              <w:spacing w:before="40" w:after="40" w:line="360" w:lineRule="auto"/>
              <w:jc w:val="both"/>
              <w:rPr>
                <w:rFonts w:ascii="Book Antiqua" w:hAnsi="Book Antiqua" w:cs="Arial"/>
                <w:b/>
                <w:bCs/>
                <w:color w:val="000000" w:themeColor="text1"/>
              </w:rPr>
            </w:pPr>
            <w:r w:rsidRPr="00807723">
              <w:rPr>
                <w:rFonts w:ascii="Book Antiqua" w:hAnsi="Book Antiqua" w:cs="Arial"/>
                <w:b/>
                <w:bCs/>
                <w:i/>
                <w:iCs/>
                <w:color w:val="000000" w:themeColor="text1"/>
              </w:rPr>
              <w:t>P</w:t>
            </w:r>
            <w:r w:rsidRPr="00807723">
              <w:rPr>
                <w:rFonts w:ascii="Book Antiqua" w:hAnsi="Book Antiqua" w:cs="Arial"/>
                <w:b/>
                <w:bCs/>
                <w:color w:val="000000" w:themeColor="text1"/>
              </w:rPr>
              <w:t xml:space="preserve"> value</w:t>
            </w:r>
          </w:p>
        </w:tc>
      </w:tr>
      <w:tr w:rsidR="00A40FE6" w:rsidRPr="00807723" w14:paraId="2E1EE821" w14:textId="77777777">
        <w:tc>
          <w:tcPr>
            <w:tcW w:w="1367" w:type="pct"/>
            <w:tcBorders>
              <w:top w:val="single" w:sz="4" w:space="0" w:color="auto"/>
            </w:tcBorders>
            <w:noWrap/>
            <w:vAlign w:val="center"/>
          </w:tcPr>
          <w:p w14:paraId="45D724BD"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AFP</w:t>
            </w:r>
          </w:p>
        </w:tc>
        <w:tc>
          <w:tcPr>
            <w:tcW w:w="908" w:type="pct"/>
            <w:tcBorders>
              <w:top w:val="single" w:sz="4" w:space="0" w:color="auto"/>
            </w:tcBorders>
            <w:noWrap/>
            <w:vAlign w:val="center"/>
          </w:tcPr>
          <w:p w14:paraId="69A9303D"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w:t>
            </w:r>
          </w:p>
        </w:tc>
        <w:tc>
          <w:tcPr>
            <w:tcW w:w="908" w:type="pct"/>
            <w:tcBorders>
              <w:top w:val="single" w:sz="4" w:space="0" w:color="auto"/>
            </w:tcBorders>
            <w:noWrap/>
            <w:vAlign w:val="center"/>
          </w:tcPr>
          <w:p w14:paraId="1AAC7C3D"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w:t>
            </w:r>
          </w:p>
        </w:tc>
        <w:tc>
          <w:tcPr>
            <w:tcW w:w="908" w:type="pct"/>
            <w:tcBorders>
              <w:top w:val="single" w:sz="4" w:space="0" w:color="auto"/>
            </w:tcBorders>
            <w:noWrap/>
            <w:vAlign w:val="center"/>
          </w:tcPr>
          <w:p w14:paraId="6626EF1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0.383</w:t>
            </w:r>
          </w:p>
        </w:tc>
        <w:tc>
          <w:tcPr>
            <w:tcW w:w="908" w:type="pct"/>
            <w:tcBorders>
              <w:top w:val="single" w:sz="4" w:space="0" w:color="auto"/>
            </w:tcBorders>
            <w:noWrap/>
            <w:vAlign w:val="center"/>
          </w:tcPr>
          <w:p w14:paraId="7EAF821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0.003</w:t>
            </w:r>
          </w:p>
        </w:tc>
      </w:tr>
      <w:tr w:rsidR="00A40FE6" w:rsidRPr="00807723" w14:paraId="0426F34D" w14:textId="77777777">
        <w:tc>
          <w:tcPr>
            <w:tcW w:w="1367" w:type="pct"/>
            <w:noWrap/>
            <w:vAlign w:val="center"/>
          </w:tcPr>
          <w:p w14:paraId="72BBF4F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FGF-19</w:t>
            </w:r>
          </w:p>
        </w:tc>
        <w:tc>
          <w:tcPr>
            <w:tcW w:w="908" w:type="pct"/>
            <w:noWrap/>
            <w:vAlign w:val="center"/>
          </w:tcPr>
          <w:p w14:paraId="2FB132F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0.383</w:t>
            </w:r>
          </w:p>
        </w:tc>
        <w:tc>
          <w:tcPr>
            <w:tcW w:w="908" w:type="pct"/>
            <w:noWrap/>
            <w:vAlign w:val="center"/>
          </w:tcPr>
          <w:p w14:paraId="3BFD378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0.003</w:t>
            </w:r>
          </w:p>
        </w:tc>
        <w:tc>
          <w:tcPr>
            <w:tcW w:w="908" w:type="pct"/>
            <w:noWrap/>
            <w:vAlign w:val="center"/>
          </w:tcPr>
          <w:p w14:paraId="7C47EAF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w:t>
            </w:r>
          </w:p>
        </w:tc>
        <w:tc>
          <w:tcPr>
            <w:tcW w:w="908" w:type="pct"/>
            <w:noWrap/>
            <w:vAlign w:val="center"/>
          </w:tcPr>
          <w:p w14:paraId="6E0D0287"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w:t>
            </w:r>
          </w:p>
        </w:tc>
      </w:tr>
      <w:tr w:rsidR="00A40FE6" w:rsidRPr="00807723" w14:paraId="20E9EA4A" w14:textId="77777777">
        <w:tc>
          <w:tcPr>
            <w:tcW w:w="1367" w:type="pct"/>
            <w:noWrap/>
            <w:vAlign w:val="center"/>
          </w:tcPr>
          <w:p w14:paraId="655086FE"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Age</w:t>
            </w:r>
          </w:p>
        </w:tc>
        <w:tc>
          <w:tcPr>
            <w:tcW w:w="908" w:type="pct"/>
            <w:noWrap/>
            <w:vAlign w:val="center"/>
          </w:tcPr>
          <w:p w14:paraId="5D57BD0D"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0.062</w:t>
            </w:r>
          </w:p>
        </w:tc>
        <w:tc>
          <w:tcPr>
            <w:tcW w:w="908" w:type="pct"/>
            <w:noWrap/>
            <w:vAlign w:val="center"/>
          </w:tcPr>
          <w:p w14:paraId="09FC827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0.640</w:t>
            </w:r>
          </w:p>
        </w:tc>
        <w:tc>
          <w:tcPr>
            <w:tcW w:w="908" w:type="pct"/>
            <w:noWrap/>
            <w:vAlign w:val="center"/>
          </w:tcPr>
          <w:p w14:paraId="372550BE"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0.125</w:t>
            </w:r>
          </w:p>
        </w:tc>
        <w:tc>
          <w:tcPr>
            <w:tcW w:w="908" w:type="pct"/>
            <w:noWrap/>
            <w:vAlign w:val="center"/>
          </w:tcPr>
          <w:p w14:paraId="2D975022"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0.343</w:t>
            </w:r>
          </w:p>
        </w:tc>
      </w:tr>
      <w:tr w:rsidR="00A40FE6" w:rsidRPr="00807723" w14:paraId="550E9DC2" w14:textId="77777777">
        <w:tc>
          <w:tcPr>
            <w:tcW w:w="1367" w:type="pct"/>
            <w:noWrap/>
            <w:vAlign w:val="center"/>
          </w:tcPr>
          <w:p w14:paraId="48CDECB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Haemoglobin </w:t>
            </w:r>
          </w:p>
        </w:tc>
        <w:tc>
          <w:tcPr>
            <w:tcW w:w="908" w:type="pct"/>
            <w:noWrap/>
            <w:vAlign w:val="center"/>
          </w:tcPr>
          <w:p w14:paraId="1EFF7F3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-0.196</w:t>
            </w:r>
          </w:p>
        </w:tc>
        <w:tc>
          <w:tcPr>
            <w:tcW w:w="908" w:type="pct"/>
            <w:noWrap/>
            <w:vAlign w:val="center"/>
          </w:tcPr>
          <w:p w14:paraId="4AC09DE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0.133</w:t>
            </w:r>
          </w:p>
        </w:tc>
        <w:tc>
          <w:tcPr>
            <w:tcW w:w="908" w:type="pct"/>
            <w:noWrap/>
            <w:vAlign w:val="center"/>
          </w:tcPr>
          <w:p w14:paraId="5A7570FE"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-0.060</w:t>
            </w:r>
          </w:p>
        </w:tc>
        <w:tc>
          <w:tcPr>
            <w:tcW w:w="908" w:type="pct"/>
            <w:noWrap/>
            <w:vAlign w:val="center"/>
          </w:tcPr>
          <w:p w14:paraId="667C993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0.651</w:t>
            </w:r>
          </w:p>
        </w:tc>
      </w:tr>
      <w:tr w:rsidR="00A40FE6" w:rsidRPr="00807723" w14:paraId="647BA9C8" w14:textId="77777777">
        <w:tc>
          <w:tcPr>
            <w:tcW w:w="1367" w:type="pct"/>
            <w:noWrap/>
            <w:vAlign w:val="center"/>
          </w:tcPr>
          <w:p w14:paraId="2CC6FFF5"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White blood cells</w:t>
            </w:r>
          </w:p>
        </w:tc>
        <w:tc>
          <w:tcPr>
            <w:tcW w:w="908" w:type="pct"/>
            <w:noWrap/>
            <w:vAlign w:val="center"/>
          </w:tcPr>
          <w:p w14:paraId="695623BB"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-0.064</w:t>
            </w:r>
          </w:p>
        </w:tc>
        <w:tc>
          <w:tcPr>
            <w:tcW w:w="908" w:type="pct"/>
            <w:noWrap/>
            <w:vAlign w:val="center"/>
          </w:tcPr>
          <w:p w14:paraId="28A5B2F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0.627</w:t>
            </w:r>
          </w:p>
        </w:tc>
        <w:tc>
          <w:tcPr>
            <w:tcW w:w="908" w:type="pct"/>
            <w:noWrap/>
            <w:vAlign w:val="center"/>
          </w:tcPr>
          <w:p w14:paraId="77CECAF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-0.144</w:t>
            </w:r>
          </w:p>
        </w:tc>
        <w:tc>
          <w:tcPr>
            <w:tcW w:w="908" w:type="pct"/>
            <w:noWrap/>
            <w:vAlign w:val="center"/>
          </w:tcPr>
          <w:p w14:paraId="534DA33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0.272</w:t>
            </w:r>
          </w:p>
        </w:tc>
      </w:tr>
      <w:tr w:rsidR="00A40FE6" w:rsidRPr="00807723" w14:paraId="26B5E678" w14:textId="77777777">
        <w:tc>
          <w:tcPr>
            <w:tcW w:w="1367" w:type="pct"/>
            <w:noWrap/>
            <w:vAlign w:val="center"/>
          </w:tcPr>
          <w:p w14:paraId="772D42F5"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Platelets</w:t>
            </w:r>
          </w:p>
        </w:tc>
        <w:tc>
          <w:tcPr>
            <w:tcW w:w="908" w:type="pct"/>
            <w:noWrap/>
            <w:vAlign w:val="center"/>
          </w:tcPr>
          <w:p w14:paraId="1E6EA10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0.018</w:t>
            </w:r>
          </w:p>
        </w:tc>
        <w:tc>
          <w:tcPr>
            <w:tcW w:w="908" w:type="pct"/>
            <w:noWrap/>
            <w:vAlign w:val="center"/>
          </w:tcPr>
          <w:p w14:paraId="15242BF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0.893</w:t>
            </w:r>
          </w:p>
        </w:tc>
        <w:tc>
          <w:tcPr>
            <w:tcW w:w="908" w:type="pct"/>
            <w:noWrap/>
            <w:vAlign w:val="center"/>
          </w:tcPr>
          <w:p w14:paraId="27B657F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-0.151</w:t>
            </w:r>
          </w:p>
        </w:tc>
        <w:tc>
          <w:tcPr>
            <w:tcW w:w="908" w:type="pct"/>
            <w:noWrap/>
            <w:vAlign w:val="center"/>
          </w:tcPr>
          <w:p w14:paraId="1959D7BB"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0.248</w:t>
            </w:r>
          </w:p>
        </w:tc>
      </w:tr>
      <w:tr w:rsidR="00A40FE6" w:rsidRPr="00807723" w14:paraId="153FFBBA" w14:textId="77777777">
        <w:tc>
          <w:tcPr>
            <w:tcW w:w="1367" w:type="pct"/>
            <w:noWrap/>
            <w:vAlign w:val="center"/>
          </w:tcPr>
          <w:p w14:paraId="2B5752A7"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Alanine aminotransferase</w:t>
            </w:r>
          </w:p>
        </w:tc>
        <w:tc>
          <w:tcPr>
            <w:tcW w:w="908" w:type="pct"/>
            <w:noWrap/>
            <w:vAlign w:val="center"/>
          </w:tcPr>
          <w:p w14:paraId="500A87F7"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0.036</w:t>
            </w:r>
          </w:p>
        </w:tc>
        <w:tc>
          <w:tcPr>
            <w:tcW w:w="908" w:type="pct"/>
            <w:noWrap/>
            <w:vAlign w:val="center"/>
          </w:tcPr>
          <w:p w14:paraId="3F0EEA85"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0.786</w:t>
            </w:r>
          </w:p>
        </w:tc>
        <w:tc>
          <w:tcPr>
            <w:tcW w:w="908" w:type="pct"/>
            <w:noWrap/>
            <w:vAlign w:val="center"/>
          </w:tcPr>
          <w:p w14:paraId="3A47B75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-0.151</w:t>
            </w:r>
          </w:p>
        </w:tc>
        <w:tc>
          <w:tcPr>
            <w:tcW w:w="908" w:type="pct"/>
            <w:noWrap/>
            <w:vAlign w:val="center"/>
          </w:tcPr>
          <w:p w14:paraId="6C51B2A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0.249</w:t>
            </w:r>
          </w:p>
        </w:tc>
      </w:tr>
      <w:tr w:rsidR="00A40FE6" w:rsidRPr="00807723" w14:paraId="7561DE36" w14:textId="77777777">
        <w:tc>
          <w:tcPr>
            <w:tcW w:w="1367" w:type="pct"/>
            <w:noWrap/>
            <w:vAlign w:val="center"/>
          </w:tcPr>
          <w:p w14:paraId="52A8CBA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Aspartate aminotransferase </w:t>
            </w:r>
          </w:p>
        </w:tc>
        <w:tc>
          <w:tcPr>
            <w:tcW w:w="908" w:type="pct"/>
            <w:noWrap/>
            <w:vAlign w:val="center"/>
          </w:tcPr>
          <w:p w14:paraId="3099077B"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0.040</w:t>
            </w:r>
          </w:p>
        </w:tc>
        <w:tc>
          <w:tcPr>
            <w:tcW w:w="908" w:type="pct"/>
            <w:noWrap/>
            <w:vAlign w:val="center"/>
          </w:tcPr>
          <w:p w14:paraId="79C0B64C"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0.764</w:t>
            </w:r>
          </w:p>
        </w:tc>
        <w:tc>
          <w:tcPr>
            <w:tcW w:w="908" w:type="pct"/>
            <w:noWrap/>
            <w:vAlign w:val="center"/>
          </w:tcPr>
          <w:p w14:paraId="711E7FC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-0.024</w:t>
            </w:r>
          </w:p>
        </w:tc>
        <w:tc>
          <w:tcPr>
            <w:tcW w:w="908" w:type="pct"/>
            <w:noWrap/>
            <w:vAlign w:val="center"/>
          </w:tcPr>
          <w:p w14:paraId="3A193DB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0.855</w:t>
            </w:r>
          </w:p>
        </w:tc>
      </w:tr>
      <w:tr w:rsidR="00A40FE6" w:rsidRPr="00807723" w14:paraId="179C1A97" w14:textId="77777777">
        <w:tc>
          <w:tcPr>
            <w:tcW w:w="1367" w:type="pct"/>
            <w:noWrap/>
            <w:vAlign w:val="center"/>
          </w:tcPr>
          <w:p w14:paraId="4696AF0F"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Creatinine</w:t>
            </w:r>
          </w:p>
        </w:tc>
        <w:tc>
          <w:tcPr>
            <w:tcW w:w="908" w:type="pct"/>
            <w:noWrap/>
            <w:vAlign w:val="center"/>
          </w:tcPr>
          <w:p w14:paraId="1DC6AC97"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-0.164</w:t>
            </w:r>
          </w:p>
        </w:tc>
        <w:tc>
          <w:tcPr>
            <w:tcW w:w="908" w:type="pct"/>
            <w:noWrap/>
            <w:vAlign w:val="center"/>
          </w:tcPr>
          <w:p w14:paraId="69D7E40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0.211</w:t>
            </w:r>
          </w:p>
        </w:tc>
        <w:tc>
          <w:tcPr>
            <w:tcW w:w="908" w:type="pct"/>
            <w:noWrap/>
            <w:vAlign w:val="center"/>
          </w:tcPr>
          <w:p w14:paraId="1A541C8A"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0.093</w:t>
            </w:r>
          </w:p>
        </w:tc>
        <w:tc>
          <w:tcPr>
            <w:tcW w:w="908" w:type="pct"/>
            <w:noWrap/>
            <w:vAlign w:val="center"/>
          </w:tcPr>
          <w:p w14:paraId="27D7A9DC"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0.480</w:t>
            </w:r>
          </w:p>
        </w:tc>
      </w:tr>
      <w:tr w:rsidR="00A40FE6" w:rsidRPr="00807723" w14:paraId="77679736" w14:textId="77777777">
        <w:tc>
          <w:tcPr>
            <w:tcW w:w="1367" w:type="pct"/>
            <w:noWrap/>
            <w:vAlign w:val="center"/>
          </w:tcPr>
          <w:p w14:paraId="5AB4D92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Urea</w:t>
            </w:r>
          </w:p>
        </w:tc>
        <w:tc>
          <w:tcPr>
            <w:tcW w:w="908" w:type="pct"/>
            <w:noWrap/>
            <w:vAlign w:val="center"/>
          </w:tcPr>
          <w:p w14:paraId="66FAFC17"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-0.022</w:t>
            </w:r>
          </w:p>
        </w:tc>
        <w:tc>
          <w:tcPr>
            <w:tcW w:w="908" w:type="pct"/>
            <w:noWrap/>
            <w:vAlign w:val="center"/>
          </w:tcPr>
          <w:p w14:paraId="45A5D92B"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0.867</w:t>
            </w:r>
          </w:p>
        </w:tc>
        <w:tc>
          <w:tcPr>
            <w:tcW w:w="908" w:type="pct"/>
            <w:noWrap/>
            <w:vAlign w:val="center"/>
          </w:tcPr>
          <w:p w14:paraId="0689262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0.012</w:t>
            </w:r>
          </w:p>
        </w:tc>
        <w:tc>
          <w:tcPr>
            <w:tcW w:w="908" w:type="pct"/>
            <w:noWrap/>
            <w:vAlign w:val="center"/>
          </w:tcPr>
          <w:p w14:paraId="568996B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0.929</w:t>
            </w:r>
          </w:p>
        </w:tc>
      </w:tr>
      <w:tr w:rsidR="00A40FE6" w:rsidRPr="00807723" w14:paraId="68D2CB0D" w14:textId="77777777">
        <w:tc>
          <w:tcPr>
            <w:tcW w:w="1367" w:type="pct"/>
            <w:noWrap/>
            <w:vAlign w:val="center"/>
          </w:tcPr>
          <w:p w14:paraId="5C20DD50"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Albumin</w:t>
            </w:r>
          </w:p>
        </w:tc>
        <w:tc>
          <w:tcPr>
            <w:tcW w:w="908" w:type="pct"/>
            <w:noWrap/>
            <w:vAlign w:val="center"/>
          </w:tcPr>
          <w:p w14:paraId="73D7391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-0.213</w:t>
            </w:r>
          </w:p>
        </w:tc>
        <w:tc>
          <w:tcPr>
            <w:tcW w:w="908" w:type="pct"/>
            <w:noWrap/>
            <w:vAlign w:val="center"/>
          </w:tcPr>
          <w:p w14:paraId="22B58723"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0.102</w:t>
            </w:r>
          </w:p>
        </w:tc>
        <w:tc>
          <w:tcPr>
            <w:tcW w:w="908" w:type="pct"/>
            <w:noWrap/>
            <w:vAlign w:val="center"/>
          </w:tcPr>
          <w:p w14:paraId="290E1FA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-0.500</w:t>
            </w:r>
          </w:p>
        </w:tc>
        <w:tc>
          <w:tcPr>
            <w:tcW w:w="908" w:type="pct"/>
            <w:noWrap/>
            <w:vAlign w:val="center"/>
          </w:tcPr>
          <w:p w14:paraId="1DE156FC"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0.000</w:t>
            </w:r>
          </w:p>
        </w:tc>
      </w:tr>
      <w:tr w:rsidR="00A40FE6" w:rsidRPr="00807723" w14:paraId="4CBA9372" w14:textId="77777777">
        <w:tc>
          <w:tcPr>
            <w:tcW w:w="1367" w:type="pct"/>
            <w:noWrap/>
            <w:vAlign w:val="center"/>
          </w:tcPr>
          <w:p w14:paraId="79C492D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INR</w:t>
            </w:r>
          </w:p>
        </w:tc>
        <w:tc>
          <w:tcPr>
            <w:tcW w:w="908" w:type="pct"/>
            <w:noWrap/>
            <w:vAlign w:val="center"/>
          </w:tcPr>
          <w:p w14:paraId="0541B872"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-0.001</w:t>
            </w:r>
          </w:p>
        </w:tc>
        <w:tc>
          <w:tcPr>
            <w:tcW w:w="908" w:type="pct"/>
            <w:noWrap/>
            <w:vAlign w:val="center"/>
          </w:tcPr>
          <w:p w14:paraId="454D9068"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0.993</w:t>
            </w:r>
          </w:p>
        </w:tc>
        <w:tc>
          <w:tcPr>
            <w:tcW w:w="908" w:type="pct"/>
            <w:noWrap/>
            <w:vAlign w:val="center"/>
          </w:tcPr>
          <w:p w14:paraId="4BA9B8F4"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0.357</w:t>
            </w:r>
          </w:p>
        </w:tc>
        <w:tc>
          <w:tcPr>
            <w:tcW w:w="908" w:type="pct"/>
            <w:noWrap/>
            <w:vAlign w:val="center"/>
          </w:tcPr>
          <w:p w14:paraId="492933F1"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0.005</w:t>
            </w:r>
          </w:p>
        </w:tc>
      </w:tr>
      <w:tr w:rsidR="00A40FE6" w:rsidRPr="00807723" w14:paraId="24758B7E" w14:textId="77777777">
        <w:tc>
          <w:tcPr>
            <w:tcW w:w="1367" w:type="pct"/>
            <w:noWrap/>
            <w:vAlign w:val="center"/>
          </w:tcPr>
          <w:p w14:paraId="2CB74FA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Bilirubin</w:t>
            </w:r>
          </w:p>
        </w:tc>
        <w:tc>
          <w:tcPr>
            <w:tcW w:w="908" w:type="pct"/>
            <w:noWrap/>
            <w:vAlign w:val="center"/>
          </w:tcPr>
          <w:p w14:paraId="0F77D8AB"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-0.093</w:t>
            </w:r>
          </w:p>
        </w:tc>
        <w:tc>
          <w:tcPr>
            <w:tcW w:w="908" w:type="pct"/>
            <w:noWrap/>
            <w:vAlign w:val="center"/>
          </w:tcPr>
          <w:p w14:paraId="03BFDC89"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0.479</w:t>
            </w:r>
          </w:p>
        </w:tc>
        <w:tc>
          <w:tcPr>
            <w:tcW w:w="908" w:type="pct"/>
            <w:noWrap/>
            <w:vAlign w:val="center"/>
          </w:tcPr>
          <w:p w14:paraId="727C2106"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0.008</w:t>
            </w:r>
          </w:p>
        </w:tc>
        <w:tc>
          <w:tcPr>
            <w:tcW w:w="908" w:type="pct"/>
            <w:noWrap/>
            <w:vAlign w:val="center"/>
          </w:tcPr>
          <w:p w14:paraId="1F0BD84C"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0.952</w:t>
            </w:r>
          </w:p>
        </w:tc>
      </w:tr>
      <w:tr w:rsidR="00A40FE6" w:rsidRPr="00807723" w14:paraId="0A19DA22" w14:textId="77777777">
        <w:tc>
          <w:tcPr>
            <w:tcW w:w="1367" w:type="pct"/>
            <w:noWrap/>
            <w:vAlign w:val="center"/>
          </w:tcPr>
          <w:p w14:paraId="4C7516DF"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Fasting blood glucose</w:t>
            </w:r>
          </w:p>
        </w:tc>
        <w:tc>
          <w:tcPr>
            <w:tcW w:w="908" w:type="pct"/>
            <w:noWrap/>
            <w:vAlign w:val="center"/>
          </w:tcPr>
          <w:p w14:paraId="42FB4865"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-0.135</w:t>
            </w:r>
          </w:p>
        </w:tc>
        <w:tc>
          <w:tcPr>
            <w:tcW w:w="908" w:type="pct"/>
            <w:noWrap/>
            <w:vAlign w:val="center"/>
          </w:tcPr>
          <w:p w14:paraId="3D152D4C"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0.477</w:t>
            </w:r>
          </w:p>
        </w:tc>
        <w:tc>
          <w:tcPr>
            <w:tcW w:w="908" w:type="pct"/>
            <w:noWrap/>
            <w:vAlign w:val="center"/>
          </w:tcPr>
          <w:p w14:paraId="707797F2"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0.056</w:t>
            </w:r>
          </w:p>
        </w:tc>
        <w:tc>
          <w:tcPr>
            <w:tcW w:w="908" w:type="pct"/>
            <w:noWrap/>
            <w:vAlign w:val="center"/>
          </w:tcPr>
          <w:p w14:paraId="370D08DD" w14:textId="77777777" w:rsidR="00A40FE6" w:rsidRPr="00807723" w:rsidRDefault="00214602">
            <w:pPr>
              <w:spacing w:before="40" w:after="40" w:line="360" w:lineRule="auto"/>
              <w:jc w:val="both"/>
              <w:rPr>
                <w:rFonts w:ascii="Book Antiqua" w:hAnsi="Book Antiqua" w:cs="Arial"/>
                <w:color w:val="000000" w:themeColor="text1"/>
              </w:rPr>
            </w:pPr>
            <w:r w:rsidRPr="00807723">
              <w:rPr>
                <w:rFonts w:ascii="Book Antiqua" w:hAnsi="Book Antiqua" w:cs="Arial"/>
                <w:color w:val="000000" w:themeColor="text1"/>
              </w:rPr>
              <w:t>0.767</w:t>
            </w:r>
          </w:p>
        </w:tc>
      </w:tr>
    </w:tbl>
    <w:p w14:paraId="1CD207A5" w14:textId="77777777" w:rsidR="00A40FE6" w:rsidRPr="00807723" w:rsidRDefault="00214602">
      <w:pPr>
        <w:autoSpaceDE w:val="0"/>
        <w:autoSpaceDN w:val="0"/>
        <w:adjustRightInd w:val="0"/>
        <w:spacing w:line="360" w:lineRule="auto"/>
        <w:jc w:val="both"/>
        <w:rPr>
          <w:rFonts w:ascii="Book Antiqua" w:hAnsi="Book Antiqua"/>
          <w:color w:val="000000" w:themeColor="text1"/>
        </w:rPr>
      </w:pPr>
      <w:r w:rsidRPr="00807723">
        <w:rPr>
          <w:rFonts w:ascii="Book Antiqua" w:hAnsi="Book Antiqua"/>
          <w:color w:val="000000" w:themeColor="text1"/>
        </w:rPr>
        <w:t>AFP: Alpha fetoprotein; FGF-19: Fibroblast growth factor 19; INR: International normalised ratio.</w:t>
      </w:r>
    </w:p>
    <w:p w14:paraId="407C0EBF" w14:textId="77777777" w:rsidR="00A40FE6" w:rsidRPr="00807723" w:rsidRDefault="00A40FE6">
      <w:pPr>
        <w:spacing w:line="360" w:lineRule="auto"/>
        <w:jc w:val="both"/>
        <w:rPr>
          <w:rFonts w:ascii="Book Antiqua" w:hAnsi="Book Antiqua"/>
          <w:b/>
          <w:bCs/>
          <w:color w:val="000000" w:themeColor="text1"/>
        </w:rPr>
      </w:pPr>
    </w:p>
    <w:p w14:paraId="724E8C00"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b/>
          <w:bCs/>
          <w:color w:val="000000" w:themeColor="text1"/>
        </w:rPr>
        <w:br w:type="page"/>
      </w:r>
      <w:r w:rsidRPr="00807723">
        <w:rPr>
          <w:rFonts w:ascii="Book Antiqua" w:hAnsi="Book Antiqua"/>
          <w:b/>
          <w:bCs/>
          <w:color w:val="000000" w:themeColor="text1"/>
        </w:rPr>
        <w:lastRenderedPageBreak/>
        <w:t xml:space="preserve">Table 6 Diagnostic performance of </w:t>
      </w:r>
      <w:bookmarkStart w:id="7" w:name="_Hlk85390830"/>
      <w:r w:rsidRPr="00807723">
        <w:rPr>
          <w:rFonts w:ascii="Book Antiqua" w:hAnsi="Book Antiqua"/>
          <w:b/>
          <w:bCs/>
          <w:color w:val="000000" w:themeColor="text1"/>
        </w:rPr>
        <w:t xml:space="preserve">fibroblast growth factor 19 </w:t>
      </w:r>
      <w:bookmarkEnd w:id="7"/>
      <w:r w:rsidRPr="00807723">
        <w:rPr>
          <w:rFonts w:ascii="Book Antiqua" w:hAnsi="Book Antiqua"/>
          <w:b/>
          <w:bCs/>
          <w:color w:val="000000" w:themeColor="text1"/>
        </w:rPr>
        <w:t xml:space="preserve">and alpha fetoprotein for differentiation of </w:t>
      </w:r>
      <w:r w:rsidRPr="00807723">
        <w:rPr>
          <w:rFonts w:ascii="Book Antiqua" w:eastAsia="Book Antiqua" w:hAnsi="Book Antiqua" w:cs="Book Antiqua"/>
          <w:b/>
          <w:bCs/>
          <w:color w:val="000000"/>
        </w:rPr>
        <w:t>hepatocellular carcinoma</w:t>
      </w:r>
      <w:r w:rsidRPr="00807723">
        <w:rPr>
          <w:rFonts w:ascii="Book Antiqua" w:hAnsi="Book Antiqua"/>
          <w:b/>
          <w:bCs/>
          <w:color w:val="000000" w:themeColor="text1"/>
        </w:rPr>
        <w:t xml:space="preserve"> cases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818"/>
        <w:gridCol w:w="1003"/>
        <w:gridCol w:w="1484"/>
        <w:gridCol w:w="1771"/>
        <w:gridCol w:w="996"/>
        <w:gridCol w:w="885"/>
      </w:tblGrid>
      <w:tr w:rsidR="00A40FE6" w:rsidRPr="00807723" w14:paraId="4EEFEEC0" w14:textId="77777777">
        <w:tc>
          <w:tcPr>
            <w:tcW w:w="749" w:type="pct"/>
            <w:tcBorders>
              <w:top w:val="single" w:sz="4" w:space="0" w:color="auto"/>
              <w:bottom w:val="single" w:sz="4" w:space="0" w:color="auto"/>
            </w:tcBorders>
          </w:tcPr>
          <w:p w14:paraId="4A5DDB4E" w14:textId="77777777" w:rsidR="00A40FE6" w:rsidRPr="00807723" w:rsidRDefault="00A40FE6">
            <w:pPr>
              <w:spacing w:before="120" w:after="120" w:line="360" w:lineRule="auto"/>
              <w:jc w:val="both"/>
              <w:rPr>
                <w:rFonts w:ascii="Book Antiqua" w:hAnsi="Book Antiqua" w:cs="Arial"/>
                <w:b/>
                <w:bCs/>
                <w:color w:val="000000" w:themeColor="text1"/>
              </w:rPr>
            </w:pPr>
          </w:p>
        </w:tc>
        <w:tc>
          <w:tcPr>
            <w:tcW w:w="971" w:type="pct"/>
            <w:tcBorders>
              <w:top w:val="single" w:sz="4" w:space="0" w:color="auto"/>
              <w:bottom w:val="single" w:sz="4" w:space="0" w:color="auto"/>
            </w:tcBorders>
          </w:tcPr>
          <w:p w14:paraId="0DB30A31"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b/>
                <w:bCs/>
                <w:color w:val="000000" w:themeColor="text1"/>
              </w:rPr>
              <w:t>Cut-off point</w:t>
            </w:r>
          </w:p>
        </w:tc>
        <w:tc>
          <w:tcPr>
            <w:tcW w:w="536" w:type="pct"/>
            <w:tcBorders>
              <w:top w:val="single" w:sz="4" w:space="0" w:color="auto"/>
              <w:bottom w:val="single" w:sz="4" w:space="0" w:color="auto"/>
            </w:tcBorders>
          </w:tcPr>
          <w:p w14:paraId="289ABEE3"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AUC</w:t>
            </w:r>
          </w:p>
        </w:tc>
        <w:tc>
          <w:tcPr>
            <w:tcW w:w="793" w:type="pct"/>
            <w:tcBorders>
              <w:top w:val="single" w:sz="4" w:space="0" w:color="auto"/>
              <w:bottom w:val="single" w:sz="4" w:space="0" w:color="auto"/>
            </w:tcBorders>
          </w:tcPr>
          <w:p w14:paraId="5399D013"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Sensitivity</w:t>
            </w:r>
          </w:p>
        </w:tc>
        <w:tc>
          <w:tcPr>
            <w:tcW w:w="946" w:type="pct"/>
            <w:tcBorders>
              <w:top w:val="single" w:sz="4" w:space="0" w:color="auto"/>
              <w:bottom w:val="single" w:sz="4" w:space="0" w:color="auto"/>
            </w:tcBorders>
          </w:tcPr>
          <w:p w14:paraId="4ED038ED"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Specificity</w:t>
            </w:r>
          </w:p>
        </w:tc>
        <w:tc>
          <w:tcPr>
            <w:tcW w:w="532" w:type="pct"/>
            <w:tcBorders>
              <w:top w:val="single" w:sz="4" w:space="0" w:color="auto"/>
              <w:bottom w:val="single" w:sz="4" w:space="0" w:color="auto"/>
            </w:tcBorders>
          </w:tcPr>
          <w:p w14:paraId="2524B5A4"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PPV</w:t>
            </w:r>
          </w:p>
        </w:tc>
        <w:tc>
          <w:tcPr>
            <w:tcW w:w="473" w:type="pct"/>
            <w:tcBorders>
              <w:top w:val="single" w:sz="4" w:space="0" w:color="auto"/>
              <w:bottom w:val="single" w:sz="4" w:space="0" w:color="auto"/>
            </w:tcBorders>
          </w:tcPr>
          <w:p w14:paraId="0C590A61" w14:textId="77777777" w:rsidR="00A40FE6" w:rsidRPr="00807723" w:rsidRDefault="00214602">
            <w:pPr>
              <w:spacing w:before="120" w:after="120" w:line="360" w:lineRule="auto"/>
              <w:jc w:val="both"/>
              <w:rPr>
                <w:rFonts w:ascii="Book Antiqua" w:hAnsi="Book Antiqua" w:cs="Arial"/>
                <w:b/>
                <w:bCs/>
                <w:color w:val="000000" w:themeColor="text1"/>
              </w:rPr>
            </w:pPr>
            <w:r w:rsidRPr="00807723">
              <w:rPr>
                <w:rFonts w:ascii="Book Antiqua" w:hAnsi="Book Antiqua" w:cs="Arial"/>
                <w:b/>
                <w:bCs/>
                <w:color w:val="000000" w:themeColor="text1"/>
              </w:rPr>
              <w:t>NPV</w:t>
            </w:r>
          </w:p>
        </w:tc>
      </w:tr>
      <w:tr w:rsidR="00A40FE6" w:rsidRPr="00807723" w14:paraId="6B1A361E" w14:textId="77777777">
        <w:tc>
          <w:tcPr>
            <w:tcW w:w="749" w:type="pct"/>
            <w:tcBorders>
              <w:top w:val="single" w:sz="4" w:space="0" w:color="auto"/>
            </w:tcBorders>
          </w:tcPr>
          <w:p w14:paraId="65A70879"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FGF-19</w:t>
            </w:r>
          </w:p>
        </w:tc>
        <w:tc>
          <w:tcPr>
            <w:tcW w:w="971" w:type="pct"/>
            <w:tcBorders>
              <w:top w:val="single" w:sz="4" w:space="0" w:color="auto"/>
            </w:tcBorders>
          </w:tcPr>
          <w:p w14:paraId="53FD0A29"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 xml:space="preserve">&gt; 180 </w:t>
            </w:r>
            <w:proofErr w:type="spellStart"/>
            <w:r w:rsidRPr="00807723">
              <w:rPr>
                <w:rFonts w:ascii="Book Antiqua" w:hAnsi="Book Antiqua" w:cs="Arial"/>
                <w:color w:val="000000" w:themeColor="text1"/>
              </w:rPr>
              <w:t>pg</w:t>
            </w:r>
            <w:proofErr w:type="spellEnd"/>
            <w:r w:rsidRPr="00807723">
              <w:rPr>
                <w:rFonts w:ascii="Book Antiqua" w:hAnsi="Book Antiqua" w:cs="Arial"/>
                <w:color w:val="000000" w:themeColor="text1"/>
              </w:rPr>
              <w:t>/mL</w:t>
            </w:r>
          </w:p>
        </w:tc>
        <w:tc>
          <w:tcPr>
            <w:tcW w:w="536" w:type="pct"/>
            <w:tcBorders>
              <w:top w:val="single" w:sz="4" w:space="0" w:color="auto"/>
            </w:tcBorders>
          </w:tcPr>
          <w:p w14:paraId="2D7B9891"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0.98</w:t>
            </w:r>
          </w:p>
        </w:tc>
        <w:tc>
          <w:tcPr>
            <w:tcW w:w="793" w:type="pct"/>
            <w:tcBorders>
              <w:top w:val="single" w:sz="4" w:space="0" w:color="auto"/>
            </w:tcBorders>
          </w:tcPr>
          <w:p w14:paraId="7998CC10"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100%</w:t>
            </w:r>
          </w:p>
        </w:tc>
        <w:tc>
          <w:tcPr>
            <w:tcW w:w="946" w:type="pct"/>
            <w:tcBorders>
              <w:top w:val="single" w:sz="4" w:space="0" w:color="auto"/>
            </w:tcBorders>
          </w:tcPr>
          <w:p w14:paraId="75D97666"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90%</w:t>
            </w:r>
          </w:p>
        </w:tc>
        <w:tc>
          <w:tcPr>
            <w:tcW w:w="532" w:type="pct"/>
            <w:tcBorders>
              <w:top w:val="single" w:sz="4" w:space="0" w:color="auto"/>
            </w:tcBorders>
          </w:tcPr>
          <w:p w14:paraId="32A0192C"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90%</w:t>
            </w:r>
          </w:p>
        </w:tc>
        <w:tc>
          <w:tcPr>
            <w:tcW w:w="473" w:type="pct"/>
            <w:tcBorders>
              <w:top w:val="single" w:sz="4" w:space="0" w:color="auto"/>
            </w:tcBorders>
          </w:tcPr>
          <w:p w14:paraId="42F27909"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100%</w:t>
            </w:r>
          </w:p>
        </w:tc>
      </w:tr>
      <w:tr w:rsidR="00A40FE6" w:rsidRPr="00807723" w14:paraId="78051A53" w14:textId="77777777">
        <w:tc>
          <w:tcPr>
            <w:tcW w:w="749" w:type="pct"/>
          </w:tcPr>
          <w:p w14:paraId="679B13A8"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AFP</w:t>
            </w:r>
          </w:p>
        </w:tc>
        <w:tc>
          <w:tcPr>
            <w:tcW w:w="971" w:type="pct"/>
          </w:tcPr>
          <w:p w14:paraId="434E107D"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&gt; 8.2 ng/mL</w:t>
            </w:r>
          </w:p>
        </w:tc>
        <w:tc>
          <w:tcPr>
            <w:tcW w:w="536" w:type="pct"/>
          </w:tcPr>
          <w:p w14:paraId="24DB59F0"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0.78</w:t>
            </w:r>
          </w:p>
        </w:tc>
        <w:tc>
          <w:tcPr>
            <w:tcW w:w="793" w:type="pct"/>
          </w:tcPr>
          <w:p w14:paraId="0E160D74"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63.33%</w:t>
            </w:r>
          </w:p>
        </w:tc>
        <w:tc>
          <w:tcPr>
            <w:tcW w:w="946" w:type="pct"/>
          </w:tcPr>
          <w:p w14:paraId="7F0ED6A1"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83.33%</w:t>
            </w:r>
          </w:p>
        </w:tc>
        <w:tc>
          <w:tcPr>
            <w:tcW w:w="532" w:type="pct"/>
          </w:tcPr>
          <w:p w14:paraId="774CE73B"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79.2%</w:t>
            </w:r>
          </w:p>
        </w:tc>
        <w:tc>
          <w:tcPr>
            <w:tcW w:w="473" w:type="pct"/>
          </w:tcPr>
          <w:p w14:paraId="5C4FAF4E" w14:textId="77777777" w:rsidR="00A40FE6" w:rsidRPr="00807723" w:rsidRDefault="00214602">
            <w:pPr>
              <w:spacing w:before="120" w:after="120" w:line="360" w:lineRule="auto"/>
              <w:jc w:val="both"/>
              <w:rPr>
                <w:rFonts w:ascii="Book Antiqua" w:hAnsi="Book Antiqua" w:cs="Arial"/>
                <w:color w:val="000000" w:themeColor="text1"/>
              </w:rPr>
            </w:pPr>
            <w:r w:rsidRPr="00807723">
              <w:rPr>
                <w:rFonts w:ascii="Book Antiqua" w:hAnsi="Book Antiqua" w:cs="Arial"/>
                <w:color w:val="000000" w:themeColor="text1"/>
              </w:rPr>
              <w:t>69.4%</w:t>
            </w:r>
          </w:p>
        </w:tc>
      </w:tr>
    </w:tbl>
    <w:p w14:paraId="76CFDDEE" w14:textId="77777777" w:rsidR="00A40FE6" w:rsidRPr="00807723" w:rsidRDefault="00214602">
      <w:pPr>
        <w:spacing w:line="360" w:lineRule="auto"/>
        <w:jc w:val="both"/>
        <w:rPr>
          <w:rFonts w:ascii="Book Antiqua" w:hAnsi="Book Antiqua"/>
          <w:color w:val="000000" w:themeColor="text1"/>
        </w:rPr>
      </w:pPr>
      <w:r w:rsidRPr="00807723">
        <w:rPr>
          <w:rFonts w:ascii="Book Antiqua" w:hAnsi="Book Antiqua"/>
          <w:color w:val="000000" w:themeColor="text1"/>
        </w:rPr>
        <w:t xml:space="preserve">AFP: Alpha fetoprotein; AUC: Area under the curve; FGF-19: Fibroblast growth factor 19; </w:t>
      </w:r>
      <w:r w:rsidRPr="00807723">
        <w:rPr>
          <w:rFonts w:ascii="Book Antiqua" w:eastAsia="Book Antiqua" w:hAnsi="Book Antiqua" w:cs="Book Antiqua"/>
          <w:color w:val="000000"/>
        </w:rPr>
        <w:t>HCC: Hepatocellular carcinoma</w:t>
      </w:r>
      <w:r w:rsidRPr="00807723">
        <w:rPr>
          <w:rFonts w:ascii="Book Antiqua" w:hAnsi="Book Antiqua"/>
          <w:color w:val="000000" w:themeColor="text1"/>
        </w:rPr>
        <w:t xml:space="preserve">; NPV: </w:t>
      </w:r>
      <w:r w:rsidRPr="00807723">
        <w:rPr>
          <w:rFonts w:ascii="Book Antiqua" w:eastAsia="Book Antiqua" w:hAnsi="Book Antiqua" w:cs="Book Antiqua"/>
          <w:color w:val="000000"/>
        </w:rPr>
        <w:t xml:space="preserve">Negative predictive value; </w:t>
      </w:r>
      <w:r w:rsidRPr="00807723">
        <w:rPr>
          <w:rFonts w:ascii="Book Antiqua" w:hAnsi="Book Antiqua" w:cs="Arial"/>
          <w:color w:val="000000" w:themeColor="text1"/>
        </w:rPr>
        <w:t>PPV</w:t>
      </w:r>
      <w:r w:rsidRPr="00807723">
        <w:rPr>
          <w:rFonts w:ascii="Book Antiqua" w:hAnsi="Book Antiqua"/>
          <w:color w:val="000000" w:themeColor="text1"/>
        </w:rPr>
        <w:t xml:space="preserve">: </w:t>
      </w:r>
      <w:r w:rsidRPr="00807723">
        <w:rPr>
          <w:rFonts w:ascii="Book Antiqua" w:eastAsia="Book Antiqua" w:hAnsi="Book Antiqua" w:cs="Book Antiqua"/>
          <w:color w:val="000000"/>
        </w:rPr>
        <w:t>Positive predictive value.</w:t>
      </w:r>
    </w:p>
    <w:p w14:paraId="2277709D" w14:textId="77777777" w:rsidR="008A41F4" w:rsidRPr="00807723" w:rsidRDefault="008A41F4">
      <w:pPr>
        <w:spacing w:line="360" w:lineRule="auto"/>
        <w:jc w:val="both"/>
        <w:sectPr w:rsidR="008A41F4" w:rsidRPr="00807723">
          <w:pgSz w:w="12240" w:h="15840"/>
          <w:pgMar w:top="1440" w:right="1440" w:bottom="1440" w:left="1440" w:header="720" w:footer="720" w:gutter="0"/>
          <w:cols w:space="720"/>
          <w:docGrid w:linePitch="360"/>
        </w:sectPr>
      </w:pPr>
    </w:p>
    <w:p w14:paraId="6F22EE14" w14:textId="77777777" w:rsidR="008A41F4" w:rsidRPr="00807723" w:rsidRDefault="008A41F4" w:rsidP="008A41F4">
      <w:pPr>
        <w:jc w:val="center"/>
        <w:rPr>
          <w:rFonts w:ascii="Book Antiqua" w:hAnsi="Book Antiqua"/>
          <w:lang w:val="en-US"/>
        </w:rPr>
      </w:pPr>
    </w:p>
    <w:p w14:paraId="2A145DF1" w14:textId="77777777" w:rsidR="008A41F4" w:rsidRPr="00807723" w:rsidRDefault="008A41F4" w:rsidP="008A41F4">
      <w:pPr>
        <w:jc w:val="center"/>
        <w:rPr>
          <w:rFonts w:ascii="Book Antiqua" w:hAnsi="Book Antiqua"/>
        </w:rPr>
      </w:pPr>
    </w:p>
    <w:p w14:paraId="6A64B6F2" w14:textId="77777777" w:rsidR="008A41F4" w:rsidRPr="00807723" w:rsidRDefault="008A41F4" w:rsidP="008A41F4">
      <w:pPr>
        <w:jc w:val="center"/>
        <w:rPr>
          <w:rFonts w:ascii="Book Antiqua" w:hAnsi="Book Antiqua"/>
        </w:rPr>
      </w:pPr>
    </w:p>
    <w:p w14:paraId="34CB5E4C" w14:textId="77777777" w:rsidR="008A41F4" w:rsidRPr="00807723" w:rsidRDefault="008A41F4" w:rsidP="008A41F4">
      <w:pPr>
        <w:jc w:val="center"/>
        <w:rPr>
          <w:rFonts w:ascii="Book Antiqua" w:hAnsi="Book Antiqua"/>
        </w:rPr>
      </w:pPr>
    </w:p>
    <w:p w14:paraId="78ED512A" w14:textId="391839B0" w:rsidR="008A41F4" w:rsidRPr="00807723" w:rsidRDefault="008A41F4" w:rsidP="008A41F4">
      <w:pPr>
        <w:jc w:val="center"/>
        <w:rPr>
          <w:rFonts w:ascii="Book Antiqua" w:hAnsi="Book Antiqua"/>
        </w:rPr>
      </w:pPr>
      <w:r w:rsidRPr="00807723">
        <w:rPr>
          <w:rFonts w:ascii="Book Antiqua" w:hAnsi="Book Antiqua"/>
          <w:noProof/>
        </w:rPr>
        <w:drawing>
          <wp:inline distT="0" distB="0" distL="0" distR="0" wp14:anchorId="2435F19E" wp14:editId="2CCC6A56">
            <wp:extent cx="2503805" cy="1437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434FA401" w14:textId="77777777" w:rsidR="008A41F4" w:rsidRPr="00807723" w:rsidRDefault="008A41F4" w:rsidP="008A41F4">
      <w:pPr>
        <w:jc w:val="center"/>
        <w:rPr>
          <w:rFonts w:ascii="Book Antiqua" w:hAnsi="Book Antiqua"/>
        </w:rPr>
      </w:pPr>
    </w:p>
    <w:p w14:paraId="61539BFE" w14:textId="77777777" w:rsidR="008A41F4" w:rsidRPr="00807723" w:rsidRDefault="008A41F4" w:rsidP="008A41F4">
      <w:pPr>
        <w:autoSpaceDE w:val="0"/>
        <w:autoSpaceDN w:val="0"/>
        <w:adjustRightInd w:val="0"/>
        <w:jc w:val="center"/>
        <w:rPr>
          <w:rFonts w:ascii="Book Antiqua" w:eastAsia="Garamond-Bold" w:hAnsi="Book Antiqua" w:cs="Garamond-Bold"/>
          <w:b/>
          <w:bCs/>
          <w:color w:val="000000"/>
          <w:sz w:val="28"/>
          <w:szCs w:val="28"/>
        </w:rPr>
      </w:pPr>
      <w:r w:rsidRPr="00807723">
        <w:rPr>
          <w:rFonts w:ascii="Book Antiqua" w:eastAsia="TimesNewRomanPSMT" w:hAnsi="Book Antiqua" w:cs="TimesNewRomanPSMT"/>
          <w:color w:val="000000"/>
          <w:sz w:val="28"/>
          <w:szCs w:val="28"/>
        </w:rPr>
        <w:t xml:space="preserve">Published by </w:t>
      </w:r>
      <w:proofErr w:type="spellStart"/>
      <w:r w:rsidRPr="00807723">
        <w:rPr>
          <w:rFonts w:ascii="Book Antiqua" w:eastAsia="Garamond-Bold" w:hAnsi="Book Antiqua" w:cs="Garamond-Bold"/>
          <w:b/>
          <w:bCs/>
          <w:color w:val="000000"/>
          <w:sz w:val="28"/>
          <w:szCs w:val="28"/>
        </w:rPr>
        <w:t>Baishideng</w:t>
      </w:r>
      <w:proofErr w:type="spellEnd"/>
      <w:r w:rsidRPr="00807723">
        <w:rPr>
          <w:rFonts w:ascii="Book Antiqua" w:eastAsia="Garamond-Bold" w:hAnsi="Book Antiqua" w:cs="Garamond-Bold"/>
          <w:b/>
          <w:bCs/>
          <w:color w:val="000000"/>
          <w:sz w:val="28"/>
          <w:szCs w:val="28"/>
        </w:rPr>
        <w:t xml:space="preserve"> Publishing Group Inc</w:t>
      </w:r>
    </w:p>
    <w:p w14:paraId="5F94531C" w14:textId="77777777" w:rsidR="008A41F4" w:rsidRPr="00807723" w:rsidRDefault="008A41F4" w:rsidP="008A41F4">
      <w:pPr>
        <w:autoSpaceDE w:val="0"/>
        <w:autoSpaceDN w:val="0"/>
        <w:adjustRightInd w:val="0"/>
        <w:jc w:val="center"/>
        <w:rPr>
          <w:rFonts w:ascii="Book Antiqua" w:eastAsia="TimesNewRomanPSMT" w:hAnsi="Book Antiqua" w:cs="Garamond"/>
          <w:color w:val="000000"/>
          <w:sz w:val="28"/>
          <w:szCs w:val="28"/>
        </w:rPr>
      </w:pPr>
      <w:r w:rsidRPr="00807723">
        <w:rPr>
          <w:rFonts w:ascii="Book Antiqua" w:eastAsia="TimesNewRomanPSMT" w:hAnsi="Book Antiqua" w:cs="Garamond"/>
          <w:color w:val="000000"/>
          <w:sz w:val="28"/>
          <w:szCs w:val="28"/>
        </w:rPr>
        <w:t xml:space="preserve">7041 Koll </w:t>
      </w:r>
      <w:proofErr w:type="spellStart"/>
      <w:r w:rsidRPr="00807723">
        <w:rPr>
          <w:rFonts w:ascii="Book Antiqua" w:eastAsia="TimesNewRomanPSMT" w:hAnsi="Book Antiqua" w:cs="Garamond"/>
          <w:color w:val="000000"/>
          <w:sz w:val="28"/>
          <w:szCs w:val="28"/>
        </w:rPr>
        <w:t>Center</w:t>
      </w:r>
      <w:proofErr w:type="spellEnd"/>
      <w:r w:rsidRPr="00807723">
        <w:rPr>
          <w:rFonts w:ascii="Book Antiqua" w:eastAsia="TimesNewRomanPSMT" w:hAnsi="Book Antiqua" w:cs="Garamond"/>
          <w:color w:val="000000"/>
          <w:sz w:val="28"/>
          <w:szCs w:val="28"/>
        </w:rPr>
        <w:t xml:space="preserve"> Parkway, Suite 160, Pleasanton, CA 94566, USA</w:t>
      </w:r>
    </w:p>
    <w:p w14:paraId="58455254" w14:textId="77777777" w:rsidR="008A41F4" w:rsidRPr="00807723" w:rsidRDefault="008A41F4" w:rsidP="008A41F4">
      <w:pPr>
        <w:autoSpaceDE w:val="0"/>
        <w:autoSpaceDN w:val="0"/>
        <w:adjustRightInd w:val="0"/>
        <w:jc w:val="center"/>
        <w:rPr>
          <w:rFonts w:ascii="Book Antiqua" w:eastAsia="TimesNewRomanPSMT" w:hAnsi="Book Antiqua" w:cs="Garamond"/>
          <w:color w:val="000000"/>
          <w:sz w:val="28"/>
          <w:szCs w:val="28"/>
        </w:rPr>
      </w:pPr>
      <w:r w:rsidRPr="00807723">
        <w:rPr>
          <w:rFonts w:ascii="Book Antiqua" w:eastAsia="Garamond-Bold" w:hAnsi="Book Antiqua" w:cs="Garamond-Bold"/>
          <w:b/>
          <w:bCs/>
          <w:color w:val="000000"/>
          <w:sz w:val="28"/>
          <w:szCs w:val="28"/>
        </w:rPr>
        <w:t xml:space="preserve">Telephone: </w:t>
      </w:r>
      <w:r w:rsidRPr="00807723">
        <w:rPr>
          <w:rFonts w:ascii="Book Antiqua" w:eastAsia="TimesNewRomanPSMT" w:hAnsi="Book Antiqua" w:cs="Garamond"/>
          <w:color w:val="000000"/>
          <w:sz w:val="28"/>
          <w:szCs w:val="28"/>
        </w:rPr>
        <w:t>+1-925-3991568</w:t>
      </w:r>
    </w:p>
    <w:p w14:paraId="767455B3" w14:textId="77777777" w:rsidR="008A41F4" w:rsidRPr="00807723" w:rsidRDefault="008A41F4" w:rsidP="008A41F4">
      <w:pPr>
        <w:autoSpaceDE w:val="0"/>
        <w:autoSpaceDN w:val="0"/>
        <w:adjustRightInd w:val="0"/>
        <w:jc w:val="center"/>
        <w:rPr>
          <w:rFonts w:ascii="Book Antiqua" w:eastAsia="TimesNewRomanPSMT" w:hAnsi="Book Antiqua" w:cs="Garamond"/>
          <w:color w:val="D56400"/>
          <w:sz w:val="28"/>
          <w:szCs w:val="28"/>
        </w:rPr>
      </w:pPr>
      <w:r w:rsidRPr="00807723">
        <w:rPr>
          <w:rFonts w:ascii="Book Antiqua" w:eastAsia="Garamond-Bold" w:hAnsi="Book Antiqua" w:cs="Garamond-Bold"/>
          <w:b/>
          <w:bCs/>
          <w:color w:val="000000"/>
          <w:sz w:val="28"/>
          <w:szCs w:val="28"/>
        </w:rPr>
        <w:t xml:space="preserve">E-mail: </w:t>
      </w:r>
      <w:r w:rsidRPr="00807723">
        <w:rPr>
          <w:rFonts w:ascii="Book Antiqua" w:eastAsia="TimesNewRomanPSMT" w:hAnsi="Book Antiqua" w:cs="Garamond"/>
          <w:color w:val="D56400"/>
          <w:sz w:val="28"/>
          <w:szCs w:val="28"/>
        </w:rPr>
        <w:t>bpgoffice@wjgnet.com</w:t>
      </w:r>
    </w:p>
    <w:p w14:paraId="6808B786" w14:textId="77777777" w:rsidR="008A41F4" w:rsidRPr="00807723" w:rsidRDefault="008A41F4" w:rsidP="008A41F4">
      <w:pPr>
        <w:autoSpaceDE w:val="0"/>
        <w:autoSpaceDN w:val="0"/>
        <w:adjustRightInd w:val="0"/>
        <w:jc w:val="center"/>
        <w:rPr>
          <w:rFonts w:ascii="Book Antiqua" w:eastAsia="TimesNewRomanPSMT" w:hAnsi="Book Antiqua" w:cs="Garamond"/>
          <w:color w:val="D56400"/>
          <w:sz w:val="28"/>
          <w:szCs w:val="28"/>
        </w:rPr>
      </w:pPr>
      <w:r w:rsidRPr="00807723">
        <w:rPr>
          <w:rFonts w:ascii="Book Antiqua" w:eastAsia="Garamond-Bold" w:hAnsi="Book Antiqua" w:cs="Garamond-Bold"/>
          <w:b/>
          <w:bCs/>
          <w:color w:val="000000"/>
          <w:sz w:val="28"/>
          <w:szCs w:val="28"/>
        </w:rPr>
        <w:t xml:space="preserve">Help Desk: </w:t>
      </w:r>
      <w:r w:rsidRPr="00807723">
        <w:rPr>
          <w:rFonts w:ascii="Book Antiqua" w:eastAsia="TimesNewRomanPSMT" w:hAnsi="Book Antiqua" w:cs="Garamond"/>
          <w:color w:val="D56400"/>
          <w:sz w:val="28"/>
          <w:szCs w:val="28"/>
        </w:rPr>
        <w:t>https://www.f6publishing.com/helpdesk</w:t>
      </w:r>
    </w:p>
    <w:p w14:paraId="3175877E" w14:textId="77777777" w:rsidR="008A41F4" w:rsidRPr="00807723" w:rsidRDefault="008A41F4" w:rsidP="008A41F4">
      <w:pPr>
        <w:jc w:val="center"/>
        <w:rPr>
          <w:rFonts w:ascii="Book Antiqua" w:hAnsi="Book Antiqua"/>
        </w:rPr>
      </w:pPr>
      <w:r w:rsidRPr="00807723">
        <w:rPr>
          <w:rFonts w:ascii="Book Antiqua" w:eastAsia="TimesNewRomanPSMT" w:hAnsi="Book Antiqua" w:cs="Garamond"/>
          <w:color w:val="D56400"/>
          <w:sz w:val="28"/>
          <w:szCs w:val="28"/>
        </w:rPr>
        <w:t>https://www.wjgnet.com</w:t>
      </w:r>
    </w:p>
    <w:p w14:paraId="04DBB143" w14:textId="77777777" w:rsidR="008A41F4" w:rsidRPr="00807723" w:rsidRDefault="008A41F4" w:rsidP="008A41F4">
      <w:pPr>
        <w:jc w:val="center"/>
        <w:rPr>
          <w:rFonts w:ascii="Book Antiqua" w:hAnsi="Book Antiqua"/>
        </w:rPr>
      </w:pPr>
    </w:p>
    <w:p w14:paraId="7B2C0B90" w14:textId="77777777" w:rsidR="008A41F4" w:rsidRPr="00807723" w:rsidRDefault="008A41F4" w:rsidP="008A41F4">
      <w:pPr>
        <w:jc w:val="center"/>
        <w:rPr>
          <w:rFonts w:ascii="Book Antiqua" w:hAnsi="Book Antiqua"/>
        </w:rPr>
      </w:pPr>
    </w:p>
    <w:p w14:paraId="63C4844D" w14:textId="77777777" w:rsidR="008A41F4" w:rsidRPr="00807723" w:rsidRDefault="008A41F4" w:rsidP="008A41F4">
      <w:pPr>
        <w:jc w:val="center"/>
        <w:rPr>
          <w:rFonts w:ascii="Book Antiqua" w:hAnsi="Book Antiqua"/>
        </w:rPr>
      </w:pPr>
    </w:p>
    <w:p w14:paraId="05147AE2" w14:textId="51DD96F5" w:rsidR="008A41F4" w:rsidRPr="00807723" w:rsidRDefault="008A41F4" w:rsidP="008A41F4">
      <w:pPr>
        <w:jc w:val="center"/>
        <w:rPr>
          <w:rFonts w:ascii="Book Antiqua" w:hAnsi="Book Antiqua"/>
        </w:rPr>
      </w:pPr>
      <w:r w:rsidRPr="00807723">
        <w:rPr>
          <w:rFonts w:ascii="Book Antiqua" w:hAnsi="Book Antiqua"/>
          <w:noProof/>
        </w:rPr>
        <w:drawing>
          <wp:inline distT="0" distB="0" distL="0" distR="0" wp14:anchorId="4482F5F7" wp14:editId="26B03B3F">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7DBADBB5" w14:textId="77777777" w:rsidR="008A41F4" w:rsidRPr="00807723" w:rsidRDefault="008A41F4" w:rsidP="008A41F4">
      <w:pPr>
        <w:jc w:val="center"/>
        <w:rPr>
          <w:rFonts w:ascii="Book Antiqua" w:hAnsi="Book Antiqua"/>
        </w:rPr>
      </w:pPr>
    </w:p>
    <w:p w14:paraId="048BA405" w14:textId="77777777" w:rsidR="008A41F4" w:rsidRPr="00807723" w:rsidRDefault="008A41F4" w:rsidP="008A41F4">
      <w:pPr>
        <w:jc w:val="center"/>
        <w:rPr>
          <w:rFonts w:ascii="Book Antiqua" w:hAnsi="Book Antiqua"/>
        </w:rPr>
      </w:pPr>
    </w:p>
    <w:p w14:paraId="7C2011A1" w14:textId="77777777" w:rsidR="008A41F4" w:rsidRPr="00807723" w:rsidRDefault="008A41F4" w:rsidP="008A41F4">
      <w:pPr>
        <w:jc w:val="center"/>
        <w:rPr>
          <w:rFonts w:ascii="Book Antiqua" w:hAnsi="Book Antiqua"/>
        </w:rPr>
      </w:pPr>
    </w:p>
    <w:p w14:paraId="75514811" w14:textId="77777777" w:rsidR="008A41F4" w:rsidRPr="00807723" w:rsidRDefault="008A41F4" w:rsidP="008A41F4">
      <w:pPr>
        <w:jc w:val="center"/>
        <w:rPr>
          <w:rFonts w:ascii="Book Antiqua" w:hAnsi="Book Antiqua"/>
        </w:rPr>
      </w:pPr>
    </w:p>
    <w:p w14:paraId="4A46BAAC" w14:textId="77777777" w:rsidR="008A41F4" w:rsidRPr="00807723" w:rsidRDefault="008A41F4" w:rsidP="008A41F4">
      <w:pPr>
        <w:jc w:val="center"/>
        <w:rPr>
          <w:rFonts w:ascii="Book Antiqua" w:hAnsi="Book Antiqua"/>
        </w:rPr>
      </w:pPr>
    </w:p>
    <w:p w14:paraId="16743420" w14:textId="77777777" w:rsidR="008A41F4" w:rsidRPr="00807723" w:rsidRDefault="008A41F4" w:rsidP="008A41F4">
      <w:pPr>
        <w:jc w:val="center"/>
        <w:rPr>
          <w:rFonts w:ascii="Book Antiqua" w:hAnsi="Book Antiqua"/>
        </w:rPr>
      </w:pPr>
    </w:p>
    <w:p w14:paraId="030068B9" w14:textId="77777777" w:rsidR="008A41F4" w:rsidRPr="00807723" w:rsidRDefault="008A41F4" w:rsidP="008A41F4">
      <w:pPr>
        <w:jc w:val="center"/>
        <w:rPr>
          <w:rFonts w:ascii="Book Antiqua" w:hAnsi="Book Antiqua"/>
        </w:rPr>
      </w:pPr>
    </w:p>
    <w:p w14:paraId="41BE446B" w14:textId="77777777" w:rsidR="008A41F4" w:rsidRPr="00807723" w:rsidRDefault="008A41F4" w:rsidP="008A41F4">
      <w:pPr>
        <w:jc w:val="center"/>
        <w:rPr>
          <w:rFonts w:ascii="Book Antiqua" w:hAnsi="Book Antiqua"/>
        </w:rPr>
      </w:pPr>
    </w:p>
    <w:p w14:paraId="3B539417" w14:textId="77777777" w:rsidR="008A41F4" w:rsidRPr="00807723" w:rsidRDefault="008A41F4" w:rsidP="008A41F4">
      <w:pPr>
        <w:jc w:val="center"/>
        <w:rPr>
          <w:rFonts w:ascii="Book Antiqua" w:hAnsi="Book Antiqua"/>
        </w:rPr>
      </w:pPr>
    </w:p>
    <w:p w14:paraId="10651152" w14:textId="77777777" w:rsidR="008A41F4" w:rsidRPr="00807723" w:rsidRDefault="008A41F4" w:rsidP="008A41F4">
      <w:pPr>
        <w:jc w:val="right"/>
        <w:rPr>
          <w:rFonts w:ascii="Book Antiqua" w:hAnsi="Book Antiqua"/>
          <w:color w:val="000000" w:themeColor="text1"/>
        </w:rPr>
      </w:pPr>
    </w:p>
    <w:p w14:paraId="1F81F65D" w14:textId="0D08AC10" w:rsidR="00A40FE6" w:rsidRPr="00B74268" w:rsidRDefault="008A41F4" w:rsidP="00B74268">
      <w:pPr>
        <w:jc w:val="center"/>
        <w:rPr>
          <w:rFonts w:ascii="Book Antiqua" w:eastAsia="BookAntiqua-Bold" w:hAnsi="Book Antiqua" w:cs="BookAntiqua-Bold"/>
          <w:b/>
          <w:bCs/>
          <w:color w:val="000000" w:themeColor="text1"/>
        </w:rPr>
      </w:pPr>
      <w:r w:rsidRPr="00807723">
        <w:rPr>
          <w:rFonts w:ascii="Book Antiqua" w:eastAsia="BookAntiqua-Bold" w:hAnsi="Book Antiqua" w:cs="BookAntiqua-Bold"/>
          <w:b/>
          <w:bCs/>
          <w:color w:val="000000" w:themeColor="text1"/>
        </w:rPr>
        <w:t xml:space="preserve">© 2022 </w:t>
      </w:r>
      <w:proofErr w:type="spellStart"/>
      <w:r w:rsidRPr="00807723">
        <w:rPr>
          <w:rFonts w:ascii="Book Antiqua" w:eastAsia="BookAntiqua-Bold" w:hAnsi="Book Antiqua" w:cs="BookAntiqua-Bold"/>
          <w:b/>
          <w:bCs/>
          <w:color w:val="000000" w:themeColor="text1"/>
        </w:rPr>
        <w:t>Baishideng</w:t>
      </w:r>
      <w:proofErr w:type="spellEnd"/>
      <w:r w:rsidRPr="00807723">
        <w:rPr>
          <w:rFonts w:ascii="Book Antiqua" w:eastAsia="BookAntiqua-Bold" w:hAnsi="Book Antiqua" w:cs="BookAntiqua-Bold"/>
          <w:b/>
          <w:bCs/>
          <w:color w:val="000000" w:themeColor="text1"/>
        </w:rPr>
        <w:t xml:space="preserve"> Publishing Group Inc. All rights reserved.</w:t>
      </w:r>
      <w:r w:rsidRPr="00047E25">
        <w:rPr>
          <w:rFonts w:ascii="Book Antiqua" w:eastAsia="BookAntiqua-Bold" w:hAnsi="Book Antiqua" w:cs="BookAntiqua-Bold"/>
          <w:b/>
          <w:bCs/>
          <w:color w:val="000000" w:themeColor="text1"/>
        </w:rPr>
        <w:t xml:space="preserve"> </w:t>
      </w:r>
    </w:p>
    <w:sectPr w:rsidR="00A40FE6" w:rsidRPr="00B74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84D7" w14:textId="77777777" w:rsidR="00723244" w:rsidRDefault="00723244">
      <w:r>
        <w:separator/>
      </w:r>
    </w:p>
  </w:endnote>
  <w:endnote w:type="continuationSeparator" w:id="0">
    <w:p w14:paraId="5D61142A" w14:textId="77777777" w:rsidR="00723244" w:rsidRDefault="0072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Roanoke Script"/>
    <w:charset w:val="00"/>
    <w:family w:val="auto"/>
    <w:pitch w:val="default"/>
    <w:sig w:usb0="00000000"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CC7C" w14:textId="77777777" w:rsidR="00A40FE6" w:rsidRDefault="0021460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30</w:t>
    </w:r>
    <w:r>
      <w:rPr>
        <w:rFonts w:ascii="Book Antiqua" w:hAnsi="Book Antiqua"/>
        <w:sz w:val="24"/>
        <w:szCs w:val="24"/>
      </w:rPr>
      <w:fldChar w:fldCharType="end"/>
    </w:r>
  </w:p>
  <w:p w14:paraId="7120A8C8" w14:textId="77777777" w:rsidR="00A40FE6" w:rsidRDefault="00A40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4594" w14:textId="77777777" w:rsidR="00723244" w:rsidRDefault="00723244">
      <w:r>
        <w:separator/>
      </w:r>
    </w:p>
  </w:footnote>
  <w:footnote w:type="continuationSeparator" w:id="0">
    <w:p w14:paraId="7AF488D6" w14:textId="77777777" w:rsidR="00723244" w:rsidRDefault="0072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1F"/>
    <w:rsid w:val="00015A6A"/>
    <w:rsid w:val="0004027D"/>
    <w:rsid w:val="00044D1F"/>
    <w:rsid w:val="00047E25"/>
    <w:rsid w:val="00051B83"/>
    <w:rsid w:val="00063053"/>
    <w:rsid w:val="00065904"/>
    <w:rsid w:val="00075E0C"/>
    <w:rsid w:val="00093CFE"/>
    <w:rsid w:val="000A0BF0"/>
    <w:rsid w:val="000B414E"/>
    <w:rsid w:val="000B6A52"/>
    <w:rsid w:val="000D312E"/>
    <w:rsid w:val="000F5A6B"/>
    <w:rsid w:val="0010658E"/>
    <w:rsid w:val="00107C83"/>
    <w:rsid w:val="00110821"/>
    <w:rsid w:val="00110C78"/>
    <w:rsid w:val="00124BE4"/>
    <w:rsid w:val="0013035F"/>
    <w:rsid w:val="00143F1F"/>
    <w:rsid w:val="00146293"/>
    <w:rsid w:val="0015690D"/>
    <w:rsid w:val="00157A79"/>
    <w:rsid w:val="00171351"/>
    <w:rsid w:val="001827CA"/>
    <w:rsid w:val="001B39A3"/>
    <w:rsid w:val="001B4531"/>
    <w:rsid w:val="001B7719"/>
    <w:rsid w:val="001C7242"/>
    <w:rsid w:val="001D5514"/>
    <w:rsid w:val="001E6B1F"/>
    <w:rsid w:val="00206ECF"/>
    <w:rsid w:val="00212ACE"/>
    <w:rsid w:val="002138A6"/>
    <w:rsid w:val="00213F01"/>
    <w:rsid w:val="00214602"/>
    <w:rsid w:val="00225B5C"/>
    <w:rsid w:val="00244801"/>
    <w:rsid w:val="002506AD"/>
    <w:rsid w:val="00251EA4"/>
    <w:rsid w:val="002602F4"/>
    <w:rsid w:val="00271D26"/>
    <w:rsid w:val="00275AAC"/>
    <w:rsid w:val="002A2A10"/>
    <w:rsid w:val="002B58A2"/>
    <w:rsid w:val="002C75FE"/>
    <w:rsid w:val="002D1EDE"/>
    <w:rsid w:val="002E3DE4"/>
    <w:rsid w:val="002F4B2D"/>
    <w:rsid w:val="002F679C"/>
    <w:rsid w:val="00311C4A"/>
    <w:rsid w:val="0032264C"/>
    <w:rsid w:val="0033146E"/>
    <w:rsid w:val="00375191"/>
    <w:rsid w:val="00375256"/>
    <w:rsid w:val="00382971"/>
    <w:rsid w:val="003A4517"/>
    <w:rsid w:val="003A7418"/>
    <w:rsid w:val="003B02E6"/>
    <w:rsid w:val="003B3C9A"/>
    <w:rsid w:val="003B6D4E"/>
    <w:rsid w:val="003C4976"/>
    <w:rsid w:val="004043B9"/>
    <w:rsid w:val="004312F0"/>
    <w:rsid w:val="00434216"/>
    <w:rsid w:val="00442F14"/>
    <w:rsid w:val="00444DDC"/>
    <w:rsid w:val="00447900"/>
    <w:rsid w:val="004570DC"/>
    <w:rsid w:val="00462C34"/>
    <w:rsid w:val="00466216"/>
    <w:rsid w:val="004675D3"/>
    <w:rsid w:val="00467CD7"/>
    <w:rsid w:val="00474936"/>
    <w:rsid w:val="00485FDA"/>
    <w:rsid w:val="0049117B"/>
    <w:rsid w:val="0049145E"/>
    <w:rsid w:val="004934AB"/>
    <w:rsid w:val="004B040A"/>
    <w:rsid w:val="004C57FF"/>
    <w:rsid w:val="004D50B1"/>
    <w:rsid w:val="004E4B31"/>
    <w:rsid w:val="004F2101"/>
    <w:rsid w:val="004F5788"/>
    <w:rsid w:val="00505AA0"/>
    <w:rsid w:val="00512F96"/>
    <w:rsid w:val="00531C97"/>
    <w:rsid w:val="005A10EC"/>
    <w:rsid w:val="005A74FB"/>
    <w:rsid w:val="005E14B1"/>
    <w:rsid w:val="0060611A"/>
    <w:rsid w:val="00611360"/>
    <w:rsid w:val="00612ADE"/>
    <w:rsid w:val="00620CD7"/>
    <w:rsid w:val="00627ED1"/>
    <w:rsid w:val="00634843"/>
    <w:rsid w:val="00657CCA"/>
    <w:rsid w:val="00664395"/>
    <w:rsid w:val="0067620A"/>
    <w:rsid w:val="00685CE6"/>
    <w:rsid w:val="00687868"/>
    <w:rsid w:val="0069030D"/>
    <w:rsid w:val="006916EE"/>
    <w:rsid w:val="006A57E3"/>
    <w:rsid w:val="006B6A54"/>
    <w:rsid w:val="006C1AA7"/>
    <w:rsid w:val="006C61F1"/>
    <w:rsid w:val="0070513F"/>
    <w:rsid w:val="00720039"/>
    <w:rsid w:val="00723244"/>
    <w:rsid w:val="00740BB9"/>
    <w:rsid w:val="007715D6"/>
    <w:rsid w:val="00772237"/>
    <w:rsid w:val="00772922"/>
    <w:rsid w:val="00785DCA"/>
    <w:rsid w:val="007974F6"/>
    <w:rsid w:val="007A02C3"/>
    <w:rsid w:val="007A66D0"/>
    <w:rsid w:val="007C5CC9"/>
    <w:rsid w:val="007E27E7"/>
    <w:rsid w:val="007F090B"/>
    <w:rsid w:val="0080616D"/>
    <w:rsid w:val="00806607"/>
    <w:rsid w:val="00807723"/>
    <w:rsid w:val="0082545B"/>
    <w:rsid w:val="00835FB9"/>
    <w:rsid w:val="0086797C"/>
    <w:rsid w:val="00884BA9"/>
    <w:rsid w:val="00886852"/>
    <w:rsid w:val="00891DB1"/>
    <w:rsid w:val="008923B6"/>
    <w:rsid w:val="008A41F4"/>
    <w:rsid w:val="008B1396"/>
    <w:rsid w:val="008B2EDD"/>
    <w:rsid w:val="008B5ABC"/>
    <w:rsid w:val="008C22E2"/>
    <w:rsid w:val="008C3E18"/>
    <w:rsid w:val="008C5F5E"/>
    <w:rsid w:val="008D6BB6"/>
    <w:rsid w:val="008F576D"/>
    <w:rsid w:val="00925271"/>
    <w:rsid w:val="00946CCC"/>
    <w:rsid w:val="00953005"/>
    <w:rsid w:val="00953BE2"/>
    <w:rsid w:val="00961D31"/>
    <w:rsid w:val="00974210"/>
    <w:rsid w:val="00974B81"/>
    <w:rsid w:val="00982179"/>
    <w:rsid w:val="009909D4"/>
    <w:rsid w:val="00990D53"/>
    <w:rsid w:val="00991D7E"/>
    <w:rsid w:val="00993492"/>
    <w:rsid w:val="009966D1"/>
    <w:rsid w:val="009A2974"/>
    <w:rsid w:val="009A3D9E"/>
    <w:rsid w:val="009A5B21"/>
    <w:rsid w:val="009B51FD"/>
    <w:rsid w:val="009D32E1"/>
    <w:rsid w:val="009D3A92"/>
    <w:rsid w:val="00A40FE6"/>
    <w:rsid w:val="00A540A3"/>
    <w:rsid w:val="00A5478C"/>
    <w:rsid w:val="00A5666A"/>
    <w:rsid w:val="00A60E63"/>
    <w:rsid w:val="00A650C4"/>
    <w:rsid w:val="00A72FE8"/>
    <w:rsid w:val="00A77B3E"/>
    <w:rsid w:val="00A83573"/>
    <w:rsid w:val="00AC2D2D"/>
    <w:rsid w:val="00AD3572"/>
    <w:rsid w:val="00AE65A2"/>
    <w:rsid w:val="00B04F2C"/>
    <w:rsid w:val="00B068D7"/>
    <w:rsid w:val="00B11BD6"/>
    <w:rsid w:val="00B14694"/>
    <w:rsid w:val="00B47E4D"/>
    <w:rsid w:val="00B52707"/>
    <w:rsid w:val="00B56C0B"/>
    <w:rsid w:val="00B71DFB"/>
    <w:rsid w:val="00B74268"/>
    <w:rsid w:val="00B86BA8"/>
    <w:rsid w:val="00B9565D"/>
    <w:rsid w:val="00BA263E"/>
    <w:rsid w:val="00BB3C23"/>
    <w:rsid w:val="00BC079D"/>
    <w:rsid w:val="00BC082C"/>
    <w:rsid w:val="00BC16FE"/>
    <w:rsid w:val="00BC4D2B"/>
    <w:rsid w:val="00BD34C3"/>
    <w:rsid w:val="00BD59E7"/>
    <w:rsid w:val="00BD5B91"/>
    <w:rsid w:val="00C00E00"/>
    <w:rsid w:val="00C025F4"/>
    <w:rsid w:val="00C064D3"/>
    <w:rsid w:val="00C158E1"/>
    <w:rsid w:val="00C250D9"/>
    <w:rsid w:val="00C304C8"/>
    <w:rsid w:val="00C3758F"/>
    <w:rsid w:val="00C45846"/>
    <w:rsid w:val="00C55455"/>
    <w:rsid w:val="00CA0FED"/>
    <w:rsid w:val="00CA2A55"/>
    <w:rsid w:val="00CB3285"/>
    <w:rsid w:val="00CC7DE8"/>
    <w:rsid w:val="00CD40A0"/>
    <w:rsid w:val="00D071E1"/>
    <w:rsid w:val="00D349BE"/>
    <w:rsid w:val="00D470E0"/>
    <w:rsid w:val="00D50F40"/>
    <w:rsid w:val="00D6036D"/>
    <w:rsid w:val="00D60692"/>
    <w:rsid w:val="00D732DB"/>
    <w:rsid w:val="00D7428C"/>
    <w:rsid w:val="00DA33E7"/>
    <w:rsid w:val="00DA3498"/>
    <w:rsid w:val="00DA7721"/>
    <w:rsid w:val="00DB0FFE"/>
    <w:rsid w:val="00DD21A9"/>
    <w:rsid w:val="00E232C0"/>
    <w:rsid w:val="00E32C1C"/>
    <w:rsid w:val="00E51B91"/>
    <w:rsid w:val="00E63199"/>
    <w:rsid w:val="00E6566A"/>
    <w:rsid w:val="00E860D7"/>
    <w:rsid w:val="00E918F9"/>
    <w:rsid w:val="00EE0004"/>
    <w:rsid w:val="00EE48F4"/>
    <w:rsid w:val="00EF35F6"/>
    <w:rsid w:val="00F13F1E"/>
    <w:rsid w:val="00F14097"/>
    <w:rsid w:val="00F4523F"/>
    <w:rsid w:val="00F510E7"/>
    <w:rsid w:val="00F71C5C"/>
    <w:rsid w:val="00F851CA"/>
    <w:rsid w:val="00F85BC5"/>
    <w:rsid w:val="00F92661"/>
    <w:rsid w:val="00F92EF7"/>
    <w:rsid w:val="00F96EE7"/>
    <w:rsid w:val="00FA1A98"/>
    <w:rsid w:val="00FA3498"/>
    <w:rsid w:val="00FB3C8E"/>
    <w:rsid w:val="00FC0C61"/>
    <w:rsid w:val="00FC500C"/>
    <w:rsid w:val="00FC6186"/>
    <w:rsid w:val="00FE47C6"/>
    <w:rsid w:val="7B5F1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9D1D24"/>
  <w15:docId w15:val="{4D2CC32E-8684-48E1-8D55-EE50AEC0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a6">
    <w:name w:val="批注框文本 字符"/>
    <w:basedOn w:val="a0"/>
    <w:link w:val="a5"/>
    <w:semiHidden/>
    <w:qFormat/>
    <w:rPr>
      <w:sz w:val="18"/>
      <w:szCs w:val="18"/>
      <w:lang w:val="en-GB"/>
    </w:rPr>
  </w:style>
  <w:style w:type="character" w:styleId="af">
    <w:name w:val="Hyperlink"/>
    <w:basedOn w:val="a0"/>
    <w:unhideWhenUsed/>
    <w:rsid w:val="008B5ABC"/>
    <w:rPr>
      <w:color w:val="0000FF" w:themeColor="hyperlink"/>
      <w:u w:val="single"/>
    </w:rPr>
  </w:style>
  <w:style w:type="character" w:styleId="af0">
    <w:name w:val="Unresolved Mention"/>
    <w:basedOn w:val="a0"/>
    <w:uiPriority w:val="99"/>
    <w:semiHidden/>
    <w:unhideWhenUsed/>
    <w:rsid w:val="008B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77386">
      <w:bodyDiv w:val="1"/>
      <w:marLeft w:val="0"/>
      <w:marRight w:val="0"/>
      <w:marTop w:val="0"/>
      <w:marBottom w:val="0"/>
      <w:divBdr>
        <w:top w:val="none" w:sz="0" w:space="0" w:color="auto"/>
        <w:left w:val="none" w:sz="0" w:space="0" w:color="auto"/>
        <w:bottom w:val="none" w:sz="0" w:space="0" w:color="auto"/>
        <w:right w:val="none" w:sz="0" w:space="0" w:color="auto"/>
      </w:divBdr>
    </w:div>
    <w:div w:id="1571576548">
      <w:bodyDiv w:val="1"/>
      <w:marLeft w:val="0"/>
      <w:marRight w:val="0"/>
      <w:marTop w:val="0"/>
      <w:marBottom w:val="0"/>
      <w:divBdr>
        <w:top w:val="none" w:sz="0" w:space="0" w:color="auto"/>
        <w:left w:val="none" w:sz="0" w:space="0" w:color="auto"/>
        <w:bottom w:val="none" w:sz="0" w:space="0" w:color="auto"/>
        <w:right w:val="none" w:sz="0" w:space="0" w:color="auto"/>
      </w:divBdr>
    </w:div>
    <w:div w:id="176496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hadaabdelrahman@med.asu.edu.e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4A611-33B6-4D68-BC4B-4EEF2865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32</Pages>
  <Words>5771</Words>
  <Characters>32897</Characters>
  <Application>Microsoft Office Word</Application>
  <DocSecurity>0</DocSecurity>
  <Lines>274</Lines>
  <Paragraphs>77</Paragraphs>
  <ScaleCrop>false</ScaleCrop>
  <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26</cp:revision>
  <dcterms:created xsi:type="dcterms:W3CDTF">2022-02-20T01:26:00Z</dcterms:created>
  <dcterms:modified xsi:type="dcterms:W3CDTF">2022-04-25T13:33:00Z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2CFC4FA34A6641E39926B20D0E54D292</vt:lpwstr>
  </property>
</Properties>
</file>