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240BB" w14:textId="77777777" w:rsidR="00E53200" w:rsidRPr="00E754A5" w:rsidRDefault="00F70B62">
      <w:pPr>
        <w:spacing w:line="360" w:lineRule="auto"/>
        <w:jc w:val="both"/>
      </w:pPr>
      <w:r w:rsidRPr="00E754A5">
        <w:rPr>
          <w:rFonts w:ascii="Book Antiqua" w:hAnsi="Book Antiqua" w:cs="Book Antiqua" w:hint="eastAsia"/>
          <w:b/>
          <w:color w:val="000000"/>
          <w:lang w:eastAsia="zh-CN"/>
        </w:rPr>
        <w:t>C</w:t>
      </w:r>
      <w:r w:rsidRPr="00E754A5">
        <w:rPr>
          <w:rFonts w:ascii="Book Antiqua" w:eastAsia="Book Antiqua" w:hAnsi="Book Antiqua" w:cs="Book Antiqua"/>
          <w:b/>
          <w:color w:val="000000"/>
        </w:rPr>
        <w:t xml:space="preserve">Name of Journal: </w:t>
      </w:r>
      <w:r w:rsidRPr="00E754A5">
        <w:rPr>
          <w:rFonts w:ascii="Book Antiqua" w:eastAsia="Book Antiqua" w:hAnsi="Book Antiqua" w:cs="Book Antiqua"/>
          <w:i/>
          <w:color w:val="000000"/>
        </w:rPr>
        <w:t>World Journal of Gastroenterology</w:t>
      </w:r>
    </w:p>
    <w:p w14:paraId="483A0F4A"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Manuscript NO: </w:t>
      </w:r>
      <w:r w:rsidRPr="00E754A5">
        <w:rPr>
          <w:rFonts w:ascii="Book Antiqua" w:eastAsia="Book Antiqua" w:hAnsi="Book Antiqua" w:cs="Book Antiqua"/>
          <w:color w:val="000000"/>
        </w:rPr>
        <w:t>72700</w:t>
      </w:r>
    </w:p>
    <w:p w14:paraId="76695D0D"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Manuscript Type: </w:t>
      </w:r>
      <w:r w:rsidRPr="00E754A5">
        <w:rPr>
          <w:rFonts w:ascii="Book Antiqua" w:eastAsia="Book Antiqua" w:hAnsi="Book Antiqua" w:cs="Book Antiqua"/>
          <w:color w:val="000000"/>
        </w:rPr>
        <w:t>ORIGINAL ARTICLE</w:t>
      </w:r>
    </w:p>
    <w:p w14:paraId="4323AD64" w14:textId="77777777" w:rsidR="00E53200" w:rsidRPr="00E754A5" w:rsidRDefault="00E53200">
      <w:pPr>
        <w:spacing w:line="360" w:lineRule="auto"/>
        <w:jc w:val="both"/>
      </w:pPr>
    </w:p>
    <w:p w14:paraId="4ABF9DEF" w14:textId="77777777" w:rsidR="00E53200" w:rsidRPr="00E754A5" w:rsidRDefault="00F70B62">
      <w:pPr>
        <w:spacing w:line="360" w:lineRule="auto"/>
        <w:jc w:val="both"/>
      </w:pPr>
      <w:bookmarkStart w:id="0" w:name="OLE_LINK8"/>
      <w:bookmarkStart w:id="1" w:name="OLE_LINK9"/>
      <w:r w:rsidRPr="00E754A5">
        <w:rPr>
          <w:rFonts w:ascii="Book Antiqua" w:eastAsia="Book Antiqua" w:hAnsi="Book Antiqua" w:cs="Book Antiqua"/>
          <w:b/>
          <w:i/>
          <w:color w:val="000000"/>
        </w:rPr>
        <w:t>Basic Study</w:t>
      </w:r>
    </w:p>
    <w:p w14:paraId="341AB40A" w14:textId="77777777" w:rsidR="00E53200" w:rsidRPr="00E754A5" w:rsidRDefault="00F70B62">
      <w:pPr>
        <w:spacing w:line="360" w:lineRule="auto"/>
        <w:jc w:val="both"/>
      </w:pPr>
      <w:bookmarkStart w:id="2" w:name="OLE_LINK50"/>
      <w:bookmarkStart w:id="3" w:name="OLE_LINK51"/>
      <w:bookmarkStart w:id="4" w:name="OLE_LINK1"/>
      <w:bookmarkEnd w:id="0"/>
      <w:bookmarkEnd w:id="1"/>
      <w:r w:rsidRPr="00E754A5">
        <w:rPr>
          <w:rFonts w:ascii="Book Antiqua" w:eastAsia="Book Antiqua" w:hAnsi="Book Antiqua" w:cs="Book Antiqua"/>
          <w:b/>
          <w:color w:val="000000"/>
        </w:rPr>
        <w:t>Activation of natural killer T cells contributes to Th1 bias in the murine liver after 14 d of ethinylestradiol exposure</w:t>
      </w:r>
    </w:p>
    <w:bookmarkEnd w:id="2"/>
    <w:bookmarkEnd w:id="3"/>
    <w:bookmarkEnd w:id="4"/>
    <w:p w14:paraId="7F79B1C8" w14:textId="77777777" w:rsidR="00E53200" w:rsidRPr="00E754A5" w:rsidRDefault="00E53200">
      <w:pPr>
        <w:spacing w:line="360" w:lineRule="auto"/>
        <w:jc w:val="both"/>
      </w:pPr>
    </w:p>
    <w:p w14:paraId="7AA630CD" w14:textId="77777777" w:rsidR="00E53200" w:rsidRPr="00E754A5" w:rsidRDefault="00F70B62">
      <w:pPr>
        <w:spacing w:line="360" w:lineRule="auto"/>
        <w:jc w:val="both"/>
      </w:pPr>
      <w:r w:rsidRPr="00E754A5">
        <w:rPr>
          <w:rFonts w:ascii="Book Antiqua" w:hAnsi="Book Antiqua" w:cs="Book Antiqua" w:hint="eastAsia"/>
          <w:color w:val="000000"/>
          <w:lang w:eastAsia="zh-CN"/>
        </w:rPr>
        <w:t xml:space="preserve">Zou MZ </w:t>
      </w:r>
      <w:r w:rsidRPr="00E754A5">
        <w:rPr>
          <w:rFonts w:ascii="Book Antiqua" w:hAnsi="Book Antiqua" w:cs="Book Antiqua" w:hint="eastAsia"/>
          <w:i/>
          <w:color w:val="000000"/>
          <w:lang w:eastAsia="zh-CN"/>
        </w:rPr>
        <w:t>et al</w:t>
      </w:r>
      <w:r w:rsidRPr="00E754A5">
        <w:rPr>
          <w:rFonts w:ascii="Book Antiqua" w:hAnsi="Book Antiqua" w:cs="Book Antiqua" w:hint="eastAsia"/>
          <w:color w:val="000000"/>
          <w:lang w:eastAsia="zh-CN"/>
        </w:rPr>
        <w:t xml:space="preserve">. </w:t>
      </w:r>
      <w:bookmarkStart w:id="5" w:name="_Hlk103844623"/>
      <w:bookmarkStart w:id="6" w:name="OLE_LINK2"/>
      <w:r w:rsidRPr="00E754A5">
        <w:rPr>
          <w:rFonts w:ascii="Book Antiqua" w:hAnsi="Book Antiqua" w:cs="Book Antiqua" w:hint="eastAsia"/>
          <w:color w:val="000000"/>
          <w:lang w:eastAsia="zh-CN"/>
        </w:rPr>
        <w:t>E</w:t>
      </w:r>
      <w:r w:rsidRPr="00E754A5">
        <w:rPr>
          <w:rFonts w:ascii="Book Antiqua" w:eastAsia="Book Antiqua" w:hAnsi="Book Antiqua" w:cs="Book Antiqua"/>
          <w:color w:val="000000"/>
        </w:rPr>
        <w:t>thinylestradiol-induced Th1 bias of NKT cells</w:t>
      </w:r>
      <w:bookmarkEnd w:id="5"/>
      <w:bookmarkEnd w:id="6"/>
    </w:p>
    <w:p w14:paraId="54AB1F15" w14:textId="77777777" w:rsidR="00E53200" w:rsidRPr="00E754A5" w:rsidRDefault="00E53200">
      <w:pPr>
        <w:spacing w:line="360" w:lineRule="auto"/>
        <w:jc w:val="both"/>
        <w:rPr>
          <w:lang w:eastAsia="zh-CN"/>
        </w:rPr>
      </w:pPr>
    </w:p>
    <w:p w14:paraId="43D45726" w14:textId="77777777" w:rsidR="00E53200" w:rsidRPr="00E754A5" w:rsidRDefault="00F70B62">
      <w:pPr>
        <w:spacing w:line="360" w:lineRule="auto"/>
        <w:jc w:val="both"/>
      </w:pPr>
      <w:r w:rsidRPr="00E754A5">
        <w:rPr>
          <w:rFonts w:ascii="Book Antiqua" w:eastAsia="Book Antiqua" w:hAnsi="Book Antiqua" w:cs="Book Antiqua"/>
          <w:color w:val="000000"/>
        </w:rPr>
        <w:t>Meng</w:t>
      </w:r>
      <w:r w:rsidRPr="00E754A5">
        <w:rPr>
          <w:rFonts w:ascii="Book Antiqua" w:hAnsi="Book Antiqua" w:cs="Book Antiqua" w:hint="eastAsia"/>
          <w:color w:val="000000"/>
          <w:lang w:eastAsia="zh-CN"/>
        </w:rPr>
        <w:t>-Z</w:t>
      </w:r>
      <w:r w:rsidRPr="00E754A5">
        <w:rPr>
          <w:rFonts w:ascii="Book Antiqua" w:eastAsia="Book Antiqua" w:hAnsi="Book Antiqua" w:cs="Book Antiqua"/>
          <w:color w:val="000000"/>
        </w:rPr>
        <w:t>hi Zou, Wei</w:t>
      </w:r>
      <w:r w:rsidRPr="00E754A5">
        <w:rPr>
          <w:rFonts w:ascii="Book Antiqua" w:hAnsi="Book Antiqua" w:cs="Book Antiqua" w:hint="eastAsia"/>
          <w:color w:val="000000"/>
          <w:lang w:eastAsia="zh-CN"/>
        </w:rPr>
        <w:t>-C</w:t>
      </w:r>
      <w:r w:rsidRPr="00E754A5">
        <w:rPr>
          <w:rFonts w:ascii="Book Antiqua" w:eastAsia="Book Antiqua" w:hAnsi="Book Antiqua" w:cs="Book Antiqua"/>
          <w:color w:val="000000"/>
        </w:rPr>
        <w:t>hao Kong, Heng Cai, Meng</w:t>
      </w:r>
      <w:r w:rsidRPr="00E754A5">
        <w:rPr>
          <w:rFonts w:ascii="Book Antiqua" w:hAnsi="Book Antiqua" w:cs="Book Antiqua" w:hint="eastAsia"/>
          <w:color w:val="000000"/>
          <w:lang w:eastAsia="zh-CN"/>
        </w:rPr>
        <w:t>-T</w:t>
      </w:r>
      <w:r w:rsidRPr="00E754A5">
        <w:rPr>
          <w:rFonts w:ascii="Book Antiqua" w:eastAsia="Book Antiqua" w:hAnsi="Book Antiqua" w:cs="Book Antiqua"/>
          <w:color w:val="000000"/>
        </w:rPr>
        <w:t>ao Xing, Zi</w:t>
      </w:r>
      <w:r w:rsidRPr="00E754A5">
        <w:rPr>
          <w:rFonts w:ascii="Book Antiqua" w:hAnsi="Book Antiqua" w:cs="Book Antiqua" w:hint="eastAsia"/>
          <w:color w:val="000000"/>
          <w:lang w:eastAsia="zh-CN"/>
        </w:rPr>
        <w:t>-X</w:t>
      </w:r>
      <w:r w:rsidRPr="00E754A5">
        <w:rPr>
          <w:rFonts w:ascii="Book Antiqua" w:eastAsia="Book Antiqua" w:hAnsi="Book Antiqua" w:cs="Book Antiqua"/>
          <w:color w:val="000000"/>
        </w:rPr>
        <w:t>un Yu, Xin Chen, Lu</w:t>
      </w:r>
      <w:r w:rsidRPr="00E754A5">
        <w:rPr>
          <w:rFonts w:ascii="Book Antiqua" w:hAnsi="Book Antiqua" w:cs="Book Antiqua" w:hint="eastAsia"/>
          <w:color w:val="000000"/>
          <w:lang w:eastAsia="zh-CN"/>
        </w:rPr>
        <w:t>-Y</w:t>
      </w:r>
      <w:r w:rsidRPr="00E754A5">
        <w:rPr>
          <w:rFonts w:ascii="Book Antiqua" w:eastAsia="Book Antiqua" w:hAnsi="Book Antiqua" w:cs="Book Antiqua"/>
          <w:color w:val="000000"/>
        </w:rPr>
        <w:t>ong Zhang, Xin</w:t>
      </w:r>
      <w:r w:rsidRPr="00E754A5">
        <w:rPr>
          <w:rFonts w:ascii="Book Antiqua" w:hAnsi="Book Antiqua" w:cs="Book Antiqua" w:hint="eastAsia"/>
          <w:color w:val="000000"/>
          <w:lang w:eastAsia="zh-CN"/>
        </w:rPr>
        <w:t>-Z</w:t>
      </w:r>
      <w:r w:rsidRPr="00E754A5">
        <w:rPr>
          <w:rFonts w:ascii="Book Antiqua" w:eastAsia="Book Antiqua" w:hAnsi="Book Antiqua" w:cs="Book Antiqua"/>
          <w:color w:val="000000"/>
        </w:rPr>
        <w:t>hi Wang</w:t>
      </w:r>
    </w:p>
    <w:p w14:paraId="44202392" w14:textId="77777777" w:rsidR="00E53200" w:rsidRPr="00E754A5" w:rsidRDefault="00E53200">
      <w:pPr>
        <w:spacing w:line="360" w:lineRule="auto"/>
        <w:jc w:val="both"/>
      </w:pPr>
    </w:p>
    <w:p w14:paraId="20017EEB" w14:textId="7C0807FD" w:rsidR="00E53200" w:rsidRPr="00E754A5" w:rsidRDefault="00D06EFB">
      <w:pPr>
        <w:spacing w:line="360" w:lineRule="auto"/>
        <w:jc w:val="both"/>
      </w:pPr>
      <w:r w:rsidRPr="00E754A5">
        <w:rPr>
          <w:rFonts w:ascii="Book Antiqua" w:eastAsia="Book Antiqua" w:hAnsi="Book Antiqua" w:cs="Book Antiqua"/>
          <w:b/>
          <w:bCs/>
          <w:color w:val="000000"/>
        </w:rPr>
        <w:t>Meng</w:t>
      </w:r>
      <w:r w:rsidRPr="00E754A5">
        <w:rPr>
          <w:rFonts w:ascii="Book Antiqua" w:hAnsi="Book Antiqua" w:cs="Book Antiqua" w:hint="eastAsia"/>
          <w:b/>
          <w:bCs/>
          <w:color w:val="000000"/>
          <w:lang w:eastAsia="zh-CN"/>
        </w:rPr>
        <w:t>-Z</w:t>
      </w:r>
      <w:r w:rsidRPr="00E754A5">
        <w:rPr>
          <w:rFonts w:ascii="Book Antiqua" w:eastAsia="Book Antiqua" w:hAnsi="Book Antiqua" w:cs="Book Antiqua"/>
          <w:b/>
          <w:bCs/>
          <w:color w:val="000000"/>
        </w:rPr>
        <w:t>hi Zou,</w:t>
      </w:r>
      <w:r>
        <w:rPr>
          <w:rFonts w:ascii="Book Antiqua" w:eastAsia="Book Antiqua" w:hAnsi="Book Antiqua" w:cs="Book Antiqua"/>
          <w:b/>
          <w:bCs/>
          <w:color w:val="000000"/>
        </w:rPr>
        <w:t xml:space="preserve"> </w:t>
      </w:r>
      <w:r w:rsidR="00F70B62" w:rsidRPr="00E754A5">
        <w:rPr>
          <w:rFonts w:ascii="Book Antiqua" w:eastAsia="Book Antiqua" w:hAnsi="Book Antiqua" w:cs="Book Antiqua"/>
          <w:b/>
          <w:bCs/>
          <w:color w:val="000000"/>
        </w:rPr>
        <w:t>Wei</w:t>
      </w:r>
      <w:r w:rsidR="00F70B62" w:rsidRPr="00E754A5">
        <w:rPr>
          <w:rFonts w:ascii="Book Antiqua" w:hAnsi="Book Antiqua" w:cs="Book Antiqua" w:hint="eastAsia"/>
          <w:b/>
          <w:bCs/>
          <w:color w:val="000000"/>
          <w:lang w:eastAsia="zh-CN"/>
        </w:rPr>
        <w:t>-C</w:t>
      </w:r>
      <w:r w:rsidR="00F70B62" w:rsidRPr="00E754A5">
        <w:rPr>
          <w:rFonts w:ascii="Book Antiqua" w:eastAsia="Book Antiqua" w:hAnsi="Book Antiqua" w:cs="Book Antiqua"/>
          <w:b/>
          <w:bCs/>
          <w:color w:val="000000"/>
        </w:rPr>
        <w:t>hao Kong, Heng Cai, Zi</w:t>
      </w:r>
      <w:r w:rsidR="00F70B62" w:rsidRPr="00E754A5">
        <w:rPr>
          <w:rFonts w:ascii="Book Antiqua" w:hAnsi="Book Antiqua" w:cs="Book Antiqua" w:hint="eastAsia"/>
          <w:b/>
          <w:bCs/>
          <w:color w:val="000000"/>
          <w:lang w:eastAsia="zh-CN"/>
        </w:rPr>
        <w:t>-X</w:t>
      </w:r>
      <w:r w:rsidR="00F70B62" w:rsidRPr="00E754A5">
        <w:rPr>
          <w:rFonts w:ascii="Book Antiqua" w:eastAsia="Book Antiqua" w:hAnsi="Book Antiqua" w:cs="Book Antiqua"/>
          <w:b/>
          <w:bCs/>
          <w:color w:val="000000"/>
        </w:rPr>
        <w:t>un Yu, Xin Chen, Lu</w:t>
      </w:r>
      <w:r w:rsidR="00F70B62" w:rsidRPr="00E754A5">
        <w:rPr>
          <w:rFonts w:ascii="Book Antiqua" w:hAnsi="Book Antiqua" w:cs="Book Antiqua" w:hint="eastAsia"/>
          <w:b/>
          <w:bCs/>
          <w:color w:val="000000"/>
          <w:lang w:eastAsia="zh-CN"/>
        </w:rPr>
        <w:t>-Y</w:t>
      </w:r>
      <w:r w:rsidR="00F70B62" w:rsidRPr="00E754A5">
        <w:rPr>
          <w:rFonts w:ascii="Book Antiqua" w:eastAsia="Book Antiqua" w:hAnsi="Book Antiqua" w:cs="Book Antiqua"/>
          <w:b/>
          <w:bCs/>
          <w:color w:val="000000"/>
        </w:rPr>
        <w:t>ong Zhang, Xin</w:t>
      </w:r>
      <w:r w:rsidR="00F70B62" w:rsidRPr="00E754A5">
        <w:rPr>
          <w:rFonts w:ascii="Book Antiqua" w:hAnsi="Book Antiqua" w:cs="Book Antiqua" w:hint="eastAsia"/>
          <w:b/>
          <w:bCs/>
          <w:color w:val="000000"/>
          <w:lang w:eastAsia="zh-CN"/>
        </w:rPr>
        <w:t>-Z</w:t>
      </w:r>
      <w:r w:rsidR="00F70B62" w:rsidRPr="00E754A5">
        <w:rPr>
          <w:rFonts w:ascii="Book Antiqua" w:eastAsia="Book Antiqua" w:hAnsi="Book Antiqua" w:cs="Book Antiqua"/>
          <w:b/>
          <w:bCs/>
          <w:color w:val="000000"/>
        </w:rPr>
        <w:t xml:space="preserve">hi Wang, </w:t>
      </w:r>
      <w:bookmarkStart w:id="7" w:name="OLE_LINK55"/>
      <w:bookmarkStart w:id="8" w:name="OLE_LINK54"/>
      <w:bookmarkStart w:id="9" w:name="OLE_LINK58"/>
      <w:bookmarkStart w:id="10" w:name="OLE_LINK53"/>
      <w:r w:rsidR="00F70B62" w:rsidRPr="00E754A5">
        <w:rPr>
          <w:rFonts w:ascii="Book Antiqua" w:eastAsia="Book Antiqua" w:hAnsi="Book Antiqua" w:cs="Book Antiqua"/>
          <w:color w:val="000000"/>
        </w:rPr>
        <w:t>New Drug Screening Center</w:t>
      </w:r>
      <w:bookmarkEnd w:id="7"/>
      <w:bookmarkEnd w:id="8"/>
      <w:bookmarkEnd w:id="9"/>
      <w:bookmarkEnd w:id="10"/>
      <w:r w:rsidR="00F70B62" w:rsidRPr="00E754A5">
        <w:rPr>
          <w:rFonts w:ascii="Book Antiqua" w:eastAsia="Book Antiqua" w:hAnsi="Book Antiqua" w:cs="Book Antiqua"/>
          <w:color w:val="000000"/>
        </w:rPr>
        <w:t xml:space="preserve">, China Pharmaceutical University, Nanjing 210009, </w:t>
      </w:r>
      <w:bookmarkStart w:id="11" w:name="OLE_LINK6"/>
      <w:bookmarkStart w:id="12" w:name="OLE_LINK5"/>
      <w:r w:rsidR="00F70B62" w:rsidRPr="00E754A5">
        <w:rPr>
          <w:rFonts w:ascii="Book Antiqua" w:eastAsia="Book Antiqua" w:hAnsi="Book Antiqua" w:cs="Book Antiqua"/>
          <w:color w:val="000000"/>
        </w:rPr>
        <w:t>Jiangsu</w:t>
      </w:r>
      <w:r w:rsidR="00F70B62" w:rsidRPr="00E754A5">
        <w:rPr>
          <w:rFonts w:ascii="Book Antiqua" w:hAnsi="Book Antiqua" w:cs="Book Antiqua" w:hint="eastAsia"/>
          <w:color w:val="000000"/>
          <w:lang w:eastAsia="zh-CN"/>
        </w:rPr>
        <w:t xml:space="preserve"> </w:t>
      </w:r>
      <w:bookmarkStart w:id="13" w:name="OLE_LINK7"/>
      <w:bookmarkStart w:id="14" w:name="OLE_LINK4"/>
      <w:bookmarkStart w:id="15" w:name="OLE_LINK3"/>
      <w:r w:rsidR="00F70B62" w:rsidRPr="00E754A5">
        <w:rPr>
          <w:rFonts w:ascii="Book Antiqua" w:hAnsi="Book Antiqua" w:cs="Book Antiqua" w:hint="eastAsia"/>
          <w:color w:val="000000"/>
          <w:lang w:eastAsia="zh-CN"/>
        </w:rPr>
        <w:t>Province</w:t>
      </w:r>
      <w:bookmarkEnd w:id="13"/>
      <w:r w:rsidR="00F70B62" w:rsidRPr="00E754A5">
        <w:rPr>
          <w:rFonts w:ascii="Book Antiqua" w:eastAsia="Book Antiqua" w:hAnsi="Book Antiqua" w:cs="Book Antiqua"/>
          <w:color w:val="000000"/>
        </w:rPr>
        <w:t>,</w:t>
      </w:r>
      <w:bookmarkEnd w:id="14"/>
      <w:bookmarkEnd w:id="15"/>
      <w:r w:rsidR="00F70B62" w:rsidRPr="00E754A5">
        <w:rPr>
          <w:rFonts w:ascii="Book Antiqua" w:eastAsia="Book Antiqua" w:hAnsi="Book Antiqua" w:cs="Book Antiqua"/>
          <w:color w:val="000000"/>
        </w:rPr>
        <w:t xml:space="preserve"> </w:t>
      </w:r>
      <w:bookmarkEnd w:id="11"/>
      <w:bookmarkEnd w:id="12"/>
      <w:r w:rsidR="00F70B62" w:rsidRPr="00E754A5">
        <w:rPr>
          <w:rFonts w:ascii="Book Antiqua" w:eastAsia="Book Antiqua" w:hAnsi="Book Antiqua" w:cs="Book Antiqua"/>
          <w:color w:val="000000"/>
        </w:rPr>
        <w:t>China</w:t>
      </w:r>
    </w:p>
    <w:p w14:paraId="746EBFE8" w14:textId="77777777" w:rsidR="00E53200" w:rsidRPr="00E754A5" w:rsidRDefault="00E53200">
      <w:pPr>
        <w:spacing w:line="360" w:lineRule="auto"/>
        <w:jc w:val="both"/>
      </w:pPr>
    </w:p>
    <w:p w14:paraId="57C50C82" w14:textId="77777777" w:rsidR="00E53200" w:rsidRPr="00E754A5" w:rsidRDefault="00F70B62">
      <w:pPr>
        <w:spacing w:line="360" w:lineRule="auto"/>
        <w:jc w:val="both"/>
      </w:pPr>
      <w:r w:rsidRPr="00E754A5">
        <w:rPr>
          <w:rFonts w:ascii="Book Antiqua" w:eastAsia="Book Antiqua" w:hAnsi="Book Antiqua" w:cs="Book Antiqua"/>
          <w:b/>
          <w:bCs/>
          <w:color w:val="000000"/>
        </w:rPr>
        <w:t>Meng</w:t>
      </w:r>
      <w:r w:rsidRPr="00E754A5">
        <w:rPr>
          <w:rFonts w:ascii="Book Antiqua" w:hAnsi="Book Antiqua" w:cs="Book Antiqua" w:hint="eastAsia"/>
          <w:b/>
          <w:bCs/>
          <w:color w:val="000000"/>
          <w:lang w:eastAsia="zh-CN"/>
        </w:rPr>
        <w:t>-T</w:t>
      </w:r>
      <w:r w:rsidRPr="00E754A5">
        <w:rPr>
          <w:rFonts w:ascii="Book Antiqua" w:eastAsia="Book Antiqua" w:hAnsi="Book Antiqua" w:cs="Book Antiqua"/>
          <w:b/>
          <w:bCs/>
          <w:color w:val="000000"/>
        </w:rPr>
        <w:t xml:space="preserve">ao Xing, </w:t>
      </w:r>
      <w:r w:rsidRPr="00E754A5">
        <w:rPr>
          <w:rFonts w:ascii="Book Antiqua" w:eastAsia="Book Antiqua" w:hAnsi="Book Antiqua" w:cs="Book Antiqua"/>
          <w:color w:val="000000"/>
        </w:rPr>
        <w:t>Department of Pharmacology, China Pharmaceutical University, Nanjing 210009, Jiangsu</w:t>
      </w:r>
      <w:r w:rsidRPr="00E754A5">
        <w:rPr>
          <w:rFonts w:ascii="Book Antiqua" w:hAnsi="Book Antiqua" w:cs="Book Antiqua" w:hint="eastAsia"/>
          <w:color w:val="000000"/>
          <w:lang w:eastAsia="zh-CN"/>
        </w:rPr>
        <w:t xml:space="preserve"> Province</w:t>
      </w:r>
      <w:r w:rsidRPr="00E754A5">
        <w:rPr>
          <w:rFonts w:ascii="Book Antiqua" w:eastAsia="Book Antiqua" w:hAnsi="Book Antiqua" w:cs="Book Antiqua"/>
          <w:color w:val="000000"/>
        </w:rPr>
        <w:t>, China</w:t>
      </w:r>
    </w:p>
    <w:p w14:paraId="3D7DC05A" w14:textId="77777777" w:rsidR="00E53200" w:rsidRPr="00E754A5" w:rsidRDefault="00E53200">
      <w:pPr>
        <w:spacing w:line="360" w:lineRule="auto"/>
        <w:jc w:val="both"/>
      </w:pPr>
    </w:p>
    <w:p w14:paraId="1C491078" w14:textId="77777777" w:rsidR="00E53200" w:rsidRPr="00E754A5" w:rsidRDefault="00F70B62">
      <w:pPr>
        <w:spacing w:line="360" w:lineRule="auto"/>
        <w:jc w:val="both"/>
      </w:pPr>
      <w:r w:rsidRPr="00E754A5">
        <w:rPr>
          <w:rFonts w:ascii="Book Antiqua" w:eastAsia="Book Antiqua" w:hAnsi="Book Antiqua" w:cs="Book Antiqua"/>
          <w:b/>
          <w:bCs/>
          <w:color w:val="000000"/>
        </w:rPr>
        <w:t>Lu</w:t>
      </w:r>
      <w:r w:rsidRPr="00E754A5">
        <w:rPr>
          <w:rFonts w:ascii="Book Antiqua" w:hAnsi="Book Antiqua" w:cs="Book Antiqua" w:hint="eastAsia"/>
          <w:b/>
          <w:bCs/>
          <w:color w:val="000000"/>
          <w:lang w:eastAsia="zh-CN"/>
        </w:rPr>
        <w:t>-Y</w:t>
      </w:r>
      <w:r w:rsidRPr="00E754A5">
        <w:rPr>
          <w:rFonts w:ascii="Book Antiqua" w:eastAsia="Book Antiqua" w:hAnsi="Book Antiqua" w:cs="Book Antiqua"/>
          <w:b/>
          <w:bCs/>
          <w:color w:val="000000"/>
        </w:rPr>
        <w:t xml:space="preserve">ong Zhang, </w:t>
      </w:r>
      <w:r w:rsidRPr="00E754A5">
        <w:rPr>
          <w:rFonts w:ascii="Book Antiqua" w:eastAsia="Book Antiqua" w:hAnsi="Book Antiqua" w:cs="Book Antiqua"/>
          <w:color w:val="000000"/>
        </w:rPr>
        <w:t xml:space="preserve">Center for Drug Research and Development, Guangdong Pharmaceutical University, Guangzhou 510006, </w:t>
      </w:r>
      <w:bookmarkStart w:id="16" w:name="OLE_LINK56"/>
      <w:bookmarkStart w:id="17" w:name="OLE_LINK57"/>
      <w:r w:rsidRPr="00E754A5">
        <w:rPr>
          <w:rFonts w:ascii="Book Antiqua" w:hAnsi="Book Antiqua" w:cs="Book Antiqua" w:hint="eastAsia"/>
          <w:color w:val="000000"/>
          <w:lang w:eastAsia="zh-CN"/>
        </w:rPr>
        <w:t xml:space="preserve">Guangdong </w:t>
      </w:r>
      <w:bookmarkEnd w:id="16"/>
      <w:bookmarkEnd w:id="17"/>
      <w:r w:rsidRPr="00E754A5">
        <w:rPr>
          <w:rFonts w:ascii="Book Antiqua" w:hAnsi="Book Antiqua" w:cs="Book Antiqua" w:hint="eastAsia"/>
          <w:color w:val="000000"/>
          <w:lang w:eastAsia="zh-CN"/>
        </w:rPr>
        <w:t>Province</w:t>
      </w:r>
      <w:r w:rsidRPr="00E754A5">
        <w:rPr>
          <w:rFonts w:ascii="Book Antiqua" w:eastAsia="Book Antiqua" w:hAnsi="Book Antiqua" w:cs="Book Antiqua"/>
          <w:color w:val="000000"/>
        </w:rPr>
        <w:t>,</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China</w:t>
      </w:r>
    </w:p>
    <w:p w14:paraId="3A0981EB" w14:textId="77777777" w:rsidR="00E53200" w:rsidRPr="00E754A5" w:rsidRDefault="00E53200">
      <w:pPr>
        <w:spacing w:line="360" w:lineRule="auto"/>
        <w:jc w:val="both"/>
      </w:pPr>
    </w:p>
    <w:p w14:paraId="19C9E24D"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t xml:space="preserve">Author contributions: </w:t>
      </w:r>
      <w:r w:rsidRPr="00E754A5">
        <w:rPr>
          <w:rFonts w:ascii="Book Antiqua" w:eastAsia="Book Antiqua" w:hAnsi="Book Antiqua" w:cs="Book Antiqua"/>
          <w:color w:val="000000"/>
        </w:rPr>
        <w:t>Zou MZ</w:t>
      </w:r>
      <w:r w:rsidRPr="00E754A5">
        <w:rPr>
          <w:rFonts w:ascii="Book Antiqua" w:hAnsi="Book Antiqua" w:cs="Book Antiqua" w:hint="eastAsia"/>
          <w:color w:val="000000"/>
          <w:lang w:eastAsia="zh-CN"/>
        </w:rPr>
        <w:t xml:space="preserve"> and</w:t>
      </w:r>
      <w:r w:rsidRPr="00E754A5">
        <w:rPr>
          <w:rFonts w:ascii="Book Antiqua" w:eastAsia="Book Antiqua" w:hAnsi="Book Antiqua" w:cs="Book Antiqua"/>
          <w:color w:val="000000"/>
        </w:rPr>
        <w:t xml:space="preserve"> Kong WC contributed equally to the work</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Zou MZ, Kong WC, Yu ZX, and Chen X performed the experiments, collected data, and analyzed the data</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Xing MT, Zhang LY, and Wang XZ contributed to the guidance of experiments and the final manuscript</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Wang XZ and Xing MT designed the study</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Wang XZ, Xing MT, Zou MZ and Cai H wrote the manuscript</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All the authors have reviewed and approved the final version of the manuscript.</w:t>
      </w:r>
    </w:p>
    <w:p w14:paraId="70FB53D9" w14:textId="77777777" w:rsidR="00E53200" w:rsidRPr="00E754A5" w:rsidRDefault="00E53200">
      <w:pPr>
        <w:spacing w:line="360" w:lineRule="auto"/>
        <w:jc w:val="both"/>
      </w:pPr>
    </w:p>
    <w:p w14:paraId="74CCAEA7"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lastRenderedPageBreak/>
        <w:t xml:space="preserve">Supported by </w:t>
      </w:r>
      <w:r w:rsidRPr="00E754A5">
        <w:rPr>
          <w:rFonts w:ascii="Book Antiqua" w:hAnsi="Book Antiqua" w:cs="Book Antiqua" w:hint="eastAsia"/>
          <w:bCs/>
          <w:color w:val="000000"/>
          <w:szCs w:val="21"/>
          <w:lang w:eastAsia="zh-CN"/>
        </w:rPr>
        <w:t>the</w:t>
      </w:r>
      <w:r w:rsidRPr="00E754A5">
        <w:rPr>
          <w:rFonts w:ascii="Book Antiqua" w:hAnsi="Book Antiqua" w:cs="Book Antiqua" w:hint="eastAsia"/>
          <w:b/>
          <w:bCs/>
          <w:color w:val="000000"/>
          <w:szCs w:val="21"/>
          <w:lang w:eastAsia="zh-CN"/>
        </w:rPr>
        <w:t xml:space="preserve"> </w:t>
      </w:r>
      <w:bookmarkStart w:id="18" w:name="OLE_LINK26"/>
      <w:bookmarkStart w:id="19" w:name="OLE_LINK46"/>
      <w:bookmarkStart w:id="20" w:name="OLE_LINK27"/>
      <w:r w:rsidRPr="00E754A5">
        <w:rPr>
          <w:rFonts w:ascii="Book Antiqua" w:eastAsia="Book Antiqua" w:hAnsi="Book Antiqua" w:cs="Book Antiqua"/>
          <w:color w:val="000000"/>
        </w:rPr>
        <w:t>National Natural Science Foundation of China</w:t>
      </w:r>
      <w:bookmarkEnd w:id="18"/>
      <w:bookmarkEnd w:id="19"/>
      <w:bookmarkEnd w:id="20"/>
      <w:r w:rsidRPr="00E754A5">
        <w:rPr>
          <w:rFonts w:ascii="Book Antiqua" w:eastAsia="Book Antiqua" w:hAnsi="Book Antiqua" w:cs="Book Antiqua"/>
          <w:color w:val="000000"/>
        </w:rPr>
        <w:t xml:space="preserve">, No. 82073948 and 81703626; </w:t>
      </w:r>
      <w:r w:rsidRPr="00E754A5">
        <w:rPr>
          <w:rFonts w:ascii="Book Antiqua" w:hAnsi="Book Antiqua" w:cs="Book Antiqua" w:hint="eastAsia"/>
          <w:color w:val="000000"/>
          <w:lang w:eastAsia="zh-CN"/>
        </w:rPr>
        <w:t xml:space="preserve">and </w:t>
      </w:r>
      <w:r w:rsidRPr="00E754A5">
        <w:rPr>
          <w:rFonts w:ascii="Book Antiqua" w:eastAsia="Book Antiqua" w:hAnsi="Book Antiqua" w:cs="Book Antiqua"/>
          <w:color w:val="000000"/>
        </w:rPr>
        <w:t xml:space="preserve">National Innovation and Entrepreneurship Training Program for Undergraduate, No. </w:t>
      </w:r>
      <w:bookmarkStart w:id="21" w:name="OLE_LINK52"/>
      <w:bookmarkStart w:id="22" w:name="OLE_LINK47"/>
      <w:r w:rsidRPr="00E754A5">
        <w:rPr>
          <w:rFonts w:ascii="Book Antiqua" w:eastAsia="Book Antiqua" w:hAnsi="Book Antiqua" w:cs="Book Antiqua"/>
          <w:color w:val="000000"/>
        </w:rPr>
        <w:t>202210316040Z</w:t>
      </w:r>
      <w:bookmarkEnd w:id="21"/>
      <w:bookmarkEnd w:id="22"/>
      <w:r w:rsidRPr="00E754A5">
        <w:rPr>
          <w:rFonts w:ascii="Book Antiqua" w:eastAsia="Book Antiqua" w:hAnsi="Book Antiqua" w:cs="Book Antiqua"/>
          <w:color w:val="000000"/>
        </w:rPr>
        <w:t>.</w:t>
      </w:r>
    </w:p>
    <w:p w14:paraId="6B554290" w14:textId="77777777" w:rsidR="00E53200" w:rsidRPr="00E754A5" w:rsidRDefault="00E53200">
      <w:pPr>
        <w:spacing w:line="360" w:lineRule="auto"/>
        <w:jc w:val="both"/>
      </w:pPr>
    </w:p>
    <w:p w14:paraId="40E77EEE" w14:textId="77777777" w:rsidR="00E53200" w:rsidRPr="00E754A5" w:rsidRDefault="00F70B62">
      <w:pPr>
        <w:spacing w:line="360" w:lineRule="auto"/>
        <w:jc w:val="both"/>
      </w:pPr>
      <w:r w:rsidRPr="00E754A5">
        <w:rPr>
          <w:rFonts w:ascii="Book Antiqua" w:eastAsia="Book Antiqua" w:hAnsi="Book Antiqua" w:cs="Book Antiqua"/>
          <w:b/>
          <w:bCs/>
          <w:color w:val="000000"/>
        </w:rPr>
        <w:t>Corresponding author: Xin</w:t>
      </w:r>
      <w:r w:rsidRPr="00E754A5">
        <w:rPr>
          <w:rFonts w:ascii="Book Antiqua" w:hAnsi="Book Antiqua" w:cs="Book Antiqua" w:hint="eastAsia"/>
          <w:b/>
          <w:bCs/>
          <w:color w:val="000000"/>
          <w:lang w:eastAsia="zh-CN"/>
        </w:rPr>
        <w:t>-Z</w:t>
      </w:r>
      <w:r w:rsidRPr="00E754A5">
        <w:rPr>
          <w:rFonts w:ascii="Book Antiqua" w:eastAsia="Book Antiqua" w:hAnsi="Book Antiqua" w:cs="Book Antiqua"/>
          <w:b/>
          <w:bCs/>
          <w:color w:val="000000"/>
        </w:rPr>
        <w:t xml:space="preserve">hi Wang, PhD, Associate Research Scientist, </w:t>
      </w:r>
      <w:r w:rsidRPr="00E754A5">
        <w:rPr>
          <w:rFonts w:ascii="Book Antiqua" w:eastAsia="Book Antiqua" w:hAnsi="Book Antiqua" w:cs="Book Antiqua"/>
          <w:color w:val="000000"/>
        </w:rPr>
        <w:t xml:space="preserve">New Drug Screening Center, China Pharmaceutical University, </w:t>
      </w:r>
      <w:bookmarkStart w:id="23" w:name="OLE_LINK60"/>
      <w:bookmarkStart w:id="24" w:name="OLE_LINK59"/>
      <w:r w:rsidRPr="00E754A5">
        <w:rPr>
          <w:rFonts w:ascii="Book Antiqua" w:eastAsia="Book Antiqua" w:hAnsi="Book Antiqua" w:cs="Book Antiqua"/>
          <w:color w:val="000000"/>
        </w:rPr>
        <w:t>No.</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24 Tongjiaxiang</w:t>
      </w:r>
      <w:bookmarkEnd w:id="23"/>
      <w:bookmarkEnd w:id="24"/>
      <w:r w:rsidRPr="00E754A5">
        <w:rPr>
          <w:rFonts w:ascii="Book Antiqua" w:eastAsia="Book Antiqua" w:hAnsi="Book Antiqua" w:cs="Book Antiqua"/>
          <w:color w:val="000000"/>
        </w:rPr>
        <w:t>, Nanjing 210009, Jiangsu</w:t>
      </w:r>
      <w:r w:rsidRPr="00E754A5">
        <w:rPr>
          <w:rFonts w:ascii="Book Antiqua" w:hAnsi="Book Antiqua" w:cs="Book Antiqua" w:hint="eastAsia"/>
          <w:color w:val="000000"/>
          <w:lang w:eastAsia="zh-CN"/>
        </w:rPr>
        <w:t xml:space="preserve"> Province</w:t>
      </w:r>
      <w:r w:rsidRPr="00E754A5">
        <w:rPr>
          <w:rFonts w:ascii="Book Antiqua" w:eastAsia="Book Antiqua" w:hAnsi="Book Antiqua" w:cs="Book Antiqua"/>
          <w:color w:val="000000"/>
        </w:rPr>
        <w:t>, China. wangxz@cpu.edu.cn</w:t>
      </w:r>
    </w:p>
    <w:p w14:paraId="0BFD4A9A" w14:textId="77777777" w:rsidR="00E53200" w:rsidRPr="00E754A5" w:rsidRDefault="00E53200">
      <w:pPr>
        <w:spacing w:line="360" w:lineRule="auto"/>
        <w:jc w:val="both"/>
      </w:pPr>
    </w:p>
    <w:p w14:paraId="0F23BD21"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Received: </w:t>
      </w:r>
      <w:r w:rsidRPr="00E754A5">
        <w:rPr>
          <w:rFonts w:ascii="Book Antiqua" w:eastAsia="Book Antiqua" w:hAnsi="Book Antiqua" w:cs="Book Antiqua"/>
          <w:color w:val="000000"/>
        </w:rPr>
        <w:t>October 26, 2021</w:t>
      </w:r>
    </w:p>
    <w:p w14:paraId="691B63E4"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Revised: </w:t>
      </w:r>
      <w:r w:rsidRPr="00E754A5">
        <w:rPr>
          <w:rFonts w:ascii="Book Antiqua" w:eastAsia="Book Antiqua" w:hAnsi="Book Antiqua" w:cs="Book Antiqua"/>
          <w:color w:val="000000"/>
        </w:rPr>
        <w:t>April 25, 2022</w:t>
      </w:r>
    </w:p>
    <w:p w14:paraId="5AD417EA"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Accepted: </w:t>
      </w:r>
      <w:r w:rsidRPr="00E754A5">
        <w:rPr>
          <w:rFonts w:ascii="Book Antiqua" w:eastAsia="Book Antiqua" w:hAnsi="Book Antiqua" w:cs="Book Antiqua"/>
          <w:color w:val="000000"/>
        </w:rPr>
        <w:t>May 22, 2022</w:t>
      </w:r>
    </w:p>
    <w:p w14:paraId="15A6500A"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Published online: </w:t>
      </w:r>
      <w:r w:rsidRPr="00E754A5">
        <w:rPr>
          <w:rFonts w:ascii="Book Antiqua" w:eastAsia="Book Antiqua" w:hAnsi="Book Antiqua" w:cs="Book Antiqua"/>
          <w:color w:val="000000"/>
        </w:rPr>
        <w:t xml:space="preserve">July </w:t>
      </w:r>
      <w:r w:rsidRPr="00E754A5">
        <w:rPr>
          <w:rFonts w:ascii="Book Antiqua" w:eastAsia="宋体" w:hAnsi="Book Antiqua" w:cs="Book Antiqua" w:hint="eastAsia"/>
          <w:color w:val="000000"/>
          <w:lang w:eastAsia="zh-CN"/>
        </w:rPr>
        <w:t>14</w:t>
      </w:r>
      <w:r w:rsidRPr="00E754A5">
        <w:rPr>
          <w:rFonts w:ascii="Book Antiqua" w:eastAsia="Book Antiqua" w:hAnsi="Book Antiqua" w:cs="Book Antiqua"/>
          <w:color w:val="000000"/>
        </w:rPr>
        <w:t>, 2022</w:t>
      </w:r>
    </w:p>
    <w:p w14:paraId="285955EB" w14:textId="77777777" w:rsidR="00E53200" w:rsidRPr="00E754A5" w:rsidRDefault="00E53200">
      <w:pPr>
        <w:spacing w:line="360" w:lineRule="auto"/>
        <w:jc w:val="both"/>
        <w:sectPr w:rsidR="00E53200" w:rsidRPr="00E754A5">
          <w:footerReference w:type="default" r:id="rId6"/>
          <w:pgSz w:w="12240" w:h="15840"/>
          <w:pgMar w:top="1440" w:right="1440" w:bottom="1440" w:left="1440" w:header="720" w:footer="720" w:gutter="0"/>
          <w:cols w:space="720"/>
          <w:docGrid w:linePitch="360"/>
        </w:sectPr>
      </w:pPr>
    </w:p>
    <w:p w14:paraId="0641DA63" w14:textId="77777777" w:rsidR="00E53200" w:rsidRPr="00E754A5" w:rsidRDefault="00F70B62">
      <w:pPr>
        <w:spacing w:line="360" w:lineRule="auto"/>
        <w:jc w:val="both"/>
      </w:pPr>
      <w:r w:rsidRPr="00E754A5">
        <w:rPr>
          <w:rFonts w:ascii="Book Antiqua" w:eastAsia="Book Antiqua" w:hAnsi="Book Antiqua" w:cs="Book Antiqua"/>
          <w:b/>
          <w:color w:val="000000"/>
        </w:rPr>
        <w:lastRenderedPageBreak/>
        <w:t>Abstract</w:t>
      </w:r>
    </w:p>
    <w:p w14:paraId="2763BC6B" w14:textId="77777777" w:rsidR="00E53200" w:rsidRPr="00E754A5" w:rsidRDefault="00F70B62">
      <w:pPr>
        <w:spacing w:line="360" w:lineRule="auto"/>
        <w:jc w:val="both"/>
      </w:pPr>
      <w:r w:rsidRPr="00E754A5">
        <w:rPr>
          <w:rFonts w:ascii="Book Antiqua" w:eastAsia="Book Antiqua" w:hAnsi="Book Antiqua" w:cs="Book Antiqua"/>
          <w:color w:val="000000"/>
        </w:rPr>
        <w:t>BACKGROUND</w:t>
      </w:r>
    </w:p>
    <w:p w14:paraId="38400E0B" w14:textId="77777777" w:rsidR="00E53200" w:rsidRPr="00E754A5" w:rsidRDefault="00F70B62">
      <w:pPr>
        <w:spacing w:line="360" w:lineRule="auto"/>
        <w:jc w:val="both"/>
      </w:pPr>
      <w:r w:rsidRPr="00E754A5">
        <w:rPr>
          <w:rFonts w:ascii="Book Antiqua" w:eastAsia="Book Antiqua" w:hAnsi="Book Antiqua" w:cs="Book Antiqua"/>
          <w:color w:val="000000"/>
        </w:rPr>
        <w:t xml:space="preserve">As the main component of oral contraceptives (OCs), </w:t>
      </w:r>
      <w:bookmarkStart w:id="25" w:name="OLE_LINK37"/>
      <w:bookmarkStart w:id="26" w:name="OLE_LINK36"/>
      <w:bookmarkStart w:id="27" w:name="OLE_LINK35"/>
      <w:r w:rsidRPr="00E754A5">
        <w:rPr>
          <w:rFonts w:ascii="Book Antiqua" w:eastAsia="Book Antiqua" w:hAnsi="Book Antiqua" w:cs="Book Antiqua"/>
          <w:color w:val="000000"/>
        </w:rPr>
        <w:t xml:space="preserve">ethinylestradiol </w:t>
      </w:r>
      <w:bookmarkEnd w:id="25"/>
      <w:bookmarkEnd w:id="26"/>
      <w:bookmarkEnd w:id="27"/>
      <w:r w:rsidRPr="00E754A5">
        <w:rPr>
          <w:rFonts w:ascii="Book Antiqua" w:eastAsia="Book Antiqua" w:hAnsi="Book Antiqua" w:cs="Book Antiqua"/>
          <w:color w:val="000000"/>
        </w:rPr>
        <w:t xml:space="preserve">(EE) has been widely applied as a model drug to induce murine intrahepatic cholestasis. The clinical counterpart of EE-induced cholestasis includes women who are taking OCs, sex hormone replacement therapy, and susceptible pregnant women. Taking </w:t>
      </w:r>
      <w:bookmarkStart w:id="28" w:name="OLE_LINK13"/>
      <w:r w:rsidRPr="00E754A5">
        <w:rPr>
          <w:rFonts w:ascii="Book Antiqua" w:eastAsia="Book Antiqua" w:hAnsi="Book Antiqua" w:cs="Book Antiqua"/>
          <w:color w:val="000000"/>
        </w:rPr>
        <w:t>intrahepatic cholestasis of pregnancy</w:t>
      </w:r>
      <w:bookmarkEnd w:id="28"/>
      <w:r w:rsidRPr="00E754A5">
        <w:rPr>
          <w:rFonts w:ascii="Book Antiqua" w:eastAsia="Book Antiqua" w:hAnsi="Book Antiqua" w:cs="Book Antiqua"/>
          <w:color w:val="000000"/>
        </w:rPr>
        <w:t xml:space="preserve"> (ICP) as an example, ICP consumes the medical system due to its high-risk fetal burden and the impotency of ursodeoxycholic acid in reducing adverse perinatal outcomes.</w:t>
      </w:r>
    </w:p>
    <w:p w14:paraId="0C67862E" w14:textId="77777777" w:rsidR="00E53200" w:rsidRPr="00E754A5" w:rsidRDefault="00E53200">
      <w:pPr>
        <w:spacing w:line="360" w:lineRule="auto"/>
        <w:jc w:val="both"/>
      </w:pPr>
    </w:p>
    <w:p w14:paraId="7A933F71" w14:textId="77777777" w:rsidR="00E53200" w:rsidRPr="00E754A5" w:rsidRDefault="00F70B62">
      <w:pPr>
        <w:spacing w:line="360" w:lineRule="auto"/>
        <w:jc w:val="both"/>
      </w:pPr>
      <w:r w:rsidRPr="00E754A5">
        <w:rPr>
          <w:rFonts w:ascii="Book Antiqua" w:eastAsia="Book Antiqua" w:hAnsi="Book Antiqua" w:cs="Book Antiqua"/>
          <w:color w:val="000000"/>
        </w:rPr>
        <w:t>AIM</w:t>
      </w:r>
    </w:p>
    <w:p w14:paraId="7DF5BCBF" w14:textId="77777777" w:rsidR="00E53200" w:rsidRPr="00E754A5" w:rsidRDefault="00F70B62">
      <w:pPr>
        <w:spacing w:line="360" w:lineRule="auto"/>
        <w:jc w:val="both"/>
      </w:pPr>
      <w:r w:rsidRPr="00E754A5">
        <w:rPr>
          <w:rFonts w:ascii="Book Antiqua" w:eastAsia="Book Antiqua" w:hAnsi="Book Antiqua" w:cs="Book Antiqua"/>
          <w:color w:val="000000"/>
        </w:rPr>
        <w:t xml:space="preserve">To explore the mechanisms and therapeutic strategies of EE-induced cholestasis based on the liver immune microenvironment. </w:t>
      </w:r>
    </w:p>
    <w:p w14:paraId="5756DE67" w14:textId="77777777" w:rsidR="00E53200" w:rsidRPr="00E754A5" w:rsidRDefault="00E53200">
      <w:pPr>
        <w:spacing w:line="360" w:lineRule="auto"/>
        <w:jc w:val="both"/>
      </w:pPr>
    </w:p>
    <w:p w14:paraId="3A9EE85D" w14:textId="77777777" w:rsidR="00E53200" w:rsidRPr="00E754A5" w:rsidRDefault="00F70B62">
      <w:pPr>
        <w:spacing w:line="360" w:lineRule="auto"/>
        <w:jc w:val="both"/>
      </w:pPr>
      <w:r w:rsidRPr="00E754A5">
        <w:rPr>
          <w:rFonts w:ascii="Book Antiqua" w:eastAsia="Book Antiqua" w:hAnsi="Book Antiqua" w:cs="Book Antiqua"/>
          <w:color w:val="000000"/>
        </w:rPr>
        <w:t>METHODS</w:t>
      </w:r>
    </w:p>
    <w:p w14:paraId="7D45148B" w14:textId="77777777" w:rsidR="00E53200" w:rsidRPr="00E754A5" w:rsidRDefault="00F70B62">
      <w:pPr>
        <w:spacing w:line="360" w:lineRule="auto"/>
        <w:jc w:val="both"/>
        <w:rPr>
          <w:lang w:eastAsia="zh-CN"/>
        </w:rPr>
      </w:pPr>
      <w:r w:rsidRPr="00E754A5">
        <w:rPr>
          <w:rFonts w:ascii="Book Antiqua" w:eastAsia="Book Antiqua" w:hAnsi="Book Antiqua" w:cs="Book Antiqua"/>
          <w:color w:val="000000"/>
        </w:rPr>
        <w:t xml:space="preserve">Male C57BL/6J mice or </w:t>
      </w:r>
      <w:bookmarkStart w:id="29" w:name="OLE_LINK40"/>
      <w:bookmarkStart w:id="30" w:name="OLE_LINK41"/>
      <w:r w:rsidRPr="00E754A5">
        <w:rPr>
          <w:rFonts w:ascii="Book Antiqua" w:eastAsia="Book Antiqua" w:hAnsi="Book Antiqua" w:cs="Book Antiqua"/>
          <w:color w:val="000000"/>
        </w:rPr>
        <w:t xml:space="preserve">invariant </w:t>
      </w:r>
      <w:bookmarkStart w:id="31" w:name="OLE_LINK39"/>
      <w:bookmarkStart w:id="32" w:name="OLE_LINK38"/>
      <w:r w:rsidRPr="00E754A5">
        <w:rPr>
          <w:rFonts w:ascii="Book Antiqua" w:eastAsia="Book Antiqua" w:hAnsi="Book Antiqua" w:cs="Book Antiqua"/>
          <w:color w:val="000000"/>
        </w:rPr>
        <w:t xml:space="preserve">natural killer </w:t>
      </w:r>
      <w:r w:rsidRPr="00E754A5">
        <w:rPr>
          <w:rFonts w:ascii="Book Antiqua" w:hAnsi="Book Antiqua" w:cs="Book Antiqua" w:hint="eastAsia"/>
          <w:color w:val="000000"/>
          <w:lang w:eastAsia="zh-CN"/>
        </w:rPr>
        <w:t>T</w:t>
      </w:r>
      <w:bookmarkEnd w:id="29"/>
      <w:bookmarkEnd w:id="30"/>
      <w:bookmarkEnd w:id="31"/>
      <w:bookmarkEnd w:id="32"/>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(iNKT) cell deficiency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were administered with EE (10 mg/kg, subcutaneous) for 14 d.</w:t>
      </w:r>
    </w:p>
    <w:p w14:paraId="5E3213C0" w14:textId="77777777" w:rsidR="00E53200" w:rsidRPr="00E754A5" w:rsidRDefault="00E53200">
      <w:pPr>
        <w:spacing w:line="360" w:lineRule="auto"/>
        <w:jc w:val="both"/>
      </w:pPr>
    </w:p>
    <w:p w14:paraId="422CA54F" w14:textId="77777777" w:rsidR="00E53200" w:rsidRPr="00E754A5" w:rsidRDefault="00F70B62">
      <w:pPr>
        <w:spacing w:line="360" w:lineRule="auto"/>
        <w:jc w:val="both"/>
      </w:pPr>
      <w:r w:rsidRPr="00E754A5">
        <w:rPr>
          <w:rFonts w:ascii="Book Antiqua" w:eastAsia="Book Antiqua" w:hAnsi="Book Antiqua" w:cs="Book Antiqua"/>
          <w:color w:val="000000"/>
        </w:rPr>
        <w:t>RESULTS</w:t>
      </w:r>
    </w:p>
    <w:p w14:paraId="45CEAB81" w14:textId="77777777" w:rsidR="00E53200" w:rsidRPr="00E754A5" w:rsidRDefault="00F70B62">
      <w:pPr>
        <w:spacing w:line="360" w:lineRule="auto"/>
        <w:jc w:val="both"/>
      </w:pPr>
      <w:r w:rsidRPr="00E754A5">
        <w:rPr>
          <w:rFonts w:ascii="Book Antiqua" w:eastAsia="Book Antiqua" w:hAnsi="Book Antiqua" w:cs="Book Antiqua"/>
          <w:color w:val="000000"/>
        </w:rPr>
        <w:t xml:space="preserve">Both Th1 and Th2 cytokines produced by NKT cells increased in the liver skewing toward a Th1 bias. The expression of the chemokine/chemokine receptor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 xml:space="preserve"> </w:t>
      </w:r>
      <w:r w:rsidRPr="00E754A5">
        <w:rPr>
          <w:rFonts w:ascii="Book Antiqua" w:hAnsi="Book Antiqua" w:cs="Book Antiqua" w:hint="eastAsia"/>
          <w:iCs/>
          <w:color w:val="000000"/>
          <w:lang w:eastAsia="zh-CN"/>
        </w:rPr>
        <w:t>t</w:t>
      </w:r>
      <w:r w:rsidRPr="00E754A5">
        <w:rPr>
          <w:rFonts w:ascii="Book Antiqua" w:eastAsia="Book Antiqua" w:hAnsi="Book Antiqua" w:cs="Book Antiqua"/>
          <w:iCs/>
          <w:color w:val="000000"/>
        </w:rPr>
        <w:t>oll-like receptors</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Ras/Rad,</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PI3K/Bad</w:t>
      </w:r>
      <w:r w:rsidRPr="00E754A5">
        <w:rPr>
          <w:rFonts w:ascii="Book Antiqua" w:eastAsia="Book Antiqua" w:hAnsi="Book Antiqua" w:cs="Book Antiqua"/>
          <w:color w:val="000000"/>
        </w:rPr>
        <w:t xml:space="preserve"> signaling was upregulated after EE administration. EE also influenced bile acid synthase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Cyp8b1</w:t>
      </w:r>
      <w:r w:rsidRPr="00E754A5">
        <w:rPr>
          <w:rFonts w:ascii="Book Antiqua" w:eastAsia="Book Antiqua" w:hAnsi="Book Antiqua" w:cs="Book Antiqua"/>
          <w:color w:val="000000"/>
        </w:rPr>
        <w:t>, and tight junctions ZO-1 and Occludin, which might be associated with EE-induced cholestasis. iNKT cell deficiency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robustly alleviated cholestatic liver damage and lowered the expression of the abovementioned signaling pathways.</w:t>
      </w:r>
    </w:p>
    <w:p w14:paraId="24964B9B" w14:textId="77777777" w:rsidR="00E53200" w:rsidRPr="00E754A5" w:rsidRDefault="00E53200">
      <w:pPr>
        <w:spacing w:line="360" w:lineRule="auto"/>
        <w:jc w:val="both"/>
      </w:pPr>
    </w:p>
    <w:p w14:paraId="34DF47AF" w14:textId="77777777" w:rsidR="00E53200" w:rsidRPr="00E754A5" w:rsidRDefault="00F70B62">
      <w:pPr>
        <w:spacing w:line="360" w:lineRule="auto"/>
        <w:jc w:val="both"/>
      </w:pPr>
      <w:r w:rsidRPr="00E754A5">
        <w:rPr>
          <w:rFonts w:ascii="Book Antiqua" w:eastAsia="Book Antiqua" w:hAnsi="Book Antiqua" w:cs="Book Antiqua"/>
          <w:color w:val="000000"/>
        </w:rPr>
        <w:t>CONCLUSION</w:t>
      </w:r>
    </w:p>
    <w:p w14:paraId="74CDDE43" w14:textId="77777777" w:rsidR="00E53200" w:rsidRPr="00E754A5" w:rsidRDefault="00F70B62">
      <w:pPr>
        <w:spacing w:line="360" w:lineRule="auto"/>
        <w:jc w:val="both"/>
      </w:pPr>
      <w:r w:rsidRPr="00E754A5">
        <w:rPr>
          <w:rFonts w:ascii="Book Antiqua" w:eastAsia="Book Antiqua" w:hAnsi="Book Antiqua" w:cs="Book Antiqua"/>
          <w:color w:val="000000"/>
        </w:rPr>
        <w:lastRenderedPageBreak/>
        <w:t>Hepatic NKT cells play a pathogenic role in EE-induced intrahepatic cholestasis. Our research improves the understanding of intrahepatic cholestasis by revealing the hepatic immune microenvironment and also provides a potential clinical treatment by regulating iNKT cells.</w:t>
      </w:r>
    </w:p>
    <w:p w14:paraId="18D49A71" w14:textId="77777777" w:rsidR="00E53200" w:rsidRPr="00E754A5" w:rsidRDefault="00E53200">
      <w:pPr>
        <w:spacing w:line="360" w:lineRule="auto"/>
        <w:jc w:val="both"/>
      </w:pPr>
    </w:p>
    <w:p w14:paraId="2F359C52" w14:textId="77777777" w:rsidR="00E53200" w:rsidRPr="00E754A5" w:rsidRDefault="00F70B62">
      <w:pPr>
        <w:spacing w:line="360" w:lineRule="auto"/>
        <w:jc w:val="both"/>
        <w:rPr>
          <w:lang w:eastAsia="zh-CN"/>
        </w:rPr>
      </w:pPr>
      <w:r w:rsidRPr="00E754A5">
        <w:rPr>
          <w:rFonts w:ascii="Book Antiqua" w:eastAsia="Book Antiqua" w:hAnsi="Book Antiqua" w:cs="Book Antiqua"/>
          <w:b/>
          <w:bCs/>
          <w:color w:val="000000"/>
        </w:rPr>
        <w:t xml:space="preserve">Key Words: </w:t>
      </w:r>
      <w:bookmarkStart w:id="33" w:name="OLE_LINK14"/>
      <w:bookmarkStart w:id="34" w:name="OLE_LINK10"/>
      <w:r w:rsidRPr="00E754A5">
        <w:rPr>
          <w:rFonts w:ascii="Book Antiqua" w:eastAsia="Book Antiqua" w:hAnsi="Book Antiqua" w:cs="Book Antiqua"/>
          <w:color w:val="000000"/>
        </w:rPr>
        <w:t xml:space="preserve">Natural killer T cell; Th1/Th2; </w:t>
      </w:r>
      <w:r w:rsidRPr="00E754A5">
        <w:rPr>
          <w:rFonts w:ascii="Book Antiqua" w:hAnsi="Book Antiqua" w:cs="Book Antiqua" w:hint="eastAsia"/>
          <w:color w:val="000000"/>
          <w:lang w:eastAsia="zh-CN"/>
        </w:rPr>
        <w:t>IFN</w:t>
      </w:r>
      <w:r w:rsidRPr="00E754A5">
        <w:rPr>
          <w:rFonts w:ascii="Book Antiqua" w:eastAsia="Book Antiqua" w:hAnsi="Book Antiqua" w:cs="Book Antiqua"/>
          <w:color w:val="000000"/>
        </w:rPr>
        <w:t xml:space="preserve">-γ; </w:t>
      </w:r>
      <w:r w:rsidRPr="00E754A5">
        <w:rPr>
          <w:rFonts w:ascii="Book Antiqua" w:hAnsi="Book Antiqua" w:cs="Book Antiqua" w:hint="eastAsia"/>
          <w:color w:val="000000"/>
          <w:lang w:eastAsia="zh-CN"/>
        </w:rPr>
        <w:t>E</w:t>
      </w:r>
      <w:r w:rsidRPr="00E754A5">
        <w:rPr>
          <w:rFonts w:ascii="Book Antiqua" w:eastAsia="Book Antiqua" w:hAnsi="Book Antiqua" w:cs="Book Antiqua"/>
          <w:color w:val="000000"/>
        </w:rPr>
        <w:t xml:space="preserve">strogen; </w:t>
      </w:r>
      <w:r w:rsidRPr="00E754A5">
        <w:rPr>
          <w:rFonts w:ascii="Book Antiqua" w:hAnsi="Book Antiqua" w:cs="Book Antiqua" w:hint="eastAsia"/>
          <w:color w:val="000000"/>
          <w:lang w:eastAsia="zh-CN"/>
        </w:rPr>
        <w:t>C</w:t>
      </w:r>
      <w:r w:rsidRPr="00E754A5">
        <w:rPr>
          <w:rFonts w:ascii="Book Antiqua" w:eastAsia="Book Antiqua" w:hAnsi="Book Antiqua" w:cs="Book Antiqua"/>
          <w:color w:val="000000"/>
        </w:rPr>
        <w:t>holestasis</w:t>
      </w:r>
      <w:bookmarkEnd w:id="33"/>
      <w:bookmarkEnd w:id="34"/>
    </w:p>
    <w:p w14:paraId="36BAC344" w14:textId="77777777" w:rsidR="00E53200" w:rsidRPr="00E754A5" w:rsidRDefault="00E53200">
      <w:pPr>
        <w:spacing w:line="360" w:lineRule="auto"/>
        <w:jc w:val="both"/>
      </w:pPr>
    </w:p>
    <w:p w14:paraId="42747FDA" w14:textId="77777777" w:rsidR="00E754A5" w:rsidRPr="00E754A5" w:rsidRDefault="00E754A5" w:rsidP="00E754A5">
      <w:pPr>
        <w:spacing w:line="360" w:lineRule="auto"/>
        <w:jc w:val="both"/>
        <w:rPr>
          <w:rFonts w:ascii="Book Antiqua" w:eastAsia="Book Antiqua" w:hAnsi="Book Antiqua" w:cs="Book Antiqua"/>
          <w:color w:val="000000"/>
        </w:rPr>
      </w:pPr>
      <w:bookmarkStart w:id="35" w:name="_Hlk88512344"/>
      <w:bookmarkStart w:id="36" w:name="_Hlk88512883"/>
      <w:bookmarkStart w:id="37" w:name="_Hlk88513225"/>
      <w:bookmarkStart w:id="38" w:name="_Hlk88512545"/>
      <w:bookmarkStart w:id="39" w:name="OLE_LINK15"/>
      <w:bookmarkStart w:id="40" w:name="OLE_LINK23"/>
      <w:r w:rsidRPr="00E754A5">
        <w:rPr>
          <w:rFonts w:ascii="Book Antiqua" w:eastAsia="Book Antiqua" w:hAnsi="Book Antiqua" w:cs="Book Antiqua" w:hint="eastAsia"/>
          <w:b/>
          <w:color w:val="000000"/>
        </w:rPr>
        <w:t>©</w:t>
      </w:r>
      <w:r w:rsidRPr="00E754A5">
        <w:rPr>
          <w:rFonts w:ascii="Book Antiqua" w:eastAsia="Book Antiqua" w:hAnsi="Book Antiqua" w:cs="Book Antiqua"/>
          <w:b/>
          <w:color w:val="000000"/>
        </w:rPr>
        <w:t>The</w:t>
      </w:r>
      <w:r w:rsidRPr="00E754A5">
        <w:rPr>
          <w:rFonts w:ascii="Book Antiqua" w:eastAsia="Book Antiqua" w:hAnsi="Book Antiqua" w:cs="Book Antiqua"/>
          <w:color w:val="000000"/>
        </w:rPr>
        <w:t xml:space="preserve"> </w:t>
      </w:r>
      <w:r w:rsidRPr="00E754A5">
        <w:rPr>
          <w:rFonts w:ascii="Book Antiqua" w:eastAsia="Book Antiqua" w:hAnsi="Book Antiqua" w:cs="Book Antiqua"/>
          <w:b/>
          <w:color w:val="000000"/>
        </w:rPr>
        <w:t xml:space="preserve">Author(s) 2022. </w:t>
      </w:r>
      <w:r w:rsidRPr="00E754A5">
        <w:rPr>
          <w:rFonts w:ascii="Book Antiqua" w:eastAsia="Book Antiqua" w:hAnsi="Book Antiqua" w:cs="Book Antiqua"/>
          <w:color w:val="000000"/>
        </w:rPr>
        <w:t>Published by Baishideng Publishing Group Inc. All rights reserved.</w:t>
      </w:r>
      <w:bookmarkEnd w:id="35"/>
      <w:r w:rsidRPr="00E754A5">
        <w:rPr>
          <w:rFonts w:ascii="Book Antiqua" w:eastAsia="Book Antiqua" w:hAnsi="Book Antiqua" w:cs="Book Antiqua"/>
          <w:color w:val="000000"/>
        </w:rPr>
        <w:t xml:space="preserve"> </w:t>
      </w:r>
    </w:p>
    <w:bookmarkEnd w:id="36"/>
    <w:p w14:paraId="0A59A1E5" w14:textId="77777777" w:rsidR="00E754A5" w:rsidRPr="00E754A5" w:rsidRDefault="00E754A5" w:rsidP="00E754A5">
      <w:pPr>
        <w:spacing w:line="360" w:lineRule="auto"/>
        <w:jc w:val="both"/>
        <w:rPr>
          <w:lang w:eastAsia="zh-CN"/>
        </w:rPr>
      </w:pPr>
    </w:p>
    <w:p w14:paraId="7F23A766" w14:textId="0D204EE8" w:rsidR="00E754A5" w:rsidRPr="00E754A5" w:rsidRDefault="00E754A5" w:rsidP="00E754A5">
      <w:pPr>
        <w:spacing w:line="360" w:lineRule="auto"/>
        <w:jc w:val="both"/>
        <w:rPr>
          <w:rFonts w:ascii="Book Antiqua" w:eastAsia="Book Antiqua" w:hAnsi="Book Antiqua" w:cs="Book Antiqua"/>
          <w:color w:val="000000"/>
        </w:rPr>
      </w:pPr>
      <w:bookmarkStart w:id="41" w:name="_Hlk88512899"/>
      <w:bookmarkStart w:id="42" w:name="_Hlk88512352"/>
      <w:bookmarkEnd w:id="37"/>
      <w:r w:rsidRPr="00E754A5">
        <w:rPr>
          <w:rFonts w:ascii="Book Antiqua" w:hAnsi="Book Antiqua" w:cs="Book Antiqua" w:hint="eastAsia"/>
          <w:b/>
          <w:color w:val="000000"/>
          <w:lang w:eastAsia="zh-CN"/>
        </w:rPr>
        <w:t>Citation:</w:t>
      </w:r>
      <w:bookmarkEnd w:id="38"/>
      <w:bookmarkEnd w:id="41"/>
      <w:r w:rsidRPr="00E754A5">
        <w:rPr>
          <w:rFonts w:ascii="Book Antiqua" w:hAnsi="Book Antiqua" w:cs="Book Antiqua" w:hint="eastAsia"/>
          <w:color w:val="000000"/>
          <w:lang w:eastAsia="zh-CN"/>
        </w:rPr>
        <w:t xml:space="preserve"> </w:t>
      </w:r>
      <w:bookmarkEnd w:id="42"/>
      <w:r w:rsidR="00F70B62" w:rsidRPr="00E754A5">
        <w:rPr>
          <w:rFonts w:ascii="Book Antiqua" w:hAnsi="Book Antiqua" w:cs="Book Antiqua" w:hint="eastAsia"/>
          <w:color w:val="000000"/>
          <w:lang w:eastAsia="zh-CN"/>
        </w:rPr>
        <w:t>Zou</w:t>
      </w:r>
      <w:r w:rsidR="00F70B62" w:rsidRPr="00E754A5">
        <w:rPr>
          <w:rFonts w:ascii="Book Antiqua" w:eastAsia="Book Antiqua" w:hAnsi="Book Antiqua" w:cs="Book Antiqua"/>
          <w:color w:val="000000"/>
        </w:rPr>
        <w:t xml:space="preserve"> M</w:t>
      </w:r>
      <w:r w:rsidR="00F70B62" w:rsidRPr="00E754A5">
        <w:rPr>
          <w:rFonts w:ascii="Book Antiqua" w:hAnsi="Book Antiqua" w:cs="Book Antiqua" w:hint="eastAsia"/>
          <w:color w:val="000000"/>
          <w:lang w:eastAsia="zh-CN"/>
        </w:rPr>
        <w:t>Z</w:t>
      </w:r>
      <w:r w:rsidR="00F70B62" w:rsidRPr="00E754A5">
        <w:rPr>
          <w:rFonts w:ascii="Book Antiqua" w:eastAsia="Book Antiqua" w:hAnsi="Book Antiqua" w:cs="Book Antiqua"/>
          <w:color w:val="000000"/>
        </w:rPr>
        <w:t>, Kong W</w:t>
      </w:r>
      <w:r w:rsidR="00F70B62" w:rsidRPr="00E754A5">
        <w:rPr>
          <w:rFonts w:ascii="Book Antiqua" w:hAnsi="Book Antiqua" w:cs="Book Antiqua" w:hint="eastAsia"/>
          <w:color w:val="000000"/>
          <w:lang w:eastAsia="zh-CN"/>
        </w:rPr>
        <w:t>C</w:t>
      </w:r>
      <w:r w:rsidR="00F70B62" w:rsidRPr="00E754A5">
        <w:rPr>
          <w:rFonts w:ascii="Book Antiqua" w:eastAsia="Book Antiqua" w:hAnsi="Book Antiqua" w:cs="Book Antiqua"/>
          <w:color w:val="000000"/>
        </w:rPr>
        <w:t xml:space="preserve">, Cai H, </w:t>
      </w:r>
      <w:r w:rsidR="00F70B62" w:rsidRPr="00E754A5">
        <w:rPr>
          <w:rFonts w:ascii="Book Antiqua" w:hAnsi="Book Antiqua" w:cs="Book Antiqua" w:hint="eastAsia"/>
          <w:color w:val="000000"/>
          <w:lang w:eastAsia="zh-CN"/>
        </w:rPr>
        <w:t>Xing</w:t>
      </w:r>
      <w:r w:rsidR="00F70B62" w:rsidRPr="00E754A5">
        <w:rPr>
          <w:rFonts w:ascii="Book Antiqua" w:eastAsia="Book Antiqua" w:hAnsi="Book Antiqua" w:cs="Book Antiqua"/>
          <w:color w:val="000000"/>
        </w:rPr>
        <w:t xml:space="preserve"> M</w:t>
      </w:r>
      <w:r w:rsidR="00F70B62" w:rsidRPr="00E754A5">
        <w:rPr>
          <w:rFonts w:ascii="Book Antiqua" w:hAnsi="Book Antiqua" w:cs="Book Antiqua" w:hint="eastAsia"/>
          <w:color w:val="000000"/>
          <w:lang w:eastAsia="zh-CN"/>
        </w:rPr>
        <w:t>T</w:t>
      </w:r>
      <w:r w:rsidR="00F70B62" w:rsidRPr="00E754A5">
        <w:rPr>
          <w:rFonts w:ascii="Book Antiqua" w:eastAsia="Book Antiqua" w:hAnsi="Book Antiqua" w:cs="Book Antiqua"/>
          <w:color w:val="000000"/>
        </w:rPr>
        <w:t>, Yu Z</w:t>
      </w:r>
      <w:r w:rsidR="00F70B62" w:rsidRPr="00E754A5">
        <w:rPr>
          <w:rFonts w:ascii="Book Antiqua" w:hAnsi="Book Antiqua" w:cs="Book Antiqua" w:hint="eastAsia"/>
          <w:color w:val="000000"/>
          <w:lang w:eastAsia="zh-CN"/>
        </w:rPr>
        <w:t>X</w:t>
      </w:r>
      <w:r w:rsidR="00F70B62" w:rsidRPr="00E754A5">
        <w:rPr>
          <w:rFonts w:ascii="Book Antiqua" w:eastAsia="Book Antiqua" w:hAnsi="Book Antiqua" w:cs="Book Antiqua"/>
          <w:color w:val="000000"/>
        </w:rPr>
        <w:t>, Chen X, Zhang L</w:t>
      </w:r>
      <w:r w:rsidR="00F70B62" w:rsidRPr="00E754A5">
        <w:rPr>
          <w:rFonts w:ascii="Book Antiqua" w:hAnsi="Book Antiqua" w:cs="Book Antiqua" w:hint="eastAsia"/>
          <w:color w:val="000000"/>
          <w:lang w:eastAsia="zh-CN"/>
        </w:rPr>
        <w:t>Y</w:t>
      </w:r>
      <w:r w:rsidR="00F70B62" w:rsidRPr="00E754A5">
        <w:rPr>
          <w:rFonts w:ascii="Book Antiqua" w:eastAsia="Book Antiqua" w:hAnsi="Book Antiqua" w:cs="Book Antiqua"/>
          <w:color w:val="000000"/>
        </w:rPr>
        <w:t>, Wang X</w:t>
      </w:r>
      <w:r w:rsidR="00F70B62" w:rsidRPr="00E754A5">
        <w:rPr>
          <w:rFonts w:ascii="Book Antiqua" w:hAnsi="Book Antiqua" w:cs="Book Antiqua" w:hint="eastAsia"/>
          <w:color w:val="000000"/>
          <w:lang w:eastAsia="zh-CN"/>
        </w:rPr>
        <w:t>Z</w:t>
      </w:r>
      <w:r w:rsidR="00F70B62" w:rsidRPr="00E754A5">
        <w:rPr>
          <w:rFonts w:ascii="Book Antiqua" w:eastAsia="Book Antiqua" w:hAnsi="Book Antiqua" w:cs="Book Antiqua"/>
          <w:color w:val="000000"/>
        </w:rPr>
        <w:t xml:space="preserve">. Activation of natural killer T cells contributes to Th1 bias in the murine liver after 14 d of ethinylestradiol exposure. </w:t>
      </w:r>
      <w:r w:rsidR="00F70B62" w:rsidRPr="00E754A5">
        <w:rPr>
          <w:rFonts w:ascii="Book Antiqua" w:eastAsia="Book Antiqua" w:hAnsi="Book Antiqua" w:cs="Book Antiqua"/>
          <w:i/>
          <w:iCs/>
          <w:color w:val="000000"/>
        </w:rPr>
        <w:t>World J Gastroenterol</w:t>
      </w:r>
      <w:r w:rsidR="00F70B62" w:rsidRPr="00E754A5">
        <w:rPr>
          <w:rFonts w:ascii="Book Antiqua" w:eastAsia="Book Antiqua" w:hAnsi="Book Antiqua" w:cs="Book Antiqua"/>
          <w:color w:val="000000"/>
        </w:rPr>
        <w:t xml:space="preserve"> 2022; </w:t>
      </w:r>
      <w:r w:rsidR="00F70B62" w:rsidRPr="00E754A5">
        <w:rPr>
          <w:rFonts w:ascii="Book Antiqua" w:eastAsia="Book Antiqua" w:hAnsi="Book Antiqua" w:cs="Book Antiqua" w:hint="eastAsia"/>
          <w:color w:val="000000"/>
        </w:rPr>
        <w:t>28(2</w:t>
      </w:r>
      <w:r w:rsidR="00F70B62" w:rsidRPr="00E754A5">
        <w:rPr>
          <w:rFonts w:ascii="Book Antiqua" w:eastAsia="宋体" w:hAnsi="Book Antiqua" w:cs="Book Antiqua" w:hint="eastAsia"/>
          <w:color w:val="000000"/>
          <w:lang w:eastAsia="zh-CN"/>
        </w:rPr>
        <w:t>6</w:t>
      </w:r>
      <w:r w:rsidR="00F70B62" w:rsidRPr="00E754A5">
        <w:rPr>
          <w:rFonts w:ascii="Book Antiqua" w:eastAsia="Book Antiqua" w:hAnsi="Book Antiqua" w:cs="Book Antiqua" w:hint="eastAsia"/>
          <w:color w:val="000000"/>
        </w:rPr>
        <w:t xml:space="preserve">): </w:t>
      </w:r>
      <w:r w:rsidRPr="00E754A5">
        <w:rPr>
          <w:rFonts w:ascii="Book Antiqua" w:eastAsia="Book Antiqua" w:hAnsi="Book Antiqua" w:cs="Book Antiqua"/>
          <w:color w:val="000000"/>
        </w:rPr>
        <w:t>3150</w:t>
      </w:r>
      <w:r w:rsidR="00F70B62" w:rsidRPr="00E754A5">
        <w:rPr>
          <w:rFonts w:ascii="Book Antiqua" w:eastAsia="Book Antiqua" w:hAnsi="Book Antiqua" w:cs="Book Antiqua" w:hint="eastAsia"/>
          <w:color w:val="000000"/>
        </w:rPr>
        <w:t>-</w:t>
      </w:r>
      <w:r w:rsidRPr="00E754A5">
        <w:rPr>
          <w:rFonts w:ascii="Book Antiqua" w:eastAsia="Book Antiqua" w:hAnsi="Book Antiqua" w:cs="Book Antiqua"/>
          <w:color w:val="000000"/>
        </w:rPr>
        <w:t>3163</w:t>
      </w:r>
    </w:p>
    <w:p w14:paraId="4D14488A" w14:textId="3CA32E69" w:rsidR="00E754A5" w:rsidRPr="00E754A5" w:rsidRDefault="00F70B62" w:rsidP="00E754A5">
      <w:pPr>
        <w:spacing w:line="360" w:lineRule="auto"/>
        <w:jc w:val="both"/>
        <w:rPr>
          <w:rFonts w:ascii="Book Antiqua" w:eastAsia="Book Antiqua" w:hAnsi="Book Antiqua" w:cs="Book Antiqua"/>
          <w:color w:val="000000"/>
        </w:rPr>
      </w:pPr>
      <w:r w:rsidRPr="00E754A5">
        <w:rPr>
          <w:rFonts w:ascii="Book Antiqua" w:eastAsia="Book Antiqua" w:hAnsi="Book Antiqua" w:cs="Book Antiqua" w:hint="eastAsia"/>
          <w:b/>
          <w:bCs/>
          <w:color w:val="000000"/>
        </w:rPr>
        <w:t xml:space="preserve">URL: </w:t>
      </w:r>
      <w:hyperlink r:id="rId7" w:history="1">
        <w:r w:rsidR="00E754A5" w:rsidRPr="00E754A5">
          <w:rPr>
            <w:rStyle w:val="af0"/>
            <w:rFonts w:ascii="Book Antiqua" w:eastAsia="Book Antiqua" w:hAnsi="Book Antiqua" w:cs="Book Antiqua" w:hint="eastAsia"/>
          </w:rPr>
          <w:t>https://www.wjgnet.com/1007-9327/full/v28/i2</w:t>
        </w:r>
        <w:r w:rsidR="00E754A5" w:rsidRPr="00E754A5">
          <w:rPr>
            <w:rStyle w:val="af0"/>
            <w:rFonts w:ascii="Book Antiqua" w:eastAsia="宋体" w:hAnsi="Book Antiqua" w:cs="Book Antiqua" w:hint="eastAsia"/>
            <w:lang w:eastAsia="zh-CN"/>
          </w:rPr>
          <w:t>6</w:t>
        </w:r>
        <w:r w:rsidR="00E754A5" w:rsidRPr="00E754A5">
          <w:rPr>
            <w:rStyle w:val="af0"/>
            <w:rFonts w:ascii="Book Antiqua" w:eastAsia="Book Antiqua" w:hAnsi="Book Antiqua" w:cs="Book Antiqua" w:hint="eastAsia"/>
          </w:rPr>
          <w:t>/</w:t>
        </w:r>
        <w:r w:rsidR="00E754A5" w:rsidRPr="00E754A5">
          <w:rPr>
            <w:rStyle w:val="af0"/>
            <w:rFonts w:ascii="Book Antiqua" w:eastAsia="Book Antiqua" w:hAnsi="Book Antiqua" w:cs="Book Antiqua"/>
          </w:rPr>
          <w:t>3150</w:t>
        </w:r>
        <w:r w:rsidR="00E754A5" w:rsidRPr="00E754A5">
          <w:rPr>
            <w:rStyle w:val="af0"/>
            <w:rFonts w:ascii="Book Antiqua" w:eastAsia="Book Antiqua" w:hAnsi="Book Antiqua" w:cs="Book Antiqua" w:hint="eastAsia"/>
          </w:rPr>
          <w:t>.htm</w:t>
        </w:r>
      </w:hyperlink>
    </w:p>
    <w:p w14:paraId="35E1DA80" w14:textId="61CE9418" w:rsidR="00E53200" w:rsidRPr="00E754A5" w:rsidRDefault="00F70B62" w:rsidP="00E754A5">
      <w:pPr>
        <w:spacing w:line="360" w:lineRule="auto"/>
        <w:jc w:val="both"/>
      </w:pPr>
      <w:r w:rsidRPr="00E754A5">
        <w:rPr>
          <w:rFonts w:ascii="Book Antiqua" w:eastAsia="Book Antiqua" w:hAnsi="Book Antiqua" w:cs="Book Antiqua" w:hint="eastAsia"/>
          <w:b/>
          <w:bCs/>
          <w:color w:val="000000"/>
        </w:rPr>
        <w:t xml:space="preserve">DOI: </w:t>
      </w:r>
      <w:r w:rsidRPr="00E754A5">
        <w:rPr>
          <w:rFonts w:ascii="Book Antiqua" w:eastAsia="Book Antiqua" w:hAnsi="Book Antiqua" w:cs="Book Antiqua" w:hint="eastAsia"/>
          <w:color w:val="000000"/>
        </w:rPr>
        <w:t>https://dx.doi.org/10.3748/wjg.v28.i2</w:t>
      </w:r>
      <w:r w:rsidRPr="00E754A5">
        <w:rPr>
          <w:rFonts w:ascii="Book Antiqua" w:eastAsia="宋体" w:hAnsi="Book Antiqua" w:cs="Book Antiqua" w:hint="eastAsia"/>
          <w:color w:val="000000"/>
          <w:lang w:eastAsia="zh-CN"/>
        </w:rPr>
        <w:t>6</w:t>
      </w:r>
      <w:r w:rsidRPr="00E754A5">
        <w:rPr>
          <w:rFonts w:ascii="Book Antiqua" w:eastAsia="Book Antiqua" w:hAnsi="Book Antiqua" w:cs="Book Antiqua" w:hint="eastAsia"/>
          <w:color w:val="000000"/>
        </w:rPr>
        <w:t>.</w:t>
      </w:r>
      <w:r w:rsidR="00E754A5" w:rsidRPr="00E754A5">
        <w:rPr>
          <w:rFonts w:ascii="Book Antiqua" w:eastAsia="Book Antiqua" w:hAnsi="Book Antiqua" w:cs="Book Antiqua"/>
          <w:color w:val="000000"/>
        </w:rPr>
        <w:t>3150</w:t>
      </w:r>
    </w:p>
    <w:bookmarkEnd w:id="39"/>
    <w:bookmarkEnd w:id="40"/>
    <w:p w14:paraId="34882F53" w14:textId="77777777" w:rsidR="00E53200" w:rsidRPr="00E754A5" w:rsidRDefault="00E53200">
      <w:pPr>
        <w:spacing w:line="360" w:lineRule="auto"/>
        <w:jc w:val="both"/>
      </w:pPr>
    </w:p>
    <w:p w14:paraId="678C6049" w14:textId="77777777" w:rsidR="00E53200" w:rsidRPr="00E754A5" w:rsidRDefault="00F70B62">
      <w:pPr>
        <w:spacing w:line="360" w:lineRule="auto"/>
        <w:jc w:val="both"/>
        <w:rPr>
          <w:lang w:eastAsia="zh-CN"/>
        </w:rPr>
      </w:pPr>
      <w:r w:rsidRPr="00E754A5">
        <w:rPr>
          <w:rFonts w:ascii="Book Antiqua" w:eastAsia="Book Antiqua" w:hAnsi="Book Antiqua" w:cs="Book Antiqua"/>
          <w:b/>
          <w:bCs/>
          <w:color w:val="000000"/>
        </w:rPr>
        <w:t xml:space="preserve">Core Tip: </w:t>
      </w:r>
      <w:bookmarkStart w:id="43" w:name="OLE_LINK25"/>
      <w:bookmarkStart w:id="44" w:name="OLE_LINK24"/>
      <w:r w:rsidRPr="00E754A5">
        <w:rPr>
          <w:rFonts w:ascii="Book Antiqua" w:eastAsia="Book Antiqua" w:hAnsi="Book Antiqua" w:cs="Book Antiqua"/>
          <w:color w:val="000000"/>
        </w:rPr>
        <w:t>In this study, we observed the production of both Th1 and Th2 cytokines by natural killer T (NKT) cells in the liver after 14 d of exposure to ethinylestradiol-induced cholestasis. The liver immune microenvironment was also skewed toward a Th1 bias mainly contributed by NKT cells. Invariant NKT cell deficiency robustly alleviated cholestatic liver damage and downregulated the associated signaling pathways, highlighting the pathogenic role and therapeutic potential of hepatic NKT cells in cholestatic liver diseases.</w:t>
      </w:r>
    </w:p>
    <w:bookmarkEnd w:id="43"/>
    <w:bookmarkEnd w:id="44"/>
    <w:p w14:paraId="0F56C842"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br w:type="page"/>
      </w:r>
      <w:r w:rsidRPr="00E754A5">
        <w:rPr>
          <w:rFonts w:ascii="Book Antiqua" w:eastAsia="Book Antiqua" w:hAnsi="Book Antiqua" w:cs="Book Antiqua"/>
          <w:b/>
          <w:caps/>
          <w:color w:val="000000"/>
          <w:u w:val="single"/>
        </w:rPr>
        <w:lastRenderedPageBreak/>
        <w:t>INTRODUCTION</w:t>
      </w:r>
    </w:p>
    <w:p w14:paraId="0F4D497F" w14:textId="77777777" w:rsidR="00E53200" w:rsidRPr="00E754A5" w:rsidRDefault="00F70B62">
      <w:pPr>
        <w:spacing w:line="360" w:lineRule="auto"/>
        <w:jc w:val="both"/>
      </w:pPr>
      <w:r w:rsidRPr="00E754A5">
        <w:rPr>
          <w:rFonts w:ascii="Book Antiqua" w:eastAsia="Book Antiqua" w:hAnsi="Book Antiqua" w:cs="Book Antiqua"/>
          <w:color w:val="000000"/>
        </w:rPr>
        <w:t>Cholestasis is a mild and common phenomenon during liver diseases but also a crucial triggering element of severe hepatopathy, such as fibrosis, cirrhosis, and hepatic venous thrombosis</w:t>
      </w:r>
      <w:r w:rsidRPr="00E754A5">
        <w:rPr>
          <w:rFonts w:ascii="Book Antiqua" w:eastAsia="Book Antiqua" w:hAnsi="Book Antiqua" w:cs="Book Antiqua"/>
          <w:color w:val="000000"/>
          <w:szCs w:val="30"/>
          <w:vertAlign w:val="superscript"/>
        </w:rPr>
        <w:t>[</w:t>
      </w:r>
      <w:hyperlink w:anchor="_ENREF_1" w:tooltip="Xiang, 2019 #34" w:history="1">
        <w:r w:rsidRPr="00E754A5">
          <w:rPr>
            <w:rFonts w:ascii="Book Antiqua" w:eastAsia="Book Antiqua" w:hAnsi="Book Antiqua" w:cs="Book Antiqua"/>
            <w:color w:val="000000"/>
            <w:vertAlign w:val="superscript"/>
          </w:rPr>
          <w:t>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Both estrogen and oral contraceptives (OCs) can elicit intrahepatic cholestasis (IHC), whose effects manifest as retention of toxic bile acids in the liver and circulation</w:t>
      </w:r>
      <w:r w:rsidRPr="00E754A5">
        <w:rPr>
          <w:rFonts w:ascii="Book Antiqua" w:eastAsia="Book Antiqua" w:hAnsi="Book Antiqua" w:cs="Book Antiqua"/>
          <w:color w:val="000000"/>
          <w:szCs w:val="30"/>
          <w:vertAlign w:val="superscript"/>
        </w:rPr>
        <w:t>[</w:t>
      </w:r>
      <w:hyperlink w:anchor="_ENREF_2" w:tooltip=", 2012 #35" w:history="1">
        <w:r w:rsidRPr="00E754A5">
          <w:rPr>
            <w:rFonts w:ascii="Book Antiqua" w:eastAsia="Book Antiqua" w:hAnsi="Book Antiqua" w:cs="Book Antiqua"/>
            <w:color w:val="000000"/>
            <w:vertAlign w:val="superscript"/>
          </w:rPr>
          <w:t>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17α-</w:t>
      </w:r>
      <w:r w:rsidRPr="00E754A5">
        <w:rPr>
          <w:rFonts w:ascii="Book Antiqua" w:hAnsi="Book Antiqua" w:cs="Book Antiqua" w:hint="eastAsia"/>
          <w:color w:val="000000"/>
          <w:lang w:eastAsia="zh-CN"/>
        </w:rPr>
        <w:t>e</w:t>
      </w:r>
      <w:r w:rsidRPr="00E754A5">
        <w:rPr>
          <w:rFonts w:ascii="Book Antiqua" w:eastAsia="Book Antiqua" w:hAnsi="Book Antiqua" w:cs="Book Antiqua"/>
          <w:color w:val="000000"/>
        </w:rPr>
        <w:t>thinylestradiol (EE) is used as a model drug to induce murine IHC. As the predominant component of OCs and hormone replacement therapy, the clinical counterpart of EE-induced IHC includes women who are taking OCs, postmenopausal replacement therapy and susceptible pregnant women. Sex steroids may lead to alterations in bile components and the elevation of total bile acids (TBAs), which may induce apoptosis and oxidative stress and thus have harmful effects on hepatocytes and other organs</w:t>
      </w:r>
      <w:r w:rsidRPr="00E754A5">
        <w:rPr>
          <w:rFonts w:ascii="Book Antiqua" w:eastAsia="Book Antiqua" w:hAnsi="Book Antiqua" w:cs="Book Antiqua"/>
          <w:color w:val="000000"/>
          <w:szCs w:val="30"/>
          <w:vertAlign w:val="superscript"/>
        </w:rPr>
        <w:t>[</w:t>
      </w:r>
      <w:hyperlink w:anchor="_ENREF_3" w:tooltip="McIlvride, 2017 #13" w:history="1">
        <w:r w:rsidRPr="00E754A5">
          <w:rPr>
            <w:rFonts w:ascii="Book Antiqua" w:eastAsia="Book Antiqua" w:hAnsi="Book Antiqua" w:cs="Book Antiqua"/>
            <w:color w:val="000000"/>
            <w:vertAlign w:val="superscript"/>
          </w:rPr>
          <w:t>3</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clinical studies, administration of EE to both males and females leads to increased serum TBA levels and decreased clearance of sulfobromophthalein</w:t>
      </w:r>
      <w:r w:rsidRPr="00E754A5">
        <w:rPr>
          <w:rFonts w:ascii="Book Antiqua" w:eastAsia="Book Antiqua" w:hAnsi="Book Antiqua" w:cs="Book Antiqua"/>
          <w:color w:val="000000"/>
          <w:szCs w:val="30"/>
          <w:vertAlign w:val="superscript"/>
        </w:rPr>
        <w:t>[</w:t>
      </w:r>
      <w:hyperlink w:anchor="_ENREF_4" w:tooltip="Reyes, 1981 #11" w:history="1">
        <w:r w:rsidRPr="00E754A5">
          <w:rPr>
            <w:rFonts w:ascii="Book Antiqua" w:eastAsia="Book Antiqua" w:hAnsi="Book Antiqua" w:cs="Book Antiqua"/>
            <w:color w:val="000000"/>
            <w:vertAlign w:val="superscript"/>
          </w:rPr>
          <w:t>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murine studies, the mechanisms involve the activation of AMP-activated protein kinase</w:t>
      </w:r>
      <w:r w:rsidRPr="00E754A5">
        <w:rPr>
          <w:rFonts w:ascii="Book Antiqua" w:eastAsia="Book Antiqua" w:hAnsi="Book Antiqua" w:cs="Book Antiqua"/>
          <w:color w:val="000000"/>
          <w:szCs w:val="30"/>
          <w:vertAlign w:val="superscript"/>
        </w:rPr>
        <w:t>[</w:t>
      </w:r>
      <w:hyperlink w:anchor="_ENREF_5" w:tooltip="Li, 2017 #36" w:history="1">
        <w:r w:rsidRPr="00E754A5">
          <w:rPr>
            <w:rFonts w:ascii="Book Antiqua" w:eastAsia="Book Antiqua" w:hAnsi="Book Antiqua" w:cs="Book Antiqua"/>
            <w:color w:val="000000"/>
            <w:vertAlign w:val="superscript"/>
          </w:rPr>
          <w:t>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and estrogen receptor α</w:t>
      </w:r>
      <w:r w:rsidRPr="00E754A5">
        <w:rPr>
          <w:rFonts w:ascii="Book Antiqua" w:eastAsia="Book Antiqua" w:hAnsi="Book Antiqua" w:cs="Book Antiqua"/>
          <w:color w:val="000000"/>
          <w:szCs w:val="30"/>
          <w:vertAlign w:val="superscript"/>
        </w:rPr>
        <w:t>[</w:t>
      </w:r>
      <w:hyperlink w:anchor="_ENREF_6" w:tooltip="Yamamoto, 2006 #37" w:history="1">
        <w:r w:rsidRPr="00E754A5">
          <w:rPr>
            <w:rFonts w:ascii="Book Antiqua" w:eastAsia="Book Antiqua" w:hAnsi="Book Antiqua" w:cs="Book Antiqua"/>
            <w:color w:val="000000"/>
            <w:vertAlign w:val="superscript"/>
          </w:rPr>
          <w:t>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 inhibition of farnesoid X receptor (FXR), bile acid transporters, bile acid synthase and metabolism enzymes, and inflammatory reactions</w:t>
      </w:r>
      <w:r w:rsidRPr="00E754A5">
        <w:rPr>
          <w:rFonts w:ascii="Book Antiqua" w:eastAsia="Book Antiqua" w:hAnsi="Book Antiqua" w:cs="Book Antiqua"/>
          <w:color w:val="000000"/>
          <w:szCs w:val="30"/>
          <w:vertAlign w:val="superscript"/>
        </w:rPr>
        <w:t>[</w:t>
      </w:r>
      <w:hyperlink w:anchor="_ENREF_7" w:tooltip="Wang, 2019 #38" w:history="1">
        <w:r w:rsidRPr="00E754A5">
          <w:rPr>
            <w:rFonts w:ascii="Book Antiqua" w:eastAsia="Book Antiqua" w:hAnsi="Book Antiqua" w:cs="Book Antiqua"/>
            <w:color w:val="000000"/>
            <w:vertAlign w:val="superscript"/>
          </w:rPr>
          <w:t>7-9</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 first-line therapy ursodeoxycholic acid (UDCA) for cholestatic diseases is a naturally hydrophilic bile acid, although its potency is limited, as approximately 40% of patients are not responsive to UDCA treatment</w:t>
      </w:r>
      <w:r w:rsidRPr="00E754A5">
        <w:rPr>
          <w:rFonts w:ascii="Book Antiqua" w:eastAsia="Book Antiqua" w:hAnsi="Book Antiqua" w:cs="Book Antiqua"/>
          <w:color w:val="000000"/>
          <w:szCs w:val="30"/>
          <w:vertAlign w:val="superscript"/>
        </w:rPr>
        <w:t>[</w:t>
      </w:r>
      <w:hyperlink w:anchor="_ENREF_10" w:tooltip="Jansen, 2017 #41" w:history="1">
        <w:r w:rsidRPr="00E754A5">
          <w:rPr>
            <w:rFonts w:ascii="Book Antiqua" w:eastAsia="Book Antiqua" w:hAnsi="Book Antiqua" w:cs="Book Antiqua"/>
            <w:color w:val="000000"/>
            <w:vertAlign w:val="superscript"/>
          </w:rPr>
          <w:t>10</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w:t>
      </w:r>
    </w:p>
    <w:p w14:paraId="2309457C"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 xml:space="preserve">Among these predisposing factors, the significance of the local immune microenvironment in the liver has been emphasized because sex hormones are immunomodulators that are metabolized in the liver. In a murine model of EE-induced cholestasis, hepatic expression of TNF-α and </w:t>
      </w:r>
      <w:bookmarkStart w:id="45" w:name="OLE_LINK11"/>
      <w:bookmarkStart w:id="46" w:name="OLE_LINK12"/>
      <w:r w:rsidRPr="00E754A5">
        <w:rPr>
          <w:rFonts w:ascii="Book Antiqua" w:eastAsia="Book Antiqua" w:hAnsi="Book Antiqua" w:cs="Book Antiqua"/>
          <w:color w:val="000000"/>
        </w:rPr>
        <w:t>IL</w:t>
      </w:r>
      <w:bookmarkEnd w:id="45"/>
      <w:bookmarkEnd w:id="46"/>
      <w:r w:rsidRPr="00E754A5">
        <w:rPr>
          <w:rFonts w:ascii="Book Antiqua" w:eastAsia="Book Antiqua" w:hAnsi="Book Antiqua" w:cs="Book Antiqua"/>
          <w:color w:val="000000"/>
        </w:rPr>
        <w:t>-6 was greatly upregulated</w:t>
      </w:r>
      <w:r w:rsidRPr="00E754A5">
        <w:rPr>
          <w:rFonts w:ascii="Book Antiqua" w:eastAsia="Book Antiqua" w:hAnsi="Book Antiqua" w:cs="Book Antiqua"/>
          <w:color w:val="000000"/>
          <w:szCs w:val="30"/>
          <w:vertAlign w:val="superscript"/>
        </w:rPr>
        <w:t>[</w:t>
      </w:r>
      <w:hyperlink w:anchor="_ENREF_8" w:tooltip="Yu, 2016 #39" w:history="1">
        <w:r w:rsidRPr="00E754A5">
          <w:rPr>
            <w:rFonts w:ascii="Book Antiqua" w:eastAsia="Book Antiqua" w:hAnsi="Book Antiqua" w:cs="Book Antiqua"/>
            <w:color w:val="000000"/>
            <w:vertAlign w:val="superscript"/>
          </w:rPr>
          <w:t>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Proinflammatory mediators can affect nuclear receptors and transporters and then cause bile acid equilibrium disorder, increased cytokine secretion, and further exacerbated cholestasis, forming a positive regulation loop</w:t>
      </w:r>
      <w:r w:rsidRPr="00E754A5">
        <w:rPr>
          <w:rFonts w:ascii="Book Antiqua" w:eastAsia="Book Antiqua" w:hAnsi="Book Antiqua" w:cs="Book Antiqua"/>
          <w:color w:val="000000"/>
          <w:szCs w:val="30"/>
          <w:vertAlign w:val="superscript"/>
        </w:rPr>
        <w:t>[</w:t>
      </w:r>
      <w:hyperlink w:anchor="_ENREF_8" w:tooltip="Yu, 2016 #39" w:history="1">
        <w:r w:rsidRPr="00E754A5">
          <w:rPr>
            <w:rFonts w:ascii="Book Antiqua" w:eastAsia="Book Antiqua" w:hAnsi="Book Antiqua" w:cs="Book Antiqua"/>
            <w:color w:val="000000"/>
            <w:vertAlign w:val="superscript"/>
          </w:rPr>
          <w:t>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In patients with intrahepatic cholestasis of pregnancy </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ICP</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an increase in Th1-type cytokines and a decrease in Th2-type cytokines suggest the involvement of proinflammatory and cytotoxic Th1 biases in ICP</w:t>
      </w:r>
      <w:r w:rsidRPr="00E754A5">
        <w:rPr>
          <w:rFonts w:ascii="Book Antiqua" w:eastAsia="Book Antiqua" w:hAnsi="Book Antiqua" w:cs="Book Antiqua"/>
          <w:color w:val="000000"/>
          <w:szCs w:val="30"/>
          <w:vertAlign w:val="superscript"/>
        </w:rPr>
        <w:t>[</w:t>
      </w:r>
      <w:hyperlink w:anchor="_ENREF_11" w:tooltip="Peng, 2002 #16" w:history="1">
        <w:r w:rsidRPr="00E754A5">
          <w:rPr>
            <w:rFonts w:ascii="Book Antiqua" w:eastAsia="Book Antiqua" w:hAnsi="Book Antiqua" w:cs="Book Antiqua"/>
            <w:color w:val="000000"/>
            <w:vertAlign w:val="superscript"/>
          </w:rPr>
          <w:t>11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w:t>
      </w:r>
      <w:r w:rsidRPr="00E754A5">
        <w:rPr>
          <w:rFonts w:ascii="Book Antiqua" w:eastAsia="Book Antiqua" w:hAnsi="Book Antiqua" w:cs="Book Antiqua"/>
          <w:color w:val="000000"/>
        </w:rPr>
        <w:lastRenderedPageBreak/>
        <w:t>However, the impotency of corticosteroids in the treatment of cholestasis indicates that promising therapies or active agents are in heavy demand</w:t>
      </w:r>
      <w:r w:rsidRPr="00E754A5">
        <w:rPr>
          <w:rFonts w:ascii="Book Antiqua" w:eastAsia="Book Antiqua" w:hAnsi="Book Antiqua" w:cs="Book Antiqua"/>
          <w:color w:val="000000"/>
          <w:szCs w:val="30"/>
          <w:vertAlign w:val="superscript"/>
        </w:rPr>
        <w:t>[</w:t>
      </w:r>
      <w:hyperlink w:anchor="_ENREF_12" w:tooltip="Jin, 2013 #21" w:history="1">
        <w:r w:rsidRPr="00E754A5">
          <w:rPr>
            <w:rFonts w:ascii="Book Antiqua" w:eastAsia="Book Antiqua" w:hAnsi="Book Antiqua" w:cs="Book Antiqua"/>
            <w:color w:val="000000"/>
            <w:vertAlign w:val="superscript"/>
          </w:rPr>
          <w:t>12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w:t>
      </w:r>
    </w:p>
    <w:p w14:paraId="35BB704D"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Natural killer T (NKT) cells are one of the most abundant lymphocytes in the liver, and their role in cholestasis is noteworthy</w:t>
      </w:r>
      <w:r w:rsidRPr="00E754A5">
        <w:rPr>
          <w:rFonts w:ascii="Book Antiqua" w:eastAsia="Book Antiqua" w:hAnsi="Book Antiqua" w:cs="Book Antiqua"/>
          <w:color w:val="000000"/>
          <w:szCs w:val="30"/>
          <w:vertAlign w:val="superscript"/>
        </w:rPr>
        <w:t>[</w:t>
      </w:r>
      <w:hyperlink w:anchor="_ENREF_13" w:tooltip="Zou, 2021 #22" w:history="1">
        <w:r w:rsidRPr="00E754A5">
          <w:rPr>
            <w:rFonts w:ascii="Book Antiqua" w:eastAsia="Book Antiqua" w:hAnsi="Book Antiqua" w:cs="Book Antiqua"/>
            <w:color w:val="000000"/>
            <w:vertAlign w:val="superscript"/>
          </w:rPr>
          <w:t>13</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NKT cells behave similarly to conventional T cells and function as both effector and regulatory immune cells. Jα18</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mice are not prone to developing cholestatic liver injury after alpha-naphthylisothiocyanate (ANIT) administration due to the invariant NKT-cell (iNKT cell) knockout-related reduction in cytokines and the restored expression of transporters and bile acid metabolism enzymes</w:t>
      </w:r>
      <w:r w:rsidRPr="00E754A5">
        <w:rPr>
          <w:rFonts w:ascii="Book Antiqua" w:eastAsia="Book Antiqua" w:hAnsi="Book Antiqua" w:cs="Book Antiqua"/>
          <w:color w:val="000000"/>
          <w:szCs w:val="30"/>
          <w:vertAlign w:val="superscript"/>
        </w:rPr>
        <w:t>[</w:t>
      </w:r>
      <w:hyperlink w:anchor="_ENREF_14" w:tooltip="Nong, 2020 #51" w:history="1">
        <w:r w:rsidRPr="00E754A5">
          <w:rPr>
            <w:rFonts w:ascii="Book Antiqua" w:eastAsia="Book Antiqua" w:hAnsi="Book Antiqua" w:cs="Book Antiqua"/>
            <w:color w:val="000000"/>
            <w:vertAlign w:val="superscript"/>
          </w:rPr>
          <w:t>14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Recent work also demonstrated that IL-4 secreted by type 1 NKT cells (iNKT cells) may inhibit type 2 NKT cells and upregulate immunoregulators, affecting the expression of bile acid nuclear receptors, transporters, and CYP450 enzymes, thus exacerbating triptolide-induced cholestatic liver damage</w:t>
      </w:r>
      <w:r w:rsidRPr="00E754A5">
        <w:rPr>
          <w:rFonts w:ascii="Book Antiqua" w:eastAsia="Book Antiqua" w:hAnsi="Book Antiqua" w:cs="Book Antiqua"/>
          <w:color w:val="000000"/>
          <w:szCs w:val="30"/>
          <w:vertAlign w:val="superscript"/>
        </w:rPr>
        <w:t>[</w:t>
      </w:r>
      <w:hyperlink w:anchor="_ENREF_15" w:tooltip="Zou, 2020 #52" w:history="1">
        <w:r w:rsidRPr="00E754A5">
          <w:rPr>
            <w:rFonts w:ascii="Book Antiqua" w:eastAsia="Book Antiqua" w:hAnsi="Book Antiqua" w:cs="Book Antiqua"/>
            <w:color w:val="000000"/>
            <w:vertAlign w:val="superscript"/>
          </w:rPr>
          <w:t>15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However, Jα18</w:t>
      </w:r>
      <w:r w:rsidRPr="00E754A5">
        <w:rPr>
          <w:rFonts w:ascii="Book Antiqua" w:eastAsia="Book Antiqua" w:hAnsi="Book Antiqua" w:cs="Book Antiqua"/>
          <w:color w:val="000000"/>
          <w:szCs w:val="30"/>
          <w:vertAlign w:val="superscript"/>
        </w:rPr>
        <w:t>-/-</w:t>
      </w:r>
      <w:r w:rsidRPr="00E754A5">
        <w:rPr>
          <w:rFonts w:ascii="Book Antiqua" w:hAnsi="Book Antiqua" w:cs="Book Antiqua" w:hint="eastAsia"/>
          <w:color w:val="000000"/>
          <w:szCs w:val="30"/>
          <w:lang w:eastAsia="zh-CN"/>
        </w:rPr>
        <w:t xml:space="preserve"> </w:t>
      </w:r>
      <w:r w:rsidRPr="00E754A5">
        <w:rPr>
          <w:rFonts w:ascii="Book Antiqua" w:eastAsia="Book Antiqua" w:hAnsi="Book Antiqua" w:cs="Book Antiqua"/>
          <w:color w:val="000000"/>
        </w:rPr>
        <w:t>mice showed aggravation of liver damage after</w:t>
      </w:r>
      <w:r w:rsidRPr="00E754A5">
        <w:rPr>
          <w:rFonts w:ascii="Book Antiqua" w:eastAsia="Book Antiqua" w:hAnsi="Book Antiqua" w:cs="Book Antiqua"/>
          <w:color w:val="000000"/>
          <w:szCs w:val="21"/>
        </w:rPr>
        <w:t xml:space="preserve"> </w:t>
      </w:r>
      <w:r w:rsidRPr="00E754A5">
        <w:rPr>
          <w:rFonts w:ascii="Book Antiqua" w:eastAsia="Book Antiqua" w:hAnsi="Book Antiqua" w:cs="Book Antiqua"/>
          <w:color w:val="000000"/>
        </w:rPr>
        <w:t>bile duct ligation (BDL) surgery compared with wild-type mice due to the increase in neutrophils, chemokines and cytokines</w:t>
      </w:r>
      <w:r w:rsidRPr="00E754A5">
        <w:rPr>
          <w:rFonts w:ascii="Book Antiqua" w:eastAsia="Book Antiqua" w:hAnsi="Book Antiqua" w:cs="Book Antiqua"/>
          <w:color w:val="000000"/>
          <w:szCs w:val="30"/>
          <w:vertAlign w:val="superscript"/>
        </w:rPr>
        <w:t>[</w:t>
      </w:r>
      <w:hyperlink w:anchor="_ENREF_16" w:tooltip="Duwaerts, 2013 #53" w:history="1">
        <w:r w:rsidRPr="00E754A5">
          <w:rPr>
            <w:rFonts w:ascii="Book Antiqua" w:eastAsia="Book Antiqua" w:hAnsi="Book Antiqua" w:cs="Book Antiqua"/>
            <w:color w:val="000000"/>
            <w:vertAlign w:val="superscript"/>
          </w:rPr>
          <w:t>16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Moreover, knockout of the bile acid sensor FXR gene increases liver NKT cells and aggravates liver damage, indicating that FXR can regulate the activation of liver NKT cells</w:t>
      </w:r>
      <w:r w:rsidRPr="00E754A5">
        <w:rPr>
          <w:rFonts w:ascii="Book Antiqua" w:eastAsia="Book Antiqua" w:hAnsi="Book Antiqua" w:cs="Book Antiqua"/>
          <w:color w:val="000000"/>
          <w:szCs w:val="30"/>
          <w:vertAlign w:val="superscript"/>
        </w:rPr>
        <w:t>[</w:t>
      </w:r>
      <w:hyperlink w:anchor="_ENREF_17" w:tooltip="Mencarelli, 2009 #26" w:history="1">
        <w:r w:rsidRPr="00E754A5">
          <w:rPr>
            <w:rFonts w:ascii="Book Antiqua" w:eastAsia="Book Antiqua" w:hAnsi="Book Antiqua" w:cs="Book Antiqua"/>
            <w:color w:val="000000"/>
            <w:vertAlign w:val="superscript"/>
          </w:rPr>
          <w:t>17</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Certain antigens that can activate NKT cells exist in the bile of patients with chronic liver diseases</w:t>
      </w:r>
      <w:r w:rsidRPr="00E754A5">
        <w:rPr>
          <w:rFonts w:ascii="Book Antiqua" w:eastAsia="Book Antiqua" w:hAnsi="Book Antiqua" w:cs="Book Antiqua"/>
          <w:color w:val="000000"/>
          <w:szCs w:val="30"/>
          <w:vertAlign w:val="superscript"/>
        </w:rPr>
        <w:t>[</w:t>
      </w:r>
      <w:hyperlink w:anchor="_ENREF_18" w:tooltip="Valestrand, 2021 #7" w:history="1">
        <w:r w:rsidRPr="00E754A5">
          <w:rPr>
            <w:rFonts w:ascii="Book Antiqua" w:eastAsia="Book Antiqua" w:hAnsi="Book Antiqua" w:cs="Book Antiqua"/>
            <w:color w:val="000000"/>
            <w:vertAlign w:val="superscript"/>
          </w:rPr>
          <w:t>18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Thus, the aim of the present study was to investigate the effects and mechanisms of NKT cells in a murine model of EE-induced cholestatic hepatotoxicity. </w:t>
      </w:r>
    </w:p>
    <w:p w14:paraId="72D01409" w14:textId="77777777" w:rsidR="00E53200" w:rsidRPr="00E754A5" w:rsidRDefault="00E53200">
      <w:pPr>
        <w:spacing w:line="360" w:lineRule="auto"/>
        <w:ind w:firstLine="418"/>
        <w:jc w:val="both"/>
      </w:pPr>
    </w:p>
    <w:p w14:paraId="339D83D9"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t>MATERIALS AND METHODS</w:t>
      </w:r>
    </w:p>
    <w:p w14:paraId="3CD7E8EF" w14:textId="77777777" w:rsidR="00E53200" w:rsidRPr="00E754A5" w:rsidRDefault="00F70B62">
      <w:pPr>
        <w:spacing w:line="360" w:lineRule="auto"/>
        <w:jc w:val="both"/>
      </w:pPr>
      <w:r w:rsidRPr="00E754A5">
        <w:rPr>
          <w:rFonts w:ascii="Book Antiqua" w:eastAsia="Book Antiqua" w:hAnsi="Book Antiqua" w:cs="Book Antiqua"/>
          <w:b/>
          <w:bCs/>
          <w:i/>
          <w:iCs/>
          <w:color w:val="000000"/>
        </w:rPr>
        <w:t>Reagents</w:t>
      </w:r>
    </w:p>
    <w:p w14:paraId="420FEF24" w14:textId="77777777" w:rsidR="00E53200" w:rsidRPr="00E754A5" w:rsidRDefault="00F70B62">
      <w:pPr>
        <w:spacing w:line="360" w:lineRule="auto"/>
        <w:jc w:val="both"/>
      </w:pPr>
      <w:r w:rsidRPr="00E754A5">
        <w:rPr>
          <w:rFonts w:ascii="Book Antiqua" w:eastAsia="Book Antiqua" w:hAnsi="Book Antiqua" w:cs="Book Antiqua"/>
          <w:color w:val="000000"/>
        </w:rPr>
        <w:t xml:space="preserve">17α-EE </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CAS:57-63-6, batch number: E0037, contents &gt;</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 xml:space="preserve">98.0% (T) high performance liquid chromatography) was purchased from tcichemicals (Shanghai, China). EE was dissolved in an 80% 1,2-propylene glycol solution and diluted with physiological saline to a dosing concentration of 10 mg/kg before the experiment. Anti-CD16/32 antibody (clone: 2.4G2), which was used for blocking before staining, anti-CD3e-FITC antibody (clone: 145-2C11), anti-CD49b-APC antibody (clone: DX5), leukocyte activation cocktail with BD </w:t>
      </w:r>
      <w:r w:rsidRPr="00E754A5">
        <w:rPr>
          <w:rFonts w:ascii="Book Antiqua" w:eastAsia="Book Antiqua" w:hAnsi="Book Antiqua" w:cs="Book Antiqua"/>
          <w:color w:val="000000"/>
        </w:rPr>
        <w:lastRenderedPageBreak/>
        <w:t>GolgiPlug</w:t>
      </w:r>
      <w:r w:rsidRPr="00E754A5">
        <w:rPr>
          <w:rFonts w:ascii="Book Antiqua" w:eastAsia="Book Antiqua" w:hAnsi="Book Antiqua" w:cs="Book Antiqua"/>
          <w:color w:val="000000"/>
          <w:szCs w:val="30"/>
          <w:vertAlign w:val="superscript"/>
        </w:rPr>
        <w:t>TM</w:t>
      </w:r>
      <w:r w:rsidRPr="00E754A5">
        <w:rPr>
          <w:rFonts w:ascii="Book Antiqua" w:eastAsia="Book Antiqua" w:hAnsi="Book Antiqua" w:cs="Book Antiqua"/>
          <w:color w:val="000000"/>
        </w:rPr>
        <w:t>, anti-IFN-γ-PE antibody (clone: XMG1.2), and anti-IL-4-PE antibody (clone: 11B11) were purchased from BD Pharmingen (San Diego, CA, U</w:t>
      </w:r>
      <w:r w:rsidRPr="00E754A5">
        <w:rPr>
          <w:rFonts w:ascii="Book Antiqua" w:hAnsi="Book Antiqua" w:cs="Book Antiqua" w:hint="eastAsia"/>
          <w:color w:val="000000"/>
          <w:lang w:eastAsia="zh-CN"/>
        </w:rPr>
        <w:t>nited States</w:t>
      </w:r>
      <w:r w:rsidRPr="00E754A5">
        <w:rPr>
          <w:rFonts w:ascii="Book Antiqua" w:eastAsia="Book Antiqua" w:hAnsi="Book Antiqua" w:cs="Book Antiqua"/>
          <w:color w:val="000000"/>
        </w:rPr>
        <w:t xml:space="preserve">). </w:t>
      </w:r>
    </w:p>
    <w:p w14:paraId="78561B81" w14:textId="77777777" w:rsidR="00E53200" w:rsidRPr="00E754A5" w:rsidRDefault="00E53200">
      <w:pPr>
        <w:spacing w:line="360" w:lineRule="auto"/>
        <w:jc w:val="both"/>
      </w:pPr>
    </w:p>
    <w:p w14:paraId="1A6A257E" w14:textId="77777777" w:rsidR="00E53200" w:rsidRPr="00E754A5" w:rsidRDefault="00F70B62">
      <w:pPr>
        <w:spacing w:line="360" w:lineRule="auto"/>
        <w:jc w:val="both"/>
      </w:pPr>
      <w:r w:rsidRPr="00E754A5">
        <w:rPr>
          <w:rFonts w:ascii="Book Antiqua" w:eastAsia="Book Antiqua" w:hAnsi="Book Antiqua" w:cs="Book Antiqua"/>
          <w:b/>
          <w:bCs/>
          <w:i/>
          <w:iCs/>
          <w:color w:val="000000"/>
        </w:rPr>
        <w:t>Animals and treatment</w:t>
      </w:r>
    </w:p>
    <w:p w14:paraId="752D0F8A" w14:textId="77777777" w:rsidR="00E53200" w:rsidRPr="00E754A5" w:rsidRDefault="00F70B62">
      <w:pPr>
        <w:spacing w:line="360" w:lineRule="auto"/>
        <w:jc w:val="both"/>
      </w:pPr>
      <w:r w:rsidRPr="00E754A5">
        <w:rPr>
          <w:rFonts w:ascii="Book Antiqua" w:eastAsia="Book Antiqua" w:hAnsi="Book Antiqua" w:cs="Book Antiqua"/>
          <w:color w:val="000000"/>
        </w:rPr>
        <w:t>Male C57BL/6J mice (6</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8 wk of age and 18</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20</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g of weight) were obtained from SLAC Laboratory Animal Co., Ltd. (Shanghai, China). iNKT cell-deficient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on a C57BL/6 background (6 to 8 wk old) were kindly provided by Dr. Li Bai (University of Science and Technology of China). All mice were administered physiological saline or EE (10 mg/kg) subcutaneously (s.c.) for 14 continuous d. Each group contained 6 mice. All mice were maintained and bred under controlled conditions (pathogen-free, 22 ± 2 °C, 12:12-h light-dark regular photoperiod) with ad libitum mouse chow and water access. The animals were housed in the laboratory for 1 wk prior to experiments to acclimate. All procedures involved in this study were performed under the Ethical Committee of China Pharmaceutical University and the Laboratory Animal Management Committee of Jiangsu Province guidelines (Approval No.: 2021-10-003).</w:t>
      </w:r>
    </w:p>
    <w:p w14:paraId="5CBA06E2" w14:textId="77777777" w:rsidR="00E53200" w:rsidRPr="00E754A5" w:rsidRDefault="00E53200">
      <w:pPr>
        <w:spacing w:line="360" w:lineRule="auto"/>
        <w:jc w:val="both"/>
      </w:pPr>
    </w:p>
    <w:p w14:paraId="67A6FFB7" w14:textId="77777777" w:rsidR="00E53200" w:rsidRPr="00E754A5" w:rsidRDefault="00F70B62">
      <w:pPr>
        <w:spacing w:line="360" w:lineRule="auto"/>
        <w:jc w:val="both"/>
      </w:pPr>
      <w:bookmarkStart w:id="47" w:name="OLE_LINK17"/>
      <w:bookmarkStart w:id="48" w:name="OLE_LINK16"/>
      <w:r w:rsidRPr="00E754A5">
        <w:rPr>
          <w:rFonts w:ascii="Book Antiqua" w:eastAsia="Book Antiqua" w:hAnsi="Book Antiqua" w:cs="Book Antiqua"/>
          <w:b/>
          <w:bCs/>
          <w:i/>
          <w:iCs/>
          <w:color w:val="000000"/>
        </w:rPr>
        <w:t>Nonparenchymal cell</w:t>
      </w:r>
      <w:bookmarkEnd w:id="47"/>
      <w:bookmarkEnd w:id="48"/>
      <w:r w:rsidRPr="00E754A5">
        <w:rPr>
          <w:rFonts w:ascii="Book Antiqua" w:eastAsia="Book Antiqua" w:hAnsi="Book Antiqua" w:cs="Book Antiqua"/>
          <w:b/>
          <w:bCs/>
          <w:i/>
          <w:iCs/>
          <w:color w:val="000000"/>
        </w:rPr>
        <w:t xml:space="preserve"> isolation and labeling </w:t>
      </w:r>
    </w:p>
    <w:p w14:paraId="0CACF3BD" w14:textId="77777777" w:rsidR="00E53200" w:rsidRPr="00E754A5" w:rsidRDefault="00F70B62">
      <w:pPr>
        <w:spacing w:line="360" w:lineRule="auto"/>
        <w:jc w:val="both"/>
      </w:pPr>
      <w:r w:rsidRPr="00E754A5">
        <w:rPr>
          <w:rFonts w:ascii="Book Antiqua" w:eastAsia="Book Antiqua" w:hAnsi="Book Antiqua" w:cs="Book Antiqua"/>
          <w:color w:val="000000"/>
        </w:rPr>
        <w:t xml:space="preserve">After perfusing saline solution into the heart to eliminate blood, the mouse liver was minced through a 200-gauge nylon mesh and washed with cold PBS. After centrifugation at 50 × g for 2 min in the crude solution, the separated supernatant was centrifuged for another 10 min at 800 × g. The cell pellets were resuspended in 40% Percoll for centrifugation at 1250 × g for 15 min. After </w:t>
      </w:r>
      <w:r w:rsidRPr="00E754A5">
        <w:rPr>
          <w:rFonts w:ascii="Book Antiqua" w:hAnsi="Book Antiqua" w:cs="Book Antiqua" w:hint="eastAsia"/>
          <w:color w:val="000000"/>
          <w:lang w:eastAsia="zh-CN"/>
        </w:rPr>
        <w:t>n</w:t>
      </w:r>
      <w:r w:rsidRPr="00E754A5">
        <w:rPr>
          <w:rFonts w:ascii="Book Antiqua" w:eastAsia="Book Antiqua" w:hAnsi="Book Antiqua" w:cs="Book Antiqua"/>
          <w:color w:val="000000"/>
        </w:rPr>
        <w:t xml:space="preserve">onparenchymal cell </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NPC</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isolation from the cell pellets by red blood cell lysis solution (0.15 M NH4Cl and 0.1 mmol/L Na2EDTA) treatment and 2 washes, NPCs were stimulated with leukocyte activation cocktail for 4-5 h (BD Pharmingen).</w:t>
      </w:r>
    </w:p>
    <w:p w14:paraId="620F4E7C"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 xml:space="preserve">After stimulation, NPCs were blocked with anti-CD16/32 and then surface-labeled with </w:t>
      </w:r>
      <w:bookmarkStart w:id="49" w:name="OLE_LINK18"/>
      <w:bookmarkStart w:id="50" w:name="OLE_LINK19"/>
      <w:r w:rsidRPr="00E754A5">
        <w:rPr>
          <w:rFonts w:ascii="Book Antiqua" w:eastAsia="Book Antiqua" w:hAnsi="Book Antiqua" w:cs="Book Antiqua"/>
          <w:color w:val="000000"/>
        </w:rPr>
        <w:t>FITC</w:t>
      </w:r>
      <w:bookmarkEnd w:id="49"/>
      <w:bookmarkEnd w:id="50"/>
      <w:r w:rsidRPr="00E754A5">
        <w:rPr>
          <w:rFonts w:ascii="Book Antiqua" w:eastAsia="Book Antiqua" w:hAnsi="Book Antiqua" w:cs="Book Antiqua"/>
          <w:color w:val="000000"/>
        </w:rPr>
        <w:t xml:space="preserve">-conjugated anti-mouse CD3e and APC-CD49b antibodies. NPCs were permeabilized with Cytoﬁx/Cytoperm (Becton Dickinson) following the manufacturer’s instructions, and intracellular staining was performed by incubation with IFN-γ or IL-4 </w:t>
      </w:r>
      <w:r w:rsidRPr="00E754A5">
        <w:rPr>
          <w:rFonts w:ascii="Book Antiqua" w:eastAsia="Book Antiqua" w:hAnsi="Book Antiqua" w:cs="Book Antiqua"/>
          <w:color w:val="000000"/>
        </w:rPr>
        <w:lastRenderedPageBreak/>
        <w:t xml:space="preserve">antibodies. After each step, unbound antibodies were excluded from the system by centrifugation. Then, the cells were analyzed using a FACSCalibur flow cytometer (Becton Dickinson, Palo Alto, CA, </w:t>
      </w:r>
      <w:bookmarkStart w:id="51" w:name="OLE_LINK20"/>
      <w:r w:rsidRPr="00E754A5">
        <w:rPr>
          <w:rFonts w:ascii="Book Antiqua" w:eastAsia="Book Antiqua" w:hAnsi="Book Antiqua" w:cs="Book Antiqua"/>
          <w:color w:val="000000"/>
        </w:rPr>
        <w:t>U</w:t>
      </w:r>
      <w:r w:rsidRPr="00E754A5">
        <w:rPr>
          <w:rFonts w:ascii="Book Antiqua" w:hAnsi="Book Antiqua" w:cs="Book Antiqua" w:hint="eastAsia"/>
          <w:color w:val="000000"/>
          <w:lang w:eastAsia="zh-CN"/>
        </w:rPr>
        <w:t>nited States</w:t>
      </w:r>
      <w:bookmarkEnd w:id="51"/>
      <w:r w:rsidRPr="00E754A5">
        <w:rPr>
          <w:rFonts w:ascii="Book Antiqua" w:eastAsia="Book Antiqua" w:hAnsi="Book Antiqua" w:cs="Book Antiqua"/>
          <w:color w:val="000000"/>
        </w:rPr>
        <w:t>), with 50000 events recorded per tube. The results were processed using FlowJo version 10 software (FlowJo, Ashland, OR, U</w:t>
      </w:r>
      <w:r w:rsidRPr="00E754A5">
        <w:rPr>
          <w:rFonts w:ascii="Book Antiqua" w:hAnsi="Book Antiqua" w:cs="Book Antiqua" w:hint="eastAsia"/>
          <w:color w:val="000000"/>
          <w:lang w:eastAsia="zh-CN"/>
        </w:rPr>
        <w:t>nited States</w:t>
      </w:r>
      <w:r w:rsidRPr="00E754A5">
        <w:rPr>
          <w:rFonts w:ascii="Book Antiqua" w:eastAsia="Book Antiqua" w:hAnsi="Book Antiqua" w:cs="Book Antiqua"/>
          <w:color w:val="000000"/>
        </w:rPr>
        <w:t>). The gating strategy was as follows: first, NPCs were gated by FSC and SSC, followed by the gating of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or CD3e</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cells. 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IFN-γ</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IL-4</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or 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IFN-γ</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and 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IL-4</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 xml:space="preserve">cells were then gated and analyzed. </w:t>
      </w:r>
    </w:p>
    <w:p w14:paraId="0042C710" w14:textId="77777777" w:rsidR="00E53200" w:rsidRPr="00E754A5" w:rsidRDefault="00E53200">
      <w:pPr>
        <w:spacing w:line="360" w:lineRule="auto"/>
        <w:ind w:firstLine="418"/>
        <w:jc w:val="both"/>
      </w:pPr>
    </w:p>
    <w:p w14:paraId="1CDB6664" w14:textId="77777777" w:rsidR="00E53200" w:rsidRPr="00E754A5" w:rsidRDefault="00F70B62">
      <w:pPr>
        <w:spacing w:line="360" w:lineRule="auto"/>
        <w:jc w:val="both"/>
      </w:pPr>
      <w:r w:rsidRPr="00E754A5">
        <w:rPr>
          <w:rFonts w:ascii="Book Antiqua" w:eastAsia="Book Antiqua" w:hAnsi="Book Antiqua" w:cs="Book Antiqua"/>
          <w:b/>
          <w:bCs/>
          <w:i/>
          <w:iCs/>
          <w:color w:val="000000"/>
        </w:rPr>
        <w:t>Blood biochemical analysis</w:t>
      </w:r>
    </w:p>
    <w:p w14:paraId="27F3B8F0" w14:textId="77777777" w:rsidR="00E53200" w:rsidRPr="00E754A5" w:rsidRDefault="00F70B62">
      <w:pPr>
        <w:spacing w:line="360" w:lineRule="auto"/>
        <w:jc w:val="both"/>
        <w:rPr>
          <w:lang w:eastAsia="zh-CN"/>
        </w:rPr>
      </w:pPr>
      <w:r w:rsidRPr="00E754A5">
        <w:rPr>
          <w:rFonts w:ascii="Book Antiqua" w:eastAsia="Book Antiqua" w:hAnsi="Book Antiqua" w:cs="Book Antiqua"/>
          <w:color w:val="000000"/>
        </w:rPr>
        <w:t>Anticoagulant-free serum was collected and then analyzed for the levels of alkaline phosphatase (ALP), total bile acid (TBA), alanine transaminase (ALT), and aspartate transaminase (AST) using the ALP, ALT, and AST quantification kit (Whitman Biotech, Nanjing, China) and TBA quantification kit (Jiancheng Bioengineering Institute, Nanjing, China).</w:t>
      </w:r>
    </w:p>
    <w:p w14:paraId="4C0A904D" w14:textId="77777777" w:rsidR="00E53200" w:rsidRPr="00E754A5" w:rsidRDefault="00E53200">
      <w:pPr>
        <w:spacing w:line="360" w:lineRule="auto"/>
        <w:jc w:val="both"/>
      </w:pPr>
    </w:p>
    <w:p w14:paraId="4C4EADE4" w14:textId="77777777" w:rsidR="00E53200" w:rsidRPr="00E754A5" w:rsidRDefault="00F70B62">
      <w:pPr>
        <w:spacing w:line="360" w:lineRule="auto"/>
        <w:jc w:val="both"/>
      </w:pPr>
      <w:r w:rsidRPr="00E754A5">
        <w:rPr>
          <w:rFonts w:ascii="Book Antiqua" w:eastAsia="Book Antiqua" w:hAnsi="Book Antiqua" w:cs="Book Antiqua"/>
          <w:b/>
          <w:bCs/>
          <w:i/>
          <w:iCs/>
          <w:color w:val="000000"/>
        </w:rPr>
        <w:t>Histopathology and immunohistochemistry</w:t>
      </w:r>
    </w:p>
    <w:p w14:paraId="0171EE75" w14:textId="77777777" w:rsidR="00E53200" w:rsidRPr="00E754A5" w:rsidRDefault="00F70B62">
      <w:pPr>
        <w:spacing w:line="360" w:lineRule="auto"/>
        <w:jc w:val="both"/>
      </w:pPr>
      <w:r w:rsidRPr="00E754A5">
        <w:rPr>
          <w:rFonts w:ascii="Book Antiqua" w:eastAsia="Book Antiqua" w:hAnsi="Book Antiqua" w:cs="Book Antiqua"/>
          <w:color w:val="000000"/>
        </w:rPr>
        <w:t xml:space="preserve">The liver lobules were ﬁxed, parafﬁn embedded, sectioned, and stained with hematoxylin and eosin for histopathological examination. Slides were coded, randomized, and assessed by pathologists who, during the evaluation of the slides, were blinded to the treatment groups. Scoring for liver injury was conducted according to the following criteria: no hepatocellular necrosis, proliferation of pseudocholangiolar duct, or inflammatory cell infiltration, 0; mild, 1; moderate, 2; severe, 3. The other sections were subjected to IHC for semiquantification of the expression of </w:t>
      </w:r>
      <w:bookmarkStart w:id="52" w:name="OLE_LINK43"/>
      <w:bookmarkStart w:id="53" w:name="OLE_LINK42"/>
      <w:r w:rsidRPr="00E754A5">
        <w:rPr>
          <w:rFonts w:ascii="Book Antiqua" w:hAnsi="Book Antiqua" w:cs="Book Antiqua" w:hint="eastAsia"/>
          <w:color w:val="000000"/>
          <w:lang w:eastAsia="zh-CN"/>
        </w:rPr>
        <w:t>t</w:t>
      </w:r>
      <w:r w:rsidRPr="00E754A5">
        <w:rPr>
          <w:rFonts w:ascii="Book Antiqua" w:eastAsia="Book Antiqua" w:hAnsi="Book Antiqua" w:cs="Book Antiqua"/>
          <w:color w:val="000000"/>
        </w:rPr>
        <w:t>oll-like receptor</w:t>
      </w:r>
      <w:bookmarkEnd w:id="52"/>
      <w:bookmarkEnd w:id="53"/>
      <w:r w:rsidRPr="00E754A5">
        <w:rPr>
          <w:rFonts w:ascii="Book Antiqua" w:eastAsia="Book Antiqua" w:hAnsi="Book Antiqua" w:cs="Book Antiqua"/>
          <w:color w:val="000000"/>
        </w:rPr>
        <w:t xml:space="preserve"> (TLR) 9 (Novus, 26C593.2, dilution percentage: 1:200).</w:t>
      </w:r>
    </w:p>
    <w:p w14:paraId="0AD59DD4" w14:textId="77777777" w:rsidR="00E53200" w:rsidRPr="00E754A5" w:rsidRDefault="00E53200">
      <w:pPr>
        <w:spacing w:line="360" w:lineRule="auto"/>
        <w:jc w:val="both"/>
      </w:pPr>
    </w:p>
    <w:p w14:paraId="40147EA5" w14:textId="77777777" w:rsidR="00E53200" w:rsidRPr="00E754A5" w:rsidRDefault="00F70B62">
      <w:pPr>
        <w:spacing w:line="360" w:lineRule="auto"/>
        <w:jc w:val="both"/>
      </w:pPr>
      <w:r w:rsidRPr="00E754A5">
        <w:rPr>
          <w:rFonts w:ascii="Book Antiqua" w:eastAsia="Book Antiqua" w:hAnsi="Book Antiqua" w:cs="Book Antiqua"/>
          <w:b/>
          <w:bCs/>
          <w:i/>
          <w:iCs/>
          <w:color w:val="000000"/>
        </w:rPr>
        <w:t>RNA extraction and real-time polymerase chain reaction</w:t>
      </w:r>
    </w:p>
    <w:p w14:paraId="6D4B60DC" w14:textId="77777777" w:rsidR="00E53200" w:rsidRPr="00E754A5" w:rsidRDefault="00F70B62">
      <w:pPr>
        <w:spacing w:line="360" w:lineRule="auto"/>
        <w:jc w:val="both"/>
      </w:pPr>
      <w:r w:rsidRPr="00E754A5">
        <w:rPr>
          <w:rFonts w:ascii="Book Antiqua" w:eastAsia="Book Antiqua" w:hAnsi="Book Antiqua" w:cs="Book Antiqua"/>
          <w:color w:val="000000"/>
        </w:rPr>
        <w:t>RNA was extracted from liver sections by TRIzol reagent (Vazyme Biotech, Nanjing, China). Isolated RNA was processed by the HiScript</w:t>
      </w:r>
      <w:r w:rsidRPr="00E754A5">
        <w:rPr>
          <w:rFonts w:ascii="Book Antiqua" w:eastAsia="Book Antiqua" w:hAnsi="Book Antiqua" w:cs="Book Antiqua"/>
          <w:color w:val="000000"/>
          <w:szCs w:val="30"/>
          <w:vertAlign w:val="superscript"/>
        </w:rPr>
        <w:t>TM</w:t>
      </w:r>
      <w:r w:rsidRPr="00E754A5">
        <w:rPr>
          <w:rFonts w:ascii="Book Antiqua" w:eastAsia="Book Antiqua" w:hAnsi="Book Antiqua" w:cs="Book Antiqua"/>
          <w:color w:val="000000"/>
        </w:rPr>
        <w:t xml:space="preserve"> Q RT SuperMix for </w:t>
      </w:r>
      <w:r w:rsidRPr="00E754A5">
        <w:rPr>
          <w:rFonts w:ascii="Book Antiqua" w:hAnsi="Book Antiqua" w:cs="Book Antiqua" w:hint="eastAsia"/>
          <w:color w:val="000000"/>
          <w:lang w:eastAsia="zh-CN"/>
        </w:rPr>
        <w:t>q</w:t>
      </w:r>
      <w:r w:rsidRPr="00E754A5">
        <w:rPr>
          <w:rFonts w:ascii="Book Antiqua" w:eastAsia="Book Antiqua" w:hAnsi="Book Antiqua" w:cs="Book Antiqua"/>
          <w:color w:val="000000"/>
        </w:rPr>
        <w:t xml:space="preserve">uantitative </w:t>
      </w:r>
      <w:bookmarkStart w:id="54" w:name="OLE_LINK48"/>
      <w:bookmarkStart w:id="55" w:name="OLE_LINK49"/>
      <w:r w:rsidRPr="00E754A5">
        <w:rPr>
          <w:rFonts w:ascii="Book Antiqua" w:eastAsia="Book Antiqua" w:hAnsi="Book Antiqua" w:cs="Book Antiqua"/>
          <w:color w:val="000000"/>
        </w:rPr>
        <w:t>polymerase chain reaction</w:t>
      </w:r>
      <w:bookmarkEnd w:id="54"/>
      <w:bookmarkEnd w:id="55"/>
      <w:r w:rsidRPr="00E754A5">
        <w:rPr>
          <w:rFonts w:ascii="Book Antiqua" w:eastAsia="Book Antiqua" w:hAnsi="Book Antiqua" w:cs="Book Antiqua"/>
          <w:color w:val="000000"/>
        </w:rPr>
        <w:t xml:space="preserve"> (</w:t>
      </w:r>
      <w:r w:rsidRPr="00E754A5">
        <w:rPr>
          <w:rFonts w:ascii="Book Antiqua" w:hAnsi="Book Antiqua" w:cs="Book Antiqua" w:hint="eastAsia"/>
          <w:color w:val="000000"/>
          <w:lang w:eastAsia="zh-CN"/>
        </w:rPr>
        <w:t>q</w:t>
      </w:r>
      <w:r w:rsidRPr="00E754A5">
        <w:rPr>
          <w:rFonts w:ascii="Book Antiqua" w:eastAsia="Book Antiqua" w:hAnsi="Book Antiqua" w:cs="Book Antiqua"/>
          <w:color w:val="000000"/>
        </w:rPr>
        <w:t xml:space="preserve">PCR) (+ gDNA wiper) kit (Vazyme Biotech) for cDNA </w:t>
      </w:r>
      <w:r w:rsidRPr="00E754A5">
        <w:rPr>
          <w:rFonts w:ascii="Book Antiqua" w:eastAsia="Book Antiqua" w:hAnsi="Book Antiqua" w:cs="Book Antiqua"/>
          <w:color w:val="000000"/>
        </w:rPr>
        <w:lastRenderedPageBreak/>
        <w:t>synthesis. A 20 μL real-time PCR system was prepared according to the</w:t>
      </w:r>
      <w:r w:rsidRPr="00E754A5">
        <w:rPr>
          <w:rFonts w:ascii="Book Antiqua" w:eastAsia="Book Antiqua" w:hAnsi="Book Antiqua" w:cs="Book Antiqua"/>
          <w:color w:val="000000"/>
          <w:szCs w:val="21"/>
        </w:rPr>
        <w:t xml:space="preserve"> </w:t>
      </w:r>
      <w:r w:rsidRPr="00E754A5">
        <w:rPr>
          <w:rFonts w:ascii="Book Antiqua" w:eastAsia="Book Antiqua" w:hAnsi="Book Antiqua" w:cs="Book Antiqua"/>
          <w:color w:val="000000"/>
        </w:rPr>
        <w:t xml:space="preserve">manufacturer’s instructions. The mRNA levels were normalized to the housekeeping gene </w:t>
      </w:r>
      <w:r w:rsidRPr="00E754A5">
        <w:rPr>
          <w:rFonts w:ascii="Book Antiqua" w:eastAsia="Book Antiqua" w:hAnsi="Book Antiqua" w:cs="Book Antiqua"/>
          <w:i/>
          <w:iCs/>
          <w:color w:val="000000"/>
        </w:rPr>
        <w:t>Gapdh</w:t>
      </w:r>
      <w:r w:rsidRPr="00E754A5">
        <w:rPr>
          <w:rFonts w:ascii="Book Antiqua" w:eastAsia="Book Antiqua" w:hAnsi="Book Antiqua" w:cs="Book Antiqua"/>
          <w:color w:val="000000"/>
        </w:rPr>
        <w:t>. The primer sequences used are shown in Table</w:t>
      </w:r>
      <w:r w:rsidRPr="00E754A5">
        <w:rPr>
          <w:rFonts w:ascii="Book Antiqua" w:hAnsi="Book Antiqua" w:cs="Book Antiqua" w:hint="eastAsia"/>
          <w:color w:val="000000"/>
          <w:lang w:eastAsia="zh-CN"/>
        </w:rPr>
        <w:t xml:space="preserve"> 1</w:t>
      </w:r>
      <w:r w:rsidRPr="00E754A5">
        <w:rPr>
          <w:rFonts w:ascii="Book Antiqua" w:eastAsia="Book Antiqua" w:hAnsi="Book Antiqua" w:cs="Book Antiqua"/>
          <w:color w:val="000000"/>
        </w:rPr>
        <w:t>.</w:t>
      </w:r>
    </w:p>
    <w:p w14:paraId="7FCFC311" w14:textId="77777777" w:rsidR="00E53200" w:rsidRPr="00E754A5" w:rsidRDefault="00E53200">
      <w:pPr>
        <w:spacing w:line="360" w:lineRule="auto"/>
        <w:jc w:val="both"/>
      </w:pPr>
    </w:p>
    <w:p w14:paraId="607B59C9" w14:textId="77777777" w:rsidR="00E53200" w:rsidRPr="00E754A5" w:rsidRDefault="00F70B62">
      <w:pPr>
        <w:spacing w:line="360" w:lineRule="auto"/>
        <w:jc w:val="both"/>
      </w:pPr>
      <w:r w:rsidRPr="00E754A5">
        <w:rPr>
          <w:rFonts w:ascii="Book Antiqua" w:eastAsia="Book Antiqua" w:hAnsi="Book Antiqua" w:cs="Book Antiqua"/>
          <w:b/>
          <w:bCs/>
          <w:i/>
          <w:iCs/>
          <w:color w:val="000000"/>
        </w:rPr>
        <w:t xml:space="preserve">Statistical </w:t>
      </w:r>
      <w:r w:rsidRPr="00E754A5">
        <w:rPr>
          <w:rFonts w:ascii="Book Antiqua" w:hAnsi="Book Antiqua" w:cs="Book Antiqua" w:hint="eastAsia"/>
          <w:b/>
          <w:bCs/>
          <w:i/>
          <w:iCs/>
          <w:color w:val="000000"/>
          <w:lang w:eastAsia="zh-CN"/>
        </w:rPr>
        <w:t>a</w:t>
      </w:r>
      <w:r w:rsidRPr="00E754A5">
        <w:rPr>
          <w:rFonts w:ascii="Book Antiqua" w:eastAsia="Book Antiqua" w:hAnsi="Book Antiqua" w:cs="Book Antiqua"/>
          <w:b/>
          <w:bCs/>
          <w:i/>
          <w:iCs/>
          <w:color w:val="000000"/>
        </w:rPr>
        <w:t>nalysis</w:t>
      </w:r>
    </w:p>
    <w:p w14:paraId="77306289" w14:textId="77777777" w:rsidR="00E53200" w:rsidRPr="00E754A5" w:rsidRDefault="00F70B62">
      <w:pPr>
        <w:spacing w:line="360" w:lineRule="auto"/>
        <w:jc w:val="both"/>
      </w:pPr>
      <w:r w:rsidRPr="00E754A5">
        <w:rPr>
          <w:rFonts w:ascii="Book Antiqua" w:eastAsia="Book Antiqua" w:hAnsi="Book Antiqua" w:cs="Book Antiqua"/>
          <w:color w:val="000000"/>
        </w:rPr>
        <w:t xml:space="preserve">Values are expressed as the means ± SE. The groups were evaluated using Student’s </w:t>
      </w:r>
      <w:r w:rsidRPr="00E754A5">
        <w:rPr>
          <w:rFonts w:ascii="Book Antiqua" w:eastAsia="Book Antiqua" w:hAnsi="Book Antiqua" w:cs="Book Antiqua"/>
          <w:i/>
          <w:color w:val="000000"/>
        </w:rPr>
        <w:t>t</w:t>
      </w:r>
      <w:r w:rsidRPr="00E754A5">
        <w:rPr>
          <w:rFonts w:ascii="Book Antiqua" w:eastAsia="Book Antiqua" w:hAnsi="Book Antiqua" w:cs="Book Antiqua"/>
          <w:color w:val="000000"/>
        </w:rPr>
        <w:t xml:space="preserve"> test. A </w:t>
      </w:r>
      <w:r w:rsidRPr="00E754A5">
        <w:rPr>
          <w:rFonts w:ascii="Book Antiqua" w:eastAsia="Book Antiqua" w:hAnsi="Book Antiqua" w:cs="Book Antiqua"/>
          <w:i/>
          <w:iCs/>
          <w:color w:val="000000"/>
        </w:rPr>
        <w:t>P</w:t>
      </w:r>
      <w:r w:rsidRPr="00E754A5">
        <w:rPr>
          <w:rFonts w:ascii="Book Antiqua" w:eastAsia="Book Antiqua" w:hAnsi="Book Antiqua" w:cs="Book Antiqua"/>
          <w:color w:val="000000"/>
        </w:rPr>
        <w:t xml:space="preserve"> value &lt; 0.05 was considered statistically signiﬁcant.</w:t>
      </w:r>
    </w:p>
    <w:p w14:paraId="16411EE7" w14:textId="77777777" w:rsidR="00E53200" w:rsidRPr="00E754A5" w:rsidRDefault="00E53200">
      <w:pPr>
        <w:spacing w:line="360" w:lineRule="auto"/>
        <w:ind w:firstLine="418"/>
        <w:jc w:val="both"/>
      </w:pPr>
    </w:p>
    <w:p w14:paraId="5B4B4494"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t>RESULTS</w:t>
      </w:r>
    </w:p>
    <w:p w14:paraId="7192D899" w14:textId="77777777" w:rsidR="00E53200" w:rsidRPr="00E754A5" w:rsidRDefault="00F70B62">
      <w:pPr>
        <w:spacing w:line="360" w:lineRule="auto"/>
        <w:jc w:val="both"/>
      </w:pPr>
      <w:r w:rsidRPr="00E754A5">
        <w:rPr>
          <w:rFonts w:ascii="Book Antiqua" w:eastAsia="Book Antiqua" w:hAnsi="Book Antiqua" w:cs="Book Antiqua"/>
          <w:b/>
          <w:bCs/>
          <w:i/>
          <w:iCs/>
          <w:color w:val="000000"/>
        </w:rPr>
        <w:t>EE promotes hepatic NKT-cell proliferation along with biased Th1 cytokine production</w:t>
      </w:r>
    </w:p>
    <w:p w14:paraId="298C68EF" w14:textId="77777777" w:rsidR="00E53200" w:rsidRPr="00E754A5" w:rsidRDefault="00F70B62">
      <w:pPr>
        <w:spacing w:line="360" w:lineRule="auto"/>
        <w:jc w:val="both"/>
      </w:pPr>
      <w:r w:rsidRPr="00E754A5">
        <w:rPr>
          <w:rFonts w:ascii="Book Antiqua" w:eastAsia="Book Antiqua" w:hAnsi="Book Antiqua" w:cs="Book Antiqua"/>
          <w:color w:val="000000"/>
        </w:rPr>
        <w:t>Increased activation of NKT cells, T cells, or NK cells has been reported to contribute to the pathophysiology of cholestasis</w:t>
      </w:r>
      <w:r w:rsidRPr="00E754A5">
        <w:rPr>
          <w:rFonts w:ascii="Book Antiqua" w:eastAsia="Book Antiqua" w:hAnsi="Book Antiqua" w:cs="Book Antiqua"/>
          <w:color w:val="000000"/>
          <w:szCs w:val="30"/>
          <w:vertAlign w:val="superscript"/>
        </w:rPr>
        <w:t>[</w:t>
      </w:r>
      <w:hyperlink w:anchor="_ENREF_15" w:tooltip="Zou, 2020 #52" w:history="1">
        <w:r w:rsidRPr="00E754A5">
          <w:rPr>
            <w:rFonts w:ascii="Book Antiqua" w:eastAsia="Book Antiqua" w:hAnsi="Book Antiqua" w:cs="Book Antiqua"/>
            <w:color w:val="000000"/>
            <w:vertAlign w:val="superscript"/>
          </w:rPr>
          <w:t>15</w:t>
        </w:r>
      </w:hyperlink>
      <w:r w:rsidRPr="00E754A5">
        <w:rPr>
          <w:rFonts w:ascii="Book Antiqua" w:eastAsia="Book Antiqua" w:hAnsi="Book Antiqua" w:cs="Book Antiqua"/>
          <w:color w:val="000000"/>
          <w:vertAlign w:val="superscript"/>
        </w:rPr>
        <w:t>,</w:t>
      </w:r>
      <w:hyperlink w:anchor="_ENREF_19" w:tooltip="Sun, 2021 #29" w:history="1">
        <w:r w:rsidRPr="00E754A5">
          <w:rPr>
            <w:rFonts w:ascii="Book Antiqua" w:eastAsia="Book Antiqua" w:hAnsi="Book Antiqua" w:cs="Book Antiqua"/>
            <w:color w:val="000000"/>
            <w:vertAlign w:val="superscript"/>
          </w:rPr>
          <w:t>19</w:t>
        </w:r>
      </w:hyperlink>
      <w:r w:rsidRPr="00E754A5">
        <w:rPr>
          <w:rFonts w:ascii="Book Antiqua" w:eastAsia="Book Antiqua" w:hAnsi="Book Antiqua" w:cs="Book Antiqua"/>
          <w:color w:val="000000"/>
          <w:vertAlign w:val="superscript"/>
        </w:rPr>
        <w:t>,</w:t>
      </w:r>
      <w:hyperlink w:anchor="_ENREF_20" w:tooltip="Hydes, 2019 #30" w:history="1">
        <w:r w:rsidRPr="00E754A5">
          <w:rPr>
            <w:rFonts w:ascii="Book Antiqua" w:eastAsia="Book Antiqua" w:hAnsi="Book Antiqua" w:cs="Book Antiqua"/>
            <w:color w:val="000000"/>
            <w:vertAlign w:val="superscript"/>
          </w:rPr>
          <w:t>20</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Here, we measured and analyzed their percentages and Th1/Th2 cytokine production to evaluate their activation. Hepatic NKT cells,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T cells (excluding NKT cells) and NK cells were defined as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(Figure 1A upper right),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(Figure 1A lower right), and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(Figure 1A upper left),</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respectively. After EE administration, the percentage of hepatic NKT cells expanded more than 3-fold compared with the control group, while the frequencies of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T cells and NK cells showed no significant changes (Figure 1A-D). Both IFN-γ and IL-4 secreted from NKT cells increased, which further indicated NKT-cell activation. Moreover, the upregulated Th1/Th2 ratios indicated that a skewed hepatic Th1 immune response was due to NKT cells (Figure 1E–I). Compared with the control group, IL-4 secreted by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 xml:space="preserve">T cells and NK cells increased, and their IFN-γ secretion and Th1/Th2 ratios remained unaltered (Figure 1J–Q). </w:t>
      </w:r>
    </w:p>
    <w:p w14:paraId="0AA25C57" w14:textId="77777777" w:rsidR="00E53200" w:rsidRPr="00E754A5" w:rsidRDefault="00E53200">
      <w:pPr>
        <w:spacing w:line="360" w:lineRule="auto"/>
        <w:jc w:val="both"/>
      </w:pPr>
    </w:p>
    <w:p w14:paraId="11BD1BF9" w14:textId="77777777" w:rsidR="00E53200" w:rsidRPr="00E754A5" w:rsidRDefault="00F70B62">
      <w:pPr>
        <w:spacing w:line="360" w:lineRule="auto"/>
        <w:jc w:val="both"/>
      </w:pPr>
      <w:r w:rsidRPr="00E754A5">
        <w:rPr>
          <w:rFonts w:ascii="Book Antiqua" w:eastAsia="Book Antiqua" w:hAnsi="Book Antiqua" w:cs="Book Antiqua"/>
          <w:b/>
          <w:bCs/>
          <w:i/>
          <w:iCs/>
          <w:color w:val="000000"/>
        </w:rPr>
        <w:t>iNKT cells exacerbate EE-induced cholestatic liver damage</w:t>
      </w:r>
    </w:p>
    <w:p w14:paraId="1EE6D2EF" w14:textId="77777777" w:rsidR="00E53200" w:rsidRPr="00E754A5" w:rsidRDefault="00F70B62">
      <w:pPr>
        <w:spacing w:line="360" w:lineRule="auto"/>
        <w:jc w:val="both"/>
      </w:pPr>
      <w:r w:rsidRPr="00E754A5">
        <w:rPr>
          <w:rFonts w:ascii="Book Antiqua" w:eastAsia="Book Antiqua" w:hAnsi="Book Antiqua" w:cs="Book Antiqua"/>
          <w:color w:val="000000"/>
        </w:rPr>
        <w:t>For further investigation of the NKT-cell effect, cholestatic liver injury was compared between iNKT cell knockout mice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and C57BL/6J mice after EE administration. Compared with the control group, EE induced increased levels of ALP, TBA, ALT, and AST in C57BL/6J mice. Compared with C57BL/6J mice,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w:t>
      </w:r>
      <w:r w:rsidRPr="00E754A5">
        <w:rPr>
          <w:rFonts w:ascii="Book Antiqua" w:eastAsia="Book Antiqua" w:hAnsi="Book Antiqua" w:cs="Book Antiqua"/>
          <w:color w:val="000000"/>
        </w:rPr>
        <w:lastRenderedPageBreak/>
        <w:t>demonstrated significantly lower levels of ALP, TBA, ALT, and AST (Figure 2A</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D). Based on the scoring criteria</w:t>
      </w:r>
      <w:r w:rsidRPr="00E754A5">
        <w:rPr>
          <w:rFonts w:ascii="Book Antiqua" w:eastAsia="Book Antiqua" w:hAnsi="Book Antiqua" w:cs="Book Antiqua"/>
          <w:color w:val="000000"/>
          <w:szCs w:val="30"/>
          <w:vertAlign w:val="superscript"/>
        </w:rPr>
        <w:t>[</w:t>
      </w:r>
      <w:hyperlink w:anchor="_ENREF_21" w:tooltip="Zhang, 2018 #42" w:history="1">
        <w:r w:rsidRPr="00E754A5">
          <w:rPr>
            <w:rFonts w:ascii="Book Antiqua" w:eastAsia="Book Antiqua" w:hAnsi="Book Antiqua" w:cs="Book Antiqua"/>
            <w:color w:val="000000"/>
            <w:vertAlign w:val="superscript"/>
          </w:rPr>
          <w:t>21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 histopathological and hepatic injury score results showed proliferation of pseudocholangiolar duct (yellow arrows), inflammatory cell infiltration (red arrows) and hepatocyte necrosis (black arrows) after EE treatment, whereas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exhibited reduced proliferation of the pseudocholangiolar duct, inflammatory cell infiltration, and necrosis (Figure 2E</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G). These results showed that iNKT cell-deficient mice can inhibit the development of cholestatic hepatotoxicity induced by EE, indicating a pathogenic effect exerted by iNKT cells on EE-induced cholestatic liver damage.</w:t>
      </w:r>
    </w:p>
    <w:p w14:paraId="1836EC80" w14:textId="77777777" w:rsidR="00E53200" w:rsidRPr="00E754A5" w:rsidRDefault="00E53200">
      <w:pPr>
        <w:spacing w:line="360" w:lineRule="auto"/>
        <w:jc w:val="both"/>
      </w:pPr>
    </w:p>
    <w:p w14:paraId="0E1B9D88" w14:textId="77777777" w:rsidR="00E53200" w:rsidRPr="00E754A5" w:rsidRDefault="00F70B62">
      <w:pPr>
        <w:spacing w:line="360" w:lineRule="auto"/>
        <w:jc w:val="both"/>
      </w:pPr>
      <w:r w:rsidRPr="00E754A5">
        <w:rPr>
          <w:rFonts w:ascii="Book Antiqua" w:eastAsia="Book Antiqua" w:hAnsi="Book Antiqua" w:cs="Book Antiqua"/>
          <w:b/>
          <w:bCs/>
          <w:i/>
          <w:iCs/>
          <w:color w:val="000000"/>
        </w:rPr>
        <w:t>i</w:t>
      </w:r>
      <w:r w:rsidRPr="00E754A5">
        <w:rPr>
          <w:rStyle w:val="tlid-translation"/>
          <w:rFonts w:ascii="Book Antiqua" w:eastAsia="Book Antiqua" w:hAnsi="Book Antiqua" w:cs="Book Antiqua"/>
          <w:b/>
          <w:bCs/>
          <w:i/>
          <w:iCs/>
          <w:color w:val="000000"/>
        </w:rPr>
        <w:t>NKT cell deficiency lowers the hepatic expression of chemokine/chemokine receptors</w:t>
      </w:r>
    </w:p>
    <w:p w14:paraId="54771244" w14:textId="77777777" w:rsidR="00E53200" w:rsidRPr="00E754A5" w:rsidRDefault="00F70B62">
      <w:pPr>
        <w:spacing w:line="360" w:lineRule="auto"/>
        <w:jc w:val="both"/>
      </w:pPr>
      <w:r w:rsidRPr="00E754A5">
        <w:rPr>
          <w:rFonts w:ascii="Book Antiqua" w:eastAsia="Book Antiqua" w:hAnsi="Book Antiqua" w:cs="Book Antiqua"/>
          <w:color w:val="000000"/>
        </w:rPr>
        <w:t>CXCR6, the receptor for chemokine CXCL16, is expressed on the surface of several hepatic lymphocytes, including NKT cells. The CXCR6-dependent infiltration of NKT cells into the liver induces enhanced inflammation in a murine model of chronic hepatic damage</w:t>
      </w:r>
      <w:r w:rsidRPr="00E754A5">
        <w:rPr>
          <w:rFonts w:ascii="Book Antiqua" w:eastAsia="Book Antiqua" w:hAnsi="Book Antiqua" w:cs="Book Antiqua"/>
          <w:color w:val="000000"/>
          <w:szCs w:val="30"/>
          <w:vertAlign w:val="superscript"/>
        </w:rPr>
        <w:t>[</w:t>
      </w:r>
      <w:hyperlink w:anchor="_ENREF_22" w:tooltip="Wehr, 2013 #29" w:history="1">
        <w:r w:rsidRPr="00E754A5">
          <w:rPr>
            <w:rFonts w:ascii="Book Antiqua" w:eastAsia="Book Antiqua" w:hAnsi="Book Antiqua" w:cs="Book Antiqua"/>
            <w:color w:val="000000"/>
            <w:vertAlign w:val="superscript"/>
          </w:rPr>
          <w:t>22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The qPCR results showed that EE promoted the hepatic mRNA expression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 xml:space="preserve"> in C57BL/6J mice. Compared with C57BL/6J mice, iNKT cell deficiency significantly suppressed the mRNA expression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 which may be related to the absence of the need for hepatic recruitment of NKT cells (Figure 3).</w:t>
      </w:r>
    </w:p>
    <w:p w14:paraId="7704ACD1" w14:textId="77777777" w:rsidR="00E53200" w:rsidRPr="00E754A5" w:rsidRDefault="00E53200">
      <w:pPr>
        <w:spacing w:line="360" w:lineRule="auto"/>
        <w:jc w:val="both"/>
      </w:pPr>
    </w:p>
    <w:p w14:paraId="0966C045" w14:textId="77777777" w:rsidR="00E53200" w:rsidRPr="00E754A5" w:rsidRDefault="00F70B62">
      <w:pPr>
        <w:spacing w:line="360" w:lineRule="auto"/>
        <w:jc w:val="both"/>
      </w:pPr>
      <w:r w:rsidRPr="00E754A5">
        <w:rPr>
          <w:rFonts w:ascii="Book Antiqua" w:eastAsia="Book Antiqua" w:hAnsi="Book Antiqua" w:cs="Book Antiqua"/>
          <w:b/>
          <w:bCs/>
          <w:i/>
          <w:iCs/>
          <w:color w:val="000000"/>
        </w:rPr>
        <w:t>Absence of iNKT cells alters the expression of TLRs and associated signaling pathways</w:t>
      </w:r>
    </w:p>
    <w:p w14:paraId="45EAD1BC" w14:textId="77777777" w:rsidR="00E53200" w:rsidRPr="00E754A5" w:rsidRDefault="00F70B62">
      <w:pPr>
        <w:spacing w:line="360" w:lineRule="auto"/>
        <w:jc w:val="both"/>
      </w:pPr>
      <w:r w:rsidRPr="00E754A5">
        <w:rPr>
          <w:rFonts w:ascii="Book Antiqua" w:eastAsia="Book Antiqua" w:hAnsi="Book Antiqua" w:cs="Book Antiqua"/>
          <w:color w:val="000000"/>
        </w:rPr>
        <w:t>Accumulating evidence suggests that TLRs contribute to the development of hepatobiliary damage</w:t>
      </w:r>
      <w:r w:rsidRPr="00E754A5">
        <w:rPr>
          <w:rFonts w:ascii="Book Antiqua" w:eastAsia="Book Antiqua" w:hAnsi="Book Antiqua" w:cs="Book Antiqua"/>
          <w:color w:val="000000"/>
          <w:szCs w:val="30"/>
          <w:vertAlign w:val="superscript"/>
        </w:rPr>
        <w:t>[</w:t>
      </w:r>
      <w:hyperlink w:anchor="_ENREF_23" w:tooltip="Liu, 2019 #32" w:history="1">
        <w:r w:rsidRPr="00E754A5">
          <w:rPr>
            <w:rFonts w:ascii="Book Antiqua" w:eastAsia="Book Antiqua" w:hAnsi="Book Antiqua" w:cs="Book Antiqua"/>
            <w:color w:val="000000"/>
            <w:vertAlign w:val="superscript"/>
          </w:rPr>
          <w:t>23</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TLRs have also been reported to contribute to the activation and subsequent cytokine production of NKT cells</w:t>
      </w:r>
      <w:r w:rsidRPr="00E754A5">
        <w:rPr>
          <w:rFonts w:ascii="Book Antiqua" w:eastAsia="Book Antiqua" w:hAnsi="Book Antiqua" w:cs="Book Antiqua"/>
          <w:color w:val="000000"/>
          <w:szCs w:val="30"/>
          <w:vertAlign w:val="superscript"/>
        </w:rPr>
        <w:t>[</w:t>
      </w:r>
      <w:hyperlink w:anchor="_ENREF_24" w:tooltip="Kulkarni, 2017 #72" w:history="1">
        <w:r w:rsidRPr="00E754A5">
          <w:rPr>
            <w:rFonts w:ascii="Book Antiqua" w:eastAsia="Book Antiqua" w:hAnsi="Book Antiqua" w:cs="Book Antiqua"/>
            <w:color w:val="000000"/>
            <w:vertAlign w:val="superscript"/>
          </w:rPr>
          <w:t>24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Intriguingly, iNKT cells have been reported to express certain TLRs, some of which are functional</w:t>
      </w:r>
      <w:r w:rsidRPr="00E754A5">
        <w:rPr>
          <w:rFonts w:ascii="Book Antiqua" w:eastAsia="Book Antiqua" w:hAnsi="Book Antiqua" w:cs="Book Antiqua"/>
          <w:color w:val="000000"/>
          <w:szCs w:val="30"/>
          <w:vertAlign w:val="superscript"/>
        </w:rPr>
        <w:t>[</w:t>
      </w:r>
      <w:hyperlink w:anchor="_ENREF_25" w:tooltip="Kulkarni, 2011 #34" w:history="1">
        <w:r w:rsidRPr="00E754A5">
          <w:rPr>
            <w:rFonts w:ascii="Book Antiqua" w:eastAsia="Book Antiqua" w:hAnsi="Book Antiqua" w:cs="Book Antiqua"/>
            <w:color w:val="000000"/>
            <w:vertAlign w:val="superscript"/>
          </w:rPr>
          <w:t>25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In the present study, TLRs associated with NKT-cell activation or liver disease were measured and analyzed. The results showed that the mRNA expression levels of </w:t>
      </w:r>
      <w:r w:rsidRPr="00E754A5">
        <w:rPr>
          <w:rFonts w:ascii="Book Antiqua" w:eastAsia="Book Antiqua" w:hAnsi="Book Antiqua" w:cs="Book Antiqua"/>
          <w:iCs/>
          <w:color w:val="000000"/>
        </w:rPr>
        <w:t>Tlr2</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Tlr4</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Tlr6</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Tlr7</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Tlr9</w:t>
      </w:r>
      <w:r w:rsidRPr="00E754A5">
        <w:rPr>
          <w:rFonts w:ascii="Book Antiqua" w:eastAsia="Book Antiqua" w:hAnsi="Book Antiqua" w:cs="Book Antiqua"/>
          <w:color w:val="000000"/>
        </w:rPr>
        <w:t xml:space="preserve"> were significantly upregulated after EE administration. Deficiency of iNKT cells significantly downregulated the expression of the above TLRs compared with that in C57BL/6J mice (Figure 4), which suggested that the absence of iNKT cells may influence </w:t>
      </w:r>
      <w:r w:rsidRPr="00E754A5">
        <w:rPr>
          <w:rFonts w:ascii="Book Antiqua" w:eastAsia="Book Antiqua" w:hAnsi="Book Antiqua" w:cs="Book Antiqua"/>
          <w:color w:val="000000"/>
        </w:rPr>
        <w:lastRenderedPageBreak/>
        <w:t>the expression of TLRs. The hepatic immunohistochemistry results of TLR9 showed a trend similar to that of mRNA (Figure 4F).</w:t>
      </w:r>
    </w:p>
    <w:p w14:paraId="5C7CFBC0"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TLRs or T</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cell receptors (TCRs) can stimulate T cells, leading to MAPK signaling pathway activation, which is required for the effects of T cells</w:t>
      </w:r>
      <w:r w:rsidRPr="00E754A5">
        <w:rPr>
          <w:rFonts w:ascii="Book Antiqua" w:eastAsia="Book Antiqua" w:hAnsi="Book Antiqua" w:cs="Book Antiqua"/>
          <w:color w:val="000000"/>
          <w:szCs w:val="30"/>
          <w:vertAlign w:val="superscript"/>
        </w:rPr>
        <w:t>[</w:t>
      </w:r>
      <w:hyperlink w:anchor="_ENREF_26" w:tooltip="Dong, 2002 #35" w:history="1">
        <w:r w:rsidRPr="00E754A5">
          <w:rPr>
            <w:rFonts w:ascii="Book Antiqua" w:eastAsia="Book Antiqua" w:hAnsi="Book Antiqua" w:cs="Book Antiqua"/>
            <w:color w:val="000000"/>
            <w:vertAlign w:val="superscript"/>
          </w:rPr>
          <w:t>26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iNKT cell activation by TCR stimulation has also been reported to be mediated by ERK and p38 MAPK</w:t>
      </w:r>
      <w:r w:rsidRPr="00E754A5">
        <w:rPr>
          <w:rFonts w:ascii="Book Antiqua" w:eastAsia="Book Antiqua" w:hAnsi="Book Antiqua" w:cs="Book Antiqua"/>
          <w:color w:val="000000"/>
          <w:szCs w:val="30"/>
          <w:vertAlign w:val="superscript"/>
        </w:rPr>
        <w:t>[</w:t>
      </w:r>
      <w:hyperlink w:anchor="_ENREF_27" w:tooltip="Stuart, 2010 #36" w:history="1">
        <w:r w:rsidRPr="00E754A5">
          <w:rPr>
            <w:rFonts w:ascii="Book Antiqua" w:eastAsia="Book Antiqua" w:hAnsi="Book Antiqua" w:cs="Book Antiqua"/>
            <w:color w:val="000000"/>
            <w:vertAlign w:val="superscript"/>
          </w:rPr>
          <w:t>27</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the present study, the expression of both MAPK and PI3K signaling was investigated after EE administration in C57BL/6J and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The hepatic mRNA expression levels of MAPK upstream </w:t>
      </w:r>
      <w:r w:rsidRPr="00E754A5">
        <w:rPr>
          <w:rFonts w:ascii="Book Antiqua" w:eastAsia="Book Antiqua" w:hAnsi="Book Antiqua" w:cs="Book Antiqua"/>
          <w:iCs/>
          <w:color w:val="000000"/>
        </w:rPr>
        <w:t>Ras</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Raf</w:t>
      </w:r>
      <w:r w:rsidRPr="00E754A5">
        <w:rPr>
          <w:rFonts w:ascii="Book Antiqua" w:eastAsia="Book Antiqua" w:hAnsi="Book Antiqua" w:cs="Book Antiqua"/>
          <w:color w:val="000000"/>
        </w:rPr>
        <w:t xml:space="preserve"> as well as </w:t>
      </w:r>
      <w:r w:rsidRPr="00E754A5">
        <w:rPr>
          <w:rFonts w:ascii="Book Antiqua" w:eastAsia="Book Antiqua" w:hAnsi="Book Antiqua" w:cs="Book Antiqua"/>
          <w:iCs/>
          <w:color w:val="000000"/>
        </w:rPr>
        <w:t>Pi3k</w:t>
      </w:r>
      <w:r w:rsidRPr="00E754A5">
        <w:rPr>
          <w:rFonts w:ascii="Book Antiqua" w:eastAsia="Book Antiqua" w:hAnsi="Book Antiqua" w:cs="Book Antiqua"/>
          <w:color w:val="000000"/>
        </w:rPr>
        <w:t xml:space="preserve"> and its downstream </w:t>
      </w:r>
      <w:r w:rsidRPr="00E754A5">
        <w:rPr>
          <w:rFonts w:ascii="Book Antiqua" w:eastAsia="Book Antiqua" w:hAnsi="Book Antiqua" w:cs="Book Antiqua"/>
          <w:iCs/>
          <w:color w:val="000000"/>
        </w:rPr>
        <w:t>Bad</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 xml:space="preserve"> </w:t>
      </w:r>
      <w:r w:rsidRPr="00E754A5">
        <w:rPr>
          <w:rFonts w:ascii="Book Antiqua" w:eastAsia="Book Antiqua" w:hAnsi="Book Antiqua" w:cs="Book Antiqua"/>
          <w:color w:val="000000"/>
        </w:rPr>
        <w:t>which might be associated with TLR activation, were increased in C57BL/6J mice after EE administration. The above mRNA levels were remarkably inhibited in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compared with C57BL/6J mice, which suggested that the absence of iNKT cells changes the expression of MAPK and PI3K signaling pathways (Figure 5).</w:t>
      </w:r>
    </w:p>
    <w:p w14:paraId="41D2E884" w14:textId="77777777" w:rsidR="00E53200" w:rsidRPr="00E754A5" w:rsidRDefault="00E53200">
      <w:pPr>
        <w:spacing w:line="360" w:lineRule="auto"/>
        <w:ind w:firstLine="480"/>
        <w:jc w:val="both"/>
      </w:pPr>
    </w:p>
    <w:p w14:paraId="532EDBC8" w14:textId="77777777" w:rsidR="00E53200" w:rsidRPr="00E754A5" w:rsidRDefault="00F70B62">
      <w:pPr>
        <w:spacing w:line="360" w:lineRule="auto"/>
        <w:jc w:val="both"/>
      </w:pPr>
      <w:r w:rsidRPr="00E754A5">
        <w:rPr>
          <w:rFonts w:ascii="Book Antiqua" w:eastAsia="Book Antiqua" w:hAnsi="Book Antiqua" w:cs="Book Antiqua"/>
          <w:b/>
          <w:bCs/>
          <w:i/>
          <w:iCs/>
          <w:color w:val="000000"/>
        </w:rPr>
        <w:t>Knockout of iNKT cells may inhibit the synthesis of bile acid and weaken the inhibition of hepatocyte polarity</w:t>
      </w:r>
    </w:p>
    <w:p w14:paraId="47B25A9A" w14:textId="77777777" w:rsidR="00E53200" w:rsidRPr="00E754A5" w:rsidRDefault="00F70B62">
      <w:pPr>
        <w:spacing w:line="360" w:lineRule="auto"/>
        <w:jc w:val="both"/>
      </w:pPr>
      <w:r w:rsidRPr="00E754A5">
        <w:rPr>
          <w:rFonts w:ascii="Book Antiqua" w:eastAsia="Book Antiqua" w:hAnsi="Book Antiqua" w:cs="Book Antiqua"/>
          <w:color w:val="000000"/>
        </w:rPr>
        <w:t>Dysregulated bile acid homeostasis may be attributed to the disorder of bile acid synthesis/metabolism and/or the dysfunction of tight junctions (TJs)</w:t>
      </w:r>
      <w:r w:rsidRPr="00E754A5">
        <w:rPr>
          <w:rFonts w:ascii="Book Antiqua" w:eastAsia="Book Antiqua" w:hAnsi="Book Antiqua" w:cs="Book Antiqua"/>
          <w:color w:val="000000"/>
          <w:szCs w:val="30"/>
          <w:vertAlign w:val="superscript"/>
        </w:rPr>
        <w:t>[</w:t>
      </w:r>
      <w:hyperlink w:anchor="_ENREF_28" w:tooltip="Yang, 2021 #37" w:history="1">
        <w:r w:rsidRPr="00E754A5">
          <w:rPr>
            <w:rFonts w:ascii="Book Antiqua" w:eastAsia="Book Antiqua" w:hAnsi="Book Antiqua" w:cs="Book Antiqua"/>
            <w:color w:val="000000"/>
            <w:vertAlign w:val="superscript"/>
          </w:rPr>
          <w:t>28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To investigate the possible mechanism of the alleviation of cholestatic liver injury in NKT-cell knockout mice, the levels of CYP450 synthase and TJs were detected. The mRNA levels of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Cyp8b1</w:t>
      </w:r>
      <w:r w:rsidRPr="00E754A5">
        <w:rPr>
          <w:rFonts w:ascii="Book Antiqua" w:eastAsia="Book Antiqua" w:hAnsi="Book Antiqua" w:cs="Book Antiqua"/>
          <w:color w:val="000000"/>
        </w:rPr>
        <w:t xml:space="preserve"> were upregulated after EE administration in C57BL/6J mice, whereas a nonsignificant difference was shown in Jα18</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 xml:space="preserve">mice. In comparison to C57BL/6J mice, the mRNA expression of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Cyp8b1</w:t>
      </w:r>
      <w:r w:rsidRPr="00E754A5">
        <w:rPr>
          <w:rFonts w:ascii="Book Antiqua" w:eastAsia="Book Antiqua" w:hAnsi="Book Antiqua" w:cs="Book Antiqua"/>
          <w:color w:val="000000"/>
        </w:rPr>
        <w:t xml:space="preserve"> was inhibited in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after EE administration, indicating the relatively reduced synthesis of bile acid (Figure 6A </w:t>
      </w:r>
      <w:bookmarkStart w:id="56" w:name="OLE_LINK21"/>
      <w:bookmarkStart w:id="57" w:name="OLE_LINK22"/>
      <w:r w:rsidRPr="00E754A5">
        <w:rPr>
          <w:rFonts w:ascii="Book Antiqua" w:hAnsi="Book Antiqua" w:cs="Book Antiqua" w:hint="eastAsia"/>
          <w:color w:val="000000"/>
          <w:lang w:eastAsia="zh-CN"/>
        </w:rPr>
        <w:t>and</w:t>
      </w:r>
      <w:r w:rsidRPr="00E754A5">
        <w:rPr>
          <w:rFonts w:ascii="Book Antiqua" w:eastAsia="Book Antiqua" w:hAnsi="Book Antiqua" w:cs="Book Antiqua"/>
          <w:color w:val="000000"/>
        </w:rPr>
        <w:t xml:space="preserve"> </w:t>
      </w:r>
      <w:bookmarkEnd w:id="56"/>
      <w:bookmarkEnd w:id="57"/>
      <w:r w:rsidRPr="00E754A5">
        <w:rPr>
          <w:rFonts w:ascii="Book Antiqua" w:eastAsia="Book Antiqua" w:hAnsi="Book Antiqua" w:cs="Book Antiqua"/>
          <w:color w:val="000000"/>
        </w:rPr>
        <w:t>B). The IHC results showed that, in comparison to the control group, fewer cells positively stained for ZO-1 or Occludin after EE treatment in C57BL/6J mice, and positive cells remained unaltered between the control and EE groups in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(Figure 6C </w:t>
      </w:r>
      <w:r w:rsidRPr="00E754A5">
        <w:rPr>
          <w:rFonts w:ascii="Book Antiqua" w:hAnsi="Book Antiqua" w:cs="Book Antiqua" w:hint="eastAsia"/>
          <w:color w:val="000000"/>
          <w:lang w:eastAsia="zh-CN"/>
        </w:rPr>
        <w:t>and</w:t>
      </w:r>
      <w:r w:rsidRPr="00E754A5">
        <w:rPr>
          <w:rFonts w:ascii="Book Antiqua" w:eastAsia="Book Antiqua" w:hAnsi="Book Antiqua" w:cs="Book Antiqua"/>
          <w:color w:val="000000"/>
        </w:rPr>
        <w:t xml:space="preserve"> D). These data suggested that knockout of iNKT cells can inhibit bile acid synthase and weaken the inhibition of hepatocyte polarity, thereby reducing cholestatic liver injury.</w:t>
      </w:r>
    </w:p>
    <w:p w14:paraId="204AA2B5" w14:textId="77777777" w:rsidR="00E53200" w:rsidRPr="00E754A5" w:rsidRDefault="00E53200">
      <w:pPr>
        <w:spacing w:line="360" w:lineRule="auto"/>
        <w:jc w:val="both"/>
      </w:pPr>
    </w:p>
    <w:p w14:paraId="6A50CEA5"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lastRenderedPageBreak/>
        <w:t>DISCUSSION</w:t>
      </w:r>
    </w:p>
    <w:p w14:paraId="3914886D" w14:textId="77777777" w:rsidR="00E53200" w:rsidRPr="00E754A5" w:rsidRDefault="00F70B62">
      <w:pPr>
        <w:spacing w:line="360" w:lineRule="auto"/>
        <w:jc w:val="both"/>
      </w:pPr>
      <w:r w:rsidRPr="00E754A5">
        <w:rPr>
          <w:rFonts w:ascii="Book Antiqua" w:eastAsia="Book Antiqua" w:hAnsi="Book Antiqua" w:cs="Book Antiqua"/>
          <w:color w:val="000000"/>
        </w:rPr>
        <w:t>As the most common hepatic disorder, the principal pathogenic factors of EE-induced IHC include estrogen and toxic bile acid, both of which are correlated with immune imbalance. Increased activation status of NKT cells, T cells, or NK cells has been reported to contribute to the pathophysiology of cholestatic diseases</w:t>
      </w:r>
      <w:r w:rsidRPr="00E754A5">
        <w:rPr>
          <w:rFonts w:ascii="Book Antiqua" w:eastAsia="Book Antiqua" w:hAnsi="Book Antiqua" w:cs="Book Antiqua"/>
          <w:color w:val="000000"/>
          <w:szCs w:val="30"/>
          <w:vertAlign w:val="superscript"/>
        </w:rPr>
        <w:t>[</w:t>
      </w:r>
      <w:hyperlink w:anchor="_ENREF_15" w:tooltip="Zou, 2020 #52" w:history="1">
        <w:r w:rsidRPr="00E754A5">
          <w:rPr>
            <w:rFonts w:ascii="Book Antiqua" w:eastAsia="Book Antiqua" w:hAnsi="Book Antiqua" w:cs="Book Antiqua"/>
            <w:color w:val="000000"/>
            <w:vertAlign w:val="superscript"/>
          </w:rPr>
          <w:t>15</w:t>
        </w:r>
      </w:hyperlink>
      <w:r w:rsidRPr="00E754A5">
        <w:rPr>
          <w:rFonts w:ascii="Book Antiqua" w:eastAsia="Book Antiqua" w:hAnsi="Book Antiqua" w:cs="Book Antiqua"/>
          <w:color w:val="000000"/>
          <w:vertAlign w:val="superscript"/>
        </w:rPr>
        <w:t>,</w:t>
      </w:r>
      <w:hyperlink w:anchor="_ENREF_19" w:tooltip="Sun, 2021 #29" w:history="1">
        <w:r w:rsidRPr="00E754A5">
          <w:rPr>
            <w:rFonts w:ascii="Book Antiqua" w:eastAsia="Book Antiqua" w:hAnsi="Book Antiqua" w:cs="Book Antiqua"/>
            <w:color w:val="000000"/>
            <w:vertAlign w:val="superscript"/>
          </w:rPr>
          <w:t>19</w:t>
        </w:r>
      </w:hyperlink>
      <w:r w:rsidRPr="00E754A5">
        <w:rPr>
          <w:rFonts w:ascii="Book Antiqua" w:eastAsia="Book Antiqua" w:hAnsi="Book Antiqua" w:cs="Book Antiqua"/>
          <w:color w:val="000000"/>
          <w:vertAlign w:val="superscript"/>
        </w:rPr>
        <w:t>,</w:t>
      </w:r>
      <w:hyperlink w:anchor="_ENREF_20" w:tooltip="Hydes, 2019 #30" w:history="1">
        <w:r w:rsidRPr="00E754A5">
          <w:rPr>
            <w:rFonts w:ascii="Book Antiqua" w:eastAsia="Book Antiqua" w:hAnsi="Book Antiqua" w:cs="Book Antiqua"/>
            <w:color w:val="000000"/>
            <w:vertAlign w:val="superscript"/>
          </w:rPr>
          <w:t>20</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Therefore, the percentages of hepatic NKT cells,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T cells, and NK cells along with their Th1/Th2 cytokine secretion and bias were compared in the present study. Surprisingly, in EE-induced cholestasis, only the NKT-cell percentage and its Th1/Th2 cytokine secretion and ratio significantly increased, indicating their activation and Th1-biased immune response. The percentage of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T cells and NK cells, along with their secretion of Th1 cytokines, remained unaltered. Th2 cytokines from CD3</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T cells and NK cells showed a rising trend, which did not seem to affect the Th1/Th2 balance (Figure 1). Our results revealed that both Th1 and Th2 cytokines existed in the liver, consistent with previous studies</w:t>
      </w:r>
      <w:r w:rsidRPr="00E754A5">
        <w:rPr>
          <w:rFonts w:ascii="Book Antiqua" w:eastAsia="Book Antiqua" w:hAnsi="Book Antiqua" w:cs="Book Antiqua"/>
          <w:color w:val="000000"/>
          <w:szCs w:val="30"/>
          <w:vertAlign w:val="superscript"/>
        </w:rPr>
        <w:t>[</w:t>
      </w:r>
      <w:hyperlink w:anchor="_ENREF_14" w:tooltip="Nong, 2020 #51" w:history="1">
        <w:r w:rsidRPr="00E754A5">
          <w:rPr>
            <w:rFonts w:ascii="Book Antiqua" w:eastAsia="Book Antiqua" w:hAnsi="Book Antiqua" w:cs="Book Antiqua"/>
            <w:color w:val="000000"/>
            <w:vertAlign w:val="superscript"/>
          </w:rPr>
          <w:t>14</w:t>
        </w:r>
      </w:hyperlink>
      <w:r w:rsidRPr="00E754A5">
        <w:rPr>
          <w:rFonts w:ascii="Book Antiqua" w:eastAsia="Book Antiqua" w:hAnsi="Book Antiqua" w:cs="Book Antiqua"/>
          <w:color w:val="000000"/>
          <w:vertAlign w:val="superscript"/>
        </w:rPr>
        <w:t>,</w:t>
      </w:r>
      <w:hyperlink w:anchor="_ENREF_29" w:tooltip="Caielli, 2010 #66" w:history="1">
        <w:r w:rsidRPr="00E754A5">
          <w:rPr>
            <w:rFonts w:ascii="Book Antiqua" w:eastAsia="Book Antiqua" w:hAnsi="Book Antiqua" w:cs="Book Antiqua"/>
            <w:color w:val="000000"/>
            <w:vertAlign w:val="superscript"/>
          </w:rPr>
          <w:t>29</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and the Th1 bias was mainly contributed by NKT cells. To further confirm the effect of NKT cells in EE-induced cholestasis, cholestatic liver damage was compared between iNKT cell-deficient mice and C57BL/6J mice after EE administration.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showed significantly reduced blood biochemistry parameters, including levels of ALP, TBA, ALT, and AST, and alleviated liver histopathological changes, suggesting that NKT cells have a harmful effect on EE-induced cholestasis. NKT cells have been accepted as a key connection between innate and adaptive immunity. Upon activation, NKT cells can activate and influence most innate and adaptive immune cells by rapid and abundant cytokine production</w:t>
      </w:r>
      <w:r w:rsidRPr="00E754A5">
        <w:rPr>
          <w:rFonts w:ascii="Book Antiqua" w:eastAsia="Book Antiqua" w:hAnsi="Book Antiqua" w:cs="Book Antiqua"/>
          <w:color w:val="000000"/>
          <w:szCs w:val="30"/>
          <w:vertAlign w:val="superscript"/>
        </w:rPr>
        <w:t>[</w:t>
      </w:r>
      <w:hyperlink w:anchor="_ENREF_30" w:tooltip="Zeissig, 2019 #48" w:history="1">
        <w:r w:rsidRPr="00E754A5">
          <w:rPr>
            <w:rFonts w:ascii="Book Antiqua" w:eastAsia="Book Antiqua" w:hAnsi="Book Antiqua" w:cs="Book Antiqua"/>
            <w:color w:val="000000"/>
            <w:vertAlign w:val="superscript"/>
          </w:rPr>
          <w:t>30</w:t>
        </w:r>
      </w:hyperlink>
      <w:r w:rsidRPr="00E754A5">
        <w:rPr>
          <w:rFonts w:ascii="Book Antiqua" w:eastAsia="Book Antiqua" w:hAnsi="Book Antiqua" w:cs="Book Antiqua"/>
          <w:color w:val="000000"/>
          <w:vertAlign w:val="superscript"/>
        </w:rPr>
        <w:t>,</w:t>
      </w:r>
      <w:hyperlink w:anchor="_ENREF_31" w:tooltip="Terabe, 2014 #24" w:history="1">
        <w:r w:rsidRPr="00E754A5">
          <w:rPr>
            <w:rFonts w:ascii="Book Antiqua" w:eastAsia="Book Antiqua" w:hAnsi="Book Antiqua" w:cs="Book Antiqua"/>
            <w:color w:val="000000"/>
            <w:vertAlign w:val="superscript"/>
          </w:rPr>
          <w:t>31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NKT cells, whose role is noteworthy in cholestasis, are mostly abundant in the liver rather than other organs. In the PBC mouse model, NKT cells are highly activated and secrete enormous amounts of IFN</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γ. In comparison to mice with PBC, cholangitis and liver inflammation are significantly alleviated in mice with NKT-cell deficiency</w:t>
      </w:r>
      <w:r w:rsidRPr="00E754A5">
        <w:rPr>
          <w:rFonts w:ascii="Book Antiqua" w:eastAsia="Book Antiqua" w:hAnsi="Book Antiqua" w:cs="Book Antiqua"/>
          <w:color w:val="000000"/>
          <w:szCs w:val="30"/>
          <w:vertAlign w:val="superscript"/>
        </w:rPr>
        <w:t>[</w:t>
      </w:r>
      <w:hyperlink w:anchor="_ENREF_32" w:tooltip="Chuang, 2008 #8" w:history="1">
        <w:r w:rsidRPr="00E754A5">
          <w:rPr>
            <w:rFonts w:ascii="Book Antiqua" w:eastAsia="Book Antiqua" w:hAnsi="Book Antiqua" w:cs="Book Antiqua"/>
            <w:color w:val="000000"/>
            <w:vertAlign w:val="superscript"/>
          </w:rPr>
          <w:t>32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Our previous investigations also found that iNKT cells and their cytokines aggravate ANIT- and triptolide-induced cholestasis by disrupting bile acid homeostasis</w:t>
      </w:r>
      <w:r w:rsidRPr="00E754A5">
        <w:rPr>
          <w:rFonts w:ascii="Book Antiqua" w:eastAsia="Book Antiqua" w:hAnsi="Book Antiqua" w:cs="Book Antiqua"/>
          <w:color w:val="000000"/>
          <w:szCs w:val="30"/>
          <w:vertAlign w:val="superscript"/>
        </w:rPr>
        <w:t>[</w:t>
      </w:r>
      <w:hyperlink w:anchor="_ENREF_14" w:tooltip="Nong, 2020 #51" w:history="1">
        <w:r w:rsidRPr="00E754A5">
          <w:rPr>
            <w:rFonts w:ascii="Book Antiqua" w:eastAsia="Book Antiqua" w:hAnsi="Book Antiqua" w:cs="Book Antiqua"/>
            <w:color w:val="000000"/>
            <w:vertAlign w:val="superscript"/>
          </w:rPr>
          <w:t>14</w:t>
        </w:r>
      </w:hyperlink>
      <w:r w:rsidRPr="00E754A5">
        <w:rPr>
          <w:rFonts w:ascii="Book Antiqua" w:eastAsia="Book Antiqua" w:hAnsi="Book Antiqua" w:cs="Book Antiqua"/>
          <w:color w:val="000000"/>
          <w:vertAlign w:val="superscript"/>
        </w:rPr>
        <w:t>,</w:t>
      </w:r>
      <w:hyperlink w:anchor="_ENREF_15" w:tooltip="Zou, 2020 #52" w:history="1">
        <w:r w:rsidRPr="00E754A5">
          <w:rPr>
            <w:rFonts w:ascii="Book Antiqua" w:eastAsia="Book Antiqua" w:hAnsi="Book Antiqua" w:cs="Book Antiqua"/>
            <w:color w:val="000000"/>
            <w:vertAlign w:val="superscript"/>
          </w:rPr>
          <w:t>15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Although NKT cells can be protective by suppressing neutrophils in an extrahepatic cholestasis model</w:t>
      </w:r>
      <w:r w:rsidRPr="00E754A5">
        <w:rPr>
          <w:rFonts w:ascii="Book Antiqua" w:eastAsia="Book Antiqua" w:hAnsi="Book Antiqua" w:cs="Book Antiqua"/>
          <w:color w:val="000000"/>
          <w:szCs w:val="30"/>
          <w:vertAlign w:val="superscript"/>
        </w:rPr>
        <w:t>[</w:t>
      </w:r>
      <w:hyperlink w:anchor="_ENREF_16" w:tooltip="Duwaerts, 2013 #53" w:history="1">
        <w:r w:rsidRPr="00E754A5">
          <w:rPr>
            <w:rFonts w:ascii="Book Antiqua" w:eastAsia="Book Antiqua" w:hAnsi="Book Antiqua" w:cs="Book Antiqua"/>
            <w:color w:val="000000"/>
            <w:vertAlign w:val="superscript"/>
          </w:rPr>
          <w:t>16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our research data suggest the harmful effects of NKT </w:t>
      </w:r>
      <w:r w:rsidRPr="00E754A5">
        <w:rPr>
          <w:rFonts w:ascii="Book Antiqua" w:eastAsia="Book Antiqua" w:hAnsi="Book Antiqua" w:cs="Book Antiqua"/>
          <w:color w:val="000000"/>
        </w:rPr>
        <w:lastRenderedPageBreak/>
        <w:t>cells in EE-induced cholestasis. The above studies indicate that the role of NKT cells may vary in different diseases and models.</w:t>
      </w:r>
    </w:p>
    <w:p w14:paraId="63C29A6F"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Under physiological conditions, CXCR6/CXCL16 regulate the migration of NKT cells in hepatic sinusoids</w:t>
      </w:r>
      <w:r w:rsidRPr="00E754A5">
        <w:rPr>
          <w:rFonts w:ascii="Book Antiqua" w:eastAsia="Book Antiqua" w:hAnsi="Book Antiqua" w:cs="Book Antiqua"/>
          <w:color w:val="000000"/>
          <w:szCs w:val="30"/>
          <w:vertAlign w:val="superscript"/>
        </w:rPr>
        <w:t>[</w:t>
      </w:r>
      <w:hyperlink w:anchor="_ENREF_33" w:tooltip="Geissmann, 2005 #54" w:history="1">
        <w:r w:rsidRPr="00E754A5">
          <w:rPr>
            <w:rFonts w:ascii="Book Antiqua" w:eastAsia="Book Antiqua" w:hAnsi="Book Antiqua" w:cs="Book Antiqua"/>
            <w:color w:val="000000"/>
            <w:vertAlign w:val="superscript"/>
          </w:rPr>
          <w:t>33</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Under the early pathologic states of chronic liver damage, they specifically mediate the hepatic accumulation of NKT cells, exacerbating hepatic inflammation and promoting fibrogenesis</w:t>
      </w:r>
      <w:r w:rsidRPr="00E754A5">
        <w:rPr>
          <w:rFonts w:ascii="Book Antiqua" w:eastAsia="Book Antiqua" w:hAnsi="Book Antiqua" w:cs="Book Antiqua"/>
          <w:color w:val="000000"/>
          <w:szCs w:val="30"/>
          <w:vertAlign w:val="superscript"/>
        </w:rPr>
        <w:t>[</w:t>
      </w:r>
      <w:hyperlink w:anchor="_ENREF_22" w:tooltip="Wehr, 2013 #29" w:history="1">
        <w:r w:rsidRPr="00E754A5">
          <w:rPr>
            <w:rFonts w:ascii="Book Antiqua" w:eastAsia="Book Antiqua" w:hAnsi="Book Antiqua" w:cs="Book Antiqua"/>
            <w:color w:val="000000"/>
            <w:vertAlign w:val="superscript"/>
          </w:rPr>
          <w:t>22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w:t>
      </w:r>
      <w:r w:rsidRPr="00E754A5">
        <w:rPr>
          <w:rFonts w:ascii="Book Antiqua" w:eastAsia="Book Antiqua" w:hAnsi="Book Antiqua" w:cs="Book Antiqua"/>
          <w:b/>
          <w:bCs/>
          <w:color w:val="000000"/>
        </w:rPr>
        <w:t xml:space="preserve"> </w:t>
      </w:r>
      <w:r w:rsidRPr="00E754A5">
        <w:rPr>
          <w:rFonts w:ascii="Book Antiqua" w:eastAsia="Book Antiqua" w:hAnsi="Book Antiqua" w:cs="Book Antiqua"/>
          <w:color w:val="000000"/>
        </w:rPr>
        <w:t>CXCL16 can be expressed in hepatobiliary tissues of patients with hepatopathy</w:t>
      </w:r>
      <w:r w:rsidRPr="00E754A5">
        <w:rPr>
          <w:rFonts w:ascii="Book Antiqua" w:eastAsia="Book Antiqua" w:hAnsi="Book Antiqua" w:cs="Book Antiqua"/>
          <w:color w:val="000000"/>
          <w:szCs w:val="30"/>
          <w:vertAlign w:val="superscript"/>
        </w:rPr>
        <w:t>[</w:t>
      </w:r>
      <w:hyperlink w:anchor="_ENREF_34" w:tooltip="Heydtmann, 2005 #56" w:history="1">
        <w:r w:rsidRPr="00E754A5">
          <w:rPr>
            <w:rFonts w:ascii="Book Antiqua" w:eastAsia="Book Antiqua" w:hAnsi="Book Antiqua" w:cs="Book Antiqua"/>
            <w:color w:val="000000"/>
            <w:vertAlign w:val="superscript"/>
          </w:rPr>
          <w:t>34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but also in mouse liver sinusoidal endothelial cells triggered by intestinal microorganism-induced bile acids, indicating that its expression is related to hepatobiliary damage</w:t>
      </w:r>
      <w:r w:rsidRPr="00E754A5">
        <w:rPr>
          <w:rFonts w:ascii="Book Antiqua" w:eastAsia="Book Antiqua" w:hAnsi="Book Antiqua" w:cs="Book Antiqua"/>
          <w:color w:val="000000"/>
          <w:szCs w:val="30"/>
          <w:vertAlign w:val="superscript"/>
        </w:rPr>
        <w:t>[</w:t>
      </w:r>
      <w:hyperlink w:anchor="_ENREF_33" w:tooltip="Geissmann, 2005 #54" w:history="1">
        <w:r w:rsidRPr="00E754A5">
          <w:rPr>
            <w:rFonts w:ascii="Book Antiqua" w:eastAsia="Book Antiqua" w:hAnsi="Book Antiqua" w:cs="Book Antiqua"/>
            <w:color w:val="000000"/>
            <w:vertAlign w:val="superscript"/>
          </w:rPr>
          <w:t>33</w:t>
        </w:r>
      </w:hyperlink>
      <w:r w:rsidRPr="00E754A5">
        <w:rPr>
          <w:rFonts w:ascii="Book Antiqua" w:eastAsia="Book Antiqua" w:hAnsi="Book Antiqua" w:cs="Book Antiqua"/>
          <w:color w:val="000000"/>
          <w:vertAlign w:val="superscript"/>
        </w:rPr>
        <w:t>,</w:t>
      </w:r>
      <w:hyperlink w:anchor="_ENREF_35" w:tooltip="Ma, 2018 #30" w:history="1">
        <w:r w:rsidRPr="00E754A5">
          <w:rPr>
            <w:rFonts w:ascii="Book Antiqua" w:eastAsia="Book Antiqua" w:hAnsi="Book Antiqua" w:cs="Book Antiqua"/>
            <w:color w:val="000000"/>
            <w:vertAlign w:val="superscript"/>
          </w:rPr>
          <w:t>35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Our results showed that the hepatic gene levels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 xml:space="preserve"> were upregulated (Figure 3). Inflammatory cytokines, such as IFN-γ, which was increased in the present model, are capable of further inducing CXCL16 expression, forming a positive regulation loop</w:t>
      </w:r>
      <w:r w:rsidRPr="00E754A5">
        <w:rPr>
          <w:rFonts w:ascii="Book Antiqua" w:eastAsia="Book Antiqua" w:hAnsi="Book Antiqua" w:cs="Book Antiqua"/>
          <w:color w:val="000000"/>
          <w:szCs w:val="30"/>
          <w:vertAlign w:val="superscript"/>
        </w:rPr>
        <w:t>[</w:t>
      </w:r>
      <w:hyperlink w:anchor="_ENREF_36" w:tooltip="Abel, 2004 #59" w:history="1">
        <w:r w:rsidRPr="00E754A5">
          <w:rPr>
            <w:rFonts w:ascii="Book Antiqua" w:eastAsia="Book Antiqua" w:hAnsi="Book Antiqua" w:cs="Book Antiqua"/>
            <w:color w:val="000000"/>
            <w:vertAlign w:val="superscript"/>
          </w:rPr>
          <w:t>36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In the present study, iNKT cell deficiency inhibited the mRNA levels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 xml:space="preserve"> </w:t>
      </w:r>
      <w:r w:rsidRPr="00E754A5">
        <w:rPr>
          <w:rFonts w:ascii="Book Antiqua" w:eastAsia="Book Antiqua" w:hAnsi="Book Antiqua" w:cs="Book Antiqua"/>
          <w:color w:val="000000"/>
        </w:rPr>
        <w:t xml:space="preserve">which may be linked to the absence of hepatic infiltration of NKT cells (Figure 3). </w:t>
      </w:r>
    </w:p>
    <w:p w14:paraId="3BAB7030"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Activation of iNKT cells can be caused by direct interaction with TCR or indirect effects of TLR agonists and/or IL-12</w:t>
      </w:r>
      <w:r w:rsidRPr="00E754A5">
        <w:rPr>
          <w:rFonts w:ascii="Book Antiqua" w:eastAsia="Book Antiqua" w:hAnsi="Book Antiqua" w:cs="Book Antiqua"/>
          <w:color w:val="000000"/>
          <w:szCs w:val="30"/>
          <w:vertAlign w:val="superscript"/>
        </w:rPr>
        <w:t>[</w:t>
      </w:r>
      <w:hyperlink w:anchor="_ENREF_37" w:tooltip="Anderson, 2021 #67" w:history="1">
        <w:r w:rsidRPr="00E754A5">
          <w:rPr>
            <w:rFonts w:ascii="Book Antiqua" w:eastAsia="Book Antiqua" w:hAnsi="Book Antiqua" w:cs="Book Antiqua"/>
            <w:color w:val="000000"/>
            <w:vertAlign w:val="superscript"/>
          </w:rPr>
          <w:t>37</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TLRs, which are widely expressed in the liver, can stimulate hepatic inflammation and actively participate in the initiation and development of liver damage under pathological conditions</w:t>
      </w:r>
      <w:r w:rsidRPr="00E754A5">
        <w:rPr>
          <w:rFonts w:ascii="Book Antiqua" w:eastAsia="Book Antiqua" w:hAnsi="Book Antiqua" w:cs="Book Antiqua"/>
          <w:color w:val="000000"/>
          <w:szCs w:val="30"/>
          <w:vertAlign w:val="superscript"/>
        </w:rPr>
        <w:t>[</w:t>
      </w:r>
      <w:hyperlink w:anchor="_ENREF_38" w:tooltip="Kiziltas, 2016 #68" w:history="1">
        <w:r w:rsidRPr="00E754A5">
          <w:rPr>
            <w:rFonts w:ascii="Book Antiqua" w:eastAsia="Book Antiqua" w:hAnsi="Book Antiqua" w:cs="Book Antiqua"/>
            <w:color w:val="000000"/>
            <w:vertAlign w:val="superscript"/>
          </w:rPr>
          <w:t>38</w:t>
        </w:r>
      </w:hyperlink>
      <w:r w:rsidRPr="00E754A5">
        <w:rPr>
          <w:rFonts w:ascii="Book Antiqua" w:eastAsia="Book Antiqua" w:hAnsi="Book Antiqua" w:cs="Book Antiqua"/>
          <w:color w:val="000000"/>
          <w:vertAlign w:val="superscript"/>
        </w:rPr>
        <w:t>,</w:t>
      </w:r>
      <w:hyperlink w:anchor="_ENREF_39" w:tooltip="Chu, 2014 #76" w:history="1">
        <w:r w:rsidRPr="00E754A5">
          <w:rPr>
            <w:rFonts w:ascii="Book Antiqua" w:eastAsia="Book Antiqua" w:hAnsi="Book Antiqua" w:cs="Book Antiqua"/>
            <w:color w:val="000000"/>
            <w:vertAlign w:val="superscript"/>
          </w:rPr>
          <w:t>39</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Lipopolysaccharide (LPS), a specific TLR4 Ligand, activates hepatic iNKT cells and leads to their secretion of IL-4 within 2 h </w:t>
      </w:r>
      <w:r w:rsidRPr="00E754A5">
        <w:rPr>
          <w:rFonts w:ascii="Book Antiqua" w:eastAsia="Book Antiqua" w:hAnsi="Book Antiqua" w:cs="Book Antiqua"/>
          <w:i/>
          <w:iCs/>
          <w:color w:val="000000"/>
        </w:rPr>
        <w:t>in vivo</w:t>
      </w:r>
      <w:r w:rsidRPr="00E754A5">
        <w:rPr>
          <w:rFonts w:ascii="Book Antiqua" w:eastAsia="Book Antiqua" w:hAnsi="Book Antiqua" w:cs="Book Antiqua"/>
          <w:color w:val="000000"/>
        </w:rPr>
        <w:t xml:space="preserve"> or in vitro, demonstrating that TLR4 is expressed and functional in iNKT cells</w:t>
      </w:r>
      <w:r w:rsidRPr="00E754A5">
        <w:rPr>
          <w:rFonts w:ascii="Book Antiqua" w:eastAsia="Book Antiqua" w:hAnsi="Book Antiqua" w:cs="Book Antiqua"/>
          <w:color w:val="000000"/>
          <w:szCs w:val="30"/>
          <w:vertAlign w:val="superscript"/>
        </w:rPr>
        <w:t>[</w:t>
      </w:r>
      <w:hyperlink w:anchor="_ENREF_40" w:tooltip="Askenase, 2005 #27" w:history="1">
        <w:r w:rsidRPr="00E754A5">
          <w:rPr>
            <w:rFonts w:ascii="Book Antiqua" w:eastAsia="Book Antiqua" w:hAnsi="Book Antiqua" w:cs="Book Antiqua"/>
            <w:color w:val="000000"/>
            <w:vertAlign w:val="superscript"/>
          </w:rPr>
          <w:t>40</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alcoholic liver disease, TLR4 inhibition results in drastically reduced levels of hepatic proinflammatory mediators</w:t>
      </w:r>
      <w:r w:rsidRPr="00E754A5">
        <w:rPr>
          <w:rFonts w:ascii="Book Antiqua" w:eastAsia="Book Antiqua" w:hAnsi="Book Antiqua" w:cs="Book Antiqua"/>
          <w:color w:val="000000"/>
          <w:szCs w:val="30"/>
          <w:vertAlign w:val="superscript"/>
        </w:rPr>
        <w:t>[</w:t>
      </w:r>
      <w:hyperlink w:anchor="_ENREF_41" w:tooltip="Ishida, 2021 #69" w:history="1">
        <w:r w:rsidRPr="00E754A5">
          <w:rPr>
            <w:rFonts w:ascii="Book Antiqua" w:eastAsia="Book Antiqua" w:hAnsi="Book Antiqua" w:cs="Book Antiqua"/>
            <w:color w:val="000000"/>
            <w:vertAlign w:val="superscript"/>
          </w:rPr>
          <w:t>41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TLR4 deletion nearly eliminates inflammatory cell infiltration in the liver and hepatocyte injury in a murine model of ischemia reperfusion</w:t>
      </w:r>
      <w:r w:rsidRPr="00E754A5">
        <w:rPr>
          <w:rFonts w:ascii="Book Antiqua" w:eastAsia="Book Antiqua" w:hAnsi="Book Antiqua" w:cs="Book Antiqua"/>
          <w:color w:val="000000"/>
          <w:szCs w:val="30"/>
          <w:vertAlign w:val="superscript"/>
        </w:rPr>
        <w:t>[</w:t>
      </w:r>
      <w:hyperlink w:anchor="_ENREF_42" w:tooltip="Uchida, 2010 #70" w:history="1">
        <w:r w:rsidRPr="00E754A5">
          <w:rPr>
            <w:rFonts w:ascii="Book Antiqua" w:eastAsia="Book Antiqua" w:hAnsi="Book Antiqua" w:cs="Book Antiqua"/>
            <w:color w:val="000000"/>
            <w:vertAlign w:val="superscript"/>
          </w:rPr>
          <w:t>42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EE-induced cholestatic liver injury, hepatic mRNA levels of</w:t>
      </w:r>
      <w:r w:rsidRPr="00E754A5">
        <w:rPr>
          <w:rFonts w:ascii="Book Antiqua" w:eastAsia="Book Antiqua" w:hAnsi="Book Antiqua" w:cs="Book Antiqua"/>
          <w:iCs/>
          <w:color w:val="000000"/>
        </w:rPr>
        <w:t xml:space="preserve"> Tlr2</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4</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6</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7</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9</w:t>
      </w:r>
      <w:r w:rsidRPr="00E754A5">
        <w:rPr>
          <w:rFonts w:ascii="Book Antiqua" w:eastAsia="Book Antiqua" w:hAnsi="Book Antiqua" w:cs="Book Antiqua"/>
          <w:color w:val="000000"/>
        </w:rPr>
        <w:t xml:space="preserve"> were markedly increased (Figure 4). CD1d knockout mice (lacking NKT cells) exhibit enhanced (&gt;</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4-fold) proinflammatory cytokine secretion and higher mRNA levels of TLR4 in the kidney of a nonalcoholic fatty liver disease model</w:t>
      </w:r>
      <w:r w:rsidRPr="00E754A5">
        <w:rPr>
          <w:rFonts w:ascii="Book Antiqua" w:eastAsia="Book Antiqua" w:hAnsi="Book Antiqua" w:cs="Book Antiqua"/>
          <w:color w:val="000000"/>
          <w:szCs w:val="30"/>
          <w:vertAlign w:val="superscript"/>
        </w:rPr>
        <w:t>[</w:t>
      </w:r>
      <w:hyperlink w:anchor="_ENREF_43" w:tooltip="Alhasson, 2016 #71" w:history="1">
        <w:r w:rsidRPr="00E754A5">
          <w:rPr>
            <w:rFonts w:ascii="Book Antiqua" w:eastAsia="Book Antiqua" w:hAnsi="Book Antiqua" w:cs="Book Antiqua"/>
            <w:color w:val="000000"/>
            <w:vertAlign w:val="superscript"/>
          </w:rPr>
          <w:t>43</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In the present study, iNKT cell deficiency significantly downregulated the expression of the above TLRs compared with C57BL/6J mice (Figure 4), suggesting the effect of iNKT cells on the </w:t>
      </w:r>
      <w:r w:rsidRPr="00E754A5">
        <w:rPr>
          <w:rFonts w:ascii="Book Antiqua" w:eastAsia="Book Antiqua" w:hAnsi="Book Antiqua" w:cs="Book Antiqua"/>
          <w:color w:val="000000"/>
        </w:rPr>
        <w:lastRenderedPageBreak/>
        <w:t>expression of TLRs. NKT cells have been found to express certain functional TLRs</w:t>
      </w:r>
      <w:r w:rsidRPr="00E754A5">
        <w:rPr>
          <w:rFonts w:ascii="Book Antiqua" w:eastAsia="Book Antiqua" w:hAnsi="Book Antiqua" w:cs="Book Antiqua"/>
          <w:color w:val="000000"/>
          <w:szCs w:val="30"/>
          <w:vertAlign w:val="superscript"/>
        </w:rPr>
        <w:t>[</w:t>
      </w:r>
      <w:hyperlink w:anchor="_ENREF_24" w:tooltip="Kulkarni, 2017 #72" w:history="1">
        <w:r w:rsidRPr="00E754A5">
          <w:rPr>
            <w:rFonts w:ascii="Book Antiqua" w:eastAsia="Book Antiqua" w:hAnsi="Book Antiqua" w:cs="Book Antiqua"/>
            <w:color w:val="000000"/>
            <w:vertAlign w:val="superscript"/>
          </w:rPr>
          <w:t>24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 IHC results of TLR9 showed a similar trend as the mRNA levels (Figure 4F). In a murine autoimmune hepatitis model induced by concanavalin A, NKT cells infiltrate and are activated, promoted by TLR9 stimulation, thereby leading to aggravated hepatotoxicity</w:t>
      </w:r>
      <w:r w:rsidRPr="00E754A5">
        <w:rPr>
          <w:rFonts w:ascii="Book Antiqua" w:eastAsia="Book Antiqua" w:hAnsi="Book Antiqua" w:cs="Book Antiqua"/>
          <w:color w:val="000000"/>
          <w:szCs w:val="30"/>
          <w:vertAlign w:val="superscript"/>
        </w:rPr>
        <w:t>[</w:t>
      </w:r>
      <w:hyperlink w:anchor="_ENREF_44" w:tooltip="Jiang, 2009 #14" w:history="1">
        <w:r w:rsidRPr="00E754A5">
          <w:rPr>
            <w:rFonts w:ascii="Book Antiqua" w:eastAsia="Book Antiqua" w:hAnsi="Book Antiqua" w:cs="Book Antiqua"/>
            <w:color w:val="000000"/>
            <w:vertAlign w:val="superscript"/>
          </w:rPr>
          <w:t>44</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The PI3K/Akt and Ras/Raf/MEK/ERK signaling pathways are considered to be activated and function following inflammation</w:t>
      </w:r>
      <w:r w:rsidRPr="00E754A5">
        <w:rPr>
          <w:rFonts w:ascii="Book Antiqua" w:eastAsia="Book Antiqua" w:hAnsi="Book Antiqua" w:cs="Book Antiqua"/>
          <w:color w:val="000000"/>
          <w:szCs w:val="30"/>
          <w:vertAlign w:val="superscript"/>
        </w:rPr>
        <w:t>[</w:t>
      </w:r>
      <w:hyperlink w:anchor="_ENREF_45" w:tooltip="Choi, 2009 #77" w:history="1">
        <w:r w:rsidRPr="00E754A5">
          <w:rPr>
            <w:rFonts w:ascii="Book Antiqua" w:eastAsia="Book Antiqua" w:hAnsi="Book Antiqua" w:cs="Book Antiqua"/>
            <w:color w:val="000000"/>
            <w:vertAlign w:val="superscript"/>
          </w:rPr>
          <w:t>45</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which further upregulates proinflammatory mediators in cholestasis</w:t>
      </w:r>
      <w:r w:rsidRPr="00E754A5">
        <w:rPr>
          <w:rFonts w:ascii="Book Antiqua" w:eastAsia="Book Antiqua" w:hAnsi="Book Antiqua" w:cs="Book Antiqua"/>
          <w:color w:val="000000"/>
          <w:szCs w:val="30"/>
          <w:vertAlign w:val="superscript"/>
        </w:rPr>
        <w:t>[</w:t>
      </w:r>
      <w:hyperlink w:anchor="_ENREF_46" w:tooltip="Xiang, 2021 #33" w:history="1">
        <w:r w:rsidRPr="00E754A5">
          <w:rPr>
            <w:rFonts w:ascii="Book Antiqua" w:eastAsia="Book Antiqua" w:hAnsi="Book Antiqua" w:cs="Book Antiqua"/>
            <w:color w:val="000000"/>
            <w:vertAlign w:val="superscript"/>
          </w:rPr>
          <w:t>46</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Our data demonstrated that the mRNA levels of the downstream pathways</w:t>
      </w:r>
      <w:r w:rsidRPr="00E754A5">
        <w:rPr>
          <w:rFonts w:ascii="Book Antiqua" w:eastAsia="Book Antiqua" w:hAnsi="Book Antiqua" w:cs="Book Antiqua"/>
          <w:iCs/>
          <w:color w:val="000000"/>
        </w:rPr>
        <w:t xml:space="preserve"> Ras/Raf</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Pi3k/Bad</w:t>
      </w:r>
      <w:r w:rsidRPr="00E754A5">
        <w:rPr>
          <w:rFonts w:ascii="Book Antiqua" w:eastAsia="Book Antiqua" w:hAnsi="Book Antiqua" w:cs="Book Antiqua"/>
          <w:color w:val="000000"/>
        </w:rPr>
        <w:t xml:space="preserve"> were also upregulated, while iNKT cell deficiency suppressed their upregulation (Figure 5). These results indicated that iNKT cell deletion affected TLRs and their downstream Ras/Raf and PI3K/Bad signaling.</w:t>
      </w:r>
    </w:p>
    <w:p w14:paraId="3AFBAF70" w14:textId="77777777" w:rsidR="00E53200" w:rsidRPr="00E754A5" w:rsidRDefault="00F70B62">
      <w:pPr>
        <w:spacing w:line="360" w:lineRule="auto"/>
        <w:ind w:firstLineChars="100" w:firstLine="240"/>
        <w:jc w:val="both"/>
      </w:pPr>
      <w:r w:rsidRPr="00E754A5">
        <w:rPr>
          <w:rFonts w:ascii="Book Antiqua" w:eastAsia="Book Antiqua" w:hAnsi="Book Antiqua" w:cs="Book Antiqua"/>
          <w:color w:val="000000"/>
        </w:rPr>
        <w:t>Growing numbers of studies have reported that hepatocyte TJs, constituting hepatocyte polarization, play a pivotal role in the maintenance of the epithelial barrier and permeability; therefore, their structural disruption can lead to the leakage of bile components into blood circulation, bile acid homeostasis disorder, and cholestatic liver injury</w:t>
      </w:r>
      <w:r w:rsidRPr="00E754A5">
        <w:rPr>
          <w:rFonts w:ascii="Book Antiqua" w:eastAsia="Book Antiqua" w:hAnsi="Book Antiqua" w:cs="Book Antiqua"/>
          <w:color w:val="000000"/>
          <w:szCs w:val="30"/>
          <w:vertAlign w:val="superscript"/>
        </w:rPr>
        <w:t>[</w:t>
      </w:r>
      <w:hyperlink w:anchor="_ENREF_47" w:tooltip="Gissen, 2015 #78" w:history="1">
        <w:r w:rsidRPr="00E754A5">
          <w:rPr>
            <w:rFonts w:ascii="Book Antiqua" w:eastAsia="Book Antiqua" w:hAnsi="Book Antiqua" w:cs="Book Antiqua"/>
            <w:color w:val="000000"/>
            <w:vertAlign w:val="superscript"/>
          </w:rPr>
          <w:t>47</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TJ damage can be found in obstructive jaundice patients</w:t>
      </w:r>
      <w:r w:rsidRPr="00E754A5">
        <w:rPr>
          <w:rFonts w:ascii="Book Antiqua" w:eastAsia="Book Antiqua" w:hAnsi="Book Antiqua" w:cs="Book Antiqua"/>
          <w:color w:val="000000"/>
          <w:szCs w:val="30"/>
          <w:vertAlign w:val="superscript"/>
        </w:rPr>
        <w:t>[</w:t>
      </w:r>
      <w:hyperlink w:anchor="_ENREF_48" w:tooltip="Assimakopoulos, 2011 #79" w:history="1">
        <w:r w:rsidRPr="00E754A5">
          <w:rPr>
            <w:rFonts w:ascii="Book Antiqua" w:eastAsia="Book Antiqua" w:hAnsi="Book Antiqua" w:cs="Book Antiqua"/>
            <w:color w:val="000000"/>
            <w:vertAlign w:val="superscript"/>
          </w:rPr>
          <w:t>48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xml:space="preserve"> and murine cholestatic models of ANIT</w:t>
      </w:r>
      <w:r w:rsidRPr="00E754A5">
        <w:rPr>
          <w:rFonts w:ascii="Book Antiqua" w:eastAsia="Book Antiqua" w:hAnsi="Book Antiqua" w:cs="Book Antiqua"/>
          <w:color w:val="000000"/>
          <w:szCs w:val="30"/>
          <w:vertAlign w:val="superscript"/>
        </w:rPr>
        <w:t>[</w:t>
      </w:r>
      <w:hyperlink w:anchor="_ENREF_28" w:tooltip="Yang, 2021 #37" w:history="1">
        <w:r w:rsidRPr="00E754A5">
          <w:rPr>
            <w:rFonts w:ascii="Book Antiqua" w:eastAsia="Book Antiqua" w:hAnsi="Book Antiqua" w:cs="Book Antiqua"/>
            <w:color w:val="000000"/>
            <w:vertAlign w:val="superscript"/>
          </w:rPr>
          <w:t>28</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carbon tetrachloride</w:t>
      </w:r>
      <w:r w:rsidRPr="00E754A5">
        <w:rPr>
          <w:rFonts w:ascii="Book Antiqua" w:eastAsia="Book Antiqua" w:hAnsi="Book Antiqua" w:cs="Book Antiqua"/>
          <w:color w:val="000000"/>
          <w:szCs w:val="30"/>
          <w:vertAlign w:val="superscript"/>
        </w:rPr>
        <w:t>[</w:t>
      </w:r>
      <w:hyperlink w:anchor="_ENREF_49" w:tooltip="Horikoshi, 2015 #81" w:history="1">
        <w:r w:rsidRPr="00E754A5">
          <w:rPr>
            <w:rFonts w:ascii="Book Antiqua" w:eastAsia="Book Antiqua" w:hAnsi="Book Antiqua" w:cs="Book Antiqua"/>
            <w:color w:val="000000"/>
            <w:vertAlign w:val="superscript"/>
          </w:rPr>
          <w:t>49</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BDL</w:t>
      </w:r>
      <w:r w:rsidRPr="00E754A5">
        <w:rPr>
          <w:rFonts w:ascii="Book Antiqua" w:eastAsia="Book Antiqua" w:hAnsi="Book Antiqua" w:cs="Book Antiqua"/>
          <w:color w:val="000000"/>
          <w:szCs w:val="30"/>
          <w:vertAlign w:val="superscript"/>
        </w:rPr>
        <w:t>[</w:t>
      </w:r>
      <w:hyperlink w:anchor="_ENREF_50" w:tooltip="Fallon, 1993 #82" w:history="1">
        <w:r w:rsidRPr="00E754A5">
          <w:rPr>
            <w:rFonts w:ascii="Book Antiqua" w:eastAsia="Book Antiqua" w:hAnsi="Book Antiqua" w:cs="Book Antiqua"/>
            <w:color w:val="000000"/>
            <w:vertAlign w:val="superscript"/>
          </w:rPr>
          <w:t>50</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and EE</w:t>
      </w:r>
      <w:r w:rsidRPr="00E754A5">
        <w:rPr>
          <w:rFonts w:ascii="Book Antiqua" w:eastAsia="Book Antiqua" w:hAnsi="Book Antiqua" w:cs="Book Antiqua"/>
          <w:color w:val="000000"/>
          <w:szCs w:val="30"/>
          <w:vertAlign w:val="superscript"/>
        </w:rPr>
        <w:t>[</w:t>
      </w:r>
      <w:hyperlink w:anchor="_ENREF_51" w:tooltip="Landmann, 1995 #83" w:history="1">
        <w:r w:rsidRPr="00E754A5">
          <w:rPr>
            <w:rFonts w:ascii="Book Antiqua" w:eastAsia="Book Antiqua" w:hAnsi="Book Antiqua" w:cs="Book Antiqua"/>
            <w:color w:val="000000"/>
            <w:vertAlign w:val="superscript"/>
          </w:rPr>
          <w:t>51</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Inflammation has been associated with structural and functional alterations of hepatic TJs</w:t>
      </w:r>
      <w:r w:rsidRPr="00E754A5">
        <w:rPr>
          <w:rFonts w:ascii="Book Antiqua" w:eastAsia="Book Antiqua" w:hAnsi="Book Antiqua" w:cs="Book Antiqua"/>
          <w:color w:val="000000"/>
          <w:szCs w:val="30"/>
          <w:vertAlign w:val="superscript"/>
        </w:rPr>
        <w:t>[</w:t>
      </w:r>
      <w:hyperlink w:anchor="_ENREF_52" w:tooltip="Han, 2004 #84" w:history="1">
        <w:r w:rsidRPr="00E754A5">
          <w:rPr>
            <w:rFonts w:ascii="Book Antiqua" w:eastAsia="Book Antiqua" w:hAnsi="Book Antiqua" w:cs="Book Antiqua"/>
            <w:color w:val="000000"/>
            <w:vertAlign w:val="superscript"/>
          </w:rPr>
          <w:t>52</w:t>
        </w:r>
      </w:hyperlink>
      <w:r w:rsidRPr="00E754A5">
        <w:rPr>
          <w:rFonts w:ascii="Book Antiqua" w:eastAsia="Book Antiqua" w:hAnsi="Book Antiqua" w:cs="Book Antiqua"/>
          <w:color w:val="000000"/>
          <w:vertAlign w:val="superscript"/>
        </w:rPr>
        <w:t>]</w:t>
      </w:r>
      <w:r w:rsidRPr="00E754A5">
        <w:rPr>
          <w:rFonts w:ascii="Book Antiqua" w:eastAsia="Book Antiqua" w:hAnsi="Book Antiqua" w:cs="Book Antiqua"/>
          <w:color w:val="000000"/>
        </w:rPr>
        <w:t>. In the present study, the results showed that iNKT cell-deficient mice ameliorated disorders of bile acid synthesis and TJs (Figure 6) and restored previously deteriorated bile acid homeostasis and hepatocyte barrier function, contributing to the mitigation of EE-induced cholestatic hepatotoxicity.</w:t>
      </w:r>
    </w:p>
    <w:p w14:paraId="648638E5" w14:textId="77777777" w:rsidR="00E53200" w:rsidRPr="00E754A5" w:rsidRDefault="00E53200">
      <w:pPr>
        <w:spacing w:line="360" w:lineRule="auto"/>
        <w:ind w:firstLine="418"/>
        <w:jc w:val="both"/>
      </w:pPr>
    </w:p>
    <w:p w14:paraId="0C41A7E6"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t>CONCLUSION</w:t>
      </w:r>
    </w:p>
    <w:p w14:paraId="4DD2DBF3" w14:textId="77777777" w:rsidR="00E53200" w:rsidRPr="00E754A5" w:rsidRDefault="00F70B62">
      <w:pPr>
        <w:spacing w:line="360" w:lineRule="auto"/>
        <w:jc w:val="both"/>
      </w:pPr>
      <w:r w:rsidRPr="00E754A5">
        <w:rPr>
          <w:rFonts w:ascii="Book Antiqua" w:eastAsia="Book Antiqua" w:hAnsi="Book Antiqua" w:cs="Book Antiqua"/>
          <w:color w:val="000000"/>
        </w:rPr>
        <w:t xml:space="preserve">In EE-induced cholestatic hepatotoxicity, EE promoted hepatic NKT-cell proliferation and activation, which contributed to Th1 cytokine bias and influenced the liver immune microenvironment. EE also upregulated the expression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 xml:space="preserve">, TLRs, and downstream </w:t>
      </w:r>
      <w:r w:rsidRPr="00E754A5">
        <w:rPr>
          <w:rFonts w:ascii="Book Antiqua" w:eastAsia="Book Antiqua" w:hAnsi="Book Antiqua" w:cs="Book Antiqua"/>
          <w:iCs/>
          <w:color w:val="000000"/>
        </w:rPr>
        <w:t>Ras/Rad</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PI3K/Bad</w:t>
      </w:r>
      <w:r w:rsidRPr="00E754A5">
        <w:rPr>
          <w:rFonts w:ascii="Book Antiqua" w:eastAsia="Book Antiqua" w:hAnsi="Book Antiqua" w:cs="Book Antiqua"/>
          <w:color w:val="000000"/>
        </w:rPr>
        <w:t xml:space="preserve"> signaling. Moreover, EE influenced the levels of the bile acid synthase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Cyp8b1</w:t>
      </w:r>
      <w:r w:rsidRPr="00E754A5">
        <w:rPr>
          <w:rFonts w:ascii="Book Antiqua" w:eastAsia="Book Antiqua" w:hAnsi="Book Antiqua" w:cs="Book Antiqua"/>
          <w:color w:val="000000"/>
        </w:rPr>
        <w:t xml:space="preserve"> and the TJs ZO-1 and Occludin. iNKT cell </w:t>
      </w:r>
      <w:r w:rsidRPr="00E754A5">
        <w:rPr>
          <w:rFonts w:ascii="Book Antiqua" w:eastAsia="Book Antiqua" w:hAnsi="Book Antiqua" w:cs="Book Antiqua"/>
          <w:color w:val="000000"/>
        </w:rPr>
        <w:lastRenderedPageBreak/>
        <w:t>deficiency significantly alleviated cholestatic liver damage and downregulated the abovementioned signaling pathways, indicating the pathogenic effects of hepatic iNKT cells in EE-induced cholestatic liver damage. It is noteworthy that mouse and human NKT cells share similar functions, including the killing of tumor/infected cells by cytotoxicity and their crucial role in autoimmunity</w:t>
      </w:r>
      <w:r w:rsidRPr="00E754A5">
        <w:rPr>
          <w:rFonts w:ascii="Book Antiqua" w:eastAsia="Book Antiqua" w:hAnsi="Book Antiqua" w:cs="Book Antiqua"/>
          <w:color w:val="000000"/>
          <w:szCs w:val="30"/>
          <w:vertAlign w:val="superscript"/>
        </w:rPr>
        <w:t>[</w:t>
      </w:r>
      <w:hyperlink w:anchor="_ENREF_53" w:tooltip="Takahashi, 2002 #85" w:history="1">
        <w:r w:rsidRPr="00E754A5">
          <w:rPr>
            <w:rFonts w:ascii="Book Antiqua" w:eastAsia="Book Antiqua" w:hAnsi="Book Antiqua" w:cs="Book Antiqua"/>
            <w:color w:val="000000"/>
            <w:szCs w:val="20"/>
            <w:vertAlign w:val="superscript"/>
          </w:rPr>
          <w:t>53</w:t>
        </w:r>
      </w:hyperlink>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Therefore, regulation of NKT-cell activation may serve as a potential therapeutic strategy with clinical implications for cholestatic diseases.</w:t>
      </w:r>
    </w:p>
    <w:p w14:paraId="2D4CD85D" w14:textId="77777777" w:rsidR="00E53200" w:rsidRPr="00E754A5" w:rsidRDefault="00E53200">
      <w:pPr>
        <w:spacing w:line="360" w:lineRule="auto"/>
        <w:jc w:val="both"/>
      </w:pPr>
    </w:p>
    <w:p w14:paraId="78152E84"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t>ARTICLE HIGHLIGHTS</w:t>
      </w:r>
    </w:p>
    <w:p w14:paraId="5FA669C6" w14:textId="77777777" w:rsidR="00E53200" w:rsidRPr="00E754A5" w:rsidRDefault="00F70B62">
      <w:pPr>
        <w:spacing w:line="360" w:lineRule="auto"/>
        <w:jc w:val="both"/>
      </w:pPr>
      <w:r w:rsidRPr="00E754A5">
        <w:rPr>
          <w:rFonts w:ascii="Book Antiqua" w:eastAsia="Book Antiqua" w:hAnsi="Book Antiqua" w:cs="Book Antiqua"/>
          <w:b/>
          <w:i/>
          <w:color w:val="000000"/>
        </w:rPr>
        <w:t>Research background</w:t>
      </w:r>
    </w:p>
    <w:p w14:paraId="0E34B975" w14:textId="77777777" w:rsidR="00E53200" w:rsidRPr="00E754A5" w:rsidRDefault="00F70B62">
      <w:pPr>
        <w:spacing w:line="360" w:lineRule="auto"/>
        <w:jc w:val="both"/>
      </w:pPr>
      <w:r w:rsidRPr="00E754A5">
        <w:rPr>
          <w:rFonts w:ascii="Book Antiqua" w:eastAsia="Book Antiqua" w:hAnsi="Book Antiqua" w:cs="Book Antiqua"/>
          <w:color w:val="000000"/>
        </w:rPr>
        <w:t>Cholestasis is mild and common during liver diseases but is also a crucial triggering element of severe hepatopathy. As the predominant component of oral contraceptives (OCs) and hormone replacement therapy, 17α-</w:t>
      </w:r>
      <w:r w:rsidRPr="00E754A5">
        <w:rPr>
          <w:rFonts w:ascii="Book Antiqua" w:hAnsi="Book Antiqua" w:cs="Book Antiqua" w:hint="eastAsia"/>
          <w:color w:val="000000"/>
          <w:lang w:eastAsia="zh-CN"/>
        </w:rPr>
        <w:t>e</w:t>
      </w:r>
      <w:r w:rsidRPr="00E754A5">
        <w:rPr>
          <w:rFonts w:ascii="Book Antiqua" w:eastAsia="Book Antiqua" w:hAnsi="Book Antiqua" w:cs="Book Antiqua"/>
          <w:color w:val="000000"/>
        </w:rPr>
        <w:t>thinylestradiol (EE) is used as a model drug to induce murine intrahepatic cholestasis (IHC). The clinical counterpart of EE-induced IHC includes women who are taking OCs, postmenopausal replacement therapy, and susceptible pregnant women.</w:t>
      </w:r>
    </w:p>
    <w:p w14:paraId="17BB7FE5" w14:textId="77777777" w:rsidR="00E53200" w:rsidRPr="00E754A5" w:rsidRDefault="00E53200">
      <w:pPr>
        <w:spacing w:line="360" w:lineRule="auto"/>
        <w:jc w:val="both"/>
      </w:pPr>
    </w:p>
    <w:p w14:paraId="0F26251F" w14:textId="77777777" w:rsidR="00E53200" w:rsidRPr="00E754A5" w:rsidRDefault="00F70B62">
      <w:pPr>
        <w:spacing w:line="360" w:lineRule="auto"/>
        <w:jc w:val="both"/>
      </w:pPr>
      <w:r w:rsidRPr="00E754A5">
        <w:rPr>
          <w:rFonts w:ascii="Book Antiqua" w:eastAsia="Book Antiqua" w:hAnsi="Book Antiqua" w:cs="Book Antiqua"/>
          <w:b/>
          <w:i/>
          <w:color w:val="000000"/>
        </w:rPr>
        <w:t>Research motivation</w:t>
      </w:r>
    </w:p>
    <w:p w14:paraId="456AE131" w14:textId="77777777" w:rsidR="00E53200" w:rsidRPr="00E754A5" w:rsidRDefault="00F70B62">
      <w:pPr>
        <w:spacing w:line="360" w:lineRule="auto"/>
        <w:jc w:val="both"/>
      </w:pPr>
      <w:r w:rsidRPr="00E754A5">
        <w:rPr>
          <w:rFonts w:ascii="Book Antiqua" w:eastAsia="Book Antiqua" w:hAnsi="Book Antiqua" w:cs="Book Antiqua"/>
          <w:color w:val="000000"/>
        </w:rPr>
        <w:t>The significance of the local immune microenvironment in the liver has been emphasized because estrogens are immunomodulators that are metabolized in the liver.</w:t>
      </w:r>
    </w:p>
    <w:p w14:paraId="304DE0DB" w14:textId="77777777" w:rsidR="00E53200" w:rsidRPr="00E754A5" w:rsidRDefault="00E53200">
      <w:pPr>
        <w:spacing w:line="360" w:lineRule="auto"/>
        <w:jc w:val="both"/>
      </w:pPr>
    </w:p>
    <w:p w14:paraId="36B7F30C" w14:textId="77777777" w:rsidR="00E53200" w:rsidRPr="00E754A5" w:rsidRDefault="00F70B62">
      <w:pPr>
        <w:spacing w:line="360" w:lineRule="auto"/>
        <w:jc w:val="both"/>
      </w:pPr>
      <w:r w:rsidRPr="00E754A5">
        <w:rPr>
          <w:rFonts w:ascii="Book Antiqua" w:eastAsia="Book Antiqua" w:hAnsi="Book Antiqua" w:cs="Book Antiqua"/>
          <w:b/>
          <w:i/>
          <w:color w:val="000000"/>
        </w:rPr>
        <w:t>Research objectives</w:t>
      </w:r>
    </w:p>
    <w:p w14:paraId="49F3E3C2" w14:textId="77777777" w:rsidR="00E53200" w:rsidRPr="00E754A5" w:rsidRDefault="00F70B62">
      <w:pPr>
        <w:spacing w:line="360" w:lineRule="auto"/>
        <w:jc w:val="both"/>
      </w:pPr>
      <w:r w:rsidRPr="00E754A5">
        <w:rPr>
          <w:rFonts w:ascii="Book Antiqua" w:eastAsia="Book Antiqua" w:hAnsi="Book Antiqua" w:cs="Book Antiqua"/>
          <w:color w:val="000000"/>
        </w:rPr>
        <w:t>The aim of the present study was to investigate the effects and mechanisms of natural killer T (NKT) cells in a murine model of EE-induced cholestatic hepatotoxicity.</w:t>
      </w:r>
    </w:p>
    <w:p w14:paraId="2C755F7F" w14:textId="77777777" w:rsidR="00E53200" w:rsidRPr="00E754A5" w:rsidRDefault="00E53200">
      <w:pPr>
        <w:spacing w:line="360" w:lineRule="auto"/>
        <w:jc w:val="both"/>
      </w:pPr>
    </w:p>
    <w:p w14:paraId="2DDD52B2" w14:textId="77777777" w:rsidR="00E53200" w:rsidRPr="00E754A5" w:rsidRDefault="00F70B62">
      <w:pPr>
        <w:spacing w:line="360" w:lineRule="auto"/>
        <w:jc w:val="both"/>
      </w:pPr>
      <w:r w:rsidRPr="00E754A5">
        <w:rPr>
          <w:rFonts w:ascii="Book Antiqua" w:eastAsia="Book Antiqua" w:hAnsi="Book Antiqua" w:cs="Book Antiqua"/>
          <w:b/>
          <w:i/>
          <w:color w:val="000000"/>
        </w:rPr>
        <w:t>Research methods</w:t>
      </w:r>
    </w:p>
    <w:p w14:paraId="1EBA3C0D" w14:textId="77777777" w:rsidR="00E53200" w:rsidRPr="00E754A5" w:rsidRDefault="00F70B62">
      <w:pPr>
        <w:spacing w:line="360" w:lineRule="auto"/>
        <w:jc w:val="both"/>
      </w:pPr>
      <w:r w:rsidRPr="00E754A5">
        <w:rPr>
          <w:rFonts w:ascii="Book Antiqua" w:eastAsia="Book Antiqua" w:hAnsi="Book Antiqua" w:cs="Book Antiqua"/>
          <w:color w:val="000000"/>
        </w:rPr>
        <w:t>Male C57BL/6J mice or invariant NKT (iNKT) cell deficiency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were administered with EE (10 mg/kg, subcutaneous) for 14 d. </w:t>
      </w:r>
    </w:p>
    <w:p w14:paraId="699E79D7" w14:textId="77777777" w:rsidR="00E53200" w:rsidRPr="00E754A5" w:rsidRDefault="00E53200">
      <w:pPr>
        <w:spacing w:line="360" w:lineRule="auto"/>
        <w:jc w:val="both"/>
      </w:pPr>
    </w:p>
    <w:p w14:paraId="7FB51301" w14:textId="77777777" w:rsidR="00E53200" w:rsidRPr="00E754A5" w:rsidRDefault="00F70B62">
      <w:pPr>
        <w:spacing w:line="360" w:lineRule="auto"/>
        <w:jc w:val="both"/>
      </w:pPr>
      <w:r w:rsidRPr="00E754A5">
        <w:rPr>
          <w:rFonts w:ascii="Book Antiqua" w:eastAsia="Book Antiqua" w:hAnsi="Book Antiqua" w:cs="Book Antiqua"/>
          <w:b/>
          <w:i/>
          <w:color w:val="000000"/>
        </w:rPr>
        <w:lastRenderedPageBreak/>
        <w:t>Research results</w:t>
      </w:r>
    </w:p>
    <w:p w14:paraId="60A70EC3" w14:textId="77777777" w:rsidR="00E53200" w:rsidRPr="00E754A5" w:rsidRDefault="00F70B62">
      <w:pPr>
        <w:spacing w:line="360" w:lineRule="auto"/>
        <w:jc w:val="both"/>
      </w:pPr>
      <w:r w:rsidRPr="00E754A5">
        <w:rPr>
          <w:rFonts w:ascii="Book Antiqua" w:eastAsia="Book Antiqua" w:hAnsi="Book Antiqua" w:cs="Book Antiqua"/>
          <w:color w:val="000000"/>
        </w:rPr>
        <w:t xml:space="preserve">Both Th1 and Th2 cytokines produced by NKT cells increased in the liver skewing toward a Th1 bias. The expression of the chemokine/chemokine receptor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w:t>
      </w:r>
      <w:r w:rsidRPr="00E754A5">
        <w:rPr>
          <w:rFonts w:ascii="Book Antiqua" w:eastAsia="Book Antiqua" w:hAnsi="Book Antiqua" w:cs="Book Antiqua"/>
          <w:iCs/>
          <w:color w:val="000000"/>
        </w:rPr>
        <w:t xml:space="preserve"> </w:t>
      </w:r>
      <w:r w:rsidRPr="00E754A5">
        <w:rPr>
          <w:rFonts w:ascii="Book Antiqua" w:hAnsi="Book Antiqua" w:cs="Book Antiqua" w:hint="eastAsia"/>
          <w:iCs/>
          <w:color w:val="000000"/>
          <w:lang w:eastAsia="zh-CN"/>
        </w:rPr>
        <w:t>t</w:t>
      </w:r>
      <w:r w:rsidRPr="00E754A5">
        <w:rPr>
          <w:rFonts w:ascii="Book Antiqua" w:eastAsia="Book Antiqua" w:hAnsi="Book Antiqua" w:cs="Book Antiqua"/>
          <w:iCs/>
          <w:color w:val="000000"/>
        </w:rPr>
        <w:t>oll-like receptors</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Ras/Rad,</w:t>
      </w:r>
      <w:r w:rsidRPr="00E754A5">
        <w:rPr>
          <w:rFonts w:ascii="Book Antiqua" w:eastAsia="Book Antiqua" w:hAnsi="Book Antiqua" w:cs="Book Antiqua"/>
          <w:color w:val="000000"/>
        </w:rPr>
        <w:t xml:space="preserve"> and </w:t>
      </w:r>
      <w:r w:rsidRPr="00E754A5">
        <w:rPr>
          <w:rFonts w:ascii="Book Antiqua" w:eastAsia="Book Antiqua" w:hAnsi="Book Antiqua" w:cs="Book Antiqua"/>
          <w:iCs/>
          <w:color w:val="000000"/>
        </w:rPr>
        <w:t>PI3K/Bad</w:t>
      </w:r>
      <w:r w:rsidRPr="00E754A5">
        <w:rPr>
          <w:rFonts w:ascii="Book Antiqua" w:eastAsia="Book Antiqua" w:hAnsi="Book Antiqua" w:cs="Book Antiqua"/>
          <w:color w:val="000000"/>
        </w:rPr>
        <w:t xml:space="preserve"> signaling was upregulated after EE administration. EE also influenced bile acid synthase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w:t>
      </w:r>
      <w:r w:rsidRPr="00E754A5">
        <w:rPr>
          <w:rFonts w:ascii="Book Antiqua" w:eastAsia="Book Antiqua" w:hAnsi="Book Antiqua" w:cs="Book Antiqua"/>
          <w:iCs/>
          <w:color w:val="000000"/>
        </w:rPr>
        <w:t>Cyp8b1</w:t>
      </w:r>
      <w:r w:rsidRPr="00E754A5">
        <w:rPr>
          <w:rFonts w:ascii="Book Antiqua" w:eastAsia="Book Antiqua" w:hAnsi="Book Antiqua" w:cs="Book Antiqua"/>
          <w:color w:val="000000"/>
        </w:rPr>
        <w:t>, and tight junctions ZO-1 and Occludin, which might be associated with EE-induced cholestasis. iNKT cell deficiency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robustly alleviated cholestatic liver damage and lowered the expression of the abovementioned signaling pathways.</w:t>
      </w:r>
    </w:p>
    <w:p w14:paraId="03EE435B" w14:textId="77777777" w:rsidR="00E53200" w:rsidRPr="00E754A5" w:rsidRDefault="00E53200">
      <w:pPr>
        <w:spacing w:line="360" w:lineRule="auto"/>
        <w:jc w:val="both"/>
      </w:pPr>
    </w:p>
    <w:p w14:paraId="669ABED7" w14:textId="77777777" w:rsidR="00E53200" w:rsidRPr="00E754A5" w:rsidRDefault="00F70B62">
      <w:pPr>
        <w:spacing w:line="360" w:lineRule="auto"/>
        <w:jc w:val="both"/>
      </w:pPr>
      <w:r w:rsidRPr="00E754A5">
        <w:rPr>
          <w:rFonts w:ascii="Book Antiqua" w:eastAsia="Book Antiqua" w:hAnsi="Book Antiqua" w:cs="Book Antiqua"/>
          <w:b/>
          <w:i/>
          <w:color w:val="000000"/>
        </w:rPr>
        <w:t>Research conclusions</w:t>
      </w:r>
    </w:p>
    <w:p w14:paraId="59983491" w14:textId="77777777" w:rsidR="00E53200" w:rsidRPr="00E754A5" w:rsidRDefault="00F70B62">
      <w:pPr>
        <w:spacing w:line="360" w:lineRule="auto"/>
        <w:jc w:val="both"/>
      </w:pPr>
      <w:r w:rsidRPr="00E754A5">
        <w:rPr>
          <w:rFonts w:ascii="Book Antiqua" w:eastAsia="Book Antiqua" w:hAnsi="Book Antiqua" w:cs="Book Antiqua"/>
          <w:color w:val="000000"/>
        </w:rPr>
        <w:t>The present study demonstrated that hepatic NKT cells play a pathogenic role in EE-induced intrahepatic cholestasis, contributing to the development of the IHC mechanisms and the potential treatment targeting NKT cells.</w:t>
      </w:r>
    </w:p>
    <w:p w14:paraId="3F257F2F" w14:textId="77777777" w:rsidR="00E53200" w:rsidRPr="00E754A5" w:rsidRDefault="00E53200">
      <w:pPr>
        <w:spacing w:line="360" w:lineRule="auto"/>
        <w:jc w:val="both"/>
      </w:pPr>
    </w:p>
    <w:p w14:paraId="1C8D061E" w14:textId="77777777" w:rsidR="00E53200" w:rsidRPr="00E754A5" w:rsidRDefault="00F70B62">
      <w:pPr>
        <w:spacing w:line="360" w:lineRule="auto"/>
        <w:jc w:val="both"/>
      </w:pPr>
      <w:r w:rsidRPr="00E754A5">
        <w:rPr>
          <w:rFonts w:ascii="Book Antiqua" w:eastAsia="Book Antiqua" w:hAnsi="Book Antiqua" w:cs="Book Antiqua"/>
          <w:b/>
          <w:i/>
          <w:color w:val="000000"/>
        </w:rPr>
        <w:t>Research perspectives</w:t>
      </w:r>
    </w:p>
    <w:p w14:paraId="693070C8" w14:textId="77777777" w:rsidR="00E53200" w:rsidRPr="00E754A5" w:rsidRDefault="00F70B62">
      <w:pPr>
        <w:spacing w:line="360" w:lineRule="auto"/>
        <w:jc w:val="both"/>
      </w:pPr>
      <w:r w:rsidRPr="00E754A5">
        <w:rPr>
          <w:rFonts w:ascii="Book Antiqua" w:eastAsia="Book Antiqua" w:hAnsi="Book Antiqua" w:cs="Book Antiqua"/>
          <w:color w:val="000000"/>
        </w:rPr>
        <w:t>Hepatic NKT cells and their Th1 cytokine production play a pathogenic role in a 14-d murine model of EE-induced intrahepatic cholestasis.</w:t>
      </w:r>
    </w:p>
    <w:p w14:paraId="0263983B" w14:textId="77777777" w:rsidR="00E53200" w:rsidRPr="00E754A5" w:rsidRDefault="00E53200">
      <w:pPr>
        <w:spacing w:line="360" w:lineRule="auto"/>
        <w:jc w:val="both"/>
      </w:pPr>
    </w:p>
    <w:p w14:paraId="41D3AE4E" w14:textId="77777777" w:rsidR="00E53200" w:rsidRPr="00E754A5" w:rsidRDefault="00F70B62">
      <w:pPr>
        <w:spacing w:line="360" w:lineRule="auto"/>
        <w:jc w:val="both"/>
      </w:pPr>
      <w:r w:rsidRPr="00E754A5">
        <w:rPr>
          <w:rFonts w:ascii="Book Antiqua" w:eastAsia="Book Antiqua" w:hAnsi="Book Antiqua" w:cs="Book Antiqua"/>
          <w:b/>
          <w:caps/>
          <w:color w:val="000000"/>
          <w:u w:val="single"/>
        </w:rPr>
        <w:t>ACKNOWLEDGEMENTS</w:t>
      </w:r>
    </w:p>
    <w:p w14:paraId="70D2B9E1" w14:textId="77777777" w:rsidR="00E53200" w:rsidRPr="00E754A5" w:rsidRDefault="00F70B62">
      <w:pPr>
        <w:spacing w:line="360" w:lineRule="auto"/>
        <w:jc w:val="both"/>
      </w:pPr>
      <w:r w:rsidRPr="00E754A5">
        <w:rPr>
          <w:rFonts w:ascii="Book Antiqua" w:eastAsia="Book Antiqua" w:hAnsi="Book Antiqua" w:cs="Book Antiqua"/>
          <w:color w:val="000000"/>
        </w:rPr>
        <w:t>The authors would like to acknowledge Li Bai (University of Science and Technology of China) for kindly providing iNKT cell-deficient (Jα18</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 xml:space="preserve"> mice). </w:t>
      </w:r>
    </w:p>
    <w:p w14:paraId="5F31F1E2" w14:textId="77777777" w:rsidR="00E53200" w:rsidRPr="00E754A5" w:rsidRDefault="00E53200">
      <w:pPr>
        <w:spacing w:line="360" w:lineRule="auto"/>
        <w:jc w:val="both"/>
      </w:pPr>
    </w:p>
    <w:p w14:paraId="1A1962C4" w14:textId="77777777" w:rsidR="00E53200" w:rsidRPr="00E754A5" w:rsidRDefault="00F70B62">
      <w:pPr>
        <w:spacing w:line="360" w:lineRule="auto"/>
        <w:jc w:val="both"/>
      </w:pPr>
      <w:r w:rsidRPr="00E754A5">
        <w:rPr>
          <w:rFonts w:ascii="Book Antiqua" w:eastAsia="Book Antiqua" w:hAnsi="Book Antiqua" w:cs="Book Antiqua"/>
          <w:b/>
          <w:color w:val="000000"/>
        </w:rPr>
        <w:t>REFERENCES</w:t>
      </w:r>
    </w:p>
    <w:p w14:paraId="5AEEAFC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 </w:t>
      </w:r>
      <w:r w:rsidRPr="00E754A5">
        <w:rPr>
          <w:rFonts w:ascii="Book Antiqua" w:hAnsi="Book Antiqua"/>
          <w:b/>
          <w:bCs/>
        </w:rPr>
        <w:t>Xiang D</w:t>
      </w:r>
      <w:r w:rsidRPr="00E754A5">
        <w:rPr>
          <w:rFonts w:ascii="Book Antiqua" w:hAnsi="Book Antiqua"/>
        </w:rPr>
        <w:t>, Xu Y, He W, Yang J, Zhang C, Liu D. Bioinformatics</w:t>
      </w:r>
      <w:r w:rsidRPr="00E754A5">
        <w:rPr>
          <w:rFonts w:ascii="Book Antiqua" w:hAnsi="Book Antiqua" w:hint="eastAsia"/>
        </w:rPr>
        <w:t>-</w:t>
      </w:r>
      <w:r w:rsidRPr="00E754A5">
        <w:rPr>
          <w:rFonts w:ascii="Book Antiqua" w:hAnsi="Book Antiqua"/>
        </w:rPr>
        <w:t>based identification of key pathways and candidate genes for estrogen</w:t>
      </w:r>
      <w:r w:rsidRPr="00E754A5">
        <w:rPr>
          <w:rFonts w:ascii="Book Antiqua" w:hAnsi="Book Antiqua"/>
        </w:rPr>
        <w:noBreakHyphen/>
        <w:t xml:space="preserve">induced intrahepatic cholestasis using DNA microarray analysis. </w:t>
      </w:r>
      <w:r w:rsidRPr="00E754A5">
        <w:rPr>
          <w:rFonts w:ascii="Book Antiqua" w:hAnsi="Book Antiqua"/>
          <w:i/>
          <w:iCs/>
        </w:rPr>
        <w:t>Mol Med Rep</w:t>
      </w:r>
      <w:r w:rsidRPr="00E754A5">
        <w:rPr>
          <w:rFonts w:ascii="Book Antiqua" w:hAnsi="Book Antiqua"/>
        </w:rPr>
        <w:t xml:space="preserve"> 2019; </w:t>
      </w:r>
      <w:r w:rsidRPr="00E754A5">
        <w:rPr>
          <w:rFonts w:ascii="Book Antiqua" w:hAnsi="Book Antiqua"/>
          <w:b/>
          <w:bCs/>
        </w:rPr>
        <w:t>20</w:t>
      </w:r>
      <w:r w:rsidRPr="00E754A5">
        <w:rPr>
          <w:rFonts w:ascii="Book Antiqua" w:hAnsi="Book Antiqua"/>
        </w:rPr>
        <w:t>: 303-311 [PMID: 31115536 DOI: 10.3892/mmr.2019.10256]</w:t>
      </w:r>
    </w:p>
    <w:p w14:paraId="11D93B95"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2 </w:t>
      </w:r>
      <w:r w:rsidRPr="00E754A5">
        <w:rPr>
          <w:rFonts w:ascii="Book Antiqua" w:hAnsi="Book Antiqua"/>
          <w:bCs/>
        </w:rPr>
        <w:t xml:space="preserve">LiverTox: Clinical and Research Information on Drug-Induced Liver Injury [Internet]. Bethesda (MD): National Institute of Diabetes and Digestive and Kidney Diseases; 2012–. Estrogens and Oral Contraceptives. </w:t>
      </w:r>
      <w:r w:rsidRPr="00E754A5">
        <w:rPr>
          <w:rFonts w:ascii="Book Antiqua" w:hAnsi="Book Antiqua" w:hint="eastAsia"/>
          <w:bCs/>
        </w:rPr>
        <w:t>[</w:t>
      </w:r>
      <w:r w:rsidRPr="00E754A5">
        <w:rPr>
          <w:rFonts w:ascii="Book Antiqua" w:hAnsi="Book Antiqua"/>
          <w:bCs/>
        </w:rPr>
        <w:t>PMID: 31643857</w:t>
      </w:r>
      <w:r w:rsidRPr="00E754A5">
        <w:rPr>
          <w:rFonts w:ascii="Book Antiqua" w:hAnsi="Book Antiqua" w:hint="eastAsia"/>
          <w:bCs/>
        </w:rPr>
        <w:t>]</w:t>
      </w:r>
    </w:p>
    <w:p w14:paraId="55CF8D0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 </w:t>
      </w:r>
      <w:r w:rsidRPr="00E754A5">
        <w:rPr>
          <w:rFonts w:ascii="Book Antiqua" w:hAnsi="Book Antiqua"/>
          <w:b/>
          <w:bCs/>
        </w:rPr>
        <w:t>McIlvride S</w:t>
      </w:r>
      <w:r w:rsidRPr="00E754A5">
        <w:rPr>
          <w:rFonts w:ascii="Book Antiqua" w:hAnsi="Book Antiqua"/>
        </w:rPr>
        <w:t xml:space="preserve">, Dixon PH, Williamson C. Bile acids and gestation. </w:t>
      </w:r>
      <w:r w:rsidRPr="00E754A5">
        <w:rPr>
          <w:rFonts w:ascii="Book Antiqua" w:hAnsi="Book Antiqua"/>
          <w:i/>
          <w:iCs/>
        </w:rPr>
        <w:t>Mol Aspects Med</w:t>
      </w:r>
      <w:r w:rsidRPr="00E754A5">
        <w:rPr>
          <w:rFonts w:ascii="Book Antiqua" w:hAnsi="Book Antiqua"/>
        </w:rPr>
        <w:t xml:space="preserve"> 2017; </w:t>
      </w:r>
      <w:r w:rsidRPr="00E754A5">
        <w:rPr>
          <w:rFonts w:ascii="Book Antiqua" w:hAnsi="Book Antiqua"/>
          <w:b/>
          <w:bCs/>
        </w:rPr>
        <w:t>56</w:t>
      </w:r>
      <w:r w:rsidRPr="00E754A5">
        <w:rPr>
          <w:rFonts w:ascii="Book Antiqua" w:hAnsi="Book Antiqua"/>
        </w:rPr>
        <w:t>: 90-100 [PMID: 28506676 DOI: 10.1016/j.mam.2017.05.003]</w:t>
      </w:r>
    </w:p>
    <w:p w14:paraId="16616351"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 </w:t>
      </w:r>
      <w:r w:rsidRPr="00E754A5">
        <w:rPr>
          <w:rFonts w:ascii="Book Antiqua" w:hAnsi="Book Antiqua"/>
          <w:b/>
          <w:bCs/>
        </w:rPr>
        <w:t>Reyes H</w:t>
      </w:r>
      <w:r w:rsidRPr="00E754A5">
        <w:rPr>
          <w:rFonts w:ascii="Book Antiqua" w:hAnsi="Book Antiqua"/>
        </w:rPr>
        <w:t xml:space="preserve">, Ribalta J, González MC, Segovia N, Oberhauser E. Sulfobromophthalein clearance tests before and after ethinyl estradiol administration, in women and men with familial history of intrahepatic cholestasis of pregnancy. </w:t>
      </w:r>
      <w:r w:rsidRPr="00E754A5">
        <w:rPr>
          <w:rFonts w:ascii="Book Antiqua" w:hAnsi="Book Antiqua"/>
          <w:i/>
          <w:iCs/>
        </w:rPr>
        <w:t>Gastroenterology</w:t>
      </w:r>
      <w:r w:rsidRPr="00E754A5">
        <w:rPr>
          <w:rFonts w:ascii="Book Antiqua" w:hAnsi="Book Antiqua"/>
        </w:rPr>
        <w:t xml:space="preserve"> 1981; </w:t>
      </w:r>
      <w:r w:rsidRPr="00E754A5">
        <w:rPr>
          <w:rFonts w:ascii="Book Antiqua" w:hAnsi="Book Antiqua"/>
          <w:b/>
          <w:bCs/>
        </w:rPr>
        <w:t>81</w:t>
      </w:r>
      <w:r w:rsidRPr="00E754A5">
        <w:rPr>
          <w:rFonts w:ascii="Book Antiqua" w:hAnsi="Book Antiqua"/>
        </w:rPr>
        <w:t>: 226-231 [PMID: 7195358]</w:t>
      </w:r>
    </w:p>
    <w:p w14:paraId="312BC8E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5 </w:t>
      </w:r>
      <w:r w:rsidRPr="00E754A5">
        <w:rPr>
          <w:rFonts w:ascii="Book Antiqua" w:hAnsi="Book Antiqua"/>
          <w:b/>
          <w:bCs/>
        </w:rPr>
        <w:t>Li X</w:t>
      </w:r>
      <w:r w:rsidRPr="00E754A5">
        <w:rPr>
          <w:rFonts w:ascii="Book Antiqua" w:hAnsi="Book Antiqua"/>
        </w:rPr>
        <w:t xml:space="preserve">, Liu R, Luo L, Yu L, Chen X, Sun L, Wang T, Hylemon PB, Zhou H, Jiang Z, Zhang L. Role of AMP-activated protein kinase α1 in 17α-ethinylestradiol-induced cholestasis in rats. </w:t>
      </w:r>
      <w:r w:rsidRPr="00E754A5">
        <w:rPr>
          <w:rFonts w:ascii="Book Antiqua" w:hAnsi="Book Antiqua"/>
          <w:i/>
          <w:iCs/>
        </w:rPr>
        <w:t>Arch Toxicol</w:t>
      </w:r>
      <w:r w:rsidRPr="00E754A5">
        <w:rPr>
          <w:rFonts w:ascii="Book Antiqua" w:hAnsi="Book Antiqua"/>
        </w:rPr>
        <w:t xml:space="preserve"> 2017; </w:t>
      </w:r>
      <w:r w:rsidRPr="00E754A5">
        <w:rPr>
          <w:rFonts w:ascii="Book Antiqua" w:hAnsi="Book Antiqua"/>
          <w:b/>
          <w:bCs/>
        </w:rPr>
        <w:t>91</w:t>
      </w:r>
      <w:r w:rsidRPr="00E754A5">
        <w:rPr>
          <w:rFonts w:ascii="Book Antiqua" w:hAnsi="Book Antiqua"/>
        </w:rPr>
        <w:t>: 481-494 [PMID: 27090119 DOI: 10.1007/s00204-016-1697-8]</w:t>
      </w:r>
    </w:p>
    <w:p w14:paraId="77C6514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6 </w:t>
      </w:r>
      <w:r w:rsidRPr="00E754A5">
        <w:rPr>
          <w:rFonts w:ascii="Book Antiqua" w:hAnsi="Book Antiqua"/>
          <w:b/>
          <w:bCs/>
        </w:rPr>
        <w:t>Yamamoto Y</w:t>
      </w:r>
      <w:r w:rsidRPr="00E754A5">
        <w:rPr>
          <w:rFonts w:ascii="Book Antiqua" w:hAnsi="Book Antiqua"/>
        </w:rPr>
        <w:t xml:space="preserve">, Moore R, Hess HA, Guo GL, Gonzalez FJ, Korach KS, Maronpot RR, Negishi M. Estrogen receptor alpha mediates 17alpha-ethynylestradiol causing hepatotoxicity. </w:t>
      </w:r>
      <w:r w:rsidRPr="00E754A5">
        <w:rPr>
          <w:rFonts w:ascii="Book Antiqua" w:hAnsi="Book Antiqua"/>
          <w:i/>
          <w:iCs/>
        </w:rPr>
        <w:t>J Biol Chem</w:t>
      </w:r>
      <w:r w:rsidRPr="00E754A5">
        <w:rPr>
          <w:rFonts w:ascii="Book Antiqua" w:hAnsi="Book Antiqua"/>
        </w:rPr>
        <w:t xml:space="preserve"> 2006; </w:t>
      </w:r>
      <w:r w:rsidRPr="00E754A5">
        <w:rPr>
          <w:rFonts w:ascii="Book Antiqua" w:hAnsi="Book Antiqua"/>
          <w:b/>
          <w:bCs/>
        </w:rPr>
        <w:t>281</w:t>
      </w:r>
      <w:r w:rsidRPr="00E754A5">
        <w:rPr>
          <w:rFonts w:ascii="Book Antiqua" w:hAnsi="Book Antiqua"/>
        </w:rPr>
        <w:t>: 16625-16631 [PMID: 16606610 DOI: 10.1074/jbc.M602723200]</w:t>
      </w:r>
    </w:p>
    <w:p w14:paraId="0E280B93"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7 </w:t>
      </w:r>
      <w:r w:rsidRPr="00E754A5">
        <w:rPr>
          <w:rFonts w:ascii="Book Antiqua" w:hAnsi="Book Antiqua"/>
          <w:b/>
          <w:bCs/>
        </w:rPr>
        <w:t>Wang J</w:t>
      </w:r>
      <w:r w:rsidRPr="00E754A5">
        <w:rPr>
          <w:rFonts w:ascii="Book Antiqua" w:hAnsi="Book Antiqua"/>
        </w:rPr>
        <w:t xml:space="preserve">, Fu T, Dong R, Wang C, Liu K, Sun H, Huo X, Ma X, Yang X, Meng Q. Hepatoprotection of auraptene from the peels of citrus fruits against 17α-ethinylestradiol-induced cholestasis in mice by activating farnesoid X receptor. </w:t>
      </w:r>
      <w:r w:rsidRPr="00E754A5">
        <w:rPr>
          <w:rFonts w:ascii="Book Antiqua" w:hAnsi="Book Antiqua"/>
          <w:i/>
          <w:iCs/>
        </w:rPr>
        <w:t>Food Funct</w:t>
      </w:r>
      <w:r w:rsidRPr="00E754A5">
        <w:rPr>
          <w:rFonts w:ascii="Book Antiqua" w:hAnsi="Book Antiqua"/>
        </w:rPr>
        <w:t xml:space="preserve"> 2019; </w:t>
      </w:r>
      <w:r w:rsidRPr="00E754A5">
        <w:rPr>
          <w:rFonts w:ascii="Book Antiqua" w:hAnsi="Book Antiqua"/>
          <w:b/>
          <w:bCs/>
        </w:rPr>
        <w:t>10</w:t>
      </w:r>
      <w:r w:rsidRPr="00E754A5">
        <w:rPr>
          <w:rFonts w:ascii="Book Antiqua" w:hAnsi="Book Antiqua"/>
        </w:rPr>
        <w:t>: 3839-3850 [PMID: 31210195 DOI: 10.1039/c9fo00318e]</w:t>
      </w:r>
    </w:p>
    <w:p w14:paraId="3150BBAD"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8 </w:t>
      </w:r>
      <w:r w:rsidRPr="00E754A5">
        <w:rPr>
          <w:rFonts w:ascii="Book Antiqua" w:hAnsi="Book Antiqua"/>
          <w:b/>
          <w:bCs/>
        </w:rPr>
        <w:t>Yu L</w:t>
      </w:r>
      <w:r w:rsidRPr="00E754A5">
        <w:rPr>
          <w:rFonts w:ascii="Book Antiqua" w:hAnsi="Book Antiqua"/>
        </w:rPr>
        <w:t xml:space="preserve">, Liu X, Li X, Yuan Z, Yang H, Zhang L, Jiang Z. Protective effects of SRT1720 via the HNF1α/FXR signalling pathway and anti-inflammatory mechanisms in mice with estrogen-induced cholestatic liver injury. </w:t>
      </w:r>
      <w:r w:rsidRPr="00E754A5">
        <w:rPr>
          <w:rFonts w:ascii="Book Antiqua" w:hAnsi="Book Antiqua"/>
          <w:i/>
          <w:iCs/>
        </w:rPr>
        <w:t>Toxicol Lett</w:t>
      </w:r>
      <w:r w:rsidRPr="00E754A5">
        <w:rPr>
          <w:rFonts w:ascii="Book Antiqua" w:hAnsi="Book Antiqua"/>
        </w:rPr>
        <w:t xml:space="preserve"> 2016; </w:t>
      </w:r>
      <w:r w:rsidRPr="00E754A5">
        <w:rPr>
          <w:rFonts w:ascii="Book Antiqua" w:hAnsi="Book Antiqua"/>
          <w:b/>
          <w:bCs/>
        </w:rPr>
        <w:t>264</w:t>
      </w:r>
      <w:r w:rsidRPr="00E754A5">
        <w:rPr>
          <w:rFonts w:ascii="Book Antiqua" w:hAnsi="Book Antiqua"/>
        </w:rPr>
        <w:t>: 1-11 [PMID: 27818225 DOI: 10.1016/j.toxlet.2016.10.016]</w:t>
      </w:r>
    </w:p>
    <w:p w14:paraId="013CBB4F"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9 </w:t>
      </w:r>
      <w:r w:rsidRPr="00E754A5">
        <w:rPr>
          <w:rFonts w:ascii="Book Antiqua" w:hAnsi="Book Antiqua"/>
          <w:b/>
          <w:bCs/>
        </w:rPr>
        <w:t>Milona A</w:t>
      </w:r>
      <w:r w:rsidRPr="00E754A5">
        <w:rPr>
          <w:rFonts w:ascii="Book Antiqua" w:hAnsi="Book Antiqua"/>
        </w:rPr>
        <w:t xml:space="preserve">, Owen BM, Cobbold JF, Willemsen EC, Cox IJ, Boudjelal M, Cairns W, Schoonjans K, Taylor-Robinson SD, Klomp LW, Parker MG, White R, van Mil SW, Williamson C. Raised hepatic bile acid concentrations during pregnancy in mice are associated with reduced farnesoid X receptor function. </w:t>
      </w:r>
      <w:r w:rsidRPr="00E754A5">
        <w:rPr>
          <w:rFonts w:ascii="Book Antiqua" w:hAnsi="Book Antiqua"/>
          <w:i/>
          <w:iCs/>
        </w:rPr>
        <w:t>Hepatology</w:t>
      </w:r>
      <w:r w:rsidRPr="00E754A5">
        <w:rPr>
          <w:rFonts w:ascii="Book Antiqua" w:hAnsi="Book Antiqua"/>
        </w:rPr>
        <w:t xml:space="preserve"> 2010; </w:t>
      </w:r>
      <w:r w:rsidRPr="00E754A5">
        <w:rPr>
          <w:rFonts w:ascii="Book Antiqua" w:hAnsi="Book Antiqua"/>
          <w:b/>
          <w:bCs/>
        </w:rPr>
        <w:t>52</w:t>
      </w:r>
      <w:r w:rsidRPr="00E754A5">
        <w:rPr>
          <w:rFonts w:ascii="Book Antiqua" w:hAnsi="Book Antiqua"/>
        </w:rPr>
        <w:t>: 1341-1349 [PMID: 20842631 DOI: 10.1002/hep.23849]</w:t>
      </w:r>
    </w:p>
    <w:p w14:paraId="11EA88EA"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10 </w:t>
      </w:r>
      <w:r w:rsidRPr="00E754A5">
        <w:rPr>
          <w:rFonts w:ascii="Book Antiqua" w:hAnsi="Book Antiqua"/>
          <w:b/>
          <w:bCs/>
        </w:rPr>
        <w:t>Jansen PL</w:t>
      </w:r>
      <w:r w:rsidRPr="00E754A5">
        <w:rPr>
          <w:rFonts w:ascii="Book Antiqua" w:hAnsi="Book Antiqua"/>
        </w:rPr>
        <w:t xml:space="preserve">, Ghallab A, Vartak N, Reif R, Schaap FG, Hampe J, Hengstler JG. The ascending pathophysiology of cholestatic liver disease. </w:t>
      </w:r>
      <w:r w:rsidRPr="00E754A5">
        <w:rPr>
          <w:rFonts w:ascii="Book Antiqua" w:hAnsi="Book Antiqua"/>
          <w:i/>
          <w:iCs/>
        </w:rPr>
        <w:t>Hepatology</w:t>
      </w:r>
      <w:r w:rsidRPr="00E754A5">
        <w:rPr>
          <w:rFonts w:ascii="Book Antiqua" w:hAnsi="Book Antiqua"/>
        </w:rPr>
        <w:t xml:space="preserve"> 2017; </w:t>
      </w:r>
      <w:r w:rsidRPr="00E754A5">
        <w:rPr>
          <w:rFonts w:ascii="Book Antiqua" w:hAnsi="Book Antiqua"/>
          <w:b/>
          <w:bCs/>
        </w:rPr>
        <w:t>65</w:t>
      </w:r>
      <w:r w:rsidRPr="00E754A5">
        <w:rPr>
          <w:rFonts w:ascii="Book Antiqua" w:hAnsi="Book Antiqua"/>
        </w:rPr>
        <w:t>: 722-738 [PMID: 27981592 DOI: 10.1002/hep.28965]</w:t>
      </w:r>
    </w:p>
    <w:p w14:paraId="6D9329DC"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11 </w:t>
      </w:r>
      <w:r w:rsidRPr="00E754A5">
        <w:rPr>
          <w:rFonts w:ascii="Book Antiqua" w:hAnsi="Book Antiqua"/>
          <w:b/>
          <w:bCs/>
        </w:rPr>
        <w:t>Peng B</w:t>
      </w:r>
      <w:r w:rsidRPr="00E754A5">
        <w:rPr>
          <w:rFonts w:ascii="Book Antiqua" w:hAnsi="Book Antiqua"/>
        </w:rPr>
        <w:t xml:space="preserve">, Liu S. [Study of relationship between T helper cell type-1 and type-2 cytokines and intrahepatic cholestasis of pregnancy]. </w:t>
      </w:r>
      <w:r w:rsidRPr="00E754A5">
        <w:rPr>
          <w:rFonts w:ascii="Book Antiqua" w:hAnsi="Book Antiqua"/>
          <w:i/>
          <w:iCs/>
        </w:rPr>
        <w:t>Zhonghua Fu Chan Ke Za Zhi</w:t>
      </w:r>
      <w:r w:rsidRPr="00E754A5">
        <w:rPr>
          <w:rFonts w:ascii="Book Antiqua" w:hAnsi="Book Antiqua"/>
        </w:rPr>
        <w:t xml:space="preserve"> 2002; </w:t>
      </w:r>
      <w:r w:rsidRPr="00E754A5">
        <w:rPr>
          <w:rFonts w:ascii="Book Antiqua" w:hAnsi="Book Antiqua"/>
          <w:b/>
          <w:bCs/>
        </w:rPr>
        <w:t>37</w:t>
      </w:r>
      <w:r w:rsidRPr="00E754A5">
        <w:rPr>
          <w:rFonts w:ascii="Book Antiqua" w:hAnsi="Book Antiqua"/>
        </w:rPr>
        <w:t>: 516-518 [PMID: 12411008]</w:t>
      </w:r>
    </w:p>
    <w:p w14:paraId="41B9D2BF"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12 </w:t>
      </w:r>
      <w:r w:rsidRPr="00E754A5">
        <w:rPr>
          <w:rFonts w:ascii="Book Antiqua" w:hAnsi="Book Antiqua"/>
          <w:b/>
          <w:bCs/>
        </w:rPr>
        <w:t>Jin F</w:t>
      </w:r>
      <w:r w:rsidRPr="00E754A5">
        <w:rPr>
          <w:rFonts w:ascii="Book Antiqua" w:hAnsi="Book Antiqua"/>
        </w:rPr>
        <w:t xml:space="preserve">, Cheng D, Tao JY, Zhang SL, Pang R, Guo YJ, Ye P, Dong JH, Zhao L. Anti-inflammatory and anti-oxidative effects of corilagin in a rat model of acute cholestasis. </w:t>
      </w:r>
      <w:r w:rsidRPr="00E754A5">
        <w:rPr>
          <w:rFonts w:ascii="Book Antiqua" w:hAnsi="Book Antiqua"/>
          <w:i/>
          <w:iCs/>
        </w:rPr>
        <w:t>BMC Gastroenterol</w:t>
      </w:r>
      <w:r w:rsidRPr="00E754A5">
        <w:rPr>
          <w:rFonts w:ascii="Book Antiqua" w:hAnsi="Book Antiqua"/>
        </w:rPr>
        <w:t xml:space="preserve"> 2013; </w:t>
      </w:r>
      <w:r w:rsidRPr="00E754A5">
        <w:rPr>
          <w:rFonts w:ascii="Book Antiqua" w:hAnsi="Book Antiqua"/>
          <w:b/>
          <w:bCs/>
        </w:rPr>
        <w:t>13</w:t>
      </w:r>
      <w:r w:rsidRPr="00E754A5">
        <w:rPr>
          <w:rFonts w:ascii="Book Antiqua" w:hAnsi="Book Antiqua"/>
        </w:rPr>
        <w:t>: 79 [PMID: 23641818 DOI: 10.1186/1471-230X-13-79]</w:t>
      </w:r>
    </w:p>
    <w:p w14:paraId="10D6C853"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13 </w:t>
      </w:r>
      <w:r w:rsidRPr="00E754A5">
        <w:rPr>
          <w:rFonts w:ascii="Book Antiqua" w:hAnsi="Book Antiqua"/>
          <w:b/>
          <w:bCs/>
        </w:rPr>
        <w:t>Zou M</w:t>
      </w:r>
      <w:r w:rsidRPr="00E754A5">
        <w:rPr>
          <w:rFonts w:ascii="Book Antiqua" w:hAnsi="Book Antiqua"/>
        </w:rPr>
        <w:t xml:space="preserve">, Wang A, Wei J, Cai H, Yu Z, Zhang L, Wang X. An insight into the mechanism and molecular basis of dysfunctional immune response involved in cholestasis. </w:t>
      </w:r>
      <w:r w:rsidRPr="00E754A5">
        <w:rPr>
          <w:rFonts w:ascii="Book Antiqua" w:hAnsi="Book Antiqua"/>
          <w:i/>
          <w:iCs/>
        </w:rPr>
        <w:t>Int Immunopharmacol</w:t>
      </w:r>
      <w:r w:rsidRPr="00E754A5">
        <w:rPr>
          <w:rFonts w:ascii="Book Antiqua" w:hAnsi="Book Antiqua"/>
        </w:rPr>
        <w:t xml:space="preserve"> 2021; </w:t>
      </w:r>
      <w:r w:rsidRPr="00E754A5">
        <w:rPr>
          <w:rFonts w:ascii="Book Antiqua" w:hAnsi="Book Antiqua"/>
          <w:b/>
          <w:bCs/>
        </w:rPr>
        <w:t>92</w:t>
      </w:r>
      <w:r w:rsidRPr="00E754A5">
        <w:rPr>
          <w:rFonts w:ascii="Book Antiqua" w:hAnsi="Book Antiqua"/>
        </w:rPr>
        <w:t>: 107328 [PMID: 33412394 DOI: 10.1016/j.intimp.2020.107328]</w:t>
      </w:r>
    </w:p>
    <w:p w14:paraId="1ACFD0F3"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14 </w:t>
      </w:r>
      <w:r w:rsidRPr="00E754A5">
        <w:rPr>
          <w:rFonts w:ascii="Book Antiqua" w:hAnsi="Book Antiqua"/>
          <w:b/>
          <w:bCs/>
        </w:rPr>
        <w:t>Nong C</w:t>
      </w:r>
      <w:r w:rsidRPr="00E754A5">
        <w:rPr>
          <w:rFonts w:ascii="Book Antiqua" w:hAnsi="Book Antiqua"/>
        </w:rPr>
        <w:t xml:space="preserve">, Zou M, Xue R, Bai L, Liu L, Jiang Z, Sun L, Huang X, Zhang L, Wang X. The role of invariant natural killer T cells in experimental xenobiotic-induced cholestatic hepatotoxicity. </w:t>
      </w:r>
      <w:r w:rsidRPr="00E754A5">
        <w:rPr>
          <w:rFonts w:ascii="Book Antiqua" w:hAnsi="Book Antiqua"/>
          <w:i/>
          <w:iCs/>
        </w:rPr>
        <w:t>Biomed Pharmacother</w:t>
      </w:r>
      <w:r w:rsidRPr="00E754A5">
        <w:rPr>
          <w:rFonts w:ascii="Book Antiqua" w:hAnsi="Book Antiqua"/>
        </w:rPr>
        <w:t xml:space="preserve"> 2020; </w:t>
      </w:r>
      <w:r w:rsidRPr="00E754A5">
        <w:rPr>
          <w:rFonts w:ascii="Book Antiqua" w:hAnsi="Book Antiqua"/>
          <w:b/>
          <w:bCs/>
        </w:rPr>
        <w:t>122</w:t>
      </w:r>
      <w:r w:rsidRPr="00E754A5">
        <w:rPr>
          <w:rFonts w:ascii="Book Antiqua" w:hAnsi="Book Antiqua"/>
        </w:rPr>
        <w:t>: 109579 [PMID: 31794947 DOI: 10.1016/j.biopha.2019.109579]</w:t>
      </w:r>
    </w:p>
    <w:p w14:paraId="318FC7FB"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15 </w:t>
      </w:r>
      <w:r w:rsidRPr="00E754A5">
        <w:rPr>
          <w:rFonts w:ascii="Book Antiqua" w:hAnsi="Book Antiqua"/>
          <w:b/>
          <w:bCs/>
        </w:rPr>
        <w:t>Zou M</w:t>
      </w:r>
      <w:r w:rsidRPr="00E754A5">
        <w:rPr>
          <w:rFonts w:ascii="Book Antiqua" w:hAnsi="Book Antiqua"/>
        </w:rPr>
        <w:t xml:space="preserve">, Nong C, Yu Z, Cai H, Jiang Z, Xue R, Huang X, Sun L, Zhang L, Wang X. The role of invariant natural killer T cells and associated immunoregulatory factors in triptolide-induced cholestatic liver injury. </w:t>
      </w:r>
      <w:r w:rsidRPr="00E754A5">
        <w:rPr>
          <w:rFonts w:ascii="Book Antiqua" w:hAnsi="Book Antiqua"/>
          <w:i/>
          <w:iCs/>
        </w:rPr>
        <w:t>Food Chem Toxicol</w:t>
      </w:r>
      <w:r w:rsidRPr="00E754A5">
        <w:rPr>
          <w:rFonts w:ascii="Book Antiqua" w:hAnsi="Book Antiqua"/>
        </w:rPr>
        <w:t xml:space="preserve"> 2020; </w:t>
      </w:r>
      <w:r w:rsidRPr="00E754A5">
        <w:rPr>
          <w:rFonts w:ascii="Book Antiqua" w:hAnsi="Book Antiqua"/>
          <w:b/>
          <w:bCs/>
        </w:rPr>
        <w:t>146</w:t>
      </w:r>
      <w:r w:rsidRPr="00E754A5">
        <w:rPr>
          <w:rFonts w:ascii="Book Antiqua" w:hAnsi="Book Antiqua"/>
        </w:rPr>
        <w:t>: 111777 [PMID: 32987112 DOI: 10.1016/j.fct.2020.111777]</w:t>
      </w:r>
    </w:p>
    <w:p w14:paraId="73F7A985"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16 </w:t>
      </w:r>
      <w:r w:rsidRPr="00E754A5">
        <w:rPr>
          <w:rFonts w:ascii="Book Antiqua" w:hAnsi="Book Antiqua"/>
          <w:b/>
          <w:bCs/>
        </w:rPr>
        <w:t>Duwaerts CC</w:t>
      </w:r>
      <w:r w:rsidRPr="00E754A5">
        <w:rPr>
          <w:rFonts w:ascii="Book Antiqua" w:hAnsi="Book Antiqua"/>
        </w:rPr>
        <w:t xml:space="preserve">, Sun EP, Cheng CW, van Rooijen N, Gregory SH. Cross-activating invariant NKT cells and kupffer cells suppress cholestatic liver injury in a mouse model of biliary obstruction. </w:t>
      </w:r>
      <w:r w:rsidRPr="00E754A5">
        <w:rPr>
          <w:rFonts w:ascii="Book Antiqua" w:hAnsi="Book Antiqua"/>
          <w:i/>
          <w:iCs/>
        </w:rPr>
        <w:t>PLoS One</w:t>
      </w:r>
      <w:r w:rsidRPr="00E754A5">
        <w:rPr>
          <w:rFonts w:ascii="Book Antiqua" w:hAnsi="Book Antiqua"/>
        </w:rPr>
        <w:t xml:space="preserve"> 2013; </w:t>
      </w:r>
      <w:r w:rsidRPr="00E754A5">
        <w:rPr>
          <w:rFonts w:ascii="Book Antiqua" w:hAnsi="Book Antiqua"/>
          <w:b/>
          <w:bCs/>
        </w:rPr>
        <w:t>8</w:t>
      </w:r>
      <w:r w:rsidRPr="00E754A5">
        <w:rPr>
          <w:rFonts w:ascii="Book Antiqua" w:hAnsi="Book Antiqua"/>
        </w:rPr>
        <w:t>: e79702 [PMID: 24260285 DOI: 10.1371/journal.pone.0079702]</w:t>
      </w:r>
    </w:p>
    <w:p w14:paraId="7F2F3C23"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17 </w:t>
      </w:r>
      <w:r w:rsidRPr="00E754A5">
        <w:rPr>
          <w:rFonts w:ascii="Book Antiqua" w:hAnsi="Book Antiqua"/>
          <w:b/>
          <w:bCs/>
        </w:rPr>
        <w:t>Mencarelli A</w:t>
      </w:r>
      <w:r w:rsidRPr="00E754A5">
        <w:rPr>
          <w:rFonts w:ascii="Book Antiqua" w:hAnsi="Book Antiqua"/>
        </w:rPr>
        <w:t xml:space="preserve">, Renga B, Migliorati M, Cipriani S, Distrutti E, Santucci L, Fiorucci S. The bile acid sensor farnesoid X receptor is a modulator of liver immunity in a rodent model of acute hepatitis. </w:t>
      </w:r>
      <w:r w:rsidRPr="00E754A5">
        <w:rPr>
          <w:rFonts w:ascii="Book Antiqua" w:hAnsi="Book Antiqua"/>
          <w:i/>
          <w:iCs/>
        </w:rPr>
        <w:t>J Immunol</w:t>
      </w:r>
      <w:r w:rsidRPr="00E754A5">
        <w:rPr>
          <w:rFonts w:ascii="Book Antiqua" w:hAnsi="Book Antiqua"/>
        </w:rPr>
        <w:t xml:space="preserve"> 2009; </w:t>
      </w:r>
      <w:r w:rsidRPr="00E754A5">
        <w:rPr>
          <w:rFonts w:ascii="Book Antiqua" w:hAnsi="Book Antiqua"/>
          <w:b/>
          <w:bCs/>
        </w:rPr>
        <w:t>183</w:t>
      </w:r>
      <w:r w:rsidRPr="00E754A5">
        <w:rPr>
          <w:rFonts w:ascii="Book Antiqua" w:hAnsi="Book Antiqua"/>
        </w:rPr>
        <w:t>: 6657-6666 [PMID: 19880446 DOI: 10.4049/jimmunol.0901347]</w:t>
      </w:r>
    </w:p>
    <w:p w14:paraId="52230F69"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18 </w:t>
      </w:r>
      <w:r w:rsidRPr="00E754A5">
        <w:rPr>
          <w:rFonts w:ascii="Book Antiqua" w:hAnsi="Book Antiqua"/>
          <w:b/>
          <w:bCs/>
        </w:rPr>
        <w:t>Valestrand L</w:t>
      </w:r>
      <w:r w:rsidRPr="00E754A5">
        <w:rPr>
          <w:rFonts w:ascii="Book Antiqua" w:hAnsi="Book Antiqua"/>
        </w:rPr>
        <w:t xml:space="preserve">, Berntsen NL, Zheng F, Schrumpf E, Hansen SH, Karlsen TH, Blumberg RS, Hov JR, Jiang X, Melum E. Lipid antigens in bile from patients with chronic liver diseases activate natural killer T cells. </w:t>
      </w:r>
      <w:r w:rsidRPr="00E754A5">
        <w:rPr>
          <w:rFonts w:ascii="Book Antiqua" w:hAnsi="Book Antiqua"/>
          <w:i/>
          <w:iCs/>
        </w:rPr>
        <w:t>Clin Exp Immunol</w:t>
      </w:r>
      <w:r w:rsidRPr="00E754A5">
        <w:rPr>
          <w:rFonts w:ascii="Book Antiqua" w:hAnsi="Book Antiqua"/>
        </w:rPr>
        <w:t xml:space="preserve"> 2021; </w:t>
      </w:r>
      <w:r w:rsidRPr="00E754A5">
        <w:rPr>
          <w:rFonts w:ascii="Book Antiqua" w:hAnsi="Book Antiqua"/>
          <w:b/>
          <w:bCs/>
        </w:rPr>
        <w:t>203</w:t>
      </w:r>
      <w:r w:rsidRPr="00E754A5">
        <w:rPr>
          <w:rFonts w:ascii="Book Antiqua" w:hAnsi="Book Antiqua"/>
        </w:rPr>
        <w:t>: 304-314 [PMID: 33089489 DOI: 10.1111/cei.13541]</w:t>
      </w:r>
    </w:p>
    <w:p w14:paraId="2613235C"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19 </w:t>
      </w:r>
      <w:r w:rsidRPr="00E754A5">
        <w:rPr>
          <w:rFonts w:ascii="Book Antiqua" w:hAnsi="Book Antiqua"/>
          <w:b/>
          <w:bCs/>
        </w:rPr>
        <w:t>Sun K</w:t>
      </w:r>
      <w:r w:rsidRPr="00E754A5">
        <w:rPr>
          <w:rFonts w:ascii="Book Antiqua" w:hAnsi="Book Antiqua"/>
        </w:rPr>
        <w:t>, Ma S, Tian S, Zhang M, Liu Y, Li B, Zhou X, Zheng X, Zhou X, Wang L, Han Y. An enhanced level of LAMP-2A participates in CD4</w:t>
      </w:r>
      <w:r w:rsidRPr="00E754A5">
        <w:rPr>
          <w:rFonts w:ascii="Book Antiqua" w:hAnsi="Book Antiqua"/>
          <w:vertAlign w:val="superscript"/>
        </w:rPr>
        <w:t>+</w:t>
      </w:r>
      <w:r w:rsidRPr="00E754A5">
        <w:rPr>
          <w:rFonts w:ascii="Book Antiqua" w:hAnsi="Book Antiqua"/>
        </w:rPr>
        <w:t xml:space="preserve">T cell hyperactivity in patients with primary biliary cholangitis. </w:t>
      </w:r>
      <w:r w:rsidRPr="00E754A5">
        <w:rPr>
          <w:rFonts w:ascii="Book Antiqua" w:hAnsi="Book Antiqua"/>
          <w:i/>
          <w:iCs/>
        </w:rPr>
        <w:t>Ann Transl Med</w:t>
      </w:r>
      <w:r w:rsidRPr="00E754A5">
        <w:rPr>
          <w:rFonts w:ascii="Book Antiqua" w:hAnsi="Book Antiqua"/>
        </w:rPr>
        <w:t xml:space="preserve"> 2021; </w:t>
      </w:r>
      <w:r w:rsidRPr="00E754A5">
        <w:rPr>
          <w:rFonts w:ascii="Book Antiqua" w:hAnsi="Book Antiqua"/>
          <w:b/>
          <w:bCs/>
        </w:rPr>
        <w:t>9</w:t>
      </w:r>
      <w:r w:rsidRPr="00E754A5">
        <w:rPr>
          <w:rFonts w:ascii="Book Antiqua" w:hAnsi="Book Antiqua"/>
        </w:rPr>
        <w:t>: 101 [PMID: 33569403 DOI: 10.21037/atm-20-2427]</w:t>
      </w:r>
    </w:p>
    <w:p w14:paraId="47404FB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20 </w:t>
      </w:r>
      <w:r w:rsidRPr="00E754A5">
        <w:rPr>
          <w:rFonts w:ascii="Book Antiqua" w:hAnsi="Book Antiqua"/>
          <w:b/>
          <w:bCs/>
        </w:rPr>
        <w:t>Hydes TJ</w:t>
      </w:r>
      <w:r w:rsidRPr="00E754A5">
        <w:rPr>
          <w:rFonts w:ascii="Book Antiqua" w:hAnsi="Book Antiqua"/>
        </w:rPr>
        <w:t xml:space="preserve">, Blunt MD, Naftel J, Vallejo AF, Seumois G, Wang A, Vijayanand P, Polak ME, Khakoo SI. Constitutive Activation of Natural Killer Cells in Primary Biliary Cholangitis. </w:t>
      </w:r>
      <w:r w:rsidRPr="00E754A5">
        <w:rPr>
          <w:rFonts w:ascii="Book Antiqua" w:hAnsi="Book Antiqua"/>
          <w:i/>
          <w:iCs/>
        </w:rPr>
        <w:t>Front Immunol</w:t>
      </w:r>
      <w:r w:rsidRPr="00E754A5">
        <w:rPr>
          <w:rFonts w:ascii="Book Antiqua" w:hAnsi="Book Antiqua"/>
        </w:rPr>
        <w:t xml:space="preserve"> 2019; </w:t>
      </w:r>
      <w:r w:rsidRPr="00E754A5">
        <w:rPr>
          <w:rFonts w:ascii="Book Antiqua" w:hAnsi="Book Antiqua"/>
          <w:b/>
          <w:bCs/>
        </w:rPr>
        <w:t>10</w:t>
      </w:r>
      <w:r w:rsidRPr="00E754A5">
        <w:rPr>
          <w:rFonts w:ascii="Book Antiqua" w:hAnsi="Book Antiqua"/>
        </w:rPr>
        <w:t>: 2633 [PMID: 31803181 DOI: 10.3389/fimmu.2019.02633]</w:t>
      </w:r>
    </w:p>
    <w:p w14:paraId="093E404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21 </w:t>
      </w:r>
      <w:r w:rsidRPr="00E754A5">
        <w:rPr>
          <w:rFonts w:ascii="Book Antiqua" w:hAnsi="Book Antiqua"/>
          <w:b/>
          <w:bCs/>
        </w:rPr>
        <w:t>Zhang YY</w:t>
      </w:r>
      <w:r w:rsidRPr="00E754A5">
        <w:rPr>
          <w:rFonts w:ascii="Book Antiqua" w:hAnsi="Book Antiqua"/>
        </w:rPr>
        <w:t xml:space="preserve">, Zhang CX, Li Y, Jiang X, Wang YF, Sun Y, Wang J, Ji WY, Liu Y. Development of a novel rat model of heterogeneous hepatic injury by injection with colchicine </w:t>
      </w:r>
      <w:r w:rsidRPr="00E754A5">
        <w:rPr>
          <w:rFonts w:ascii="Book Antiqua" w:hAnsi="Book Antiqua"/>
          <w:i/>
          <w:iCs/>
        </w:rPr>
        <w:t>via</w:t>
      </w:r>
      <w:r w:rsidRPr="00E754A5">
        <w:rPr>
          <w:rFonts w:ascii="Book Antiqua" w:hAnsi="Book Antiqua"/>
        </w:rPr>
        <w:t xml:space="preserve"> the splenic vein. </w:t>
      </w:r>
      <w:r w:rsidRPr="00E754A5">
        <w:rPr>
          <w:rFonts w:ascii="Book Antiqua" w:hAnsi="Book Antiqua"/>
          <w:i/>
          <w:iCs/>
        </w:rPr>
        <w:t>World J Gastroenterol</w:t>
      </w:r>
      <w:r w:rsidRPr="00E754A5">
        <w:rPr>
          <w:rFonts w:ascii="Book Antiqua" w:hAnsi="Book Antiqua"/>
        </w:rPr>
        <w:t xml:space="preserve"> 2018; </w:t>
      </w:r>
      <w:r w:rsidRPr="00E754A5">
        <w:rPr>
          <w:rFonts w:ascii="Book Antiqua" w:hAnsi="Book Antiqua"/>
          <w:b/>
          <w:bCs/>
        </w:rPr>
        <w:t>24</w:t>
      </w:r>
      <w:r w:rsidRPr="00E754A5">
        <w:rPr>
          <w:rFonts w:ascii="Book Antiqua" w:hAnsi="Book Antiqua"/>
        </w:rPr>
        <w:t>: 5005-5012 [PMID: 30510375 DOI: 10.3748/wjg.v24.i44.5005]</w:t>
      </w:r>
    </w:p>
    <w:p w14:paraId="34338FE6"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22 </w:t>
      </w:r>
      <w:r w:rsidRPr="00E754A5">
        <w:rPr>
          <w:rFonts w:ascii="Book Antiqua" w:hAnsi="Book Antiqua"/>
          <w:b/>
          <w:bCs/>
        </w:rPr>
        <w:t>Wehr A</w:t>
      </w:r>
      <w:r w:rsidRPr="00E754A5">
        <w:rPr>
          <w:rFonts w:ascii="Book Antiqua" w:hAnsi="Book Antiqua"/>
        </w:rPr>
        <w:t xml:space="preserve">, Baeck C, Heymann F, Niemietz PM, Hammerich L, Martin C, Zimmermann HW, Pack O, Gassler N, Hittatiya K, Ludwig A, Luedde T, Trautwein C, Tacke F. Chemokine receptor CXCR6-dependent hepatic NK T Cell accumulation promotes inflammation and liver fibrosis. </w:t>
      </w:r>
      <w:r w:rsidRPr="00E754A5">
        <w:rPr>
          <w:rFonts w:ascii="Book Antiqua" w:hAnsi="Book Antiqua"/>
          <w:i/>
          <w:iCs/>
        </w:rPr>
        <w:t>J Immunol</w:t>
      </w:r>
      <w:r w:rsidRPr="00E754A5">
        <w:rPr>
          <w:rFonts w:ascii="Book Antiqua" w:hAnsi="Book Antiqua"/>
        </w:rPr>
        <w:t xml:space="preserve"> 2013; </w:t>
      </w:r>
      <w:r w:rsidRPr="00E754A5">
        <w:rPr>
          <w:rFonts w:ascii="Book Antiqua" w:hAnsi="Book Antiqua"/>
          <w:b/>
          <w:bCs/>
        </w:rPr>
        <w:t>190</w:t>
      </w:r>
      <w:r w:rsidRPr="00E754A5">
        <w:rPr>
          <w:rFonts w:ascii="Book Antiqua" w:hAnsi="Book Antiqua"/>
        </w:rPr>
        <w:t>: 5226-5236 [PMID: 23596313 DOI: 10.4049/jimmunol.1202909]</w:t>
      </w:r>
    </w:p>
    <w:p w14:paraId="39242A5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23 </w:t>
      </w:r>
      <w:r w:rsidRPr="00E754A5">
        <w:rPr>
          <w:rFonts w:ascii="Book Antiqua" w:hAnsi="Book Antiqua"/>
          <w:b/>
          <w:bCs/>
        </w:rPr>
        <w:t>Liu W</w:t>
      </w:r>
      <w:r w:rsidRPr="00E754A5">
        <w:rPr>
          <w:rFonts w:ascii="Book Antiqua" w:hAnsi="Book Antiqua"/>
        </w:rPr>
        <w:t xml:space="preserve">, Jing ZT, Xue CR, Wu SX, Chen WN, Lin XJ, Lin X. PI3K/AKT inhibitors aggravate death receptor-mediated hepatocyte apoptosis and liver injury. </w:t>
      </w:r>
      <w:r w:rsidRPr="00E754A5">
        <w:rPr>
          <w:rFonts w:ascii="Book Antiqua" w:hAnsi="Book Antiqua"/>
          <w:i/>
          <w:iCs/>
        </w:rPr>
        <w:t>Toxicol Appl Pharmacol</w:t>
      </w:r>
      <w:r w:rsidRPr="00E754A5">
        <w:rPr>
          <w:rFonts w:ascii="Book Antiqua" w:hAnsi="Book Antiqua"/>
        </w:rPr>
        <w:t xml:space="preserve"> 2019; </w:t>
      </w:r>
      <w:r w:rsidRPr="00E754A5">
        <w:rPr>
          <w:rFonts w:ascii="Book Antiqua" w:hAnsi="Book Antiqua"/>
          <w:b/>
          <w:bCs/>
        </w:rPr>
        <w:t>381</w:t>
      </w:r>
      <w:r w:rsidRPr="00E754A5">
        <w:rPr>
          <w:rFonts w:ascii="Book Antiqua" w:hAnsi="Book Antiqua"/>
        </w:rPr>
        <w:t>: 114729 [PMID: 31445927 DOI: 10.1016/j.taap.2019.114729]</w:t>
      </w:r>
    </w:p>
    <w:p w14:paraId="3B78555F"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24 </w:t>
      </w:r>
      <w:r w:rsidRPr="00E754A5">
        <w:rPr>
          <w:rFonts w:ascii="Book Antiqua" w:hAnsi="Book Antiqua"/>
          <w:b/>
          <w:bCs/>
        </w:rPr>
        <w:t>Kulkarni RR</w:t>
      </w:r>
      <w:r w:rsidRPr="00E754A5">
        <w:rPr>
          <w:rFonts w:ascii="Book Antiqua" w:hAnsi="Book Antiqua"/>
        </w:rPr>
        <w:t xml:space="preserve">, Villanueva AI, Read LR, Brisbin JT, Bhaumik SK, LaMarre J, Murali-Krishna K, Sharif S. CpG oligonucleotide-mediated co-stimulation of mouse invariant natural killer T cells negatively regulates their activation status. </w:t>
      </w:r>
      <w:r w:rsidRPr="00E754A5">
        <w:rPr>
          <w:rFonts w:ascii="Book Antiqua" w:hAnsi="Book Antiqua"/>
          <w:i/>
          <w:iCs/>
        </w:rPr>
        <w:t>Cell Tissue Res</w:t>
      </w:r>
      <w:r w:rsidRPr="00E754A5">
        <w:rPr>
          <w:rFonts w:ascii="Book Antiqua" w:hAnsi="Book Antiqua"/>
        </w:rPr>
        <w:t xml:space="preserve"> 2017; </w:t>
      </w:r>
      <w:r w:rsidRPr="00E754A5">
        <w:rPr>
          <w:rFonts w:ascii="Book Antiqua" w:hAnsi="Book Antiqua"/>
          <w:b/>
          <w:bCs/>
        </w:rPr>
        <w:t>369</w:t>
      </w:r>
      <w:r w:rsidRPr="00E754A5">
        <w:rPr>
          <w:rFonts w:ascii="Book Antiqua" w:hAnsi="Book Antiqua"/>
        </w:rPr>
        <w:t>: 541-554 [PMID: 28550425 DOI: 10.1007/s00441-017-2631-y]</w:t>
      </w:r>
    </w:p>
    <w:p w14:paraId="126FDF3A"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25 </w:t>
      </w:r>
      <w:r w:rsidRPr="00E754A5">
        <w:rPr>
          <w:rFonts w:ascii="Book Antiqua" w:hAnsi="Book Antiqua"/>
          <w:b/>
          <w:bCs/>
        </w:rPr>
        <w:t>Kulkarni R</w:t>
      </w:r>
      <w:r w:rsidRPr="00E754A5">
        <w:rPr>
          <w:rFonts w:ascii="Book Antiqua" w:hAnsi="Book Antiqua"/>
        </w:rPr>
        <w:t xml:space="preserve">, Behboudi S, Sharif S. Insights into the role of Toll-like receptors in modulation of T cell responses. </w:t>
      </w:r>
      <w:r w:rsidRPr="00E754A5">
        <w:rPr>
          <w:rFonts w:ascii="Book Antiqua" w:hAnsi="Book Antiqua"/>
          <w:i/>
          <w:iCs/>
        </w:rPr>
        <w:t>Cell Tissue Res</w:t>
      </w:r>
      <w:r w:rsidRPr="00E754A5">
        <w:rPr>
          <w:rFonts w:ascii="Book Antiqua" w:hAnsi="Book Antiqua"/>
        </w:rPr>
        <w:t xml:space="preserve"> 2011; </w:t>
      </w:r>
      <w:r w:rsidRPr="00E754A5">
        <w:rPr>
          <w:rFonts w:ascii="Book Antiqua" w:hAnsi="Book Antiqua"/>
          <w:b/>
          <w:bCs/>
        </w:rPr>
        <w:t>343</w:t>
      </w:r>
      <w:r w:rsidRPr="00E754A5">
        <w:rPr>
          <w:rFonts w:ascii="Book Antiqua" w:hAnsi="Book Antiqua"/>
        </w:rPr>
        <w:t>: 141-152 [PMID: 20680345 DOI: 10.1007/s00441-010-1017-1]</w:t>
      </w:r>
    </w:p>
    <w:p w14:paraId="68D3730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26 </w:t>
      </w:r>
      <w:r w:rsidRPr="00E754A5">
        <w:rPr>
          <w:rFonts w:ascii="Book Antiqua" w:hAnsi="Book Antiqua"/>
          <w:b/>
          <w:bCs/>
        </w:rPr>
        <w:t>Dong C</w:t>
      </w:r>
      <w:r w:rsidRPr="00E754A5">
        <w:rPr>
          <w:rFonts w:ascii="Book Antiqua" w:hAnsi="Book Antiqua"/>
          <w:bCs/>
        </w:rPr>
        <w:t xml:space="preserve">, Davis RJ, Flavell RA. MAP kinases in the immune response. </w:t>
      </w:r>
      <w:r w:rsidRPr="00E754A5">
        <w:rPr>
          <w:rFonts w:ascii="Book Antiqua" w:hAnsi="Book Antiqua"/>
          <w:bCs/>
          <w:i/>
        </w:rPr>
        <w:t>Annu Rev Immunol</w:t>
      </w:r>
      <w:r w:rsidRPr="00E754A5">
        <w:rPr>
          <w:rFonts w:ascii="Book Antiqua" w:hAnsi="Book Antiqua"/>
          <w:bCs/>
        </w:rPr>
        <w:t xml:space="preserve"> 2002;</w:t>
      </w:r>
      <w:r w:rsidRPr="00E754A5">
        <w:rPr>
          <w:rFonts w:ascii="Book Antiqua" w:hAnsi="Book Antiqua" w:hint="eastAsia"/>
          <w:bCs/>
        </w:rPr>
        <w:t xml:space="preserve"> </w:t>
      </w:r>
      <w:r w:rsidRPr="00E754A5">
        <w:rPr>
          <w:rFonts w:ascii="Book Antiqua" w:hAnsi="Book Antiqua"/>
          <w:b/>
          <w:bCs/>
        </w:rPr>
        <w:t>20</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 xml:space="preserve">55-72 </w:t>
      </w:r>
      <w:r w:rsidRPr="00E754A5">
        <w:rPr>
          <w:rFonts w:ascii="Book Antiqua" w:hAnsi="Book Antiqua" w:hint="eastAsia"/>
          <w:bCs/>
        </w:rPr>
        <w:t>[</w:t>
      </w:r>
      <w:r w:rsidRPr="00E754A5">
        <w:rPr>
          <w:rFonts w:ascii="Book Antiqua" w:hAnsi="Book Antiqua"/>
          <w:bCs/>
        </w:rPr>
        <w:t>PMID: 11861597</w:t>
      </w:r>
      <w:r w:rsidRPr="00E754A5">
        <w:rPr>
          <w:rFonts w:ascii="Book Antiqua" w:hAnsi="Book Antiqua" w:hint="eastAsia"/>
          <w:bCs/>
        </w:rPr>
        <w:t xml:space="preserve"> DOI</w:t>
      </w:r>
      <w:r w:rsidRPr="00E754A5">
        <w:rPr>
          <w:rFonts w:ascii="Book Antiqua" w:hAnsi="Book Antiqua"/>
          <w:bCs/>
        </w:rPr>
        <w:t>: 10.1146/annurev.immunol.20.091301.131133</w:t>
      </w:r>
      <w:r w:rsidRPr="00E754A5">
        <w:rPr>
          <w:rFonts w:ascii="Book Antiqua" w:hAnsi="Book Antiqua" w:hint="eastAsia"/>
          <w:bCs/>
        </w:rPr>
        <w:t>]</w:t>
      </w:r>
    </w:p>
    <w:p w14:paraId="12F003BF"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27 </w:t>
      </w:r>
      <w:r w:rsidRPr="00E754A5">
        <w:rPr>
          <w:rFonts w:ascii="Book Antiqua" w:hAnsi="Book Antiqua"/>
          <w:b/>
          <w:bCs/>
        </w:rPr>
        <w:t>Stuart JK</w:t>
      </w:r>
      <w:r w:rsidRPr="00E754A5">
        <w:rPr>
          <w:rFonts w:ascii="Book Antiqua" w:hAnsi="Book Antiqua"/>
        </w:rPr>
        <w:t xml:space="preserve">, Bisch SP, Leon-Ponte M, Hayatsu J, Mazzuca DM, Maleki Vareki S, Haeryfar SM. Negative modulation of invariant natural killer T cell responses to glycolipid antigens by p38 MAP kinase. </w:t>
      </w:r>
      <w:r w:rsidRPr="00E754A5">
        <w:rPr>
          <w:rFonts w:ascii="Book Antiqua" w:hAnsi="Book Antiqua"/>
          <w:i/>
          <w:iCs/>
        </w:rPr>
        <w:t>Int Immunopharmacol</w:t>
      </w:r>
      <w:r w:rsidRPr="00E754A5">
        <w:rPr>
          <w:rFonts w:ascii="Book Antiqua" w:hAnsi="Book Antiqua"/>
        </w:rPr>
        <w:t xml:space="preserve"> 2010; </w:t>
      </w:r>
      <w:r w:rsidRPr="00E754A5">
        <w:rPr>
          <w:rFonts w:ascii="Book Antiqua" w:hAnsi="Book Antiqua"/>
          <w:b/>
          <w:bCs/>
        </w:rPr>
        <w:t>10</w:t>
      </w:r>
      <w:r w:rsidRPr="00E754A5">
        <w:rPr>
          <w:rFonts w:ascii="Book Antiqua" w:hAnsi="Book Antiqua"/>
        </w:rPr>
        <w:t>: 1068-1076 [PMID: 20584631 DOI: 10.1016/j.intimp.2010.06.007]</w:t>
      </w:r>
    </w:p>
    <w:p w14:paraId="1CCC7F1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28 </w:t>
      </w:r>
      <w:r w:rsidRPr="00E754A5">
        <w:rPr>
          <w:rFonts w:ascii="Book Antiqua" w:hAnsi="Book Antiqua"/>
          <w:b/>
          <w:bCs/>
        </w:rPr>
        <w:t>Yang T</w:t>
      </w:r>
      <w:r w:rsidRPr="00E754A5">
        <w:rPr>
          <w:rFonts w:ascii="Book Antiqua" w:hAnsi="Book Antiqua"/>
        </w:rPr>
        <w:t xml:space="preserve">, Wang X, Zhou Y, Yu Q, Heng C, Yang H, Yuan Z, Miao Y, Chai Y, Wu Z, Sun L, Huang X, Liu B, Jiang Z, Zhang L. SEW2871 attenuates ANIT-induced hepatotoxicity by protecting liver barrier function via sphingosine 1-phosphate receptor-1-mediated AMPK signaling pathway. </w:t>
      </w:r>
      <w:r w:rsidRPr="00E754A5">
        <w:rPr>
          <w:rFonts w:ascii="Book Antiqua" w:hAnsi="Book Antiqua"/>
          <w:i/>
          <w:iCs/>
        </w:rPr>
        <w:t>Cell Biol Toxicol</w:t>
      </w:r>
      <w:r w:rsidRPr="00E754A5">
        <w:rPr>
          <w:rFonts w:ascii="Book Antiqua" w:hAnsi="Book Antiqua"/>
        </w:rPr>
        <w:t xml:space="preserve"> 2021; </w:t>
      </w:r>
      <w:r w:rsidRPr="00E754A5">
        <w:rPr>
          <w:rFonts w:ascii="Book Antiqua" w:hAnsi="Book Antiqua"/>
          <w:b/>
          <w:bCs/>
        </w:rPr>
        <w:t>37</w:t>
      </w:r>
      <w:r w:rsidRPr="00E754A5">
        <w:rPr>
          <w:rFonts w:ascii="Book Antiqua" w:hAnsi="Book Antiqua"/>
        </w:rPr>
        <w:t>: 595-609 [PMID: 33400020 DOI: 10.1007/s10565-020-09567-9]</w:t>
      </w:r>
    </w:p>
    <w:p w14:paraId="6C33905B"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29 </w:t>
      </w:r>
      <w:r w:rsidRPr="00E754A5">
        <w:rPr>
          <w:rFonts w:ascii="Book Antiqua" w:hAnsi="Book Antiqua"/>
          <w:b/>
          <w:bCs/>
        </w:rPr>
        <w:t>Caielli S</w:t>
      </w:r>
      <w:r w:rsidRPr="00E754A5">
        <w:rPr>
          <w:rFonts w:ascii="Book Antiqua" w:hAnsi="Book Antiqua"/>
        </w:rPr>
        <w:t xml:space="preserve">, Conforti-Andreoni C, Di Pietro C, Usuelli V, Badami E, Malosio ML, Falcone M. On/off TLR signaling decides proinflammatory or tolerogenic dendritic cell maturation upon CD1d-mediated interaction with invariant NKT cells. </w:t>
      </w:r>
      <w:r w:rsidRPr="00E754A5">
        <w:rPr>
          <w:rFonts w:ascii="Book Antiqua" w:hAnsi="Book Antiqua"/>
          <w:i/>
          <w:iCs/>
        </w:rPr>
        <w:t>J Immunol</w:t>
      </w:r>
      <w:r w:rsidRPr="00E754A5">
        <w:rPr>
          <w:rFonts w:ascii="Book Antiqua" w:hAnsi="Book Antiqua"/>
        </w:rPr>
        <w:t xml:space="preserve"> 2010; </w:t>
      </w:r>
      <w:r w:rsidRPr="00E754A5">
        <w:rPr>
          <w:rFonts w:ascii="Book Antiqua" w:hAnsi="Book Antiqua"/>
          <w:b/>
          <w:bCs/>
        </w:rPr>
        <w:t>185</w:t>
      </w:r>
      <w:r w:rsidRPr="00E754A5">
        <w:rPr>
          <w:rFonts w:ascii="Book Antiqua" w:hAnsi="Book Antiqua"/>
        </w:rPr>
        <w:t>: 7317-7329 [PMID: 21078913 DOI: 10.4049/jimmunol.1000400]</w:t>
      </w:r>
    </w:p>
    <w:p w14:paraId="1135E374"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30 </w:t>
      </w:r>
      <w:r w:rsidRPr="00E754A5">
        <w:rPr>
          <w:rFonts w:ascii="Book Antiqua" w:hAnsi="Book Antiqua"/>
          <w:b/>
          <w:bCs/>
        </w:rPr>
        <w:t>Zeissig S</w:t>
      </w:r>
      <w:r w:rsidRPr="00E754A5">
        <w:rPr>
          <w:rFonts w:ascii="Book Antiqua" w:hAnsi="Book Antiqua"/>
        </w:rPr>
        <w:t xml:space="preserve">, Blumberg RS. Analyzing Antigen Recognition by Natural Killer T Cells. </w:t>
      </w:r>
      <w:r w:rsidRPr="00E754A5">
        <w:rPr>
          <w:rFonts w:ascii="Book Antiqua" w:hAnsi="Book Antiqua"/>
          <w:i/>
          <w:iCs/>
        </w:rPr>
        <w:t>Methods Mol Biol</w:t>
      </w:r>
      <w:r w:rsidRPr="00E754A5">
        <w:rPr>
          <w:rFonts w:ascii="Book Antiqua" w:hAnsi="Book Antiqua"/>
        </w:rPr>
        <w:t xml:space="preserve"> 2019; </w:t>
      </w:r>
      <w:r w:rsidRPr="00E754A5">
        <w:rPr>
          <w:rFonts w:ascii="Book Antiqua" w:hAnsi="Book Antiqua"/>
          <w:b/>
          <w:bCs/>
        </w:rPr>
        <w:t>1988</w:t>
      </w:r>
      <w:r w:rsidRPr="00E754A5">
        <w:rPr>
          <w:rFonts w:ascii="Book Antiqua" w:hAnsi="Book Antiqua"/>
        </w:rPr>
        <w:t>: 439-453 [PMID: 31147957 DOI: 10.1007/978-1-4939-9450-2_30]</w:t>
      </w:r>
    </w:p>
    <w:p w14:paraId="5B639E4C"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31 </w:t>
      </w:r>
      <w:r w:rsidRPr="00E754A5">
        <w:rPr>
          <w:rFonts w:ascii="Book Antiqua" w:hAnsi="Book Antiqua"/>
          <w:b/>
          <w:bCs/>
        </w:rPr>
        <w:t>Terabe M</w:t>
      </w:r>
      <w:r w:rsidRPr="00E754A5">
        <w:rPr>
          <w:rFonts w:ascii="Book Antiqua" w:hAnsi="Book Antiqua"/>
        </w:rPr>
        <w:t xml:space="preserve">, Berzofsky JA. The immunoregulatory role of type I and type II NKT cells in cancer and other diseases. </w:t>
      </w:r>
      <w:r w:rsidRPr="00E754A5">
        <w:rPr>
          <w:rFonts w:ascii="Book Antiqua" w:hAnsi="Book Antiqua"/>
          <w:i/>
          <w:iCs/>
        </w:rPr>
        <w:t>Cancer Immunol Immunother</w:t>
      </w:r>
      <w:r w:rsidRPr="00E754A5">
        <w:rPr>
          <w:rFonts w:ascii="Book Antiqua" w:hAnsi="Book Antiqua"/>
        </w:rPr>
        <w:t xml:space="preserve"> 2014; </w:t>
      </w:r>
      <w:r w:rsidRPr="00E754A5">
        <w:rPr>
          <w:rFonts w:ascii="Book Antiqua" w:hAnsi="Book Antiqua"/>
          <w:b/>
          <w:bCs/>
        </w:rPr>
        <w:t>63</w:t>
      </w:r>
      <w:r w:rsidRPr="00E754A5">
        <w:rPr>
          <w:rFonts w:ascii="Book Antiqua" w:hAnsi="Book Antiqua"/>
        </w:rPr>
        <w:t>: 199-213 [PMID: 24384834 DOI: 10.1007/s00262-013-1509-4]</w:t>
      </w:r>
    </w:p>
    <w:p w14:paraId="17BCBC8D"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32 </w:t>
      </w:r>
      <w:r w:rsidRPr="00E754A5">
        <w:rPr>
          <w:rFonts w:ascii="Book Antiqua" w:hAnsi="Book Antiqua"/>
          <w:b/>
          <w:bCs/>
        </w:rPr>
        <w:t>Chuang YH</w:t>
      </w:r>
      <w:r w:rsidRPr="00E754A5">
        <w:rPr>
          <w:rFonts w:ascii="Book Antiqua" w:hAnsi="Book Antiqua"/>
          <w:bCs/>
        </w:rPr>
        <w:t xml:space="preserve">, Lian ZX, Yang GX, Shu SA, Moritoki Y, Ridgway WM, Ansari AA, Kronenberg M, Flavell RA, Gao B, Gershwin ME. Natural killer T cells exacerbate liver injury in a transforming growth factor beta receptor II dominant-negative mouse model of primary biliary cirrhosis. </w:t>
      </w:r>
      <w:r w:rsidRPr="00E754A5">
        <w:rPr>
          <w:rFonts w:ascii="Book Antiqua" w:hAnsi="Book Antiqua"/>
          <w:bCs/>
          <w:i/>
        </w:rPr>
        <w:t>Hepatology</w:t>
      </w:r>
      <w:r w:rsidRPr="00E754A5">
        <w:rPr>
          <w:rFonts w:ascii="Book Antiqua" w:hAnsi="Book Antiqua"/>
          <w:bCs/>
        </w:rPr>
        <w:t xml:space="preserve"> 2008;</w:t>
      </w:r>
      <w:r w:rsidRPr="00E754A5">
        <w:rPr>
          <w:rFonts w:ascii="Book Antiqua" w:hAnsi="Book Antiqua" w:hint="eastAsia"/>
          <w:bCs/>
        </w:rPr>
        <w:t xml:space="preserve"> </w:t>
      </w:r>
      <w:r w:rsidRPr="00E754A5">
        <w:rPr>
          <w:rFonts w:ascii="Book Antiqua" w:hAnsi="Book Antiqua"/>
          <w:b/>
          <w:bCs/>
        </w:rPr>
        <w:t>47</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571-</w:t>
      </w:r>
      <w:r w:rsidRPr="00E754A5">
        <w:rPr>
          <w:rFonts w:ascii="Book Antiqua" w:hAnsi="Book Antiqua" w:hint="eastAsia"/>
          <w:bCs/>
        </w:rPr>
        <w:t>5</w:t>
      </w:r>
      <w:r w:rsidRPr="00E754A5">
        <w:rPr>
          <w:rFonts w:ascii="Book Antiqua" w:hAnsi="Book Antiqua"/>
          <w:bCs/>
        </w:rPr>
        <w:t xml:space="preserve">80 </w:t>
      </w:r>
      <w:r w:rsidRPr="00E754A5">
        <w:rPr>
          <w:rFonts w:ascii="Book Antiqua" w:hAnsi="Book Antiqua" w:hint="eastAsia"/>
          <w:bCs/>
        </w:rPr>
        <w:t>[</w:t>
      </w:r>
      <w:r w:rsidRPr="00E754A5">
        <w:rPr>
          <w:rFonts w:ascii="Book Antiqua" w:hAnsi="Book Antiqua"/>
          <w:bCs/>
        </w:rPr>
        <w:t>PMID: 18098320</w:t>
      </w:r>
      <w:r w:rsidRPr="00E754A5">
        <w:rPr>
          <w:rFonts w:ascii="Book Antiqua" w:hAnsi="Book Antiqua" w:hint="eastAsia"/>
          <w:bCs/>
        </w:rPr>
        <w:t xml:space="preserve"> DOI</w:t>
      </w:r>
      <w:r w:rsidRPr="00E754A5">
        <w:rPr>
          <w:rFonts w:ascii="Book Antiqua" w:hAnsi="Book Antiqua"/>
          <w:bCs/>
        </w:rPr>
        <w:t>: 10.1002/hep.22052</w:t>
      </w:r>
      <w:r w:rsidRPr="00E754A5">
        <w:rPr>
          <w:rFonts w:ascii="Book Antiqua" w:hAnsi="Book Antiqua" w:hint="eastAsia"/>
          <w:bCs/>
        </w:rPr>
        <w:t>]</w:t>
      </w:r>
    </w:p>
    <w:p w14:paraId="3E9A392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33 </w:t>
      </w:r>
      <w:r w:rsidRPr="00E754A5">
        <w:rPr>
          <w:rFonts w:ascii="Book Antiqua" w:hAnsi="Book Antiqua"/>
          <w:b/>
          <w:bCs/>
        </w:rPr>
        <w:t>Geissmann F</w:t>
      </w:r>
      <w:r w:rsidRPr="00E754A5">
        <w:rPr>
          <w:rFonts w:ascii="Book Antiqua" w:hAnsi="Book Antiqua"/>
          <w:bCs/>
        </w:rPr>
        <w:t xml:space="preserve">, Cameron TO, Sidobre S, Manlongat N, Kronenberg M, Briskin MJ, Dustin ML, Littman DR. Intravascular immune surveillance by CXCR6+ NKT cells patrolling liver sinusoids. </w:t>
      </w:r>
      <w:r w:rsidRPr="00E754A5">
        <w:rPr>
          <w:rFonts w:ascii="Book Antiqua" w:hAnsi="Book Antiqua"/>
          <w:bCs/>
          <w:i/>
        </w:rPr>
        <w:t>PLoS Biol</w:t>
      </w:r>
      <w:r w:rsidRPr="00E754A5">
        <w:rPr>
          <w:rFonts w:ascii="Book Antiqua" w:hAnsi="Book Antiqua"/>
          <w:bCs/>
        </w:rPr>
        <w:t xml:space="preserve"> 2005;</w:t>
      </w:r>
      <w:r w:rsidRPr="00E754A5">
        <w:rPr>
          <w:rFonts w:ascii="Book Antiqua" w:hAnsi="Book Antiqua" w:hint="eastAsia"/>
          <w:bCs/>
        </w:rPr>
        <w:t xml:space="preserve"> </w:t>
      </w:r>
      <w:r w:rsidRPr="00E754A5">
        <w:rPr>
          <w:rFonts w:ascii="Book Antiqua" w:hAnsi="Book Antiqua"/>
          <w:b/>
          <w:bCs/>
        </w:rPr>
        <w:t>3</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 xml:space="preserve">e113 </w:t>
      </w:r>
      <w:r w:rsidRPr="00E754A5">
        <w:rPr>
          <w:rFonts w:ascii="Book Antiqua" w:hAnsi="Book Antiqua" w:hint="eastAsia"/>
          <w:bCs/>
        </w:rPr>
        <w:t>[</w:t>
      </w:r>
      <w:r w:rsidRPr="00E754A5">
        <w:rPr>
          <w:rFonts w:ascii="Book Antiqua" w:hAnsi="Book Antiqua"/>
          <w:bCs/>
        </w:rPr>
        <w:t>PMID: 15799695</w:t>
      </w:r>
      <w:r w:rsidRPr="00E754A5">
        <w:rPr>
          <w:rFonts w:ascii="Book Antiqua" w:hAnsi="Book Antiqua" w:hint="eastAsia"/>
          <w:bCs/>
        </w:rPr>
        <w:t xml:space="preserve"> DOI</w:t>
      </w:r>
      <w:r w:rsidRPr="00E754A5">
        <w:rPr>
          <w:rFonts w:ascii="Book Antiqua" w:hAnsi="Book Antiqua"/>
          <w:bCs/>
        </w:rPr>
        <w:t>: 10.1371/journal.pbio.0030113</w:t>
      </w:r>
      <w:r w:rsidRPr="00E754A5">
        <w:rPr>
          <w:rFonts w:ascii="Book Antiqua" w:hAnsi="Book Antiqua" w:hint="eastAsia"/>
          <w:bCs/>
        </w:rPr>
        <w:t>]</w:t>
      </w:r>
    </w:p>
    <w:p w14:paraId="3D8E5A8A"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34 </w:t>
      </w:r>
      <w:r w:rsidRPr="00E754A5">
        <w:rPr>
          <w:rFonts w:ascii="Book Antiqua" w:hAnsi="Book Antiqua"/>
          <w:b/>
          <w:bCs/>
        </w:rPr>
        <w:t>Heydtmann M</w:t>
      </w:r>
      <w:r w:rsidRPr="00E754A5">
        <w:rPr>
          <w:rFonts w:ascii="Book Antiqua" w:hAnsi="Book Antiqua"/>
          <w:bCs/>
        </w:rPr>
        <w:t xml:space="preserve">, Lalor PF, Eksteen JA, Hübscher SG, Briskin M, Adams DH. CXC chemokine ligand 16 promotes integrin-mediated adhesion of liver-infiltrating lymphocytes to cholangiocytes and hepatocytes within the inflamed human liver. </w:t>
      </w:r>
      <w:r w:rsidRPr="00E754A5">
        <w:rPr>
          <w:rFonts w:ascii="Book Antiqua" w:hAnsi="Book Antiqua"/>
          <w:bCs/>
          <w:i/>
        </w:rPr>
        <w:t>J Immunol</w:t>
      </w:r>
      <w:r w:rsidRPr="00E754A5">
        <w:rPr>
          <w:rFonts w:ascii="Book Antiqua" w:hAnsi="Book Antiqua"/>
          <w:bCs/>
        </w:rPr>
        <w:t xml:space="preserve"> 2005;</w:t>
      </w:r>
      <w:r w:rsidRPr="00E754A5">
        <w:rPr>
          <w:rFonts w:ascii="Book Antiqua" w:hAnsi="Book Antiqua" w:hint="eastAsia"/>
          <w:bCs/>
        </w:rPr>
        <w:t xml:space="preserve"> </w:t>
      </w:r>
      <w:r w:rsidRPr="00E754A5">
        <w:rPr>
          <w:rFonts w:ascii="Book Antiqua" w:hAnsi="Book Antiqua"/>
          <w:b/>
          <w:bCs/>
        </w:rPr>
        <w:t>174</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1055-</w:t>
      </w:r>
      <w:r w:rsidRPr="00E754A5">
        <w:rPr>
          <w:rFonts w:ascii="Book Antiqua" w:hAnsi="Book Antiqua" w:hint="eastAsia"/>
          <w:bCs/>
        </w:rPr>
        <w:t>10</w:t>
      </w:r>
      <w:r w:rsidRPr="00E754A5">
        <w:rPr>
          <w:rFonts w:ascii="Book Antiqua" w:hAnsi="Book Antiqua"/>
          <w:bCs/>
        </w:rPr>
        <w:t xml:space="preserve">62 </w:t>
      </w:r>
      <w:r w:rsidRPr="00E754A5">
        <w:rPr>
          <w:rFonts w:ascii="Book Antiqua" w:hAnsi="Book Antiqua" w:hint="eastAsia"/>
          <w:bCs/>
        </w:rPr>
        <w:t>[</w:t>
      </w:r>
      <w:r w:rsidRPr="00E754A5">
        <w:rPr>
          <w:rFonts w:ascii="Book Antiqua" w:hAnsi="Book Antiqua"/>
          <w:bCs/>
        </w:rPr>
        <w:t>PMID: 15634930</w:t>
      </w:r>
      <w:r w:rsidRPr="00E754A5">
        <w:rPr>
          <w:rFonts w:ascii="Book Antiqua" w:hAnsi="Book Antiqua" w:hint="eastAsia"/>
          <w:bCs/>
        </w:rPr>
        <w:t xml:space="preserve"> DOI</w:t>
      </w:r>
      <w:r w:rsidRPr="00E754A5">
        <w:rPr>
          <w:rFonts w:ascii="Book Antiqua" w:hAnsi="Book Antiqua"/>
          <w:bCs/>
        </w:rPr>
        <w:t>: 10.4049/jimmunol.174.2.1055</w:t>
      </w:r>
      <w:r w:rsidRPr="00E754A5">
        <w:rPr>
          <w:rFonts w:ascii="Book Antiqua" w:hAnsi="Book Antiqua" w:hint="eastAsia"/>
          <w:bCs/>
        </w:rPr>
        <w:t>]</w:t>
      </w:r>
    </w:p>
    <w:p w14:paraId="193438C7"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35 </w:t>
      </w:r>
      <w:r w:rsidRPr="00E754A5">
        <w:rPr>
          <w:rFonts w:ascii="Book Antiqua" w:hAnsi="Book Antiqua"/>
          <w:b/>
          <w:bCs/>
        </w:rPr>
        <w:t>Ma C</w:t>
      </w:r>
      <w:r w:rsidRPr="00E754A5">
        <w:rPr>
          <w:rFonts w:ascii="Book Antiqua" w:hAnsi="Book Antiqua"/>
        </w:rPr>
        <w:t xml:space="preserve">, Han M, Heinrich B, Fu Q, Zhang Q, Sandhu M, Agdashian D, Terabe M, Berzofsky JA, Fako V, Ritz T, Longerich T, Theriot CM, McCulloch JA, Roy S, Yuan W, Thovarai V, Sen SK, Ruchirawat M, Korangy F, Wang XW, Trinchieri G, Greten TF. Gut microbiome-mediated bile acid metabolism regulates liver cancer via NKT cells. </w:t>
      </w:r>
      <w:r w:rsidRPr="00E754A5">
        <w:rPr>
          <w:rFonts w:ascii="Book Antiqua" w:hAnsi="Book Antiqua"/>
          <w:i/>
          <w:iCs/>
        </w:rPr>
        <w:t>Science</w:t>
      </w:r>
      <w:r w:rsidRPr="00E754A5">
        <w:rPr>
          <w:rFonts w:ascii="Book Antiqua" w:hAnsi="Book Antiqua"/>
        </w:rPr>
        <w:t xml:space="preserve"> 2018; </w:t>
      </w:r>
      <w:r w:rsidRPr="00E754A5">
        <w:rPr>
          <w:rFonts w:ascii="Book Antiqua" w:hAnsi="Book Antiqua"/>
          <w:b/>
          <w:bCs/>
        </w:rPr>
        <w:t>360</w:t>
      </w:r>
      <w:r w:rsidRPr="00E754A5">
        <w:rPr>
          <w:rFonts w:ascii="Book Antiqua" w:hAnsi="Book Antiqua"/>
        </w:rPr>
        <w:t xml:space="preserve"> [PMID: 29798856 DOI: 10.1126/science.aan5931]</w:t>
      </w:r>
    </w:p>
    <w:p w14:paraId="0372D934"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36 </w:t>
      </w:r>
      <w:r w:rsidRPr="00E754A5">
        <w:rPr>
          <w:rFonts w:ascii="Book Antiqua" w:hAnsi="Book Antiqua"/>
          <w:b/>
          <w:bCs/>
        </w:rPr>
        <w:t>Abel S</w:t>
      </w:r>
      <w:r w:rsidRPr="00E754A5">
        <w:rPr>
          <w:rFonts w:ascii="Book Antiqua" w:hAnsi="Book Antiqua"/>
          <w:bCs/>
        </w:rPr>
        <w:t xml:space="preserve">, Hundhausen C, Mentlein R, Schulte A, Berkhout TA, Broadway N, Hartmann D, Sedlacek R, Dietrich S, Muetze B, Schuster B, Kallen KJ, Saftig P, Rose-John S, Ludwig A. The transmembrane CXC-chemokine ligand 16 is induced by IFN-gamma and TNF-alpha and shed by the activity of the disintegrin-like metalloproteinase ADAM10. </w:t>
      </w:r>
      <w:r w:rsidRPr="00E754A5">
        <w:rPr>
          <w:rFonts w:ascii="Book Antiqua" w:hAnsi="Book Antiqua"/>
          <w:bCs/>
          <w:i/>
        </w:rPr>
        <w:t>J Immunol</w:t>
      </w:r>
      <w:r w:rsidRPr="00E754A5">
        <w:rPr>
          <w:rFonts w:ascii="Book Antiqua" w:hAnsi="Book Antiqua"/>
          <w:bCs/>
        </w:rPr>
        <w:t xml:space="preserve"> 2004;</w:t>
      </w:r>
      <w:r w:rsidRPr="00E754A5">
        <w:rPr>
          <w:rFonts w:ascii="Book Antiqua" w:hAnsi="Book Antiqua" w:hint="eastAsia"/>
          <w:bCs/>
        </w:rPr>
        <w:t xml:space="preserve"> </w:t>
      </w:r>
      <w:r w:rsidRPr="00E754A5">
        <w:rPr>
          <w:rFonts w:ascii="Book Antiqua" w:hAnsi="Book Antiqua"/>
          <w:b/>
          <w:bCs/>
        </w:rPr>
        <w:t>172</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6362-</w:t>
      </w:r>
      <w:r w:rsidRPr="00E754A5">
        <w:rPr>
          <w:rFonts w:ascii="Book Antiqua" w:hAnsi="Book Antiqua" w:hint="eastAsia"/>
          <w:bCs/>
        </w:rPr>
        <w:t>63</w:t>
      </w:r>
      <w:r w:rsidRPr="00E754A5">
        <w:rPr>
          <w:rFonts w:ascii="Book Antiqua" w:hAnsi="Book Antiqua"/>
          <w:bCs/>
        </w:rPr>
        <w:t xml:space="preserve">72 </w:t>
      </w:r>
      <w:r w:rsidRPr="00E754A5">
        <w:rPr>
          <w:rFonts w:ascii="Book Antiqua" w:hAnsi="Book Antiqua" w:hint="eastAsia"/>
          <w:bCs/>
        </w:rPr>
        <w:t>[</w:t>
      </w:r>
      <w:r w:rsidRPr="00E754A5">
        <w:rPr>
          <w:rFonts w:ascii="Book Antiqua" w:hAnsi="Book Antiqua"/>
          <w:bCs/>
        </w:rPr>
        <w:t>PMID: 15128827</w:t>
      </w:r>
      <w:r w:rsidRPr="00E754A5">
        <w:rPr>
          <w:rFonts w:ascii="Book Antiqua" w:hAnsi="Book Antiqua" w:hint="eastAsia"/>
          <w:bCs/>
        </w:rPr>
        <w:t xml:space="preserve"> DOI</w:t>
      </w:r>
      <w:r w:rsidRPr="00E754A5">
        <w:rPr>
          <w:rFonts w:ascii="Book Antiqua" w:hAnsi="Book Antiqua"/>
          <w:bCs/>
        </w:rPr>
        <w:t>: 10.4049/jimmunol.172.10.6362</w:t>
      </w:r>
      <w:r w:rsidRPr="00E754A5">
        <w:rPr>
          <w:rFonts w:ascii="Book Antiqua" w:hAnsi="Book Antiqua" w:hint="eastAsia"/>
          <w:bCs/>
        </w:rPr>
        <w:t>]</w:t>
      </w:r>
    </w:p>
    <w:p w14:paraId="6803482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37 </w:t>
      </w:r>
      <w:r w:rsidRPr="00E754A5">
        <w:rPr>
          <w:rFonts w:ascii="Book Antiqua" w:hAnsi="Book Antiqua"/>
          <w:b/>
          <w:bCs/>
        </w:rPr>
        <w:t>Anderson CK</w:t>
      </w:r>
      <w:r w:rsidRPr="00E754A5">
        <w:rPr>
          <w:rFonts w:ascii="Book Antiqua" w:hAnsi="Book Antiqua"/>
        </w:rPr>
        <w:t xml:space="preserve">, Reilly SP, Brossay L. The Invariant NKT Cell Response Has Differential Signaling Requirements during Antigen-Dependent and Antigen-Independent Activation. </w:t>
      </w:r>
      <w:r w:rsidRPr="00E754A5">
        <w:rPr>
          <w:rFonts w:ascii="Book Antiqua" w:hAnsi="Book Antiqua"/>
          <w:i/>
          <w:iCs/>
        </w:rPr>
        <w:t>J Immunol</w:t>
      </w:r>
      <w:r w:rsidRPr="00E754A5">
        <w:rPr>
          <w:rFonts w:ascii="Book Antiqua" w:hAnsi="Book Antiqua"/>
        </w:rPr>
        <w:t xml:space="preserve"> 2021; </w:t>
      </w:r>
      <w:r w:rsidRPr="00E754A5">
        <w:rPr>
          <w:rFonts w:ascii="Book Antiqua" w:hAnsi="Book Antiqua"/>
          <w:b/>
          <w:bCs/>
        </w:rPr>
        <w:t>206</w:t>
      </w:r>
      <w:r w:rsidRPr="00E754A5">
        <w:rPr>
          <w:rFonts w:ascii="Book Antiqua" w:hAnsi="Book Antiqua"/>
        </w:rPr>
        <w:t>: 132-140 [PMID: 33229442 DOI: 10.4049/jimmunol.2000870]</w:t>
      </w:r>
    </w:p>
    <w:p w14:paraId="60F2E238"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38 </w:t>
      </w:r>
      <w:r w:rsidRPr="00E754A5">
        <w:rPr>
          <w:rFonts w:ascii="Book Antiqua" w:hAnsi="Book Antiqua"/>
          <w:b/>
          <w:bCs/>
        </w:rPr>
        <w:t>Kiziltas S</w:t>
      </w:r>
      <w:r w:rsidRPr="00E754A5">
        <w:rPr>
          <w:rFonts w:ascii="Book Antiqua" w:hAnsi="Book Antiqua"/>
          <w:bCs/>
        </w:rPr>
        <w:t xml:space="preserve">. Toll-like receptors in pathophysiology of liver diseases. </w:t>
      </w:r>
      <w:r w:rsidRPr="00E754A5">
        <w:rPr>
          <w:rFonts w:ascii="Book Antiqua" w:hAnsi="Book Antiqua"/>
          <w:bCs/>
          <w:i/>
        </w:rPr>
        <w:t>World J Hepatol</w:t>
      </w:r>
      <w:r w:rsidRPr="00E754A5">
        <w:rPr>
          <w:rFonts w:ascii="Book Antiqua" w:hAnsi="Book Antiqua"/>
          <w:bCs/>
        </w:rPr>
        <w:t xml:space="preserve"> 2016;</w:t>
      </w:r>
      <w:r w:rsidRPr="00E754A5">
        <w:rPr>
          <w:rFonts w:ascii="Book Antiqua" w:hAnsi="Book Antiqua" w:hint="eastAsia"/>
          <w:bCs/>
        </w:rPr>
        <w:t xml:space="preserve"> </w:t>
      </w:r>
      <w:r w:rsidRPr="00E754A5">
        <w:rPr>
          <w:rFonts w:ascii="Book Antiqua" w:hAnsi="Book Antiqua"/>
          <w:b/>
          <w:bCs/>
        </w:rPr>
        <w:t>8</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 xml:space="preserve">1354-1369 </w:t>
      </w:r>
      <w:r w:rsidRPr="00E754A5">
        <w:rPr>
          <w:rFonts w:ascii="Book Antiqua" w:hAnsi="Book Antiqua" w:hint="eastAsia"/>
          <w:bCs/>
        </w:rPr>
        <w:t>[</w:t>
      </w:r>
      <w:r w:rsidRPr="00E754A5">
        <w:rPr>
          <w:rFonts w:ascii="Book Antiqua" w:hAnsi="Book Antiqua"/>
          <w:bCs/>
        </w:rPr>
        <w:t>PMID: 27917262</w:t>
      </w:r>
      <w:r w:rsidRPr="00E754A5">
        <w:rPr>
          <w:rFonts w:ascii="Book Antiqua" w:hAnsi="Book Antiqua" w:hint="eastAsia"/>
          <w:bCs/>
        </w:rPr>
        <w:t xml:space="preserve"> DOI</w:t>
      </w:r>
      <w:r w:rsidRPr="00E754A5">
        <w:rPr>
          <w:rFonts w:ascii="Book Antiqua" w:hAnsi="Book Antiqua"/>
          <w:bCs/>
        </w:rPr>
        <w:t>: 10.4254/wjh.v8.i32.1354</w:t>
      </w:r>
      <w:r w:rsidRPr="00E754A5">
        <w:rPr>
          <w:rFonts w:ascii="Book Antiqua" w:hAnsi="Book Antiqua" w:hint="eastAsia"/>
          <w:bCs/>
        </w:rPr>
        <w:t>]</w:t>
      </w:r>
    </w:p>
    <w:p w14:paraId="60DD5C14"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39 </w:t>
      </w:r>
      <w:r w:rsidRPr="00E754A5">
        <w:rPr>
          <w:rFonts w:ascii="Book Antiqua" w:hAnsi="Book Antiqua"/>
          <w:b/>
          <w:bCs/>
        </w:rPr>
        <w:t xml:space="preserve">Chu AJ. </w:t>
      </w:r>
      <w:r w:rsidRPr="00E754A5">
        <w:rPr>
          <w:rFonts w:ascii="Book Antiqua" w:hAnsi="Book Antiqua"/>
          <w:bCs/>
        </w:rPr>
        <w:t xml:space="preserve">Antagonism by bioactive polyphenols against inflammation: a systematic view. </w:t>
      </w:r>
      <w:r w:rsidRPr="00E754A5">
        <w:rPr>
          <w:rFonts w:ascii="Book Antiqua" w:hAnsi="Book Antiqua"/>
          <w:bCs/>
          <w:i/>
        </w:rPr>
        <w:t>Inflamm Allergy Drug Targets</w:t>
      </w:r>
      <w:r w:rsidRPr="00E754A5">
        <w:rPr>
          <w:rFonts w:ascii="Book Antiqua" w:hAnsi="Book Antiqua"/>
          <w:bCs/>
        </w:rPr>
        <w:t xml:space="preserve"> 2014;</w:t>
      </w:r>
      <w:r w:rsidRPr="00E754A5">
        <w:rPr>
          <w:rFonts w:ascii="Book Antiqua" w:hAnsi="Book Antiqua" w:hint="eastAsia"/>
          <w:bCs/>
        </w:rPr>
        <w:t xml:space="preserve"> </w:t>
      </w:r>
      <w:r w:rsidRPr="00E754A5">
        <w:rPr>
          <w:rFonts w:ascii="Book Antiqua" w:hAnsi="Book Antiqua"/>
          <w:b/>
          <w:bCs/>
        </w:rPr>
        <w:t>13</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 xml:space="preserve">34-64 </w:t>
      </w:r>
      <w:r w:rsidRPr="00E754A5">
        <w:rPr>
          <w:rFonts w:ascii="Book Antiqua" w:hAnsi="Book Antiqua" w:hint="eastAsia"/>
          <w:bCs/>
        </w:rPr>
        <w:t>[</w:t>
      </w:r>
      <w:r w:rsidRPr="00E754A5">
        <w:rPr>
          <w:rFonts w:ascii="Book Antiqua" w:hAnsi="Book Antiqua"/>
          <w:bCs/>
        </w:rPr>
        <w:t>PMID: 24251781</w:t>
      </w:r>
      <w:r w:rsidRPr="00E754A5">
        <w:rPr>
          <w:rFonts w:ascii="Book Antiqua" w:hAnsi="Book Antiqua" w:hint="eastAsia"/>
          <w:bCs/>
        </w:rPr>
        <w:t xml:space="preserve"> DOI</w:t>
      </w:r>
      <w:r w:rsidRPr="00E754A5">
        <w:rPr>
          <w:rFonts w:ascii="Book Antiqua" w:hAnsi="Book Antiqua"/>
          <w:bCs/>
        </w:rPr>
        <w:t>: 10.2174/1871528112666131119211002</w:t>
      </w:r>
      <w:r w:rsidRPr="00E754A5">
        <w:rPr>
          <w:rFonts w:ascii="Book Antiqua" w:hAnsi="Book Antiqua" w:hint="eastAsia"/>
          <w:bCs/>
        </w:rPr>
        <w:t>]</w:t>
      </w:r>
    </w:p>
    <w:p w14:paraId="27224E06"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40 </w:t>
      </w:r>
      <w:r w:rsidRPr="00E754A5">
        <w:rPr>
          <w:rFonts w:ascii="Book Antiqua" w:hAnsi="Book Antiqua"/>
          <w:b/>
          <w:bCs/>
        </w:rPr>
        <w:t>Askenase PW</w:t>
      </w:r>
      <w:r w:rsidRPr="00E754A5">
        <w:rPr>
          <w:rFonts w:ascii="Book Antiqua" w:hAnsi="Book Antiqua"/>
          <w:bCs/>
        </w:rPr>
        <w:t xml:space="preserve">, Itakura A, Leite-de-Moraes MC, Lisbonne M, Roongapinun S, Goldstein DR, Szczepanik M. TLR-dependent IL-4 production by invariant </w:t>
      </w:r>
      <w:r w:rsidRPr="00E754A5">
        <w:rPr>
          <w:rFonts w:ascii="Book Antiqua" w:hAnsi="Book Antiqua"/>
          <w:bCs/>
        </w:rPr>
        <w:lastRenderedPageBreak/>
        <w:t xml:space="preserve">Valpha14+Jalpha18+ NKT cells to initiate contact sensitivity in vivo. </w:t>
      </w:r>
      <w:r w:rsidRPr="00E754A5">
        <w:rPr>
          <w:rFonts w:ascii="Book Antiqua" w:hAnsi="Book Antiqua"/>
          <w:bCs/>
          <w:i/>
        </w:rPr>
        <w:t>J Immunol</w:t>
      </w:r>
      <w:r w:rsidRPr="00E754A5">
        <w:rPr>
          <w:rFonts w:ascii="Book Antiqua" w:hAnsi="Book Antiqua"/>
          <w:bCs/>
        </w:rPr>
        <w:t xml:space="preserve"> 2005;</w:t>
      </w:r>
      <w:r w:rsidRPr="00E754A5">
        <w:rPr>
          <w:rFonts w:ascii="Book Antiqua" w:hAnsi="Book Antiqua" w:hint="eastAsia"/>
          <w:bCs/>
        </w:rPr>
        <w:t xml:space="preserve"> </w:t>
      </w:r>
      <w:r w:rsidRPr="00E754A5">
        <w:rPr>
          <w:rFonts w:ascii="Book Antiqua" w:hAnsi="Book Antiqua"/>
          <w:b/>
          <w:bCs/>
        </w:rPr>
        <w:t>175</w:t>
      </w:r>
      <w:r w:rsidRPr="00E754A5">
        <w:rPr>
          <w:rFonts w:ascii="Book Antiqua" w:hAnsi="Book Antiqua"/>
          <w:bCs/>
        </w:rPr>
        <w:t>:</w:t>
      </w:r>
      <w:r w:rsidRPr="00E754A5">
        <w:rPr>
          <w:rFonts w:ascii="Book Antiqua" w:hAnsi="Book Antiqua" w:hint="eastAsia"/>
          <w:bCs/>
        </w:rPr>
        <w:t xml:space="preserve"> </w:t>
      </w:r>
      <w:r w:rsidRPr="00E754A5">
        <w:rPr>
          <w:rFonts w:ascii="Book Antiqua" w:hAnsi="Book Antiqua"/>
          <w:bCs/>
        </w:rPr>
        <w:t>6390-</w:t>
      </w:r>
      <w:r w:rsidRPr="00E754A5">
        <w:rPr>
          <w:rFonts w:ascii="Book Antiqua" w:hAnsi="Book Antiqua" w:hint="eastAsia"/>
          <w:bCs/>
        </w:rPr>
        <w:t>6</w:t>
      </w:r>
      <w:r w:rsidRPr="00E754A5">
        <w:rPr>
          <w:rFonts w:ascii="Book Antiqua" w:hAnsi="Book Antiqua"/>
          <w:bCs/>
        </w:rPr>
        <w:t xml:space="preserve">401 </w:t>
      </w:r>
      <w:r w:rsidRPr="00E754A5">
        <w:rPr>
          <w:rFonts w:ascii="Book Antiqua" w:hAnsi="Book Antiqua" w:hint="eastAsia"/>
          <w:bCs/>
        </w:rPr>
        <w:t>[</w:t>
      </w:r>
      <w:r w:rsidRPr="00E754A5">
        <w:rPr>
          <w:rFonts w:ascii="Book Antiqua" w:hAnsi="Book Antiqua"/>
          <w:bCs/>
        </w:rPr>
        <w:t>PMID: 16272291</w:t>
      </w:r>
      <w:r w:rsidRPr="00E754A5">
        <w:rPr>
          <w:rFonts w:ascii="Book Antiqua" w:hAnsi="Book Antiqua" w:hint="eastAsia"/>
          <w:bCs/>
        </w:rPr>
        <w:t xml:space="preserve"> DOI</w:t>
      </w:r>
      <w:r w:rsidRPr="00E754A5">
        <w:rPr>
          <w:rFonts w:ascii="Book Antiqua" w:hAnsi="Book Antiqua"/>
          <w:bCs/>
        </w:rPr>
        <w:t>: 10.4049/jimmunol.175.10.6390</w:t>
      </w:r>
      <w:r w:rsidRPr="00E754A5">
        <w:rPr>
          <w:rFonts w:ascii="Book Antiqua" w:hAnsi="Book Antiqua" w:hint="eastAsia"/>
          <w:bCs/>
        </w:rPr>
        <w:t>]</w:t>
      </w:r>
    </w:p>
    <w:p w14:paraId="6A17FF17"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41 </w:t>
      </w:r>
      <w:r w:rsidRPr="00E754A5">
        <w:rPr>
          <w:rFonts w:ascii="Book Antiqua" w:hAnsi="Book Antiqua"/>
          <w:b/>
          <w:bCs/>
        </w:rPr>
        <w:t>Ishida K</w:t>
      </w:r>
      <w:r w:rsidRPr="00E754A5">
        <w:rPr>
          <w:rFonts w:ascii="Book Antiqua" w:hAnsi="Book Antiqua"/>
        </w:rPr>
        <w:t xml:space="preserve">, Kaji K, Sato S, Ogawa H, Takagi H, Takaya H, Kawaratani H, Moriya K, Namisaki T, Akahane T, Yoshiji H. Sulforaphane ameliorates ethanol plus carbon tetrachloride-induced liver fibrosis in mice through the Nrf2-mediated antioxidant response and acetaldehyde metabolization with inhibition of the LPS/TLR4 signaling pathway. </w:t>
      </w:r>
      <w:r w:rsidRPr="00E754A5">
        <w:rPr>
          <w:rFonts w:ascii="Book Antiqua" w:hAnsi="Book Antiqua"/>
          <w:i/>
          <w:iCs/>
        </w:rPr>
        <w:t>J Nutr Biochem</w:t>
      </w:r>
      <w:r w:rsidRPr="00E754A5">
        <w:rPr>
          <w:rFonts w:ascii="Book Antiqua" w:hAnsi="Book Antiqua"/>
        </w:rPr>
        <w:t xml:space="preserve"> 2021; </w:t>
      </w:r>
      <w:r w:rsidRPr="00E754A5">
        <w:rPr>
          <w:rFonts w:ascii="Book Antiqua" w:hAnsi="Book Antiqua"/>
          <w:b/>
          <w:bCs/>
        </w:rPr>
        <w:t>89</w:t>
      </w:r>
      <w:r w:rsidRPr="00E754A5">
        <w:rPr>
          <w:rFonts w:ascii="Book Antiqua" w:hAnsi="Book Antiqua"/>
        </w:rPr>
        <w:t>: 108573 [PMID: 33388347 DOI: 10.1016/j.jnutbio.2020.108573]</w:t>
      </w:r>
    </w:p>
    <w:p w14:paraId="35A1F710"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42 </w:t>
      </w:r>
      <w:r w:rsidRPr="00E754A5">
        <w:rPr>
          <w:rFonts w:ascii="Book Antiqua" w:hAnsi="Book Antiqua"/>
          <w:b/>
          <w:bCs/>
        </w:rPr>
        <w:t>Uchida Y</w:t>
      </w:r>
      <w:r w:rsidRPr="00E754A5">
        <w:rPr>
          <w:rFonts w:ascii="Book Antiqua" w:hAnsi="Book Antiqua"/>
        </w:rPr>
        <w:t xml:space="preserve">, Ke B, Freitas MC, Yagita H, Akiba H, Busuttil RW, Najafian N, Kupiec-Weglinski JW. T-cell immunoglobulin mucin-3 determines severity of liver ischemia/reperfusion injury in mice in a TLR4-dependent manner. </w:t>
      </w:r>
      <w:r w:rsidRPr="00E754A5">
        <w:rPr>
          <w:rFonts w:ascii="Book Antiqua" w:hAnsi="Book Antiqua"/>
          <w:i/>
          <w:iCs/>
        </w:rPr>
        <w:t>Gastroenterology</w:t>
      </w:r>
      <w:r w:rsidRPr="00E754A5">
        <w:rPr>
          <w:rFonts w:ascii="Book Antiqua" w:hAnsi="Book Antiqua"/>
        </w:rPr>
        <w:t xml:space="preserve"> 2010; </w:t>
      </w:r>
      <w:r w:rsidRPr="00E754A5">
        <w:rPr>
          <w:rFonts w:ascii="Book Antiqua" w:hAnsi="Book Antiqua"/>
          <w:b/>
          <w:bCs/>
        </w:rPr>
        <w:t>139</w:t>
      </w:r>
      <w:r w:rsidRPr="00E754A5">
        <w:rPr>
          <w:rFonts w:ascii="Book Antiqua" w:hAnsi="Book Antiqua"/>
        </w:rPr>
        <w:t>: 2195-2206 [PMID: 20637206 DOI: 10.1053/j.gastro.2010.07.003]</w:t>
      </w:r>
    </w:p>
    <w:p w14:paraId="218FF54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43 </w:t>
      </w:r>
      <w:r w:rsidRPr="00E754A5">
        <w:rPr>
          <w:rFonts w:ascii="Book Antiqua" w:hAnsi="Book Antiqua"/>
          <w:b/>
          <w:bCs/>
        </w:rPr>
        <w:t>Alhasson F</w:t>
      </w:r>
      <w:r w:rsidRPr="00E754A5">
        <w:rPr>
          <w:rFonts w:ascii="Book Antiqua" w:hAnsi="Book Antiqua"/>
        </w:rPr>
        <w:t xml:space="preserve">, Dattaroy D, Das S, Chandrashekaran V, Seth RK, Schnellmann RG, Chatterjee S. NKT cell modulates NAFLD potentiation of metabolic oxidative stress-induced mesangial cell activation and proximal tubular toxicity. </w:t>
      </w:r>
      <w:r w:rsidRPr="00E754A5">
        <w:rPr>
          <w:rFonts w:ascii="Book Antiqua" w:hAnsi="Book Antiqua"/>
          <w:i/>
          <w:iCs/>
        </w:rPr>
        <w:t>Am J Physiol Renal Physiol</w:t>
      </w:r>
      <w:r w:rsidRPr="00E754A5">
        <w:rPr>
          <w:rFonts w:ascii="Book Antiqua" w:hAnsi="Book Antiqua"/>
        </w:rPr>
        <w:t xml:space="preserve"> 2016; </w:t>
      </w:r>
      <w:r w:rsidRPr="00E754A5">
        <w:rPr>
          <w:rFonts w:ascii="Book Antiqua" w:hAnsi="Book Antiqua"/>
          <w:b/>
          <w:bCs/>
        </w:rPr>
        <w:t>310</w:t>
      </w:r>
      <w:r w:rsidRPr="00E754A5">
        <w:rPr>
          <w:rFonts w:ascii="Book Antiqua" w:hAnsi="Book Antiqua"/>
        </w:rPr>
        <w:t>: F85-F101 [PMID: 26447219 DOI: 10.1152/ajprenal.00243.2015]</w:t>
      </w:r>
    </w:p>
    <w:p w14:paraId="2AC0B3A7"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44 </w:t>
      </w:r>
      <w:r w:rsidRPr="00E754A5">
        <w:rPr>
          <w:rFonts w:ascii="Book Antiqua" w:hAnsi="Book Antiqua"/>
          <w:b/>
          <w:bCs/>
        </w:rPr>
        <w:t>Jiang W</w:t>
      </w:r>
      <w:r w:rsidRPr="00E754A5">
        <w:rPr>
          <w:rFonts w:ascii="Book Antiqua" w:hAnsi="Book Antiqua"/>
        </w:rPr>
        <w:t xml:space="preserve">, Sun R, Zhou R, Wei H, Tian Z. TLR-9 activation aggravates concanavalin A-induced hepatitis via promoting accumulation and activation of liver CD4+ NKT cells. </w:t>
      </w:r>
      <w:r w:rsidRPr="00E754A5">
        <w:rPr>
          <w:rFonts w:ascii="Book Antiqua" w:hAnsi="Book Antiqua"/>
          <w:i/>
          <w:iCs/>
        </w:rPr>
        <w:t>J Immunol</w:t>
      </w:r>
      <w:r w:rsidRPr="00E754A5">
        <w:rPr>
          <w:rFonts w:ascii="Book Antiqua" w:hAnsi="Book Antiqua"/>
        </w:rPr>
        <w:t xml:space="preserve"> 2009; </w:t>
      </w:r>
      <w:r w:rsidRPr="00E754A5">
        <w:rPr>
          <w:rFonts w:ascii="Book Antiqua" w:hAnsi="Book Antiqua"/>
          <w:b/>
          <w:bCs/>
        </w:rPr>
        <w:t>182</w:t>
      </w:r>
      <w:r w:rsidRPr="00E754A5">
        <w:rPr>
          <w:rFonts w:ascii="Book Antiqua" w:hAnsi="Book Antiqua"/>
        </w:rPr>
        <w:t>: 3768-3774 [PMID: 19265155 DOI: 10.4049/jimmunol.0800973]</w:t>
      </w:r>
    </w:p>
    <w:p w14:paraId="3DB8DCDE"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45 </w:t>
      </w:r>
      <w:r w:rsidRPr="00E754A5">
        <w:rPr>
          <w:rFonts w:ascii="Book Antiqua" w:hAnsi="Book Antiqua"/>
          <w:b/>
          <w:bCs/>
        </w:rPr>
        <w:t>Choi SH</w:t>
      </w:r>
      <w:r w:rsidRPr="00E754A5">
        <w:rPr>
          <w:rFonts w:ascii="Book Antiqua" w:hAnsi="Book Antiqua"/>
        </w:rPr>
        <w:t xml:space="preserve">, Harkewicz R, Lee JH, Boullier A, Almazan F, Li AC, Witztum JL, Bae YS, Miller YI. Lipoprotein accumulation in macrophages via toll-like receptor-4-dependent fluid phase uptake. </w:t>
      </w:r>
      <w:r w:rsidRPr="00E754A5">
        <w:rPr>
          <w:rFonts w:ascii="Book Antiqua" w:hAnsi="Book Antiqua"/>
          <w:i/>
          <w:iCs/>
        </w:rPr>
        <w:t>Circ Res</w:t>
      </w:r>
      <w:r w:rsidRPr="00E754A5">
        <w:rPr>
          <w:rFonts w:ascii="Book Antiqua" w:hAnsi="Book Antiqua"/>
        </w:rPr>
        <w:t xml:space="preserve"> 2009; </w:t>
      </w:r>
      <w:r w:rsidRPr="00E754A5">
        <w:rPr>
          <w:rFonts w:ascii="Book Antiqua" w:hAnsi="Book Antiqua"/>
          <w:b/>
          <w:bCs/>
        </w:rPr>
        <w:t>104</w:t>
      </w:r>
      <w:r w:rsidRPr="00E754A5">
        <w:rPr>
          <w:rFonts w:ascii="Book Antiqua" w:hAnsi="Book Antiqua"/>
        </w:rPr>
        <w:t>: 1355-1363 [PMID: 19461045 DOI: 10.1161/CIRCRESAHA.108.192880]</w:t>
      </w:r>
    </w:p>
    <w:p w14:paraId="77FE0A42"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46 </w:t>
      </w:r>
      <w:r w:rsidRPr="00E754A5">
        <w:rPr>
          <w:rFonts w:ascii="Book Antiqua" w:hAnsi="Book Antiqua"/>
          <w:b/>
          <w:bCs/>
        </w:rPr>
        <w:t>Xiang D</w:t>
      </w:r>
      <w:r w:rsidRPr="00E754A5">
        <w:rPr>
          <w:rFonts w:ascii="Book Antiqua" w:hAnsi="Book Antiqua"/>
        </w:rPr>
        <w:t xml:space="preserve">, Yang J, Xu Y, Lan L, Li G, Zhang C, Liu D. Estrogen cholestasis induces gut and liver injury in rats involving in activating PI3K/Akt and MAPK signaling pathways. </w:t>
      </w:r>
      <w:r w:rsidRPr="00E754A5">
        <w:rPr>
          <w:rFonts w:ascii="Book Antiqua" w:hAnsi="Book Antiqua"/>
          <w:i/>
          <w:iCs/>
        </w:rPr>
        <w:t>Life Sci</w:t>
      </w:r>
      <w:r w:rsidRPr="00E754A5">
        <w:rPr>
          <w:rFonts w:ascii="Book Antiqua" w:hAnsi="Book Antiqua"/>
        </w:rPr>
        <w:t xml:space="preserve"> 2021; </w:t>
      </w:r>
      <w:r w:rsidRPr="00E754A5">
        <w:rPr>
          <w:rFonts w:ascii="Book Antiqua" w:hAnsi="Book Antiqua"/>
          <w:b/>
          <w:bCs/>
        </w:rPr>
        <w:t>276</w:t>
      </w:r>
      <w:r w:rsidRPr="00E754A5">
        <w:rPr>
          <w:rFonts w:ascii="Book Antiqua" w:hAnsi="Book Antiqua"/>
        </w:rPr>
        <w:t>: 119367 [PMID: 33775691 DOI: 10.1016/j.lfs.2021.119367]</w:t>
      </w:r>
    </w:p>
    <w:p w14:paraId="67DC8F78"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47 </w:t>
      </w:r>
      <w:r w:rsidRPr="00E754A5">
        <w:rPr>
          <w:rFonts w:ascii="Book Antiqua" w:hAnsi="Book Antiqua"/>
          <w:b/>
          <w:bCs/>
        </w:rPr>
        <w:t>Gissen P</w:t>
      </w:r>
      <w:r w:rsidRPr="00E754A5">
        <w:rPr>
          <w:rFonts w:ascii="Book Antiqua" w:hAnsi="Book Antiqua"/>
        </w:rPr>
        <w:t xml:space="preserve">, Arias IM. Structural and functional hepatocyte polarity and liver disease. </w:t>
      </w:r>
      <w:r w:rsidRPr="00E754A5">
        <w:rPr>
          <w:rFonts w:ascii="Book Antiqua" w:hAnsi="Book Antiqua"/>
          <w:i/>
          <w:iCs/>
        </w:rPr>
        <w:t>J Hepatol</w:t>
      </w:r>
      <w:r w:rsidRPr="00E754A5">
        <w:rPr>
          <w:rFonts w:ascii="Book Antiqua" w:hAnsi="Book Antiqua"/>
        </w:rPr>
        <w:t xml:space="preserve"> 2015; </w:t>
      </w:r>
      <w:r w:rsidRPr="00E754A5">
        <w:rPr>
          <w:rFonts w:ascii="Book Antiqua" w:hAnsi="Book Antiqua"/>
          <w:b/>
          <w:bCs/>
        </w:rPr>
        <w:t>63</w:t>
      </w:r>
      <w:r w:rsidRPr="00E754A5">
        <w:rPr>
          <w:rFonts w:ascii="Book Antiqua" w:hAnsi="Book Antiqua"/>
        </w:rPr>
        <w:t>: 1023-1037 [PMID: 26116792 DOI: 10.1016/j.jhep.2015.06.015]</w:t>
      </w:r>
    </w:p>
    <w:p w14:paraId="1378D46D"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lastRenderedPageBreak/>
        <w:t xml:space="preserve">48 </w:t>
      </w:r>
      <w:r w:rsidRPr="00E754A5">
        <w:rPr>
          <w:rFonts w:ascii="Book Antiqua" w:hAnsi="Book Antiqua"/>
          <w:b/>
          <w:bCs/>
        </w:rPr>
        <w:t>Assimakopoulos SF</w:t>
      </w:r>
      <w:r w:rsidRPr="00E754A5">
        <w:rPr>
          <w:rFonts w:ascii="Book Antiqua" w:hAnsi="Book Antiqua"/>
        </w:rPr>
        <w:t xml:space="preserve">, Tsamandas AC, Louvros E, Vagianos CE, Nikolopoulou VN, Thomopoulos KC, Charonis A, Scopa CD. Intestinal epithelial cell proliferation, apoptosis and expression of tight junction proteins in patients with obstructive jaundice. </w:t>
      </w:r>
      <w:r w:rsidRPr="00E754A5">
        <w:rPr>
          <w:rFonts w:ascii="Book Antiqua" w:hAnsi="Book Antiqua"/>
          <w:i/>
          <w:iCs/>
        </w:rPr>
        <w:t>Eur J Clin Invest</w:t>
      </w:r>
      <w:r w:rsidRPr="00E754A5">
        <w:rPr>
          <w:rFonts w:ascii="Book Antiqua" w:hAnsi="Book Antiqua"/>
        </w:rPr>
        <w:t xml:space="preserve"> 2011; </w:t>
      </w:r>
      <w:r w:rsidRPr="00E754A5">
        <w:rPr>
          <w:rFonts w:ascii="Book Antiqua" w:hAnsi="Book Antiqua"/>
          <w:b/>
          <w:bCs/>
        </w:rPr>
        <w:t>41</w:t>
      </w:r>
      <w:r w:rsidRPr="00E754A5">
        <w:rPr>
          <w:rFonts w:ascii="Book Antiqua" w:hAnsi="Book Antiqua"/>
        </w:rPr>
        <w:t>: 117-125 [PMID: 20840373 DOI: 10.1111/j.1365-2362.2010.02379.x]</w:t>
      </w:r>
    </w:p>
    <w:p w14:paraId="1D7A074E"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49 </w:t>
      </w:r>
      <w:r w:rsidRPr="00E754A5">
        <w:rPr>
          <w:rFonts w:ascii="Book Antiqua" w:hAnsi="Book Antiqua"/>
          <w:b/>
          <w:bCs/>
        </w:rPr>
        <w:t>Horikoshi Y</w:t>
      </w:r>
      <w:r w:rsidRPr="00E754A5">
        <w:rPr>
          <w:rFonts w:ascii="Book Antiqua" w:hAnsi="Book Antiqua"/>
        </w:rPr>
        <w:t xml:space="preserve">, Kitatani K, Toriumi K, Fukunishi N, Itoh Y, Nakamura N, Ohno S, Matsura T, Takekoshi S. Aberrant activation of atypical protein kinase C in carbon tetrachloride-induced oxidative stress provokes a disturbance of cell polarity and sealing of bile canalicular lumen. </w:t>
      </w:r>
      <w:r w:rsidRPr="00E754A5">
        <w:rPr>
          <w:rFonts w:ascii="Book Antiqua" w:hAnsi="Book Antiqua"/>
          <w:i/>
          <w:iCs/>
        </w:rPr>
        <w:t>Am J Pathol</w:t>
      </w:r>
      <w:r w:rsidRPr="00E754A5">
        <w:rPr>
          <w:rFonts w:ascii="Book Antiqua" w:hAnsi="Book Antiqua"/>
        </w:rPr>
        <w:t xml:space="preserve"> 2015; </w:t>
      </w:r>
      <w:r w:rsidRPr="00E754A5">
        <w:rPr>
          <w:rFonts w:ascii="Book Antiqua" w:hAnsi="Book Antiqua"/>
          <w:b/>
          <w:bCs/>
        </w:rPr>
        <w:t>185</w:t>
      </w:r>
      <w:r w:rsidRPr="00E754A5">
        <w:rPr>
          <w:rFonts w:ascii="Book Antiqua" w:hAnsi="Book Antiqua"/>
        </w:rPr>
        <w:t>: 958-968 [PMID: 25688837 DOI: 10.1016/j.ajpath.2014.12.015]</w:t>
      </w:r>
    </w:p>
    <w:p w14:paraId="6D770D88"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50 </w:t>
      </w:r>
      <w:r w:rsidRPr="00E754A5">
        <w:rPr>
          <w:rFonts w:ascii="Book Antiqua" w:hAnsi="Book Antiqua"/>
          <w:b/>
          <w:bCs/>
        </w:rPr>
        <w:t>Fallon MB</w:t>
      </w:r>
      <w:r w:rsidRPr="00E754A5">
        <w:rPr>
          <w:rFonts w:ascii="Book Antiqua" w:hAnsi="Book Antiqua"/>
        </w:rPr>
        <w:t xml:space="preserve">, Mennone A, Anderson JM. Altered expression and localization of the tight junction protein ZO-1 after common bile duct ligation. </w:t>
      </w:r>
      <w:r w:rsidRPr="00E754A5">
        <w:rPr>
          <w:rFonts w:ascii="Book Antiqua" w:hAnsi="Book Antiqua"/>
          <w:i/>
          <w:iCs/>
        </w:rPr>
        <w:t>Am J Physiol</w:t>
      </w:r>
      <w:r w:rsidRPr="00E754A5">
        <w:rPr>
          <w:rFonts w:ascii="Book Antiqua" w:hAnsi="Book Antiqua"/>
        </w:rPr>
        <w:t xml:space="preserve"> 1993; </w:t>
      </w:r>
      <w:r w:rsidRPr="00E754A5">
        <w:rPr>
          <w:rFonts w:ascii="Book Antiqua" w:hAnsi="Book Antiqua"/>
          <w:b/>
          <w:bCs/>
        </w:rPr>
        <w:t>264</w:t>
      </w:r>
      <w:r w:rsidRPr="00E754A5">
        <w:rPr>
          <w:rFonts w:ascii="Book Antiqua" w:hAnsi="Book Antiqua"/>
        </w:rPr>
        <w:t>: C1439-C1447 [PMID: 8333499</w:t>
      </w:r>
      <w:r w:rsidRPr="00E754A5">
        <w:rPr>
          <w:rFonts w:ascii="Book Antiqua" w:hAnsi="Book Antiqua" w:hint="eastAsia"/>
        </w:rPr>
        <w:t xml:space="preserve"> </w:t>
      </w:r>
      <w:r w:rsidRPr="00E754A5">
        <w:rPr>
          <w:rFonts w:ascii="Book Antiqua" w:hAnsi="Book Antiqua"/>
        </w:rPr>
        <w:t>DOI: 10.1152/ajpcell.1993.264.6.C1439]</w:t>
      </w:r>
    </w:p>
    <w:p w14:paraId="0B4EFE37"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51 </w:t>
      </w:r>
      <w:r w:rsidRPr="00E754A5">
        <w:rPr>
          <w:rFonts w:ascii="Book Antiqua" w:hAnsi="Book Antiqua"/>
          <w:b/>
          <w:bCs/>
        </w:rPr>
        <w:t>Landmann L</w:t>
      </w:r>
      <w:r w:rsidRPr="00E754A5">
        <w:rPr>
          <w:rFonts w:ascii="Book Antiqua" w:hAnsi="Book Antiqua"/>
        </w:rPr>
        <w:t xml:space="preserve">. Cholestasis-induced alterations of the trans- and paracellular pathways in rat hepatocytes. </w:t>
      </w:r>
      <w:r w:rsidRPr="00E754A5">
        <w:rPr>
          <w:rFonts w:ascii="Book Antiqua" w:hAnsi="Book Antiqua"/>
          <w:i/>
          <w:iCs/>
        </w:rPr>
        <w:t>Histochem Cell Biol</w:t>
      </w:r>
      <w:r w:rsidRPr="00E754A5">
        <w:rPr>
          <w:rFonts w:ascii="Book Antiqua" w:hAnsi="Book Antiqua"/>
        </w:rPr>
        <w:t xml:space="preserve"> 1995; </w:t>
      </w:r>
      <w:r w:rsidRPr="00E754A5">
        <w:rPr>
          <w:rFonts w:ascii="Book Antiqua" w:hAnsi="Book Antiqua"/>
          <w:b/>
          <w:bCs/>
        </w:rPr>
        <w:t>103</w:t>
      </w:r>
      <w:r w:rsidRPr="00E754A5">
        <w:rPr>
          <w:rFonts w:ascii="Book Antiqua" w:hAnsi="Book Antiqua"/>
        </w:rPr>
        <w:t>: 3-9 [</w:t>
      </w:r>
      <w:bookmarkStart w:id="58" w:name="OLE_LINK28"/>
      <w:r w:rsidRPr="00E754A5">
        <w:rPr>
          <w:rFonts w:ascii="Book Antiqua" w:hAnsi="Book Antiqua"/>
        </w:rPr>
        <w:t>PMID: 7736278</w:t>
      </w:r>
      <w:bookmarkEnd w:id="58"/>
      <w:r w:rsidRPr="00E754A5">
        <w:rPr>
          <w:rFonts w:ascii="Book Antiqua" w:hAnsi="Book Antiqua" w:hint="eastAsia"/>
        </w:rPr>
        <w:t xml:space="preserve"> </w:t>
      </w:r>
      <w:r w:rsidRPr="00E754A5">
        <w:rPr>
          <w:rFonts w:ascii="Book Antiqua" w:hAnsi="Book Antiqua"/>
        </w:rPr>
        <w:t>DOI: 10.1007/BF01464469]</w:t>
      </w:r>
    </w:p>
    <w:p w14:paraId="707B355B"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52 </w:t>
      </w:r>
      <w:r w:rsidRPr="00E754A5">
        <w:rPr>
          <w:rFonts w:ascii="Book Antiqua" w:hAnsi="Book Antiqua"/>
          <w:b/>
          <w:bCs/>
        </w:rPr>
        <w:t>Han X</w:t>
      </w:r>
      <w:r w:rsidRPr="00E754A5">
        <w:rPr>
          <w:rFonts w:ascii="Book Antiqua" w:hAnsi="Book Antiqua"/>
        </w:rPr>
        <w:t xml:space="preserve">, Fink MP, Uchiyama T, Yang R, Delude RL. Increased iNOS activity is essential for hepatic epithelial tight junction dysfunction in endotoxemic mice. </w:t>
      </w:r>
      <w:r w:rsidRPr="00E754A5">
        <w:rPr>
          <w:rFonts w:ascii="Book Antiqua" w:hAnsi="Book Antiqua"/>
          <w:i/>
          <w:iCs/>
        </w:rPr>
        <w:t>Am J Physiol Gastrointest Liver Physiol</w:t>
      </w:r>
      <w:r w:rsidRPr="00E754A5">
        <w:rPr>
          <w:rFonts w:ascii="Book Antiqua" w:hAnsi="Book Antiqua"/>
        </w:rPr>
        <w:t xml:space="preserve"> 2004; </w:t>
      </w:r>
      <w:r w:rsidRPr="00E754A5">
        <w:rPr>
          <w:rFonts w:ascii="Book Antiqua" w:hAnsi="Book Antiqua"/>
          <w:b/>
          <w:bCs/>
        </w:rPr>
        <w:t>286</w:t>
      </w:r>
      <w:r w:rsidRPr="00E754A5">
        <w:rPr>
          <w:rFonts w:ascii="Book Antiqua" w:hAnsi="Book Antiqua"/>
        </w:rPr>
        <w:t>: G126-G136 [</w:t>
      </w:r>
      <w:bookmarkStart w:id="59" w:name="OLE_LINK29"/>
      <w:r w:rsidRPr="00E754A5">
        <w:rPr>
          <w:rFonts w:ascii="Book Antiqua" w:hAnsi="Book Antiqua"/>
        </w:rPr>
        <w:t>PMID: 12946943</w:t>
      </w:r>
      <w:bookmarkEnd w:id="59"/>
      <w:r w:rsidRPr="00E754A5">
        <w:rPr>
          <w:rFonts w:ascii="Book Antiqua" w:hAnsi="Book Antiqua" w:hint="eastAsia"/>
        </w:rPr>
        <w:t xml:space="preserve"> </w:t>
      </w:r>
      <w:r w:rsidRPr="00E754A5">
        <w:rPr>
          <w:rFonts w:ascii="Book Antiqua" w:hAnsi="Book Antiqua"/>
        </w:rPr>
        <w:t>DOI: 10.1152/ajpgi.00231.2003]</w:t>
      </w:r>
    </w:p>
    <w:p w14:paraId="41BAD8CC" w14:textId="77777777" w:rsidR="00E53200" w:rsidRPr="00E754A5" w:rsidRDefault="00F70B62">
      <w:pPr>
        <w:pStyle w:val="ab"/>
        <w:shd w:val="clear" w:color="auto" w:fill="FFFFFF"/>
        <w:adjustRightInd w:val="0"/>
        <w:snapToGrid w:val="0"/>
        <w:spacing w:before="0" w:beforeAutospacing="0" w:after="0" w:afterAutospacing="0" w:line="360" w:lineRule="auto"/>
        <w:jc w:val="both"/>
        <w:rPr>
          <w:rFonts w:ascii="Book Antiqua" w:hAnsi="Book Antiqua"/>
        </w:rPr>
      </w:pPr>
      <w:r w:rsidRPr="00E754A5">
        <w:rPr>
          <w:rFonts w:ascii="Book Antiqua" w:hAnsi="Book Antiqua"/>
        </w:rPr>
        <w:t xml:space="preserve">53 </w:t>
      </w:r>
      <w:r w:rsidRPr="00E754A5">
        <w:rPr>
          <w:rFonts w:ascii="Book Antiqua" w:hAnsi="Book Antiqua"/>
          <w:b/>
          <w:bCs/>
        </w:rPr>
        <w:t>Takahashi T</w:t>
      </w:r>
      <w:r w:rsidRPr="00E754A5">
        <w:rPr>
          <w:rFonts w:ascii="Book Antiqua" w:hAnsi="Book Antiqua"/>
        </w:rPr>
        <w:t xml:space="preserve">, Chiba S, Nieda M, Azuma T, Ishihara S, Shibata Y, Juji T, Hirai H. Cutting edge: analysis of human V alpha 24+CD8+ NK T cells activated by alpha-galactosylceramide-pulsed monocyte-derived dendritic cells. </w:t>
      </w:r>
      <w:r w:rsidRPr="00E754A5">
        <w:rPr>
          <w:rFonts w:ascii="Book Antiqua" w:hAnsi="Book Antiqua"/>
          <w:i/>
          <w:iCs/>
        </w:rPr>
        <w:t>J Immunol</w:t>
      </w:r>
      <w:r w:rsidRPr="00E754A5">
        <w:rPr>
          <w:rFonts w:ascii="Book Antiqua" w:hAnsi="Book Antiqua"/>
        </w:rPr>
        <w:t xml:space="preserve"> 2002; </w:t>
      </w:r>
      <w:r w:rsidRPr="00E754A5">
        <w:rPr>
          <w:rFonts w:ascii="Book Antiqua" w:hAnsi="Book Antiqua"/>
          <w:b/>
          <w:bCs/>
        </w:rPr>
        <w:t>168</w:t>
      </w:r>
      <w:r w:rsidRPr="00E754A5">
        <w:rPr>
          <w:rFonts w:ascii="Book Antiqua" w:hAnsi="Book Antiqua"/>
        </w:rPr>
        <w:t>: 3140-3144 [</w:t>
      </w:r>
      <w:bookmarkStart w:id="60" w:name="OLE_LINK30"/>
      <w:bookmarkStart w:id="61" w:name="OLE_LINK31"/>
      <w:r w:rsidRPr="00E754A5">
        <w:rPr>
          <w:rFonts w:ascii="Book Antiqua" w:hAnsi="Book Antiqua"/>
        </w:rPr>
        <w:t>PMID: 11907064</w:t>
      </w:r>
      <w:bookmarkEnd w:id="60"/>
      <w:bookmarkEnd w:id="61"/>
      <w:r w:rsidRPr="00E754A5">
        <w:rPr>
          <w:rFonts w:ascii="Book Antiqua" w:hAnsi="Book Antiqua" w:hint="eastAsia"/>
        </w:rPr>
        <w:t xml:space="preserve"> </w:t>
      </w:r>
      <w:r w:rsidRPr="00E754A5">
        <w:rPr>
          <w:rFonts w:ascii="Book Antiqua" w:hAnsi="Book Antiqua"/>
        </w:rPr>
        <w:t>DOI: 10.4049/jimmunol.168.7.3140]</w:t>
      </w:r>
    </w:p>
    <w:p w14:paraId="381BE3F3" w14:textId="77777777" w:rsidR="00E53200" w:rsidRPr="00E754A5" w:rsidRDefault="00E53200">
      <w:pPr>
        <w:spacing w:line="360" w:lineRule="auto"/>
        <w:jc w:val="both"/>
        <w:rPr>
          <w:rFonts w:ascii="Book Antiqua" w:hAnsi="Book Antiqua" w:cs="Book Antiqua"/>
          <w:color w:val="000000"/>
          <w:lang w:eastAsia="zh-CN"/>
        </w:rPr>
      </w:pPr>
    </w:p>
    <w:p w14:paraId="2104B2F4" w14:textId="77777777" w:rsidR="00E53200" w:rsidRPr="00E754A5" w:rsidRDefault="00E53200">
      <w:pPr>
        <w:spacing w:line="360" w:lineRule="auto"/>
        <w:jc w:val="both"/>
        <w:rPr>
          <w:lang w:eastAsia="zh-CN"/>
        </w:rPr>
        <w:sectPr w:rsidR="00E53200" w:rsidRPr="00E754A5">
          <w:pgSz w:w="12240" w:h="15840"/>
          <w:pgMar w:top="1440" w:right="1440" w:bottom="1440" w:left="1440" w:header="720" w:footer="720" w:gutter="0"/>
          <w:cols w:space="720"/>
          <w:docGrid w:linePitch="360"/>
        </w:sectPr>
      </w:pPr>
    </w:p>
    <w:p w14:paraId="4C51EDAB" w14:textId="77777777" w:rsidR="00E53200" w:rsidRPr="00E754A5" w:rsidRDefault="00F70B62">
      <w:pPr>
        <w:spacing w:line="360" w:lineRule="auto"/>
        <w:jc w:val="both"/>
        <w:rPr>
          <w:lang w:eastAsia="zh-CN"/>
        </w:rPr>
      </w:pPr>
      <w:r w:rsidRPr="00E754A5">
        <w:rPr>
          <w:rFonts w:ascii="Book Antiqua" w:eastAsia="Book Antiqua" w:hAnsi="Book Antiqua" w:cs="Book Antiqua"/>
          <w:b/>
          <w:color w:val="000000"/>
        </w:rPr>
        <w:lastRenderedPageBreak/>
        <w:t>Footnotes</w:t>
      </w:r>
    </w:p>
    <w:p w14:paraId="7E178758"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t xml:space="preserve">Institutional animal care and use committee statement: </w:t>
      </w:r>
      <w:r w:rsidRPr="00E754A5">
        <w:rPr>
          <w:rFonts w:ascii="Book Antiqua" w:eastAsia="Book Antiqua" w:hAnsi="Book Antiqua" w:cs="Book Antiqua"/>
          <w:color w:val="000000"/>
        </w:rPr>
        <w:t>All animal experiments involved in this study were performed under the Ethical Committee of China Pharmaceutical University and the Laboratory Animal Management Committee of Jiangsu Province guidelines (Approval No.: 2021-10-003).</w:t>
      </w:r>
    </w:p>
    <w:p w14:paraId="67B02D15" w14:textId="77777777" w:rsidR="00E53200" w:rsidRPr="00E754A5" w:rsidRDefault="00E53200">
      <w:pPr>
        <w:spacing w:line="360" w:lineRule="auto"/>
        <w:jc w:val="both"/>
      </w:pPr>
    </w:p>
    <w:p w14:paraId="6CBE710B"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t xml:space="preserve">Conflict-of-interest statement: </w:t>
      </w:r>
      <w:r w:rsidRPr="00E754A5">
        <w:rPr>
          <w:rFonts w:ascii="Book Antiqua" w:eastAsia="Book Antiqua" w:hAnsi="Book Antiqua" w:cs="Book Antiqua"/>
          <w:color w:val="000000"/>
        </w:rPr>
        <w:t>All authors have nothing to disclose.</w:t>
      </w:r>
    </w:p>
    <w:p w14:paraId="61039AD8" w14:textId="77777777" w:rsidR="00E53200" w:rsidRPr="00E754A5" w:rsidRDefault="00E53200">
      <w:pPr>
        <w:spacing w:line="360" w:lineRule="auto"/>
        <w:jc w:val="both"/>
      </w:pPr>
    </w:p>
    <w:p w14:paraId="62584761"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t xml:space="preserve">Data sharing statement: </w:t>
      </w:r>
      <w:r w:rsidRPr="00E754A5">
        <w:rPr>
          <w:rFonts w:ascii="Book Antiqua" w:eastAsia="Book Antiqua" w:hAnsi="Book Antiqua" w:cs="Book Antiqua"/>
          <w:color w:val="000000"/>
        </w:rPr>
        <w:t>No additional data are available.</w:t>
      </w:r>
    </w:p>
    <w:p w14:paraId="6FB73831" w14:textId="77777777" w:rsidR="00E53200" w:rsidRPr="00E754A5" w:rsidRDefault="00E53200">
      <w:pPr>
        <w:spacing w:line="360" w:lineRule="auto"/>
        <w:jc w:val="both"/>
      </w:pPr>
    </w:p>
    <w:p w14:paraId="62F3957A" w14:textId="77777777" w:rsidR="00E53200" w:rsidRPr="00E754A5" w:rsidRDefault="00F70B62">
      <w:pPr>
        <w:spacing w:line="360" w:lineRule="auto"/>
        <w:jc w:val="both"/>
      </w:pPr>
      <w:r w:rsidRPr="00E754A5">
        <w:rPr>
          <w:rFonts w:ascii="Book Antiqua" w:eastAsia="Book Antiqua" w:hAnsi="Book Antiqua" w:cs="Book Antiqua"/>
          <w:b/>
          <w:bCs/>
          <w:color w:val="000000"/>
          <w:szCs w:val="21"/>
        </w:rPr>
        <w:t xml:space="preserve">ARRIVE guidelines statement: </w:t>
      </w:r>
      <w:r w:rsidRPr="00E754A5">
        <w:rPr>
          <w:rFonts w:ascii="Book Antiqua" w:eastAsia="Book Antiqua" w:hAnsi="Book Antiqua" w:cs="Book Antiqua"/>
          <w:color w:val="000000"/>
        </w:rPr>
        <w:t>The authors have read the ARRIVE guidelines, and the manuscript was prepared and revised according to the ARRIVE guidelines.</w:t>
      </w:r>
    </w:p>
    <w:p w14:paraId="35BA55E4" w14:textId="77777777" w:rsidR="00E53200" w:rsidRPr="00E754A5" w:rsidRDefault="00E53200">
      <w:pPr>
        <w:spacing w:line="360" w:lineRule="auto"/>
        <w:jc w:val="both"/>
      </w:pPr>
    </w:p>
    <w:p w14:paraId="487DED3C"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Open-Access: </w:t>
      </w:r>
      <w:r w:rsidRPr="00E754A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02F5BC" w14:textId="77777777" w:rsidR="00E53200" w:rsidRPr="00E754A5" w:rsidRDefault="00E53200">
      <w:pPr>
        <w:spacing w:line="360" w:lineRule="auto"/>
        <w:jc w:val="both"/>
      </w:pPr>
    </w:p>
    <w:p w14:paraId="6699E617"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Provenance and peer review: </w:t>
      </w:r>
      <w:r w:rsidRPr="00E754A5">
        <w:rPr>
          <w:rFonts w:ascii="Book Antiqua" w:eastAsia="Book Antiqua" w:hAnsi="Book Antiqua" w:cs="Book Antiqua"/>
          <w:color w:val="000000"/>
        </w:rPr>
        <w:t>Invited article; Externally peer reviewed.</w:t>
      </w:r>
    </w:p>
    <w:p w14:paraId="391CF46C"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Peer-review model: </w:t>
      </w:r>
      <w:r w:rsidRPr="00E754A5">
        <w:rPr>
          <w:rFonts w:ascii="Book Antiqua" w:eastAsia="Book Antiqua" w:hAnsi="Book Antiqua" w:cs="Book Antiqua"/>
          <w:color w:val="000000"/>
        </w:rPr>
        <w:t>Single blind</w:t>
      </w:r>
    </w:p>
    <w:p w14:paraId="26D99493" w14:textId="77777777" w:rsidR="00E53200" w:rsidRPr="00E754A5" w:rsidRDefault="00E53200">
      <w:pPr>
        <w:spacing w:line="360" w:lineRule="auto"/>
        <w:jc w:val="both"/>
      </w:pPr>
    </w:p>
    <w:p w14:paraId="04258DDE"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Peer-review started: </w:t>
      </w:r>
      <w:r w:rsidRPr="00E754A5">
        <w:rPr>
          <w:rFonts w:ascii="Book Antiqua" w:eastAsia="Book Antiqua" w:hAnsi="Book Antiqua" w:cs="Book Antiqua"/>
          <w:color w:val="000000"/>
        </w:rPr>
        <w:t>October 26, 2021</w:t>
      </w:r>
    </w:p>
    <w:p w14:paraId="2FC0358C"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First decision: </w:t>
      </w:r>
      <w:r w:rsidRPr="00E754A5">
        <w:rPr>
          <w:rFonts w:ascii="Book Antiqua" w:eastAsia="Book Antiqua" w:hAnsi="Book Antiqua" w:cs="Book Antiqua"/>
          <w:color w:val="000000"/>
        </w:rPr>
        <w:t>April 16, 2022</w:t>
      </w:r>
    </w:p>
    <w:p w14:paraId="7BD302AA"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Article in press: </w:t>
      </w:r>
      <w:r w:rsidRPr="00E754A5">
        <w:rPr>
          <w:rFonts w:ascii="Book Antiqua" w:eastAsia="Book Antiqua" w:hAnsi="Book Antiqua" w:cs="Book Antiqua"/>
          <w:color w:val="000000"/>
        </w:rPr>
        <w:t>May 22, 2022</w:t>
      </w:r>
    </w:p>
    <w:p w14:paraId="691A268C" w14:textId="77777777" w:rsidR="00E53200" w:rsidRPr="00E754A5" w:rsidRDefault="00E53200">
      <w:pPr>
        <w:spacing w:line="360" w:lineRule="auto"/>
        <w:jc w:val="both"/>
      </w:pPr>
    </w:p>
    <w:p w14:paraId="2B45AD31"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Specialty type: </w:t>
      </w:r>
      <w:r w:rsidRPr="00E754A5">
        <w:rPr>
          <w:rFonts w:ascii="Book Antiqua" w:eastAsia="Book Antiqua" w:hAnsi="Book Antiqua" w:cs="Book Antiqua"/>
          <w:color w:val="000000"/>
        </w:rPr>
        <w:t>Toxicology</w:t>
      </w:r>
    </w:p>
    <w:p w14:paraId="2B11EC98" w14:textId="77777777" w:rsidR="00E53200" w:rsidRPr="00E754A5" w:rsidRDefault="00F70B62">
      <w:pPr>
        <w:spacing w:line="360" w:lineRule="auto"/>
        <w:jc w:val="both"/>
      </w:pPr>
      <w:r w:rsidRPr="00E754A5">
        <w:rPr>
          <w:rFonts w:ascii="Book Antiqua" w:eastAsia="Book Antiqua" w:hAnsi="Book Antiqua" w:cs="Book Antiqua"/>
          <w:b/>
          <w:color w:val="000000"/>
        </w:rPr>
        <w:t xml:space="preserve">Country/Territory of origin: </w:t>
      </w:r>
      <w:r w:rsidRPr="00E754A5">
        <w:rPr>
          <w:rFonts w:ascii="Book Antiqua" w:eastAsia="Book Antiqua" w:hAnsi="Book Antiqua" w:cs="Book Antiqua"/>
          <w:color w:val="000000"/>
        </w:rPr>
        <w:t>China</w:t>
      </w:r>
    </w:p>
    <w:p w14:paraId="69AE5B1B" w14:textId="77777777" w:rsidR="00E53200" w:rsidRPr="00E754A5" w:rsidRDefault="00F70B62">
      <w:pPr>
        <w:spacing w:line="360" w:lineRule="auto"/>
        <w:jc w:val="both"/>
      </w:pPr>
      <w:r w:rsidRPr="00E754A5">
        <w:rPr>
          <w:rFonts w:ascii="Book Antiqua" w:eastAsia="Book Antiqua" w:hAnsi="Book Antiqua" w:cs="Book Antiqua"/>
          <w:b/>
          <w:color w:val="000000"/>
        </w:rPr>
        <w:lastRenderedPageBreak/>
        <w:t>Peer-review report’s scientific quality classification</w:t>
      </w:r>
    </w:p>
    <w:p w14:paraId="60EA1D7B" w14:textId="77777777" w:rsidR="00E53200" w:rsidRPr="00E754A5" w:rsidRDefault="00F70B62">
      <w:pPr>
        <w:spacing w:line="360" w:lineRule="auto"/>
        <w:jc w:val="both"/>
      </w:pPr>
      <w:r w:rsidRPr="00E754A5">
        <w:rPr>
          <w:rFonts w:ascii="Book Antiqua" w:eastAsia="Book Antiqua" w:hAnsi="Book Antiqua" w:cs="Book Antiqua"/>
          <w:color w:val="000000"/>
        </w:rPr>
        <w:t>Grade A (Excellent): 0</w:t>
      </w:r>
    </w:p>
    <w:p w14:paraId="1079EF7F" w14:textId="77777777" w:rsidR="00E53200" w:rsidRPr="00E754A5" w:rsidRDefault="00F70B62">
      <w:pPr>
        <w:spacing w:line="360" w:lineRule="auto"/>
        <w:jc w:val="both"/>
      </w:pPr>
      <w:r w:rsidRPr="00E754A5">
        <w:rPr>
          <w:rFonts w:ascii="Book Antiqua" w:eastAsia="Book Antiqua" w:hAnsi="Book Antiqua" w:cs="Book Antiqua"/>
          <w:color w:val="000000"/>
        </w:rPr>
        <w:t>Grade B (Very good): B</w:t>
      </w:r>
    </w:p>
    <w:p w14:paraId="30E59F9F" w14:textId="77777777" w:rsidR="00E53200" w:rsidRPr="00E754A5" w:rsidRDefault="00F70B62">
      <w:pPr>
        <w:spacing w:line="360" w:lineRule="auto"/>
        <w:jc w:val="both"/>
      </w:pPr>
      <w:r w:rsidRPr="00E754A5">
        <w:rPr>
          <w:rFonts w:ascii="Book Antiqua" w:eastAsia="Book Antiqua" w:hAnsi="Book Antiqua" w:cs="Book Antiqua"/>
          <w:color w:val="000000"/>
        </w:rPr>
        <w:t>Grade C (Good): 0</w:t>
      </w:r>
    </w:p>
    <w:p w14:paraId="74297159" w14:textId="77777777" w:rsidR="00E53200" w:rsidRPr="00E754A5" w:rsidRDefault="00F70B62">
      <w:pPr>
        <w:spacing w:line="360" w:lineRule="auto"/>
        <w:jc w:val="both"/>
      </w:pPr>
      <w:r w:rsidRPr="00E754A5">
        <w:rPr>
          <w:rFonts w:ascii="Book Antiqua" w:eastAsia="Book Antiqua" w:hAnsi="Book Antiqua" w:cs="Book Antiqua"/>
          <w:color w:val="000000"/>
        </w:rPr>
        <w:t>Grade D (Fair): 0</w:t>
      </w:r>
    </w:p>
    <w:p w14:paraId="74EE5452" w14:textId="77777777" w:rsidR="00E53200" w:rsidRPr="00E754A5" w:rsidRDefault="00F70B62">
      <w:pPr>
        <w:spacing w:line="360" w:lineRule="auto"/>
        <w:jc w:val="both"/>
      </w:pPr>
      <w:r w:rsidRPr="00E754A5">
        <w:rPr>
          <w:rFonts w:ascii="Book Antiqua" w:eastAsia="Book Antiqua" w:hAnsi="Book Antiqua" w:cs="Book Antiqua"/>
          <w:color w:val="000000"/>
        </w:rPr>
        <w:t>Grade E (Poor): 0</w:t>
      </w:r>
    </w:p>
    <w:p w14:paraId="7625CAB1" w14:textId="77777777" w:rsidR="00E53200" w:rsidRPr="00E754A5" w:rsidRDefault="00E53200">
      <w:pPr>
        <w:spacing w:line="360" w:lineRule="auto"/>
        <w:jc w:val="both"/>
      </w:pPr>
    </w:p>
    <w:p w14:paraId="22DDE0B6" w14:textId="77777777" w:rsidR="00E53200" w:rsidRPr="00E754A5" w:rsidRDefault="00F70B62">
      <w:pPr>
        <w:spacing w:line="360" w:lineRule="auto"/>
        <w:jc w:val="both"/>
        <w:rPr>
          <w:rFonts w:ascii="Book Antiqua" w:hAnsi="Book Antiqua" w:cs="Book Antiqua"/>
          <w:color w:val="000000"/>
          <w:lang w:eastAsia="zh-CN"/>
        </w:rPr>
      </w:pPr>
      <w:r w:rsidRPr="00E754A5">
        <w:rPr>
          <w:rFonts w:ascii="Book Antiqua" w:eastAsia="Book Antiqua" w:hAnsi="Book Antiqua" w:cs="Book Antiqua"/>
          <w:b/>
          <w:color w:val="000000"/>
        </w:rPr>
        <w:t xml:space="preserve">P-Reviewer: </w:t>
      </w:r>
      <w:r w:rsidRPr="00E754A5">
        <w:rPr>
          <w:rFonts w:ascii="Book Antiqua" w:eastAsia="Book Antiqua" w:hAnsi="Book Antiqua" w:cs="Book Antiqua"/>
          <w:color w:val="000000"/>
        </w:rPr>
        <w:t>Imai Y, Japan</w:t>
      </w:r>
      <w:r w:rsidRPr="00E754A5">
        <w:rPr>
          <w:rFonts w:ascii="Book Antiqua" w:eastAsia="Book Antiqua" w:hAnsi="Book Antiqua" w:cs="Book Antiqua"/>
          <w:b/>
          <w:color w:val="000000"/>
        </w:rPr>
        <w:t xml:space="preserve"> A-Editor: </w:t>
      </w:r>
      <w:r w:rsidRPr="00E754A5">
        <w:rPr>
          <w:rFonts w:ascii="Book Antiqua" w:eastAsia="Book Antiqua" w:hAnsi="Book Antiqua" w:cs="Book Antiqua"/>
          <w:color w:val="000000"/>
        </w:rPr>
        <w:t xml:space="preserve">Lin </w:t>
      </w:r>
      <w:r w:rsidRPr="00E754A5">
        <w:rPr>
          <w:rFonts w:ascii="Book Antiqua" w:hAnsi="Book Antiqua" w:cs="Book Antiqua" w:hint="eastAsia"/>
          <w:color w:val="000000"/>
          <w:lang w:eastAsia="zh-CN"/>
        </w:rPr>
        <w:t>FY, China</w:t>
      </w:r>
      <w:r w:rsidRPr="00E754A5">
        <w:rPr>
          <w:rFonts w:ascii="Book Antiqua" w:eastAsia="Book Antiqua" w:hAnsi="Book Antiqua" w:cs="Book Antiqua"/>
          <w:b/>
          <w:color w:val="000000"/>
        </w:rPr>
        <w:t xml:space="preserve"> S-Editor: </w:t>
      </w:r>
      <w:bookmarkStart w:id="62" w:name="OLE_LINK34"/>
      <w:r w:rsidRPr="00E754A5">
        <w:rPr>
          <w:rFonts w:ascii="Book Antiqua" w:eastAsia="Book Antiqua" w:hAnsi="Book Antiqua" w:cs="Book Antiqua"/>
          <w:color w:val="000000"/>
        </w:rPr>
        <w:t>Zhang H</w:t>
      </w:r>
      <w:bookmarkEnd w:id="62"/>
      <w:r w:rsidRPr="00E754A5">
        <w:rPr>
          <w:rFonts w:ascii="Book Antiqua" w:eastAsia="Book Antiqua" w:hAnsi="Book Antiqua" w:cs="Book Antiqua"/>
          <w:b/>
          <w:color w:val="000000"/>
        </w:rPr>
        <w:t xml:space="preserve"> L-Editor: </w:t>
      </w:r>
      <w:bookmarkStart w:id="63" w:name="OLE_LINK33"/>
      <w:bookmarkStart w:id="64" w:name="OLE_LINK32"/>
      <w:r w:rsidRPr="00E754A5">
        <w:rPr>
          <w:rFonts w:ascii="Book Antiqua" w:hAnsi="Book Antiqua" w:cs="Book Antiqua" w:hint="eastAsia"/>
          <w:color w:val="000000"/>
          <w:lang w:eastAsia="zh-CN"/>
        </w:rPr>
        <w:t>A</w:t>
      </w:r>
      <w:r w:rsidRPr="00E754A5">
        <w:rPr>
          <w:rFonts w:ascii="Book Antiqua" w:eastAsia="Book Antiqua" w:hAnsi="Book Antiqua" w:cs="Book Antiqua"/>
          <w:b/>
          <w:color w:val="000000"/>
        </w:rPr>
        <w:t xml:space="preserve"> </w:t>
      </w:r>
      <w:bookmarkEnd w:id="63"/>
      <w:bookmarkEnd w:id="64"/>
      <w:r w:rsidRPr="00E754A5">
        <w:rPr>
          <w:rFonts w:ascii="Book Antiqua" w:eastAsia="Book Antiqua" w:hAnsi="Book Antiqua" w:cs="Book Antiqua"/>
          <w:b/>
          <w:color w:val="000000"/>
        </w:rPr>
        <w:t>P-Editor:</w:t>
      </w:r>
      <w:r w:rsidRPr="00E754A5">
        <w:rPr>
          <w:rFonts w:ascii="Book Antiqua" w:hAnsi="Book Antiqua" w:cs="Book Antiqua" w:hint="eastAsia"/>
          <w:b/>
          <w:color w:val="000000"/>
          <w:lang w:eastAsia="zh-CN"/>
        </w:rPr>
        <w:t xml:space="preserve"> </w:t>
      </w:r>
      <w:r w:rsidRPr="00E754A5">
        <w:rPr>
          <w:rFonts w:ascii="Book Antiqua" w:eastAsia="宋体" w:hAnsi="Book Antiqua" w:cs="Book Antiqua" w:hint="eastAsia"/>
          <w:color w:val="000000"/>
          <w:lang w:eastAsia="zh-CN"/>
        </w:rPr>
        <w:t>Guo X</w:t>
      </w:r>
    </w:p>
    <w:p w14:paraId="35027C10" w14:textId="77777777" w:rsidR="00E53200" w:rsidRPr="00E754A5" w:rsidRDefault="00E53200">
      <w:pPr>
        <w:spacing w:line="360" w:lineRule="auto"/>
        <w:jc w:val="both"/>
        <w:rPr>
          <w:rFonts w:ascii="Book Antiqua" w:hAnsi="Book Antiqua" w:cs="Book Antiqua"/>
          <w:b/>
          <w:color w:val="000000"/>
          <w:lang w:eastAsia="zh-CN"/>
        </w:rPr>
      </w:pPr>
    </w:p>
    <w:p w14:paraId="3B5E3267" w14:textId="77777777" w:rsidR="00E53200" w:rsidRPr="00E754A5" w:rsidRDefault="00E53200">
      <w:pPr>
        <w:spacing w:line="360" w:lineRule="auto"/>
        <w:jc w:val="both"/>
        <w:rPr>
          <w:lang w:eastAsia="zh-CN"/>
        </w:rPr>
        <w:sectPr w:rsidR="00E53200" w:rsidRPr="00E754A5">
          <w:pgSz w:w="12240" w:h="15840"/>
          <w:pgMar w:top="1440" w:right="1440" w:bottom="1440" w:left="1440" w:header="720" w:footer="720" w:gutter="0"/>
          <w:cols w:space="720"/>
          <w:docGrid w:linePitch="360"/>
        </w:sectPr>
      </w:pPr>
    </w:p>
    <w:p w14:paraId="27C062ED" w14:textId="77777777" w:rsidR="00E53200" w:rsidRPr="00E754A5" w:rsidRDefault="00F70B62">
      <w:pPr>
        <w:spacing w:line="360" w:lineRule="auto"/>
        <w:jc w:val="both"/>
      </w:pPr>
      <w:r w:rsidRPr="00E754A5">
        <w:rPr>
          <w:rFonts w:ascii="Book Antiqua" w:eastAsia="Book Antiqua" w:hAnsi="Book Antiqua" w:cs="Book Antiqua"/>
          <w:b/>
          <w:color w:val="000000"/>
        </w:rPr>
        <w:lastRenderedPageBreak/>
        <w:t>Figure Legends</w:t>
      </w:r>
    </w:p>
    <w:p w14:paraId="1A9FD8D8" w14:textId="4C44975A" w:rsidR="00E53200" w:rsidRPr="00E754A5" w:rsidRDefault="00F601E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F292F18" wp14:editId="0B4E0C90">
            <wp:extent cx="5857875" cy="7333615"/>
            <wp:effectExtent l="0" t="0" r="952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875" cy="7333615"/>
                    </a:xfrm>
                    <a:prstGeom prst="rect">
                      <a:avLst/>
                    </a:prstGeom>
                    <a:noFill/>
                    <a:ln>
                      <a:noFill/>
                    </a:ln>
                  </pic:spPr>
                </pic:pic>
              </a:graphicData>
            </a:graphic>
          </wp:inline>
        </w:drawing>
      </w:r>
    </w:p>
    <w:p w14:paraId="014E9989"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Figure 1 </w:t>
      </w:r>
      <w:r w:rsidRPr="00E754A5">
        <w:rPr>
          <w:rFonts w:ascii="Book Antiqua" w:hAnsi="Book Antiqua" w:cs="Book Antiqua" w:hint="eastAsia"/>
          <w:b/>
          <w:bCs/>
          <w:color w:val="000000"/>
          <w:lang w:eastAsia="zh-CN"/>
        </w:rPr>
        <w:t>E</w:t>
      </w:r>
      <w:r w:rsidRPr="00E754A5">
        <w:rPr>
          <w:rFonts w:ascii="Book Antiqua" w:eastAsia="Book Antiqua" w:hAnsi="Book Antiqua" w:cs="Book Antiqua"/>
          <w:b/>
          <w:bCs/>
          <w:color w:val="000000"/>
        </w:rPr>
        <w:t>thinylestradiol promotes hepatic natural killer T cell proliferation along with biased Th1 cytokine production.</w:t>
      </w:r>
      <w:r w:rsidRPr="00E754A5">
        <w:rPr>
          <w:rFonts w:ascii="Book Antiqua" w:eastAsia="Book Antiqua" w:hAnsi="Book Antiqua" w:cs="Book Antiqua"/>
          <w:color w:val="000000"/>
        </w:rPr>
        <w:t xml:space="preserve"> A</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The percentage of hepatic natural killer T </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NKT</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eastAsia="Book Antiqua" w:hAnsi="Book Antiqua" w:cs="Book Antiqua"/>
          <w:color w:val="000000"/>
        </w:rPr>
        <w:lastRenderedPageBreak/>
        <w:t>cells, T cells and NK cells were detected and defined as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(upper right),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(lower right), CD3e</w:t>
      </w:r>
      <w:r w:rsidRPr="00E754A5">
        <w:rPr>
          <w:rFonts w:ascii="Book Antiqua" w:eastAsia="Book Antiqua" w:hAnsi="Book Antiqua" w:cs="Book Antiqua"/>
          <w:color w:val="000000"/>
          <w:szCs w:val="30"/>
          <w:vertAlign w:val="superscript"/>
        </w:rPr>
        <w:t>-</w:t>
      </w:r>
      <w:r w:rsidRPr="00E754A5">
        <w:rPr>
          <w:rFonts w:ascii="Book Antiqua" w:eastAsia="Book Antiqua" w:hAnsi="Book Antiqua" w:cs="Book Antiqua"/>
          <w:color w:val="000000"/>
        </w:rPr>
        <w:t>CD49b</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(upper left),</w:t>
      </w:r>
      <w:r w:rsidRPr="00E754A5">
        <w:rPr>
          <w:rFonts w:ascii="Book Antiqua" w:eastAsia="Book Antiqua" w:hAnsi="Book Antiqua" w:cs="Book Antiqua"/>
          <w:color w:val="000000"/>
          <w:szCs w:val="30"/>
          <w:vertAlign w:val="superscript"/>
        </w:rPr>
        <w:t xml:space="preserve"> </w:t>
      </w:r>
      <w:r w:rsidRPr="00E754A5">
        <w:rPr>
          <w:rFonts w:ascii="Book Antiqua" w:eastAsia="Book Antiqua" w:hAnsi="Book Antiqua" w:cs="Book Antiqua"/>
          <w:color w:val="000000"/>
        </w:rPr>
        <w:t>respectively</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B</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Proportion analysis and comparison of NKT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C</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Proportion analysis and comparison of 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D</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Proportion analysis and comparison of NK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E</w:t>
      </w:r>
      <w:r w:rsidRPr="00E754A5">
        <w:rPr>
          <w:rFonts w:ascii="Book Antiqua" w:hAnsi="Book Antiqua" w:cs="Book Antiqua" w:hint="eastAsia"/>
          <w:color w:val="000000"/>
          <w:lang w:eastAsia="zh-CN"/>
        </w:rPr>
        <w:t xml:space="preserve"> and F:</w:t>
      </w:r>
      <w:r w:rsidRPr="00E754A5">
        <w:rPr>
          <w:rFonts w:ascii="Book Antiqua" w:eastAsia="Book Antiqua" w:hAnsi="Book Antiqua" w:cs="Book Antiqua"/>
          <w:color w:val="000000"/>
        </w:rPr>
        <w:t xml:space="preserve"> Th1 cytokine (IFN-γ)</w:t>
      </w:r>
      <w:r w:rsidRPr="00E754A5">
        <w:rPr>
          <w:rFonts w:ascii="Book Antiqua" w:hAnsi="Book Antiqua" w:cs="Book Antiqua" w:hint="eastAsia"/>
          <w:color w:val="000000"/>
          <w:lang w:eastAsia="zh-CN"/>
        </w:rPr>
        <w:t xml:space="preserve"> (E)</w:t>
      </w:r>
      <w:r w:rsidRPr="00E754A5">
        <w:rPr>
          <w:rFonts w:ascii="Book Antiqua" w:eastAsia="Book Antiqua" w:hAnsi="Book Antiqua" w:cs="Book Antiqua"/>
          <w:color w:val="000000"/>
        </w:rPr>
        <w:t xml:space="preserve"> and Th2 cytokine (IL-4) (F)</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produced by NKT cells and T cells were detected, respectively</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G</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IFN-γ produced by NKT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H</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IL-4 produced by NKT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The ratio of Th1/Th2 by NKT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J</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IFN-γ produced by 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K</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IL-4 produced by 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L</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The ratio of Th1/Th2 by T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M</w:t>
      </w:r>
      <w:r w:rsidRPr="00E754A5">
        <w:rPr>
          <w:rFonts w:ascii="Book Antiqua" w:hAnsi="Book Antiqua" w:cs="Book Antiqua" w:hint="eastAsia"/>
          <w:color w:val="000000"/>
          <w:lang w:eastAsia="zh-CN"/>
        </w:rPr>
        <w:t xml:space="preserve"> and N:</w:t>
      </w:r>
      <w:r w:rsidRPr="00E754A5">
        <w:rPr>
          <w:rFonts w:ascii="Book Antiqua" w:eastAsia="Book Antiqua" w:hAnsi="Book Antiqua" w:cs="Book Antiqua"/>
          <w:color w:val="000000"/>
        </w:rPr>
        <w:t xml:space="preserve"> Th1 cytokine (IFN-γ) </w:t>
      </w:r>
      <w:r w:rsidRPr="00E754A5">
        <w:rPr>
          <w:rFonts w:ascii="Book Antiqua" w:hAnsi="Book Antiqua" w:cs="Book Antiqua" w:hint="eastAsia"/>
          <w:color w:val="000000"/>
          <w:lang w:eastAsia="zh-CN"/>
        </w:rPr>
        <w:t xml:space="preserve">(M) </w:t>
      </w:r>
      <w:r w:rsidRPr="00E754A5">
        <w:rPr>
          <w:rFonts w:ascii="Book Antiqua" w:eastAsia="Book Antiqua" w:hAnsi="Book Antiqua" w:cs="Book Antiqua"/>
          <w:color w:val="000000"/>
        </w:rPr>
        <w:t>and Th2 cytokine (IL-4) (N) produced by NK cells were detected</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O</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IFN-γ produced by NK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P</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IL-4 produced by NK cells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Q</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The ratio of Th1/Th2 by NK cells.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4-6). </w:t>
      </w:r>
      <w:r w:rsidRPr="00E754A5">
        <w:rPr>
          <w:rFonts w:ascii="Book Antiqua" w:hAnsi="Book Antiqua" w:cs="Book Antiqua" w:hint="eastAsia"/>
          <w:color w:val="000000"/>
          <w:vertAlign w:val="superscript"/>
          <w:lang w:eastAsia="zh-CN"/>
        </w:rPr>
        <w:t>a</w:t>
      </w:r>
      <w:r w:rsidRPr="00E754A5">
        <w:rPr>
          <w:rFonts w:ascii="Book Antiqua" w:eastAsia="Book Antiqua" w:hAnsi="Book Antiqua" w:cs="Book Antiqua"/>
          <w:i/>
          <w:iCs/>
          <w:color w:val="000000"/>
        </w:rPr>
        <w:t>P</w:t>
      </w:r>
      <w:r w:rsidRPr="00E754A5">
        <w:rPr>
          <w:rFonts w:ascii="Book Antiqua" w:eastAsia="Book Antiqua" w:hAnsi="Book Antiqua" w:cs="Book Antiqua"/>
          <w:color w:val="000000"/>
        </w:rPr>
        <w:t xml:space="preserve"> &lt; 0.05, </w:t>
      </w:r>
      <w:r w:rsidRPr="00E754A5">
        <w:rPr>
          <w:rFonts w:ascii="Book Antiqua" w:hAnsi="Book Antiqua" w:cs="Book Antiqua" w:hint="eastAsia"/>
          <w:color w:val="000000"/>
          <w:vertAlign w:val="superscript"/>
          <w:lang w:eastAsia="zh-CN"/>
        </w:rPr>
        <w:t>c</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p>
    <w:p w14:paraId="3F64BFB0" w14:textId="696C9E54" w:rsidR="00E53200" w:rsidRDefault="00F70B62">
      <w:pPr>
        <w:spacing w:line="360" w:lineRule="auto"/>
        <w:jc w:val="both"/>
        <w:rPr>
          <w:noProof/>
          <w:lang w:eastAsia="zh-CN"/>
        </w:rPr>
      </w:pPr>
      <w:r w:rsidRPr="00E754A5">
        <w:br w:type="page"/>
      </w:r>
    </w:p>
    <w:p w14:paraId="0702FD52" w14:textId="59EDF03E" w:rsidR="00266908" w:rsidRPr="00E754A5" w:rsidRDefault="00266908">
      <w:pPr>
        <w:spacing w:line="360" w:lineRule="auto"/>
        <w:jc w:val="both"/>
      </w:pPr>
      <w:r>
        <w:rPr>
          <w:noProof/>
          <w:lang w:eastAsia="zh-CN"/>
        </w:rPr>
        <w:lastRenderedPageBreak/>
        <w:drawing>
          <wp:inline distT="0" distB="0" distL="0" distR="0" wp14:anchorId="0CB1379A" wp14:editId="116139AA">
            <wp:extent cx="5939155" cy="707072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7070725"/>
                    </a:xfrm>
                    <a:prstGeom prst="rect">
                      <a:avLst/>
                    </a:prstGeom>
                    <a:noFill/>
                    <a:ln>
                      <a:noFill/>
                    </a:ln>
                  </pic:spPr>
                </pic:pic>
              </a:graphicData>
            </a:graphic>
          </wp:inline>
        </w:drawing>
      </w:r>
    </w:p>
    <w:p w14:paraId="171A8F25"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Figure 2 </w:t>
      </w:r>
      <w:r w:rsidRPr="00E754A5">
        <w:rPr>
          <w:rFonts w:ascii="Book Antiqua" w:hAnsi="Book Antiqua" w:cs="Book Antiqua" w:hint="eastAsia"/>
          <w:b/>
          <w:bCs/>
          <w:color w:val="000000"/>
          <w:lang w:eastAsia="zh-CN"/>
        </w:rPr>
        <w:t>I</w:t>
      </w:r>
      <w:r w:rsidRPr="00E754A5">
        <w:rPr>
          <w:rFonts w:ascii="Book Antiqua" w:eastAsia="Book Antiqua" w:hAnsi="Book Antiqua" w:cs="Book Antiqua"/>
          <w:b/>
          <w:bCs/>
          <w:color w:val="000000"/>
        </w:rPr>
        <w:t xml:space="preserve">nvariant natural killer T cells exacerbate </w:t>
      </w:r>
      <w:r w:rsidRPr="00E754A5">
        <w:rPr>
          <w:rFonts w:ascii="Book Antiqua" w:eastAsia="Book Antiqua" w:hAnsi="Book Antiqua" w:cs="Book Antiqua"/>
          <w:b/>
          <w:color w:val="000000"/>
        </w:rPr>
        <w:t>ethinylestradiol</w:t>
      </w:r>
      <w:r w:rsidRPr="00E754A5">
        <w:rPr>
          <w:rFonts w:ascii="Book Antiqua" w:eastAsia="Book Antiqua" w:hAnsi="Book Antiqua" w:cs="Book Antiqua"/>
          <w:b/>
          <w:bCs/>
          <w:color w:val="000000"/>
        </w:rPr>
        <w:t xml:space="preserve">-induced cholestatic liver damage. </w:t>
      </w:r>
      <w:r w:rsidRPr="00E754A5">
        <w:rPr>
          <w:rFonts w:ascii="Book Antiqua" w:hAnsi="Book Antiqua" w:cs="Book Antiqua" w:hint="eastAsia"/>
          <w:bCs/>
          <w:color w:val="000000"/>
          <w:lang w:eastAsia="zh-CN"/>
        </w:rPr>
        <w:t>A-D:</w:t>
      </w:r>
      <w:r w:rsidRPr="00E754A5">
        <w:rPr>
          <w:rFonts w:ascii="Book Antiqua" w:hAnsi="Book Antiqua" w:cs="Book Antiqua" w:hint="eastAsia"/>
          <w:b/>
          <w:bCs/>
          <w:color w:val="000000"/>
          <w:lang w:eastAsia="zh-CN"/>
        </w:rPr>
        <w:t xml:space="preserve"> </w:t>
      </w:r>
      <w:r w:rsidRPr="00E754A5">
        <w:rPr>
          <w:rFonts w:ascii="Book Antiqua" w:eastAsia="Book Antiqua" w:hAnsi="Book Antiqua" w:cs="Book Antiqua"/>
          <w:color w:val="000000"/>
        </w:rPr>
        <w:t>The serum levels of</w:t>
      </w:r>
      <w:r w:rsidRPr="00E754A5">
        <w:rPr>
          <w:rFonts w:ascii="Book Antiqua" w:eastAsia="Book Antiqua" w:hAnsi="Book Antiqua" w:cs="Book Antiqua"/>
          <w:b/>
          <w:bCs/>
          <w:color w:val="000000"/>
        </w:rPr>
        <w:t xml:space="preserve"> </w:t>
      </w:r>
      <w:r w:rsidRPr="00E754A5">
        <w:rPr>
          <w:rFonts w:ascii="Book Antiqua" w:eastAsia="Book Antiqua" w:hAnsi="Book Antiqua" w:cs="Book Antiqua"/>
          <w:color w:val="000000"/>
        </w:rPr>
        <w:t>ALP</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(A), TBA</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(B), ALT (C) and</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AST (D)</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E</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Liver sections stained with hematoxylin and eosin (10×)</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F</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Proliferation of pseudocholangiolar duct (yellow arrows)</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szCs w:val="21"/>
        </w:rPr>
        <w:t xml:space="preserve"> </w:t>
      </w:r>
      <w:r w:rsidRPr="00E754A5">
        <w:rPr>
          <w:rFonts w:ascii="Book Antiqua" w:eastAsia="Book Antiqua" w:hAnsi="Book Antiqua" w:cs="Book Antiqua"/>
          <w:color w:val="000000"/>
        </w:rPr>
        <w:t>G</w:t>
      </w:r>
      <w:r w:rsidRPr="00E754A5">
        <w:rPr>
          <w:rFonts w:ascii="Book Antiqua" w:hAnsi="Book Antiqua" w:cs="Book Antiqua" w:hint="eastAsia"/>
          <w:color w:val="000000"/>
          <w:lang w:eastAsia="zh-CN"/>
        </w:rPr>
        <w:t xml:space="preserve"> and H:</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lang w:eastAsia="zh-CN"/>
        </w:rPr>
        <w:t>I</w:t>
      </w:r>
      <w:r w:rsidRPr="00E754A5">
        <w:rPr>
          <w:rFonts w:ascii="Book Antiqua" w:eastAsia="Book Antiqua" w:hAnsi="Book Antiqua" w:cs="Book Antiqua"/>
          <w:color w:val="000000"/>
        </w:rPr>
        <w:t>nflammatory cell infiltration (</w:t>
      </w:r>
      <w:r w:rsidRPr="00E754A5">
        <w:rPr>
          <w:rFonts w:ascii="Book Antiqua" w:hAnsi="Book Antiqua" w:cs="Book Antiqua" w:hint="eastAsia"/>
          <w:color w:val="000000"/>
          <w:lang w:eastAsia="zh-CN"/>
        </w:rPr>
        <w:t xml:space="preserve">G, </w:t>
      </w:r>
      <w:r w:rsidRPr="00E754A5">
        <w:rPr>
          <w:rFonts w:ascii="Book Antiqua" w:eastAsia="Book Antiqua" w:hAnsi="Book Antiqua" w:cs="Book Antiqua"/>
          <w:color w:val="000000"/>
        </w:rPr>
        <w:t xml:space="preserve">red arrows) and </w:t>
      </w:r>
      <w:r w:rsidRPr="00E754A5">
        <w:rPr>
          <w:rFonts w:ascii="Book Antiqua" w:eastAsia="Book Antiqua" w:hAnsi="Book Antiqua" w:cs="Book Antiqua"/>
          <w:color w:val="000000"/>
        </w:rPr>
        <w:lastRenderedPageBreak/>
        <w:t>hepatocyte necrosis (</w:t>
      </w:r>
      <w:r w:rsidRPr="00E754A5">
        <w:rPr>
          <w:rFonts w:ascii="Book Antiqua" w:hAnsi="Book Antiqua" w:cs="Book Antiqua" w:hint="eastAsia"/>
          <w:color w:val="000000"/>
          <w:lang w:eastAsia="zh-CN"/>
        </w:rPr>
        <w:t xml:space="preserve">H, </w:t>
      </w:r>
      <w:r w:rsidRPr="00E754A5">
        <w:rPr>
          <w:rFonts w:ascii="Book Antiqua" w:eastAsia="Book Antiqua" w:hAnsi="Book Antiqua" w:cs="Book Antiqua"/>
          <w:color w:val="000000"/>
        </w:rPr>
        <w:t>black arrows) were compared as pathology scores.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4-6). </w:t>
      </w:r>
      <w:bookmarkStart w:id="65" w:name="OLE_LINK45"/>
      <w:r w:rsidRPr="00E754A5">
        <w:rPr>
          <w:rFonts w:ascii="Book Antiqua" w:hAnsi="Book Antiqua" w:cs="Book Antiqua" w:hint="eastAsia"/>
          <w:color w:val="000000"/>
          <w:vertAlign w:val="superscript"/>
          <w:lang w:eastAsia="zh-CN"/>
        </w:rPr>
        <w:t>b</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&lt; 0.01,</w:t>
      </w:r>
      <w:r w:rsidRPr="00E754A5">
        <w:rPr>
          <w:rFonts w:ascii="Book Antiqua" w:hAnsi="Book Antiqua" w:cs="Book Antiqua" w:hint="eastAsia"/>
          <w:color w:val="000000"/>
          <w:lang w:eastAsia="zh-CN"/>
        </w:rPr>
        <w:t xml:space="preserve"> </w:t>
      </w:r>
      <w:r w:rsidRPr="00E754A5">
        <w:rPr>
          <w:rFonts w:ascii="Book Antiqua" w:hAnsi="Book Antiqua" w:cs="Book Antiqua" w:hint="eastAsia"/>
          <w:color w:val="000000"/>
          <w:vertAlign w:val="superscript"/>
          <w:lang w:eastAsia="zh-CN"/>
        </w:rPr>
        <w:t>c</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e</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0.01, </w:t>
      </w:r>
      <w:r w:rsidRPr="00E754A5">
        <w:rPr>
          <w:rFonts w:ascii="Book Antiqua" w:hAnsi="Book Antiqua" w:cs="Book Antiqua" w:hint="eastAsia"/>
          <w:color w:val="000000"/>
          <w:vertAlign w:val="superscript"/>
          <w:lang w:eastAsia="zh-CN"/>
        </w:rPr>
        <w:t>f</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&lt; 0.001</w:t>
      </w:r>
      <w:bookmarkEnd w:id="65"/>
      <w:r w:rsidRPr="00E754A5">
        <w:rPr>
          <w:rFonts w:ascii="Book Antiqua" w:eastAsia="Book Antiqua" w:hAnsi="Book Antiqua" w:cs="Book Antiqua"/>
          <w:color w:val="000000"/>
        </w:rPr>
        <w:t xml:space="preserve">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C57BL/6J group.</w:t>
      </w:r>
    </w:p>
    <w:p w14:paraId="70F232F7" w14:textId="15D4D38A" w:rsidR="00E53200" w:rsidRDefault="00F70B62">
      <w:pPr>
        <w:spacing w:line="360" w:lineRule="auto"/>
        <w:jc w:val="both"/>
        <w:rPr>
          <w:noProof/>
          <w:lang w:eastAsia="zh-CN"/>
        </w:rPr>
      </w:pPr>
      <w:r w:rsidRPr="00E754A5">
        <w:br w:type="page"/>
      </w:r>
    </w:p>
    <w:p w14:paraId="20C41CB1" w14:textId="5F6AC714" w:rsidR="00266908" w:rsidRPr="00E754A5" w:rsidRDefault="00266908">
      <w:pPr>
        <w:spacing w:line="360" w:lineRule="auto"/>
        <w:jc w:val="both"/>
      </w:pPr>
      <w:r>
        <w:rPr>
          <w:noProof/>
          <w:lang w:eastAsia="zh-CN"/>
        </w:rPr>
        <w:lastRenderedPageBreak/>
        <w:drawing>
          <wp:inline distT="0" distB="0" distL="0" distR="0" wp14:anchorId="48BEA8BF" wp14:editId="53FE575F">
            <wp:extent cx="4065270" cy="2498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5270" cy="2498725"/>
                    </a:xfrm>
                    <a:prstGeom prst="rect">
                      <a:avLst/>
                    </a:prstGeom>
                    <a:noFill/>
                    <a:ln>
                      <a:noFill/>
                    </a:ln>
                  </pic:spPr>
                </pic:pic>
              </a:graphicData>
            </a:graphic>
          </wp:inline>
        </w:drawing>
      </w:r>
    </w:p>
    <w:p w14:paraId="169A143C"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Figure 3 </w:t>
      </w:r>
      <w:r w:rsidRPr="00E754A5">
        <w:rPr>
          <w:rFonts w:ascii="Book Antiqua" w:hAnsi="Book Antiqua" w:cs="Book Antiqua" w:hint="eastAsia"/>
          <w:b/>
          <w:bCs/>
          <w:color w:val="000000"/>
          <w:lang w:eastAsia="zh-CN"/>
        </w:rPr>
        <w:t>I</w:t>
      </w:r>
      <w:r w:rsidRPr="00E754A5">
        <w:rPr>
          <w:rFonts w:ascii="Book Antiqua" w:eastAsia="Book Antiqua" w:hAnsi="Book Antiqua" w:cs="Book Antiqua"/>
          <w:b/>
          <w:bCs/>
          <w:color w:val="000000"/>
        </w:rPr>
        <w:t xml:space="preserve">nvariant natural killer T cell deficiency lowers the hepatic expression of chemokine/chemokine receptors. </w:t>
      </w:r>
      <w:r w:rsidRPr="00E754A5">
        <w:rPr>
          <w:rFonts w:ascii="Book Antiqua" w:hAnsi="Book Antiqua" w:cs="Book Antiqua" w:hint="eastAsia"/>
          <w:bCs/>
          <w:color w:val="000000"/>
          <w:lang w:eastAsia="zh-CN"/>
        </w:rPr>
        <w:t>A and B:</w:t>
      </w:r>
      <w:r w:rsidRPr="00E754A5">
        <w:rPr>
          <w:rFonts w:ascii="Book Antiqua" w:hAnsi="Book Antiqua" w:cs="Book Antiqua" w:hint="eastAsia"/>
          <w:b/>
          <w:bCs/>
          <w:color w:val="000000"/>
          <w:lang w:eastAsia="zh-CN"/>
        </w:rPr>
        <w:t xml:space="preserve"> </w:t>
      </w:r>
      <w:r w:rsidRPr="00E754A5">
        <w:rPr>
          <w:rFonts w:ascii="Book Antiqua" w:eastAsia="Book Antiqua" w:hAnsi="Book Antiqua" w:cs="Book Antiqua"/>
          <w:color w:val="000000"/>
        </w:rPr>
        <w:t xml:space="preserve">Hepatic mRNA expressions of </w:t>
      </w:r>
      <w:r w:rsidRPr="00E754A5">
        <w:rPr>
          <w:rFonts w:ascii="Book Antiqua" w:eastAsia="Book Antiqua" w:hAnsi="Book Antiqua" w:cs="Book Antiqua"/>
          <w:iCs/>
          <w:color w:val="000000"/>
        </w:rPr>
        <w:t>Cxcr6</w:t>
      </w:r>
      <w:r w:rsidRPr="00E754A5">
        <w:rPr>
          <w:rFonts w:ascii="Book Antiqua" w:eastAsia="Book Antiqua" w:hAnsi="Book Antiqua" w:cs="Book Antiqua"/>
          <w:color w:val="000000"/>
        </w:rPr>
        <w:t xml:space="preserve"> (A) and </w:t>
      </w:r>
      <w:r w:rsidRPr="00E754A5">
        <w:rPr>
          <w:rFonts w:ascii="Book Antiqua" w:eastAsia="Book Antiqua" w:hAnsi="Book Antiqua" w:cs="Book Antiqua"/>
          <w:iCs/>
          <w:color w:val="000000"/>
        </w:rPr>
        <w:t>Cxcl16</w:t>
      </w:r>
      <w:r w:rsidRPr="00E754A5">
        <w:rPr>
          <w:rFonts w:ascii="Book Antiqua" w:eastAsia="Book Antiqua" w:hAnsi="Book Antiqua" w:cs="Book Antiqua"/>
          <w:color w:val="000000"/>
        </w:rPr>
        <w:t xml:space="preserve"> (B) were determined and compared.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4-6). </w:t>
      </w:r>
      <w:bookmarkStart w:id="66" w:name="OLE_LINK44"/>
      <w:r w:rsidRPr="00E754A5">
        <w:rPr>
          <w:rFonts w:ascii="Book Antiqua" w:hAnsi="Book Antiqua" w:cs="Book Antiqua" w:hint="eastAsia"/>
          <w:color w:val="000000"/>
          <w:vertAlign w:val="superscript"/>
          <w:lang w:eastAsia="zh-CN"/>
        </w:rPr>
        <w:t>b</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&lt; 0.01,</w:t>
      </w:r>
      <w:bookmarkEnd w:id="66"/>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c</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f</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C57BL/6J group.</w:t>
      </w:r>
    </w:p>
    <w:p w14:paraId="300707DB" w14:textId="057332D6" w:rsidR="00E53200" w:rsidRDefault="00F70B62">
      <w:pPr>
        <w:spacing w:line="360" w:lineRule="auto"/>
        <w:jc w:val="both"/>
        <w:rPr>
          <w:noProof/>
          <w:lang w:eastAsia="zh-CN"/>
        </w:rPr>
      </w:pPr>
      <w:r w:rsidRPr="00E754A5">
        <w:br w:type="page"/>
      </w:r>
    </w:p>
    <w:p w14:paraId="2F71DD29" w14:textId="2F418DEF" w:rsidR="00266908" w:rsidRPr="00E754A5" w:rsidRDefault="00266908">
      <w:pPr>
        <w:spacing w:line="360" w:lineRule="auto"/>
        <w:jc w:val="both"/>
      </w:pPr>
      <w:r>
        <w:rPr>
          <w:noProof/>
          <w:lang w:eastAsia="zh-CN"/>
        </w:rPr>
        <w:lastRenderedPageBreak/>
        <w:drawing>
          <wp:inline distT="0" distB="0" distL="0" distR="0" wp14:anchorId="58294940" wp14:editId="65D4C976">
            <wp:extent cx="5024755" cy="725170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4755" cy="7251700"/>
                    </a:xfrm>
                    <a:prstGeom prst="rect">
                      <a:avLst/>
                    </a:prstGeom>
                    <a:noFill/>
                    <a:ln>
                      <a:noFill/>
                    </a:ln>
                  </pic:spPr>
                </pic:pic>
              </a:graphicData>
            </a:graphic>
          </wp:inline>
        </w:drawing>
      </w:r>
    </w:p>
    <w:p w14:paraId="18C53008" w14:textId="77777777" w:rsidR="00E53200" w:rsidRPr="00E754A5" w:rsidRDefault="00F70B62">
      <w:pPr>
        <w:spacing w:line="360" w:lineRule="auto"/>
        <w:jc w:val="both"/>
        <w:rPr>
          <w:rFonts w:ascii="Book Antiqua" w:hAnsi="Book Antiqua" w:cs="Book Antiqua"/>
          <w:b/>
          <w:bCs/>
          <w:color w:val="000000"/>
          <w:lang w:eastAsia="zh-CN"/>
        </w:rPr>
      </w:pPr>
      <w:r w:rsidRPr="00E754A5">
        <w:rPr>
          <w:rFonts w:ascii="Book Antiqua" w:eastAsia="Book Antiqua" w:hAnsi="Book Antiqua" w:cs="Book Antiqua"/>
          <w:b/>
          <w:bCs/>
          <w:color w:val="000000"/>
        </w:rPr>
        <w:t>Figure 4 Absence of invariant natural killer T cells alters the expression of toll-like receptor</w:t>
      </w:r>
      <w:r w:rsidRPr="00E754A5">
        <w:rPr>
          <w:rFonts w:ascii="Book Antiqua" w:hAnsi="Book Antiqua" w:cs="Book Antiqua" w:hint="eastAsia"/>
          <w:b/>
          <w:bCs/>
          <w:color w:val="000000"/>
          <w:lang w:eastAsia="zh-CN"/>
        </w:rPr>
        <w:t>s</w:t>
      </w:r>
      <w:r w:rsidRPr="00E754A5">
        <w:rPr>
          <w:rFonts w:ascii="Book Antiqua" w:eastAsia="Book Antiqua" w:hAnsi="Book Antiqua" w:cs="Book Antiqua"/>
          <w:b/>
          <w:bCs/>
          <w:color w:val="000000"/>
        </w:rPr>
        <w:t xml:space="preserve">. </w:t>
      </w:r>
      <w:r w:rsidRPr="00E754A5">
        <w:rPr>
          <w:rFonts w:ascii="Book Antiqua" w:hAnsi="Book Antiqua" w:cs="Book Antiqua" w:hint="eastAsia"/>
          <w:bCs/>
          <w:color w:val="000000"/>
          <w:lang w:eastAsia="zh-CN"/>
        </w:rPr>
        <w:t xml:space="preserve">A-E: </w:t>
      </w:r>
      <w:r w:rsidRPr="00E754A5">
        <w:rPr>
          <w:rFonts w:ascii="Book Antiqua" w:eastAsia="Book Antiqua" w:hAnsi="Book Antiqua" w:cs="Book Antiqua"/>
          <w:color w:val="000000"/>
        </w:rPr>
        <w:t xml:space="preserve">Hepatic mRNA levels of </w:t>
      </w:r>
      <w:r w:rsidRPr="00E754A5">
        <w:rPr>
          <w:rFonts w:ascii="Book Antiqua" w:eastAsia="Book Antiqua" w:hAnsi="Book Antiqua" w:cs="Book Antiqua"/>
          <w:iCs/>
          <w:color w:val="000000"/>
        </w:rPr>
        <w:t>Tlr2</w:t>
      </w:r>
      <w:r w:rsidRPr="00E754A5">
        <w:rPr>
          <w:rFonts w:ascii="Book Antiqua" w:hAnsi="Book Antiqua" w:cs="Book Antiqua" w:hint="eastAsia"/>
          <w:iCs/>
          <w:color w:val="000000"/>
          <w:lang w:eastAsia="zh-CN"/>
        </w:rPr>
        <w:t xml:space="preserve"> </w:t>
      </w:r>
      <w:r w:rsidRPr="00E754A5">
        <w:rPr>
          <w:rFonts w:ascii="Book Antiqua" w:eastAsia="Book Antiqua" w:hAnsi="Book Antiqua" w:cs="Book Antiqua"/>
          <w:color w:val="000000"/>
        </w:rPr>
        <w:t xml:space="preserve">(A), </w:t>
      </w:r>
      <w:r w:rsidRPr="00E754A5">
        <w:rPr>
          <w:rFonts w:ascii="Book Antiqua" w:eastAsia="Book Antiqua" w:hAnsi="Book Antiqua" w:cs="Book Antiqua"/>
          <w:iCs/>
          <w:color w:val="000000"/>
        </w:rPr>
        <w:t>Tlr4</w:t>
      </w:r>
      <w:r w:rsidRPr="00E754A5">
        <w:rPr>
          <w:rFonts w:ascii="Book Antiqua" w:eastAsia="Book Antiqua" w:hAnsi="Book Antiqua" w:cs="Book Antiqua"/>
          <w:color w:val="000000"/>
        </w:rPr>
        <w:t xml:space="preserve"> (B), </w:t>
      </w:r>
      <w:r w:rsidRPr="00E754A5">
        <w:rPr>
          <w:rFonts w:ascii="Book Antiqua" w:eastAsia="Book Antiqua" w:hAnsi="Book Antiqua" w:cs="Book Antiqua"/>
          <w:iCs/>
          <w:color w:val="000000"/>
        </w:rPr>
        <w:t>Tlr6</w:t>
      </w:r>
      <w:r w:rsidRPr="00E754A5">
        <w:rPr>
          <w:rFonts w:ascii="Book Antiqua" w:eastAsia="Book Antiqua" w:hAnsi="Book Antiqua" w:cs="Book Antiqua"/>
          <w:color w:val="000000"/>
        </w:rPr>
        <w:t xml:space="preserve"> (C),</w:t>
      </w:r>
      <w:r w:rsidRPr="00E754A5">
        <w:rPr>
          <w:rFonts w:ascii="Book Antiqua" w:eastAsia="Book Antiqua" w:hAnsi="Book Antiqua" w:cs="Book Antiqua"/>
          <w:iCs/>
          <w:color w:val="000000"/>
        </w:rPr>
        <w:t xml:space="preserve"> Tlr7</w:t>
      </w:r>
      <w:r w:rsidRPr="00E754A5">
        <w:rPr>
          <w:rFonts w:ascii="Book Antiqua" w:eastAsia="Book Antiqua" w:hAnsi="Book Antiqua" w:cs="Book Antiqua"/>
          <w:color w:val="000000"/>
        </w:rPr>
        <w:t xml:space="preserve"> (D)</w:t>
      </w:r>
      <w:r w:rsidRPr="00E754A5">
        <w:rPr>
          <w:rFonts w:ascii="Book Antiqua" w:eastAsia="Book Antiqua" w:hAnsi="Book Antiqua" w:cs="Book Antiqua"/>
          <w:iCs/>
          <w:color w:val="000000"/>
        </w:rPr>
        <w:t xml:space="preserve"> </w:t>
      </w:r>
      <w:r w:rsidRPr="00E754A5">
        <w:rPr>
          <w:rFonts w:ascii="Book Antiqua" w:eastAsia="Book Antiqua" w:hAnsi="Book Antiqua" w:cs="Book Antiqua"/>
          <w:color w:val="000000"/>
        </w:rPr>
        <w:t xml:space="preserve">and </w:t>
      </w:r>
      <w:r w:rsidRPr="00E754A5">
        <w:rPr>
          <w:rFonts w:ascii="Book Antiqua" w:eastAsia="Book Antiqua" w:hAnsi="Book Antiqua" w:cs="Book Antiqua"/>
          <w:iCs/>
          <w:color w:val="000000"/>
        </w:rPr>
        <w:t>Tlr9</w:t>
      </w:r>
      <w:r w:rsidRPr="00E754A5">
        <w:rPr>
          <w:rFonts w:ascii="Book Antiqua" w:eastAsia="Book Antiqua" w:hAnsi="Book Antiqua" w:cs="Book Antiqua"/>
          <w:color w:val="000000"/>
        </w:rPr>
        <w:t xml:space="preserve"> (E)</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were determined and compared</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lang w:eastAsia="zh-CN"/>
        </w:rPr>
        <w:t xml:space="preserve">F: </w:t>
      </w:r>
      <w:r w:rsidRPr="00E754A5">
        <w:rPr>
          <w:rFonts w:ascii="Book Antiqua" w:eastAsia="Book Antiqua" w:hAnsi="Book Antiqua" w:cs="Book Antiqua"/>
          <w:color w:val="000000"/>
        </w:rPr>
        <w:t xml:space="preserve">Changes in the protein level of TLR9 were determined </w:t>
      </w:r>
      <w:r w:rsidRPr="00E754A5">
        <w:rPr>
          <w:rFonts w:ascii="Book Antiqua" w:eastAsia="Book Antiqua" w:hAnsi="Book Antiqua" w:cs="Book Antiqua"/>
          <w:color w:val="000000"/>
        </w:rPr>
        <w:lastRenderedPageBreak/>
        <w:t>by immunohistochemistry.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4-6). </w:t>
      </w:r>
      <w:r w:rsidRPr="00E754A5">
        <w:rPr>
          <w:rFonts w:ascii="Book Antiqua" w:hAnsi="Book Antiqua" w:cs="Book Antiqua"/>
          <w:color w:val="000000"/>
          <w:vertAlign w:val="superscript"/>
          <w:lang w:eastAsia="zh-CN"/>
        </w:rPr>
        <w:t>b</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&lt; 0.01,</w:t>
      </w:r>
      <w:r w:rsidRPr="00E754A5">
        <w:rPr>
          <w:rFonts w:ascii="Book Antiqua" w:hAnsi="Book Antiqua" w:cs="Book Antiqua"/>
          <w:color w:val="000000"/>
          <w:lang w:eastAsia="zh-CN"/>
        </w:rPr>
        <w:t xml:space="preserve"> </w:t>
      </w:r>
      <w:r w:rsidRPr="00E754A5">
        <w:rPr>
          <w:rFonts w:ascii="Book Antiqua" w:hAnsi="Book Antiqua" w:cs="Book Antiqua"/>
          <w:color w:val="000000"/>
          <w:vertAlign w:val="superscript"/>
          <w:lang w:eastAsia="zh-CN"/>
        </w:rPr>
        <w:t>c</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r w:rsidRPr="00E754A5">
        <w:rPr>
          <w:rFonts w:ascii="Book Antiqua" w:hAnsi="Book Antiqua" w:cs="Book Antiqu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e</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0.01, </w:t>
      </w:r>
      <w:r w:rsidRPr="00E754A5">
        <w:rPr>
          <w:rFonts w:ascii="Book Antiqua" w:hAnsi="Book Antiqua" w:cs="Book Antiqua" w:hint="eastAsia"/>
          <w:color w:val="000000"/>
          <w:vertAlign w:val="superscript"/>
          <w:lang w:eastAsia="zh-CN"/>
        </w:rPr>
        <w:t>f</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C57BL/6J group.</w:t>
      </w:r>
    </w:p>
    <w:p w14:paraId="5FD063B8" w14:textId="63C9AEA8" w:rsidR="00E53200" w:rsidRDefault="00F70B62">
      <w:pPr>
        <w:spacing w:line="360" w:lineRule="auto"/>
        <w:jc w:val="both"/>
        <w:rPr>
          <w:noProof/>
          <w:lang w:eastAsia="zh-CN"/>
        </w:rPr>
      </w:pPr>
      <w:r w:rsidRPr="00E754A5">
        <w:br w:type="page"/>
      </w:r>
    </w:p>
    <w:p w14:paraId="4B3E58BF" w14:textId="26E598B2" w:rsidR="00266908" w:rsidRPr="00E754A5" w:rsidRDefault="00266908">
      <w:pPr>
        <w:spacing w:line="360" w:lineRule="auto"/>
        <w:jc w:val="both"/>
      </w:pPr>
      <w:r>
        <w:rPr>
          <w:noProof/>
          <w:lang w:eastAsia="zh-CN"/>
        </w:rPr>
        <w:lastRenderedPageBreak/>
        <w:drawing>
          <wp:inline distT="0" distB="0" distL="0" distR="0" wp14:anchorId="097C602C" wp14:editId="3F547A53">
            <wp:extent cx="5930265" cy="24898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2489835"/>
                    </a:xfrm>
                    <a:prstGeom prst="rect">
                      <a:avLst/>
                    </a:prstGeom>
                    <a:noFill/>
                    <a:ln>
                      <a:noFill/>
                    </a:ln>
                  </pic:spPr>
                </pic:pic>
              </a:graphicData>
            </a:graphic>
          </wp:inline>
        </w:drawing>
      </w:r>
    </w:p>
    <w:p w14:paraId="588E6841" w14:textId="77777777" w:rsidR="00E53200" w:rsidRPr="00E754A5" w:rsidRDefault="00F70B62">
      <w:pPr>
        <w:spacing w:line="360" w:lineRule="auto"/>
        <w:jc w:val="both"/>
      </w:pPr>
      <w:r w:rsidRPr="00E754A5">
        <w:rPr>
          <w:rFonts w:ascii="Book Antiqua" w:eastAsia="Book Antiqua" w:hAnsi="Book Antiqua" w:cs="Book Antiqua"/>
          <w:b/>
          <w:bCs/>
          <w:color w:val="000000"/>
        </w:rPr>
        <w:t xml:space="preserve">Figure 5 Absence of invariant natural killer T cells alters the expression of </w:t>
      </w:r>
      <w:r w:rsidRPr="00E754A5">
        <w:rPr>
          <w:rFonts w:ascii="Book Antiqua" w:eastAsia="Book Antiqua" w:hAnsi="Book Antiqua" w:cs="Book Antiqua"/>
          <w:b/>
          <w:bCs/>
          <w:iCs/>
          <w:color w:val="000000"/>
        </w:rPr>
        <w:t>Ras/Raf</w:t>
      </w:r>
      <w:r w:rsidRPr="00E754A5">
        <w:rPr>
          <w:rFonts w:ascii="Book Antiqua" w:eastAsia="Book Antiqua" w:hAnsi="Book Antiqua" w:cs="Book Antiqua"/>
          <w:b/>
          <w:bCs/>
          <w:color w:val="000000"/>
        </w:rPr>
        <w:t xml:space="preserve"> and </w:t>
      </w:r>
      <w:r w:rsidRPr="00E754A5">
        <w:rPr>
          <w:rFonts w:ascii="Book Antiqua" w:eastAsia="Book Antiqua" w:hAnsi="Book Antiqua" w:cs="Book Antiqua"/>
          <w:b/>
          <w:bCs/>
          <w:iCs/>
          <w:color w:val="000000"/>
        </w:rPr>
        <w:t>PI3K/Bad</w:t>
      </w:r>
      <w:r w:rsidRPr="00E754A5">
        <w:rPr>
          <w:rFonts w:ascii="Book Antiqua" w:eastAsia="Book Antiqua" w:hAnsi="Book Antiqua" w:cs="Book Antiqua"/>
          <w:b/>
          <w:bCs/>
          <w:color w:val="000000"/>
        </w:rPr>
        <w:t xml:space="preserve"> signaling pathways. </w:t>
      </w:r>
      <w:r w:rsidRPr="00E754A5">
        <w:rPr>
          <w:rFonts w:ascii="Book Antiqua" w:hAnsi="Book Antiqua" w:cs="Book Antiqua" w:hint="eastAsia"/>
          <w:bCs/>
          <w:color w:val="000000"/>
          <w:lang w:eastAsia="zh-CN"/>
        </w:rPr>
        <w:t xml:space="preserve">A-D: </w:t>
      </w:r>
      <w:r w:rsidRPr="00E754A5">
        <w:rPr>
          <w:rFonts w:ascii="Book Antiqua" w:eastAsia="Book Antiqua" w:hAnsi="Book Antiqua" w:cs="Book Antiqua"/>
          <w:color w:val="000000"/>
        </w:rPr>
        <w:t xml:space="preserve">Hepatic gene expressions of </w:t>
      </w:r>
      <w:r w:rsidRPr="00E754A5">
        <w:rPr>
          <w:rFonts w:ascii="Book Antiqua" w:eastAsia="Book Antiqua" w:hAnsi="Book Antiqua" w:cs="Book Antiqua"/>
          <w:iCs/>
          <w:color w:val="000000"/>
        </w:rPr>
        <w:t>Ras</w:t>
      </w:r>
      <w:r w:rsidRPr="00E754A5">
        <w:rPr>
          <w:rFonts w:ascii="Book Antiqua" w:hAnsi="Book Antiqua" w:cs="Book Antiqua" w:hint="eastAsia"/>
          <w:iCs/>
          <w:color w:val="000000"/>
          <w:lang w:eastAsia="zh-CN"/>
        </w:rPr>
        <w:t xml:space="preserve"> </w:t>
      </w:r>
      <w:r w:rsidRPr="00E754A5">
        <w:rPr>
          <w:rFonts w:ascii="Book Antiqua" w:eastAsia="Book Antiqua" w:hAnsi="Book Antiqua" w:cs="Book Antiqua"/>
          <w:color w:val="000000"/>
        </w:rPr>
        <w:t xml:space="preserve">(A), </w:t>
      </w:r>
      <w:r w:rsidRPr="00E754A5">
        <w:rPr>
          <w:rFonts w:ascii="Book Antiqua" w:eastAsia="Book Antiqua" w:hAnsi="Book Antiqua" w:cs="Book Antiqua"/>
          <w:iCs/>
          <w:color w:val="000000"/>
        </w:rPr>
        <w:t>Raf</w:t>
      </w:r>
      <w:r w:rsidRPr="00E754A5">
        <w:rPr>
          <w:rFonts w:ascii="Book Antiqua" w:eastAsia="Book Antiqua" w:hAnsi="Book Antiqua" w:cs="Book Antiqua"/>
          <w:color w:val="000000"/>
        </w:rPr>
        <w:t xml:space="preserve"> (B), </w:t>
      </w:r>
      <w:r w:rsidRPr="00E754A5">
        <w:rPr>
          <w:rFonts w:ascii="Book Antiqua" w:eastAsia="Book Antiqua" w:hAnsi="Book Antiqua" w:cs="Book Antiqua"/>
          <w:iCs/>
          <w:color w:val="000000"/>
        </w:rPr>
        <w:t>Pi3k</w:t>
      </w:r>
      <w:r w:rsidRPr="00E754A5">
        <w:rPr>
          <w:rFonts w:ascii="Book Antiqua" w:hAnsi="Book Antiqua" w:cs="Book Antiqua" w:hint="eastAsia"/>
          <w:iCs/>
          <w:color w:val="000000"/>
          <w:lang w:eastAsia="zh-CN"/>
        </w:rPr>
        <w:t xml:space="preserve"> </w:t>
      </w:r>
      <w:r w:rsidRPr="00E754A5">
        <w:rPr>
          <w:rFonts w:ascii="Book Antiqua" w:eastAsia="Book Antiqua" w:hAnsi="Book Antiqua" w:cs="Book Antiqua"/>
          <w:color w:val="000000"/>
        </w:rPr>
        <w:t>(C) and</w:t>
      </w:r>
      <w:r w:rsidRPr="00E754A5">
        <w:rPr>
          <w:rFonts w:ascii="Book Antiqua" w:eastAsia="Book Antiqua" w:hAnsi="Book Antiqua" w:cs="Book Antiqua"/>
          <w:iCs/>
          <w:color w:val="000000"/>
        </w:rPr>
        <w:t xml:space="preserve"> Bad</w:t>
      </w:r>
      <w:r w:rsidRPr="00E754A5">
        <w:rPr>
          <w:rFonts w:ascii="Book Antiqua" w:eastAsia="Book Antiqua" w:hAnsi="Book Antiqua" w:cs="Book Antiqua"/>
          <w:color w:val="000000"/>
        </w:rPr>
        <w:t xml:space="preserve"> (D)</w:t>
      </w:r>
      <w:r w:rsidRPr="00E754A5">
        <w:rPr>
          <w:rFonts w:ascii="Book Antiqua" w:hAnsi="Book Antiqua" w:cs="Book Antiqua" w:hint="eastAsia"/>
          <w:color w:val="000000"/>
          <w:lang w:eastAsia="zh-CN"/>
        </w:rPr>
        <w:t xml:space="preserve"> </w:t>
      </w:r>
      <w:r w:rsidRPr="00E754A5">
        <w:rPr>
          <w:rFonts w:ascii="Book Antiqua" w:eastAsia="Book Antiqua" w:hAnsi="Book Antiqua" w:cs="Book Antiqua"/>
          <w:color w:val="000000"/>
        </w:rPr>
        <w:t>were determined and compared.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4-6), </w:t>
      </w:r>
      <w:r w:rsidRPr="00E754A5">
        <w:rPr>
          <w:rFonts w:ascii="Book Antiqua" w:hAnsi="Book Antiqua" w:cs="Book Antiqua" w:hint="eastAsia"/>
          <w:color w:val="000000"/>
          <w:vertAlign w:val="superscript"/>
          <w:lang w:eastAsia="zh-CN"/>
        </w:rPr>
        <w:t>b</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0.01, </w:t>
      </w:r>
      <w:r w:rsidRPr="00E754A5">
        <w:rPr>
          <w:rFonts w:ascii="Book Antiqua" w:hAnsi="Book Antiqua" w:cs="Book Antiqua" w:hint="eastAsia"/>
          <w:color w:val="000000"/>
          <w:vertAlign w:val="superscript"/>
          <w:lang w:eastAsia="zh-CN"/>
        </w:rPr>
        <w:t>c</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e</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0.01, </w:t>
      </w:r>
      <w:r w:rsidRPr="00E754A5">
        <w:rPr>
          <w:rFonts w:ascii="Book Antiqua" w:hAnsi="Book Antiqua" w:cs="Book Antiqua" w:hint="eastAsia"/>
          <w:color w:val="000000"/>
          <w:vertAlign w:val="superscript"/>
          <w:lang w:eastAsia="zh-CN"/>
        </w:rPr>
        <w:t>f</w:t>
      </w:r>
      <w:r w:rsidRPr="00E754A5">
        <w:rPr>
          <w:rFonts w:ascii="Book Antiqua" w:eastAsia="Book Antiqua" w:hAnsi="Book Antiqua" w:cs="Book Antiqua"/>
          <w:i/>
          <w:iCs/>
          <w:color w:val="000000"/>
        </w:rPr>
        <w:t xml:space="preserve">P </w:t>
      </w:r>
      <w:r w:rsidRPr="00E754A5">
        <w:rPr>
          <w:rFonts w:ascii="Book Antiqua" w:eastAsia="Book Antiqua" w:hAnsi="Book Antiqua" w:cs="Book Antiqua"/>
          <w:color w:val="000000"/>
        </w:rPr>
        <w:t xml:space="preserve">&lt; 0.001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C57BL/6J group.</w:t>
      </w:r>
    </w:p>
    <w:p w14:paraId="6A425A5B" w14:textId="48AE5A1D" w:rsidR="00E53200" w:rsidRDefault="00F70B62">
      <w:pPr>
        <w:spacing w:line="360" w:lineRule="auto"/>
        <w:jc w:val="both"/>
        <w:rPr>
          <w:noProof/>
          <w:lang w:eastAsia="zh-CN"/>
        </w:rPr>
      </w:pPr>
      <w:r w:rsidRPr="00E754A5">
        <w:br w:type="page"/>
      </w:r>
    </w:p>
    <w:p w14:paraId="63C3EEA3" w14:textId="2484854A" w:rsidR="00266908" w:rsidRPr="00E754A5" w:rsidRDefault="00266908">
      <w:pPr>
        <w:spacing w:line="360" w:lineRule="auto"/>
        <w:jc w:val="both"/>
      </w:pPr>
      <w:r>
        <w:rPr>
          <w:noProof/>
          <w:lang w:eastAsia="zh-CN"/>
        </w:rPr>
        <w:lastRenderedPageBreak/>
        <w:drawing>
          <wp:inline distT="0" distB="0" distL="0" distR="0" wp14:anchorId="1E15CB30" wp14:editId="035D11E7">
            <wp:extent cx="5767070" cy="4952365"/>
            <wp:effectExtent l="0" t="0" r="508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070" cy="4952365"/>
                    </a:xfrm>
                    <a:prstGeom prst="rect">
                      <a:avLst/>
                    </a:prstGeom>
                    <a:noFill/>
                    <a:ln>
                      <a:noFill/>
                    </a:ln>
                  </pic:spPr>
                </pic:pic>
              </a:graphicData>
            </a:graphic>
          </wp:inline>
        </w:drawing>
      </w:r>
    </w:p>
    <w:p w14:paraId="0E913F9C" w14:textId="77777777" w:rsidR="00E53200" w:rsidRPr="00E754A5" w:rsidRDefault="00F70B62">
      <w:pPr>
        <w:spacing w:line="360" w:lineRule="auto"/>
        <w:jc w:val="both"/>
        <w:rPr>
          <w:rFonts w:ascii="Book Antiqua" w:eastAsia="Book Antiqua" w:hAnsi="Book Antiqua" w:cs="Book Antiqua"/>
          <w:color w:val="000000"/>
        </w:rPr>
      </w:pPr>
      <w:r w:rsidRPr="00E754A5">
        <w:rPr>
          <w:rFonts w:ascii="Book Antiqua" w:eastAsia="Book Antiqua" w:hAnsi="Book Antiqua" w:cs="Book Antiqua"/>
          <w:b/>
          <w:bCs/>
          <w:color w:val="000000"/>
        </w:rPr>
        <w:t xml:space="preserve">Figure 6 Knockout of invariant natural killer T cells may inhibit the synthesis of bile acid and weaken the inhibition of hepatocyte polarity. </w:t>
      </w:r>
      <w:r w:rsidRPr="00E754A5">
        <w:rPr>
          <w:rFonts w:ascii="Book Antiqua" w:hAnsi="Book Antiqua" w:cs="Book Antiqua" w:hint="eastAsia"/>
          <w:bCs/>
          <w:color w:val="000000"/>
          <w:lang w:eastAsia="zh-CN"/>
        </w:rPr>
        <w:t xml:space="preserve">A and B: </w:t>
      </w:r>
      <w:r w:rsidRPr="00E754A5">
        <w:rPr>
          <w:rFonts w:ascii="Book Antiqua" w:eastAsia="Book Antiqua" w:hAnsi="Book Antiqua" w:cs="Book Antiqua"/>
          <w:color w:val="000000"/>
        </w:rPr>
        <w:t xml:space="preserve">Hepatic gene levels of bile acid synthase </w:t>
      </w:r>
      <w:r w:rsidRPr="00E754A5">
        <w:rPr>
          <w:rFonts w:ascii="Book Antiqua" w:eastAsia="Book Antiqua" w:hAnsi="Book Antiqua" w:cs="Book Antiqua"/>
          <w:iCs/>
          <w:color w:val="000000"/>
        </w:rPr>
        <w:t>Cyp7a1</w:t>
      </w:r>
      <w:r w:rsidRPr="00E754A5">
        <w:rPr>
          <w:rFonts w:ascii="Book Antiqua" w:eastAsia="Book Antiqua" w:hAnsi="Book Antiqua" w:cs="Book Antiqua"/>
          <w:color w:val="000000"/>
        </w:rPr>
        <w:t xml:space="preserve"> (A) and </w:t>
      </w:r>
      <w:r w:rsidRPr="00E754A5">
        <w:rPr>
          <w:rFonts w:ascii="Book Antiqua" w:eastAsia="Book Antiqua" w:hAnsi="Book Antiqua" w:cs="Book Antiqua"/>
          <w:iCs/>
          <w:color w:val="000000"/>
        </w:rPr>
        <w:t xml:space="preserve">Cyp8b1 </w:t>
      </w:r>
      <w:r w:rsidRPr="00E754A5">
        <w:rPr>
          <w:rFonts w:ascii="Book Antiqua" w:eastAsia="Book Antiqua" w:hAnsi="Book Antiqua" w:cs="Book Antiqua"/>
          <w:color w:val="000000"/>
        </w:rPr>
        <w:t>(B) were determined and compared</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lang w:eastAsia="zh-CN"/>
        </w:rPr>
        <w:t xml:space="preserve">C and D: </w:t>
      </w:r>
      <w:r w:rsidRPr="00E754A5">
        <w:rPr>
          <w:rFonts w:ascii="Book Antiqua" w:eastAsia="Book Antiqua" w:hAnsi="Book Antiqua" w:cs="Book Antiqua"/>
          <w:color w:val="000000"/>
        </w:rPr>
        <w:t>Changes in the protein expressions of tight junction Zo-1 (C) and</w:t>
      </w:r>
      <w:r w:rsidRPr="00E754A5">
        <w:rPr>
          <w:rFonts w:ascii="Book Antiqua" w:eastAsia="Book Antiqua" w:hAnsi="Book Antiqua" w:cs="Book Antiqua"/>
          <w:i/>
          <w:iCs/>
          <w:color w:val="000000"/>
        </w:rPr>
        <w:t xml:space="preserve"> </w:t>
      </w:r>
      <w:r w:rsidRPr="00E754A5">
        <w:rPr>
          <w:rFonts w:ascii="Book Antiqua" w:eastAsia="Book Antiqua" w:hAnsi="Book Antiqua" w:cs="Book Antiqua"/>
          <w:color w:val="000000"/>
        </w:rPr>
        <w:t>Occludin (D) were determined by immunohistochemistry. All values are the means ± SE (</w:t>
      </w:r>
      <w:r w:rsidRPr="00E754A5">
        <w:rPr>
          <w:rFonts w:ascii="Book Antiqua" w:eastAsia="Book Antiqua" w:hAnsi="Book Antiqua" w:cs="Book Antiqua"/>
          <w:i/>
          <w:iCs/>
          <w:color w:val="000000"/>
        </w:rPr>
        <w:t>n</w:t>
      </w:r>
      <w:r w:rsidRPr="00E754A5">
        <w:rPr>
          <w:rFonts w:ascii="Book Antiqua" w:eastAsia="Book Antiqua" w:hAnsi="Book Antiqua" w:cs="Book Antiqua"/>
          <w:color w:val="000000"/>
        </w:rPr>
        <w:t xml:space="preserve"> = 6), </w:t>
      </w:r>
      <w:r w:rsidRPr="00E754A5">
        <w:rPr>
          <w:rFonts w:ascii="Book Antiqua" w:hAnsi="Book Antiqua" w:cs="Book Antiqua" w:hint="eastAsia"/>
          <w:color w:val="000000"/>
          <w:vertAlign w:val="superscript"/>
          <w:lang w:eastAsia="zh-CN"/>
        </w:rPr>
        <w:t>a</w:t>
      </w:r>
      <w:r w:rsidRPr="00E754A5">
        <w:rPr>
          <w:rFonts w:ascii="Book Antiqua" w:eastAsia="Book Antiqua" w:hAnsi="Book Antiqua" w:cs="Book Antiqua"/>
          <w:i/>
          <w:iCs/>
          <w:color w:val="000000"/>
        </w:rPr>
        <w:t>P</w:t>
      </w:r>
      <w:r w:rsidRPr="00E754A5">
        <w:rPr>
          <w:rFonts w:ascii="Book Antiqua" w:eastAsia="Book Antiqua" w:hAnsi="Book Antiqua" w:cs="Book Antiqua"/>
          <w:color w:val="000000"/>
        </w:rPr>
        <w:t xml:space="preserve"> &lt; 0.05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control</w:t>
      </w:r>
      <w:r w:rsidRPr="00E754A5">
        <w:rPr>
          <w:rFonts w:ascii="Book Antiqua" w:hAnsi="Book Antiqua" w:cs="Book Antiqua" w:hint="eastAsia"/>
          <w:color w:val="000000"/>
          <w:lang w:eastAsia="zh-CN"/>
        </w:rPr>
        <w:t>;</w:t>
      </w:r>
      <w:r w:rsidRPr="00E754A5">
        <w:rPr>
          <w:rFonts w:ascii="Book Antiqua" w:eastAsia="Book Antiqua" w:hAnsi="Book Antiqua" w:cs="Book Antiqua"/>
          <w:color w:val="000000"/>
        </w:rPr>
        <w:t xml:space="preserve"> </w:t>
      </w:r>
      <w:r w:rsidRPr="00E754A5">
        <w:rPr>
          <w:rFonts w:ascii="Book Antiqua" w:hAnsi="Book Antiqua" w:cs="Book Antiqua" w:hint="eastAsia"/>
          <w:color w:val="000000"/>
          <w:vertAlign w:val="superscript"/>
          <w:lang w:eastAsia="zh-CN"/>
        </w:rPr>
        <w:t>d</w:t>
      </w:r>
      <w:r w:rsidRPr="00E754A5">
        <w:rPr>
          <w:rFonts w:ascii="Book Antiqua" w:eastAsia="Book Antiqua" w:hAnsi="Book Antiqua" w:cs="Book Antiqua"/>
          <w:i/>
          <w:iCs/>
          <w:color w:val="000000"/>
        </w:rPr>
        <w:t>P</w:t>
      </w:r>
      <w:r w:rsidRPr="00E754A5">
        <w:rPr>
          <w:rFonts w:ascii="Book Antiqua" w:eastAsia="Book Antiqua" w:hAnsi="Book Antiqua" w:cs="Book Antiqua"/>
          <w:color w:val="000000"/>
        </w:rPr>
        <w:t xml:space="preserve"> &lt; 0.05 </w:t>
      </w:r>
      <w:r w:rsidRPr="00E754A5">
        <w:rPr>
          <w:rFonts w:ascii="Book Antiqua" w:eastAsia="Book Antiqua" w:hAnsi="Book Antiqua" w:cs="Book Antiqua"/>
          <w:i/>
          <w:color w:val="000000"/>
        </w:rPr>
        <w:t>vs</w:t>
      </w:r>
      <w:r w:rsidRPr="00E754A5">
        <w:rPr>
          <w:rFonts w:ascii="Book Antiqua" w:eastAsia="Book Antiqua" w:hAnsi="Book Antiqua" w:cs="Book Antiqua"/>
          <w:color w:val="000000"/>
        </w:rPr>
        <w:t xml:space="preserve"> C57BL/6J group.</w:t>
      </w:r>
    </w:p>
    <w:p w14:paraId="75420262" w14:textId="77777777" w:rsidR="00E53200" w:rsidRPr="00E754A5" w:rsidRDefault="00F70B62">
      <w:pPr>
        <w:widowControl w:val="0"/>
        <w:adjustRightInd w:val="0"/>
        <w:snapToGrid w:val="0"/>
        <w:spacing w:line="360" w:lineRule="auto"/>
        <w:jc w:val="both"/>
        <w:rPr>
          <w:rFonts w:ascii="Book Antiqua" w:eastAsia="等线" w:hAnsi="Book Antiqua"/>
          <w:b/>
          <w:kern w:val="2"/>
          <w:lang w:val="en" w:eastAsia="zh-CN"/>
        </w:rPr>
      </w:pPr>
      <w:r w:rsidRPr="00E754A5">
        <w:rPr>
          <w:rFonts w:ascii="Book Antiqua" w:eastAsia="Book Antiqua" w:hAnsi="Book Antiqua" w:cs="Book Antiqua"/>
          <w:color w:val="000000"/>
        </w:rPr>
        <w:br w:type="page"/>
      </w:r>
      <w:r w:rsidRPr="00E754A5">
        <w:rPr>
          <w:rFonts w:ascii="Book Antiqua" w:eastAsia="宋体" w:hAnsi="Book Antiqua"/>
          <w:b/>
          <w:kern w:val="2"/>
        </w:rPr>
        <w:lastRenderedPageBreak/>
        <w:t>Table</w:t>
      </w:r>
      <w:r w:rsidRPr="00E754A5">
        <w:rPr>
          <w:rFonts w:ascii="Book Antiqua" w:eastAsia="宋体" w:hAnsi="Book Antiqua" w:hint="eastAsia"/>
          <w:b/>
          <w:kern w:val="2"/>
          <w:lang w:eastAsia="zh-CN"/>
        </w:rPr>
        <w:t xml:space="preserve"> 1</w:t>
      </w:r>
      <w:r w:rsidRPr="00E754A5">
        <w:rPr>
          <w:rFonts w:ascii="Book Antiqua" w:eastAsia="等线" w:hAnsi="Book Antiqua"/>
          <w:b/>
          <w:kern w:val="2"/>
          <w:lang w:val="en"/>
        </w:rPr>
        <w:t xml:space="preserve"> </w:t>
      </w:r>
      <w:r w:rsidRPr="00E754A5">
        <w:rPr>
          <w:rFonts w:ascii="Book Antiqua" w:eastAsia="宋体" w:hAnsi="Book Antiqua"/>
          <w:b/>
          <w:kern w:val="2"/>
        </w:rPr>
        <w:t>The primer sequence used for real-time polymerase chain reaction in mice</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4278"/>
        <w:gridCol w:w="4147"/>
      </w:tblGrid>
      <w:tr w:rsidR="00E53200" w:rsidRPr="00E754A5" w14:paraId="4F9D9E75" w14:textId="77777777">
        <w:tc>
          <w:tcPr>
            <w:tcW w:w="573" w:type="pct"/>
            <w:tcBorders>
              <w:bottom w:val="single" w:sz="4" w:space="0" w:color="auto"/>
            </w:tcBorders>
            <w:vAlign w:val="center"/>
          </w:tcPr>
          <w:p w14:paraId="00626B15" w14:textId="77777777" w:rsidR="00E53200" w:rsidRPr="00E754A5" w:rsidRDefault="00F70B62">
            <w:pPr>
              <w:tabs>
                <w:tab w:val="center" w:pos="1312"/>
              </w:tabs>
              <w:adjustRightInd w:val="0"/>
              <w:snapToGrid w:val="0"/>
              <w:spacing w:line="360" w:lineRule="auto"/>
              <w:rPr>
                <w:rFonts w:ascii="Book Antiqua" w:eastAsia="宋体" w:hAnsi="Book Antiqua"/>
                <w:b/>
                <w:lang w:eastAsia="zh-CN"/>
              </w:rPr>
            </w:pPr>
            <w:r w:rsidRPr="00E754A5">
              <w:rPr>
                <w:rFonts w:ascii="Book Antiqua" w:eastAsia="宋体" w:hAnsi="Book Antiqua"/>
                <w:b/>
                <w:lang w:eastAsia="zh-CN"/>
              </w:rPr>
              <w:t>Name</w:t>
            </w:r>
          </w:p>
        </w:tc>
        <w:tc>
          <w:tcPr>
            <w:tcW w:w="2240" w:type="pct"/>
            <w:tcBorders>
              <w:bottom w:val="single" w:sz="4" w:space="0" w:color="auto"/>
            </w:tcBorders>
            <w:vAlign w:val="center"/>
          </w:tcPr>
          <w:p w14:paraId="5AB2B34F" w14:textId="77777777" w:rsidR="00E53200" w:rsidRPr="00E754A5" w:rsidRDefault="00F70B62">
            <w:pPr>
              <w:adjustRightInd w:val="0"/>
              <w:snapToGrid w:val="0"/>
              <w:spacing w:line="360" w:lineRule="auto"/>
              <w:rPr>
                <w:rFonts w:ascii="Book Antiqua" w:eastAsia="宋体" w:hAnsi="Book Antiqua"/>
                <w:b/>
                <w:lang w:eastAsia="zh-CN"/>
              </w:rPr>
            </w:pPr>
            <w:r w:rsidRPr="00E754A5">
              <w:rPr>
                <w:rFonts w:ascii="Book Antiqua" w:eastAsia="宋体" w:hAnsi="Book Antiqua"/>
                <w:b/>
                <w:lang w:eastAsia="zh-CN"/>
              </w:rPr>
              <w:t>Forward (5’ to 3’)</w:t>
            </w:r>
          </w:p>
        </w:tc>
        <w:tc>
          <w:tcPr>
            <w:tcW w:w="2188" w:type="pct"/>
            <w:tcBorders>
              <w:bottom w:val="single" w:sz="4" w:space="0" w:color="auto"/>
            </w:tcBorders>
            <w:vAlign w:val="center"/>
          </w:tcPr>
          <w:p w14:paraId="1495BDC3" w14:textId="77777777" w:rsidR="00E53200" w:rsidRPr="00E754A5" w:rsidRDefault="00F70B62">
            <w:pPr>
              <w:adjustRightInd w:val="0"/>
              <w:snapToGrid w:val="0"/>
              <w:spacing w:line="360" w:lineRule="auto"/>
              <w:rPr>
                <w:rFonts w:ascii="Book Antiqua" w:eastAsia="宋体" w:hAnsi="Book Antiqua"/>
                <w:b/>
                <w:lang w:eastAsia="zh-CN"/>
              </w:rPr>
            </w:pPr>
            <w:r w:rsidRPr="00E754A5">
              <w:rPr>
                <w:rFonts w:ascii="Book Antiqua" w:eastAsia="宋体" w:hAnsi="Book Antiqua"/>
                <w:b/>
                <w:lang w:eastAsia="zh-CN"/>
              </w:rPr>
              <w:t>Reserve (5’ to 3’)</w:t>
            </w:r>
          </w:p>
        </w:tc>
      </w:tr>
      <w:tr w:rsidR="00E53200" w:rsidRPr="00E754A5" w14:paraId="1A584FB8" w14:textId="77777777">
        <w:tc>
          <w:tcPr>
            <w:tcW w:w="573" w:type="pct"/>
            <w:tcBorders>
              <w:top w:val="single" w:sz="4" w:space="0" w:color="auto"/>
            </w:tcBorders>
            <w:vAlign w:val="center"/>
          </w:tcPr>
          <w:p w14:paraId="6CD4C651"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Gapdh</w:t>
            </w:r>
          </w:p>
        </w:tc>
        <w:tc>
          <w:tcPr>
            <w:tcW w:w="2240" w:type="pct"/>
            <w:tcBorders>
              <w:top w:val="single" w:sz="4" w:space="0" w:color="auto"/>
            </w:tcBorders>
            <w:vAlign w:val="center"/>
          </w:tcPr>
          <w:p w14:paraId="39C90D22" w14:textId="77777777" w:rsidR="00E53200" w:rsidRPr="00E754A5" w:rsidRDefault="00F70B62">
            <w:pPr>
              <w:adjustRightInd w:val="0"/>
              <w:snapToGrid w:val="0"/>
              <w:spacing w:line="360" w:lineRule="auto"/>
              <w:rPr>
                <w:rFonts w:ascii="Book Antiqua" w:eastAsia="宋体" w:hAnsi="Book Antiqua"/>
                <w:lang w:eastAsia="zh-CN"/>
              </w:rPr>
            </w:pPr>
            <w:r w:rsidRPr="00E754A5">
              <w:rPr>
                <w:rFonts w:ascii="Book Antiqua" w:eastAsia="宋体" w:hAnsi="Book Antiqua"/>
                <w:color w:val="000000"/>
                <w:shd w:val="clear" w:color="auto" w:fill="FFFFFF"/>
                <w:lang w:eastAsia="zh-CN"/>
              </w:rPr>
              <w:t>CATCACTGCCACCCAGAAGACTG</w:t>
            </w:r>
          </w:p>
        </w:tc>
        <w:tc>
          <w:tcPr>
            <w:tcW w:w="2188" w:type="pct"/>
            <w:tcBorders>
              <w:top w:val="single" w:sz="4" w:space="0" w:color="auto"/>
            </w:tcBorders>
            <w:vAlign w:val="center"/>
          </w:tcPr>
          <w:p w14:paraId="7109A6FE" w14:textId="77777777" w:rsidR="00E53200" w:rsidRPr="00E754A5" w:rsidRDefault="00F70B62">
            <w:pPr>
              <w:adjustRightInd w:val="0"/>
              <w:snapToGrid w:val="0"/>
              <w:spacing w:line="360" w:lineRule="auto"/>
              <w:rPr>
                <w:rFonts w:ascii="Book Antiqua" w:eastAsia="宋体" w:hAnsi="Book Antiqua"/>
                <w:lang w:eastAsia="zh-CN"/>
              </w:rPr>
            </w:pPr>
            <w:r w:rsidRPr="00E754A5">
              <w:rPr>
                <w:rFonts w:ascii="Book Antiqua" w:eastAsia="宋体" w:hAnsi="Book Antiqua"/>
                <w:color w:val="000000"/>
                <w:shd w:val="clear" w:color="auto" w:fill="FFFFFF"/>
                <w:lang w:eastAsia="zh-CN"/>
              </w:rPr>
              <w:t>ATGCCAGTGAGCTTCCCGTTCAG</w:t>
            </w:r>
          </w:p>
        </w:tc>
      </w:tr>
      <w:tr w:rsidR="00E53200" w:rsidRPr="00E754A5" w14:paraId="198F6B04" w14:textId="77777777">
        <w:tc>
          <w:tcPr>
            <w:tcW w:w="573" w:type="pct"/>
            <w:vAlign w:val="center"/>
          </w:tcPr>
          <w:p w14:paraId="48F6F99E"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Tlr2</w:t>
            </w:r>
          </w:p>
        </w:tc>
        <w:tc>
          <w:tcPr>
            <w:tcW w:w="2240" w:type="pct"/>
            <w:vAlign w:val="center"/>
          </w:tcPr>
          <w:p w14:paraId="45D30FF2"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TGCTCCTGCGAACTCCTATC</w:t>
            </w:r>
          </w:p>
        </w:tc>
        <w:tc>
          <w:tcPr>
            <w:tcW w:w="2188" w:type="pct"/>
            <w:vAlign w:val="center"/>
          </w:tcPr>
          <w:p w14:paraId="4D177FD2"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CAGACTCCAGACACCAGTGC</w:t>
            </w:r>
          </w:p>
        </w:tc>
      </w:tr>
      <w:tr w:rsidR="00E53200" w:rsidRPr="00E754A5" w14:paraId="0461A2D4" w14:textId="77777777">
        <w:tc>
          <w:tcPr>
            <w:tcW w:w="573" w:type="pct"/>
            <w:vAlign w:val="center"/>
          </w:tcPr>
          <w:p w14:paraId="2E09361F"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Tlr4</w:t>
            </w:r>
          </w:p>
        </w:tc>
        <w:tc>
          <w:tcPr>
            <w:tcW w:w="2240" w:type="pct"/>
            <w:vAlign w:val="center"/>
          </w:tcPr>
          <w:p w14:paraId="326E098C"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AGCTTCTCCAATTTTTCAGAACTTC</w:t>
            </w:r>
          </w:p>
        </w:tc>
        <w:tc>
          <w:tcPr>
            <w:tcW w:w="2188" w:type="pct"/>
            <w:vAlign w:val="center"/>
          </w:tcPr>
          <w:p w14:paraId="427101DF"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TGAGAGGTGGTGTAAGCCATGC</w:t>
            </w:r>
          </w:p>
        </w:tc>
      </w:tr>
      <w:tr w:rsidR="00E53200" w:rsidRPr="00E754A5" w14:paraId="6A93178B" w14:textId="77777777">
        <w:tc>
          <w:tcPr>
            <w:tcW w:w="573" w:type="pct"/>
            <w:vAlign w:val="center"/>
          </w:tcPr>
          <w:p w14:paraId="30B05830"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Tlr6</w:t>
            </w:r>
          </w:p>
        </w:tc>
        <w:tc>
          <w:tcPr>
            <w:tcW w:w="2240" w:type="pct"/>
            <w:vAlign w:val="center"/>
          </w:tcPr>
          <w:p w14:paraId="7833F39D"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AGCCAAGACAGAAAACCCATC</w:t>
            </w:r>
          </w:p>
        </w:tc>
        <w:tc>
          <w:tcPr>
            <w:tcW w:w="2188" w:type="pct"/>
            <w:vAlign w:val="center"/>
          </w:tcPr>
          <w:p w14:paraId="7C15C77E"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GGGGTCATGCTTCCGACTAT</w:t>
            </w:r>
          </w:p>
        </w:tc>
      </w:tr>
      <w:tr w:rsidR="00E53200" w:rsidRPr="00E754A5" w14:paraId="01705179" w14:textId="77777777">
        <w:tc>
          <w:tcPr>
            <w:tcW w:w="573" w:type="pct"/>
            <w:vAlign w:val="center"/>
          </w:tcPr>
          <w:p w14:paraId="27FB298E"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Tlr7</w:t>
            </w:r>
          </w:p>
        </w:tc>
        <w:tc>
          <w:tcPr>
            <w:tcW w:w="2240" w:type="pct"/>
            <w:vAlign w:val="center"/>
          </w:tcPr>
          <w:p w14:paraId="6976024D"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CACCACCAATCTTACCCTTACC</w:t>
            </w:r>
          </w:p>
        </w:tc>
        <w:tc>
          <w:tcPr>
            <w:tcW w:w="2188" w:type="pct"/>
            <w:vAlign w:val="center"/>
          </w:tcPr>
          <w:p w14:paraId="6F433C61"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CAGATGGTTCAGCCTACGGAA</w:t>
            </w:r>
          </w:p>
        </w:tc>
      </w:tr>
      <w:tr w:rsidR="00E53200" w:rsidRPr="00E754A5" w14:paraId="270E5D04" w14:textId="77777777">
        <w:tc>
          <w:tcPr>
            <w:tcW w:w="573" w:type="pct"/>
            <w:vAlign w:val="center"/>
          </w:tcPr>
          <w:p w14:paraId="4CF248BA"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Tlr9</w:t>
            </w:r>
          </w:p>
        </w:tc>
        <w:tc>
          <w:tcPr>
            <w:tcW w:w="2240" w:type="pct"/>
            <w:vAlign w:val="center"/>
          </w:tcPr>
          <w:p w14:paraId="05DCE323"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GCTGTCAATGGCTCTCAGTTCC</w:t>
            </w:r>
          </w:p>
        </w:tc>
        <w:tc>
          <w:tcPr>
            <w:tcW w:w="2188" w:type="pct"/>
            <w:vAlign w:val="center"/>
          </w:tcPr>
          <w:p w14:paraId="0602734F"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CCTGCAACTGTGGTAGCTCACT</w:t>
            </w:r>
          </w:p>
        </w:tc>
      </w:tr>
      <w:tr w:rsidR="00E53200" w:rsidRPr="00E754A5" w14:paraId="51157B9B" w14:textId="77777777">
        <w:tc>
          <w:tcPr>
            <w:tcW w:w="573" w:type="pct"/>
            <w:vAlign w:val="center"/>
          </w:tcPr>
          <w:p w14:paraId="6D132895"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Cxcr6</w:t>
            </w:r>
          </w:p>
        </w:tc>
        <w:tc>
          <w:tcPr>
            <w:tcW w:w="2240" w:type="pct"/>
            <w:vAlign w:val="center"/>
          </w:tcPr>
          <w:p w14:paraId="1308DCEF"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GGTTCTTCCTGCCATTGCTCAC</w:t>
            </w:r>
          </w:p>
        </w:tc>
        <w:tc>
          <w:tcPr>
            <w:tcW w:w="2188" w:type="pct"/>
            <w:vAlign w:val="center"/>
          </w:tcPr>
          <w:p w14:paraId="56107997"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GCAGGAACACAGCCACTACAAG</w:t>
            </w:r>
          </w:p>
        </w:tc>
      </w:tr>
      <w:tr w:rsidR="00E53200" w:rsidRPr="00E754A5" w14:paraId="0FEAE0B1" w14:textId="77777777">
        <w:tc>
          <w:tcPr>
            <w:tcW w:w="573" w:type="pct"/>
            <w:vAlign w:val="center"/>
          </w:tcPr>
          <w:p w14:paraId="4033DCC6"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Cxcl16</w:t>
            </w:r>
          </w:p>
        </w:tc>
        <w:tc>
          <w:tcPr>
            <w:tcW w:w="2240" w:type="pct"/>
            <w:vAlign w:val="center"/>
          </w:tcPr>
          <w:p w14:paraId="20A96E40"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GCAGGGTACTTTGGATCACATCC</w:t>
            </w:r>
          </w:p>
        </w:tc>
        <w:tc>
          <w:tcPr>
            <w:tcW w:w="2188" w:type="pct"/>
            <w:vAlign w:val="center"/>
          </w:tcPr>
          <w:p w14:paraId="1EF74A52"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AGTTCACGGACCCACTGGTCTT</w:t>
            </w:r>
          </w:p>
        </w:tc>
      </w:tr>
      <w:tr w:rsidR="00E53200" w:rsidRPr="00E754A5" w14:paraId="0758ED3A" w14:textId="77777777">
        <w:tc>
          <w:tcPr>
            <w:tcW w:w="573" w:type="pct"/>
            <w:vAlign w:val="center"/>
          </w:tcPr>
          <w:p w14:paraId="40BAA2EB"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Ras</w:t>
            </w:r>
          </w:p>
        </w:tc>
        <w:tc>
          <w:tcPr>
            <w:tcW w:w="2240" w:type="pct"/>
            <w:vAlign w:val="center"/>
          </w:tcPr>
          <w:p w14:paraId="5308E930"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TCGCACTGTTGAGTCTCGGCAG</w:t>
            </w:r>
          </w:p>
        </w:tc>
        <w:tc>
          <w:tcPr>
            <w:tcW w:w="2188" w:type="pct"/>
            <w:vAlign w:val="center"/>
          </w:tcPr>
          <w:p w14:paraId="17E6ABC9"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TATGCTGCCGAATCTCACGGAC</w:t>
            </w:r>
          </w:p>
        </w:tc>
      </w:tr>
      <w:tr w:rsidR="00E53200" w:rsidRPr="00E754A5" w14:paraId="46AB9C59" w14:textId="77777777">
        <w:tc>
          <w:tcPr>
            <w:tcW w:w="573" w:type="pct"/>
            <w:vAlign w:val="center"/>
          </w:tcPr>
          <w:p w14:paraId="79918E2D"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Raf</w:t>
            </w:r>
          </w:p>
        </w:tc>
        <w:tc>
          <w:tcPr>
            <w:tcW w:w="2240" w:type="pct"/>
            <w:vAlign w:val="center"/>
          </w:tcPr>
          <w:p w14:paraId="600858D2"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CGCCAAGTCAATCATCCACAGAG</w:t>
            </w:r>
          </w:p>
        </w:tc>
        <w:tc>
          <w:tcPr>
            <w:tcW w:w="2188" w:type="pct"/>
            <w:vAlign w:val="center"/>
          </w:tcPr>
          <w:p w14:paraId="3B444F86"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CACCGAGATTTCACTGTGGCTAG</w:t>
            </w:r>
          </w:p>
        </w:tc>
      </w:tr>
      <w:tr w:rsidR="00E53200" w:rsidRPr="00E754A5" w14:paraId="0235A2E6" w14:textId="77777777">
        <w:tc>
          <w:tcPr>
            <w:tcW w:w="573" w:type="pct"/>
            <w:vAlign w:val="center"/>
          </w:tcPr>
          <w:p w14:paraId="4099E5E9"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Pi3k</w:t>
            </w:r>
          </w:p>
        </w:tc>
        <w:tc>
          <w:tcPr>
            <w:tcW w:w="2240" w:type="pct"/>
            <w:vAlign w:val="center"/>
          </w:tcPr>
          <w:p w14:paraId="6B1604D7"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CACCTGAACAGACAAGTAGAGGC</w:t>
            </w:r>
          </w:p>
        </w:tc>
        <w:tc>
          <w:tcPr>
            <w:tcW w:w="2188" w:type="pct"/>
            <w:vAlign w:val="center"/>
          </w:tcPr>
          <w:p w14:paraId="46C4AD35"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GCAAAGCATCCATGAAGTCTGGC</w:t>
            </w:r>
          </w:p>
        </w:tc>
      </w:tr>
      <w:tr w:rsidR="00E53200" w:rsidRPr="00E754A5" w14:paraId="6B89F0AF" w14:textId="77777777">
        <w:tc>
          <w:tcPr>
            <w:tcW w:w="573" w:type="pct"/>
            <w:vAlign w:val="center"/>
          </w:tcPr>
          <w:p w14:paraId="5EB70075" w14:textId="77777777" w:rsidR="00E53200" w:rsidRPr="00E754A5" w:rsidRDefault="00F70B62">
            <w:pPr>
              <w:adjustRightInd w:val="0"/>
              <w:snapToGrid w:val="0"/>
              <w:spacing w:line="360" w:lineRule="auto"/>
              <w:rPr>
                <w:rFonts w:ascii="Book Antiqua" w:eastAsia="宋体" w:hAnsi="Book Antiqua"/>
                <w:iCs/>
                <w:lang w:eastAsia="zh-CN"/>
              </w:rPr>
            </w:pPr>
            <w:r w:rsidRPr="00E754A5">
              <w:rPr>
                <w:rFonts w:ascii="Book Antiqua" w:eastAsia="宋体" w:hAnsi="Book Antiqua"/>
                <w:iCs/>
                <w:lang w:eastAsia="zh-CN"/>
              </w:rPr>
              <w:t>Bad</w:t>
            </w:r>
          </w:p>
        </w:tc>
        <w:tc>
          <w:tcPr>
            <w:tcW w:w="2240" w:type="pct"/>
            <w:vAlign w:val="center"/>
          </w:tcPr>
          <w:p w14:paraId="2D997D79"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GGGAGCAACATTCATCAGCAGG</w:t>
            </w:r>
          </w:p>
        </w:tc>
        <w:tc>
          <w:tcPr>
            <w:tcW w:w="2188" w:type="pct"/>
            <w:vAlign w:val="center"/>
          </w:tcPr>
          <w:p w14:paraId="746F43D3" w14:textId="77777777" w:rsidR="00E53200" w:rsidRPr="00E754A5" w:rsidRDefault="00F70B62">
            <w:pPr>
              <w:adjustRightInd w:val="0"/>
              <w:snapToGrid w:val="0"/>
              <w:spacing w:line="360" w:lineRule="auto"/>
              <w:rPr>
                <w:rFonts w:ascii="Book Antiqua" w:eastAsia="宋体" w:hAnsi="Book Antiqua"/>
                <w:color w:val="000000"/>
                <w:shd w:val="clear" w:color="auto" w:fill="FFFFFF"/>
                <w:lang w:eastAsia="zh-CN"/>
              </w:rPr>
            </w:pPr>
            <w:r w:rsidRPr="00E754A5">
              <w:rPr>
                <w:rFonts w:ascii="Book Antiqua" w:eastAsia="宋体" w:hAnsi="Book Antiqua"/>
                <w:color w:val="000000"/>
                <w:shd w:val="clear" w:color="auto" w:fill="FFFFFF"/>
                <w:lang w:eastAsia="zh-CN"/>
              </w:rPr>
              <w:t>CGTCCTCGAAAAGGGCTAAGCT</w:t>
            </w:r>
          </w:p>
        </w:tc>
      </w:tr>
    </w:tbl>
    <w:p w14:paraId="25E34D4E" w14:textId="749CDD33" w:rsidR="00E754A5" w:rsidRPr="00E754A5" w:rsidRDefault="00E754A5">
      <w:pPr>
        <w:adjustRightInd w:val="0"/>
        <w:snapToGrid w:val="0"/>
        <w:spacing w:line="360" w:lineRule="auto"/>
        <w:jc w:val="both"/>
        <w:rPr>
          <w:rFonts w:ascii="Book Antiqua" w:hAnsi="Book Antiqua"/>
          <w:lang w:eastAsia="zh-CN"/>
        </w:rPr>
      </w:pPr>
    </w:p>
    <w:p w14:paraId="40DEF227" w14:textId="77777777" w:rsidR="00E754A5" w:rsidRPr="00E754A5" w:rsidRDefault="00E754A5">
      <w:pPr>
        <w:rPr>
          <w:rFonts w:ascii="Book Antiqua" w:hAnsi="Book Antiqua"/>
          <w:lang w:eastAsia="zh-CN"/>
        </w:rPr>
      </w:pPr>
      <w:r w:rsidRPr="00E754A5">
        <w:rPr>
          <w:rFonts w:ascii="Book Antiqua" w:hAnsi="Book Antiqua"/>
          <w:lang w:eastAsia="zh-CN"/>
        </w:rPr>
        <w:br w:type="page"/>
      </w:r>
    </w:p>
    <w:p w14:paraId="445D16B9" w14:textId="77777777" w:rsidR="00E754A5" w:rsidRPr="00E754A5" w:rsidRDefault="00E754A5" w:rsidP="00E754A5">
      <w:pPr>
        <w:ind w:leftChars="100" w:left="240"/>
        <w:jc w:val="center"/>
        <w:rPr>
          <w:rFonts w:ascii="Book Antiqua" w:hAnsi="Book Antiqua"/>
          <w:lang w:val="pt-BR" w:eastAsia="zh-CN"/>
        </w:rPr>
      </w:pPr>
      <w:bookmarkStart w:id="67" w:name="_Hlk88512952"/>
    </w:p>
    <w:p w14:paraId="423D916C" w14:textId="77777777" w:rsidR="00E754A5" w:rsidRPr="00E754A5" w:rsidRDefault="00E754A5" w:rsidP="00E754A5">
      <w:pPr>
        <w:ind w:leftChars="100" w:left="240"/>
        <w:jc w:val="center"/>
        <w:rPr>
          <w:rFonts w:ascii="Book Antiqua" w:hAnsi="Book Antiqua"/>
          <w:lang w:val="pt-BR" w:eastAsia="zh-CN"/>
        </w:rPr>
      </w:pPr>
    </w:p>
    <w:p w14:paraId="4F00AA62" w14:textId="77777777" w:rsidR="00E754A5" w:rsidRPr="00E754A5" w:rsidRDefault="00E754A5" w:rsidP="00E754A5">
      <w:pPr>
        <w:ind w:leftChars="100" w:left="240"/>
        <w:jc w:val="center"/>
        <w:rPr>
          <w:rFonts w:ascii="Book Antiqua" w:hAnsi="Book Antiqua"/>
          <w:lang w:val="pt-BR" w:eastAsia="zh-CN"/>
        </w:rPr>
      </w:pPr>
    </w:p>
    <w:p w14:paraId="67955CBF" w14:textId="77777777" w:rsidR="00E754A5" w:rsidRPr="00E754A5" w:rsidRDefault="00E754A5" w:rsidP="00E754A5">
      <w:pPr>
        <w:ind w:leftChars="100" w:left="240"/>
        <w:jc w:val="center"/>
        <w:rPr>
          <w:rFonts w:ascii="Book Antiqua" w:hAnsi="Book Antiqua"/>
          <w:lang w:val="pt-BR" w:eastAsia="zh-CN"/>
        </w:rPr>
      </w:pPr>
    </w:p>
    <w:p w14:paraId="681401D9" w14:textId="77777777" w:rsidR="00E754A5" w:rsidRPr="00E754A5" w:rsidRDefault="00E754A5" w:rsidP="00E754A5">
      <w:pPr>
        <w:ind w:leftChars="100" w:left="240"/>
        <w:jc w:val="center"/>
        <w:rPr>
          <w:rFonts w:ascii="Book Antiqua" w:hAnsi="Book Antiqua"/>
          <w:lang w:eastAsia="zh-CN"/>
        </w:rPr>
      </w:pPr>
      <w:r w:rsidRPr="00E754A5">
        <w:rPr>
          <w:rFonts w:ascii="Book Antiqua" w:hAnsi="Book Antiqua"/>
          <w:noProof/>
          <w:lang w:eastAsia="zh-CN"/>
        </w:rPr>
        <w:drawing>
          <wp:inline distT="0" distB="0" distL="0" distR="0" wp14:anchorId="66678504" wp14:editId="2C66C6B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97C256" w14:textId="77777777" w:rsidR="00E754A5" w:rsidRPr="00E754A5" w:rsidRDefault="00E754A5" w:rsidP="00E754A5">
      <w:pPr>
        <w:ind w:leftChars="100" w:left="240"/>
        <w:jc w:val="center"/>
        <w:rPr>
          <w:rFonts w:ascii="Book Antiqua" w:hAnsi="Book Antiqua"/>
          <w:lang w:eastAsia="zh-CN"/>
        </w:rPr>
      </w:pPr>
    </w:p>
    <w:p w14:paraId="73075BA5" w14:textId="77777777" w:rsidR="00E754A5" w:rsidRPr="00E754A5" w:rsidRDefault="00E754A5" w:rsidP="00E754A5">
      <w:pPr>
        <w:autoSpaceDE w:val="0"/>
        <w:autoSpaceDN w:val="0"/>
        <w:adjustRightInd w:val="0"/>
        <w:ind w:leftChars="100" w:left="240"/>
        <w:jc w:val="center"/>
        <w:rPr>
          <w:rFonts w:ascii="Book Antiqua" w:eastAsia="Garamond-Bold" w:hAnsi="Book Antiqua" w:cs="Garamond-Bold"/>
          <w:b/>
          <w:bCs/>
          <w:color w:val="000000"/>
          <w:sz w:val="28"/>
          <w:szCs w:val="28"/>
        </w:rPr>
      </w:pPr>
      <w:r w:rsidRPr="00E754A5">
        <w:rPr>
          <w:rFonts w:ascii="Book Antiqua" w:eastAsia="TimesNewRomanPSMT" w:hAnsi="Book Antiqua" w:cs="TimesNewRomanPSMT"/>
          <w:color w:val="000000"/>
          <w:sz w:val="28"/>
          <w:szCs w:val="28"/>
        </w:rPr>
        <w:t xml:space="preserve">Published by </w:t>
      </w:r>
      <w:r w:rsidRPr="00E754A5">
        <w:rPr>
          <w:rFonts w:ascii="Book Antiqua" w:eastAsia="Garamond-Bold" w:hAnsi="Book Antiqua" w:cs="Garamond-Bold"/>
          <w:b/>
          <w:bCs/>
          <w:color w:val="000000"/>
          <w:sz w:val="28"/>
          <w:szCs w:val="28"/>
        </w:rPr>
        <w:t>Baishideng Publishing Group Inc</w:t>
      </w:r>
    </w:p>
    <w:p w14:paraId="7C53B330" w14:textId="77777777" w:rsidR="00E754A5" w:rsidRPr="00E754A5" w:rsidRDefault="00E754A5" w:rsidP="00E754A5">
      <w:pPr>
        <w:autoSpaceDE w:val="0"/>
        <w:autoSpaceDN w:val="0"/>
        <w:adjustRightInd w:val="0"/>
        <w:ind w:leftChars="100" w:left="240"/>
        <w:jc w:val="center"/>
        <w:rPr>
          <w:rFonts w:ascii="Book Antiqua" w:eastAsia="TimesNewRomanPSMT" w:hAnsi="Book Antiqua" w:cs="Garamond"/>
          <w:color w:val="000000"/>
          <w:sz w:val="28"/>
          <w:szCs w:val="28"/>
        </w:rPr>
      </w:pPr>
      <w:r w:rsidRPr="00E754A5">
        <w:rPr>
          <w:rFonts w:ascii="Book Antiqua" w:eastAsia="TimesNewRomanPSMT" w:hAnsi="Book Antiqua" w:cs="Garamond"/>
          <w:color w:val="000000"/>
          <w:sz w:val="28"/>
          <w:szCs w:val="28"/>
        </w:rPr>
        <w:t>7041 Koll Center Parkway, Suite 160, Pleasanton, CA 94566, USA</w:t>
      </w:r>
    </w:p>
    <w:p w14:paraId="320E2828" w14:textId="77777777" w:rsidR="00E754A5" w:rsidRPr="00E754A5" w:rsidRDefault="00E754A5" w:rsidP="00E754A5">
      <w:pPr>
        <w:autoSpaceDE w:val="0"/>
        <w:autoSpaceDN w:val="0"/>
        <w:adjustRightInd w:val="0"/>
        <w:ind w:leftChars="100" w:left="240"/>
        <w:jc w:val="center"/>
        <w:rPr>
          <w:rFonts w:ascii="Book Antiqua" w:eastAsia="TimesNewRomanPSMT" w:hAnsi="Book Antiqua" w:cs="Garamond"/>
          <w:color w:val="000000"/>
          <w:sz w:val="28"/>
          <w:szCs w:val="28"/>
        </w:rPr>
      </w:pPr>
      <w:r w:rsidRPr="00E754A5">
        <w:rPr>
          <w:rFonts w:ascii="Book Antiqua" w:eastAsia="Garamond-Bold" w:hAnsi="Book Antiqua" w:cs="Garamond-Bold"/>
          <w:b/>
          <w:bCs/>
          <w:color w:val="000000"/>
          <w:sz w:val="28"/>
          <w:szCs w:val="28"/>
        </w:rPr>
        <w:t xml:space="preserve">Telephone: </w:t>
      </w:r>
      <w:r w:rsidRPr="00E754A5">
        <w:rPr>
          <w:rFonts w:ascii="Book Antiqua" w:eastAsia="TimesNewRomanPSMT" w:hAnsi="Book Antiqua" w:cs="Garamond"/>
          <w:color w:val="000000"/>
          <w:sz w:val="28"/>
          <w:szCs w:val="28"/>
        </w:rPr>
        <w:t>+1-925-3991568</w:t>
      </w:r>
    </w:p>
    <w:p w14:paraId="642759C6" w14:textId="77777777" w:rsidR="00E754A5" w:rsidRPr="00E754A5" w:rsidRDefault="00E754A5" w:rsidP="00E754A5">
      <w:pPr>
        <w:autoSpaceDE w:val="0"/>
        <w:autoSpaceDN w:val="0"/>
        <w:adjustRightInd w:val="0"/>
        <w:ind w:leftChars="100" w:left="240"/>
        <w:jc w:val="center"/>
        <w:rPr>
          <w:rFonts w:ascii="Book Antiqua" w:eastAsia="TimesNewRomanPSMT" w:hAnsi="Book Antiqua" w:cs="Garamond"/>
          <w:color w:val="D56400"/>
          <w:sz w:val="28"/>
          <w:szCs w:val="28"/>
        </w:rPr>
      </w:pPr>
      <w:r w:rsidRPr="00E754A5">
        <w:rPr>
          <w:rFonts w:ascii="Book Antiqua" w:eastAsia="Garamond-Bold" w:hAnsi="Book Antiqua" w:cs="Garamond-Bold"/>
          <w:b/>
          <w:bCs/>
          <w:color w:val="000000"/>
          <w:sz w:val="28"/>
          <w:szCs w:val="28"/>
        </w:rPr>
        <w:t xml:space="preserve">E-mail: </w:t>
      </w:r>
      <w:r w:rsidRPr="00E754A5">
        <w:rPr>
          <w:rFonts w:ascii="Book Antiqua" w:eastAsia="TimesNewRomanPSMT" w:hAnsi="Book Antiqua" w:cs="Garamond"/>
          <w:color w:val="D56400"/>
          <w:sz w:val="28"/>
          <w:szCs w:val="28"/>
        </w:rPr>
        <w:t>bpgoffice@wjgnet.com</w:t>
      </w:r>
    </w:p>
    <w:p w14:paraId="54ABF990" w14:textId="77777777" w:rsidR="00E754A5" w:rsidRPr="00E754A5" w:rsidRDefault="00E754A5" w:rsidP="00E754A5">
      <w:pPr>
        <w:autoSpaceDE w:val="0"/>
        <w:autoSpaceDN w:val="0"/>
        <w:adjustRightInd w:val="0"/>
        <w:ind w:leftChars="100" w:left="240"/>
        <w:jc w:val="center"/>
        <w:rPr>
          <w:rFonts w:ascii="Book Antiqua" w:eastAsia="TimesNewRomanPSMT" w:hAnsi="Book Antiqua" w:cs="Garamond"/>
          <w:color w:val="D56400"/>
          <w:sz w:val="28"/>
          <w:szCs w:val="28"/>
        </w:rPr>
      </w:pPr>
      <w:r w:rsidRPr="00E754A5">
        <w:rPr>
          <w:rFonts w:ascii="Book Antiqua" w:eastAsia="Garamond-Bold" w:hAnsi="Book Antiqua" w:cs="Garamond-Bold"/>
          <w:b/>
          <w:bCs/>
          <w:color w:val="000000"/>
          <w:sz w:val="28"/>
          <w:szCs w:val="28"/>
        </w:rPr>
        <w:t xml:space="preserve">Help Desk: </w:t>
      </w:r>
      <w:r w:rsidRPr="00E754A5">
        <w:rPr>
          <w:rFonts w:ascii="Book Antiqua" w:eastAsia="TimesNewRomanPSMT" w:hAnsi="Book Antiqua" w:cs="Garamond"/>
          <w:color w:val="D56400"/>
          <w:sz w:val="28"/>
          <w:szCs w:val="28"/>
        </w:rPr>
        <w:t>https://www.f6publishing.com/helpdesk</w:t>
      </w:r>
    </w:p>
    <w:p w14:paraId="6491F415" w14:textId="77777777" w:rsidR="00E754A5" w:rsidRPr="00E754A5" w:rsidRDefault="00E754A5" w:rsidP="00E754A5">
      <w:pPr>
        <w:ind w:leftChars="100" w:left="240"/>
        <w:jc w:val="center"/>
        <w:rPr>
          <w:rFonts w:ascii="Book Antiqua" w:hAnsi="Book Antiqua"/>
          <w:lang w:eastAsia="zh-CN"/>
        </w:rPr>
      </w:pPr>
      <w:r w:rsidRPr="00E754A5">
        <w:rPr>
          <w:rFonts w:ascii="Book Antiqua" w:eastAsia="TimesNewRomanPSMT" w:hAnsi="Book Antiqua" w:cs="Garamond"/>
          <w:color w:val="D56400"/>
          <w:sz w:val="28"/>
          <w:szCs w:val="28"/>
        </w:rPr>
        <w:t>https://www.wjgnet.com</w:t>
      </w:r>
    </w:p>
    <w:p w14:paraId="4E4DC39D" w14:textId="77777777" w:rsidR="00E754A5" w:rsidRPr="00E754A5" w:rsidRDefault="00E754A5" w:rsidP="00E754A5">
      <w:pPr>
        <w:ind w:leftChars="100" w:left="240"/>
        <w:jc w:val="center"/>
        <w:rPr>
          <w:rFonts w:ascii="Book Antiqua" w:hAnsi="Book Antiqua"/>
          <w:lang w:eastAsia="zh-CN"/>
        </w:rPr>
      </w:pPr>
    </w:p>
    <w:p w14:paraId="18562CCA" w14:textId="77777777" w:rsidR="00E754A5" w:rsidRPr="00E754A5" w:rsidRDefault="00E754A5" w:rsidP="00E754A5">
      <w:pPr>
        <w:ind w:leftChars="100" w:left="240"/>
        <w:jc w:val="center"/>
        <w:rPr>
          <w:rFonts w:ascii="Book Antiqua" w:hAnsi="Book Antiqua"/>
          <w:lang w:eastAsia="zh-CN"/>
        </w:rPr>
      </w:pPr>
    </w:p>
    <w:p w14:paraId="3D00F130" w14:textId="77777777" w:rsidR="00E754A5" w:rsidRPr="00E754A5" w:rsidRDefault="00E754A5" w:rsidP="00E754A5">
      <w:pPr>
        <w:ind w:leftChars="100" w:left="240"/>
        <w:jc w:val="center"/>
        <w:rPr>
          <w:rFonts w:ascii="Book Antiqua" w:hAnsi="Book Antiqua"/>
          <w:lang w:eastAsia="zh-CN"/>
        </w:rPr>
      </w:pPr>
    </w:p>
    <w:p w14:paraId="683193EE" w14:textId="77777777" w:rsidR="00E754A5" w:rsidRPr="00E754A5" w:rsidRDefault="00E754A5" w:rsidP="00E754A5">
      <w:pPr>
        <w:ind w:leftChars="100" w:left="240"/>
        <w:jc w:val="center"/>
        <w:rPr>
          <w:rFonts w:ascii="Book Antiqua" w:hAnsi="Book Antiqua"/>
          <w:lang w:eastAsia="zh-CN"/>
        </w:rPr>
      </w:pPr>
      <w:r w:rsidRPr="00E754A5">
        <w:rPr>
          <w:rFonts w:ascii="Book Antiqua" w:hAnsi="Book Antiqua"/>
          <w:noProof/>
          <w:lang w:eastAsia="zh-CN"/>
        </w:rPr>
        <w:drawing>
          <wp:inline distT="0" distB="0" distL="0" distR="0" wp14:anchorId="7DE13EC7" wp14:editId="4532474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04F4F7" w14:textId="77777777" w:rsidR="00E754A5" w:rsidRPr="00E754A5" w:rsidRDefault="00E754A5" w:rsidP="00E754A5">
      <w:pPr>
        <w:ind w:leftChars="100" w:left="240"/>
        <w:jc w:val="center"/>
        <w:rPr>
          <w:rFonts w:ascii="Book Antiqua" w:hAnsi="Book Antiqua"/>
          <w:lang w:eastAsia="zh-CN"/>
        </w:rPr>
      </w:pPr>
    </w:p>
    <w:p w14:paraId="463689F6" w14:textId="77777777" w:rsidR="00E754A5" w:rsidRPr="00E754A5" w:rsidRDefault="00E754A5" w:rsidP="00E754A5">
      <w:pPr>
        <w:ind w:leftChars="100" w:left="240"/>
        <w:jc w:val="center"/>
        <w:rPr>
          <w:rFonts w:ascii="Book Antiqua" w:hAnsi="Book Antiqua"/>
          <w:lang w:eastAsia="zh-CN"/>
        </w:rPr>
      </w:pPr>
    </w:p>
    <w:p w14:paraId="3557813A" w14:textId="77777777" w:rsidR="00E754A5" w:rsidRPr="00E754A5" w:rsidRDefault="00E754A5" w:rsidP="00E754A5">
      <w:pPr>
        <w:ind w:leftChars="100" w:left="240"/>
        <w:jc w:val="center"/>
        <w:rPr>
          <w:rFonts w:ascii="Book Antiqua" w:hAnsi="Book Antiqua"/>
          <w:lang w:eastAsia="zh-CN"/>
        </w:rPr>
      </w:pPr>
    </w:p>
    <w:p w14:paraId="79056642" w14:textId="77777777" w:rsidR="00E754A5" w:rsidRPr="00E754A5" w:rsidRDefault="00E754A5" w:rsidP="00E754A5">
      <w:pPr>
        <w:ind w:leftChars="100" w:left="240"/>
        <w:jc w:val="center"/>
        <w:rPr>
          <w:rFonts w:ascii="Book Antiqua" w:hAnsi="Book Antiqua"/>
          <w:lang w:eastAsia="zh-CN"/>
        </w:rPr>
      </w:pPr>
    </w:p>
    <w:p w14:paraId="5F30EA29" w14:textId="77777777" w:rsidR="00E754A5" w:rsidRPr="00E754A5" w:rsidRDefault="00E754A5" w:rsidP="00E754A5">
      <w:pPr>
        <w:ind w:leftChars="100" w:left="240"/>
        <w:jc w:val="center"/>
        <w:rPr>
          <w:rFonts w:ascii="Book Antiqua" w:hAnsi="Book Antiqua"/>
          <w:lang w:eastAsia="zh-CN"/>
        </w:rPr>
      </w:pPr>
    </w:p>
    <w:p w14:paraId="72940E38" w14:textId="77777777" w:rsidR="00E754A5" w:rsidRPr="00E754A5" w:rsidRDefault="00E754A5" w:rsidP="00E754A5">
      <w:pPr>
        <w:ind w:leftChars="100" w:left="240"/>
        <w:jc w:val="center"/>
        <w:rPr>
          <w:rFonts w:ascii="Book Antiqua" w:hAnsi="Book Antiqua"/>
          <w:lang w:eastAsia="zh-CN"/>
        </w:rPr>
      </w:pPr>
    </w:p>
    <w:p w14:paraId="34F266B1" w14:textId="77777777" w:rsidR="00E754A5" w:rsidRPr="00E754A5" w:rsidRDefault="00E754A5" w:rsidP="00E754A5">
      <w:pPr>
        <w:ind w:leftChars="100" w:left="240"/>
        <w:jc w:val="center"/>
        <w:rPr>
          <w:rFonts w:ascii="Book Antiqua" w:hAnsi="Book Antiqua"/>
          <w:lang w:eastAsia="zh-CN"/>
        </w:rPr>
      </w:pPr>
    </w:p>
    <w:p w14:paraId="525A60F4" w14:textId="77777777" w:rsidR="00E754A5" w:rsidRPr="00E754A5" w:rsidRDefault="00E754A5" w:rsidP="00E754A5">
      <w:pPr>
        <w:ind w:leftChars="100" w:left="240"/>
        <w:jc w:val="center"/>
        <w:rPr>
          <w:rFonts w:ascii="Book Antiqua" w:hAnsi="Book Antiqua"/>
          <w:lang w:eastAsia="zh-CN"/>
        </w:rPr>
      </w:pPr>
    </w:p>
    <w:p w14:paraId="70464382" w14:textId="77777777" w:rsidR="00E754A5" w:rsidRPr="00E754A5" w:rsidRDefault="00E754A5" w:rsidP="00E754A5">
      <w:pPr>
        <w:ind w:leftChars="100" w:left="240"/>
        <w:jc w:val="center"/>
        <w:rPr>
          <w:rFonts w:ascii="Book Antiqua" w:hAnsi="Book Antiqua"/>
          <w:lang w:eastAsia="zh-CN"/>
        </w:rPr>
      </w:pPr>
    </w:p>
    <w:p w14:paraId="5298CE62" w14:textId="77777777" w:rsidR="00E754A5" w:rsidRPr="00E754A5" w:rsidRDefault="00E754A5" w:rsidP="00E754A5">
      <w:pPr>
        <w:ind w:leftChars="100" w:left="240"/>
        <w:jc w:val="right"/>
        <w:rPr>
          <w:rFonts w:ascii="Book Antiqua" w:hAnsi="Book Antiqua"/>
          <w:color w:val="000000" w:themeColor="text1"/>
          <w:lang w:eastAsia="zh-CN"/>
        </w:rPr>
      </w:pPr>
    </w:p>
    <w:p w14:paraId="4B325EB1" w14:textId="77777777" w:rsidR="00E754A5" w:rsidRPr="00763D22" w:rsidRDefault="00E754A5" w:rsidP="00E754A5">
      <w:pPr>
        <w:ind w:leftChars="100" w:left="240"/>
        <w:jc w:val="center"/>
        <w:rPr>
          <w:rFonts w:ascii="Book Antiqua" w:hAnsi="Book Antiqua"/>
          <w:color w:val="000000" w:themeColor="text1"/>
          <w:lang w:eastAsia="zh-CN"/>
        </w:rPr>
      </w:pPr>
      <w:r w:rsidRPr="00E754A5">
        <w:rPr>
          <w:rFonts w:ascii="Book Antiqua" w:eastAsia="BookAntiqua-Bold" w:hAnsi="Book Antiqua" w:cs="BookAntiqua-Bold"/>
          <w:b/>
          <w:bCs/>
          <w:color w:val="000000" w:themeColor="text1"/>
        </w:rPr>
        <w:t>© 2022 Baishideng Publishing Group Inc. All rights reserved.</w:t>
      </w:r>
      <w:r w:rsidRPr="00E754A5">
        <w:rPr>
          <w:rFonts w:ascii="Book Antiqua" w:hAnsi="Book Antiqua"/>
          <w:color w:val="000000" w:themeColor="text1"/>
          <w:lang w:eastAsia="zh-CN"/>
        </w:rPr>
        <w:fldChar w:fldCharType="begin"/>
      </w:r>
      <w:r w:rsidRPr="00E754A5">
        <w:rPr>
          <w:rFonts w:ascii="Book Antiqua" w:hAnsi="Book Antiqua"/>
          <w:color w:val="000000" w:themeColor="text1"/>
          <w:lang w:eastAsia="zh-CN"/>
        </w:rPr>
        <w:instrText xml:space="preserve"> ADDIN EN.REFLIST </w:instrText>
      </w:r>
      <w:r w:rsidRPr="00E754A5">
        <w:rPr>
          <w:rFonts w:ascii="Book Antiqua" w:hAnsi="Book Antiqua"/>
          <w:color w:val="000000" w:themeColor="text1"/>
          <w:lang w:eastAsia="zh-CN"/>
        </w:rPr>
        <w:fldChar w:fldCharType="end"/>
      </w:r>
      <w:bookmarkEnd w:id="67"/>
    </w:p>
    <w:p w14:paraId="38FD9DD6" w14:textId="77777777" w:rsidR="00E53200" w:rsidRPr="00E754A5" w:rsidRDefault="00E53200">
      <w:pPr>
        <w:adjustRightInd w:val="0"/>
        <w:snapToGrid w:val="0"/>
        <w:spacing w:line="360" w:lineRule="auto"/>
        <w:jc w:val="both"/>
        <w:rPr>
          <w:rFonts w:ascii="Book Antiqua" w:hAnsi="Book Antiqua"/>
          <w:lang w:eastAsia="zh-CN"/>
        </w:rPr>
      </w:pPr>
    </w:p>
    <w:sectPr w:rsidR="00E53200" w:rsidRPr="00E754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688AE" w14:textId="77777777" w:rsidR="00722764" w:rsidRDefault="00722764">
      <w:r>
        <w:separator/>
      </w:r>
    </w:p>
  </w:endnote>
  <w:endnote w:type="continuationSeparator" w:id="0">
    <w:p w14:paraId="354A6E64" w14:textId="77777777" w:rsidR="00722764" w:rsidRDefault="0072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496596"/>
    </w:sdtPr>
    <w:sdtContent>
      <w:sdt>
        <w:sdtPr>
          <w:id w:val="860082579"/>
        </w:sdtPr>
        <w:sdtContent>
          <w:p w14:paraId="5CB7446D" w14:textId="77777777" w:rsidR="00E53200" w:rsidRDefault="00F70B6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34</w:t>
            </w:r>
            <w:r>
              <w:rPr>
                <w:b/>
                <w:bCs/>
                <w:sz w:val="24"/>
                <w:szCs w:val="24"/>
              </w:rPr>
              <w:fldChar w:fldCharType="end"/>
            </w:r>
          </w:p>
        </w:sdtContent>
      </w:sdt>
    </w:sdtContent>
  </w:sdt>
  <w:p w14:paraId="7DC8F7D0" w14:textId="77777777" w:rsidR="00E53200" w:rsidRDefault="00E532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A91C" w14:textId="77777777" w:rsidR="00722764" w:rsidRDefault="00722764">
      <w:r>
        <w:separator/>
      </w:r>
    </w:p>
  </w:footnote>
  <w:footnote w:type="continuationSeparator" w:id="0">
    <w:p w14:paraId="429E678C" w14:textId="77777777" w:rsidR="00722764" w:rsidRDefault="00722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051B"/>
    <w:rsid w:val="00010537"/>
    <w:rsid w:val="000130A2"/>
    <w:rsid w:val="00056905"/>
    <w:rsid w:val="00066390"/>
    <w:rsid w:val="000917C5"/>
    <w:rsid w:val="000A7FF2"/>
    <w:rsid w:val="00105F6B"/>
    <w:rsid w:val="00106971"/>
    <w:rsid w:val="001821E2"/>
    <w:rsid w:val="001B31CC"/>
    <w:rsid w:val="001E72AC"/>
    <w:rsid w:val="00216F13"/>
    <w:rsid w:val="00266908"/>
    <w:rsid w:val="00271410"/>
    <w:rsid w:val="00276E78"/>
    <w:rsid w:val="002C0778"/>
    <w:rsid w:val="002C234B"/>
    <w:rsid w:val="002C3C5C"/>
    <w:rsid w:val="002D3568"/>
    <w:rsid w:val="002F21C3"/>
    <w:rsid w:val="002F5130"/>
    <w:rsid w:val="00376014"/>
    <w:rsid w:val="00393D18"/>
    <w:rsid w:val="003B5E7B"/>
    <w:rsid w:val="003C5032"/>
    <w:rsid w:val="003D4562"/>
    <w:rsid w:val="004133AA"/>
    <w:rsid w:val="00433681"/>
    <w:rsid w:val="004B7859"/>
    <w:rsid w:val="004C0A50"/>
    <w:rsid w:val="004F53E8"/>
    <w:rsid w:val="0050373C"/>
    <w:rsid w:val="005266B7"/>
    <w:rsid w:val="00526F65"/>
    <w:rsid w:val="00533248"/>
    <w:rsid w:val="005524D3"/>
    <w:rsid w:val="0058230D"/>
    <w:rsid w:val="00586B6A"/>
    <w:rsid w:val="005B3058"/>
    <w:rsid w:val="005C57DD"/>
    <w:rsid w:val="005E169E"/>
    <w:rsid w:val="00652D1D"/>
    <w:rsid w:val="00690049"/>
    <w:rsid w:val="006B09C8"/>
    <w:rsid w:val="006F3C30"/>
    <w:rsid w:val="006F4D78"/>
    <w:rsid w:val="00722764"/>
    <w:rsid w:val="00770ABE"/>
    <w:rsid w:val="00790076"/>
    <w:rsid w:val="00791A8E"/>
    <w:rsid w:val="007B3114"/>
    <w:rsid w:val="00840B98"/>
    <w:rsid w:val="008622B3"/>
    <w:rsid w:val="008743FA"/>
    <w:rsid w:val="008A2835"/>
    <w:rsid w:val="008C3300"/>
    <w:rsid w:val="00910669"/>
    <w:rsid w:val="00916AAF"/>
    <w:rsid w:val="0096425A"/>
    <w:rsid w:val="00984FAD"/>
    <w:rsid w:val="009856EF"/>
    <w:rsid w:val="009B5940"/>
    <w:rsid w:val="009F7D77"/>
    <w:rsid w:val="00A06802"/>
    <w:rsid w:val="00A45651"/>
    <w:rsid w:val="00A77B3E"/>
    <w:rsid w:val="00AA201F"/>
    <w:rsid w:val="00AC415A"/>
    <w:rsid w:val="00AF6BD1"/>
    <w:rsid w:val="00B323BD"/>
    <w:rsid w:val="00B35FB9"/>
    <w:rsid w:val="00B569B5"/>
    <w:rsid w:val="00B70C37"/>
    <w:rsid w:val="00B724FF"/>
    <w:rsid w:val="00B87D28"/>
    <w:rsid w:val="00BB0962"/>
    <w:rsid w:val="00C02313"/>
    <w:rsid w:val="00C450D9"/>
    <w:rsid w:val="00C650B5"/>
    <w:rsid w:val="00C91A01"/>
    <w:rsid w:val="00CA2A55"/>
    <w:rsid w:val="00CC66AC"/>
    <w:rsid w:val="00CD259E"/>
    <w:rsid w:val="00CF3070"/>
    <w:rsid w:val="00CF3763"/>
    <w:rsid w:val="00D06EFB"/>
    <w:rsid w:val="00D0727A"/>
    <w:rsid w:val="00D40F39"/>
    <w:rsid w:val="00D50109"/>
    <w:rsid w:val="00D73BCB"/>
    <w:rsid w:val="00D75D55"/>
    <w:rsid w:val="00DA0FB3"/>
    <w:rsid w:val="00DD576C"/>
    <w:rsid w:val="00DD6775"/>
    <w:rsid w:val="00E53200"/>
    <w:rsid w:val="00E70725"/>
    <w:rsid w:val="00E74080"/>
    <w:rsid w:val="00E754A5"/>
    <w:rsid w:val="00E80474"/>
    <w:rsid w:val="00E91644"/>
    <w:rsid w:val="00E93C30"/>
    <w:rsid w:val="00EB38B8"/>
    <w:rsid w:val="00EC7270"/>
    <w:rsid w:val="00EE02D9"/>
    <w:rsid w:val="00EF5318"/>
    <w:rsid w:val="00F328C7"/>
    <w:rsid w:val="00F42F4D"/>
    <w:rsid w:val="00F47428"/>
    <w:rsid w:val="00F601E3"/>
    <w:rsid w:val="00F70B62"/>
    <w:rsid w:val="00F832CD"/>
    <w:rsid w:val="00FA5B91"/>
    <w:rsid w:val="00FB4C0E"/>
    <w:rsid w:val="00FE7F69"/>
    <w:rsid w:val="3F2D20B7"/>
    <w:rsid w:val="44002B49"/>
    <w:rsid w:val="78C70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9B56F"/>
  <w15:docId w15:val="{C77DFCA8-06EC-4DF5-B970-574A8329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semiHidden/>
    <w:unhideWhenUsed/>
    <w:rPr>
      <w:sz w:val="21"/>
      <w:szCs w:val="21"/>
    </w:rPr>
  </w:style>
  <w:style w:type="character" w:customStyle="1" w:styleId="tlid-translation">
    <w:name w:val="tlid-translation"/>
    <w:basedOn w:val="a0"/>
  </w:style>
  <w:style w:type="character" w:customStyle="1" w:styleId="a6">
    <w:name w:val="批注框文本 字符"/>
    <w:basedOn w:val="a0"/>
    <w:link w:val="a5"/>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styleId="af0">
    <w:name w:val="Hyperlink"/>
    <w:basedOn w:val="a0"/>
    <w:unhideWhenUsed/>
    <w:rsid w:val="00E754A5"/>
    <w:rPr>
      <w:color w:val="0000FF" w:themeColor="hyperlink"/>
      <w:u w:val="single"/>
    </w:rPr>
  </w:style>
  <w:style w:type="character" w:styleId="af1">
    <w:name w:val="Unresolved Mention"/>
    <w:basedOn w:val="a0"/>
    <w:uiPriority w:val="99"/>
    <w:semiHidden/>
    <w:unhideWhenUsed/>
    <w:rsid w:val="00E75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26/3150.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7856</Words>
  <Characters>44781</Characters>
  <Application>Microsoft Office Word</Application>
  <DocSecurity>0</DocSecurity>
  <Lines>373</Lines>
  <Paragraphs>105</Paragraphs>
  <ScaleCrop>false</ScaleCrop>
  <Company/>
  <LinksUpToDate>false</LinksUpToDate>
  <CharactersWithSpaces>52532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2022-05-21T20:06:00Z</dcterms:created>
  <dcterms:modified xsi:type="dcterms:W3CDTF">2022-07-12T08:10:00Z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0F6CA4C1EA01478BB958D852CEB0F0D4</vt:lpwstr>
  </property>
</Properties>
</file>