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1C4" w:rsidRPr="00A7393F" w:rsidRDefault="009C01C4" w:rsidP="00CF4A41">
      <w:pPr>
        <w:spacing w:after="0" w:line="360" w:lineRule="auto"/>
        <w:jc w:val="both"/>
        <w:rPr>
          <w:rFonts w:ascii="Book Antiqua" w:hAnsi="Book Antiqua" w:cs="Tahoma"/>
          <w:b/>
          <w:color w:val="000000"/>
          <w:sz w:val="24"/>
        </w:rPr>
      </w:pPr>
      <w:bookmarkStart w:id="0" w:name="OLE_LINK319"/>
      <w:bookmarkStart w:id="1" w:name="OLE_LINK320"/>
      <w:bookmarkStart w:id="2" w:name="OLE_LINK355"/>
      <w:bookmarkStart w:id="3" w:name="OLE_LINK406"/>
      <w:r w:rsidRPr="00A7393F">
        <w:rPr>
          <w:rFonts w:ascii="Book Antiqua" w:hAnsi="Book Antiqua" w:cs="Tahoma"/>
          <w:b/>
          <w:color w:val="0000FF"/>
          <w:sz w:val="24"/>
        </w:rPr>
        <w:t xml:space="preserve">Name of journal: </w:t>
      </w:r>
      <w:r w:rsidRPr="00A24B0A">
        <w:rPr>
          <w:rFonts w:ascii="Book Antiqua" w:hAnsi="Book Antiqua" w:cs="Tahoma"/>
          <w:b/>
          <w:color w:val="000000"/>
          <w:sz w:val="24"/>
        </w:rPr>
        <w:t>World Journal of Gastrointestinal Oncology</w:t>
      </w:r>
    </w:p>
    <w:p w:rsidR="009C01C4" w:rsidRPr="00A7393F" w:rsidRDefault="009C01C4" w:rsidP="00CF4A41">
      <w:pPr>
        <w:spacing w:after="0" w:line="360" w:lineRule="auto"/>
        <w:jc w:val="both"/>
        <w:rPr>
          <w:rFonts w:ascii="Book Antiqua" w:hAnsi="Book Antiqua" w:cs="Tahoma"/>
          <w:b/>
          <w:color w:val="0000FF"/>
          <w:sz w:val="24"/>
          <w:lang w:eastAsia="zh-CN"/>
        </w:rPr>
      </w:pPr>
      <w:r w:rsidRPr="00A7393F">
        <w:rPr>
          <w:rFonts w:ascii="Book Antiqua" w:hAnsi="Book Antiqua" w:cs="Tahoma"/>
          <w:b/>
          <w:color w:val="0000FF"/>
          <w:sz w:val="24"/>
        </w:rPr>
        <w:t>ESPS Manuscript NO:</w:t>
      </w:r>
      <w:r>
        <w:rPr>
          <w:rFonts w:ascii="Book Antiqua" w:hAnsi="Book Antiqua" w:cs="Tahoma" w:hint="eastAsia"/>
          <w:b/>
          <w:color w:val="0000FF"/>
          <w:sz w:val="24"/>
          <w:lang w:eastAsia="zh-CN"/>
        </w:rPr>
        <w:t xml:space="preserve"> 7292</w:t>
      </w:r>
    </w:p>
    <w:p w:rsidR="009C01C4" w:rsidRDefault="009C01C4" w:rsidP="00CF4A41">
      <w:pPr>
        <w:spacing w:after="0" w:line="360" w:lineRule="auto"/>
        <w:jc w:val="both"/>
        <w:rPr>
          <w:rFonts w:ascii="Book Antiqua" w:hAnsi="Book Antiqua"/>
          <w:b/>
          <w:sz w:val="24"/>
          <w:szCs w:val="24"/>
          <w:lang w:eastAsia="zh-CN"/>
        </w:rPr>
      </w:pPr>
      <w:r w:rsidRPr="00A7393F">
        <w:rPr>
          <w:rFonts w:ascii="Book Antiqua" w:hAnsi="Book Antiqua" w:cs="Tahoma"/>
          <w:b/>
          <w:color w:val="0000FF"/>
          <w:sz w:val="24"/>
        </w:rPr>
        <w:t>Columns:</w:t>
      </w:r>
      <w:r w:rsidRPr="005F7AF8">
        <w:t xml:space="preserve"> </w:t>
      </w:r>
      <w:r w:rsidR="00ED15AD" w:rsidRPr="008F5AB6">
        <w:rPr>
          <w:rFonts w:ascii="Book Antiqua" w:hAnsi="Book Antiqua"/>
          <w:b/>
          <w:sz w:val="24"/>
          <w:szCs w:val="24"/>
        </w:rPr>
        <w:t>RETROSPECTIVE STUDY</w:t>
      </w:r>
    </w:p>
    <w:p w:rsidR="009C01C4" w:rsidRDefault="009C01C4" w:rsidP="00CF4A41">
      <w:pPr>
        <w:spacing w:after="0" w:line="360" w:lineRule="auto"/>
        <w:jc w:val="both"/>
        <w:rPr>
          <w:rFonts w:ascii="Book Antiqua" w:hAnsi="Book Antiqua" w:cs="Tahoma"/>
          <w:b/>
          <w:color w:val="000000"/>
          <w:sz w:val="24"/>
          <w:lang w:eastAsia="zh-CN"/>
        </w:rPr>
      </w:pPr>
    </w:p>
    <w:bookmarkEnd w:id="0"/>
    <w:bookmarkEnd w:id="1"/>
    <w:bookmarkEnd w:id="2"/>
    <w:bookmarkEnd w:id="3"/>
    <w:p w:rsidR="00C56CA5" w:rsidRDefault="00C56CA5" w:rsidP="00CF4A41">
      <w:pPr>
        <w:spacing w:after="0" w:line="360" w:lineRule="auto"/>
        <w:jc w:val="both"/>
        <w:rPr>
          <w:rFonts w:ascii="Book Antiqua" w:hAnsi="Book Antiqua" w:cs="Times New Roman"/>
          <w:b/>
          <w:bCs/>
          <w:sz w:val="24"/>
          <w:szCs w:val="24"/>
          <w:lang w:val="en-US" w:eastAsia="zh-CN"/>
        </w:rPr>
      </w:pPr>
      <w:r>
        <w:rPr>
          <w:rFonts w:ascii="Book Antiqua" w:hAnsi="Book Antiqua" w:cs="Times New Roman"/>
          <w:b/>
          <w:bCs/>
          <w:sz w:val="24"/>
          <w:szCs w:val="24"/>
          <w:lang w:val="en-US"/>
        </w:rPr>
        <w:t>P</w:t>
      </w:r>
      <w:r w:rsidR="009C01C4">
        <w:rPr>
          <w:rFonts w:ascii="Book Antiqua" w:hAnsi="Book Antiqua" w:cs="Times New Roman"/>
          <w:b/>
          <w:bCs/>
          <w:sz w:val="24"/>
          <w:szCs w:val="24"/>
          <w:lang w:val="en-US"/>
        </w:rPr>
        <w:t xml:space="preserve">rognostic value of baseline </w:t>
      </w:r>
      <w:r w:rsidR="001C3EF6">
        <w:rPr>
          <w:rFonts w:ascii="Book Antiqua" w:hAnsi="Book Antiqua" w:cs="Times New Roman"/>
          <w:b/>
          <w:bCs/>
          <w:sz w:val="24"/>
          <w:szCs w:val="24"/>
          <w:lang w:val="en-US"/>
        </w:rPr>
        <w:t xml:space="preserve">FDG </w:t>
      </w:r>
      <w:r w:rsidR="009C01C4">
        <w:rPr>
          <w:rFonts w:ascii="Book Antiqua" w:hAnsi="Book Antiqua" w:cs="Times New Roman"/>
          <w:b/>
          <w:bCs/>
          <w:sz w:val="24"/>
          <w:szCs w:val="24"/>
          <w:lang w:val="en-US"/>
        </w:rPr>
        <w:t>uptake on pet-</w:t>
      </w:r>
      <w:r w:rsidR="001C3EF6">
        <w:rPr>
          <w:rFonts w:ascii="Book Antiqua" w:hAnsi="Book Antiqua" w:cs="Times New Roman"/>
          <w:b/>
          <w:bCs/>
          <w:sz w:val="24"/>
          <w:szCs w:val="24"/>
          <w:lang w:val="en-US"/>
        </w:rPr>
        <w:t xml:space="preserve">CT </w:t>
      </w:r>
      <w:r w:rsidR="009C01C4">
        <w:rPr>
          <w:rFonts w:ascii="Book Antiqua" w:hAnsi="Book Antiqua" w:cs="Times New Roman"/>
          <w:b/>
          <w:bCs/>
          <w:sz w:val="24"/>
          <w:szCs w:val="24"/>
          <w:lang w:val="en-US"/>
        </w:rPr>
        <w:t>in esophageal carcinoma</w:t>
      </w:r>
    </w:p>
    <w:p w:rsidR="00CF4A41" w:rsidRDefault="00CF4A41" w:rsidP="00CF4A41">
      <w:pPr>
        <w:spacing w:after="0" w:line="360" w:lineRule="auto"/>
        <w:jc w:val="both"/>
        <w:rPr>
          <w:rFonts w:ascii="Book Antiqua" w:hAnsi="Book Antiqua" w:cs="Times New Roman"/>
          <w:b/>
          <w:bCs/>
          <w:sz w:val="24"/>
          <w:szCs w:val="24"/>
          <w:lang w:val="en-US" w:eastAsia="zh-CN"/>
        </w:rPr>
      </w:pPr>
    </w:p>
    <w:p w:rsidR="008941FD" w:rsidRDefault="008941FD" w:rsidP="00CF4A41">
      <w:pPr>
        <w:spacing w:after="0" w:line="360" w:lineRule="auto"/>
        <w:jc w:val="both"/>
        <w:rPr>
          <w:rFonts w:ascii="Book Antiqua" w:hAnsi="Book Antiqua" w:cs="Times New Roman"/>
          <w:bCs/>
          <w:sz w:val="24"/>
          <w:szCs w:val="24"/>
          <w:lang w:val="en-US" w:eastAsia="zh-CN"/>
        </w:rPr>
      </w:pPr>
      <w:r w:rsidRPr="00613E70">
        <w:rPr>
          <w:rFonts w:ascii="Book Antiqua" w:hAnsi="Book Antiqua" w:cs="Times New Roman"/>
          <w:sz w:val="24"/>
          <w:szCs w:val="24"/>
          <w:lang w:val="en-US"/>
        </w:rPr>
        <w:t>Al-Taan</w:t>
      </w:r>
      <w:r>
        <w:rPr>
          <w:rFonts w:ascii="Book Antiqua" w:hAnsi="Book Antiqua" w:cs="Times New Roman" w:hint="eastAsia"/>
          <w:sz w:val="24"/>
          <w:szCs w:val="24"/>
          <w:lang w:val="en-US" w:eastAsia="zh-CN"/>
        </w:rPr>
        <w:t xml:space="preserve"> OS </w:t>
      </w:r>
      <w:r w:rsidRPr="008941FD">
        <w:rPr>
          <w:rFonts w:ascii="Book Antiqua" w:hAnsi="Book Antiqua" w:cs="Times New Roman" w:hint="eastAsia"/>
          <w:i/>
          <w:sz w:val="24"/>
          <w:szCs w:val="24"/>
          <w:lang w:val="en-US" w:eastAsia="zh-CN"/>
        </w:rPr>
        <w:t>et al</w:t>
      </w:r>
      <w:r>
        <w:rPr>
          <w:rFonts w:ascii="Book Antiqua" w:hAnsi="Book Antiqua" w:cs="Times New Roman" w:hint="eastAsia"/>
          <w:sz w:val="24"/>
          <w:szCs w:val="24"/>
          <w:lang w:val="en-US" w:eastAsia="zh-CN"/>
        </w:rPr>
        <w:t xml:space="preserve">. </w:t>
      </w:r>
      <w:r w:rsidRPr="008941FD">
        <w:rPr>
          <w:rFonts w:ascii="Book Antiqua" w:hAnsi="Book Antiqua" w:cs="Times New Roman"/>
          <w:bCs/>
          <w:sz w:val="24"/>
          <w:szCs w:val="24"/>
          <w:lang w:val="en-US"/>
        </w:rPr>
        <w:t xml:space="preserve">Baseline FDG </w:t>
      </w:r>
      <w:r w:rsidR="00ED15AD" w:rsidRPr="008941FD">
        <w:rPr>
          <w:rFonts w:ascii="Book Antiqua" w:hAnsi="Book Antiqua" w:cs="Times New Roman"/>
          <w:bCs/>
          <w:sz w:val="24"/>
          <w:szCs w:val="24"/>
          <w:lang w:val="en-US"/>
        </w:rPr>
        <w:t>uptake in esophageal carcinoma</w:t>
      </w:r>
    </w:p>
    <w:p w:rsidR="00CF4A41" w:rsidRPr="008941FD" w:rsidRDefault="00CF4A41" w:rsidP="00CF4A41">
      <w:pPr>
        <w:spacing w:after="0" w:line="360" w:lineRule="auto"/>
        <w:jc w:val="both"/>
        <w:rPr>
          <w:rFonts w:ascii="Book Antiqua" w:hAnsi="Book Antiqua" w:cs="Times New Roman"/>
          <w:b/>
          <w:bCs/>
          <w:sz w:val="24"/>
          <w:szCs w:val="24"/>
          <w:lang w:val="en-US" w:eastAsia="zh-CN"/>
        </w:rPr>
      </w:pPr>
    </w:p>
    <w:p w:rsidR="00C56CA5" w:rsidRDefault="008941FD" w:rsidP="00CF4A41">
      <w:pPr>
        <w:spacing w:after="0" w:line="360" w:lineRule="auto"/>
        <w:jc w:val="both"/>
        <w:rPr>
          <w:rFonts w:ascii="Book Antiqua" w:hAnsi="Book Antiqua" w:cs="Times New Roman"/>
          <w:sz w:val="24"/>
          <w:szCs w:val="24"/>
          <w:lang w:val="en-US" w:eastAsia="zh-CN"/>
        </w:rPr>
      </w:pPr>
      <w:r>
        <w:rPr>
          <w:rFonts w:ascii="Book Antiqua" w:hAnsi="Book Antiqua" w:cs="Times New Roman"/>
          <w:sz w:val="24"/>
          <w:szCs w:val="24"/>
          <w:lang w:val="en-US"/>
        </w:rPr>
        <w:t>Omar S</w:t>
      </w:r>
      <w:r w:rsidR="00C56CA5" w:rsidRPr="00613E70">
        <w:rPr>
          <w:rFonts w:ascii="Book Antiqua" w:hAnsi="Book Antiqua" w:cs="Times New Roman"/>
          <w:sz w:val="24"/>
          <w:szCs w:val="24"/>
          <w:lang w:val="en-US"/>
        </w:rPr>
        <w:t xml:space="preserve"> Al-Taan, Amar Eltweri, David Sharpe, Peter M Rodgers, Sukhbir S Ubhi, David J Bowrey</w:t>
      </w:r>
    </w:p>
    <w:p w:rsidR="008941FD" w:rsidRPr="00613E70" w:rsidRDefault="00E26BBB" w:rsidP="00CF4A41">
      <w:pPr>
        <w:spacing w:after="0" w:line="360" w:lineRule="auto"/>
        <w:jc w:val="both"/>
        <w:rPr>
          <w:rFonts w:ascii="Book Antiqua" w:hAnsi="Book Antiqua" w:cs="Times New Roman"/>
          <w:sz w:val="24"/>
          <w:szCs w:val="24"/>
          <w:lang w:val="en-US" w:eastAsia="zh-CN"/>
        </w:rPr>
      </w:pPr>
      <w:r>
        <w:rPr>
          <w:rFonts w:ascii="Book Antiqua" w:hAnsi="Book Antiqua" w:cs="Times New Roman"/>
          <w:b/>
          <w:bCs/>
          <w:noProof/>
          <w:sz w:val="24"/>
          <w:szCs w:val="24"/>
          <w:lang w:val="en-US" w:eastAsia="zh-CN"/>
        </w:rPr>
        <mc:AlternateContent>
          <mc:Choice Requires="wps">
            <w:drawing>
              <wp:anchor distT="0" distB="0" distL="114300" distR="114300" simplePos="0" relativeHeight="251657216" behindDoc="0" locked="0" layoutInCell="1" allowOverlap="1">
                <wp:simplePos x="0" y="0"/>
                <wp:positionH relativeFrom="column">
                  <wp:posOffset>24765</wp:posOffset>
                </wp:positionH>
                <wp:positionV relativeFrom="paragraph">
                  <wp:posOffset>104775</wp:posOffset>
                </wp:positionV>
                <wp:extent cx="5518785" cy="0"/>
                <wp:effectExtent l="24765" t="1905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78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8.25pt" to="43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" strokecolor="gray" strokeweight="3pt"/>
            </w:pict>
          </mc:Fallback>
        </mc:AlternateContent>
      </w:r>
    </w:p>
    <w:p w:rsidR="008941FD" w:rsidRDefault="008941FD" w:rsidP="00CF4A41">
      <w:pPr>
        <w:spacing w:after="0" w:line="360" w:lineRule="auto"/>
        <w:jc w:val="both"/>
        <w:rPr>
          <w:rFonts w:ascii="Book Antiqua" w:hAnsi="Book Antiqua" w:cs="Times New Roman"/>
          <w:sz w:val="24"/>
          <w:szCs w:val="24"/>
          <w:lang w:val="en-US" w:eastAsia="zh-CN"/>
        </w:rPr>
      </w:pPr>
      <w:r>
        <w:rPr>
          <w:rFonts w:ascii="Book Antiqua" w:hAnsi="Book Antiqua" w:cs="Times New Roman"/>
          <w:b/>
          <w:sz w:val="24"/>
          <w:szCs w:val="24"/>
          <w:lang w:val="en-US"/>
        </w:rPr>
        <w:t>Omar S</w:t>
      </w:r>
      <w:r w:rsidRPr="008941FD">
        <w:rPr>
          <w:rFonts w:ascii="Book Antiqua" w:hAnsi="Book Antiqua" w:cs="Times New Roman"/>
          <w:b/>
          <w:sz w:val="24"/>
          <w:szCs w:val="24"/>
          <w:lang w:val="en-US"/>
        </w:rPr>
        <w:t xml:space="preserve"> Al-Taan, Amar Eltweri, David Sharpe, Sukhbir S Ubhi, David J Bowrey</w:t>
      </w:r>
      <w:r>
        <w:rPr>
          <w:rFonts w:ascii="Book Antiqua" w:hAnsi="Book Antiqua" w:cs="Times New Roman" w:hint="eastAsia"/>
          <w:sz w:val="24"/>
          <w:szCs w:val="24"/>
          <w:lang w:val="en-US" w:eastAsia="zh-CN"/>
        </w:rPr>
        <w:t xml:space="preserve">, </w:t>
      </w:r>
      <w:r w:rsidR="00C56CA5" w:rsidRPr="00613E70">
        <w:rPr>
          <w:rFonts w:ascii="Book Antiqua" w:hAnsi="Book Antiqua" w:cs="Times New Roman"/>
          <w:sz w:val="24"/>
          <w:szCs w:val="24"/>
          <w:lang w:val="en-US"/>
        </w:rPr>
        <w:t>Departments of Surgery</w:t>
      </w:r>
      <w:r>
        <w:rPr>
          <w:rFonts w:ascii="Book Antiqua" w:hAnsi="Book Antiqua" w:cs="Times New Roman" w:hint="eastAsia"/>
          <w:sz w:val="24"/>
          <w:szCs w:val="24"/>
          <w:lang w:val="en-US" w:eastAsia="zh-CN"/>
        </w:rPr>
        <w:t xml:space="preserve">, </w:t>
      </w:r>
      <w:r w:rsidRPr="00613E70">
        <w:rPr>
          <w:rFonts w:ascii="Book Antiqua" w:hAnsi="Book Antiqua" w:cs="Times New Roman"/>
          <w:sz w:val="24"/>
          <w:szCs w:val="24"/>
          <w:lang w:val="en-US"/>
        </w:rPr>
        <w:t>University Hospitals of Leicester,</w:t>
      </w:r>
      <w:r w:rsidR="00CF4A41" w:rsidRPr="00CF4A41">
        <w:rPr>
          <w:rFonts w:ascii="Book Antiqua" w:hAnsi="Book Antiqua" w:cs="Times New Roman"/>
          <w:sz w:val="24"/>
          <w:szCs w:val="24"/>
          <w:lang w:val="en-US"/>
        </w:rPr>
        <w:t xml:space="preserve"> </w:t>
      </w:r>
      <w:r w:rsidR="00CF4A41" w:rsidRPr="00613E70">
        <w:rPr>
          <w:rFonts w:ascii="Book Antiqua" w:hAnsi="Book Antiqua" w:cs="Times New Roman"/>
          <w:sz w:val="24"/>
          <w:szCs w:val="24"/>
          <w:lang w:val="en-US"/>
        </w:rPr>
        <w:t>Leicester</w:t>
      </w:r>
      <w:r w:rsidRPr="00613E70">
        <w:rPr>
          <w:rFonts w:ascii="Book Antiqua" w:hAnsi="Book Antiqua" w:cs="Times New Roman"/>
          <w:sz w:val="24"/>
          <w:szCs w:val="24"/>
          <w:lang w:val="en-US"/>
        </w:rPr>
        <w:t xml:space="preserve"> </w:t>
      </w:r>
      <w:r w:rsidR="00CF4A41" w:rsidRPr="00613E70">
        <w:rPr>
          <w:rFonts w:ascii="Book Antiqua" w:hAnsi="Book Antiqua" w:cs="Times New Roman"/>
          <w:sz w:val="24"/>
          <w:szCs w:val="24"/>
          <w:lang w:val="en-US"/>
        </w:rPr>
        <w:t>LE1 5WW,</w:t>
      </w:r>
      <w:r w:rsidR="00CF4A41">
        <w:rPr>
          <w:rFonts w:ascii="Book Antiqua" w:hAnsi="Book Antiqua" w:cs="Times New Roman" w:hint="eastAsia"/>
          <w:sz w:val="24"/>
          <w:szCs w:val="24"/>
          <w:lang w:val="en-US" w:eastAsia="zh-CN"/>
        </w:rPr>
        <w:t xml:space="preserve"> </w:t>
      </w:r>
      <w:r w:rsidRPr="008941FD">
        <w:rPr>
          <w:rFonts w:ascii="Book Antiqua" w:hAnsi="Book Antiqua" w:cs="Times New Roman"/>
          <w:sz w:val="24"/>
          <w:szCs w:val="24"/>
          <w:lang w:val="en-US"/>
        </w:rPr>
        <w:t>United Kingdom</w:t>
      </w:r>
    </w:p>
    <w:p w:rsidR="008941FD" w:rsidRPr="008941FD" w:rsidRDefault="008941FD" w:rsidP="00CF4A41">
      <w:pPr>
        <w:spacing w:after="0" w:line="360" w:lineRule="auto"/>
        <w:jc w:val="both"/>
        <w:rPr>
          <w:rFonts w:ascii="Book Antiqua" w:hAnsi="Book Antiqua" w:cs="Times New Roman"/>
          <w:sz w:val="24"/>
          <w:szCs w:val="24"/>
          <w:lang w:val="en-US" w:eastAsia="zh-CN"/>
        </w:rPr>
      </w:pPr>
    </w:p>
    <w:p w:rsidR="00C56CA5" w:rsidRDefault="008941FD" w:rsidP="00CF4A41">
      <w:pPr>
        <w:spacing w:after="0" w:line="360" w:lineRule="auto"/>
        <w:jc w:val="both"/>
        <w:rPr>
          <w:rFonts w:ascii="Book Antiqua" w:hAnsi="Book Antiqua" w:cs="Times New Roman"/>
          <w:sz w:val="24"/>
          <w:szCs w:val="24"/>
          <w:lang w:val="en-US" w:eastAsia="zh-CN"/>
        </w:rPr>
      </w:pPr>
      <w:r w:rsidRPr="008941FD">
        <w:rPr>
          <w:rFonts w:ascii="Book Antiqua" w:hAnsi="Book Antiqua" w:cs="Times New Roman"/>
          <w:b/>
          <w:sz w:val="24"/>
          <w:szCs w:val="24"/>
          <w:lang w:val="en-US"/>
        </w:rPr>
        <w:t>Peter M Rodgers,</w:t>
      </w:r>
      <w:r>
        <w:rPr>
          <w:rFonts w:ascii="Book Antiqua" w:hAnsi="Book Antiqua" w:cs="Times New Roman" w:hint="eastAsia"/>
          <w:sz w:val="24"/>
          <w:szCs w:val="24"/>
          <w:lang w:val="en-US" w:eastAsia="zh-CN"/>
        </w:rPr>
        <w:t xml:space="preserve"> </w:t>
      </w:r>
      <w:r w:rsidRPr="00613E70">
        <w:rPr>
          <w:rFonts w:ascii="Book Antiqua" w:hAnsi="Book Antiqua" w:cs="Times New Roman"/>
          <w:sz w:val="24"/>
          <w:szCs w:val="24"/>
          <w:lang w:val="en-US"/>
        </w:rPr>
        <w:t xml:space="preserve">Departments of </w:t>
      </w:r>
      <w:r w:rsidR="00C56CA5" w:rsidRPr="00613E70">
        <w:rPr>
          <w:rFonts w:ascii="Book Antiqua" w:hAnsi="Book Antiqua" w:cs="Times New Roman"/>
          <w:sz w:val="24"/>
          <w:szCs w:val="24"/>
          <w:lang w:val="en-US"/>
        </w:rPr>
        <w:t xml:space="preserve">Radiology, University Hospitals of Leicester, </w:t>
      </w:r>
      <w:r w:rsidR="00CF4A41" w:rsidRPr="00613E70">
        <w:rPr>
          <w:rFonts w:ascii="Book Antiqua" w:hAnsi="Book Antiqua" w:cs="Times New Roman"/>
          <w:sz w:val="24"/>
          <w:szCs w:val="24"/>
          <w:lang w:val="en-US"/>
        </w:rPr>
        <w:t>Leicester LE1 5WW,</w:t>
      </w:r>
      <w:r w:rsidR="00CF4A41">
        <w:rPr>
          <w:rFonts w:ascii="Book Antiqua" w:hAnsi="Book Antiqua" w:cs="Times New Roman" w:hint="eastAsia"/>
          <w:sz w:val="24"/>
          <w:szCs w:val="24"/>
          <w:lang w:val="en-US" w:eastAsia="zh-CN"/>
        </w:rPr>
        <w:t xml:space="preserve"> </w:t>
      </w:r>
      <w:r w:rsidRPr="008941FD">
        <w:rPr>
          <w:rFonts w:ascii="Book Antiqua" w:hAnsi="Book Antiqua" w:cs="Times New Roman"/>
          <w:sz w:val="24"/>
          <w:szCs w:val="24"/>
          <w:lang w:val="en-US"/>
        </w:rPr>
        <w:t>United Kingdom</w:t>
      </w:r>
    </w:p>
    <w:p w:rsidR="008941FD" w:rsidRPr="00613E70" w:rsidRDefault="008941FD" w:rsidP="00CF4A41">
      <w:pPr>
        <w:spacing w:after="0" w:line="360" w:lineRule="auto"/>
        <w:jc w:val="both"/>
        <w:rPr>
          <w:rFonts w:ascii="Book Antiqua" w:hAnsi="Book Antiqua" w:cs="Times New Roman"/>
          <w:sz w:val="24"/>
          <w:szCs w:val="24"/>
          <w:lang w:val="en-US" w:eastAsia="zh-CN"/>
        </w:rPr>
      </w:pPr>
    </w:p>
    <w:p w:rsidR="00C56CA5" w:rsidRPr="00613E70" w:rsidRDefault="00C56CA5" w:rsidP="00CF4A41">
      <w:pPr>
        <w:spacing w:after="0" w:line="360" w:lineRule="auto"/>
        <w:jc w:val="both"/>
        <w:rPr>
          <w:rFonts w:ascii="Book Antiqua" w:hAnsi="Book Antiqua" w:cs="Times New Roman"/>
          <w:sz w:val="24"/>
          <w:szCs w:val="24"/>
          <w:lang w:val="en-US"/>
        </w:rPr>
      </w:pPr>
      <w:r w:rsidRPr="00613E70">
        <w:rPr>
          <w:rFonts w:ascii="Book Antiqua" w:hAnsi="Book Antiqua" w:cs="Times New Roman"/>
          <w:b/>
          <w:sz w:val="24"/>
          <w:szCs w:val="24"/>
          <w:lang w:val="en-US"/>
        </w:rPr>
        <w:t>Author</w:t>
      </w:r>
      <w:r>
        <w:rPr>
          <w:rFonts w:ascii="Book Antiqua" w:hAnsi="Book Antiqua" w:cs="Times New Roman"/>
          <w:b/>
          <w:sz w:val="24"/>
          <w:szCs w:val="24"/>
          <w:lang w:val="en-US"/>
        </w:rPr>
        <w:t xml:space="preserve"> </w:t>
      </w:r>
      <w:r w:rsidR="008941FD">
        <w:rPr>
          <w:rFonts w:ascii="Book Antiqua" w:hAnsi="Book Antiqua" w:cs="Times New Roman"/>
          <w:b/>
          <w:sz w:val="24"/>
          <w:szCs w:val="24"/>
          <w:lang w:val="en-US"/>
        </w:rPr>
        <w:t>contributions</w:t>
      </w:r>
      <w:r w:rsidRPr="00613E70">
        <w:rPr>
          <w:rFonts w:ascii="Book Antiqua" w:hAnsi="Book Antiqua" w:cs="Times New Roman"/>
          <w:sz w:val="24"/>
          <w:szCs w:val="24"/>
          <w:lang w:val="en-US"/>
        </w:rPr>
        <w:t xml:space="preserve">: </w:t>
      </w:r>
      <w:r w:rsidR="008941FD" w:rsidRPr="00CF4A41">
        <w:rPr>
          <w:rFonts w:ascii="Book Antiqua" w:hAnsi="Book Antiqua" w:cs="Times New Roman"/>
          <w:sz w:val="24"/>
          <w:szCs w:val="24"/>
          <w:lang w:val="en-US"/>
        </w:rPr>
        <w:t>Bowrey DJ</w:t>
      </w:r>
      <w:r w:rsidRPr="00CF4A41">
        <w:rPr>
          <w:rFonts w:ascii="Book Antiqua" w:hAnsi="Book Antiqua" w:cs="Times New Roman"/>
          <w:sz w:val="24"/>
          <w:szCs w:val="24"/>
          <w:lang w:val="en-US"/>
        </w:rPr>
        <w:t xml:space="preserve"> and </w:t>
      </w:r>
      <w:r w:rsidR="008941FD" w:rsidRPr="00CF4A41">
        <w:rPr>
          <w:rFonts w:ascii="Book Antiqua" w:hAnsi="Book Antiqua" w:cs="Times New Roman"/>
          <w:sz w:val="24"/>
          <w:szCs w:val="24"/>
          <w:lang w:val="en-US"/>
        </w:rPr>
        <w:t>Ubhi SS</w:t>
      </w:r>
      <w:r w:rsidRPr="00CF4A41">
        <w:rPr>
          <w:rFonts w:ascii="Book Antiqua" w:hAnsi="Book Antiqua" w:cs="Times New Roman"/>
          <w:sz w:val="24"/>
          <w:szCs w:val="24"/>
          <w:lang w:val="en-US"/>
        </w:rPr>
        <w:t xml:space="preserve"> designed the research</w:t>
      </w:r>
      <w:r w:rsidR="008941FD" w:rsidRPr="00CF4A41">
        <w:rPr>
          <w:rFonts w:ascii="Book Antiqua" w:hAnsi="Book Antiqua" w:cs="Times New Roman" w:hint="eastAsia"/>
          <w:sz w:val="24"/>
          <w:szCs w:val="24"/>
          <w:lang w:val="en-US" w:eastAsia="zh-CN"/>
        </w:rPr>
        <w:t xml:space="preserve">; </w:t>
      </w:r>
      <w:r w:rsidR="008941FD" w:rsidRPr="00CF4A41">
        <w:rPr>
          <w:rFonts w:ascii="Book Antiqua" w:hAnsi="Book Antiqua" w:cs="Times New Roman"/>
          <w:sz w:val="24"/>
          <w:szCs w:val="24"/>
          <w:lang w:val="en-US"/>
        </w:rPr>
        <w:t xml:space="preserve">Eltweri </w:t>
      </w:r>
      <w:r w:rsidR="008941FD" w:rsidRPr="00CF4A41">
        <w:rPr>
          <w:rFonts w:ascii="Book Antiqua" w:hAnsi="Book Antiqua" w:cs="Times New Roman" w:hint="eastAsia"/>
          <w:sz w:val="24"/>
          <w:szCs w:val="24"/>
          <w:lang w:val="en-US" w:eastAsia="zh-CN"/>
        </w:rPr>
        <w:t xml:space="preserve">A </w:t>
      </w:r>
      <w:r w:rsidRPr="00CF4A41">
        <w:rPr>
          <w:rFonts w:ascii="Book Antiqua" w:hAnsi="Book Antiqua" w:cs="Times New Roman"/>
          <w:sz w:val="24"/>
          <w:szCs w:val="24"/>
          <w:lang w:val="en-US"/>
        </w:rPr>
        <w:t xml:space="preserve"> </w:t>
      </w:r>
      <w:r w:rsidR="008941FD" w:rsidRPr="00CF4A41">
        <w:rPr>
          <w:rFonts w:ascii="Book Antiqua" w:hAnsi="Book Antiqua" w:cs="Times New Roman" w:hint="eastAsia"/>
          <w:sz w:val="24"/>
          <w:szCs w:val="24"/>
          <w:lang w:val="en-US" w:eastAsia="zh-CN"/>
        </w:rPr>
        <w:t xml:space="preserve">and </w:t>
      </w:r>
      <w:r w:rsidR="008941FD" w:rsidRPr="00CF4A41">
        <w:rPr>
          <w:rFonts w:ascii="Book Antiqua" w:hAnsi="Book Antiqua" w:cs="Times New Roman"/>
          <w:sz w:val="24"/>
          <w:szCs w:val="24"/>
          <w:lang w:val="en-US"/>
        </w:rPr>
        <w:t>Sharpe D</w:t>
      </w:r>
      <w:r w:rsidRPr="00CF4A41">
        <w:rPr>
          <w:rFonts w:ascii="Book Antiqua" w:hAnsi="Book Antiqua" w:cs="Times New Roman"/>
          <w:sz w:val="24"/>
          <w:szCs w:val="24"/>
          <w:lang w:val="en-US"/>
        </w:rPr>
        <w:t xml:space="preserve"> performed the research</w:t>
      </w:r>
      <w:r w:rsidR="008941FD" w:rsidRPr="00CF4A41">
        <w:rPr>
          <w:rFonts w:ascii="Book Antiqua" w:hAnsi="Book Antiqua" w:cs="Times New Roman" w:hint="eastAsia"/>
          <w:sz w:val="24"/>
          <w:szCs w:val="24"/>
          <w:lang w:val="en-US" w:eastAsia="zh-CN"/>
        </w:rPr>
        <w:t xml:space="preserve">; </w:t>
      </w:r>
      <w:r w:rsidR="008941FD" w:rsidRPr="00CF4A41">
        <w:rPr>
          <w:rFonts w:ascii="Book Antiqua" w:hAnsi="Book Antiqua" w:cs="Times New Roman"/>
          <w:sz w:val="24"/>
          <w:szCs w:val="24"/>
          <w:lang w:val="en-US"/>
        </w:rPr>
        <w:t xml:space="preserve">Sharpe D </w:t>
      </w:r>
      <w:r w:rsidRPr="00CF4A41">
        <w:rPr>
          <w:rFonts w:ascii="Book Antiqua" w:hAnsi="Book Antiqua" w:cs="Times New Roman"/>
          <w:sz w:val="24"/>
          <w:szCs w:val="24"/>
          <w:lang w:val="en-US"/>
        </w:rPr>
        <w:t xml:space="preserve">and </w:t>
      </w:r>
      <w:r w:rsidR="008941FD" w:rsidRPr="00CF4A41">
        <w:rPr>
          <w:rFonts w:ascii="Book Antiqua" w:hAnsi="Book Antiqua" w:cs="Times New Roman"/>
          <w:sz w:val="24"/>
          <w:szCs w:val="24"/>
          <w:lang w:val="en-US"/>
        </w:rPr>
        <w:t xml:space="preserve">Bowrey DJ </w:t>
      </w:r>
      <w:r w:rsidRPr="00CF4A41">
        <w:rPr>
          <w:rFonts w:ascii="Book Antiqua" w:hAnsi="Book Antiqua" w:cs="Times New Roman"/>
          <w:sz w:val="24"/>
          <w:szCs w:val="24"/>
          <w:lang w:val="en-US"/>
        </w:rPr>
        <w:t>analyzed data</w:t>
      </w:r>
      <w:r w:rsidR="008941FD" w:rsidRPr="00CF4A41">
        <w:rPr>
          <w:rFonts w:ascii="Book Antiqua" w:hAnsi="Book Antiqua" w:cs="Times New Roman" w:hint="eastAsia"/>
          <w:sz w:val="24"/>
          <w:szCs w:val="24"/>
          <w:lang w:val="en-US" w:eastAsia="zh-CN"/>
        </w:rPr>
        <w:t>;</w:t>
      </w:r>
      <w:r w:rsidRPr="00CF4A41">
        <w:rPr>
          <w:rFonts w:ascii="Book Antiqua" w:hAnsi="Book Antiqua" w:cs="Times New Roman"/>
          <w:sz w:val="24"/>
          <w:szCs w:val="24"/>
          <w:lang w:val="en-US"/>
        </w:rPr>
        <w:t xml:space="preserve"> </w:t>
      </w:r>
      <w:r w:rsidR="008941FD" w:rsidRPr="00CF4A41">
        <w:rPr>
          <w:rFonts w:ascii="Book Antiqua" w:hAnsi="Book Antiqua" w:cs="Times New Roman"/>
          <w:sz w:val="24"/>
          <w:szCs w:val="24"/>
          <w:lang w:val="en-US"/>
        </w:rPr>
        <w:t>Al-Taan OS</w:t>
      </w:r>
      <w:r w:rsidRPr="00CF4A41">
        <w:rPr>
          <w:rFonts w:ascii="Book Antiqua" w:hAnsi="Book Antiqua" w:cs="Times New Roman"/>
          <w:sz w:val="24"/>
          <w:szCs w:val="24"/>
          <w:lang w:val="en-US"/>
        </w:rPr>
        <w:t>,</w:t>
      </w:r>
      <w:r w:rsidR="008941FD" w:rsidRPr="00CF4A41">
        <w:rPr>
          <w:rFonts w:ascii="Book Antiqua" w:hAnsi="Book Antiqua" w:cs="Times New Roman"/>
          <w:sz w:val="24"/>
          <w:szCs w:val="24"/>
          <w:lang w:val="en-US"/>
        </w:rPr>
        <w:t xml:space="preserve"> Rodgers PM</w:t>
      </w:r>
      <w:r w:rsidRPr="00CF4A41">
        <w:rPr>
          <w:rFonts w:ascii="Book Antiqua" w:hAnsi="Book Antiqua" w:cs="Times New Roman"/>
          <w:sz w:val="24"/>
          <w:szCs w:val="24"/>
          <w:lang w:val="en-US"/>
        </w:rPr>
        <w:t xml:space="preserve">, </w:t>
      </w:r>
      <w:r w:rsidR="008941FD" w:rsidRPr="00CF4A41">
        <w:rPr>
          <w:rFonts w:ascii="Book Antiqua" w:hAnsi="Book Antiqua" w:cs="Times New Roman"/>
          <w:sz w:val="24"/>
          <w:szCs w:val="24"/>
          <w:lang w:val="en-US"/>
        </w:rPr>
        <w:t xml:space="preserve">Ubhi SS </w:t>
      </w:r>
      <w:r w:rsidR="008941FD" w:rsidRPr="00CF4A41">
        <w:rPr>
          <w:rFonts w:ascii="Book Antiqua" w:hAnsi="Book Antiqua" w:cs="Times New Roman" w:hint="eastAsia"/>
          <w:sz w:val="24"/>
          <w:szCs w:val="24"/>
          <w:lang w:val="en-US" w:eastAsia="zh-CN"/>
        </w:rPr>
        <w:t xml:space="preserve">and </w:t>
      </w:r>
      <w:r w:rsidRPr="00CF4A41">
        <w:rPr>
          <w:rFonts w:ascii="Book Antiqua" w:hAnsi="Book Antiqua" w:cs="Times New Roman"/>
          <w:sz w:val="24"/>
          <w:szCs w:val="24"/>
          <w:lang w:val="en-US"/>
        </w:rPr>
        <w:t xml:space="preserve"> </w:t>
      </w:r>
      <w:r w:rsidR="008941FD" w:rsidRPr="00CF4A41">
        <w:rPr>
          <w:rFonts w:ascii="Book Antiqua" w:hAnsi="Book Antiqua" w:cs="Times New Roman"/>
          <w:sz w:val="24"/>
          <w:szCs w:val="24"/>
          <w:lang w:val="en-US"/>
        </w:rPr>
        <w:t xml:space="preserve">Bowrey DJ </w:t>
      </w:r>
      <w:r w:rsidRPr="00CF4A41">
        <w:rPr>
          <w:rFonts w:ascii="Book Antiqua" w:hAnsi="Book Antiqua" w:cs="Times New Roman"/>
          <w:sz w:val="24"/>
          <w:szCs w:val="24"/>
          <w:lang w:val="en-US"/>
        </w:rPr>
        <w:t>wrote the paper.</w:t>
      </w:r>
    </w:p>
    <w:p w:rsidR="00C56CA5" w:rsidRPr="00613E70" w:rsidRDefault="00C56CA5" w:rsidP="00CF4A41">
      <w:pPr>
        <w:spacing w:after="0" w:line="360" w:lineRule="auto"/>
        <w:jc w:val="both"/>
        <w:rPr>
          <w:rFonts w:ascii="Book Antiqua" w:hAnsi="Book Antiqua" w:cs="Times New Roman"/>
          <w:sz w:val="24"/>
          <w:szCs w:val="24"/>
          <w:lang w:val="en-US"/>
        </w:rPr>
      </w:pPr>
    </w:p>
    <w:p w:rsidR="00C56CA5" w:rsidRPr="008941FD" w:rsidRDefault="008941FD" w:rsidP="00CF4A41">
      <w:pPr>
        <w:spacing w:after="0" w:line="360" w:lineRule="auto"/>
        <w:jc w:val="both"/>
        <w:rPr>
          <w:rFonts w:ascii="Book Antiqua" w:hAnsi="Book Antiqua"/>
          <w:b/>
          <w:sz w:val="24"/>
          <w:lang w:eastAsia="zh-CN"/>
        </w:rPr>
      </w:pPr>
      <w:r w:rsidRPr="00A7393F">
        <w:rPr>
          <w:rFonts w:ascii="Book Antiqua" w:hAnsi="Book Antiqua"/>
          <w:b/>
          <w:color w:val="000000"/>
          <w:sz w:val="24"/>
        </w:rPr>
        <w:t>Correspondence to:</w:t>
      </w:r>
      <w:r>
        <w:rPr>
          <w:rFonts w:ascii="Book Antiqua" w:hAnsi="Book Antiqua" w:hint="eastAsia"/>
          <w:b/>
          <w:color w:val="000000"/>
          <w:sz w:val="24"/>
          <w:lang w:eastAsia="zh-CN"/>
        </w:rPr>
        <w:t xml:space="preserve"> </w:t>
      </w:r>
      <w:r w:rsidR="00C56CA5" w:rsidRPr="008941FD">
        <w:rPr>
          <w:rFonts w:ascii="Book Antiqua" w:hAnsi="Book Antiqua" w:cs="Times New Roman"/>
          <w:b/>
          <w:sz w:val="24"/>
          <w:szCs w:val="24"/>
          <w:lang w:val="en-US"/>
        </w:rPr>
        <w:t>Dr</w:t>
      </w:r>
      <w:r>
        <w:rPr>
          <w:rFonts w:ascii="Book Antiqua" w:hAnsi="Book Antiqua" w:cs="Times New Roman" w:hint="eastAsia"/>
          <w:b/>
          <w:sz w:val="24"/>
          <w:szCs w:val="24"/>
          <w:lang w:val="en-US" w:eastAsia="zh-CN"/>
        </w:rPr>
        <w:t>.</w:t>
      </w:r>
      <w:r w:rsidR="00C56CA5" w:rsidRPr="008941FD">
        <w:rPr>
          <w:rFonts w:ascii="Book Antiqua" w:hAnsi="Book Antiqua" w:cs="Times New Roman"/>
          <w:b/>
          <w:sz w:val="24"/>
          <w:szCs w:val="24"/>
          <w:lang w:val="en-US"/>
        </w:rPr>
        <w:t xml:space="preserve"> David J Bowrey, </w:t>
      </w:r>
      <w:r w:rsidR="00CF4A41" w:rsidRPr="00A971B0">
        <w:rPr>
          <w:rFonts w:ascii="Book Antiqua" w:hAnsi="Book Antiqua" w:cs="Times New Roman"/>
          <w:b/>
          <w:sz w:val="24"/>
          <w:szCs w:val="24"/>
          <w:lang w:val="en-US"/>
        </w:rPr>
        <w:t>Consultant Surgeon</w:t>
      </w:r>
      <w:r w:rsidR="00CF4A41" w:rsidRPr="00A971B0">
        <w:rPr>
          <w:rFonts w:ascii="Book Antiqua" w:hAnsi="Book Antiqua" w:cs="Times New Roman" w:hint="eastAsia"/>
          <w:b/>
          <w:sz w:val="24"/>
          <w:szCs w:val="24"/>
          <w:lang w:val="en-US" w:eastAsia="zh-CN"/>
        </w:rPr>
        <w:t xml:space="preserve"> and</w:t>
      </w:r>
      <w:r w:rsidR="00C56CA5" w:rsidRPr="00A971B0">
        <w:rPr>
          <w:rFonts w:ascii="Book Antiqua" w:hAnsi="Book Antiqua" w:cs="Times New Roman"/>
          <w:b/>
          <w:sz w:val="24"/>
          <w:szCs w:val="24"/>
          <w:lang w:val="en-US"/>
        </w:rPr>
        <w:t xml:space="preserve"> Honorary Senior Lecturer,</w:t>
      </w:r>
      <w:r w:rsidR="00C56CA5" w:rsidRPr="00613E70">
        <w:rPr>
          <w:rFonts w:ascii="Book Antiqua" w:hAnsi="Book Antiqua" w:cs="Times New Roman"/>
          <w:sz w:val="24"/>
          <w:szCs w:val="24"/>
          <w:lang w:val="en-US"/>
        </w:rPr>
        <w:t xml:space="preserve"> Department of Surgery, </w:t>
      </w:r>
      <w:r w:rsidR="00FB040D" w:rsidRPr="00613E70">
        <w:rPr>
          <w:rFonts w:ascii="Book Antiqua" w:hAnsi="Book Antiqua" w:cs="Times New Roman"/>
          <w:sz w:val="24"/>
          <w:szCs w:val="24"/>
          <w:lang w:val="en-US"/>
        </w:rPr>
        <w:t>University Hospitals of Leicester,</w:t>
      </w:r>
      <w:r w:rsidR="00FB040D">
        <w:rPr>
          <w:rFonts w:ascii="Book Antiqua" w:hAnsi="Book Antiqua" w:cs="Times New Roman" w:hint="eastAsia"/>
          <w:sz w:val="24"/>
          <w:szCs w:val="24"/>
          <w:lang w:val="en-US" w:eastAsia="zh-CN"/>
        </w:rPr>
        <w:t xml:space="preserve"> </w:t>
      </w:r>
      <w:r w:rsidR="00C56CA5" w:rsidRPr="00613E70">
        <w:rPr>
          <w:rFonts w:ascii="Book Antiqua" w:hAnsi="Book Antiqua" w:cs="Times New Roman"/>
          <w:sz w:val="24"/>
          <w:szCs w:val="24"/>
          <w:lang w:val="en-US"/>
        </w:rPr>
        <w:t>Level 6 Balmoral</w:t>
      </w:r>
      <w:r w:rsidR="00C56CA5">
        <w:rPr>
          <w:rFonts w:ascii="Book Antiqua" w:hAnsi="Book Antiqua" w:cs="Times New Roman"/>
          <w:sz w:val="24"/>
          <w:szCs w:val="24"/>
          <w:lang w:val="en-US"/>
        </w:rPr>
        <w:t xml:space="preserve"> </w:t>
      </w:r>
      <w:r w:rsidR="00C56CA5" w:rsidRPr="00613E70">
        <w:rPr>
          <w:rFonts w:ascii="Book Antiqua" w:hAnsi="Book Antiqua" w:cs="Times New Roman"/>
          <w:sz w:val="24"/>
          <w:szCs w:val="24"/>
          <w:lang w:val="en-US"/>
        </w:rPr>
        <w:t xml:space="preserve">Building, Leicester Royal Infirmary, </w:t>
      </w:r>
      <w:r w:rsidR="00CF4A41" w:rsidRPr="00613E70">
        <w:rPr>
          <w:rFonts w:ascii="Book Antiqua" w:hAnsi="Book Antiqua" w:cs="Times New Roman"/>
          <w:sz w:val="24"/>
          <w:szCs w:val="24"/>
          <w:lang w:val="en-US"/>
        </w:rPr>
        <w:t xml:space="preserve">Leicester </w:t>
      </w:r>
      <w:r w:rsidR="00C56CA5" w:rsidRPr="00613E70">
        <w:rPr>
          <w:rFonts w:ascii="Book Antiqua" w:hAnsi="Book Antiqua" w:cs="Times New Roman"/>
          <w:sz w:val="24"/>
          <w:szCs w:val="24"/>
          <w:lang w:val="en-US"/>
        </w:rPr>
        <w:t xml:space="preserve">LE1 5WW, </w:t>
      </w:r>
      <w:r w:rsidRPr="008941FD">
        <w:rPr>
          <w:rFonts w:ascii="Book Antiqua" w:hAnsi="Book Antiqua" w:cs="Times New Roman"/>
          <w:sz w:val="24"/>
          <w:szCs w:val="24"/>
          <w:lang w:val="en-US"/>
        </w:rPr>
        <w:t>United Kingdom</w:t>
      </w:r>
      <w:r>
        <w:rPr>
          <w:rFonts w:ascii="Book Antiqua" w:hAnsi="Book Antiqua" w:cs="Times New Roman" w:hint="eastAsia"/>
          <w:sz w:val="24"/>
          <w:szCs w:val="24"/>
          <w:lang w:val="en-US" w:eastAsia="zh-CN"/>
        </w:rPr>
        <w:t xml:space="preserve">. </w:t>
      </w:r>
      <w:hyperlink r:id="rId8" w:history="1">
        <w:r w:rsidRPr="008941FD">
          <w:rPr>
            <w:rStyle w:val="a3"/>
            <w:rFonts w:ascii="Book Antiqua" w:hAnsi="Book Antiqua"/>
            <w:color w:val="auto"/>
            <w:sz w:val="24"/>
            <w:szCs w:val="24"/>
            <w:u w:val="none"/>
            <w:lang w:val="en-US"/>
          </w:rPr>
          <w:t>djb57@le.ac.uk</w:t>
        </w:r>
      </w:hyperlink>
    </w:p>
    <w:p w:rsidR="00C56CA5" w:rsidRDefault="00C56CA5" w:rsidP="00CF4A41">
      <w:pPr>
        <w:spacing w:after="0" w:line="360" w:lineRule="auto"/>
        <w:jc w:val="both"/>
        <w:rPr>
          <w:rFonts w:ascii="Book Antiqua" w:hAnsi="Book Antiqua" w:cs="Times New Roman"/>
          <w:sz w:val="24"/>
          <w:szCs w:val="24"/>
          <w:lang w:val="en-US" w:eastAsia="zh-CN"/>
        </w:rPr>
      </w:pPr>
      <w:r w:rsidRPr="008941FD">
        <w:rPr>
          <w:rFonts w:ascii="Book Antiqua" w:hAnsi="Book Antiqua" w:cs="Times New Roman"/>
          <w:b/>
          <w:sz w:val="24"/>
          <w:szCs w:val="24"/>
          <w:lang w:val="en-US"/>
        </w:rPr>
        <w:t>Tel</w:t>
      </w:r>
      <w:r w:rsidR="008941FD" w:rsidRPr="008941FD">
        <w:rPr>
          <w:rFonts w:ascii="Book Antiqua" w:hAnsi="Book Antiqua" w:cs="Times New Roman" w:hint="eastAsia"/>
          <w:b/>
          <w:sz w:val="24"/>
          <w:szCs w:val="24"/>
          <w:lang w:val="en-US" w:eastAsia="zh-CN"/>
        </w:rPr>
        <w:t>ephone</w:t>
      </w:r>
      <w:r w:rsidRPr="00613E70">
        <w:rPr>
          <w:rFonts w:ascii="Book Antiqua" w:hAnsi="Book Antiqua" w:cs="Times New Roman"/>
          <w:sz w:val="24"/>
          <w:szCs w:val="24"/>
          <w:lang w:val="en-US"/>
        </w:rPr>
        <w:t>:</w:t>
      </w:r>
      <w:r w:rsidR="008941FD" w:rsidRPr="00613E70">
        <w:rPr>
          <w:rFonts w:ascii="Book Antiqua" w:hAnsi="Book Antiqua" w:cs="Times New Roman"/>
          <w:sz w:val="24"/>
          <w:szCs w:val="24"/>
          <w:lang w:val="en-US"/>
        </w:rPr>
        <w:t xml:space="preserve"> </w:t>
      </w:r>
      <w:r w:rsidRPr="00613E70">
        <w:rPr>
          <w:rFonts w:ascii="Book Antiqua" w:hAnsi="Book Antiqua" w:cs="Times New Roman"/>
          <w:sz w:val="24"/>
          <w:szCs w:val="24"/>
          <w:lang w:val="en-US"/>
        </w:rPr>
        <w:t>+44</w:t>
      </w:r>
      <w:r w:rsidR="008941FD">
        <w:rPr>
          <w:rFonts w:ascii="Book Antiqua" w:hAnsi="Book Antiqua" w:cs="Times New Roman" w:hint="eastAsia"/>
          <w:sz w:val="24"/>
          <w:szCs w:val="24"/>
          <w:lang w:val="en-US" w:eastAsia="zh-CN"/>
        </w:rPr>
        <w:t>-</w:t>
      </w:r>
      <w:r w:rsidRPr="00613E70">
        <w:rPr>
          <w:rFonts w:ascii="Book Antiqua" w:hAnsi="Book Antiqua" w:cs="Times New Roman"/>
          <w:sz w:val="24"/>
          <w:szCs w:val="24"/>
          <w:lang w:val="en-US"/>
        </w:rPr>
        <w:t>116</w:t>
      </w:r>
      <w:r w:rsidR="008941FD">
        <w:rPr>
          <w:rFonts w:ascii="Book Antiqua" w:hAnsi="Book Antiqua" w:cs="Times New Roman" w:hint="eastAsia"/>
          <w:sz w:val="24"/>
          <w:szCs w:val="24"/>
          <w:lang w:val="en-US" w:eastAsia="zh-CN"/>
        </w:rPr>
        <w:t>-</w:t>
      </w:r>
      <w:r w:rsidR="008941FD">
        <w:rPr>
          <w:rFonts w:ascii="Book Antiqua" w:hAnsi="Book Antiqua" w:cs="Times New Roman"/>
          <w:sz w:val="24"/>
          <w:szCs w:val="24"/>
          <w:lang w:val="en-US"/>
        </w:rPr>
        <w:t>2585247</w:t>
      </w:r>
      <w:r w:rsidR="008941FD">
        <w:rPr>
          <w:rFonts w:ascii="Book Antiqua" w:hAnsi="Book Antiqua" w:cs="Times New Roman"/>
          <w:sz w:val="24"/>
          <w:szCs w:val="24"/>
          <w:lang w:val="en-US"/>
        </w:rPr>
        <w:tab/>
      </w:r>
      <w:r w:rsidR="008941FD" w:rsidRPr="008941FD">
        <w:rPr>
          <w:rFonts w:ascii="Book Antiqua" w:hAnsi="Book Antiqua" w:cs="Times New Roman"/>
          <w:b/>
          <w:sz w:val="24"/>
          <w:szCs w:val="24"/>
          <w:lang w:val="en-US"/>
        </w:rPr>
        <w:t>Fax</w:t>
      </w:r>
      <w:r w:rsidR="008941FD">
        <w:rPr>
          <w:rFonts w:ascii="Book Antiqua" w:hAnsi="Book Antiqua" w:cs="Times New Roman"/>
          <w:sz w:val="24"/>
          <w:szCs w:val="24"/>
          <w:lang w:val="en-US"/>
        </w:rPr>
        <w:t xml:space="preserve">: </w:t>
      </w:r>
      <w:r w:rsidRPr="00613E70">
        <w:rPr>
          <w:rFonts w:ascii="Book Antiqua" w:hAnsi="Book Antiqua" w:cs="Times New Roman"/>
          <w:sz w:val="24"/>
          <w:szCs w:val="24"/>
          <w:lang w:val="en-US"/>
        </w:rPr>
        <w:t>+44</w:t>
      </w:r>
      <w:r w:rsidR="008941FD">
        <w:rPr>
          <w:rFonts w:ascii="Book Antiqua" w:hAnsi="Book Antiqua" w:cs="Times New Roman" w:hint="eastAsia"/>
          <w:sz w:val="24"/>
          <w:szCs w:val="24"/>
          <w:lang w:val="en-US" w:eastAsia="zh-CN"/>
        </w:rPr>
        <w:t>-</w:t>
      </w:r>
      <w:r w:rsidRPr="00613E70">
        <w:rPr>
          <w:rFonts w:ascii="Book Antiqua" w:hAnsi="Book Antiqua" w:cs="Times New Roman"/>
          <w:sz w:val="24"/>
          <w:szCs w:val="24"/>
          <w:lang w:val="en-US"/>
        </w:rPr>
        <w:t>116</w:t>
      </w:r>
      <w:r w:rsidR="008941FD">
        <w:rPr>
          <w:rFonts w:ascii="Book Antiqua" w:hAnsi="Book Antiqua" w:cs="Times New Roman" w:hint="eastAsia"/>
          <w:sz w:val="24"/>
          <w:szCs w:val="24"/>
          <w:lang w:val="en-US" w:eastAsia="zh-CN"/>
        </w:rPr>
        <w:t>-</w:t>
      </w:r>
      <w:r w:rsidR="008941FD">
        <w:rPr>
          <w:rFonts w:ascii="Book Antiqua" w:hAnsi="Book Antiqua" w:cs="Times New Roman"/>
          <w:sz w:val="24"/>
          <w:szCs w:val="24"/>
          <w:lang w:val="en-US"/>
        </w:rPr>
        <w:t>258</w:t>
      </w:r>
      <w:r w:rsidRPr="00613E70">
        <w:rPr>
          <w:rFonts w:ascii="Book Antiqua" w:hAnsi="Book Antiqua" w:cs="Times New Roman"/>
          <w:sz w:val="24"/>
          <w:szCs w:val="24"/>
          <w:lang w:val="en-US"/>
        </w:rPr>
        <w:t>6083</w:t>
      </w:r>
      <w:r w:rsidRPr="00613E70">
        <w:rPr>
          <w:rFonts w:ascii="Book Antiqua" w:hAnsi="Book Antiqua" w:cs="Times New Roman"/>
          <w:sz w:val="24"/>
          <w:szCs w:val="24"/>
          <w:lang w:val="en-US"/>
        </w:rPr>
        <w:tab/>
      </w:r>
    </w:p>
    <w:p w:rsidR="00CF4A41" w:rsidRDefault="00CF4A41" w:rsidP="00CF4A41">
      <w:pPr>
        <w:spacing w:after="0" w:line="360" w:lineRule="auto"/>
        <w:jc w:val="both"/>
        <w:rPr>
          <w:rFonts w:ascii="Book Antiqua" w:hAnsi="Book Antiqua" w:cs="Times New Roman"/>
          <w:sz w:val="24"/>
          <w:szCs w:val="24"/>
          <w:lang w:val="en-US" w:eastAsia="zh-CN"/>
        </w:rPr>
      </w:pPr>
    </w:p>
    <w:p w:rsidR="008941FD" w:rsidRPr="008941FD" w:rsidRDefault="008941FD" w:rsidP="00CF4A41">
      <w:pPr>
        <w:spacing w:after="0" w:line="360" w:lineRule="auto"/>
        <w:jc w:val="both"/>
        <w:rPr>
          <w:rFonts w:ascii="Book Antiqua" w:hAnsi="Book Antiqua"/>
          <w:color w:val="000000"/>
          <w:sz w:val="24"/>
          <w:lang w:eastAsia="zh-CN"/>
        </w:rPr>
      </w:pPr>
      <w:bookmarkStart w:id="4" w:name="OLE_LINK4"/>
      <w:bookmarkStart w:id="5" w:name="OLE_LINK5"/>
      <w:bookmarkStart w:id="6" w:name="OLE_LINK332"/>
      <w:bookmarkStart w:id="7" w:name="OLE_LINK329"/>
      <w:bookmarkStart w:id="8" w:name="OLE_LINK381"/>
      <w:r w:rsidRPr="00A7393F">
        <w:rPr>
          <w:rFonts w:ascii="Book Antiqua" w:hAnsi="Book Antiqua"/>
          <w:b/>
          <w:color w:val="000000"/>
          <w:sz w:val="24"/>
        </w:rPr>
        <w:t xml:space="preserve">Received:  </w:t>
      </w:r>
      <w:r w:rsidRPr="008941FD">
        <w:rPr>
          <w:rFonts w:ascii="Book Antiqua" w:hAnsi="Book Antiqua"/>
          <w:color w:val="000000"/>
          <w:sz w:val="24"/>
          <w:lang w:eastAsia="zh-CN"/>
        </w:rPr>
        <w:t>November</w:t>
      </w:r>
      <w:r w:rsidRPr="008941FD">
        <w:rPr>
          <w:rFonts w:ascii="Book Antiqua" w:hAnsi="Book Antiqua" w:hint="eastAsia"/>
          <w:color w:val="000000"/>
          <w:sz w:val="24"/>
          <w:lang w:eastAsia="zh-CN"/>
        </w:rPr>
        <w:t xml:space="preserve"> 12, 2013</w:t>
      </w:r>
      <w:r>
        <w:rPr>
          <w:rFonts w:ascii="Book Antiqua" w:hAnsi="Book Antiqua" w:hint="eastAsia"/>
          <w:b/>
          <w:color w:val="000000"/>
          <w:sz w:val="24"/>
          <w:lang w:eastAsia="zh-CN"/>
        </w:rPr>
        <w:tab/>
      </w:r>
      <w:r>
        <w:rPr>
          <w:rFonts w:ascii="Book Antiqua" w:hAnsi="Book Antiqua" w:hint="eastAsia"/>
          <w:b/>
          <w:color w:val="000000"/>
          <w:sz w:val="24"/>
          <w:lang w:eastAsia="zh-CN"/>
        </w:rPr>
        <w:tab/>
      </w:r>
      <w:r w:rsidRPr="00A7393F">
        <w:rPr>
          <w:rFonts w:ascii="Book Antiqua" w:hAnsi="Book Antiqua"/>
          <w:b/>
          <w:color w:val="000000"/>
          <w:sz w:val="24"/>
        </w:rPr>
        <w:t>Revised</w:t>
      </w:r>
      <w:r>
        <w:rPr>
          <w:rFonts w:ascii="Book Antiqua" w:hAnsi="Book Antiqua" w:hint="eastAsia"/>
          <w:b/>
          <w:color w:val="000000"/>
          <w:sz w:val="24"/>
        </w:rPr>
        <w:t>:</w:t>
      </w:r>
      <w:r>
        <w:rPr>
          <w:rFonts w:ascii="Book Antiqua" w:hAnsi="Book Antiqua" w:hint="eastAsia"/>
          <w:b/>
          <w:color w:val="000000"/>
          <w:sz w:val="24"/>
          <w:lang w:eastAsia="zh-CN"/>
        </w:rPr>
        <w:t xml:space="preserve"> </w:t>
      </w:r>
      <w:r w:rsidRPr="008941FD">
        <w:rPr>
          <w:rFonts w:ascii="Book Antiqua" w:hAnsi="Book Antiqua"/>
          <w:color w:val="000000"/>
          <w:sz w:val="24"/>
          <w:lang w:eastAsia="zh-CN"/>
        </w:rPr>
        <w:t>February</w:t>
      </w:r>
      <w:r w:rsidRPr="008941FD">
        <w:rPr>
          <w:rFonts w:ascii="Book Antiqua" w:hAnsi="Book Antiqua" w:hint="eastAsia"/>
          <w:color w:val="000000"/>
          <w:sz w:val="24"/>
          <w:lang w:eastAsia="zh-CN"/>
        </w:rPr>
        <w:t xml:space="preserve"> 19, 2014</w:t>
      </w:r>
    </w:p>
    <w:p w:rsidR="00353B56" w:rsidRPr="00DE65A0" w:rsidRDefault="008941FD" w:rsidP="00353B56">
      <w:pPr>
        <w:rPr>
          <w:rFonts w:ascii="Book Antiqua" w:hAnsi="Book Antiqua"/>
          <w:sz w:val="24"/>
          <w:szCs w:val="24"/>
        </w:rPr>
      </w:pPr>
      <w:r w:rsidRPr="00A7393F">
        <w:rPr>
          <w:rFonts w:ascii="Book Antiqua" w:hAnsi="Book Antiqua"/>
          <w:b/>
          <w:color w:val="000000"/>
          <w:sz w:val="24"/>
        </w:rPr>
        <w:t xml:space="preserve">Accepted: </w:t>
      </w:r>
      <w:r w:rsidR="00353B56" w:rsidRPr="00DE65A0">
        <w:rPr>
          <w:rFonts w:ascii="Book Antiqua" w:hAnsi="Book Antiqua"/>
          <w:sz w:val="24"/>
          <w:szCs w:val="24"/>
        </w:rPr>
        <w:t>April 11, 2014</w:t>
      </w:r>
    </w:p>
    <w:p w:rsidR="008941FD" w:rsidRPr="00A7393F" w:rsidRDefault="008941FD" w:rsidP="00CF4A41">
      <w:pPr>
        <w:spacing w:after="0" w:line="360" w:lineRule="auto"/>
        <w:jc w:val="both"/>
        <w:rPr>
          <w:rFonts w:ascii="Book Antiqua" w:hAnsi="Book Antiqua"/>
          <w:b/>
          <w:color w:val="000000"/>
          <w:sz w:val="24"/>
        </w:rPr>
      </w:pPr>
    </w:p>
    <w:p w:rsidR="008941FD" w:rsidRPr="00A7393F" w:rsidRDefault="008941FD" w:rsidP="00CF4A41">
      <w:pPr>
        <w:spacing w:after="0" w:line="360" w:lineRule="auto"/>
        <w:jc w:val="both"/>
        <w:rPr>
          <w:rFonts w:ascii="Book Antiqua" w:hAnsi="Book Antiqua"/>
          <w:color w:val="000000"/>
          <w:sz w:val="24"/>
        </w:rPr>
      </w:pPr>
      <w:r w:rsidRPr="00A7393F">
        <w:rPr>
          <w:rFonts w:ascii="Book Antiqua" w:hAnsi="Book Antiqua"/>
          <w:b/>
          <w:color w:val="000000"/>
          <w:sz w:val="24"/>
        </w:rPr>
        <w:t xml:space="preserve">Published online: </w:t>
      </w:r>
    </w:p>
    <w:bookmarkEnd w:id="4"/>
    <w:bookmarkEnd w:id="5"/>
    <w:bookmarkEnd w:id="6"/>
    <w:bookmarkEnd w:id="7"/>
    <w:bookmarkEnd w:id="8"/>
    <w:p w:rsidR="00C56CA5" w:rsidRPr="00613E70" w:rsidRDefault="00C56CA5" w:rsidP="00CF4A41">
      <w:pPr>
        <w:spacing w:after="0" w:line="360" w:lineRule="auto"/>
        <w:jc w:val="both"/>
        <w:rPr>
          <w:rFonts w:ascii="Book Antiqua" w:hAnsi="Book Antiqua" w:cs="Times New Roman"/>
          <w:b/>
          <w:bCs/>
          <w:sz w:val="24"/>
          <w:szCs w:val="24"/>
          <w:lang w:val="en-US" w:eastAsia="zh-CN"/>
        </w:rPr>
      </w:pPr>
      <w:r w:rsidRPr="00613E70">
        <w:rPr>
          <w:rFonts w:ascii="Book Antiqua" w:hAnsi="Book Antiqua" w:cs="Times New Roman"/>
          <w:b/>
          <w:bCs/>
          <w:sz w:val="24"/>
          <w:szCs w:val="24"/>
          <w:lang w:val="en-US"/>
        </w:rPr>
        <w:br w:type="page"/>
      </w:r>
      <w:r w:rsidR="008941FD">
        <w:rPr>
          <w:rFonts w:ascii="Book Antiqua" w:hAnsi="Book Antiqua" w:cs="Times New Roman"/>
          <w:b/>
          <w:bCs/>
          <w:sz w:val="24"/>
          <w:szCs w:val="24"/>
          <w:lang w:val="en-US"/>
        </w:rPr>
        <w:lastRenderedPageBreak/>
        <w:t>Abstract</w:t>
      </w:r>
    </w:p>
    <w:p w:rsidR="00C56CA5" w:rsidRDefault="008941FD" w:rsidP="00CF4A41">
      <w:pPr>
        <w:spacing w:after="0" w:line="360" w:lineRule="auto"/>
        <w:jc w:val="both"/>
        <w:rPr>
          <w:rFonts w:ascii="Book Antiqua" w:hAnsi="Book Antiqua" w:cs="Times New Roman"/>
          <w:sz w:val="24"/>
          <w:szCs w:val="24"/>
          <w:lang w:val="en-US" w:eastAsia="zh-CN"/>
        </w:rPr>
      </w:pPr>
      <w:r w:rsidRPr="00613E70">
        <w:rPr>
          <w:rFonts w:ascii="Book Antiqua" w:hAnsi="Book Antiqua" w:cs="Times New Roman"/>
          <w:b/>
          <w:bCs/>
          <w:sz w:val="24"/>
          <w:szCs w:val="24"/>
          <w:lang w:val="en-US"/>
        </w:rPr>
        <w:t>AIM</w:t>
      </w:r>
      <w:r w:rsidR="00C56CA5" w:rsidRPr="00613E70">
        <w:rPr>
          <w:rFonts w:ascii="Book Antiqua" w:hAnsi="Book Antiqua" w:cs="Times New Roman"/>
          <w:b/>
          <w:bCs/>
          <w:sz w:val="24"/>
          <w:szCs w:val="24"/>
          <w:lang w:val="en-US"/>
        </w:rPr>
        <w:t xml:space="preserve">: </w:t>
      </w:r>
      <w:r w:rsidR="00C56CA5" w:rsidRPr="00613E70">
        <w:rPr>
          <w:rFonts w:ascii="Book Antiqua" w:hAnsi="Book Antiqua" w:cs="Times New Roman"/>
          <w:sz w:val="24"/>
          <w:szCs w:val="24"/>
          <w:lang w:val="en-US"/>
        </w:rPr>
        <w:t xml:space="preserve">To evaluate the influence of </w:t>
      </w:r>
      <w:r w:rsidR="00C56CA5">
        <w:rPr>
          <w:rFonts w:ascii="Book Antiqua" w:hAnsi="Book Antiqua" w:cs="Times New Roman"/>
          <w:sz w:val="24"/>
          <w:szCs w:val="24"/>
          <w:lang w:val="en-US"/>
        </w:rPr>
        <w:t xml:space="preserve">baseline </w:t>
      </w:r>
      <w:r w:rsidR="00ED15AD" w:rsidRPr="00613E70">
        <w:rPr>
          <w:rFonts w:ascii="Book Antiqua" w:hAnsi="Book Antiqua" w:cs="Times New Roman"/>
          <w:sz w:val="24"/>
          <w:szCs w:val="24"/>
          <w:lang w:val="en-US"/>
        </w:rPr>
        <w:t>maximum standardized uptake value (SUV</w:t>
      </w:r>
      <w:r w:rsidR="00ED15AD" w:rsidRPr="008941FD">
        <w:rPr>
          <w:rFonts w:ascii="Book Antiqua" w:hAnsi="Book Antiqua" w:cs="Times New Roman"/>
          <w:sz w:val="24"/>
          <w:szCs w:val="24"/>
          <w:vertAlign w:val="subscript"/>
          <w:lang w:val="en-US"/>
        </w:rPr>
        <w:t>max</w:t>
      </w:r>
      <w:r w:rsidR="00ED15AD" w:rsidRPr="00613E70">
        <w:rPr>
          <w:rFonts w:ascii="Book Antiqua" w:hAnsi="Book Antiqua" w:cs="Times New Roman"/>
          <w:sz w:val="24"/>
          <w:szCs w:val="24"/>
          <w:lang w:val="en-US"/>
        </w:rPr>
        <w:t>)</w:t>
      </w:r>
      <w:r w:rsidR="00ED15AD">
        <w:rPr>
          <w:rFonts w:ascii="Book Antiqua" w:hAnsi="Book Antiqua" w:cs="Times New Roman" w:hint="eastAsia"/>
          <w:sz w:val="24"/>
          <w:szCs w:val="24"/>
          <w:lang w:val="en-US" w:eastAsia="zh-CN"/>
        </w:rPr>
        <w:t xml:space="preserve"> </w:t>
      </w:r>
      <w:r w:rsidR="00C56CA5" w:rsidRPr="00613E70">
        <w:rPr>
          <w:rFonts w:ascii="Book Antiqua" w:hAnsi="Book Antiqua" w:cs="Times New Roman"/>
          <w:sz w:val="24"/>
          <w:szCs w:val="24"/>
          <w:lang w:val="en-US"/>
        </w:rPr>
        <w:t xml:space="preserve">on </w:t>
      </w:r>
      <w:r w:rsidR="00C56CA5">
        <w:rPr>
          <w:rFonts w:ascii="Book Antiqua" w:hAnsi="Book Antiqua" w:cs="Times New Roman"/>
          <w:sz w:val="24"/>
          <w:szCs w:val="24"/>
          <w:lang w:val="en-US"/>
        </w:rPr>
        <w:t xml:space="preserve">survival </w:t>
      </w:r>
      <w:r w:rsidR="00C56CA5" w:rsidRPr="00613E70">
        <w:rPr>
          <w:rFonts w:ascii="Book Antiqua" w:hAnsi="Book Antiqua" w:cs="Times New Roman"/>
          <w:sz w:val="24"/>
          <w:szCs w:val="24"/>
          <w:lang w:val="en-US"/>
        </w:rPr>
        <w:t xml:space="preserve">in a cohort of patients, undergoing </w:t>
      </w:r>
      <w:r w:rsidR="00FB040D" w:rsidRPr="00FB040D">
        <w:rPr>
          <w:rFonts w:ascii="Book Antiqua" w:hAnsi="Book Antiqua" w:cs="Times New Roman"/>
          <w:sz w:val="24"/>
          <w:szCs w:val="24"/>
          <w:lang w:val="en-US"/>
        </w:rPr>
        <w:t>positron emission tomography</w:t>
      </w:r>
      <w:r w:rsidR="00FB040D">
        <w:rPr>
          <w:rFonts w:ascii="Book Antiqua" w:hAnsi="Book Antiqua" w:cs="Times New Roman" w:hint="eastAsia"/>
          <w:sz w:val="24"/>
          <w:szCs w:val="24"/>
          <w:lang w:val="en-US" w:eastAsia="zh-CN"/>
        </w:rPr>
        <w:t>-</w:t>
      </w:r>
      <w:r w:rsidR="00FB040D" w:rsidRPr="00FB040D">
        <w:rPr>
          <w:rFonts w:ascii="Book Antiqua" w:hAnsi="Book Antiqua" w:cs="Times New Roman"/>
          <w:sz w:val="24"/>
          <w:szCs w:val="24"/>
          <w:lang w:val="en-US" w:eastAsia="zh-CN"/>
        </w:rPr>
        <w:t xml:space="preserve">computed tomography </w:t>
      </w:r>
      <w:r w:rsidR="00FB040D">
        <w:rPr>
          <w:rFonts w:ascii="Book Antiqua" w:hAnsi="Book Antiqua" w:cs="Times New Roman" w:hint="eastAsia"/>
          <w:sz w:val="24"/>
          <w:szCs w:val="24"/>
          <w:lang w:val="en-US" w:eastAsia="zh-CN"/>
        </w:rPr>
        <w:t>(</w:t>
      </w:r>
      <w:r w:rsidR="00C56CA5" w:rsidRPr="00613E70">
        <w:rPr>
          <w:rFonts w:ascii="Book Antiqua" w:hAnsi="Book Antiqua" w:cs="Times New Roman"/>
          <w:sz w:val="24"/>
          <w:szCs w:val="24"/>
          <w:lang w:val="en-US"/>
        </w:rPr>
        <w:t>PET-CT</w:t>
      </w:r>
      <w:r w:rsidR="00FB040D">
        <w:rPr>
          <w:rFonts w:ascii="Book Antiqua" w:hAnsi="Book Antiqua" w:cs="Times New Roman" w:hint="eastAsia"/>
          <w:sz w:val="24"/>
          <w:szCs w:val="24"/>
          <w:lang w:val="en-US" w:eastAsia="zh-CN"/>
        </w:rPr>
        <w:t>)</w:t>
      </w:r>
      <w:r w:rsidR="00C56CA5" w:rsidRPr="00613E70">
        <w:rPr>
          <w:rFonts w:ascii="Book Antiqua" w:hAnsi="Book Antiqua" w:cs="Times New Roman"/>
          <w:sz w:val="24"/>
          <w:szCs w:val="24"/>
          <w:lang w:val="en-US"/>
        </w:rPr>
        <w:t xml:space="preserve"> scan for esophageal carcinoma.</w:t>
      </w:r>
    </w:p>
    <w:p w:rsidR="008941FD" w:rsidRPr="00613E70" w:rsidRDefault="008941FD" w:rsidP="00CF4A41">
      <w:pPr>
        <w:spacing w:after="0" w:line="360" w:lineRule="auto"/>
        <w:jc w:val="both"/>
        <w:rPr>
          <w:rFonts w:ascii="Book Antiqua" w:hAnsi="Book Antiqua" w:cs="Times New Roman"/>
          <w:sz w:val="24"/>
          <w:szCs w:val="24"/>
          <w:lang w:val="en-US" w:eastAsia="zh-CN"/>
        </w:rPr>
      </w:pPr>
    </w:p>
    <w:p w:rsidR="00C56CA5" w:rsidRDefault="008941FD" w:rsidP="00CF4A41">
      <w:pPr>
        <w:spacing w:after="0" w:line="360" w:lineRule="auto"/>
        <w:jc w:val="both"/>
        <w:rPr>
          <w:rFonts w:ascii="Book Antiqua" w:hAnsi="Book Antiqua" w:cs="Times New Roman"/>
          <w:sz w:val="24"/>
          <w:szCs w:val="24"/>
          <w:lang w:val="en-US" w:eastAsia="zh-CN"/>
        </w:rPr>
      </w:pPr>
      <w:r w:rsidRPr="00613E70">
        <w:rPr>
          <w:rFonts w:ascii="Book Antiqua" w:hAnsi="Book Antiqua" w:cs="Times New Roman"/>
          <w:b/>
          <w:bCs/>
          <w:sz w:val="24"/>
          <w:szCs w:val="24"/>
          <w:lang w:val="en-US"/>
        </w:rPr>
        <w:t>METHODS</w:t>
      </w:r>
      <w:r w:rsidR="00C56CA5" w:rsidRPr="00613E70">
        <w:rPr>
          <w:rFonts w:ascii="Book Antiqua" w:hAnsi="Book Antiqua" w:cs="Times New Roman"/>
          <w:b/>
          <w:bCs/>
          <w:sz w:val="24"/>
          <w:szCs w:val="24"/>
          <w:lang w:val="en-US"/>
        </w:rPr>
        <w:t>:</w:t>
      </w:r>
      <w:r w:rsidR="00C56CA5" w:rsidRPr="00613E70">
        <w:rPr>
          <w:rFonts w:ascii="Book Antiqua" w:hAnsi="Book Antiqua" w:cs="Times New Roman"/>
          <w:sz w:val="24"/>
          <w:szCs w:val="24"/>
          <w:lang w:val="en-US"/>
        </w:rPr>
        <w:t xml:space="preserve"> The </w:t>
      </w:r>
      <w:r w:rsidR="00C56CA5">
        <w:rPr>
          <w:rFonts w:ascii="Book Antiqua" w:hAnsi="Book Antiqua" w:cs="Times New Roman"/>
          <w:sz w:val="24"/>
          <w:szCs w:val="24"/>
          <w:lang w:val="en-US"/>
        </w:rPr>
        <w:t xml:space="preserve">pre-treatment </w:t>
      </w:r>
      <w:r w:rsidR="00C56CA5" w:rsidRPr="00613E70">
        <w:rPr>
          <w:rFonts w:ascii="Book Antiqua" w:hAnsi="Book Antiqua" w:cs="Times New Roman"/>
          <w:sz w:val="24"/>
          <w:szCs w:val="24"/>
          <w:lang w:val="en-US"/>
        </w:rPr>
        <w:t>SUV</w:t>
      </w:r>
      <w:r w:rsidR="00C56CA5" w:rsidRPr="00613E70">
        <w:rPr>
          <w:rFonts w:ascii="Book Antiqua" w:hAnsi="Book Antiqua" w:cs="Times New Roman"/>
          <w:sz w:val="24"/>
          <w:szCs w:val="24"/>
          <w:vertAlign w:val="subscript"/>
          <w:lang w:val="en-US"/>
        </w:rPr>
        <w:t>max</w:t>
      </w:r>
      <w:r w:rsidR="00C56CA5">
        <w:rPr>
          <w:rFonts w:ascii="Book Antiqua" w:hAnsi="Book Antiqua" w:cs="Times New Roman"/>
          <w:sz w:val="24"/>
          <w:szCs w:val="24"/>
          <w:vertAlign w:val="subscript"/>
          <w:lang w:val="en-US"/>
        </w:rPr>
        <w:t xml:space="preserve"> </w:t>
      </w:r>
      <w:r w:rsidR="00C56CA5" w:rsidRPr="00613E70">
        <w:rPr>
          <w:rFonts w:ascii="Book Antiqua" w:hAnsi="Book Antiqua" w:cs="Times New Roman"/>
          <w:sz w:val="24"/>
          <w:szCs w:val="24"/>
          <w:lang w:val="en-US"/>
        </w:rPr>
        <w:t xml:space="preserve">numeric reading was determined in patients with confirmed esophageal </w:t>
      </w:r>
      <w:r w:rsidR="00C56CA5">
        <w:rPr>
          <w:rFonts w:ascii="Book Antiqua" w:hAnsi="Book Antiqua" w:cs="Times New Roman"/>
          <w:sz w:val="24"/>
          <w:szCs w:val="24"/>
          <w:lang w:val="en-US"/>
        </w:rPr>
        <w:t xml:space="preserve">or junctional </w:t>
      </w:r>
      <w:r w:rsidR="00C56CA5" w:rsidRPr="00613E70">
        <w:rPr>
          <w:rFonts w:ascii="Book Antiqua" w:hAnsi="Book Antiqua" w:cs="Times New Roman"/>
          <w:sz w:val="24"/>
          <w:szCs w:val="24"/>
          <w:lang w:val="en-US"/>
        </w:rPr>
        <w:t>cancer having PET-CT scan during the time period 1</w:t>
      </w:r>
      <w:r w:rsidR="00C56CA5" w:rsidRPr="00613E70">
        <w:rPr>
          <w:rFonts w:ascii="Book Antiqua" w:hAnsi="Book Antiqua" w:cs="Times New Roman"/>
          <w:sz w:val="24"/>
          <w:szCs w:val="24"/>
          <w:vertAlign w:val="superscript"/>
          <w:lang w:val="en-US"/>
        </w:rPr>
        <w:t>st</w:t>
      </w:r>
      <w:r w:rsidR="00C56CA5" w:rsidRPr="00613E70">
        <w:rPr>
          <w:rFonts w:ascii="Book Antiqua" w:hAnsi="Book Antiqua" w:cs="Times New Roman"/>
          <w:sz w:val="24"/>
          <w:szCs w:val="24"/>
          <w:lang w:val="en-US"/>
        </w:rPr>
        <w:t xml:space="preserve"> January 2007 until 31</w:t>
      </w:r>
      <w:r w:rsidR="00C56CA5" w:rsidRPr="00613E70">
        <w:rPr>
          <w:rFonts w:ascii="Book Antiqua" w:hAnsi="Book Antiqua" w:cs="Times New Roman"/>
          <w:sz w:val="24"/>
          <w:szCs w:val="24"/>
          <w:vertAlign w:val="superscript"/>
          <w:lang w:val="en-US"/>
        </w:rPr>
        <w:t>st</w:t>
      </w:r>
      <w:r>
        <w:rPr>
          <w:rFonts w:ascii="Book Antiqua" w:hAnsi="Book Antiqua" w:cs="Times New Roman" w:hint="eastAsia"/>
          <w:sz w:val="24"/>
          <w:szCs w:val="24"/>
          <w:vertAlign w:val="superscript"/>
          <w:lang w:val="en-US" w:eastAsia="zh-CN"/>
        </w:rPr>
        <w:t xml:space="preserve"> </w:t>
      </w:r>
      <w:r w:rsidR="00C56CA5" w:rsidRPr="00613E70">
        <w:rPr>
          <w:rFonts w:ascii="Book Antiqua" w:hAnsi="Book Antiqua" w:cs="Times New Roman"/>
          <w:sz w:val="24"/>
          <w:szCs w:val="24"/>
          <w:lang w:val="en-US"/>
        </w:rPr>
        <w:t>July 2012</w:t>
      </w:r>
      <w:r w:rsidR="00C56CA5">
        <w:rPr>
          <w:rFonts w:ascii="Book Antiqua" w:hAnsi="Book Antiqua" w:cs="Times New Roman"/>
          <w:sz w:val="24"/>
          <w:szCs w:val="24"/>
          <w:lang w:val="en-US"/>
        </w:rPr>
        <w:t>. A</w:t>
      </w:r>
      <w:r w:rsidR="00C56CA5" w:rsidRPr="00613E70">
        <w:rPr>
          <w:rFonts w:ascii="Book Antiqua" w:hAnsi="Book Antiqua" w:cs="Times New Roman"/>
          <w:sz w:val="24"/>
          <w:szCs w:val="24"/>
          <w:lang w:val="en-US"/>
        </w:rPr>
        <w:t xml:space="preserve"> minimum follow up of 12 mo was </w:t>
      </w:r>
      <w:r w:rsidR="00C56CA5">
        <w:rPr>
          <w:rFonts w:ascii="Book Antiqua" w:hAnsi="Book Antiqua" w:cs="Times New Roman"/>
          <w:sz w:val="24"/>
          <w:szCs w:val="24"/>
          <w:lang w:val="en-US"/>
        </w:rPr>
        <w:t>required</w:t>
      </w:r>
      <w:r w:rsidR="00C56CA5" w:rsidRPr="00613E70">
        <w:rPr>
          <w:rFonts w:ascii="Book Antiqua" w:hAnsi="Book Antiqua" w:cs="Times New Roman"/>
          <w:sz w:val="24"/>
          <w:szCs w:val="24"/>
          <w:lang w:val="en-US"/>
        </w:rPr>
        <w:t>. Patients were subdivided into quartiles according to SUV</w:t>
      </w:r>
      <w:r w:rsidR="00C56CA5" w:rsidRPr="00613E70">
        <w:rPr>
          <w:rFonts w:ascii="Book Antiqua" w:hAnsi="Book Antiqua" w:cs="Times New Roman"/>
          <w:sz w:val="24"/>
          <w:szCs w:val="24"/>
          <w:vertAlign w:val="subscript"/>
          <w:lang w:val="en-US"/>
        </w:rPr>
        <w:t>max</w:t>
      </w:r>
      <w:r w:rsidR="00C56CA5" w:rsidRPr="00613E70">
        <w:rPr>
          <w:rFonts w:ascii="Book Antiqua" w:hAnsi="Book Antiqua" w:cs="Times New Roman"/>
          <w:sz w:val="24"/>
          <w:szCs w:val="24"/>
          <w:lang w:val="en-US"/>
        </w:rPr>
        <w:t xml:space="preserve"> value and </w:t>
      </w:r>
      <w:r w:rsidR="00C56CA5">
        <w:rPr>
          <w:rFonts w:ascii="Book Antiqua" w:hAnsi="Book Antiqua" w:cs="Times New Roman"/>
          <w:sz w:val="24"/>
          <w:szCs w:val="24"/>
          <w:lang w:val="en-US"/>
        </w:rPr>
        <w:t xml:space="preserve">the </w:t>
      </w:r>
      <w:r w:rsidR="00C56CA5" w:rsidRPr="00613E70">
        <w:rPr>
          <w:rFonts w:ascii="Book Antiqua" w:hAnsi="Book Antiqua" w:cs="Times New Roman"/>
          <w:sz w:val="24"/>
          <w:szCs w:val="24"/>
          <w:lang w:val="en-US"/>
        </w:rPr>
        <w:t xml:space="preserve">influence </w:t>
      </w:r>
      <w:r w:rsidR="00C56CA5">
        <w:rPr>
          <w:rFonts w:ascii="Book Antiqua" w:hAnsi="Book Antiqua" w:cs="Times New Roman"/>
          <w:sz w:val="24"/>
          <w:szCs w:val="24"/>
          <w:lang w:val="en-US"/>
        </w:rPr>
        <w:t>of SUV</w:t>
      </w:r>
      <w:r w:rsidR="00C56CA5" w:rsidRPr="008941FD">
        <w:rPr>
          <w:rFonts w:ascii="Book Antiqua" w:hAnsi="Book Antiqua" w:cs="Times New Roman"/>
          <w:sz w:val="24"/>
          <w:szCs w:val="24"/>
          <w:vertAlign w:val="subscript"/>
          <w:lang w:val="en-US"/>
        </w:rPr>
        <w:t>max</w:t>
      </w:r>
      <w:r w:rsidR="00C56CA5">
        <w:rPr>
          <w:rFonts w:ascii="Book Antiqua" w:hAnsi="Book Antiqua" w:cs="Times New Roman"/>
          <w:sz w:val="24"/>
          <w:szCs w:val="24"/>
          <w:lang w:val="en-US"/>
        </w:rPr>
        <w:t xml:space="preserve"> </w:t>
      </w:r>
      <w:r w:rsidR="00C56CA5" w:rsidRPr="00613E70">
        <w:rPr>
          <w:rFonts w:ascii="Book Antiqua" w:hAnsi="Book Antiqua" w:cs="Times New Roman"/>
          <w:sz w:val="24"/>
          <w:szCs w:val="24"/>
          <w:lang w:val="en-US"/>
        </w:rPr>
        <w:t xml:space="preserve">on </w:t>
      </w:r>
      <w:r w:rsidR="00C56CA5">
        <w:rPr>
          <w:rFonts w:ascii="Book Antiqua" w:hAnsi="Book Antiqua" w:cs="Times New Roman"/>
          <w:sz w:val="24"/>
          <w:szCs w:val="24"/>
          <w:lang w:val="en-US"/>
        </w:rPr>
        <w:t xml:space="preserve">survival </w:t>
      </w:r>
      <w:r w:rsidR="00C56CA5" w:rsidRPr="00613E70">
        <w:rPr>
          <w:rFonts w:ascii="Book Antiqua" w:hAnsi="Book Antiqua" w:cs="Times New Roman"/>
          <w:sz w:val="24"/>
          <w:szCs w:val="24"/>
          <w:lang w:val="en-US"/>
        </w:rPr>
        <w:t xml:space="preserve">was assessed using univariate and multivariate analysis. </w:t>
      </w:r>
      <w:r w:rsidR="00C56CA5">
        <w:rPr>
          <w:rFonts w:ascii="Book Antiqua" w:hAnsi="Book Antiqua" w:cs="Times New Roman"/>
          <w:sz w:val="24"/>
          <w:szCs w:val="24"/>
          <w:lang w:val="en-US"/>
        </w:rPr>
        <w:t xml:space="preserve">The following pre-treatment factors were investigated: patient characteristics, tumor characteristics and planned treatment. </w:t>
      </w:r>
    </w:p>
    <w:p w:rsidR="008941FD" w:rsidRPr="00613E70" w:rsidRDefault="008941FD" w:rsidP="00CF4A41">
      <w:pPr>
        <w:spacing w:after="0" w:line="360" w:lineRule="auto"/>
        <w:jc w:val="both"/>
        <w:rPr>
          <w:rFonts w:ascii="Book Antiqua" w:hAnsi="Book Antiqua" w:cs="Times New Roman"/>
          <w:sz w:val="24"/>
          <w:szCs w:val="24"/>
          <w:lang w:val="en-US" w:eastAsia="zh-CN"/>
        </w:rPr>
      </w:pPr>
    </w:p>
    <w:p w:rsidR="00C56CA5" w:rsidRDefault="008941FD" w:rsidP="00CF4A41">
      <w:pPr>
        <w:spacing w:after="0" w:line="360" w:lineRule="auto"/>
        <w:jc w:val="both"/>
        <w:rPr>
          <w:rFonts w:ascii="Book Antiqua" w:hAnsi="Book Antiqua" w:cs="Times New Roman"/>
          <w:sz w:val="24"/>
          <w:szCs w:val="24"/>
          <w:lang w:val="en-US" w:eastAsia="zh-CN"/>
        </w:rPr>
      </w:pPr>
      <w:r w:rsidRPr="00613E70">
        <w:rPr>
          <w:rFonts w:ascii="Book Antiqua" w:hAnsi="Book Antiqua" w:cs="Times New Roman"/>
          <w:b/>
          <w:bCs/>
          <w:sz w:val="24"/>
          <w:szCs w:val="24"/>
          <w:lang w:val="en-US"/>
        </w:rPr>
        <w:t>RESULT</w:t>
      </w:r>
      <w:r w:rsidR="00C56CA5" w:rsidRPr="00613E70">
        <w:rPr>
          <w:rFonts w:ascii="Book Antiqua" w:hAnsi="Book Antiqua" w:cs="Times New Roman"/>
          <w:b/>
          <w:bCs/>
          <w:sz w:val="24"/>
          <w:szCs w:val="24"/>
          <w:lang w:val="en-US"/>
        </w:rPr>
        <w:t xml:space="preserve">: </w:t>
      </w:r>
      <w:r w:rsidR="00C56CA5" w:rsidRPr="00613E70">
        <w:rPr>
          <w:rFonts w:ascii="Book Antiqua" w:hAnsi="Book Antiqua" w:cs="Times New Roman"/>
          <w:sz w:val="24"/>
          <w:szCs w:val="24"/>
          <w:lang w:val="en-US"/>
        </w:rPr>
        <w:t>The study population was 271 patients (191 male) with esophageal or junctional carcinoma. The median age was 65 years (range 40-85) and histologic subtype was adenocarcinoma in 197 patients and squamous carcinoma in 74 patients. The treatment intent was radical in 18</w:t>
      </w:r>
      <w:r w:rsidR="00C56CA5">
        <w:rPr>
          <w:rFonts w:ascii="Book Antiqua" w:hAnsi="Book Antiqua" w:cs="Times New Roman"/>
          <w:sz w:val="24"/>
          <w:szCs w:val="24"/>
          <w:lang w:val="en-US"/>
        </w:rPr>
        <w:t>2</w:t>
      </w:r>
      <w:r w:rsidR="00C56CA5" w:rsidRPr="00613E70">
        <w:rPr>
          <w:rFonts w:ascii="Book Antiqua" w:hAnsi="Book Antiqua" w:cs="Times New Roman"/>
          <w:sz w:val="24"/>
          <w:szCs w:val="24"/>
          <w:lang w:val="en-US"/>
        </w:rPr>
        <w:t xml:space="preserve"> and palliative in </w:t>
      </w:r>
      <w:r w:rsidR="00C56CA5">
        <w:rPr>
          <w:rFonts w:ascii="Book Antiqua" w:hAnsi="Book Antiqua" w:cs="Times New Roman"/>
          <w:sz w:val="24"/>
          <w:szCs w:val="24"/>
          <w:lang w:val="en-US"/>
        </w:rPr>
        <w:t>89</w:t>
      </w:r>
      <w:r w:rsidR="00C56CA5" w:rsidRPr="00613E70">
        <w:rPr>
          <w:rFonts w:ascii="Book Antiqua" w:hAnsi="Book Antiqua" w:cs="Times New Roman"/>
          <w:sz w:val="24"/>
          <w:szCs w:val="24"/>
          <w:lang w:val="en-US"/>
        </w:rPr>
        <w:t xml:space="preserve"> patients. SUV</w:t>
      </w:r>
      <w:r w:rsidR="00C56CA5" w:rsidRPr="00613E70">
        <w:rPr>
          <w:rFonts w:ascii="Book Antiqua" w:hAnsi="Book Antiqua" w:cs="Times New Roman"/>
          <w:sz w:val="24"/>
          <w:szCs w:val="24"/>
          <w:vertAlign w:val="subscript"/>
          <w:lang w:val="en-US"/>
        </w:rPr>
        <w:t>max</w:t>
      </w:r>
      <w:r w:rsidR="00C56CA5" w:rsidRPr="00613E70">
        <w:rPr>
          <w:rFonts w:ascii="Book Antiqua" w:hAnsi="Book Antiqua" w:cs="Times New Roman"/>
          <w:sz w:val="24"/>
          <w:szCs w:val="24"/>
          <w:lang w:val="en-US"/>
        </w:rPr>
        <w:t xml:space="preserve"> was linked to histologic subtype (</w:t>
      </w:r>
      <w:r w:rsidRPr="008941FD">
        <w:rPr>
          <w:rFonts w:ascii="Book Antiqua" w:hAnsi="Book Antiqua" w:cs="Times New Roman"/>
          <w:i/>
          <w:sz w:val="24"/>
          <w:szCs w:val="24"/>
          <w:lang w:val="en-US"/>
        </w:rPr>
        <w:t>P</w:t>
      </w:r>
      <w:r w:rsidRPr="008941FD">
        <w:rPr>
          <w:rFonts w:ascii="Book Antiqua" w:hAnsi="Book Antiqua" w:cs="Times New Roman"/>
          <w:i/>
          <w:sz w:val="24"/>
          <w:szCs w:val="24"/>
          <w:lang w:val="en-US" w:eastAsia="zh-CN"/>
        </w:rPr>
        <w:t xml:space="preserve"> </w:t>
      </w:r>
      <w:r w:rsidR="00C56CA5" w:rsidRPr="00613E70">
        <w:rPr>
          <w:rFonts w:ascii="Book Antiqua" w:hAnsi="Book Antiqua" w:cs="Times New Roman"/>
          <w:sz w:val="24"/>
          <w:szCs w:val="24"/>
          <w:lang w:val="en-US"/>
        </w:rPr>
        <w:t>=</w:t>
      </w:r>
      <w:r>
        <w:rPr>
          <w:rFonts w:ascii="Book Antiqua" w:hAnsi="Book Antiqua" w:cs="Times New Roman" w:hint="eastAsia"/>
          <w:sz w:val="24"/>
          <w:szCs w:val="24"/>
          <w:lang w:val="en-US" w:eastAsia="zh-CN"/>
        </w:rPr>
        <w:t xml:space="preserve"> </w:t>
      </w:r>
      <w:r w:rsidR="00C56CA5" w:rsidRPr="00613E70">
        <w:rPr>
          <w:rFonts w:ascii="Book Antiqua" w:hAnsi="Book Antiqua" w:cs="Times New Roman"/>
          <w:sz w:val="24"/>
          <w:szCs w:val="24"/>
          <w:lang w:val="en-US"/>
        </w:rPr>
        <w:t>0.008), tumor site (</w:t>
      </w:r>
      <w:r w:rsidRPr="008941FD">
        <w:rPr>
          <w:rFonts w:ascii="Book Antiqua" w:hAnsi="Book Antiqua" w:cs="Times New Roman"/>
          <w:i/>
          <w:sz w:val="24"/>
          <w:szCs w:val="24"/>
          <w:lang w:val="en-US"/>
        </w:rPr>
        <w:t>P</w:t>
      </w:r>
      <w:r w:rsidRPr="008941FD">
        <w:rPr>
          <w:rFonts w:ascii="Book Antiqua" w:hAnsi="Book Antiqua" w:cs="Times New Roman"/>
          <w:i/>
          <w:sz w:val="24"/>
          <w:szCs w:val="24"/>
          <w:lang w:val="en-US" w:eastAsia="zh-CN"/>
        </w:rPr>
        <w:t xml:space="preserve"> </w:t>
      </w:r>
      <w:r w:rsidR="00C56CA5" w:rsidRPr="00613E70">
        <w:rPr>
          <w:rFonts w:ascii="Book Antiqua" w:hAnsi="Book Antiqua" w:cs="Times New Roman"/>
          <w:sz w:val="24"/>
          <w:szCs w:val="24"/>
          <w:lang w:val="en-US"/>
        </w:rPr>
        <w:t>=</w:t>
      </w:r>
      <w:r>
        <w:rPr>
          <w:rFonts w:ascii="Book Antiqua" w:hAnsi="Book Antiqua" w:cs="Times New Roman" w:hint="eastAsia"/>
          <w:sz w:val="24"/>
          <w:szCs w:val="24"/>
          <w:lang w:val="en-US" w:eastAsia="zh-CN"/>
        </w:rPr>
        <w:t xml:space="preserve"> </w:t>
      </w:r>
      <w:r w:rsidR="00C56CA5" w:rsidRPr="00613E70">
        <w:rPr>
          <w:rFonts w:ascii="Book Antiqua" w:hAnsi="Book Antiqua" w:cs="Times New Roman"/>
          <w:sz w:val="24"/>
          <w:szCs w:val="24"/>
          <w:lang w:val="en-US"/>
        </w:rPr>
        <w:t>0.01) and UICC stage (</w:t>
      </w:r>
      <w:r w:rsidRPr="008941FD">
        <w:rPr>
          <w:rFonts w:ascii="Book Antiqua" w:hAnsi="Book Antiqua" w:cs="Times New Roman"/>
          <w:i/>
          <w:sz w:val="24"/>
          <w:szCs w:val="24"/>
          <w:lang w:val="en-US"/>
        </w:rPr>
        <w:t>P</w:t>
      </w:r>
      <w:r w:rsidRPr="008941FD">
        <w:rPr>
          <w:rFonts w:ascii="Book Antiqua" w:hAnsi="Book Antiqua" w:cs="Times New Roman"/>
          <w:i/>
          <w:sz w:val="24"/>
          <w:szCs w:val="24"/>
          <w:lang w:val="en-US" w:eastAsia="zh-CN"/>
        </w:rPr>
        <w:t xml:space="preserve"> </w:t>
      </w:r>
      <w:r w:rsidR="00C56CA5" w:rsidRPr="00613E70">
        <w:rPr>
          <w:rFonts w:ascii="Book Antiqua" w:hAnsi="Book Antiqua" w:cs="Times New Roman"/>
          <w:sz w:val="24"/>
          <w:szCs w:val="24"/>
          <w:lang w:val="en-US"/>
        </w:rPr>
        <w:t>&lt;</w:t>
      </w:r>
      <w:r>
        <w:rPr>
          <w:rFonts w:ascii="Book Antiqua" w:hAnsi="Book Antiqua" w:cs="Times New Roman" w:hint="eastAsia"/>
          <w:sz w:val="24"/>
          <w:szCs w:val="24"/>
          <w:lang w:val="en-US" w:eastAsia="zh-CN"/>
        </w:rPr>
        <w:t xml:space="preserve"> </w:t>
      </w:r>
      <w:r w:rsidR="00C56CA5" w:rsidRPr="00613E70">
        <w:rPr>
          <w:rFonts w:ascii="Book Antiqua" w:hAnsi="Book Antiqua" w:cs="Times New Roman"/>
          <w:sz w:val="24"/>
          <w:szCs w:val="24"/>
          <w:lang w:val="en-US"/>
        </w:rPr>
        <w:t>0.001). On univariate analysis, prognosis was significantly associated with SUV</w:t>
      </w:r>
      <w:r w:rsidR="00C56CA5" w:rsidRPr="008941FD">
        <w:rPr>
          <w:rFonts w:ascii="Book Antiqua" w:hAnsi="Book Antiqua" w:cs="Times New Roman"/>
          <w:sz w:val="24"/>
          <w:szCs w:val="24"/>
          <w:vertAlign w:val="subscript"/>
          <w:lang w:val="en-US"/>
        </w:rPr>
        <w:t>max</w:t>
      </w:r>
      <w:r w:rsidR="00C56CA5" w:rsidRPr="00613E70">
        <w:rPr>
          <w:rFonts w:ascii="Book Antiqua" w:hAnsi="Book Antiqua" w:cs="Times New Roman"/>
          <w:sz w:val="24"/>
          <w:szCs w:val="24"/>
          <w:lang w:val="en-US"/>
        </w:rPr>
        <w:t xml:space="preserve"> (</w:t>
      </w:r>
      <w:r w:rsidRPr="008941FD">
        <w:rPr>
          <w:rFonts w:ascii="Book Antiqua" w:hAnsi="Book Antiqua" w:cs="Times New Roman"/>
          <w:i/>
          <w:sz w:val="24"/>
          <w:szCs w:val="24"/>
          <w:lang w:val="en-US"/>
        </w:rPr>
        <w:t>P</w:t>
      </w:r>
      <w:r w:rsidRPr="008941FD">
        <w:rPr>
          <w:rFonts w:ascii="Book Antiqua" w:hAnsi="Book Antiqua" w:cs="Times New Roman"/>
          <w:i/>
          <w:sz w:val="24"/>
          <w:szCs w:val="24"/>
          <w:lang w:val="en-US" w:eastAsia="zh-CN"/>
        </w:rPr>
        <w:t xml:space="preserve"> </w:t>
      </w:r>
      <w:r w:rsidR="00C56CA5" w:rsidRPr="00613E70">
        <w:rPr>
          <w:rFonts w:ascii="Book Antiqua" w:hAnsi="Book Antiqua" w:cs="Times New Roman"/>
          <w:sz w:val="24"/>
          <w:szCs w:val="24"/>
          <w:lang w:val="en-US"/>
        </w:rPr>
        <w:t>=</w:t>
      </w:r>
      <w:r>
        <w:rPr>
          <w:rFonts w:ascii="Book Antiqua" w:hAnsi="Book Antiqua" w:cs="Times New Roman" w:hint="eastAsia"/>
          <w:sz w:val="24"/>
          <w:szCs w:val="24"/>
          <w:lang w:val="en-US" w:eastAsia="zh-CN"/>
        </w:rPr>
        <w:t xml:space="preserve"> </w:t>
      </w:r>
      <w:r w:rsidR="00C56CA5" w:rsidRPr="00613E70">
        <w:rPr>
          <w:rFonts w:ascii="Book Antiqua" w:hAnsi="Book Antiqua" w:cs="Times New Roman"/>
          <w:sz w:val="24"/>
          <w:szCs w:val="24"/>
          <w:lang w:val="en-US"/>
        </w:rPr>
        <w:t>0.001), T-stage (</w:t>
      </w:r>
      <w:r w:rsidRPr="008941FD">
        <w:rPr>
          <w:rFonts w:ascii="Book Antiqua" w:hAnsi="Book Antiqua" w:cs="Times New Roman"/>
          <w:i/>
          <w:sz w:val="24"/>
          <w:szCs w:val="24"/>
          <w:lang w:val="en-US"/>
        </w:rPr>
        <w:t>P</w:t>
      </w:r>
      <w:r w:rsidRPr="008941FD">
        <w:rPr>
          <w:rFonts w:ascii="Book Antiqua" w:hAnsi="Book Antiqua" w:cs="Times New Roman"/>
          <w:i/>
          <w:sz w:val="24"/>
          <w:szCs w:val="24"/>
          <w:lang w:val="en-US" w:eastAsia="zh-CN"/>
        </w:rPr>
        <w:t xml:space="preserve"> </w:t>
      </w:r>
      <w:r w:rsidR="00C56CA5" w:rsidRPr="00613E70">
        <w:rPr>
          <w:rFonts w:ascii="Book Antiqua" w:hAnsi="Book Antiqua" w:cs="Times New Roman"/>
          <w:sz w:val="24"/>
          <w:szCs w:val="24"/>
          <w:lang w:val="en-US"/>
        </w:rPr>
        <w:t>&lt;</w:t>
      </w:r>
      <w:r>
        <w:rPr>
          <w:rFonts w:ascii="Book Antiqua" w:hAnsi="Book Antiqua" w:cs="Times New Roman" w:hint="eastAsia"/>
          <w:sz w:val="24"/>
          <w:szCs w:val="24"/>
          <w:lang w:val="en-US" w:eastAsia="zh-CN"/>
        </w:rPr>
        <w:t xml:space="preserve"> </w:t>
      </w:r>
      <w:r w:rsidR="00C56CA5" w:rsidRPr="00613E70">
        <w:rPr>
          <w:rFonts w:ascii="Book Antiqua" w:hAnsi="Book Antiqua" w:cs="Times New Roman"/>
          <w:sz w:val="24"/>
          <w:szCs w:val="24"/>
          <w:lang w:val="en-US"/>
        </w:rPr>
        <w:t>0.001) and UICC stage (</w:t>
      </w:r>
      <w:r w:rsidRPr="008941FD">
        <w:rPr>
          <w:rFonts w:ascii="Book Antiqua" w:hAnsi="Book Antiqua" w:cs="Times New Roman"/>
          <w:i/>
          <w:sz w:val="24"/>
          <w:szCs w:val="24"/>
          <w:lang w:val="en-US"/>
        </w:rPr>
        <w:t>P</w:t>
      </w:r>
      <w:r w:rsidRPr="008941FD">
        <w:rPr>
          <w:rFonts w:ascii="Book Antiqua" w:hAnsi="Book Antiqua" w:cs="Times New Roman"/>
          <w:i/>
          <w:sz w:val="24"/>
          <w:szCs w:val="24"/>
          <w:lang w:val="en-US" w:eastAsia="zh-CN"/>
        </w:rPr>
        <w:t xml:space="preserve"> </w:t>
      </w:r>
      <w:r w:rsidR="00C56CA5" w:rsidRPr="00613E70">
        <w:rPr>
          <w:rFonts w:ascii="Book Antiqua" w:hAnsi="Book Antiqua" w:cs="Times New Roman"/>
          <w:sz w:val="24"/>
          <w:szCs w:val="24"/>
          <w:lang w:val="en-US"/>
        </w:rPr>
        <w:t>&lt;</w:t>
      </w:r>
      <w:r>
        <w:rPr>
          <w:rFonts w:ascii="Book Antiqua" w:hAnsi="Book Antiqua" w:cs="Times New Roman" w:hint="eastAsia"/>
          <w:sz w:val="24"/>
          <w:szCs w:val="24"/>
          <w:lang w:val="en-US" w:eastAsia="zh-CN"/>
        </w:rPr>
        <w:t xml:space="preserve"> </w:t>
      </w:r>
      <w:r w:rsidR="00C56CA5" w:rsidRPr="00613E70">
        <w:rPr>
          <w:rFonts w:ascii="Book Antiqua" w:hAnsi="Book Antiqua" w:cs="Times New Roman"/>
          <w:sz w:val="24"/>
          <w:szCs w:val="24"/>
          <w:lang w:val="en-US"/>
        </w:rPr>
        <w:t xml:space="preserve">0.001). On multivariate analysis, only T-stage and UICC stage remained significant.  </w:t>
      </w:r>
    </w:p>
    <w:p w:rsidR="008941FD" w:rsidRPr="00613E70" w:rsidRDefault="008941FD" w:rsidP="00CF4A41">
      <w:pPr>
        <w:spacing w:after="0" w:line="360" w:lineRule="auto"/>
        <w:jc w:val="both"/>
        <w:rPr>
          <w:rFonts w:ascii="Book Antiqua" w:hAnsi="Book Antiqua" w:cs="Times New Roman"/>
          <w:sz w:val="24"/>
          <w:szCs w:val="24"/>
          <w:lang w:val="en-US" w:eastAsia="zh-CN"/>
        </w:rPr>
      </w:pPr>
    </w:p>
    <w:p w:rsidR="00C56CA5" w:rsidRPr="00613E70" w:rsidRDefault="008941FD" w:rsidP="00CF4A41">
      <w:pPr>
        <w:spacing w:after="0" w:line="360" w:lineRule="auto"/>
        <w:jc w:val="both"/>
        <w:rPr>
          <w:rFonts w:ascii="Book Antiqua" w:hAnsi="Book Antiqua" w:cs="Times New Roman"/>
          <w:sz w:val="24"/>
          <w:szCs w:val="24"/>
          <w:lang w:val="en-US"/>
        </w:rPr>
      </w:pPr>
      <w:r w:rsidRPr="00613E70">
        <w:rPr>
          <w:rFonts w:ascii="Book Antiqua" w:hAnsi="Book Antiqua" w:cs="Times New Roman"/>
          <w:b/>
          <w:bCs/>
          <w:sz w:val="24"/>
          <w:szCs w:val="24"/>
          <w:lang w:val="en-US"/>
        </w:rPr>
        <w:t>CONCLUSION</w:t>
      </w:r>
      <w:r w:rsidR="00C56CA5" w:rsidRPr="00613E70">
        <w:rPr>
          <w:rFonts w:ascii="Book Antiqua" w:hAnsi="Book Antiqua" w:cs="Times New Roman"/>
          <w:b/>
          <w:bCs/>
          <w:sz w:val="24"/>
          <w:szCs w:val="24"/>
          <w:lang w:val="en-US"/>
        </w:rPr>
        <w:t>:</w:t>
      </w:r>
      <w:r w:rsidR="00C56CA5" w:rsidRPr="00613E70">
        <w:rPr>
          <w:rFonts w:ascii="Book Antiqua" w:hAnsi="Book Antiqua" w:cs="Times New Roman"/>
          <w:sz w:val="24"/>
          <w:szCs w:val="24"/>
          <w:lang w:val="en-US"/>
        </w:rPr>
        <w:t xml:space="preserve"> Pretreatment SUV</w:t>
      </w:r>
      <w:r w:rsidR="00C56CA5" w:rsidRPr="008941FD">
        <w:rPr>
          <w:rFonts w:ascii="Book Antiqua" w:hAnsi="Book Antiqua" w:cs="Times New Roman"/>
          <w:sz w:val="24"/>
          <w:szCs w:val="24"/>
          <w:vertAlign w:val="subscript"/>
          <w:lang w:val="en-US"/>
        </w:rPr>
        <w:t>max</w:t>
      </w:r>
      <w:r w:rsidR="00C56CA5" w:rsidRPr="00613E70">
        <w:rPr>
          <w:rFonts w:ascii="Book Antiqua" w:hAnsi="Book Antiqua" w:cs="Times New Roman"/>
          <w:sz w:val="24"/>
          <w:szCs w:val="24"/>
          <w:lang w:val="en-US"/>
        </w:rPr>
        <w:t xml:space="preserve"> was not a useful marker in isolation for determining prognosis of patients with esophageal carcinoma.</w:t>
      </w:r>
    </w:p>
    <w:p w:rsidR="00C56CA5" w:rsidRPr="00613E70" w:rsidRDefault="00C56CA5" w:rsidP="00CF4A41">
      <w:pPr>
        <w:spacing w:after="0" w:line="360" w:lineRule="auto"/>
        <w:jc w:val="both"/>
        <w:rPr>
          <w:rFonts w:ascii="Book Antiqua" w:hAnsi="Book Antiqua" w:cs="Times New Roman"/>
          <w:sz w:val="24"/>
          <w:szCs w:val="24"/>
          <w:lang w:val="en-US"/>
        </w:rPr>
      </w:pPr>
    </w:p>
    <w:p w:rsidR="008941FD" w:rsidRDefault="008941FD" w:rsidP="00CF4A41">
      <w:pPr>
        <w:spacing w:after="0" w:line="360" w:lineRule="auto"/>
        <w:jc w:val="both"/>
        <w:rPr>
          <w:rFonts w:ascii="Book Antiqua" w:hAnsi="Book Antiqua"/>
          <w:sz w:val="24"/>
          <w:lang w:eastAsia="zh-CN"/>
        </w:rPr>
      </w:pPr>
      <w:bookmarkStart w:id="9" w:name="OLE_LINK344"/>
      <w:bookmarkStart w:id="10" w:name="OLE_LINK345"/>
      <w:r w:rsidRPr="00A7393F">
        <w:rPr>
          <w:rFonts w:ascii="Book Antiqua" w:hAnsi="Book Antiqua"/>
          <w:sz w:val="24"/>
        </w:rPr>
        <w:t>©</w:t>
      </w:r>
      <w:r>
        <w:rPr>
          <w:rFonts w:ascii="Book Antiqua" w:hAnsi="Book Antiqua" w:hint="eastAsia"/>
          <w:sz w:val="24"/>
        </w:rPr>
        <w:t xml:space="preserve"> </w:t>
      </w:r>
      <w:r w:rsidRPr="000116DB">
        <w:rPr>
          <w:rFonts w:ascii="Book Antiqua" w:hAnsi="Book Antiqua"/>
          <w:sz w:val="24"/>
        </w:rPr>
        <w:t>201</w:t>
      </w:r>
      <w:r>
        <w:rPr>
          <w:rFonts w:ascii="Book Antiqua" w:hAnsi="Book Antiqua" w:hint="eastAsia"/>
          <w:sz w:val="24"/>
        </w:rPr>
        <w:t>4</w:t>
      </w:r>
      <w:r w:rsidRPr="000116DB">
        <w:rPr>
          <w:rFonts w:ascii="Book Antiqua" w:hAnsi="Book Antiqua"/>
          <w:sz w:val="24"/>
        </w:rPr>
        <w:t xml:space="preserve"> Baishideng Publishing Group Co., Limited. All rights reserved.</w:t>
      </w:r>
    </w:p>
    <w:p w:rsidR="008941FD" w:rsidRPr="00A7393F" w:rsidRDefault="008941FD" w:rsidP="00CF4A41">
      <w:pPr>
        <w:spacing w:after="0" w:line="360" w:lineRule="auto"/>
        <w:jc w:val="both"/>
        <w:rPr>
          <w:rFonts w:ascii="Book Antiqua" w:hAnsi="Book Antiqua"/>
          <w:sz w:val="24"/>
          <w:lang w:eastAsia="zh-CN"/>
        </w:rPr>
      </w:pPr>
    </w:p>
    <w:bookmarkEnd w:id="9"/>
    <w:bookmarkEnd w:id="10"/>
    <w:p w:rsidR="008941FD" w:rsidRPr="00613E70" w:rsidRDefault="008941FD" w:rsidP="00CF4A41">
      <w:pPr>
        <w:spacing w:after="0" w:line="360" w:lineRule="auto"/>
        <w:jc w:val="both"/>
        <w:rPr>
          <w:rFonts w:ascii="Book Antiqua" w:hAnsi="Book Antiqua" w:cs="Times New Roman"/>
          <w:sz w:val="24"/>
          <w:szCs w:val="24"/>
          <w:lang w:val="en-US"/>
        </w:rPr>
      </w:pPr>
      <w:r w:rsidRPr="00613E70">
        <w:rPr>
          <w:rFonts w:ascii="Book Antiqua" w:hAnsi="Book Antiqua" w:cs="Times New Roman"/>
          <w:b/>
          <w:sz w:val="24"/>
          <w:szCs w:val="24"/>
          <w:lang w:val="en-US"/>
        </w:rPr>
        <w:lastRenderedPageBreak/>
        <w:t>Key words</w:t>
      </w:r>
      <w:r w:rsidRPr="00613E70">
        <w:rPr>
          <w:rFonts w:ascii="Book Antiqua" w:hAnsi="Book Antiqua" w:cs="Times New Roman"/>
          <w:sz w:val="24"/>
          <w:szCs w:val="24"/>
          <w:lang w:val="en-US"/>
        </w:rPr>
        <w:t>: Esophageal neoplasms</w:t>
      </w:r>
      <w:r>
        <w:rPr>
          <w:rFonts w:ascii="Book Antiqua" w:hAnsi="Book Antiqua" w:cs="Times New Roman" w:hint="eastAsia"/>
          <w:sz w:val="24"/>
          <w:szCs w:val="24"/>
          <w:lang w:val="en-US" w:eastAsia="zh-CN"/>
        </w:rPr>
        <w:t xml:space="preserve">; </w:t>
      </w:r>
      <w:r w:rsidRPr="00613E70">
        <w:rPr>
          <w:rFonts w:ascii="Book Antiqua" w:hAnsi="Book Antiqua" w:cs="Times New Roman"/>
          <w:sz w:val="24"/>
          <w:szCs w:val="24"/>
          <w:lang w:val="en-US"/>
        </w:rPr>
        <w:t>Fluorodeoxyglucose F18</w:t>
      </w:r>
      <w:r>
        <w:rPr>
          <w:rFonts w:ascii="Book Antiqua" w:hAnsi="Book Antiqua" w:cs="Times New Roman" w:hint="eastAsia"/>
          <w:sz w:val="24"/>
          <w:szCs w:val="24"/>
          <w:lang w:val="en-US" w:eastAsia="zh-CN"/>
        </w:rPr>
        <w:t>;</w:t>
      </w:r>
      <w:r w:rsidRPr="00613E70">
        <w:rPr>
          <w:rFonts w:ascii="Book Antiqua" w:hAnsi="Book Antiqua" w:cs="Times New Roman"/>
          <w:sz w:val="24"/>
          <w:szCs w:val="24"/>
          <w:lang w:val="en-US"/>
        </w:rPr>
        <w:t xml:space="preserve"> Positron-emission tomography</w:t>
      </w:r>
      <w:r>
        <w:rPr>
          <w:rFonts w:ascii="Book Antiqua" w:hAnsi="Book Antiqua" w:cs="Times New Roman" w:hint="eastAsia"/>
          <w:sz w:val="24"/>
          <w:szCs w:val="24"/>
          <w:lang w:val="en-US" w:eastAsia="zh-CN"/>
        </w:rPr>
        <w:t xml:space="preserve">; </w:t>
      </w:r>
      <w:hyperlink r:id="rId9" w:history="1">
        <w:r w:rsidRPr="00613E70">
          <w:rPr>
            <w:rStyle w:val="a3"/>
            <w:rFonts w:ascii="Book Antiqua" w:hAnsi="Book Antiqua"/>
            <w:color w:val="auto"/>
            <w:sz w:val="24"/>
            <w:szCs w:val="24"/>
            <w:u w:val="none"/>
            <w:lang w:val="en-US"/>
          </w:rPr>
          <w:t>Positron-emission tomography and computed tomography</w:t>
        </w:r>
      </w:hyperlink>
      <w:r>
        <w:rPr>
          <w:rFonts w:ascii="Book Antiqua" w:hAnsi="Book Antiqua" w:cs="Times New Roman" w:hint="eastAsia"/>
          <w:sz w:val="24"/>
          <w:szCs w:val="24"/>
          <w:lang w:val="en-US" w:eastAsia="zh-CN"/>
        </w:rPr>
        <w:t xml:space="preserve">; </w:t>
      </w:r>
      <w:r w:rsidRPr="00613E70">
        <w:rPr>
          <w:rFonts w:ascii="Book Antiqua" w:hAnsi="Book Antiqua" w:cs="Times New Roman"/>
          <w:sz w:val="24"/>
          <w:szCs w:val="24"/>
          <w:lang w:val="en-US"/>
        </w:rPr>
        <w:t>Prognosis</w:t>
      </w:r>
    </w:p>
    <w:p w:rsidR="00C56CA5" w:rsidRPr="008941FD" w:rsidRDefault="00C56CA5" w:rsidP="00CF4A41">
      <w:pPr>
        <w:spacing w:after="0" w:line="360" w:lineRule="auto"/>
        <w:jc w:val="both"/>
        <w:rPr>
          <w:rFonts w:ascii="Book Antiqua" w:hAnsi="Book Antiqua" w:cs="Times New Roman"/>
          <w:sz w:val="24"/>
          <w:szCs w:val="24"/>
          <w:lang w:val="en-US"/>
        </w:rPr>
      </w:pPr>
    </w:p>
    <w:p w:rsidR="008941FD" w:rsidRDefault="008941FD" w:rsidP="00CF4A41">
      <w:pPr>
        <w:spacing w:after="0" w:line="360" w:lineRule="auto"/>
        <w:jc w:val="both"/>
        <w:rPr>
          <w:rFonts w:ascii="Book Antiqua" w:hAnsi="Book Antiqua" w:cs="Arial Unicode MS"/>
          <w:sz w:val="24"/>
          <w:lang w:eastAsia="zh-CN"/>
        </w:rPr>
      </w:pPr>
      <w:bookmarkStart w:id="11" w:name="OLE_LINK156"/>
      <w:bookmarkStart w:id="12" w:name="OLE_LINK158"/>
      <w:bookmarkStart w:id="13" w:name="OLE_LINK206"/>
      <w:bookmarkStart w:id="14" w:name="OLE_LINK210"/>
      <w:bookmarkStart w:id="15" w:name="OLE_LINK230"/>
      <w:r w:rsidRPr="00A7393F">
        <w:rPr>
          <w:rFonts w:ascii="Book Antiqua" w:eastAsia="Times New Roman" w:hAnsi="Book Antiqua" w:cs="Arial Unicode MS"/>
          <w:b/>
          <w:sz w:val="24"/>
        </w:rPr>
        <w:t>Core tip:</w:t>
      </w:r>
      <w:r w:rsidR="00FB040D" w:rsidRPr="00FB040D">
        <w:rPr>
          <w:rFonts w:ascii="Book Antiqua" w:hAnsi="Book Antiqua" w:cs="Times New Roman"/>
          <w:sz w:val="24"/>
          <w:szCs w:val="24"/>
          <w:lang w:val="en-US"/>
        </w:rPr>
        <w:t xml:space="preserve"> Positron emission tomography</w:t>
      </w:r>
      <w:r w:rsidR="00FB040D">
        <w:rPr>
          <w:rFonts w:ascii="Book Antiqua" w:hAnsi="Book Antiqua" w:cs="Times New Roman" w:hint="eastAsia"/>
          <w:sz w:val="24"/>
          <w:szCs w:val="24"/>
          <w:lang w:val="en-US" w:eastAsia="zh-CN"/>
        </w:rPr>
        <w:t>-</w:t>
      </w:r>
      <w:r w:rsidR="00FB040D" w:rsidRPr="00FB040D">
        <w:rPr>
          <w:rFonts w:ascii="Book Antiqua" w:hAnsi="Book Antiqua" w:cs="Times New Roman"/>
          <w:sz w:val="24"/>
          <w:szCs w:val="24"/>
          <w:lang w:val="en-US" w:eastAsia="zh-CN"/>
        </w:rPr>
        <w:t xml:space="preserve">computed tomography </w:t>
      </w:r>
      <w:r w:rsidR="00FB040D">
        <w:rPr>
          <w:rFonts w:ascii="Book Antiqua" w:hAnsi="Book Antiqua" w:cs="Times New Roman" w:hint="eastAsia"/>
          <w:sz w:val="24"/>
          <w:szCs w:val="24"/>
          <w:lang w:val="en-US" w:eastAsia="zh-CN"/>
        </w:rPr>
        <w:t>(</w:t>
      </w:r>
      <w:r w:rsidR="00FB040D" w:rsidRPr="00613E70">
        <w:rPr>
          <w:rFonts w:ascii="Book Antiqua" w:hAnsi="Book Antiqua" w:cs="Times New Roman"/>
          <w:sz w:val="24"/>
          <w:szCs w:val="24"/>
          <w:lang w:val="en-US"/>
        </w:rPr>
        <w:t>PET-CT</w:t>
      </w:r>
      <w:r w:rsidR="00FB040D">
        <w:rPr>
          <w:rFonts w:ascii="Book Antiqua" w:hAnsi="Book Antiqua" w:cs="Times New Roman" w:hint="eastAsia"/>
          <w:sz w:val="24"/>
          <w:szCs w:val="24"/>
          <w:lang w:val="en-US" w:eastAsia="zh-CN"/>
        </w:rPr>
        <w:t>)</w:t>
      </w:r>
      <w:r w:rsidRPr="008941FD">
        <w:rPr>
          <w:rFonts w:ascii="Book Antiqua" w:hAnsi="Book Antiqua" w:cs="Arial Unicode MS"/>
          <w:sz w:val="24"/>
          <w:lang w:eastAsia="zh-CN"/>
        </w:rPr>
        <w:t xml:space="preserve"> is integral to the staging of esophageal cancer. It is unclear whether the value of PET-CT extends beyond the identification of metastatic disease. The influence of PET-CT </w:t>
      </w:r>
      <w:r w:rsidR="00ED15AD" w:rsidRPr="00613E70">
        <w:rPr>
          <w:rFonts w:ascii="Book Antiqua" w:hAnsi="Book Antiqua" w:cs="Times New Roman"/>
          <w:sz w:val="24"/>
          <w:szCs w:val="24"/>
          <w:lang w:val="en-US"/>
        </w:rPr>
        <w:t>maximum standardized uptake value (SUV</w:t>
      </w:r>
      <w:r w:rsidR="00ED15AD" w:rsidRPr="008941FD">
        <w:rPr>
          <w:rFonts w:ascii="Book Antiqua" w:hAnsi="Book Antiqua" w:cs="Times New Roman"/>
          <w:sz w:val="24"/>
          <w:szCs w:val="24"/>
          <w:vertAlign w:val="subscript"/>
          <w:lang w:val="en-US"/>
        </w:rPr>
        <w:t>max</w:t>
      </w:r>
      <w:r w:rsidR="00ED15AD" w:rsidRPr="00613E70">
        <w:rPr>
          <w:rFonts w:ascii="Book Antiqua" w:hAnsi="Book Antiqua" w:cs="Times New Roman"/>
          <w:sz w:val="24"/>
          <w:szCs w:val="24"/>
          <w:lang w:val="en-US"/>
        </w:rPr>
        <w:t>)</w:t>
      </w:r>
      <w:r w:rsidRPr="008941FD">
        <w:rPr>
          <w:rFonts w:ascii="Book Antiqua" w:hAnsi="Book Antiqua" w:cs="Arial Unicode MS"/>
          <w:sz w:val="24"/>
          <w:lang w:eastAsia="zh-CN"/>
        </w:rPr>
        <w:t xml:space="preserve"> on prognosis was determined for 271 patients. Although SUV</w:t>
      </w:r>
      <w:r w:rsidRPr="008941FD">
        <w:rPr>
          <w:rFonts w:ascii="Book Antiqua" w:hAnsi="Book Antiqua" w:cs="Arial Unicode MS"/>
          <w:sz w:val="24"/>
          <w:vertAlign w:val="subscript"/>
          <w:lang w:eastAsia="zh-CN"/>
        </w:rPr>
        <w:t>max</w:t>
      </w:r>
      <w:r w:rsidRPr="008941FD">
        <w:rPr>
          <w:rFonts w:ascii="Book Antiqua" w:hAnsi="Book Antiqua" w:cs="Arial Unicode MS"/>
          <w:sz w:val="24"/>
          <w:lang w:eastAsia="zh-CN"/>
        </w:rPr>
        <w:t xml:space="preserve"> was closely linked to disease stage, it did not exert an independent effect and was not a useful prognostic marker</w:t>
      </w:r>
      <w:r>
        <w:rPr>
          <w:rFonts w:ascii="Book Antiqua" w:hAnsi="Book Antiqua" w:cs="Arial Unicode MS" w:hint="eastAsia"/>
          <w:sz w:val="24"/>
          <w:lang w:eastAsia="zh-CN"/>
        </w:rPr>
        <w:t>.</w:t>
      </w:r>
    </w:p>
    <w:p w:rsidR="008941FD" w:rsidRPr="00905FA0" w:rsidRDefault="008941FD" w:rsidP="00CF4A41">
      <w:pPr>
        <w:spacing w:after="0" w:line="360" w:lineRule="auto"/>
        <w:jc w:val="both"/>
        <w:rPr>
          <w:rFonts w:ascii="Book Antiqua" w:hAnsi="Book Antiqua" w:cs="Arial Unicode MS"/>
          <w:sz w:val="24"/>
          <w:lang w:eastAsia="zh-CN"/>
        </w:rPr>
      </w:pPr>
    </w:p>
    <w:bookmarkEnd w:id="11"/>
    <w:bookmarkEnd w:id="12"/>
    <w:bookmarkEnd w:id="13"/>
    <w:bookmarkEnd w:id="14"/>
    <w:bookmarkEnd w:id="15"/>
    <w:p w:rsidR="008941FD" w:rsidRDefault="008941FD" w:rsidP="00CF4A41">
      <w:pPr>
        <w:spacing w:after="0" w:line="360" w:lineRule="auto"/>
        <w:jc w:val="both"/>
        <w:rPr>
          <w:rFonts w:ascii="Book Antiqua" w:hAnsi="Book Antiqua" w:cs="Times New Roman"/>
          <w:sz w:val="24"/>
          <w:szCs w:val="24"/>
          <w:lang w:val="en-US" w:eastAsia="zh-CN"/>
        </w:rPr>
      </w:pPr>
      <w:r w:rsidRPr="00613E70">
        <w:rPr>
          <w:rFonts w:ascii="Book Antiqua" w:hAnsi="Book Antiqua" w:cs="Times New Roman"/>
          <w:sz w:val="24"/>
          <w:szCs w:val="24"/>
          <w:lang w:val="en-US"/>
        </w:rPr>
        <w:t>Al-Taan</w:t>
      </w:r>
      <w:r>
        <w:rPr>
          <w:rFonts w:ascii="Book Antiqua" w:hAnsi="Book Antiqua" w:cs="Times New Roman" w:hint="eastAsia"/>
          <w:sz w:val="24"/>
          <w:szCs w:val="24"/>
          <w:lang w:val="en-US" w:eastAsia="zh-CN"/>
        </w:rPr>
        <w:t xml:space="preserve"> OS, </w:t>
      </w:r>
      <w:r w:rsidRPr="00613E70">
        <w:rPr>
          <w:rFonts w:ascii="Book Antiqua" w:hAnsi="Book Antiqua" w:cs="Times New Roman"/>
          <w:sz w:val="24"/>
          <w:szCs w:val="24"/>
          <w:lang w:val="en-US"/>
        </w:rPr>
        <w:t>Eltweri</w:t>
      </w:r>
      <w:r>
        <w:rPr>
          <w:rFonts w:ascii="Book Antiqua" w:hAnsi="Book Antiqua" w:cs="Times New Roman" w:hint="eastAsia"/>
          <w:sz w:val="24"/>
          <w:szCs w:val="24"/>
          <w:lang w:val="en-US" w:eastAsia="zh-CN"/>
        </w:rPr>
        <w:t xml:space="preserve"> A, </w:t>
      </w:r>
      <w:r w:rsidRPr="00613E70">
        <w:rPr>
          <w:rFonts w:ascii="Book Antiqua" w:hAnsi="Book Antiqua" w:cs="Times New Roman"/>
          <w:sz w:val="24"/>
          <w:szCs w:val="24"/>
          <w:lang w:val="en-US"/>
        </w:rPr>
        <w:t>Sharpe</w:t>
      </w:r>
      <w:r>
        <w:rPr>
          <w:rFonts w:ascii="Book Antiqua" w:hAnsi="Book Antiqua" w:cs="Times New Roman" w:hint="eastAsia"/>
          <w:sz w:val="24"/>
          <w:szCs w:val="24"/>
          <w:lang w:val="en-US" w:eastAsia="zh-CN"/>
        </w:rPr>
        <w:t xml:space="preserve"> D, </w:t>
      </w:r>
      <w:r w:rsidRPr="00613E70">
        <w:rPr>
          <w:rFonts w:ascii="Book Antiqua" w:hAnsi="Book Antiqua" w:cs="Times New Roman"/>
          <w:sz w:val="24"/>
          <w:szCs w:val="24"/>
          <w:lang w:val="en-US"/>
        </w:rPr>
        <w:t>Rodgers</w:t>
      </w:r>
      <w:r>
        <w:rPr>
          <w:rFonts w:ascii="Book Antiqua" w:hAnsi="Book Antiqua" w:cs="Times New Roman" w:hint="eastAsia"/>
          <w:sz w:val="24"/>
          <w:szCs w:val="24"/>
          <w:lang w:val="en-US" w:eastAsia="zh-CN"/>
        </w:rPr>
        <w:t xml:space="preserve"> PM, </w:t>
      </w:r>
      <w:r w:rsidRPr="00613E70">
        <w:rPr>
          <w:rFonts w:ascii="Book Antiqua" w:hAnsi="Book Antiqua" w:cs="Times New Roman"/>
          <w:sz w:val="24"/>
          <w:szCs w:val="24"/>
          <w:lang w:val="en-US"/>
        </w:rPr>
        <w:t>Ubhi</w:t>
      </w:r>
      <w:r>
        <w:rPr>
          <w:rFonts w:ascii="Book Antiqua" w:hAnsi="Book Antiqua" w:cs="Times New Roman" w:hint="eastAsia"/>
          <w:sz w:val="24"/>
          <w:szCs w:val="24"/>
          <w:lang w:val="en-US" w:eastAsia="zh-CN"/>
        </w:rPr>
        <w:t xml:space="preserve"> SS, </w:t>
      </w:r>
      <w:r w:rsidRPr="00613E70">
        <w:rPr>
          <w:rFonts w:ascii="Book Antiqua" w:hAnsi="Book Antiqua" w:cs="Times New Roman"/>
          <w:sz w:val="24"/>
          <w:szCs w:val="24"/>
          <w:lang w:val="en-US"/>
        </w:rPr>
        <w:t>Bowrey</w:t>
      </w:r>
      <w:r>
        <w:rPr>
          <w:rFonts w:ascii="Book Antiqua" w:hAnsi="Book Antiqua" w:cs="Times New Roman" w:hint="eastAsia"/>
          <w:sz w:val="24"/>
          <w:szCs w:val="24"/>
          <w:lang w:val="en-US" w:eastAsia="zh-CN"/>
        </w:rPr>
        <w:t xml:space="preserve"> DJ. </w:t>
      </w:r>
      <w:r w:rsidRPr="008941FD">
        <w:rPr>
          <w:rFonts w:ascii="Book Antiqua" w:hAnsi="Book Antiqua" w:cs="Times New Roman"/>
          <w:sz w:val="24"/>
          <w:szCs w:val="24"/>
          <w:lang w:val="en-US" w:eastAsia="zh-CN"/>
        </w:rPr>
        <w:t>Prognostic value of baseline FDG uptake on pet-CT in esophageal carcinoma</w:t>
      </w:r>
      <w:r>
        <w:rPr>
          <w:rFonts w:ascii="Book Antiqua" w:hAnsi="Book Antiqua" w:cs="Times New Roman" w:hint="eastAsia"/>
          <w:sz w:val="24"/>
          <w:szCs w:val="24"/>
          <w:lang w:val="en-US" w:eastAsia="zh-CN"/>
        </w:rPr>
        <w:t>.</w:t>
      </w:r>
    </w:p>
    <w:p w:rsidR="00C56CA5" w:rsidRPr="008941FD" w:rsidRDefault="00C56CA5" w:rsidP="00CF4A41">
      <w:pPr>
        <w:spacing w:after="0" w:line="360" w:lineRule="auto"/>
        <w:jc w:val="both"/>
        <w:rPr>
          <w:rFonts w:ascii="Book Antiqua" w:hAnsi="Book Antiqua" w:cs="Times New Roman"/>
          <w:sz w:val="24"/>
          <w:szCs w:val="24"/>
          <w:lang w:val="en-US"/>
        </w:rPr>
      </w:pPr>
    </w:p>
    <w:p w:rsidR="00C56CA5" w:rsidRPr="00613E70" w:rsidRDefault="00C56CA5" w:rsidP="00CF4A41">
      <w:pPr>
        <w:spacing w:after="0" w:line="360" w:lineRule="auto"/>
        <w:jc w:val="both"/>
        <w:rPr>
          <w:rFonts w:ascii="Book Antiqua" w:hAnsi="Book Antiqua" w:cs="Times New Roman"/>
          <w:b/>
          <w:bCs/>
          <w:sz w:val="24"/>
          <w:szCs w:val="24"/>
          <w:lang w:val="en-US"/>
        </w:rPr>
      </w:pPr>
      <w:r w:rsidRPr="00613E70">
        <w:rPr>
          <w:rFonts w:ascii="Book Antiqua" w:hAnsi="Book Antiqua" w:cs="Times New Roman"/>
          <w:b/>
          <w:bCs/>
          <w:sz w:val="24"/>
          <w:szCs w:val="24"/>
          <w:lang w:val="en-US"/>
        </w:rPr>
        <w:br w:type="page"/>
      </w:r>
      <w:r w:rsidRPr="00613E70">
        <w:rPr>
          <w:rFonts w:ascii="Book Antiqua" w:hAnsi="Book Antiqua" w:cs="Times New Roman"/>
          <w:b/>
          <w:bCs/>
          <w:sz w:val="24"/>
          <w:szCs w:val="24"/>
          <w:lang w:val="en-US"/>
        </w:rPr>
        <w:lastRenderedPageBreak/>
        <w:t>INTRODUCTION</w:t>
      </w:r>
    </w:p>
    <w:p w:rsidR="00C56CA5" w:rsidRPr="00613E70" w:rsidRDefault="00C56CA5" w:rsidP="00CF4A41">
      <w:pPr>
        <w:spacing w:after="0" w:line="360" w:lineRule="auto"/>
        <w:jc w:val="both"/>
        <w:rPr>
          <w:rFonts w:ascii="Book Antiqua" w:hAnsi="Book Antiqua" w:cs="Times New Roman"/>
          <w:sz w:val="24"/>
          <w:szCs w:val="24"/>
          <w:lang w:val="en-US"/>
        </w:rPr>
      </w:pPr>
      <w:r w:rsidRPr="00613E70">
        <w:rPr>
          <w:rFonts w:ascii="Book Antiqua" w:hAnsi="Book Antiqua" w:cs="Times New Roman"/>
          <w:sz w:val="24"/>
          <w:szCs w:val="24"/>
          <w:lang w:val="en-US"/>
        </w:rPr>
        <w:t>Positron-emission tomography (PET) is an important component in the staging algorithm for patients with cancers of the esophagus and gastroesophageal junction</w:t>
      </w:r>
      <w:r w:rsidRPr="00613E70">
        <w:rPr>
          <w:rFonts w:ascii="Book Antiqua" w:hAnsi="Book Antiqua" w:cs="Times New Roman"/>
          <w:sz w:val="24"/>
          <w:szCs w:val="24"/>
          <w:vertAlign w:val="superscript"/>
          <w:lang w:val="en-US"/>
        </w:rPr>
        <w:t>[1,2]</w:t>
      </w:r>
      <w:r>
        <w:rPr>
          <w:rFonts w:ascii="Book Antiqua" w:hAnsi="Book Antiqua" w:cs="Times New Roman"/>
          <w:sz w:val="24"/>
          <w:szCs w:val="24"/>
          <w:lang w:val="en-US"/>
        </w:rPr>
        <w:t>. A</w:t>
      </w:r>
      <w:r w:rsidRPr="00613E70">
        <w:rPr>
          <w:rFonts w:ascii="Book Antiqua" w:hAnsi="Book Antiqua" w:cs="Times New Roman"/>
          <w:sz w:val="24"/>
          <w:szCs w:val="24"/>
          <w:lang w:val="en-US"/>
        </w:rPr>
        <w:t>t some centers, it is employed early in the staging pathway with all patients being assessed by this modality. In other centers, it features later in the staging pathway, only being utilized if computerized tomography (CT) and endoscopic ultrasound demonstrate potentially r</w:t>
      </w:r>
      <w:r>
        <w:rPr>
          <w:rFonts w:ascii="Book Antiqua" w:hAnsi="Book Antiqua" w:cs="Times New Roman"/>
          <w:sz w:val="24"/>
          <w:szCs w:val="24"/>
          <w:lang w:val="en-US"/>
        </w:rPr>
        <w:t>esectable tumor characteristics</w:t>
      </w:r>
      <w:r w:rsidRPr="00613E70">
        <w:rPr>
          <w:rFonts w:ascii="Book Antiqua" w:hAnsi="Book Antiqua" w:cs="Times New Roman"/>
          <w:sz w:val="24"/>
          <w:szCs w:val="24"/>
          <w:vertAlign w:val="superscript"/>
          <w:lang w:val="en-US"/>
        </w:rPr>
        <w:t>[1,2]</w:t>
      </w:r>
      <w:r>
        <w:rPr>
          <w:rFonts w:ascii="Book Antiqua" w:hAnsi="Book Antiqua" w:cs="Times New Roman"/>
          <w:sz w:val="24"/>
          <w:szCs w:val="24"/>
          <w:lang w:val="en-US"/>
        </w:rPr>
        <w:t>.</w:t>
      </w:r>
    </w:p>
    <w:p w:rsidR="00C56CA5" w:rsidRDefault="00C56CA5" w:rsidP="00CF4A41">
      <w:pPr>
        <w:spacing w:after="0" w:line="360" w:lineRule="auto"/>
        <w:ind w:firstLineChars="200" w:firstLine="480"/>
        <w:jc w:val="both"/>
        <w:rPr>
          <w:rFonts w:ascii="Book Antiqua" w:hAnsi="Book Antiqua" w:cs="Times New Roman"/>
          <w:sz w:val="24"/>
          <w:szCs w:val="24"/>
          <w:lang w:val="en-US"/>
        </w:rPr>
      </w:pPr>
      <w:r w:rsidRPr="00613E70">
        <w:rPr>
          <w:rFonts w:ascii="Book Antiqua" w:hAnsi="Book Antiqua" w:cs="Times New Roman"/>
          <w:sz w:val="24"/>
          <w:szCs w:val="24"/>
          <w:lang w:val="en-US"/>
        </w:rPr>
        <w:t>Its principal application is in the identification of occult metastatic disease, not identified on CT imaging, or in the confirmation of high fluorodeoxyglucose (FDG) uptake in suspicious areas on CT imaging</w:t>
      </w:r>
      <w:r w:rsidRPr="00613E70">
        <w:rPr>
          <w:rFonts w:ascii="Book Antiqua" w:hAnsi="Book Antiqua" w:cs="Times New Roman"/>
          <w:sz w:val="24"/>
          <w:szCs w:val="24"/>
          <w:vertAlign w:val="superscript"/>
          <w:lang w:val="en-US"/>
        </w:rPr>
        <w:t>[1]</w:t>
      </w:r>
      <w:r>
        <w:rPr>
          <w:rFonts w:ascii="Book Antiqua" w:hAnsi="Book Antiqua" w:cs="Times New Roman"/>
          <w:sz w:val="24"/>
          <w:szCs w:val="24"/>
          <w:lang w:val="en-US"/>
        </w:rPr>
        <w:t>.</w:t>
      </w:r>
    </w:p>
    <w:p w:rsidR="00C56CA5" w:rsidRPr="00613E70" w:rsidRDefault="00C56CA5" w:rsidP="00CF4A41">
      <w:pPr>
        <w:spacing w:after="0" w:line="360" w:lineRule="auto"/>
        <w:ind w:firstLineChars="200" w:firstLine="480"/>
        <w:jc w:val="both"/>
        <w:rPr>
          <w:rFonts w:ascii="Book Antiqua" w:hAnsi="Book Antiqua" w:cs="Times New Roman"/>
          <w:sz w:val="24"/>
          <w:szCs w:val="24"/>
          <w:lang w:val="en-US"/>
        </w:rPr>
      </w:pPr>
      <w:r w:rsidRPr="00613E70">
        <w:rPr>
          <w:rFonts w:ascii="Book Antiqua" w:hAnsi="Book Antiqua" w:cs="Times New Roman"/>
          <w:sz w:val="24"/>
          <w:szCs w:val="24"/>
          <w:lang w:val="en-US"/>
        </w:rPr>
        <w:t>We have previously shown that PET-CT influences the treatment decision overall for 10% of patients with esophageal cancer, and for 26% of patients free of definite metastatic d</w:t>
      </w:r>
      <w:r>
        <w:rPr>
          <w:rFonts w:ascii="Book Antiqua" w:hAnsi="Book Antiqua" w:cs="Times New Roman"/>
          <w:sz w:val="24"/>
          <w:szCs w:val="24"/>
          <w:lang w:val="en-US"/>
        </w:rPr>
        <w:t>isease after initial CT imaging</w:t>
      </w:r>
      <w:r w:rsidRPr="00613E70">
        <w:rPr>
          <w:rFonts w:ascii="Book Antiqua" w:hAnsi="Book Antiqua" w:cs="Times New Roman"/>
          <w:sz w:val="24"/>
          <w:szCs w:val="24"/>
          <w:vertAlign w:val="superscript"/>
          <w:lang w:val="en-US"/>
        </w:rPr>
        <w:t>[</w:t>
      </w:r>
      <w:r>
        <w:rPr>
          <w:rFonts w:ascii="Book Antiqua" w:hAnsi="Book Antiqua" w:cs="Times New Roman"/>
          <w:sz w:val="24"/>
          <w:szCs w:val="24"/>
          <w:vertAlign w:val="superscript"/>
          <w:lang w:val="en-US"/>
        </w:rPr>
        <w:t>2</w:t>
      </w:r>
      <w:r w:rsidRPr="00613E70">
        <w:rPr>
          <w:rFonts w:ascii="Book Antiqua" w:hAnsi="Book Antiqua" w:cs="Times New Roman"/>
          <w:sz w:val="24"/>
          <w:szCs w:val="24"/>
          <w:vertAlign w:val="superscript"/>
          <w:lang w:val="en-US"/>
        </w:rPr>
        <w:t>]</w:t>
      </w:r>
      <w:r>
        <w:rPr>
          <w:rFonts w:ascii="Book Antiqua" w:hAnsi="Book Antiqua" w:cs="Times New Roman"/>
          <w:sz w:val="24"/>
          <w:szCs w:val="24"/>
          <w:lang w:val="en-US"/>
        </w:rPr>
        <w:t>.</w:t>
      </w:r>
    </w:p>
    <w:p w:rsidR="008941FD" w:rsidRDefault="00C56CA5" w:rsidP="00CF4A41">
      <w:pPr>
        <w:spacing w:after="0" w:line="360" w:lineRule="auto"/>
        <w:ind w:firstLineChars="200" w:firstLine="480"/>
        <w:jc w:val="both"/>
        <w:rPr>
          <w:rFonts w:ascii="Book Antiqua" w:hAnsi="Book Antiqua" w:cs="Times New Roman"/>
          <w:sz w:val="24"/>
          <w:szCs w:val="24"/>
          <w:lang w:val="en-US" w:eastAsia="zh-CN"/>
        </w:rPr>
      </w:pPr>
      <w:r w:rsidRPr="00613E70">
        <w:rPr>
          <w:rFonts w:ascii="Book Antiqua" w:hAnsi="Book Antiqua" w:cs="Times New Roman"/>
          <w:sz w:val="24"/>
          <w:szCs w:val="24"/>
          <w:lang w:val="en-US"/>
        </w:rPr>
        <w:t>The maximum standardized uptake value (SUV</w:t>
      </w:r>
      <w:r w:rsidRPr="008941FD">
        <w:rPr>
          <w:rFonts w:ascii="Book Antiqua" w:hAnsi="Book Antiqua" w:cs="Times New Roman"/>
          <w:sz w:val="24"/>
          <w:szCs w:val="24"/>
          <w:vertAlign w:val="subscript"/>
          <w:lang w:val="en-US"/>
        </w:rPr>
        <w:t>max</w:t>
      </w:r>
      <w:r w:rsidRPr="00613E70">
        <w:rPr>
          <w:rFonts w:ascii="Book Antiqua" w:hAnsi="Book Antiqua" w:cs="Times New Roman"/>
          <w:sz w:val="24"/>
          <w:szCs w:val="24"/>
          <w:lang w:val="en-US"/>
        </w:rPr>
        <w:t>) is a measure of the relative metabolic activity of the cancer. A recent meta-analysis confirmed the close link between the SUV</w:t>
      </w:r>
      <w:r w:rsidRPr="008941FD">
        <w:rPr>
          <w:rFonts w:ascii="Book Antiqua" w:hAnsi="Book Antiqua" w:cs="Times New Roman"/>
          <w:sz w:val="24"/>
          <w:szCs w:val="24"/>
          <w:vertAlign w:val="subscript"/>
          <w:lang w:val="en-US"/>
        </w:rPr>
        <w:t xml:space="preserve">max </w:t>
      </w:r>
      <w:r w:rsidRPr="00613E70">
        <w:rPr>
          <w:rFonts w:ascii="Book Antiqua" w:hAnsi="Book Antiqua" w:cs="Times New Roman"/>
          <w:sz w:val="24"/>
          <w:szCs w:val="24"/>
          <w:lang w:val="en-US"/>
        </w:rPr>
        <w:t>and</w:t>
      </w:r>
      <w:r>
        <w:rPr>
          <w:rFonts w:ascii="Book Antiqua" w:hAnsi="Book Antiqua" w:cs="Times New Roman"/>
          <w:sz w:val="24"/>
          <w:szCs w:val="24"/>
          <w:lang w:val="en-US"/>
        </w:rPr>
        <w:t xml:space="preserve"> both tumor stage and prognosis</w:t>
      </w:r>
      <w:r w:rsidRPr="00613E70">
        <w:rPr>
          <w:rFonts w:ascii="Book Antiqua" w:hAnsi="Book Antiqua" w:cs="Times New Roman"/>
          <w:sz w:val="24"/>
          <w:szCs w:val="24"/>
          <w:vertAlign w:val="superscript"/>
          <w:lang w:val="en-US"/>
        </w:rPr>
        <w:t>[3]</w:t>
      </w:r>
      <w:r>
        <w:rPr>
          <w:rFonts w:ascii="Book Antiqua" w:hAnsi="Book Antiqua" w:cs="Times New Roman"/>
          <w:sz w:val="24"/>
          <w:szCs w:val="24"/>
          <w:lang w:val="en-US"/>
        </w:rPr>
        <w:t>. W</w:t>
      </w:r>
      <w:r w:rsidRPr="00613E70">
        <w:rPr>
          <w:rFonts w:ascii="Book Antiqua" w:hAnsi="Book Antiqua" w:cs="Times New Roman"/>
          <w:sz w:val="24"/>
          <w:szCs w:val="24"/>
          <w:lang w:val="en-US"/>
        </w:rPr>
        <w:t>hether the SUV</w:t>
      </w:r>
      <w:r w:rsidRPr="008941FD">
        <w:rPr>
          <w:rFonts w:ascii="Book Antiqua" w:hAnsi="Book Antiqua" w:cs="Times New Roman"/>
          <w:sz w:val="24"/>
          <w:szCs w:val="24"/>
          <w:vertAlign w:val="subscript"/>
          <w:lang w:val="en-US"/>
        </w:rPr>
        <w:t>max</w:t>
      </w:r>
      <w:r w:rsidRPr="00613E70">
        <w:rPr>
          <w:rFonts w:ascii="Book Antiqua" w:hAnsi="Book Antiqua" w:cs="Times New Roman"/>
          <w:sz w:val="24"/>
          <w:szCs w:val="24"/>
          <w:lang w:val="en-US"/>
        </w:rPr>
        <w:t xml:space="preserve"> exerted an independent effect, unrelated to known clinical prognostic markers was unclear. </w:t>
      </w:r>
    </w:p>
    <w:p w:rsidR="00C56CA5" w:rsidRPr="00613E70" w:rsidRDefault="00C56CA5" w:rsidP="00CF4A41">
      <w:pPr>
        <w:spacing w:after="0" w:line="360" w:lineRule="auto"/>
        <w:ind w:firstLineChars="250" w:firstLine="600"/>
        <w:jc w:val="both"/>
        <w:rPr>
          <w:rFonts w:ascii="Book Antiqua" w:hAnsi="Book Antiqua" w:cs="Times New Roman"/>
          <w:sz w:val="24"/>
          <w:szCs w:val="24"/>
          <w:lang w:val="en-US"/>
        </w:rPr>
      </w:pPr>
      <w:r w:rsidRPr="00613E70">
        <w:rPr>
          <w:rFonts w:ascii="Book Antiqua" w:hAnsi="Book Antiqua" w:cs="Times New Roman"/>
          <w:sz w:val="24"/>
          <w:szCs w:val="24"/>
          <w:lang w:val="en-US"/>
        </w:rPr>
        <w:t>The majority of studies have assessed selected patient groups, typically only those receiving one form of treatment such as chemoradiotherapy, palliative chemotherapy or surgery (with or without neoadjuvant chemotherapy)</w:t>
      </w:r>
      <w:r w:rsidRPr="00613E70">
        <w:rPr>
          <w:rFonts w:ascii="Book Antiqua" w:hAnsi="Book Antiqua" w:cs="Times New Roman"/>
          <w:sz w:val="24"/>
          <w:szCs w:val="24"/>
          <w:vertAlign w:val="superscript"/>
          <w:lang w:val="en-US"/>
        </w:rPr>
        <w:t>[4-24]</w:t>
      </w:r>
      <w:r>
        <w:rPr>
          <w:rFonts w:ascii="Book Antiqua" w:hAnsi="Book Antiqua" w:cs="Times New Roman"/>
          <w:sz w:val="24"/>
          <w:szCs w:val="24"/>
          <w:lang w:val="en-US"/>
        </w:rPr>
        <w:t xml:space="preserve">. </w:t>
      </w:r>
      <w:r w:rsidRPr="00613E70">
        <w:rPr>
          <w:rFonts w:ascii="Book Antiqua" w:hAnsi="Book Antiqua" w:cs="Times New Roman"/>
          <w:sz w:val="24"/>
          <w:szCs w:val="24"/>
          <w:lang w:val="en-US"/>
        </w:rPr>
        <w:t>It is likely that this has resulted in clustering of SUV</w:t>
      </w:r>
      <w:r w:rsidRPr="008941FD">
        <w:rPr>
          <w:rFonts w:ascii="Book Antiqua" w:hAnsi="Book Antiqua" w:cs="Times New Roman"/>
          <w:sz w:val="24"/>
          <w:szCs w:val="24"/>
          <w:vertAlign w:val="subscript"/>
          <w:lang w:val="en-US"/>
        </w:rPr>
        <w:t>max</w:t>
      </w:r>
      <w:r w:rsidRPr="00613E70">
        <w:rPr>
          <w:rFonts w:ascii="Book Antiqua" w:hAnsi="Book Antiqua" w:cs="Times New Roman"/>
          <w:sz w:val="24"/>
          <w:szCs w:val="24"/>
          <w:lang w:val="en-US"/>
        </w:rPr>
        <w:t xml:space="preserve"> values. Only four smaller studies have assessed the influence of SUV</w:t>
      </w:r>
      <w:r w:rsidRPr="008941FD">
        <w:rPr>
          <w:rFonts w:ascii="Book Antiqua" w:hAnsi="Book Antiqua" w:cs="Times New Roman"/>
          <w:sz w:val="24"/>
          <w:szCs w:val="24"/>
          <w:vertAlign w:val="subscript"/>
          <w:lang w:val="en-US"/>
        </w:rPr>
        <w:t>max</w:t>
      </w:r>
      <w:r w:rsidRPr="00613E70">
        <w:rPr>
          <w:rFonts w:ascii="Book Antiqua" w:hAnsi="Book Antiqua" w:cs="Times New Roman"/>
          <w:sz w:val="24"/>
          <w:szCs w:val="24"/>
          <w:lang w:val="en-US"/>
        </w:rPr>
        <w:t xml:space="preserve"> in unsele</w:t>
      </w:r>
      <w:r>
        <w:rPr>
          <w:rFonts w:ascii="Book Antiqua" w:hAnsi="Book Antiqua" w:cs="Times New Roman"/>
          <w:sz w:val="24"/>
          <w:szCs w:val="24"/>
          <w:lang w:val="en-US"/>
        </w:rPr>
        <w:t>cted patients undergoing PET-CT</w:t>
      </w:r>
      <w:r w:rsidRPr="00613E70">
        <w:rPr>
          <w:rFonts w:ascii="Book Antiqua" w:hAnsi="Book Antiqua" w:cs="Times New Roman"/>
          <w:sz w:val="24"/>
          <w:szCs w:val="24"/>
          <w:vertAlign w:val="superscript"/>
          <w:lang w:val="en-US"/>
        </w:rPr>
        <w:t>[8,14,21,24]</w:t>
      </w:r>
      <w:r>
        <w:rPr>
          <w:rFonts w:ascii="Book Antiqua" w:hAnsi="Book Antiqua" w:cs="Times New Roman"/>
          <w:sz w:val="24"/>
          <w:szCs w:val="24"/>
          <w:lang w:val="en-US"/>
        </w:rPr>
        <w:t>. T</w:t>
      </w:r>
      <w:r w:rsidRPr="00613E70">
        <w:rPr>
          <w:rFonts w:ascii="Book Antiqua" w:hAnsi="Book Antiqua" w:cs="Times New Roman"/>
          <w:sz w:val="24"/>
          <w:szCs w:val="24"/>
          <w:lang w:val="en-US"/>
        </w:rPr>
        <w:t>hose studies concluded that</w:t>
      </w:r>
      <w:r>
        <w:rPr>
          <w:rFonts w:ascii="Book Antiqua" w:hAnsi="Book Antiqua" w:cs="Times New Roman"/>
          <w:sz w:val="24"/>
          <w:szCs w:val="24"/>
          <w:lang w:val="en-US"/>
        </w:rPr>
        <w:t xml:space="preserve"> </w:t>
      </w:r>
      <w:r w:rsidRPr="00613E70">
        <w:rPr>
          <w:rFonts w:ascii="Book Antiqua" w:hAnsi="Book Antiqua" w:cs="Times New Roman"/>
          <w:sz w:val="24"/>
          <w:szCs w:val="24"/>
          <w:lang w:val="en-US"/>
        </w:rPr>
        <w:t>SUV</w:t>
      </w:r>
      <w:r w:rsidRPr="008941FD">
        <w:rPr>
          <w:rFonts w:ascii="Book Antiqua" w:hAnsi="Book Antiqua" w:cs="Times New Roman"/>
          <w:sz w:val="24"/>
          <w:szCs w:val="24"/>
          <w:vertAlign w:val="subscript"/>
          <w:lang w:val="en-US"/>
        </w:rPr>
        <w:t>max</w:t>
      </w:r>
      <w:r w:rsidRPr="00613E70">
        <w:rPr>
          <w:rFonts w:ascii="Book Antiqua" w:hAnsi="Book Antiqua" w:cs="Times New Roman"/>
          <w:sz w:val="24"/>
          <w:szCs w:val="24"/>
          <w:lang w:val="en-US"/>
        </w:rPr>
        <w:t xml:space="preserve"> was significantly associated with prognosis but that this was not independent of existing clinical markers such as UICC stage.</w:t>
      </w:r>
    </w:p>
    <w:p w:rsidR="00C56CA5" w:rsidRPr="00613E70" w:rsidRDefault="00C56CA5" w:rsidP="00CF4A41">
      <w:pPr>
        <w:spacing w:after="0" w:line="360" w:lineRule="auto"/>
        <w:ind w:firstLineChars="200" w:firstLine="480"/>
        <w:jc w:val="both"/>
        <w:rPr>
          <w:rFonts w:ascii="Book Antiqua" w:hAnsi="Book Antiqua" w:cs="Times New Roman"/>
          <w:sz w:val="24"/>
          <w:szCs w:val="24"/>
          <w:lang w:val="en-US"/>
        </w:rPr>
      </w:pPr>
      <w:r w:rsidRPr="00613E70">
        <w:rPr>
          <w:rFonts w:ascii="Book Antiqua" w:hAnsi="Book Antiqua" w:cs="Times New Roman"/>
          <w:sz w:val="24"/>
          <w:szCs w:val="24"/>
          <w:lang w:val="en-US"/>
        </w:rPr>
        <w:t>The aim of the current study was to assess whether the SUV</w:t>
      </w:r>
      <w:r w:rsidRPr="008941FD">
        <w:rPr>
          <w:rFonts w:ascii="Book Antiqua" w:hAnsi="Book Antiqua" w:cs="Times New Roman"/>
          <w:sz w:val="24"/>
          <w:szCs w:val="24"/>
          <w:vertAlign w:val="subscript"/>
          <w:lang w:val="en-US"/>
        </w:rPr>
        <w:t xml:space="preserve">max </w:t>
      </w:r>
      <w:r w:rsidRPr="00613E70">
        <w:rPr>
          <w:rFonts w:ascii="Book Antiqua" w:hAnsi="Book Antiqua" w:cs="Times New Roman"/>
          <w:sz w:val="24"/>
          <w:szCs w:val="24"/>
          <w:lang w:val="en-US"/>
        </w:rPr>
        <w:t xml:space="preserve">provided additional prognostic information, over and above the UICC stage and known clinical prognostic markers in a large cohort of unselected patients. </w:t>
      </w:r>
    </w:p>
    <w:p w:rsidR="00C56CA5" w:rsidRPr="008941FD" w:rsidRDefault="00C56CA5" w:rsidP="00CF4A41">
      <w:pPr>
        <w:spacing w:after="0" w:line="360" w:lineRule="auto"/>
        <w:jc w:val="both"/>
        <w:rPr>
          <w:rFonts w:ascii="Book Antiqua" w:hAnsi="Book Antiqua"/>
          <w:b/>
          <w:sz w:val="24"/>
          <w:lang w:eastAsia="zh-CN"/>
        </w:rPr>
      </w:pPr>
      <w:r w:rsidRPr="00613E70">
        <w:rPr>
          <w:rFonts w:ascii="Book Antiqua" w:hAnsi="Book Antiqua" w:cs="Times New Roman"/>
          <w:sz w:val="24"/>
          <w:szCs w:val="24"/>
          <w:lang w:val="en-US"/>
        </w:rPr>
        <w:br w:type="page"/>
      </w:r>
      <w:bookmarkStart w:id="16" w:name="OLE_LINK337"/>
      <w:bookmarkStart w:id="17" w:name="OLE_LINK338"/>
      <w:bookmarkStart w:id="18" w:name="OLE_LINK378"/>
      <w:r w:rsidR="008941FD" w:rsidRPr="00A7393F">
        <w:rPr>
          <w:rFonts w:ascii="Book Antiqua" w:hAnsi="Book Antiqua"/>
          <w:b/>
          <w:sz w:val="24"/>
        </w:rPr>
        <w:lastRenderedPageBreak/>
        <w:t>MATERIALS AND METHODS</w:t>
      </w:r>
      <w:bookmarkEnd w:id="16"/>
      <w:bookmarkEnd w:id="17"/>
      <w:bookmarkEnd w:id="18"/>
    </w:p>
    <w:p w:rsidR="00C56CA5" w:rsidRDefault="00C56CA5" w:rsidP="00CF4A41">
      <w:pPr>
        <w:spacing w:after="0" w:line="360" w:lineRule="auto"/>
        <w:jc w:val="both"/>
        <w:rPr>
          <w:rFonts w:ascii="Book Antiqua" w:hAnsi="Book Antiqua" w:cs="Times New Roman"/>
          <w:bCs/>
          <w:sz w:val="24"/>
          <w:szCs w:val="24"/>
          <w:lang w:val="en-US"/>
        </w:rPr>
      </w:pPr>
      <w:r w:rsidRPr="00613E70">
        <w:rPr>
          <w:rFonts w:ascii="Book Antiqua" w:hAnsi="Book Antiqua" w:cs="Times New Roman"/>
          <w:bCs/>
          <w:sz w:val="24"/>
          <w:szCs w:val="24"/>
          <w:lang w:val="en-US"/>
        </w:rPr>
        <w:t>The use of anonymi</w:t>
      </w:r>
      <w:r>
        <w:rPr>
          <w:rFonts w:ascii="Book Antiqua" w:hAnsi="Book Antiqua" w:cs="Times New Roman"/>
          <w:bCs/>
          <w:sz w:val="24"/>
          <w:szCs w:val="24"/>
          <w:lang w:val="en-US"/>
        </w:rPr>
        <w:t>z</w:t>
      </w:r>
      <w:r w:rsidRPr="00613E70">
        <w:rPr>
          <w:rFonts w:ascii="Book Antiqua" w:hAnsi="Book Antiqua" w:cs="Times New Roman"/>
          <w:bCs/>
          <w:sz w:val="24"/>
          <w:szCs w:val="24"/>
          <w:lang w:val="en-US"/>
        </w:rPr>
        <w:t>ed patient information was approved by the Institutional Clinical Audit and Effectiveness Board. Individual patient consent was not required</w:t>
      </w:r>
      <w:r>
        <w:rPr>
          <w:rFonts w:ascii="Book Antiqua" w:hAnsi="Book Antiqua" w:cs="Times New Roman"/>
          <w:bCs/>
          <w:sz w:val="24"/>
          <w:szCs w:val="24"/>
          <w:lang w:val="en-US"/>
        </w:rPr>
        <w:t xml:space="preserve"> as no change in patient management was effected for the purposes of this audit</w:t>
      </w:r>
      <w:r w:rsidRPr="00613E70">
        <w:rPr>
          <w:rFonts w:ascii="Book Antiqua" w:hAnsi="Book Antiqua" w:cs="Times New Roman"/>
          <w:bCs/>
          <w:sz w:val="24"/>
          <w:szCs w:val="24"/>
          <w:lang w:val="en-US"/>
        </w:rPr>
        <w:t xml:space="preserve">. </w:t>
      </w:r>
    </w:p>
    <w:p w:rsidR="00C56CA5" w:rsidRPr="00613E70" w:rsidRDefault="00C56CA5" w:rsidP="00CF4A41">
      <w:pPr>
        <w:spacing w:after="0" w:line="360" w:lineRule="auto"/>
        <w:ind w:firstLineChars="200" w:firstLine="480"/>
        <w:jc w:val="both"/>
        <w:rPr>
          <w:rFonts w:ascii="Book Antiqua" w:hAnsi="Book Antiqua" w:cs="Times New Roman"/>
          <w:sz w:val="24"/>
          <w:szCs w:val="24"/>
          <w:lang w:val="en-US"/>
        </w:rPr>
      </w:pPr>
      <w:r w:rsidRPr="00613E70">
        <w:rPr>
          <w:rFonts w:ascii="Book Antiqua" w:hAnsi="Book Antiqua" w:cs="Times New Roman"/>
          <w:sz w:val="24"/>
          <w:szCs w:val="24"/>
          <w:lang w:val="en-US"/>
        </w:rPr>
        <w:t>The study was a retrospective review of all patients undergoing PET-CT during the time period 1</w:t>
      </w:r>
      <w:r w:rsidRPr="00613E70">
        <w:rPr>
          <w:rFonts w:ascii="Book Antiqua" w:hAnsi="Book Antiqua" w:cs="Times New Roman"/>
          <w:sz w:val="24"/>
          <w:szCs w:val="24"/>
          <w:vertAlign w:val="superscript"/>
          <w:lang w:val="en-US"/>
        </w:rPr>
        <w:t>st</w:t>
      </w:r>
      <w:r w:rsidRPr="00613E70">
        <w:rPr>
          <w:rFonts w:ascii="Book Antiqua" w:hAnsi="Book Antiqua" w:cs="Times New Roman"/>
          <w:sz w:val="24"/>
          <w:szCs w:val="24"/>
          <w:lang w:val="en-US"/>
        </w:rPr>
        <w:t xml:space="preserve"> January 2007 to 31</w:t>
      </w:r>
      <w:r w:rsidRPr="00613E70">
        <w:rPr>
          <w:rFonts w:ascii="Book Antiqua" w:hAnsi="Book Antiqua" w:cs="Times New Roman"/>
          <w:sz w:val="24"/>
          <w:szCs w:val="24"/>
          <w:vertAlign w:val="superscript"/>
          <w:lang w:val="en-US"/>
        </w:rPr>
        <w:t>st</w:t>
      </w:r>
      <w:r w:rsidRPr="00613E70">
        <w:rPr>
          <w:rFonts w:ascii="Book Antiqua" w:hAnsi="Book Antiqua" w:cs="Times New Roman"/>
          <w:sz w:val="24"/>
          <w:szCs w:val="24"/>
          <w:lang w:val="en-US"/>
        </w:rPr>
        <w:t xml:space="preserve"> July 2012. At our institution, PET-CT became incorporated into the staging algorithm of routine clinical practice in November 2006. Patients undergoing PET-CT after 31</w:t>
      </w:r>
      <w:r w:rsidRPr="00613E70">
        <w:rPr>
          <w:rFonts w:ascii="Book Antiqua" w:hAnsi="Book Antiqua" w:cs="Times New Roman"/>
          <w:sz w:val="24"/>
          <w:szCs w:val="24"/>
          <w:vertAlign w:val="superscript"/>
          <w:lang w:val="en-US"/>
        </w:rPr>
        <w:t>st</w:t>
      </w:r>
      <w:r w:rsidRPr="00613E70">
        <w:rPr>
          <w:rFonts w:ascii="Book Antiqua" w:hAnsi="Book Antiqua" w:cs="Times New Roman"/>
          <w:sz w:val="24"/>
          <w:szCs w:val="24"/>
          <w:lang w:val="en-US"/>
        </w:rPr>
        <w:t xml:space="preserve"> July 2012 were not included, so that a minimum patient follow up time of 12 mo would be obtained.</w:t>
      </w:r>
    </w:p>
    <w:p w:rsidR="00C56CA5" w:rsidRDefault="00C56CA5" w:rsidP="00CF4A41">
      <w:pPr>
        <w:spacing w:after="0" w:line="360" w:lineRule="auto"/>
        <w:ind w:firstLineChars="200" w:firstLine="480"/>
        <w:jc w:val="both"/>
        <w:rPr>
          <w:rFonts w:ascii="Book Antiqua" w:hAnsi="Book Antiqua" w:cs="Times New Roman"/>
          <w:sz w:val="24"/>
          <w:szCs w:val="24"/>
          <w:lang w:val="en-US"/>
        </w:rPr>
      </w:pPr>
      <w:r w:rsidRPr="00613E70">
        <w:rPr>
          <w:rFonts w:ascii="Book Antiqua" w:hAnsi="Book Antiqua" w:cs="Times New Roman"/>
          <w:sz w:val="24"/>
          <w:szCs w:val="24"/>
          <w:lang w:val="en-US"/>
        </w:rPr>
        <w:t>All patients with a diagnosis of esophageal or gastric cancer are discussed at a weekly multi-disciplinary meeting and treatment intention and schedule determined. The staging algorith</w:t>
      </w:r>
      <w:r>
        <w:rPr>
          <w:rFonts w:ascii="Book Antiqua" w:hAnsi="Book Antiqua" w:cs="Times New Roman"/>
          <w:sz w:val="24"/>
          <w:szCs w:val="24"/>
          <w:lang w:val="en-US"/>
        </w:rPr>
        <w:t>m has previously been published</w:t>
      </w:r>
      <w:r w:rsidRPr="00613E70">
        <w:rPr>
          <w:rFonts w:ascii="Book Antiqua" w:hAnsi="Book Antiqua" w:cs="Times New Roman"/>
          <w:sz w:val="24"/>
          <w:szCs w:val="24"/>
          <w:vertAlign w:val="superscript"/>
          <w:lang w:val="en-US"/>
        </w:rPr>
        <w:t>[2]</w:t>
      </w:r>
      <w:r>
        <w:rPr>
          <w:rFonts w:ascii="Book Antiqua" w:hAnsi="Book Antiqua" w:cs="Times New Roman"/>
          <w:sz w:val="24"/>
          <w:szCs w:val="24"/>
          <w:lang w:val="en-US"/>
        </w:rPr>
        <w:t>.</w:t>
      </w:r>
    </w:p>
    <w:p w:rsidR="00C56CA5" w:rsidRPr="00613E70" w:rsidRDefault="00C56CA5" w:rsidP="00CF4A41">
      <w:pPr>
        <w:spacing w:after="0" w:line="360" w:lineRule="auto"/>
        <w:ind w:firstLineChars="200" w:firstLine="480"/>
        <w:jc w:val="both"/>
        <w:rPr>
          <w:rFonts w:ascii="Book Antiqua" w:hAnsi="Book Antiqua" w:cs="Times New Roman"/>
          <w:sz w:val="24"/>
          <w:szCs w:val="24"/>
          <w:lang w:val="en-US"/>
        </w:rPr>
      </w:pPr>
      <w:r>
        <w:rPr>
          <w:rFonts w:ascii="Book Antiqua" w:hAnsi="Book Antiqua" w:cs="Times New Roman"/>
          <w:sz w:val="24"/>
          <w:szCs w:val="24"/>
          <w:lang w:val="en-US"/>
        </w:rPr>
        <w:t>The 7</w:t>
      </w:r>
      <w:r w:rsidRPr="00B0159D">
        <w:rPr>
          <w:rFonts w:ascii="Book Antiqua" w:hAnsi="Book Antiqua" w:cs="Times New Roman"/>
          <w:sz w:val="24"/>
          <w:szCs w:val="24"/>
          <w:vertAlign w:val="superscript"/>
          <w:lang w:val="en-US"/>
        </w:rPr>
        <w:t>th</w:t>
      </w:r>
      <w:r>
        <w:rPr>
          <w:rFonts w:ascii="Book Antiqua" w:hAnsi="Book Antiqua" w:cs="Times New Roman"/>
          <w:sz w:val="24"/>
          <w:szCs w:val="24"/>
          <w:lang w:val="en-US"/>
        </w:rPr>
        <w:t xml:space="preserve"> edition of the Union for International Cancer Control (</w:t>
      </w:r>
      <w:r w:rsidRPr="00613E70">
        <w:rPr>
          <w:rFonts w:ascii="Book Antiqua" w:hAnsi="Book Antiqua" w:cs="Times New Roman"/>
          <w:sz w:val="24"/>
          <w:szCs w:val="24"/>
          <w:lang w:val="en-US"/>
        </w:rPr>
        <w:t>UICC</w:t>
      </w:r>
      <w:r>
        <w:rPr>
          <w:rFonts w:ascii="Book Antiqua" w:hAnsi="Book Antiqua" w:cs="Times New Roman"/>
          <w:sz w:val="24"/>
          <w:szCs w:val="24"/>
          <w:lang w:val="en-US"/>
        </w:rPr>
        <w:t>)</w:t>
      </w:r>
      <w:r w:rsidRPr="00613E70">
        <w:rPr>
          <w:rFonts w:ascii="Book Antiqua" w:hAnsi="Book Antiqua" w:cs="Times New Roman"/>
          <w:sz w:val="24"/>
          <w:szCs w:val="24"/>
          <w:lang w:val="en-US"/>
        </w:rPr>
        <w:t xml:space="preserve"> stage was determined </w:t>
      </w:r>
      <w:r>
        <w:rPr>
          <w:rFonts w:ascii="Book Antiqua" w:hAnsi="Book Antiqua" w:cs="Times New Roman"/>
          <w:sz w:val="24"/>
          <w:szCs w:val="24"/>
          <w:lang w:val="en-US"/>
        </w:rPr>
        <w:t>by consensus decision at the multi-disciplinary meeting based upon pre-treatment imaging</w:t>
      </w:r>
      <w:r w:rsidRPr="00613E70">
        <w:rPr>
          <w:rFonts w:ascii="Book Antiqua" w:hAnsi="Book Antiqua" w:cs="Times New Roman"/>
          <w:sz w:val="24"/>
          <w:szCs w:val="24"/>
          <w:lang w:val="en-US"/>
        </w:rPr>
        <w:t>.</w:t>
      </w:r>
    </w:p>
    <w:p w:rsidR="00C56CA5" w:rsidRPr="00613E70" w:rsidRDefault="00C56CA5" w:rsidP="00CF4A41">
      <w:pPr>
        <w:autoSpaceDE w:val="0"/>
        <w:autoSpaceDN w:val="0"/>
        <w:adjustRightInd w:val="0"/>
        <w:spacing w:after="0" w:line="360" w:lineRule="auto"/>
        <w:jc w:val="both"/>
        <w:rPr>
          <w:rFonts w:ascii="Book Antiqua" w:eastAsia="MS Mincho" w:hAnsi="Book Antiqua" w:cs="Times New Roman"/>
          <w:b/>
          <w:color w:val="131413"/>
          <w:sz w:val="24"/>
          <w:szCs w:val="24"/>
          <w:lang w:val="en-US" w:eastAsia="ja-JP"/>
        </w:rPr>
      </w:pPr>
    </w:p>
    <w:p w:rsidR="00C56CA5" w:rsidRPr="008941FD" w:rsidRDefault="00C56CA5" w:rsidP="00CF4A41">
      <w:pPr>
        <w:autoSpaceDE w:val="0"/>
        <w:autoSpaceDN w:val="0"/>
        <w:adjustRightInd w:val="0"/>
        <w:spacing w:after="0" w:line="360" w:lineRule="auto"/>
        <w:jc w:val="both"/>
        <w:rPr>
          <w:rFonts w:ascii="Book Antiqua" w:eastAsia="MS Mincho" w:hAnsi="Book Antiqua" w:cs="Times New Roman"/>
          <w:b/>
          <w:i/>
          <w:color w:val="131413"/>
          <w:sz w:val="24"/>
          <w:szCs w:val="24"/>
          <w:lang w:val="en-US" w:eastAsia="ja-JP"/>
        </w:rPr>
      </w:pPr>
      <w:r w:rsidRPr="008941FD">
        <w:rPr>
          <w:rFonts w:ascii="Book Antiqua" w:eastAsia="MS Mincho" w:hAnsi="Book Antiqua" w:cs="Times New Roman"/>
          <w:b/>
          <w:i/>
          <w:color w:val="131413"/>
          <w:sz w:val="24"/>
          <w:szCs w:val="24"/>
          <w:lang w:val="en-US" w:eastAsia="ja-JP"/>
        </w:rPr>
        <w:t>PET-CT</w:t>
      </w:r>
    </w:p>
    <w:p w:rsidR="00C56CA5" w:rsidRPr="00613E70" w:rsidRDefault="00C56CA5" w:rsidP="00CF4A41">
      <w:pPr>
        <w:autoSpaceDE w:val="0"/>
        <w:autoSpaceDN w:val="0"/>
        <w:adjustRightInd w:val="0"/>
        <w:spacing w:after="0" w:line="360" w:lineRule="auto"/>
        <w:jc w:val="both"/>
        <w:rPr>
          <w:rFonts w:ascii="Book Antiqua" w:hAnsi="Book Antiqua" w:cs="Times New Roman"/>
          <w:sz w:val="24"/>
          <w:szCs w:val="24"/>
          <w:lang w:val="en-US"/>
        </w:rPr>
      </w:pPr>
      <w:r w:rsidRPr="00613E70">
        <w:rPr>
          <w:rFonts w:ascii="Book Antiqua" w:eastAsia="MS Mincho" w:hAnsi="Book Antiqua" w:cs="Times New Roman"/>
          <w:color w:val="131413"/>
          <w:sz w:val="24"/>
          <w:szCs w:val="24"/>
          <w:lang w:val="en-US" w:eastAsia="ja-JP"/>
        </w:rPr>
        <w:t xml:space="preserve">During the years 2006-2008 coregistered PET-CT was performed using a </w:t>
      </w:r>
      <w:smartTag w:uri="urn:schemas-microsoft-com:office:smarttags" w:element="State">
        <w:r w:rsidRPr="00613E70">
          <w:rPr>
            <w:rFonts w:ascii="Book Antiqua" w:eastAsia="MS Mincho" w:hAnsi="Book Antiqua" w:cs="Times New Roman"/>
            <w:color w:val="131413"/>
            <w:sz w:val="24"/>
            <w:szCs w:val="24"/>
            <w:lang w:val="en-US" w:eastAsia="ja-JP"/>
          </w:rPr>
          <w:t>GE Discovery ST</w:t>
        </w:r>
      </w:smartTag>
      <w:r w:rsidRPr="00613E70">
        <w:rPr>
          <w:rFonts w:ascii="Book Antiqua" w:eastAsia="MS Mincho" w:hAnsi="Book Antiqua" w:cs="Times New Roman"/>
          <w:color w:val="131413"/>
          <w:sz w:val="24"/>
          <w:szCs w:val="24"/>
          <w:lang w:val="en-US" w:eastAsia="ja-JP"/>
        </w:rPr>
        <w:t xml:space="preserve"> (General Electric) PET-CT scanner with eight-slice CT scan, producing fused single image scans. Since 2008, imaging has been performed using a Siemens Biograph TruePoint PET-CT scanner. Half-body PET acquisition was obtained (from eyes to knees). Patients were fasted for 6 h prior to injection with 350-420 MBq of 18F-FDG (4.5 MBq/</w:t>
      </w:r>
      <w:r w:rsidR="00A971B0" w:rsidRPr="00613E70">
        <w:rPr>
          <w:rFonts w:ascii="Book Antiqua" w:eastAsia="MS Mincho" w:hAnsi="Book Antiqua" w:cs="Times New Roman"/>
          <w:color w:val="131413"/>
          <w:sz w:val="24"/>
          <w:szCs w:val="24"/>
          <w:lang w:val="en-US" w:eastAsia="ja-JP"/>
        </w:rPr>
        <w:t>k</w:t>
      </w:r>
      <w:r w:rsidRPr="00613E70">
        <w:rPr>
          <w:rFonts w:ascii="Book Antiqua" w:eastAsia="MS Mincho" w:hAnsi="Book Antiqua" w:cs="Times New Roman"/>
          <w:color w:val="131413"/>
          <w:sz w:val="24"/>
          <w:szCs w:val="24"/>
          <w:lang w:val="en-US" w:eastAsia="ja-JP"/>
        </w:rPr>
        <w:t>g) that was administered to patients lying supine in a</w:t>
      </w:r>
      <w:r>
        <w:rPr>
          <w:rFonts w:ascii="Book Antiqua" w:eastAsia="MS Mincho" w:hAnsi="Book Antiqua" w:cs="Times New Roman"/>
          <w:color w:val="131413"/>
          <w:sz w:val="24"/>
          <w:szCs w:val="24"/>
          <w:lang w:val="en-US" w:eastAsia="ja-JP"/>
        </w:rPr>
        <w:t xml:space="preserve"> </w:t>
      </w:r>
      <w:r w:rsidRPr="00613E70">
        <w:rPr>
          <w:rFonts w:ascii="Book Antiqua" w:eastAsia="MS Mincho" w:hAnsi="Book Antiqua" w:cs="Times New Roman"/>
          <w:color w:val="131413"/>
          <w:sz w:val="24"/>
          <w:szCs w:val="24"/>
          <w:lang w:val="en-US" w:eastAsia="ja-JP"/>
        </w:rPr>
        <w:t>quiet and warm environment. Whole-body two-dimensional image acquisition was obtained 60 min after injection of</w:t>
      </w:r>
      <w:r w:rsidR="00A971B0">
        <w:rPr>
          <w:rFonts w:ascii="Book Antiqua" w:eastAsiaTheme="minorEastAsia" w:hAnsi="Book Antiqua" w:cs="Times New Roman" w:hint="eastAsia"/>
          <w:color w:val="131413"/>
          <w:sz w:val="24"/>
          <w:szCs w:val="24"/>
          <w:lang w:val="en-US" w:eastAsia="zh-CN"/>
        </w:rPr>
        <w:t xml:space="preserve"> </w:t>
      </w:r>
      <w:r w:rsidRPr="00613E70">
        <w:rPr>
          <w:rFonts w:ascii="Book Antiqua" w:eastAsia="MS Mincho" w:hAnsi="Book Antiqua" w:cs="Times New Roman"/>
          <w:color w:val="131413"/>
          <w:sz w:val="24"/>
          <w:szCs w:val="24"/>
          <w:lang w:val="en-US" w:eastAsia="ja-JP"/>
        </w:rPr>
        <w:t>18F-FDG using a 128</w:t>
      </w:r>
      <w:r w:rsidR="008941FD" w:rsidRPr="00905FA0">
        <w:rPr>
          <w:rFonts w:ascii="Book Antiqua" w:hAnsi="Book Antiqua" w:cs="Times New Roman" w:hint="eastAsia"/>
          <w:color w:val="131413"/>
          <w:sz w:val="24"/>
          <w:szCs w:val="24"/>
          <w:lang w:val="en-US" w:eastAsia="zh-CN"/>
        </w:rPr>
        <w:t xml:space="preserve"> </w:t>
      </w:r>
      <w:r w:rsidRPr="00613E70">
        <w:rPr>
          <w:rFonts w:ascii="Book Antiqua" w:eastAsia="MS Mincho" w:hAnsi="Book Antiqua" w:cs="Times New Roman"/>
          <w:color w:val="131413"/>
          <w:sz w:val="24"/>
          <w:szCs w:val="24"/>
          <w:lang w:val="en-US" w:eastAsia="ja-JP"/>
        </w:rPr>
        <w:t>×</w:t>
      </w:r>
      <w:r w:rsidR="008941FD" w:rsidRPr="00905FA0">
        <w:rPr>
          <w:rFonts w:ascii="Book Antiqua" w:hAnsi="Book Antiqua" w:cs="Times New Roman" w:hint="eastAsia"/>
          <w:color w:val="131413"/>
          <w:sz w:val="24"/>
          <w:szCs w:val="24"/>
          <w:lang w:val="en-US" w:eastAsia="zh-CN"/>
        </w:rPr>
        <w:t xml:space="preserve"> </w:t>
      </w:r>
      <w:r w:rsidRPr="00613E70">
        <w:rPr>
          <w:rFonts w:ascii="Book Antiqua" w:eastAsia="MS Mincho" w:hAnsi="Book Antiqua" w:cs="Times New Roman"/>
          <w:color w:val="131413"/>
          <w:sz w:val="24"/>
          <w:szCs w:val="24"/>
          <w:lang w:val="en-US" w:eastAsia="ja-JP"/>
        </w:rPr>
        <w:t>128 matrix. Fused PET-CT images were single reported with quality assur</w:t>
      </w:r>
      <w:bookmarkStart w:id="19" w:name="_GoBack"/>
      <w:bookmarkEnd w:id="19"/>
      <w:r w:rsidRPr="00613E70">
        <w:rPr>
          <w:rFonts w:ascii="Book Antiqua" w:eastAsia="MS Mincho" w:hAnsi="Book Antiqua" w:cs="Times New Roman"/>
          <w:color w:val="131413"/>
          <w:sz w:val="24"/>
          <w:szCs w:val="24"/>
          <w:lang w:val="en-US" w:eastAsia="ja-JP"/>
        </w:rPr>
        <w:t xml:space="preserve">ance validation of 10% of scans. The diagnostic CT and previous imaging was available at the time of reporting. The threshold for the diagnosis </w:t>
      </w:r>
      <w:r w:rsidRPr="00613E70">
        <w:rPr>
          <w:rFonts w:ascii="Book Antiqua" w:eastAsia="MS Mincho" w:hAnsi="Book Antiqua" w:cs="Times New Roman"/>
          <w:color w:val="131413"/>
          <w:sz w:val="24"/>
          <w:szCs w:val="24"/>
          <w:lang w:val="en-US" w:eastAsia="ja-JP"/>
        </w:rPr>
        <w:lastRenderedPageBreak/>
        <w:t>of metastatic disease on PET-CT</w:t>
      </w:r>
      <w:r>
        <w:rPr>
          <w:rFonts w:ascii="Book Antiqua" w:eastAsia="MS Mincho" w:hAnsi="Book Antiqua" w:cs="Times New Roman"/>
          <w:color w:val="131413"/>
          <w:sz w:val="24"/>
          <w:szCs w:val="24"/>
          <w:lang w:val="en-US" w:eastAsia="ja-JP"/>
        </w:rPr>
        <w:t xml:space="preserve"> </w:t>
      </w:r>
      <w:r w:rsidRPr="00613E70">
        <w:rPr>
          <w:rFonts w:ascii="Book Antiqua" w:eastAsia="MS Mincho" w:hAnsi="Book Antiqua" w:cs="Times New Roman"/>
          <w:color w:val="131413"/>
          <w:sz w:val="24"/>
          <w:szCs w:val="24"/>
          <w:lang w:val="en-US" w:eastAsia="ja-JP"/>
        </w:rPr>
        <w:t>was a standardized uptake value in excess of 2.5.</w:t>
      </w:r>
    </w:p>
    <w:p w:rsidR="00C56CA5" w:rsidRPr="00613E70" w:rsidRDefault="00C56CA5" w:rsidP="00CF4A41">
      <w:pPr>
        <w:autoSpaceDE w:val="0"/>
        <w:autoSpaceDN w:val="0"/>
        <w:adjustRightInd w:val="0"/>
        <w:spacing w:after="0" w:line="360" w:lineRule="auto"/>
        <w:ind w:firstLineChars="200" w:firstLine="480"/>
        <w:jc w:val="both"/>
        <w:rPr>
          <w:rFonts w:ascii="Book Antiqua" w:hAnsi="Book Antiqua" w:cs="Times New Roman"/>
          <w:sz w:val="24"/>
          <w:szCs w:val="24"/>
          <w:lang w:val="en-US"/>
        </w:rPr>
      </w:pPr>
      <w:r>
        <w:rPr>
          <w:rFonts w:ascii="Book Antiqua" w:hAnsi="Book Antiqua" w:cs="Times New Roman"/>
          <w:sz w:val="24"/>
          <w:szCs w:val="24"/>
          <w:lang w:val="en-US"/>
        </w:rPr>
        <w:t>The influence of patient characteristics (age, sex), tumor characteristics (tumor location, histologic subtype, T stage, N stage, UICC stage), planned treatment strategy and baseline SUVmax on PET-CT were investigated using univariate analysis. Significant variables were then investigated using Cox regression analysis.</w:t>
      </w:r>
    </w:p>
    <w:p w:rsidR="00C56CA5" w:rsidRDefault="00C56CA5" w:rsidP="00CF4A41">
      <w:pPr>
        <w:spacing w:after="0" w:line="360" w:lineRule="auto"/>
        <w:ind w:firstLineChars="200" w:firstLine="480"/>
        <w:jc w:val="both"/>
        <w:rPr>
          <w:rFonts w:ascii="Book Antiqua" w:hAnsi="Book Antiqua" w:cs="Times New Roman"/>
          <w:sz w:val="24"/>
          <w:szCs w:val="24"/>
          <w:lang w:val="en-US"/>
        </w:rPr>
      </w:pPr>
      <w:r w:rsidRPr="00613E70">
        <w:rPr>
          <w:rFonts w:ascii="Book Antiqua" w:hAnsi="Book Antiqua" w:cs="Times New Roman"/>
          <w:sz w:val="24"/>
          <w:szCs w:val="24"/>
          <w:lang w:val="en-US"/>
        </w:rPr>
        <w:t xml:space="preserve">Parametric data were analyzed using the unpaired </w:t>
      </w:r>
      <w:r w:rsidRPr="0002253E">
        <w:rPr>
          <w:rFonts w:ascii="Book Antiqua" w:hAnsi="Book Antiqua" w:cs="Times New Roman"/>
          <w:i/>
          <w:sz w:val="24"/>
          <w:szCs w:val="24"/>
          <w:lang w:val="en-US"/>
        </w:rPr>
        <w:t>t</w:t>
      </w:r>
      <w:r w:rsidRPr="00613E70">
        <w:rPr>
          <w:rFonts w:ascii="Book Antiqua" w:hAnsi="Book Antiqua" w:cs="Times New Roman"/>
          <w:sz w:val="24"/>
          <w:szCs w:val="24"/>
          <w:lang w:val="en-US"/>
        </w:rPr>
        <w:t xml:space="preserve">-test and non-parametric data were analyzed using the Mann-Whitney and Kruskal-Wallis test. Statistical analysis was performed using SPSS software version 15 (SPSS, Chicago, IL, </w:t>
      </w:r>
      <w:r w:rsidR="008941FD" w:rsidRPr="008941FD">
        <w:rPr>
          <w:rFonts w:ascii="Book Antiqua" w:hAnsi="Book Antiqua" w:cs="Times New Roman"/>
          <w:sz w:val="24"/>
          <w:szCs w:val="24"/>
          <w:lang w:val="en-US"/>
        </w:rPr>
        <w:t>United States</w:t>
      </w:r>
      <w:r w:rsidRPr="00613E70">
        <w:rPr>
          <w:rFonts w:ascii="Book Antiqua" w:hAnsi="Book Antiqua" w:cs="Times New Roman"/>
          <w:sz w:val="24"/>
          <w:szCs w:val="24"/>
          <w:lang w:val="en-US"/>
        </w:rPr>
        <w:t xml:space="preserve">). Significance was assumed at the 5% level. </w:t>
      </w:r>
    </w:p>
    <w:p w:rsidR="00C56CA5" w:rsidRDefault="00C56CA5" w:rsidP="00CF4A41">
      <w:pPr>
        <w:autoSpaceDE w:val="0"/>
        <w:autoSpaceDN w:val="0"/>
        <w:adjustRightInd w:val="0"/>
        <w:spacing w:after="0" w:line="360" w:lineRule="auto"/>
        <w:jc w:val="both"/>
        <w:rPr>
          <w:rFonts w:ascii="Book Antiqua" w:hAnsi="Book Antiqua" w:cs="Times New Roman"/>
          <w:sz w:val="24"/>
          <w:szCs w:val="24"/>
          <w:lang w:val="en-US"/>
        </w:rPr>
      </w:pPr>
    </w:p>
    <w:p w:rsidR="00C56CA5" w:rsidRPr="00613E70" w:rsidRDefault="00C56CA5" w:rsidP="00CF4A41">
      <w:pPr>
        <w:spacing w:after="0" w:line="360" w:lineRule="auto"/>
        <w:jc w:val="both"/>
        <w:rPr>
          <w:rFonts w:ascii="Book Antiqua" w:hAnsi="Book Antiqua" w:cs="Times New Roman"/>
          <w:sz w:val="24"/>
          <w:szCs w:val="24"/>
          <w:lang w:val="en-US"/>
        </w:rPr>
      </w:pPr>
    </w:p>
    <w:p w:rsidR="00C56CA5" w:rsidRPr="00613E70" w:rsidRDefault="00C56CA5" w:rsidP="00CF4A41">
      <w:pPr>
        <w:spacing w:after="0" w:line="360" w:lineRule="auto"/>
        <w:jc w:val="both"/>
        <w:rPr>
          <w:rFonts w:ascii="Book Antiqua" w:hAnsi="Book Antiqua" w:cs="Times New Roman"/>
          <w:b/>
          <w:bCs/>
          <w:sz w:val="24"/>
          <w:szCs w:val="24"/>
          <w:lang w:val="en-US"/>
        </w:rPr>
      </w:pPr>
      <w:r>
        <w:rPr>
          <w:rFonts w:ascii="Book Antiqua" w:hAnsi="Book Antiqua" w:cs="Times New Roman"/>
          <w:b/>
          <w:bCs/>
          <w:sz w:val="24"/>
          <w:szCs w:val="24"/>
          <w:lang w:val="en-US"/>
        </w:rPr>
        <w:br w:type="page"/>
      </w:r>
      <w:r w:rsidRPr="00613E70">
        <w:rPr>
          <w:rFonts w:ascii="Book Antiqua" w:hAnsi="Book Antiqua" w:cs="Times New Roman"/>
          <w:b/>
          <w:bCs/>
          <w:sz w:val="24"/>
          <w:szCs w:val="24"/>
          <w:lang w:val="en-US"/>
        </w:rPr>
        <w:lastRenderedPageBreak/>
        <w:t>RESULTS</w:t>
      </w:r>
    </w:p>
    <w:p w:rsidR="00C56CA5" w:rsidRPr="00613E70" w:rsidRDefault="00C56CA5" w:rsidP="00CF4A41">
      <w:pPr>
        <w:spacing w:after="0" w:line="360" w:lineRule="auto"/>
        <w:jc w:val="both"/>
        <w:rPr>
          <w:rFonts w:ascii="Book Antiqua" w:hAnsi="Book Antiqua" w:cs="Times New Roman"/>
          <w:sz w:val="24"/>
          <w:szCs w:val="24"/>
          <w:lang w:val="en-US"/>
        </w:rPr>
      </w:pPr>
      <w:r w:rsidRPr="00613E70">
        <w:rPr>
          <w:rFonts w:ascii="Book Antiqua" w:hAnsi="Book Antiqua" w:cs="Times New Roman"/>
          <w:sz w:val="24"/>
          <w:szCs w:val="24"/>
          <w:lang w:val="en-US"/>
        </w:rPr>
        <w:t>The study population comprised 271 patients (191 male</w:t>
      </w:r>
      <w:r w:rsidR="00A971B0">
        <w:rPr>
          <w:rFonts w:ascii="Book Antiqua" w:hAnsi="Book Antiqua" w:cs="Times New Roman" w:hint="eastAsia"/>
          <w:sz w:val="24"/>
          <w:szCs w:val="24"/>
          <w:lang w:val="en-US" w:eastAsia="zh-CN"/>
        </w:rPr>
        <w:t>s</w:t>
      </w:r>
      <w:r w:rsidRPr="00613E70">
        <w:rPr>
          <w:rFonts w:ascii="Book Antiqua" w:hAnsi="Book Antiqua" w:cs="Times New Roman"/>
          <w:sz w:val="24"/>
          <w:szCs w:val="24"/>
          <w:lang w:val="en-US"/>
        </w:rPr>
        <w:t xml:space="preserve">) of median age 65 years (range 40-85).Primary tumor location was upper esophagus in 13 patients, middle esophagus in 50 patients, lower esophagus in 136 patients and gastroesophageal junction in 72 patients. Histologic subtype was adenocarcinoma in 197patients and squamous cell carcinoma in 74 patients. </w:t>
      </w:r>
    </w:p>
    <w:p w:rsidR="00C56CA5" w:rsidRDefault="00C56CA5" w:rsidP="00CF4A41">
      <w:pPr>
        <w:spacing w:after="0" w:line="360" w:lineRule="auto"/>
        <w:ind w:firstLineChars="250" w:firstLine="600"/>
        <w:jc w:val="both"/>
        <w:rPr>
          <w:rFonts w:ascii="Book Antiqua" w:hAnsi="Book Antiqua" w:cs="Times New Roman"/>
          <w:sz w:val="24"/>
          <w:szCs w:val="24"/>
          <w:lang w:val="en-US"/>
        </w:rPr>
      </w:pPr>
      <w:r w:rsidRPr="00613E70">
        <w:rPr>
          <w:rFonts w:ascii="Book Antiqua" w:hAnsi="Book Antiqua" w:cs="Times New Roman"/>
          <w:sz w:val="24"/>
          <w:szCs w:val="24"/>
          <w:lang w:val="en-US"/>
        </w:rPr>
        <w:t>Distribution of UICC stage was as follows: Stage 0 or 1 (</w:t>
      </w:r>
      <w:r>
        <w:rPr>
          <w:rFonts w:ascii="Book Antiqua" w:hAnsi="Book Antiqua" w:cs="Times New Roman"/>
          <w:sz w:val="24"/>
          <w:szCs w:val="24"/>
          <w:lang w:val="en-US"/>
        </w:rPr>
        <w:t>45</w:t>
      </w:r>
      <w:r w:rsidRPr="00613E70">
        <w:rPr>
          <w:rFonts w:ascii="Book Antiqua" w:hAnsi="Book Antiqua" w:cs="Times New Roman"/>
          <w:sz w:val="24"/>
          <w:szCs w:val="24"/>
          <w:lang w:val="en-US"/>
        </w:rPr>
        <w:t xml:space="preserve"> patients), Stage 2 (</w:t>
      </w:r>
      <w:r>
        <w:rPr>
          <w:rFonts w:ascii="Book Antiqua" w:hAnsi="Book Antiqua" w:cs="Times New Roman"/>
          <w:sz w:val="24"/>
          <w:szCs w:val="24"/>
          <w:lang w:val="en-US"/>
        </w:rPr>
        <w:t>50</w:t>
      </w:r>
      <w:r w:rsidRPr="00613E70">
        <w:rPr>
          <w:rFonts w:ascii="Book Antiqua" w:hAnsi="Book Antiqua" w:cs="Times New Roman"/>
          <w:sz w:val="24"/>
          <w:szCs w:val="24"/>
          <w:lang w:val="en-US"/>
        </w:rPr>
        <w:t xml:space="preserve"> patients), Stage 3 (9</w:t>
      </w:r>
      <w:r>
        <w:rPr>
          <w:rFonts w:ascii="Book Antiqua" w:hAnsi="Book Antiqua" w:cs="Times New Roman"/>
          <w:sz w:val="24"/>
          <w:szCs w:val="24"/>
          <w:lang w:val="en-US"/>
        </w:rPr>
        <w:t>9</w:t>
      </w:r>
      <w:r w:rsidRPr="00613E70">
        <w:rPr>
          <w:rFonts w:ascii="Book Antiqua" w:hAnsi="Book Antiqua" w:cs="Times New Roman"/>
          <w:sz w:val="24"/>
          <w:szCs w:val="24"/>
          <w:lang w:val="en-US"/>
        </w:rPr>
        <w:t xml:space="preserve"> patients) and Stage 4 (</w:t>
      </w:r>
      <w:r>
        <w:rPr>
          <w:rFonts w:ascii="Book Antiqua" w:hAnsi="Book Antiqua" w:cs="Times New Roman"/>
          <w:sz w:val="24"/>
          <w:szCs w:val="24"/>
          <w:lang w:val="en-US"/>
        </w:rPr>
        <w:t>77</w:t>
      </w:r>
      <w:r w:rsidRPr="00613E70">
        <w:rPr>
          <w:rFonts w:ascii="Book Antiqua" w:hAnsi="Book Antiqua" w:cs="Times New Roman"/>
          <w:sz w:val="24"/>
          <w:szCs w:val="24"/>
          <w:lang w:val="en-US"/>
        </w:rPr>
        <w:t xml:space="preserve"> patients). Stage 4 disease was defined on the basis of distant metastatic disease in 31 patients and on the basis of celiac axis lymphadenopathy in 46 patients. Lymphadenopathy anterior to the left gastric pedicle was defined as locoregional disease as this would be routinely within the field of surgical resection. Lymphadenopathy posterior to the left gastric pedicle was defined as celiac axis lymphadenopathy and would not be included in the field of surgical resection.</w:t>
      </w:r>
    </w:p>
    <w:p w:rsidR="00C56CA5" w:rsidRPr="00613E70" w:rsidRDefault="00C56CA5" w:rsidP="00CF4A41">
      <w:pPr>
        <w:spacing w:after="0" w:line="360" w:lineRule="auto"/>
        <w:ind w:firstLineChars="250" w:firstLine="600"/>
        <w:jc w:val="both"/>
        <w:rPr>
          <w:rFonts w:ascii="Book Antiqua" w:hAnsi="Book Antiqua" w:cs="Times New Roman"/>
          <w:sz w:val="24"/>
          <w:szCs w:val="24"/>
          <w:lang w:val="en-US"/>
        </w:rPr>
      </w:pPr>
      <w:r>
        <w:rPr>
          <w:rFonts w:ascii="Book Antiqua" w:hAnsi="Book Antiqua" w:cs="Times New Roman"/>
          <w:sz w:val="24"/>
          <w:szCs w:val="24"/>
          <w:lang w:val="en-US"/>
        </w:rPr>
        <w:t>Of note, there was no significant difference in the SUV</w:t>
      </w:r>
      <w:r w:rsidRPr="0002253E">
        <w:rPr>
          <w:rFonts w:ascii="Book Antiqua" w:hAnsi="Book Antiqua" w:cs="Times New Roman"/>
          <w:sz w:val="24"/>
          <w:szCs w:val="24"/>
          <w:vertAlign w:val="subscript"/>
          <w:lang w:val="en-US"/>
        </w:rPr>
        <w:t>max</w:t>
      </w:r>
      <w:r>
        <w:rPr>
          <w:rFonts w:ascii="Book Antiqua" w:hAnsi="Book Antiqua" w:cs="Times New Roman"/>
          <w:sz w:val="24"/>
          <w:szCs w:val="24"/>
          <w:lang w:val="en-US"/>
        </w:rPr>
        <w:t xml:space="preserve"> readings obtained during the two time periods, when the two PET-CT scanners were employed. Specifically, with the study population divided into quintiles, there was no significant difference between successive quintiles of SUV</w:t>
      </w:r>
      <w:r w:rsidRPr="0002253E">
        <w:rPr>
          <w:rFonts w:ascii="Book Antiqua" w:hAnsi="Book Antiqua" w:cs="Times New Roman"/>
          <w:sz w:val="24"/>
          <w:szCs w:val="24"/>
          <w:vertAlign w:val="subscript"/>
          <w:lang w:val="en-US"/>
        </w:rPr>
        <w:t>max</w:t>
      </w:r>
      <w:r>
        <w:rPr>
          <w:rFonts w:ascii="Book Antiqua" w:hAnsi="Book Antiqua" w:cs="Times New Roman"/>
          <w:sz w:val="24"/>
          <w:szCs w:val="24"/>
          <w:lang w:val="en-US"/>
        </w:rPr>
        <w:t xml:space="preserve"> (</w:t>
      </w:r>
      <w:r w:rsidR="0002253E" w:rsidRPr="0002253E">
        <w:rPr>
          <w:rFonts w:ascii="Book Antiqua" w:hAnsi="Book Antiqua" w:cs="Times New Roman"/>
          <w:i/>
          <w:sz w:val="24"/>
          <w:szCs w:val="24"/>
          <w:lang w:val="en-US"/>
        </w:rPr>
        <w:t>P</w:t>
      </w:r>
      <w:r w:rsidR="0002253E">
        <w:rPr>
          <w:rFonts w:ascii="Book Antiqua" w:hAnsi="Book Antiqua" w:cs="Times New Roman" w:hint="eastAsia"/>
          <w:sz w:val="24"/>
          <w:szCs w:val="24"/>
          <w:lang w:val="en-US" w:eastAsia="zh-CN"/>
        </w:rPr>
        <w:t xml:space="preserve"> </w:t>
      </w:r>
      <w:r>
        <w:rPr>
          <w:rFonts w:ascii="Book Antiqua" w:hAnsi="Book Antiqua" w:cs="Times New Roman"/>
          <w:sz w:val="24"/>
          <w:szCs w:val="24"/>
          <w:lang w:val="en-US"/>
        </w:rPr>
        <w:t>=</w:t>
      </w:r>
      <w:r w:rsidR="0002253E">
        <w:rPr>
          <w:rFonts w:ascii="Book Antiqua" w:hAnsi="Book Antiqua" w:cs="Times New Roman" w:hint="eastAsia"/>
          <w:sz w:val="24"/>
          <w:szCs w:val="24"/>
          <w:lang w:val="en-US" w:eastAsia="zh-CN"/>
        </w:rPr>
        <w:t xml:space="preserve"> </w:t>
      </w:r>
      <w:r>
        <w:rPr>
          <w:rFonts w:ascii="Book Antiqua" w:hAnsi="Book Antiqua" w:cs="Times New Roman"/>
          <w:sz w:val="24"/>
          <w:szCs w:val="24"/>
          <w:lang w:val="en-US"/>
        </w:rPr>
        <w:t>0.55).</w:t>
      </w:r>
    </w:p>
    <w:p w:rsidR="00C56CA5" w:rsidRPr="00613E70" w:rsidRDefault="00C56CA5" w:rsidP="00CF4A41">
      <w:pPr>
        <w:spacing w:after="0" w:line="360" w:lineRule="auto"/>
        <w:ind w:firstLineChars="200" w:firstLine="480"/>
        <w:jc w:val="both"/>
        <w:rPr>
          <w:rFonts w:ascii="Book Antiqua" w:hAnsi="Book Antiqua" w:cs="Times New Roman"/>
          <w:sz w:val="24"/>
          <w:szCs w:val="24"/>
          <w:lang w:val="en-US"/>
        </w:rPr>
      </w:pPr>
      <w:r w:rsidRPr="00613E70">
        <w:rPr>
          <w:rFonts w:ascii="Book Antiqua" w:hAnsi="Book Antiqua" w:cs="Times New Roman"/>
          <w:sz w:val="24"/>
          <w:szCs w:val="24"/>
          <w:lang w:val="en-US"/>
        </w:rPr>
        <w:t xml:space="preserve">According to the multi-disciplinary panel, the treatment intention was radical (curative) for 182 patients and palliative for 89 patients. For the 182 patients treated with radical intent, principal treatment modality was surgery with or without neoadjuvant chemotherapy (114 patients), chemoradiotherapy (63 patients) and endoscopic mucosal resection (5 patients). Nineteen of the surgically treated patients underwent exploratory surgery because of the identification of unresectable T4 disease or peritoneal disease (19/114, 17%). </w:t>
      </w:r>
    </w:p>
    <w:p w:rsidR="00911F24" w:rsidRDefault="00911F24" w:rsidP="00CF4A41">
      <w:pPr>
        <w:spacing w:after="0" w:line="360" w:lineRule="auto"/>
        <w:jc w:val="both"/>
        <w:rPr>
          <w:rFonts w:ascii="Book Antiqua" w:hAnsi="Book Antiqua" w:cs="Times New Roman"/>
          <w:b/>
          <w:bCs/>
          <w:sz w:val="24"/>
          <w:szCs w:val="24"/>
          <w:lang w:val="en-US" w:eastAsia="zh-CN"/>
        </w:rPr>
      </w:pPr>
    </w:p>
    <w:p w:rsidR="00C56CA5" w:rsidRPr="0002253E" w:rsidRDefault="00C56CA5" w:rsidP="00CF4A41">
      <w:pPr>
        <w:spacing w:after="0" w:line="360" w:lineRule="auto"/>
        <w:jc w:val="both"/>
        <w:rPr>
          <w:rFonts w:ascii="Book Antiqua" w:hAnsi="Book Antiqua" w:cs="Times New Roman"/>
          <w:b/>
          <w:bCs/>
          <w:i/>
          <w:sz w:val="24"/>
          <w:szCs w:val="24"/>
          <w:lang w:val="en-US"/>
        </w:rPr>
      </w:pPr>
      <w:r w:rsidRPr="0002253E">
        <w:rPr>
          <w:rFonts w:ascii="Book Antiqua" w:hAnsi="Book Antiqua" w:cs="Times New Roman"/>
          <w:b/>
          <w:bCs/>
          <w:i/>
          <w:sz w:val="24"/>
          <w:szCs w:val="24"/>
          <w:lang w:val="en-US"/>
        </w:rPr>
        <w:t>Analysis of SUV</w:t>
      </w:r>
      <w:r w:rsidRPr="0002253E">
        <w:rPr>
          <w:rFonts w:ascii="Book Antiqua" w:hAnsi="Book Antiqua" w:cs="Times New Roman"/>
          <w:b/>
          <w:bCs/>
          <w:i/>
          <w:sz w:val="24"/>
          <w:szCs w:val="24"/>
          <w:vertAlign w:val="subscript"/>
          <w:lang w:val="en-US"/>
        </w:rPr>
        <w:t xml:space="preserve">max </w:t>
      </w:r>
      <w:r w:rsidRPr="0002253E">
        <w:rPr>
          <w:rFonts w:ascii="Book Antiqua" w:hAnsi="Book Antiqua" w:cs="Times New Roman"/>
          <w:b/>
          <w:bCs/>
          <w:i/>
          <w:sz w:val="24"/>
          <w:szCs w:val="24"/>
          <w:lang w:val="en-US"/>
        </w:rPr>
        <w:t>and survival</w:t>
      </w:r>
    </w:p>
    <w:p w:rsidR="00C56CA5" w:rsidRPr="00613E70" w:rsidRDefault="00C56CA5" w:rsidP="00CF4A41">
      <w:pPr>
        <w:spacing w:after="0" w:line="360" w:lineRule="auto"/>
        <w:jc w:val="both"/>
        <w:rPr>
          <w:rFonts w:ascii="Book Antiqua" w:hAnsi="Book Antiqua" w:cs="Times New Roman"/>
          <w:sz w:val="24"/>
          <w:szCs w:val="24"/>
          <w:lang w:val="en-US"/>
        </w:rPr>
      </w:pPr>
      <w:r w:rsidRPr="00613E70">
        <w:rPr>
          <w:rFonts w:ascii="Book Antiqua" w:hAnsi="Book Antiqua" w:cs="Times New Roman"/>
          <w:sz w:val="24"/>
          <w:szCs w:val="24"/>
          <w:lang w:val="en-US"/>
        </w:rPr>
        <w:t>The outcome of univariate analysis comparing associations between patients factors (Table 1), tumor factors (Table 2) and treatment factors (Table 3) and SUVmax is shown. These show that SUV</w:t>
      </w:r>
      <w:r w:rsidRPr="0002253E">
        <w:rPr>
          <w:rFonts w:ascii="Book Antiqua" w:hAnsi="Book Antiqua" w:cs="Times New Roman"/>
          <w:sz w:val="24"/>
          <w:szCs w:val="24"/>
          <w:vertAlign w:val="subscript"/>
          <w:lang w:val="en-US"/>
        </w:rPr>
        <w:t>max</w:t>
      </w:r>
      <w:r w:rsidRPr="00613E70">
        <w:rPr>
          <w:rFonts w:ascii="Book Antiqua" w:hAnsi="Book Antiqua" w:cs="Times New Roman"/>
          <w:sz w:val="24"/>
          <w:szCs w:val="24"/>
          <w:lang w:val="en-US"/>
        </w:rPr>
        <w:t xml:space="preserve"> increased as disease burden (T </w:t>
      </w:r>
      <w:r w:rsidRPr="00613E70">
        <w:rPr>
          <w:rFonts w:ascii="Book Antiqua" w:hAnsi="Book Antiqua" w:cs="Times New Roman"/>
          <w:sz w:val="24"/>
          <w:szCs w:val="24"/>
          <w:lang w:val="en-US"/>
        </w:rPr>
        <w:lastRenderedPageBreak/>
        <w:t>stage, N stage, UICC stage) increased. Figure 1 plots survival for patients when stratified into quartiles of SUV</w:t>
      </w:r>
      <w:r w:rsidRPr="00911F24">
        <w:rPr>
          <w:rFonts w:ascii="Book Antiqua" w:hAnsi="Book Antiqua" w:cs="Times New Roman"/>
          <w:sz w:val="24"/>
          <w:szCs w:val="24"/>
          <w:vertAlign w:val="subscript"/>
          <w:lang w:val="en-US"/>
        </w:rPr>
        <w:t>max</w:t>
      </w:r>
      <w:r>
        <w:rPr>
          <w:rFonts w:ascii="Book Antiqua" w:hAnsi="Book Antiqua" w:cs="Times New Roman"/>
          <w:sz w:val="24"/>
          <w:szCs w:val="24"/>
          <w:lang w:val="en-US"/>
        </w:rPr>
        <w:t xml:space="preserve"> (1</w:t>
      </w:r>
      <w:r w:rsidRPr="007A410E">
        <w:rPr>
          <w:rFonts w:ascii="Book Antiqua" w:hAnsi="Book Antiqua" w:cs="Times New Roman"/>
          <w:sz w:val="24"/>
          <w:szCs w:val="24"/>
          <w:vertAlign w:val="superscript"/>
          <w:lang w:val="en-US"/>
        </w:rPr>
        <w:t>st</w:t>
      </w:r>
      <w:r>
        <w:rPr>
          <w:rFonts w:ascii="Book Antiqua" w:hAnsi="Book Antiqua" w:cs="Times New Roman"/>
          <w:sz w:val="24"/>
          <w:szCs w:val="24"/>
          <w:lang w:val="en-US"/>
        </w:rPr>
        <w:t xml:space="preserve"> quartile 0-7.4, 2</w:t>
      </w:r>
      <w:r w:rsidRPr="007A410E">
        <w:rPr>
          <w:rFonts w:ascii="Book Antiqua" w:hAnsi="Book Antiqua" w:cs="Times New Roman"/>
          <w:sz w:val="24"/>
          <w:szCs w:val="24"/>
          <w:vertAlign w:val="superscript"/>
          <w:lang w:val="en-US"/>
        </w:rPr>
        <w:t>nd</w:t>
      </w:r>
      <w:r>
        <w:rPr>
          <w:rFonts w:ascii="Book Antiqua" w:hAnsi="Book Antiqua" w:cs="Times New Roman"/>
          <w:sz w:val="24"/>
          <w:szCs w:val="24"/>
          <w:lang w:val="en-US"/>
        </w:rPr>
        <w:t xml:space="preserve"> quartile 7.5-10.9, 3</w:t>
      </w:r>
      <w:r w:rsidRPr="007A410E">
        <w:rPr>
          <w:rFonts w:ascii="Book Antiqua" w:hAnsi="Book Antiqua" w:cs="Times New Roman"/>
          <w:sz w:val="24"/>
          <w:szCs w:val="24"/>
          <w:vertAlign w:val="superscript"/>
          <w:lang w:val="en-US"/>
        </w:rPr>
        <w:t>rd</w:t>
      </w:r>
      <w:r>
        <w:rPr>
          <w:rFonts w:ascii="Book Antiqua" w:hAnsi="Book Antiqua" w:cs="Times New Roman"/>
          <w:sz w:val="24"/>
          <w:szCs w:val="24"/>
          <w:lang w:val="en-US"/>
        </w:rPr>
        <w:t xml:space="preserve"> quartile 11.0-14.7, 4</w:t>
      </w:r>
      <w:r w:rsidRPr="007A410E">
        <w:rPr>
          <w:rFonts w:ascii="Book Antiqua" w:hAnsi="Book Antiqua" w:cs="Times New Roman"/>
          <w:sz w:val="24"/>
          <w:szCs w:val="24"/>
          <w:vertAlign w:val="superscript"/>
          <w:lang w:val="en-US"/>
        </w:rPr>
        <w:t>th</w:t>
      </w:r>
      <w:r>
        <w:rPr>
          <w:rFonts w:ascii="Book Antiqua" w:hAnsi="Book Antiqua" w:cs="Times New Roman"/>
          <w:sz w:val="24"/>
          <w:szCs w:val="24"/>
          <w:lang w:val="en-US"/>
        </w:rPr>
        <w:t xml:space="preserve"> quartile &gt;</w:t>
      </w:r>
      <w:r w:rsidR="0002253E">
        <w:rPr>
          <w:rFonts w:ascii="Book Antiqua" w:hAnsi="Book Antiqua" w:cs="Times New Roman" w:hint="eastAsia"/>
          <w:sz w:val="24"/>
          <w:szCs w:val="24"/>
          <w:lang w:val="en-US" w:eastAsia="zh-CN"/>
        </w:rPr>
        <w:t xml:space="preserve"> </w:t>
      </w:r>
      <w:r>
        <w:rPr>
          <w:rFonts w:ascii="Book Antiqua" w:hAnsi="Book Antiqua" w:cs="Times New Roman"/>
          <w:sz w:val="24"/>
          <w:szCs w:val="24"/>
          <w:lang w:val="en-US"/>
        </w:rPr>
        <w:t>14.7)</w:t>
      </w:r>
      <w:r w:rsidRPr="00613E70">
        <w:rPr>
          <w:rFonts w:ascii="Book Antiqua" w:hAnsi="Book Antiqua" w:cs="Times New Roman"/>
          <w:sz w:val="24"/>
          <w:szCs w:val="24"/>
          <w:lang w:val="en-US"/>
        </w:rPr>
        <w:t>. The strong link between SUV</w:t>
      </w:r>
      <w:r w:rsidRPr="00911F24">
        <w:rPr>
          <w:rFonts w:ascii="Book Antiqua" w:hAnsi="Book Antiqua" w:cs="Times New Roman"/>
          <w:sz w:val="24"/>
          <w:szCs w:val="24"/>
          <w:vertAlign w:val="subscript"/>
          <w:lang w:val="en-US"/>
        </w:rPr>
        <w:t>max</w:t>
      </w:r>
      <w:r w:rsidRPr="00613E70">
        <w:rPr>
          <w:rFonts w:ascii="Book Antiqua" w:hAnsi="Book Antiqua" w:cs="Times New Roman"/>
          <w:sz w:val="24"/>
          <w:szCs w:val="24"/>
          <w:lang w:val="en-US"/>
        </w:rPr>
        <w:t xml:space="preserve"> and survival is evident.</w:t>
      </w:r>
      <w:r>
        <w:rPr>
          <w:rFonts w:ascii="Book Antiqua" w:hAnsi="Book Antiqua" w:cs="Times New Roman"/>
          <w:sz w:val="24"/>
          <w:szCs w:val="24"/>
          <w:lang w:val="en-US"/>
        </w:rPr>
        <w:t xml:space="preserve"> </w:t>
      </w:r>
      <w:r w:rsidRPr="00613E70">
        <w:rPr>
          <w:rFonts w:ascii="Book Antiqua" w:hAnsi="Book Antiqua" w:cs="Times New Roman"/>
          <w:sz w:val="24"/>
          <w:szCs w:val="24"/>
          <w:lang w:val="en-US"/>
        </w:rPr>
        <w:t>The significance of SUV</w:t>
      </w:r>
      <w:r w:rsidRPr="00911F24">
        <w:rPr>
          <w:rFonts w:ascii="Book Antiqua" w:hAnsi="Book Antiqua" w:cs="Times New Roman"/>
          <w:sz w:val="24"/>
          <w:szCs w:val="24"/>
          <w:vertAlign w:val="subscript"/>
          <w:lang w:val="en-US"/>
        </w:rPr>
        <w:t>max</w:t>
      </w:r>
      <w:r w:rsidRPr="00613E70">
        <w:rPr>
          <w:rFonts w:ascii="Book Antiqua" w:hAnsi="Book Antiqua" w:cs="Times New Roman"/>
          <w:sz w:val="24"/>
          <w:szCs w:val="24"/>
          <w:lang w:val="en-US"/>
        </w:rPr>
        <w:t xml:space="preserve"> was lost on multivariate analysis. Using </w:t>
      </w:r>
      <w:r>
        <w:rPr>
          <w:rFonts w:ascii="Book Antiqua" w:hAnsi="Book Antiqua" w:cs="Times New Roman"/>
          <w:sz w:val="24"/>
          <w:szCs w:val="24"/>
          <w:lang w:val="en-US"/>
        </w:rPr>
        <w:t xml:space="preserve">Cox </w:t>
      </w:r>
      <w:r w:rsidRPr="00613E70">
        <w:rPr>
          <w:rFonts w:ascii="Book Antiqua" w:hAnsi="Book Antiqua" w:cs="Times New Roman"/>
          <w:sz w:val="24"/>
          <w:szCs w:val="24"/>
          <w:lang w:val="en-US"/>
        </w:rPr>
        <w:t>regression</w:t>
      </w:r>
      <w:r>
        <w:rPr>
          <w:rFonts w:ascii="Book Antiqua" w:hAnsi="Book Antiqua" w:cs="Times New Roman"/>
          <w:sz w:val="24"/>
          <w:szCs w:val="24"/>
          <w:lang w:val="en-US"/>
        </w:rPr>
        <w:t xml:space="preserve"> analysis</w:t>
      </w:r>
      <w:r w:rsidRPr="00613E70">
        <w:rPr>
          <w:rFonts w:ascii="Book Antiqua" w:hAnsi="Book Antiqua" w:cs="Times New Roman"/>
          <w:sz w:val="24"/>
          <w:szCs w:val="24"/>
          <w:lang w:val="en-US"/>
        </w:rPr>
        <w:t xml:space="preserve">, the only factors significantly associated with survival were T-stage </w:t>
      </w:r>
      <w:r>
        <w:rPr>
          <w:rFonts w:ascii="Book Antiqua" w:hAnsi="Book Antiqua" w:cs="Times New Roman"/>
          <w:sz w:val="24"/>
          <w:szCs w:val="24"/>
          <w:lang w:val="en-US"/>
        </w:rPr>
        <w:t>(</w:t>
      </w:r>
      <w:r w:rsidR="0002253E" w:rsidRPr="0002253E">
        <w:rPr>
          <w:rFonts w:ascii="Book Antiqua" w:hAnsi="Book Antiqua" w:cs="Times New Roman"/>
          <w:i/>
          <w:sz w:val="24"/>
          <w:szCs w:val="24"/>
          <w:lang w:val="en-US"/>
        </w:rPr>
        <w:t>P</w:t>
      </w:r>
      <w:r w:rsidR="0002253E" w:rsidRPr="0002253E">
        <w:rPr>
          <w:rFonts w:ascii="Book Antiqua" w:hAnsi="Book Antiqua" w:cs="Times New Roman"/>
          <w:i/>
          <w:sz w:val="24"/>
          <w:szCs w:val="24"/>
          <w:lang w:val="en-US" w:eastAsia="zh-CN"/>
        </w:rPr>
        <w:t xml:space="preserve"> </w:t>
      </w:r>
      <w:r>
        <w:rPr>
          <w:rFonts w:ascii="Book Antiqua" w:hAnsi="Book Antiqua" w:cs="Times New Roman"/>
          <w:sz w:val="24"/>
          <w:szCs w:val="24"/>
          <w:lang w:val="en-US"/>
        </w:rPr>
        <w:t>&lt;</w:t>
      </w:r>
      <w:r w:rsidR="0002253E">
        <w:rPr>
          <w:rFonts w:ascii="Book Antiqua" w:hAnsi="Book Antiqua" w:cs="Times New Roman" w:hint="eastAsia"/>
          <w:sz w:val="24"/>
          <w:szCs w:val="24"/>
          <w:lang w:val="en-US" w:eastAsia="zh-CN"/>
        </w:rPr>
        <w:t xml:space="preserve"> </w:t>
      </w:r>
      <w:r>
        <w:rPr>
          <w:rFonts w:ascii="Book Antiqua" w:hAnsi="Book Antiqua" w:cs="Times New Roman"/>
          <w:sz w:val="24"/>
          <w:szCs w:val="24"/>
          <w:lang w:val="en-US"/>
        </w:rPr>
        <w:t xml:space="preserve">0.001) </w:t>
      </w:r>
      <w:r w:rsidRPr="00613E70">
        <w:rPr>
          <w:rFonts w:ascii="Book Antiqua" w:hAnsi="Book Antiqua" w:cs="Times New Roman"/>
          <w:sz w:val="24"/>
          <w:szCs w:val="24"/>
          <w:lang w:val="en-US"/>
        </w:rPr>
        <w:t>and UICC stage</w:t>
      </w:r>
      <w:r>
        <w:rPr>
          <w:rFonts w:ascii="Book Antiqua" w:hAnsi="Book Antiqua" w:cs="Times New Roman"/>
          <w:sz w:val="24"/>
          <w:szCs w:val="24"/>
          <w:lang w:val="en-US"/>
        </w:rPr>
        <w:t xml:space="preserve"> (</w:t>
      </w:r>
      <w:r w:rsidR="0002253E" w:rsidRPr="0002253E">
        <w:rPr>
          <w:rFonts w:ascii="Book Antiqua" w:hAnsi="Book Antiqua" w:cs="Times New Roman"/>
          <w:i/>
          <w:sz w:val="24"/>
          <w:szCs w:val="24"/>
          <w:lang w:val="en-US"/>
        </w:rPr>
        <w:t>P</w:t>
      </w:r>
      <w:r w:rsidR="0002253E" w:rsidRPr="0002253E">
        <w:rPr>
          <w:rFonts w:ascii="Book Antiqua" w:hAnsi="Book Antiqua" w:cs="Times New Roman"/>
          <w:i/>
          <w:sz w:val="24"/>
          <w:szCs w:val="24"/>
          <w:lang w:val="en-US" w:eastAsia="zh-CN"/>
        </w:rPr>
        <w:t xml:space="preserve"> </w:t>
      </w:r>
      <w:r>
        <w:rPr>
          <w:rFonts w:ascii="Book Antiqua" w:hAnsi="Book Antiqua" w:cs="Times New Roman"/>
          <w:sz w:val="24"/>
          <w:szCs w:val="24"/>
          <w:lang w:val="en-US"/>
        </w:rPr>
        <w:t>&lt;</w:t>
      </w:r>
      <w:r w:rsidR="0002253E">
        <w:rPr>
          <w:rFonts w:ascii="Book Antiqua" w:hAnsi="Book Antiqua" w:cs="Times New Roman" w:hint="eastAsia"/>
          <w:sz w:val="24"/>
          <w:szCs w:val="24"/>
          <w:lang w:val="en-US" w:eastAsia="zh-CN"/>
        </w:rPr>
        <w:t xml:space="preserve"> </w:t>
      </w:r>
      <w:r>
        <w:rPr>
          <w:rFonts w:ascii="Book Antiqua" w:hAnsi="Book Antiqua" w:cs="Times New Roman"/>
          <w:sz w:val="24"/>
          <w:szCs w:val="24"/>
          <w:lang w:val="en-US"/>
        </w:rPr>
        <w:t>0.001)</w:t>
      </w:r>
      <w:r w:rsidRPr="00613E70">
        <w:rPr>
          <w:rFonts w:ascii="Book Antiqua" w:hAnsi="Book Antiqua" w:cs="Times New Roman"/>
          <w:sz w:val="24"/>
          <w:szCs w:val="24"/>
          <w:lang w:val="en-US"/>
        </w:rPr>
        <w:t xml:space="preserve">. The same findings were evident when both the complete cohort was analyzed and when subgroup analysis of individual treatment groups (chemoradiotherapy, surgery, palliative chemotherapy) </w:t>
      </w:r>
      <w:r>
        <w:rPr>
          <w:rFonts w:ascii="Book Antiqua" w:hAnsi="Book Antiqua" w:cs="Times New Roman"/>
          <w:sz w:val="24"/>
          <w:szCs w:val="24"/>
          <w:lang w:val="en-US"/>
        </w:rPr>
        <w:t xml:space="preserve">and histologic subtype (adenocarcinoma, squamous carcinoma) </w:t>
      </w:r>
      <w:r w:rsidRPr="00613E70">
        <w:rPr>
          <w:rFonts w:ascii="Book Antiqua" w:hAnsi="Book Antiqua" w:cs="Times New Roman"/>
          <w:sz w:val="24"/>
          <w:szCs w:val="24"/>
          <w:lang w:val="en-US"/>
        </w:rPr>
        <w:t>was performed.</w:t>
      </w:r>
    </w:p>
    <w:p w:rsidR="00C56CA5" w:rsidRPr="00613E70" w:rsidRDefault="00C56CA5" w:rsidP="00CF4A41">
      <w:pPr>
        <w:spacing w:after="0" w:line="360" w:lineRule="auto"/>
        <w:jc w:val="both"/>
        <w:rPr>
          <w:rFonts w:ascii="Book Antiqua" w:hAnsi="Book Antiqua" w:cs="Times New Roman"/>
          <w:sz w:val="24"/>
          <w:szCs w:val="24"/>
          <w:lang w:val="en-US"/>
        </w:rPr>
      </w:pPr>
    </w:p>
    <w:p w:rsidR="00C56CA5" w:rsidRPr="00613E70" w:rsidRDefault="00C56CA5" w:rsidP="00CF4A41">
      <w:pPr>
        <w:spacing w:after="0" w:line="360" w:lineRule="auto"/>
        <w:jc w:val="both"/>
        <w:rPr>
          <w:rFonts w:ascii="Book Antiqua" w:hAnsi="Book Antiqua" w:cs="Times New Roman"/>
          <w:b/>
          <w:bCs/>
          <w:sz w:val="24"/>
          <w:szCs w:val="24"/>
          <w:lang w:val="en-US"/>
        </w:rPr>
      </w:pPr>
      <w:r w:rsidRPr="00613E70">
        <w:rPr>
          <w:rFonts w:ascii="Book Antiqua" w:hAnsi="Book Antiqua" w:cs="Times New Roman"/>
          <w:b/>
          <w:bCs/>
          <w:sz w:val="24"/>
          <w:szCs w:val="24"/>
          <w:lang w:val="en-US"/>
        </w:rPr>
        <w:t>DISCUSSION</w:t>
      </w:r>
    </w:p>
    <w:p w:rsidR="00C56CA5" w:rsidRPr="00613E70" w:rsidRDefault="00C56CA5" w:rsidP="00CF4A41">
      <w:pPr>
        <w:spacing w:after="0" w:line="360" w:lineRule="auto"/>
        <w:jc w:val="both"/>
        <w:rPr>
          <w:rFonts w:ascii="Book Antiqua" w:hAnsi="Book Antiqua" w:cs="Times New Roman"/>
          <w:sz w:val="24"/>
          <w:szCs w:val="24"/>
          <w:lang w:val="en-US"/>
        </w:rPr>
      </w:pPr>
      <w:r w:rsidRPr="00613E70">
        <w:rPr>
          <w:rFonts w:ascii="Book Antiqua" w:hAnsi="Book Antiqua" w:cs="Times New Roman"/>
          <w:sz w:val="24"/>
          <w:szCs w:val="24"/>
          <w:lang w:val="en-US"/>
        </w:rPr>
        <w:t>Twenty-one studies published to date have assessed the influence of pretreatment SUV</w:t>
      </w:r>
      <w:r w:rsidRPr="0002253E">
        <w:rPr>
          <w:rFonts w:ascii="Book Antiqua" w:hAnsi="Book Antiqua" w:cs="Times New Roman"/>
          <w:sz w:val="24"/>
          <w:szCs w:val="24"/>
          <w:vertAlign w:val="subscript"/>
          <w:lang w:val="en-US"/>
        </w:rPr>
        <w:t>max</w:t>
      </w:r>
      <w:r w:rsidRPr="00613E70">
        <w:rPr>
          <w:rFonts w:ascii="Book Antiqua" w:hAnsi="Book Antiqua" w:cs="Times New Roman"/>
          <w:sz w:val="24"/>
          <w:szCs w:val="24"/>
          <w:lang w:val="en-US"/>
        </w:rPr>
        <w:t xml:space="preserve"> on the prognosis of cancer of the esoph</w:t>
      </w:r>
      <w:r>
        <w:rPr>
          <w:rFonts w:ascii="Book Antiqua" w:hAnsi="Book Antiqua" w:cs="Times New Roman"/>
          <w:sz w:val="24"/>
          <w:szCs w:val="24"/>
          <w:lang w:val="en-US"/>
        </w:rPr>
        <w:t>agus in 1960 patients (Table 4)</w:t>
      </w:r>
      <w:r w:rsidRPr="00613E70">
        <w:rPr>
          <w:rFonts w:ascii="Book Antiqua" w:hAnsi="Book Antiqua" w:cs="Times New Roman"/>
          <w:sz w:val="24"/>
          <w:szCs w:val="24"/>
          <w:vertAlign w:val="superscript"/>
          <w:lang w:val="en-US"/>
        </w:rPr>
        <w:t>[4-24]</w:t>
      </w:r>
      <w:r>
        <w:rPr>
          <w:rFonts w:ascii="Book Antiqua" w:hAnsi="Book Antiqua" w:cs="Times New Roman"/>
          <w:sz w:val="24"/>
          <w:szCs w:val="24"/>
          <w:lang w:val="en-US"/>
        </w:rPr>
        <w:t>. B</w:t>
      </w:r>
      <w:r w:rsidRPr="00613E70">
        <w:rPr>
          <w:rFonts w:ascii="Book Antiqua" w:hAnsi="Book Antiqua" w:cs="Times New Roman"/>
          <w:sz w:val="24"/>
          <w:szCs w:val="24"/>
          <w:lang w:val="en-US"/>
        </w:rPr>
        <w:t xml:space="preserve">y cancer subtype, the proportion of patients with adenocarcinoma in the studies has ranged from 0% to 100%, with a median of 78%. As was noted in the current study, squamous carcinoma is associated with higher FDG uptake than adenocarcinoma. Sixteen of the studies assessed only patients being treated with radical intent, either surgery (with or without neoadjuvant chemotherapy) or chemoradiotherapy. Only four studies assessed patients treated with both radical and palliative intent. The current study represents the largest unselected study to date. </w:t>
      </w:r>
    </w:p>
    <w:p w:rsidR="00C56CA5" w:rsidRPr="00613E70" w:rsidRDefault="00C56CA5" w:rsidP="00CF4A41">
      <w:pPr>
        <w:spacing w:after="0" w:line="360" w:lineRule="auto"/>
        <w:ind w:firstLineChars="200" w:firstLine="480"/>
        <w:jc w:val="both"/>
        <w:rPr>
          <w:rFonts w:ascii="Book Antiqua" w:hAnsi="Book Antiqua" w:cs="Times New Roman"/>
          <w:sz w:val="24"/>
          <w:szCs w:val="24"/>
          <w:lang w:val="en-US"/>
        </w:rPr>
      </w:pPr>
      <w:r w:rsidRPr="00613E70">
        <w:rPr>
          <w:rFonts w:ascii="Book Antiqua" w:hAnsi="Book Antiqua" w:cs="Times New Roman"/>
          <w:sz w:val="24"/>
          <w:szCs w:val="24"/>
          <w:lang w:val="en-US"/>
        </w:rPr>
        <w:t>There were wide variations in the median, mean and threshold SUV</w:t>
      </w:r>
      <w:r w:rsidRPr="00ED15AD">
        <w:rPr>
          <w:rFonts w:ascii="Book Antiqua" w:hAnsi="Book Antiqua" w:cs="Times New Roman"/>
          <w:sz w:val="24"/>
          <w:szCs w:val="24"/>
          <w:vertAlign w:val="subscript"/>
          <w:lang w:val="en-US"/>
        </w:rPr>
        <w:t>max</w:t>
      </w:r>
      <w:r w:rsidRPr="00613E70">
        <w:rPr>
          <w:rFonts w:ascii="Book Antiqua" w:hAnsi="Book Antiqua" w:cs="Times New Roman"/>
          <w:sz w:val="24"/>
          <w:szCs w:val="24"/>
          <w:lang w:val="en-US"/>
        </w:rPr>
        <w:t xml:space="preserve"> noted in the published studies. The median value of 10.9 identified in the current study was higher than the majority of the studies and likely reflects the unselected population evaluated.</w:t>
      </w:r>
      <w:r>
        <w:rPr>
          <w:rFonts w:ascii="Book Antiqua" w:hAnsi="Book Antiqua" w:cs="Times New Roman"/>
          <w:sz w:val="24"/>
          <w:szCs w:val="24"/>
          <w:lang w:val="en-US"/>
        </w:rPr>
        <w:t xml:space="preserve"> Of note, the scans obtained in this study were obtained using two PET-CT machines, although there was no evidence that this had any influence on the measurements.</w:t>
      </w:r>
    </w:p>
    <w:p w:rsidR="00C56CA5" w:rsidRPr="00613E70" w:rsidRDefault="00C56CA5" w:rsidP="00CF4A41">
      <w:pPr>
        <w:spacing w:after="0" w:line="360" w:lineRule="auto"/>
        <w:ind w:firstLineChars="250" w:firstLine="600"/>
        <w:jc w:val="both"/>
        <w:rPr>
          <w:rFonts w:ascii="Book Antiqua" w:hAnsi="Book Antiqua" w:cs="Times New Roman"/>
          <w:sz w:val="24"/>
          <w:szCs w:val="24"/>
          <w:lang w:val="en-US"/>
        </w:rPr>
      </w:pPr>
      <w:r w:rsidRPr="00613E70">
        <w:rPr>
          <w:rFonts w:ascii="Book Antiqua" w:hAnsi="Book Antiqua" w:cs="Times New Roman"/>
          <w:sz w:val="24"/>
          <w:szCs w:val="24"/>
          <w:lang w:val="en-US"/>
        </w:rPr>
        <w:t xml:space="preserve">Pan </w:t>
      </w:r>
      <w:r>
        <w:rPr>
          <w:rFonts w:ascii="Book Antiqua" w:hAnsi="Book Antiqua" w:cs="Times New Roman"/>
          <w:i/>
          <w:sz w:val="24"/>
          <w:szCs w:val="24"/>
          <w:lang w:val="en-US"/>
        </w:rPr>
        <w:t>et al</w:t>
      </w:r>
      <w:r w:rsidRPr="00613E70">
        <w:rPr>
          <w:rFonts w:ascii="Book Antiqua" w:hAnsi="Book Antiqua" w:cs="Times New Roman"/>
          <w:sz w:val="24"/>
          <w:szCs w:val="24"/>
          <w:vertAlign w:val="superscript"/>
          <w:lang w:val="en-US"/>
        </w:rPr>
        <w:t>[3]</w:t>
      </w:r>
      <w:r>
        <w:rPr>
          <w:rFonts w:ascii="Book Antiqua" w:hAnsi="Book Antiqua" w:cs="Times New Roman"/>
          <w:sz w:val="24"/>
          <w:szCs w:val="24"/>
          <w:lang w:val="en-US"/>
        </w:rPr>
        <w:t>, i</w:t>
      </w:r>
      <w:r w:rsidRPr="00613E70">
        <w:rPr>
          <w:rFonts w:ascii="Book Antiqua" w:hAnsi="Book Antiqua" w:cs="Times New Roman"/>
          <w:sz w:val="24"/>
          <w:szCs w:val="24"/>
          <w:lang w:val="en-US"/>
        </w:rPr>
        <w:t>n a meta-analysis of the literature published up to 2009 identified SUV</w:t>
      </w:r>
      <w:r w:rsidRPr="0002253E">
        <w:rPr>
          <w:rFonts w:ascii="Book Antiqua" w:hAnsi="Book Antiqua" w:cs="Times New Roman"/>
          <w:sz w:val="24"/>
          <w:szCs w:val="24"/>
          <w:vertAlign w:val="subscript"/>
          <w:lang w:val="en-US"/>
        </w:rPr>
        <w:t>max</w:t>
      </w:r>
      <w:r w:rsidRPr="00613E70">
        <w:rPr>
          <w:rFonts w:ascii="Book Antiqua" w:hAnsi="Book Antiqua" w:cs="Times New Roman"/>
          <w:sz w:val="24"/>
          <w:szCs w:val="24"/>
          <w:lang w:val="en-US"/>
        </w:rPr>
        <w:t xml:space="preserve"> to be associated with a hazard ratio of 1.86 for overall </w:t>
      </w:r>
      <w:r w:rsidRPr="00613E70">
        <w:rPr>
          <w:rFonts w:ascii="Book Antiqua" w:hAnsi="Book Antiqua" w:cs="Times New Roman"/>
          <w:sz w:val="24"/>
          <w:szCs w:val="24"/>
          <w:lang w:val="en-US"/>
        </w:rPr>
        <w:lastRenderedPageBreak/>
        <w:t>survival, with higher values reflecting poorer survival. The authors however assessed the link between uptake and survival using univariate analysis. In the current study, a significant link between SUV</w:t>
      </w:r>
      <w:r w:rsidRPr="00911F24">
        <w:rPr>
          <w:rFonts w:ascii="Book Antiqua" w:hAnsi="Book Antiqua" w:cs="Times New Roman"/>
          <w:sz w:val="24"/>
          <w:szCs w:val="24"/>
          <w:vertAlign w:val="subscript"/>
          <w:lang w:val="en-US"/>
        </w:rPr>
        <w:t>max</w:t>
      </w:r>
      <w:r w:rsidRPr="00613E70">
        <w:rPr>
          <w:rFonts w:ascii="Book Antiqua" w:hAnsi="Book Antiqua" w:cs="Times New Roman"/>
          <w:sz w:val="24"/>
          <w:szCs w:val="24"/>
          <w:lang w:val="en-US"/>
        </w:rPr>
        <w:t xml:space="preserve"> and prognosis was noted on univariate analysis, but this effect disappeared on multivariate analysis. Table 4 indicates that 17 of the 21 studies (81%) identified a significant association between SUV</w:t>
      </w:r>
      <w:r w:rsidRPr="00911F24">
        <w:rPr>
          <w:rFonts w:ascii="Book Antiqua" w:hAnsi="Book Antiqua" w:cs="Times New Roman"/>
          <w:sz w:val="24"/>
          <w:szCs w:val="24"/>
          <w:vertAlign w:val="subscript"/>
          <w:lang w:val="en-US"/>
        </w:rPr>
        <w:t>max</w:t>
      </w:r>
      <w:r w:rsidRPr="00613E70">
        <w:rPr>
          <w:rFonts w:ascii="Book Antiqua" w:hAnsi="Book Antiqua" w:cs="Times New Roman"/>
          <w:sz w:val="24"/>
          <w:szCs w:val="24"/>
          <w:lang w:val="en-US"/>
        </w:rPr>
        <w:t xml:space="preserve"> and prognosis on univariate analysis, but only four of 16 studies (25%) found that this effect persisted on multivariate analysis.</w:t>
      </w:r>
    </w:p>
    <w:p w:rsidR="00C56CA5" w:rsidRPr="00613E70" w:rsidRDefault="00C56CA5" w:rsidP="00CF4A41">
      <w:pPr>
        <w:spacing w:after="0" w:line="360" w:lineRule="auto"/>
        <w:ind w:firstLineChars="200" w:firstLine="480"/>
        <w:jc w:val="both"/>
        <w:rPr>
          <w:rFonts w:ascii="Book Antiqua" w:hAnsi="Book Antiqua" w:cs="Times New Roman"/>
          <w:sz w:val="24"/>
          <w:szCs w:val="24"/>
          <w:lang w:val="en-US"/>
        </w:rPr>
      </w:pPr>
      <w:r w:rsidRPr="00613E70">
        <w:rPr>
          <w:rFonts w:ascii="Book Antiqua" w:hAnsi="Book Antiqua" w:cs="Times New Roman"/>
          <w:sz w:val="24"/>
          <w:szCs w:val="24"/>
          <w:lang w:val="en-US"/>
        </w:rPr>
        <w:t xml:space="preserve">The reason for this is likely to be the close relationship between SUVmax and UICC stage, and the over-riding effect of UICC stage on all other prognostic markers. The literature taken </w:t>
      </w:r>
      <w:r w:rsidRPr="00613E70">
        <w:rPr>
          <w:rFonts w:ascii="Book Antiqua" w:hAnsi="Book Antiqua" w:cs="Times New Roman"/>
          <w:i/>
          <w:sz w:val="24"/>
          <w:szCs w:val="24"/>
          <w:lang w:val="en-US"/>
        </w:rPr>
        <w:t>en masse</w:t>
      </w:r>
      <w:r w:rsidRPr="00613E70">
        <w:rPr>
          <w:rFonts w:ascii="Book Antiqua" w:hAnsi="Book Antiqua" w:cs="Times New Roman"/>
          <w:sz w:val="24"/>
          <w:szCs w:val="24"/>
          <w:lang w:val="en-US"/>
        </w:rPr>
        <w:t xml:space="preserve"> report similar themes. Other factors that have been identified as being of prognostic value indirectly relate to cancer stage such as PET-CT N stage, the absolute number of abnormalities on PET-CT and the endoscopic ultrasound derived TNM stage or tumor volume. </w:t>
      </w:r>
    </w:p>
    <w:p w:rsidR="00C56CA5" w:rsidRPr="00613E70" w:rsidRDefault="00C56CA5" w:rsidP="00CF4A41">
      <w:pPr>
        <w:spacing w:after="0" w:line="360" w:lineRule="auto"/>
        <w:ind w:firstLineChars="200" w:firstLine="480"/>
        <w:jc w:val="both"/>
        <w:rPr>
          <w:rFonts w:ascii="Book Antiqua" w:hAnsi="Book Antiqua" w:cs="Times New Roman"/>
          <w:sz w:val="24"/>
          <w:szCs w:val="24"/>
          <w:lang w:val="en-US"/>
        </w:rPr>
      </w:pPr>
      <w:r w:rsidRPr="00613E70">
        <w:rPr>
          <w:rFonts w:ascii="Book Antiqua" w:hAnsi="Book Antiqua" w:cs="Times New Roman"/>
          <w:sz w:val="24"/>
          <w:szCs w:val="24"/>
          <w:lang w:val="en-US"/>
        </w:rPr>
        <w:t xml:space="preserve">The current study has assessed the influence of a single pretreatment uptake value on cancer outcome, although other studies have suggested that serial PET-CT scanning may yield additional information by comparing pre- and </w:t>
      </w:r>
      <w:r w:rsidR="0002253E" w:rsidRPr="00613E70">
        <w:rPr>
          <w:rFonts w:ascii="Book Antiqua" w:hAnsi="Book Antiqua" w:cs="Times New Roman"/>
          <w:sz w:val="24"/>
          <w:szCs w:val="24"/>
          <w:lang w:val="en-US"/>
        </w:rPr>
        <w:t>post-treatment</w:t>
      </w:r>
      <w:r>
        <w:rPr>
          <w:rFonts w:ascii="Book Antiqua" w:hAnsi="Book Antiqua" w:cs="Times New Roman"/>
          <w:sz w:val="24"/>
          <w:szCs w:val="24"/>
          <w:lang w:val="en-US"/>
        </w:rPr>
        <w:t xml:space="preserve"> values</w:t>
      </w:r>
      <w:r w:rsidRPr="00613E70">
        <w:rPr>
          <w:rFonts w:ascii="Book Antiqua" w:hAnsi="Book Antiqua" w:cs="Times New Roman"/>
          <w:sz w:val="24"/>
          <w:szCs w:val="24"/>
          <w:vertAlign w:val="superscript"/>
          <w:lang w:val="en-US"/>
        </w:rPr>
        <w:t>[25,26]</w:t>
      </w:r>
      <w:r>
        <w:rPr>
          <w:rFonts w:ascii="Book Antiqua" w:hAnsi="Book Antiqua" w:cs="Times New Roman"/>
          <w:sz w:val="24"/>
          <w:szCs w:val="24"/>
          <w:lang w:val="en-US"/>
        </w:rPr>
        <w:t xml:space="preserve">. </w:t>
      </w:r>
      <w:r w:rsidRPr="00613E70">
        <w:rPr>
          <w:rFonts w:ascii="Book Antiqua" w:hAnsi="Book Antiqua" w:cs="Times New Roman"/>
          <w:sz w:val="24"/>
          <w:szCs w:val="24"/>
          <w:lang w:val="en-US"/>
        </w:rPr>
        <w:t xml:space="preserve">At our institution, it is not standard practice to perform serial PET-CT. Patients undergo only one pretreatment examination. </w:t>
      </w:r>
    </w:p>
    <w:p w:rsidR="00C56CA5" w:rsidRPr="00613E70" w:rsidRDefault="00C56CA5" w:rsidP="00CF4A41">
      <w:pPr>
        <w:spacing w:after="0" w:line="360" w:lineRule="auto"/>
        <w:ind w:firstLineChars="200" w:firstLine="480"/>
        <w:jc w:val="both"/>
        <w:rPr>
          <w:rFonts w:ascii="Book Antiqua" w:hAnsi="Book Antiqua" w:cs="Times New Roman"/>
          <w:sz w:val="24"/>
          <w:szCs w:val="24"/>
          <w:lang w:val="en-US"/>
        </w:rPr>
      </w:pPr>
      <w:r w:rsidRPr="00613E70">
        <w:rPr>
          <w:rFonts w:ascii="Book Antiqua" w:hAnsi="Book Antiqua" w:cs="Times New Roman"/>
          <w:sz w:val="24"/>
          <w:szCs w:val="24"/>
          <w:lang w:val="en-US"/>
        </w:rPr>
        <w:t>We have previously shown that PET-CT alters the cancer stage in 26% of patients and that this translates into</w:t>
      </w:r>
      <w:r>
        <w:rPr>
          <w:rFonts w:ascii="Book Antiqua" w:hAnsi="Book Antiqua" w:cs="Times New Roman"/>
          <w:sz w:val="24"/>
          <w:szCs w:val="24"/>
          <w:lang w:val="en-US"/>
        </w:rPr>
        <w:t xml:space="preserve"> a change in management for 18%</w:t>
      </w:r>
      <w:r w:rsidRPr="00613E70">
        <w:rPr>
          <w:rFonts w:ascii="Book Antiqua" w:hAnsi="Book Antiqua" w:cs="Times New Roman"/>
          <w:sz w:val="24"/>
          <w:szCs w:val="24"/>
          <w:vertAlign w:val="superscript"/>
          <w:lang w:val="en-US"/>
        </w:rPr>
        <w:t>[2]</w:t>
      </w:r>
      <w:r>
        <w:rPr>
          <w:rFonts w:ascii="Book Antiqua" w:hAnsi="Book Antiqua" w:cs="Times New Roman"/>
          <w:sz w:val="24"/>
          <w:szCs w:val="24"/>
          <w:lang w:val="en-US"/>
        </w:rPr>
        <w:t xml:space="preserve">. </w:t>
      </w:r>
      <w:r w:rsidRPr="00613E70">
        <w:rPr>
          <w:rFonts w:ascii="Book Antiqua" w:hAnsi="Book Antiqua" w:cs="Times New Roman"/>
          <w:sz w:val="24"/>
          <w:szCs w:val="24"/>
          <w:lang w:val="en-US"/>
        </w:rPr>
        <w:t>The implications of the current study are that the value of the PET-CT remains in the diagnosis of “occult” metastatic disease or confirming suspicious abnormalities on initial CT imaging. Its role is purely in triangulating with other information in order to predict pretreatment stage. The pretreatment SUV</w:t>
      </w:r>
      <w:r w:rsidRPr="00911F24">
        <w:rPr>
          <w:rFonts w:ascii="Book Antiqua" w:hAnsi="Book Antiqua" w:cs="Times New Roman"/>
          <w:sz w:val="24"/>
          <w:szCs w:val="24"/>
          <w:vertAlign w:val="subscript"/>
          <w:lang w:val="en-US"/>
        </w:rPr>
        <w:t>max</w:t>
      </w:r>
      <w:r w:rsidRPr="00613E70">
        <w:rPr>
          <w:rFonts w:ascii="Book Antiqua" w:hAnsi="Book Antiqua" w:cs="Times New Roman"/>
          <w:sz w:val="24"/>
          <w:szCs w:val="24"/>
          <w:lang w:val="en-US"/>
        </w:rPr>
        <w:t xml:space="preserve"> measurement, while closely linked to prognosis does not provide additional meaningful information that can be used in clinical decision making. </w:t>
      </w:r>
    </w:p>
    <w:p w:rsidR="00C56CA5" w:rsidRPr="00613E70" w:rsidRDefault="00C56CA5" w:rsidP="00CF4A41">
      <w:pPr>
        <w:spacing w:after="0" w:line="360" w:lineRule="auto"/>
        <w:ind w:firstLineChars="200" w:firstLine="480"/>
        <w:jc w:val="both"/>
        <w:rPr>
          <w:rFonts w:ascii="Book Antiqua" w:hAnsi="Book Antiqua" w:cs="Times New Roman"/>
          <w:sz w:val="24"/>
          <w:szCs w:val="24"/>
          <w:lang w:val="en-US"/>
        </w:rPr>
      </w:pPr>
      <w:r w:rsidRPr="00613E70">
        <w:rPr>
          <w:rFonts w:ascii="Book Antiqua" w:hAnsi="Book Antiqua" w:cs="Times New Roman"/>
          <w:sz w:val="24"/>
          <w:szCs w:val="24"/>
          <w:lang w:val="en-US"/>
        </w:rPr>
        <w:t>Several studies have noted that FDG uptake in regional lymph nodes may provide additional prognostic information</w:t>
      </w:r>
      <w:r w:rsidRPr="00613E70">
        <w:rPr>
          <w:rFonts w:ascii="Book Antiqua" w:hAnsi="Book Antiqua" w:cs="Times New Roman"/>
          <w:sz w:val="24"/>
          <w:szCs w:val="24"/>
          <w:vertAlign w:val="superscript"/>
          <w:lang w:val="en-US"/>
        </w:rPr>
        <w:t>[10,15,22-24]</w:t>
      </w:r>
      <w:r>
        <w:rPr>
          <w:rFonts w:ascii="Book Antiqua" w:hAnsi="Book Antiqua" w:cs="Times New Roman"/>
          <w:sz w:val="24"/>
          <w:szCs w:val="24"/>
          <w:lang w:val="en-US"/>
        </w:rPr>
        <w:t>. A</w:t>
      </w:r>
      <w:r w:rsidRPr="00613E70">
        <w:rPr>
          <w:rFonts w:ascii="Book Antiqua" w:hAnsi="Book Antiqua" w:cs="Times New Roman"/>
          <w:sz w:val="24"/>
          <w:szCs w:val="24"/>
          <w:lang w:val="en-US"/>
        </w:rPr>
        <w:t xml:space="preserve">t our institution, no attempt has been made to stage local peritumoral lymphadenopathy on the basis of PET-CT. We have considered the spatial resolution of the imaging </w:t>
      </w:r>
      <w:r w:rsidRPr="00613E70">
        <w:rPr>
          <w:rFonts w:ascii="Book Antiqua" w:hAnsi="Book Antiqua" w:cs="Times New Roman"/>
          <w:sz w:val="24"/>
          <w:szCs w:val="24"/>
          <w:lang w:val="en-US"/>
        </w:rPr>
        <w:lastRenderedPageBreak/>
        <w:t xml:space="preserve">insufficient to allow distinction between primary tumor and local lymphadenopathy. Local nodal staging is assessed by endoscopic ultrasound. </w:t>
      </w:r>
    </w:p>
    <w:p w:rsidR="00C56CA5" w:rsidRPr="00613E70" w:rsidRDefault="00C56CA5" w:rsidP="00CF4A41">
      <w:pPr>
        <w:spacing w:after="0" w:line="360" w:lineRule="auto"/>
        <w:ind w:firstLineChars="250" w:firstLine="600"/>
        <w:jc w:val="both"/>
        <w:rPr>
          <w:rFonts w:ascii="Book Antiqua" w:hAnsi="Book Antiqua" w:cs="Times New Roman"/>
          <w:sz w:val="24"/>
          <w:szCs w:val="24"/>
          <w:lang w:val="en-US"/>
        </w:rPr>
      </w:pPr>
      <w:r w:rsidRPr="00613E70">
        <w:rPr>
          <w:rFonts w:ascii="Book Antiqua" w:hAnsi="Book Antiqua" w:cs="Times New Roman"/>
          <w:sz w:val="24"/>
          <w:szCs w:val="24"/>
          <w:lang w:val="en-US"/>
        </w:rPr>
        <w:t>In conclusion, this study did not demonstrate the utility of PET-CT scanning, over and above determination of UICC stage. Pre-treatment SUVmax did not yield additional useful information.</w:t>
      </w:r>
    </w:p>
    <w:p w:rsidR="00C56CA5" w:rsidRPr="00613E70" w:rsidRDefault="00C56CA5" w:rsidP="00CF4A41">
      <w:pPr>
        <w:spacing w:after="0" w:line="360" w:lineRule="auto"/>
        <w:jc w:val="both"/>
        <w:rPr>
          <w:rFonts w:ascii="Book Antiqua" w:hAnsi="Book Antiqua" w:cs="Times New Roman"/>
          <w:sz w:val="24"/>
          <w:szCs w:val="24"/>
          <w:lang w:val="en-US" w:eastAsia="zh-CN"/>
        </w:rPr>
      </w:pPr>
    </w:p>
    <w:p w:rsidR="00C56CA5" w:rsidRDefault="00C56CA5" w:rsidP="00CF4A41">
      <w:pPr>
        <w:spacing w:after="0" w:line="360" w:lineRule="auto"/>
        <w:jc w:val="both"/>
        <w:rPr>
          <w:rFonts w:ascii="Book Antiqua" w:hAnsi="Book Antiqua" w:cs="Times New Roman"/>
          <w:b/>
          <w:bCs/>
          <w:sz w:val="24"/>
          <w:szCs w:val="24"/>
          <w:lang w:val="en-US"/>
        </w:rPr>
      </w:pPr>
      <w:r>
        <w:rPr>
          <w:rFonts w:ascii="Book Antiqua" w:hAnsi="Book Antiqua" w:cs="Times New Roman"/>
          <w:b/>
          <w:bCs/>
          <w:sz w:val="24"/>
          <w:szCs w:val="24"/>
          <w:lang w:val="en-US"/>
        </w:rPr>
        <w:br w:type="page"/>
      </w:r>
      <w:r>
        <w:rPr>
          <w:rFonts w:ascii="Book Antiqua" w:hAnsi="Book Antiqua" w:cs="Times New Roman"/>
          <w:b/>
          <w:bCs/>
          <w:sz w:val="24"/>
          <w:szCs w:val="24"/>
          <w:lang w:val="en-US"/>
        </w:rPr>
        <w:lastRenderedPageBreak/>
        <w:t>COMMENTS</w:t>
      </w:r>
    </w:p>
    <w:p w:rsidR="00C56CA5" w:rsidRPr="0002253E" w:rsidRDefault="00C56CA5" w:rsidP="00CF4A41">
      <w:pPr>
        <w:spacing w:after="0" w:line="360" w:lineRule="auto"/>
        <w:jc w:val="both"/>
        <w:rPr>
          <w:rFonts w:ascii="Book Antiqua" w:hAnsi="Book Antiqua" w:cs="Times New Roman"/>
          <w:b/>
          <w:bCs/>
          <w:i/>
          <w:sz w:val="24"/>
          <w:szCs w:val="24"/>
          <w:lang w:val="en-US"/>
        </w:rPr>
      </w:pPr>
      <w:r w:rsidRPr="0002253E">
        <w:rPr>
          <w:rFonts w:ascii="Book Antiqua" w:hAnsi="Book Antiqua" w:cs="Times New Roman"/>
          <w:b/>
          <w:bCs/>
          <w:i/>
          <w:sz w:val="24"/>
          <w:szCs w:val="24"/>
          <w:lang w:val="en-US"/>
        </w:rPr>
        <w:t>Background</w:t>
      </w:r>
    </w:p>
    <w:p w:rsidR="00C56CA5" w:rsidRDefault="00FB040D" w:rsidP="00CF4A41">
      <w:pPr>
        <w:spacing w:after="0" w:line="360" w:lineRule="auto"/>
        <w:jc w:val="both"/>
        <w:rPr>
          <w:rFonts w:ascii="Book Antiqua" w:hAnsi="Book Antiqua" w:cs="Times New Roman"/>
          <w:bCs/>
          <w:sz w:val="24"/>
          <w:szCs w:val="24"/>
          <w:lang w:val="en-US"/>
        </w:rPr>
      </w:pPr>
      <w:r w:rsidRPr="00FB040D">
        <w:rPr>
          <w:rFonts w:ascii="Book Antiqua" w:hAnsi="Book Antiqua" w:cs="Times New Roman"/>
          <w:sz w:val="24"/>
          <w:szCs w:val="24"/>
          <w:lang w:val="en-US"/>
        </w:rPr>
        <w:t>Positron emission tomography</w:t>
      </w:r>
      <w:r>
        <w:rPr>
          <w:rFonts w:ascii="Book Antiqua" w:hAnsi="Book Antiqua" w:cs="Times New Roman" w:hint="eastAsia"/>
          <w:sz w:val="24"/>
          <w:szCs w:val="24"/>
          <w:lang w:val="en-US" w:eastAsia="zh-CN"/>
        </w:rPr>
        <w:t>-</w:t>
      </w:r>
      <w:r w:rsidRPr="00FB040D">
        <w:rPr>
          <w:rFonts w:ascii="Book Antiqua" w:hAnsi="Book Antiqua" w:cs="Times New Roman"/>
          <w:sz w:val="24"/>
          <w:szCs w:val="24"/>
          <w:lang w:val="en-US" w:eastAsia="zh-CN"/>
        </w:rPr>
        <w:t xml:space="preserve">computed tomography </w:t>
      </w:r>
      <w:r>
        <w:rPr>
          <w:rFonts w:ascii="Book Antiqua" w:hAnsi="Book Antiqua" w:cs="Times New Roman" w:hint="eastAsia"/>
          <w:sz w:val="24"/>
          <w:szCs w:val="24"/>
          <w:lang w:val="en-US" w:eastAsia="zh-CN"/>
        </w:rPr>
        <w:t>(</w:t>
      </w:r>
      <w:r w:rsidRPr="00613E70">
        <w:rPr>
          <w:rFonts w:ascii="Book Antiqua" w:hAnsi="Book Antiqua" w:cs="Times New Roman"/>
          <w:sz w:val="24"/>
          <w:szCs w:val="24"/>
          <w:lang w:val="en-US"/>
        </w:rPr>
        <w:t>PET-CT</w:t>
      </w:r>
      <w:r>
        <w:rPr>
          <w:rFonts w:ascii="Book Antiqua" w:hAnsi="Book Antiqua" w:cs="Times New Roman" w:hint="eastAsia"/>
          <w:sz w:val="24"/>
          <w:szCs w:val="24"/>
          <w:lang w:val="en-US" w:eastAsia="zh-CN"/>
        </w:rPr>
        <w:t>)</w:t>
      </w:r>
      <w:r w:rsidR="00C56CA5">
        <w:rPr>
          <w:rFonts w:ascii="Book Antiqua" w:hAnsi="Book Antiqua" w:cs="Times New Roman"/>
          <w:bCs/>
          <w:sz w:val="24"/>
          <w:szCs w:val="24"/>
          <w:lang w:val="en-US"/>
        </w:rPr>
        <w:t xml:space="preserve"> imaging is routinely employed in the staging of esophageal cancer. Its principal role is in the identification of metastatic disease. Some previous reports have suggested that the FDG uptake (SUV</w:t>
      </w:r>
      <w:r w:rsidR="00C56CA5" w:rsidRPr="0002253E">
        <w:rPr>
          <w:rFonts w:ascii="Book Antiqua" w:hAnsi="Book Antiqua" w:cs="Times New Roman"/>
          <w:bCs/>
          <w:sz w:val="24"/>
          <w:szCs w:val="24"/>
          <w:vertAlign w:val="subscript"/>
          <w:lang w:val="en-US"/>
        </w:rPr>
        <w:t>max</w:t>
      </w:r>
      <w:r w:rsidR="00C56CA5">
        <w:rPr>
          <w:rFonts w:ascii="Book Antiqua" w:hAnsi="Book Antiqua" w:cs="Times New Roman"/>
          <w:bCs/>
          <w:sz w:val="24"/>
          <w:szCs w:val="24"/>
          <w:lang w:val="en-US"/>
        </w:rPr>
        <w:t xml:space="preserve">) may afford additional prognostic information. </w:t>
      </w:r>
    </w:p>
    <w:p w:rsidR="00C56CA5" w:rsidRDefault="00C56CA5" w:rsidP="00CF4A41">
      <w:pPr>
        <w:spacing w:after="0" w:line="360" w:lineRule="auto"/>
        <w:jc w:val="both"/>
        <w:rPr>
          <w:rFonts w:ascii="Book Antiqua" w:hAnsi="Book Antiqua" w:cs="Times New Roman"/>
          <w:bCs/>
          <w:sz w:val="24"/>
          <w:szCs w:val="24"/>
          <w:lang w:val="en-US"/>
        </w:rPr>
      </w:pPr>
    </w:p>
    <w:p w:rsidR="00C56CA5" w:rsidRPr="0002253E" w:rsidRDefault="00C56CA5" w:rsidP="00CF4A41">
      <w:pPr>
        <w:spacing w:after="0" w:line="360" w:lineRule="auto"/>
        <w:jc w:val="both"/>
        <w:rPr>
          <w:rFonts w:ascii="Book Antiqua" w:hAnsi="Book Antiqua" w:cs="Times New Roman"/>
          <w:b/>
          <w:bCs/>
          <w:i/>
          <w:sz w:val="24"/>
          <w:szCs w:val="24"/>
          <w:lang w:val="en-US"/>
        </w:rPr>
      </w:pPr>
      <w:r w:rsidRPr="0002253E">
        <w:rPr>
          <w:rFonts w:ascii="Book Antiqua" w:hAnsi="Book Antiqua" w:cs="Times New Roman"/>
          <w:b/>
          <w:bCs/>
          <w:i/>
          <w:sz w:val="24"/>
          <w:szCs w:val="24"/>
          <w:lang w:val="en-US"/>
        </w:rPr>
        <w:t>Research frontiers</w:t>
      </w:r>
    </w:p>
    <w:p w:rsidR="00C56CA5" w:rsidRDefault="00C56CA5" w:rsidP="00CF4A41">
      <w:pPr>
        <w:spacing w:after="0" w:line="360" w:lineRule="auto"/>
        <w:jc w:val="both"/>
        <w:rPr>
          <w:rFonts w:ascii="Book Antiqua" w:hAnsi="Book Antiqua" w:cs="Times New Roman"/>
          <w:bCs/>
          <w:sz w:val="24"/>
          <w:szCs w:val="24"/>
          <w:lang w:val="en-US"/>
        </w:rPr>
      </w:pPr>
      <w:r>
        <w:rPr>
          <w:rFonts w:ascii="Book Antiqua" w:hAnsi="Book Antiqua" w:cs="Times New Roman"/>
          <w:bCs/>
          <w:sz w:val="24"/>
          <w:szCs w:val="24"/>
          <w:lang w:val="en-US"/>
        </w:rPr>
        <w:t>The research hotspot is to determine whether or not the effect of SUV</w:t>
      </w:r>
      <w:r w:rsidRPr="00911F24">
        <w:rPr>
          <w:rFonts w:ascii="Book Antiqua" w:hAnsi="Book Antiqua" w:cs="Times New Roman"/>
          <w:bCs/>
          <w:sz w:val="24"/>
          <w:szCs w:val="24"/>
          <w:vertAlign w:val="subscript"/>
          <w:lang w:val="en-US"/>
        </w:rPr>
        <w:t>max</w:t>
      </w:r>
      <w:r>
        <w:rPr>
          <w:rFonts w:ascii="Book Antiqua" w:hAnsi="Book Antiqua" w:cs="Times New Roman"/>
          <w:bCs/>
          <w:sz w:val="24"/>
          <w:szCs w:val="24"/>
          <w:lang w:val="en-US"/>
        </w:rPr>
        <w:t xml:space="preserve"> on prognosis is independent of known prognostic markers, such as UICC stage</w:t>
      </w:r>
    </w:p>
    <w:p w:rsidR="00C56CA5" w:rsidRDefault="00C56CA5" w:rsidP="00CF4A41">
      <w:pPr>
        <w:spacing w:after="0" w:line="360" w:lineRule="auto"/>
        <w:jc w:val="both"/>
        <w:rPr>
          <w:rFonts w:ascii="Book Antiqua" w:hAnsi="Book Antiqua" w:cs="Times New Roman"/>
          <w:bCs/>
          <w:sz w:val="24"/>
          <w:szCs w:val="24"/>
          <w:lang w:val="en-US"/>
        </w:rPr>
      </w:pPr>
    </w:p>
    <w:p w:rsidR="00C56CA5" w:rsidRPr="0002253E" w:rsidRDefault="00C56CA5" w:rsidP="00CF4A41">
      <w:pPr>
        <w:spacing w:after="0" w:line="360" w:lineRule="auto"/>
        <w:jc w:val="both"/>
        <w:rPr>
          <w:rFonts w:ascii="Book Antiqua" w:hAnsi="Book Antiqua" w:cs="Times New Roman"/>
          <w:b/>
          <w:bCs/>
          <w:i/>
          <w:sz w:val="24"/>
          <w:szCs w:val="24"/>
          <w:lang w:val="en-US"/>
        </w:rPr>
      </w:pPr>
      <w:r w:rsidRPr="0002253E">
        <w:rPr>
          <w:rFonts w:ascii="Book Antiqua" w:hAnsi="Book Antiqua" w:cs="Times New Roman"/>
          <w:b/>
          <w:bCs/>
          <w:i/>
          <w:sz w:val="24"/>
          <w:szCs w:val="24"/>
          <w:lang w:val="en-US"/>
        </w:rPr>
        <w:t xml:space="preserve">Innovations and </w:t>
      </w:r>
      <w:r w:rsidR="0002253E" w:rsidRPr="0002253E">
        <w:rPr>
          <w:rFonts w:ascii="Book Antiqua" w:hAnsi="Book Antiqua" w:cs="Times New Roman"/>
          <w:b/>
          <w:bCs/>
          <w:i/>
          <w:sz w:val="24"/>
          <w:szCs w:val="24"/>
          <w:lang w:val="en-US"/>
        </w:rPr>
        <w:t>breakthroughs</w:t>
      </w:r>
    </w:p>
    <w:p w:rsidR="00C56CA5" w:rsidRDefault="00C56CA5" w:rsidP="00CF4A41">
      <w:pPr>
        <w:spacing w:after="0" w:line="360" w:lineRule="auto"/>
        <w:jc w:val="both"/>
        <w:rPr>
          <w:rFonts w:ascii="Book Antiqua" w:hAnsi="Book Antiqua" w:cs="Times New Roman"/>
          <w:bCs/>
          <w:sz w:val="24"/>
          <w:szCs w:val="24"/>
          <w:lang w:val="en-US"/>
        </w:rPr>
      </w:pPr>
      <w:r>
        <w:rPr>
          <w:rFonts w:ascii="Book Antiqua" w:hAnsi="Book Antiqua" w:cs="Times New Roman"/>
          <w:bCs/>
          <w:sz w:val="24"/>
          <w:szCs w:val="24"/>
          <w:lang w:val="en-US"/>
        </w:rPr>
        <w:t>Univariate analysis identified that prognosis was linked to baseline pre-treatment) SUV</w:t>
      </w:r>
      <w:r w:rsidRPr="0002253E">
        <w:rPr>
          <w:rFonts w:ascii="Book Antiqua" w:hAnsi="Book Antiqua" w:cs="Times New Roman"/>
          <w:bCs/>
          <w:sz w:val="24"/>
          <w:szCs w:val="24"/>
          <w:vertAlign w:val="subscript"/>
          <w:lang w:val="en-US"/>
        </w:rPr>
        <w:t>max</w:t>
      </w:r>
      <w:r>
        <w:rPr>
          <w:rFonts w:ascii="Book Antiqua" w:hAnsi="Book Antiqua" w:cs="Times New Roman"/>
          <w:bCs/>
          <w:sz w:val="24"/>
          <w:szCs w:val="24"/>
          <w:lang w:val="en-US"/>
        </w:rPr>
        <w:t xml:space="preserve"> in patients with esophageal cancer. However, this effect did not persist on regression analysis, with conventional prognostic markers (UICC stage, tumor stage) assuming significance.</w:t>
      </w:r>
    </w:p>
    <w:p w:rsidR="00C56CA5" w:rsidRDefault="00C56CA5" w:rsidP="00CF4A41">
      <w:pPr>
        <w:spacing w:after="0" w:line="360" w:lineRule="auto"/>
        <w:jc w:val="both"/>
        <w:rPr>
          <w:rFonts w:ascii="Book Antiqua" w:hAnsi="Book Antiqua" w:cs="Times New Roman"/>
          <w:b/>
          <w:bCs/>
          <w:sz w:val="24"/>
          <w:szCs w:val="24"/>
          <w:lang w:val="en-US"/>
        </w:rPr>
      </w:pPr>
    </w:p>
    <w:p w:rsidR="00C56CA5" w:rsidRPr="0002253E" w:rsidRDefault="00C56CA5" w:rsidP="00CF4A41">
      <w:pPr>
        <w:spacing w:after="0" w:line="360" w:lineRule="auto"/>
        <w:jc w:val="both"/>
        <w:rPr>
          <w:rFonts w:ascii="Book Antiqua" w:hAnsi="Book Antiqua" w:cs="Times New Roman"/>
          <w:b/>
          <w:bCs/>
          <w:i/>
          <w:sz w:val="24"/>
          <w:szCs w:val="24"/>
          <w:lang w:val="en-US"/>
        </w:rPr>
      </w:pPr>
      <w:r w:rsidRPr="0002253E">
        <w:rPr>
          <w:rFonts w:ascii="Book Antiqua" w:hAnsi="Book Antiqua" w:cs="Times New Roman"/>
          <w:b/>
          <w:bCs/>
          <w:i/>
          <w:sz w:val="24"/>
          <w:szCs w:val="24"/>
          <w:lang w:val="en-US"/>
        </w:rPr>
        <w:t>Applications</w:t>
      </w:r>
    </w:p>
    <w:p w:rsidR="00C56CA5" w:rsidRDefault="00C56CA5" w:rsidP="00CF4A41">
      <w:pPr>
        <w:spacing w:after="0" w:line="360" w:lineRule="auto"/>
        <w:jc w:val="both"/>
        <w:rPr>
          <w:rFonts w:ascii="Book Antiqua" w:hAnsi="Book Antiqua" w:cs="Times New Roman"/>
          <w:bCs/>
          <w:sz w:val="24"/>
          <w:szCs w:val="24"/>
          <w:lang w:val="en-US"/>
        </w:rPr>
      </w:pPr>
      <w:r>
        <w:rPr>
          <w:rFonts w:ascii="Book Antiqua" w:hAnsi="Book Antiqua" w:cs="Times New Roman"/>
          <w:bCs/>
          <w:sz w:val="24"/>
          <w:szCs w:val="24"/>
          <w:lang w:val="en-US"/>
        </w:rPr>
        <w:t>The principal value of PET-CT in this patient group remains the identification of distant metastatic disease.</w:t>
      </w:r>
    </w:p>
    <w:p w:rsidR="00C56CA5" w:rsidRPr="0002253E" w:rsidRDefault="00C56CA5" w:rsidP="00CF4A41">
      <w:pPr>
        <w:spacing w:after="0" w:line="360" w:lineRule="auto"/>
        <w:jc w:val="both"/>
        <w:rPr>
          <w:rFonts w:ascii="Book Antiqua" w:hAnsi="Book Antiqua" w:cs="Times New Roman"/>
          <w:bCs/>
          <w:i/>
          <w:sz w:val="24"/>
          <w:szCs w:val="24"/>
          <w:lang w:val="en-US"/>
        </w:rPr>
      </w:pPr>
    </w:p>
    <w:p w:rsidR="00C56CA5" w:rsidRPr="0002253E" w:rsidRDefault="00C56CA5" w:rsidP="00CF4A41">
      <w:pPr>
        <w:spacing w:after="0" w:line="360" w:lineRule="auto"/>
        <w:jc w:val="both"/>
        <w:rPr>
          <w:rFonts w:ascii="Book Antiqua" w:hAnsi="Book Antiqua" w:cs="Times New Roman"/>
          <w:b/>
          <w:bCs/>
          <w:i/>
          <w:sz w:val="24"/>
          <w:szCs w:val="24"/>
          <w:lang w:val="en-US"/>
        </w:rPr>
      </w:pPr>
      <w:r w:rsidRPr="0002253E">
        <w:rPr>
          <w:rFonts w:ascii="Book Antiqua" w:hAnsi="Book Antiqua" w:cs="Times New Roman"/>
          <w:b/>
          <w:bCs/>
          <w:i/>
          <w:sz w:val="24"/>
          <w:szCs w:val="24"/>
          <w:lang w:val="en-US"/>
        </w:rPr>
        <w:t>Peer review</w:t>
      </w:r>
    </w:p>
    <w:p w:rsidR="00C56CA5" w:rsidRDefault="00C56CA5" w:rsidP="00CF4A41">
      <w:pPr>
        <w:spacing w:after="0" w:line="360" w:lineRule="auto"/>
        <w:jc w:val="both"/>
        <w:rPr>
          <w:rFonts w:ascii="Book Antiqua" w:hAnsi="Book Antiqua" w:cs="Times New Roman"/>
          <w:bCs/>
          <w:sz w:val="24"/>
          <w:szCs w:val="24"/>
          <w:lang w:val="en-US"/>
        </w:rPr>
      </w:pPr>
      <w:r>
        <w:rPr>
          <w:rFonts w:ascii="Book Antiqua" w:hAnsi="Book Antiqua" w:cs="Times New Roman"/>
          <w:bCs/>
          <w:sz w:val="24"/>
          <w:szCs w:val="24"/>
          <w:lang w:val="en-US"/>
        </w:rPr>
        <w:t xml:space="preserve">The authors are to be congratulated on their effort. Although a retrospective study, it is well written and the authors have experience in this technology. They have addressed the clinical question about the independent effect of the prognostic information that maximum PET-CT FDG uptake could provide. </w:t>
      </w:r>
    </w:p>
    <w:p w:rsidR="00C56CA5" w:rsidRPr="004116B2" w:rsidRDefault="00C56CA5" w:rsidP="00CF4A41">
      <w:pPr>
        <w:spacing w:after="0" w:line="360" w:lineRule="auto"/>
        <w:jc w:val="both"/>
        <w:rPr>
          <w:rFonts w:ascii="Book Antiqua" w:hAnsi="Book Antiqua" w:cs="Times New Roman"/>
          <w:b/>
          <w:bCs/>
          <w:sz w:val="24"/>
          <w:szCs w:val="24"/>
          <w:lang w:val="en-US" w:eastAsia="zh-CN"/>
        </w:rPr>
      </w:pPr>
      <w:r w:rsidRPr="00613E70">
        <w:rPr>
          <w:rFonts w:ascii="Book Antiqua" w:hAnsi="Book Antiqua" w:cs="Times New Roman"/>
          <w:b/>
          <w:bCs/>
          <w:sz w:val="24"/>
          <w:szCs w:val="24"/>
          <w:lang w:val="en-US"/>
        </w:rPr>
        <w:br w:type="page"/>
      </w:r>
      <w:r w:rsidR="004116B2">
        <w:rPr>
          <w:rFonts w:ascii="Book Antiqua" w:hAnsi="Book Antiqua" w:cs="Times New Roman"/>
          <w:b/>
          <w:bCs/>
          <w:sz w:val="24"/>
          <w:szCs w:val="24"/>
          <w:lang w:val="en-US"/>
        </w:rPr>
        <w:lastRenderedPageBreak/>
        <w:t>REFERENCES</w:t>
      </w:r>
    </w:p>
    <w:p w:rsidR="004116B2" w:rsidRPr="00D32F39" w:rsidRDefault="004116B2" w:rsidP="00CF4A41">
      <w:pPr>
        <w:spacing w:after="0" w:line="360" w:lineRule="auto"/>
        <w:jc w:val="both"/>
        <w:rPr>
          <w:rFonts w:ascii="Book Antiqua" w:hAnsi="Book Antiqua" w:cs="宋体"/>
          <w:sz w:val="24"/>
          <w:szCs w:val="24"/>
        </w:rPr>
      </w:pPr>
      <w:r w:rsidRPr="00D32F39">
        <w:rPr>
          <w:rFonts w:ascii="Book Antiqua" w:hAnsi="Book Antiqua" w:cs="宋体"/>
          <w:sz w:val="24"/>
          <w:szCs w:val="24"/>
        </w:rPr>
        <w:t xml:space="preserve">1 </w:t>
      </w:r>
      <w:r w:rsidRPr="00D32F39">
        <w:rPr>
          <w:rFonts w:ascii="Book Antiqua" w:hAnsi="Book Antiqua" w:cs="宋体"/>
          <w:b/>
          <w:sz w:val="24"/>
          <w:szCs w:val="24"/>
        </w:rPr>
        <w:t>National Oesophago-gastric Cancer Audit 2010.</w:t>
      </w:r>
      <w:r w:rsidRPr="00D32F39">
        <w:rPr>
          <w:rFonts w:ascii="Book Antiqua" w:hAnsi="Book Antiqua" w:cs="宋体"/>
          <w:sz w:val="24"/>
          <w:szCs w:val="24"/>
        </w:rPr>
        <w:t xml:space="preserve"> 3rd Annual Report. NHS Information Centre 2010. Available from: URL: https: //catalogue.ic.nhs.uk/publications/clinical/oesophago-gastric/nati-clin-audi-supp-prog-oeso-gast-canc-2010/clin-audi-supp-prog-oeso-gast-2010-rep1.pdf</w:t>
      </w:r>
    </w:p>
    <w:p w:rsidR="004116B2" w:rsidRPr="00D32F39" w:rsidRDefault="004116B2" w:rsidP="00CF4A41">
      <w:pPr>
        <w:spacing w:after="0" w:line="360" w:lineRule="auto"/>
        <w:jc w:val="both"/>
        <w:rPr>
          <w:rFonts w:ascii="Book Antiqua" w:hAnsi="Book Antiqua" w:cs="宋体"/>
          <w:sz w:val="24"/>
          <w:szCs w:val="24"/>
        </w:rPr>
      </w:pPr>
      <w:r w:rsidRPr="00D32F39">
        <w:rPr>
          <w:rFonts w:ascii="Book Antiqua" w:hAnsi="Book Antiqua" w:cs="宋体"/>
          <w:sz w:val="24"/>
          <w:szCs w:val="24"/>
        </w:rPr>
        <w:t>2 </w:t>
      </w:r>
      <w:r w:rsidRPr="00D32F39">
        <w:rPr>
          <w:rFonts w:ascii="Book Antiqua" w:hAnsi="Book Antiqua" w:cs="宋体"/>
          <w:b/>
          <w:bCs/>
          <w:sz w:val="24"/>
          <w:szCs w:val="24"/>
        </w:rPr>
        <w:t>Williams RN</w:t>
      </w:r>
      <w:r w:rsidRPr="00D32F39">
        <w:rPr>
          <w:rFonts w:ascii="Book Antiqua" w:hAnsi="Book Antiqua" w:cs="宋体"/>
          <w:sz w:val="24"/>
          <w:szCs w:val="24"/>
        </w:rPr>
        <w:t>, Ubhi SS, Sutton CD, Thomas AL, Entwisle JJ, Bowrey DJ. The early use of PET-CT alters the management of patients with esophageal cancer. </w:t>
      </w:r>
      <w:r w:rsidRPr="00D32F39">
        <w:rPr>
          <w:rFonts w:ascii="Book Antiqua" w:hAnsi="Book Antiqua" w:cs="宋体"/>
          <w:i/>
          <w:iCs/>
          <w:sz w:val="24"/>
          <w:szCs w:val="24"/>
        </w:rPr>
        <w:t>J Gastrointest Surg</w:t>
      </w:r>
      <w:r w:rsidRPr="00D32F39">
        <w:rPr>
          <w:rFonts w:ascii="Book Antiqua" w:hAnsi="Book Antiqua" w:cs="宋体"/>
          <w:sz w:val="24"/>
          <w:szCs w:val="24"/>
        </w:rPr>
        <w:t> 2009; </w:t>
      </w:r>
      <w:r w:rsidRPr="00D32F39">
        <w:rPr>
          <w:rFonts w:ascii="Book Antiqua" w:hAnsi="Book Antiqua" w:cs="宋体"/>
          <w:b/>
          <w:bCs/>
          <w:sz w:val="24"/>
          <w:szCs w:val="24"/>
        </w:rPr>
        <w:t>13</w:t>
      </w:r>
      <w:r w:rsidRPr="00D32F39">
        <w:rPr>
          <w:rFonts w:ascii="Book Antiqua" w:hAnsi="Book Antiqua" w:cs="宋体"/>
          <w:sz w:val="24"/>
          <w:szCs w:val="24"/>
        </w:rPr>
        <w:t>: 868-873 [PMID: 19184245 DOI: 10.1007/s11605-009-0812-z]</w:t>
      </w:r>
    </w:p>
    <w:p w:rsidR="004116B2" w:rsidRPr="00D32F39" w:rsidRDefault="004116B2" w:rsidP="00CF4A41">
      <w:pPr>
        <w:spacing w:after="0" w:line="360" w:lineRule="auto"/>
        <w:jc w:val="both"/>
        <w:rPr>
          <w:rFonts w:ascii="Book Antiqua" w:hAnsi="Book Antiqua" w:cs="宋体"/>
          <w:sz w:val="24"/>
          <w:szCs w:val="24"/>
        </w:rPr>
      </w:pPr>
      <w:r w:rsidRPr="00D32F39">
        <w:rPr>
          <w:rFonts w:ascii="Book Antiqua" w:hAnsi="Book Antiqua" w:cs="宋体"/>
          <w:sz w:val="24"/>
          <w:szCs w:val="24"/>
        </w:rPr>
        <w:t>3 </w:t>
      </w:r>
      <w:r w:rsidRPr="00D32F39">
        <w:rPr>
          <w:rFonts w:ascii="Book Antiqua" w:hAnsi="Book Antiqua" w:cs="宋体"/>
          <w:b/>
          <w:bCs/>
          <w:sz w:val="24"/>
          <w:szCs w:val="24"/>
        </w:rPr>
        <w:t>Pan L</w:t>
      </w:r>
      <w:r w:rsidRPr="00D32F39">
        <w:rPr>
          <w:rFonts w:ascii="Book Antiqua" w:hAnsi="Book Antiqua" w:cs="宋体"/>
          <w:sz w:val="24"/>
          <w:szCs w:val="24"/>
        </w:rPr>
        <w:t>, Gu P, Huang G, Xue H, Wu S. Prognostic significance of SUV on PET/CT in patients with esophageal cancer: a systematic review and meta-analysis. </w:t>
      </w:r>
      <w:r w:rsidRPr="00D32F39">
        <w:rPr>
          <w:rFonts w:ascii="Book Antiqua" w:hAnsi="Book Antiqua" w:cs="宋体"/>
          <w:i/>
          <w:iCs/>
          <w:sz w:val="24"/>
          <w:szCs w:val="24"/>
        </w:rPr>
        <w:t>Eur J Gastroenterol Hepatol</w:t>
      </w:r>
      <w:r w:rsidRPr="00D32F39">
        <w:rPr>
          <w:rFonts w:ascii="Book Antiqua" w:hAnsi="Book Antiqua" w:cs="宋体"/>
          <w:sz w:val="24"/>
          <w:szCs w:val="24"/>
        </w:rPr>
        <w:t> 2009; </w:t>
      </w:r>
      <w:r w:rsidRPr="00D32F39">
        <w:rPr>
          <w:rFonts w:ascii="Book Antiqua" w:hAnsi="Book Antiqua" w:cs="宋体"/>
          <w:b/>
          <w:bCs/>
          <w:sz w:val="24"/>
          <w:szCs w:val="24"/>
        </w:rPr>
        <w:t>21</w:t>
      </w:r>
      <w:r w:rsidRPr="00D32F39">
        <w:rPr>
          <w:rFonts w:ascii="Book Antiqua" w:hAnsi="Book Antiqua" w:cs="宋体"/>
          <w:sz w:val="24"/>
          <w:szCs w:val="24"/>
        </w:rPr>
        <w:t>: 1008-1015 [PMID: 19352191 DOI: 10.1097/MEG.0b013e328323d6fa]</w:t>
      </w:r>
    </w:p>
    <w:p w:rsidR="004116B2" w:rsidRPr="00D32F39" w:rsidRDefault="004116B2" w:rsidP="00CF4A41">
      <w:pPr>
        <w:spacing w:after="0" w:line="360" w:lineRule="auto"/>
        <w:jc w:val="both"/>
        <w:rPr>
          <w:rFonts w:ascii="Book Antiqua" w:hAnsi="Book Antiqua" w:cs="宋体"/>
          <w:sz w:val="24"/>
          <w:szCs w:val="24"/>
        </w:rPr>
      </w:pPr>
      <w:r w:rsidRPr="00D32F39">
        <w:rPr>
          <w:rFonts w:ascii="Book Antiqua" w:hAnsi="Book Antiqua" w:cs="宋体"/>
          <w:sz w:val="24"/>
          <w:szCs w:val="24"/>
        </w:rPr>
        <w:t>4 </w:t>
      </w:r>
      <w:r w:rsidRPr="00D32F39">
        <w:rPr>
          <w:rFonts w:ascii="Book Antiqua" w:hAnsi="Book Antiqua" w:cs="宋体"/>
          <w:b/>
          <w:bCs/>
          <w:sz w:val="24"/>
          <w:szCs w:val="24"/>
        </w:rPr>
        <w:t>Fukunaga T</w:t>
      </w:r>
      <w:r w:rsidRPr="00D32F39">
        <w:rPr>
          <w:rFonts w:ascii="Book Antiqua" w:hAnsi="Book Antiqua" w:cs="宋体"/>
          <w:sz w:val="24"/>
          <w:szCs w:val="24"/>
        </w:rPr>
        <w:t>, Okazumi S, Koide Y, Isono K, Imazeki K. Evaluation of esophageal cancers using fluorine-18-fluorodeoxyglucose PET. </w:t>
      </w:r>
      <w:r w:rsidRPr="00D32F39">
        <w:rPr>
          <w:rFonts w:ascii="Book Antiqua" w:hAnsi="Book Antiqua" w:cs="宋体"/>
          <w:i/>
          <w:iCs/>
          <w:sz w:val="24"/>
          <w:szCs w:val="24"/>
        </w:rPr>
        <w:t>J Nucl Med</w:t>
      </w:r>
      <w:r w:rsidRPr="00D32F39">
        <w:rPr>
          <w:rFonts w:ascii="Book Antiqua" w:hAnsi="Book Antiqua" w:cs="宋体"/>
          <w:sz w:val="24"/>
          <w:szCs w:val="24"/>
        </w:rPr>
        <w:t> 1998; </w:t>
      </w:r>
      <w:r w:rsidRPr="00D32F39">
        <w:rPr>
          <w:rFonts w:ascii="Book Antiqua" w:hAnsi="Book Antiqua" w:cs="宋体"/>
          <w:b/>
          <w:bCs/>
          <w:sz w:val="24"/>
          <w:szCs w:val="24"/>
        </w:rPr>
        <w:t>39</w:t>
      </w:r>
      <w:r w:rsidRPr="00D32F39">
        <w:rPr>
          <w:rFonts w:ascii="Book Antiqua" w:hAnsi="Book Antiqua" w:cs="宋体"/>
          <w:sz w:val="24"/>
          <w:szCs w:val="24"/>
        </w:rPr>
        <w:t>: 1002-1007 [PMID: 9627333]</w:t>
      </w:r>
    </w:p>
    <w:p w:rsidR="004116B2" w:rsidRPr="00D32F39" w:rsidRDefault="004116B2" w:rsidP="00CF4A41">
      <w:pPr>
        <w:spacing w:after="0" w:line="360" w:lineRule="auto"/>
        <w:jc w:val="both"/>
        <w:rPr>
          <w:rFonts w:ascii="Book Antiqua" w:hAnsi="Book Antiqua" w:cs="宋体"/>
          <w:sz w:val="24"/>
          <w:szCs w:val="24"/>
        </w:rPr>
      </w:pPr>
      <w:r w:rsidRPr="00D32F39">
        <w:rPr>
          <w:rFonts w:ascii="Book Antiqua" w:hAnsi="Book Antiqua" w:cs="宋体"/>
          <w:sz w:val="24"/>
          <w:szCs w:val="24"/>
        </w:rPr>
        <w:t>5 </w:t>
      </w:r>
      <w:r w:rsidRPr="00D32F39">
        <w:rPr>
          <w:rFonts w:ascii="Book Antiqua" w:hAnsi="Book Antiqua" w:cs="宋体"/>
          <w:b/>
          <w:bCs/>
          <w:sz w:val="24"/>
          <w:szCs w:val="24"/>
        </w:rPr>
        <w:t>Choi JY</w:t>
      </w:r>
      <w:r w:rsidRPr="00D32F39">
        <w:rPr>
          <w:rFonts w:ascii="Book Antiqua" w:hAnsi="Book Antiqua" w:cs="宋体"/>
          <w:sz w:val="24"/>
          <w:szCs w:val="24"/>
        </w:rPr>
        <w:t>, Jang HJ, Shim YM, Kim K, Lee KS, Lee KH, Choi Y, Choe YS, Kim BT. 18F-FDG PET in patients with esophageal squamous cell carcinoma undergoing curative surgery: prognostic implications. </w:t>
      </w:r>
      <w:r w:rsidRPr="00D32F39">
        <w:rPr>
          <w:rFonts w:ascii="Book Antiqua" w:hAnsi="Book Antiqua" w:cs="宋体"/>
          <w:i/>
          <w:iCs/>
          <w:sz w:val="24"/>
          <w:szCs w:val="24"/>
        </w:rPr>
        <w:t>J Nucl Med</w:t>
      </w:r>
      <w:r w:rsidRPr="00D32F39">
        <w:rPr>
          <w:rFonts w:ascii="Book Antiqua" w:hAnsi="Book Antiqua" w:cs="宋体"/>
          <w:sz w:val="24"/>
          <w:szCs w:val="24"/>
        </w:rPr>
        <w:t> 2004; </w:t>
      </w:r>
      <w:r w:rsidRPr="00D32F39">
        <w:rPr>
          <w:rFonts w:ascii="Book Antiqua" w:hAnsi="Book Antiqua" w:cs="宋体"/>
          <w:b/>
          <w:bCs/>
          <w:sz w:val="24"/>
          <w:szCs w:val="24"/>
        </w:rPr>
        <w:t>45</w:t>
      </w:r>
      <w:r w:rsidRPr="00D32F39">
        <w:rPr>
          <w:rFonts w:ascii="Book Antiqua" w:hAnsi="Book Antiqua" w:cs="宋体"/>
          <w:sz w:val="24"/>
          <w:szCs w:val="24"/>
        </w:rPr>
        <w:t>: 1843-1850 [PMID: 15534053]</w:t>
      </w:r>
    </w:p>
    <w:p w:rsidR="004116B2" w:rsidRPr="00D32F39" w:rsidRDefault="004116B2" w:rsidP="00CF4A41">
      <w:pPr>
        <w:spacing w:after="0" w:line="360" w:lineRule="auto"/>
        <w:jc w:val="both"/>
        <w:rPr>
          <w:rFonts w:ascii="Book Antiqua" w:hAnsi="Book Antiqua" w:cs="宋体"/>
          <w:sz w:val="24"/>
          <w:szCs w:val="24"/>
        </w:rPr>
      </w:pPr>
      <w:r w:rsidRPr="00D32F39">
        <w:rPr>
          <w:rFonts w:ascii="Book Antiqua" w:hAnsi="Book Antiqua" w:cs="宋体"/>
          <w:sz w:val="24"/>
          <w:szCs w:val="24"/>
        </w:rPr>
        <w:t>6 </w:t>
      </w:r>
      <w:r w:rsidRPr="00D32F39">
        <w:rPr>
          <w:rFonts w:ascii="Book Antiqua" w:hAnsi="Book Antiqua" w:cs="宋体"/>
          <w:b/>
          <w:bCs/>
          <w:sz w:val="24"/>
          <w:szCs w:val="24"/>
        </w:rPr>
        <w:t>Hong D</w:t>
      </w:r>
      <w:r w:rsidRPr="00D32F39">
        <w:rPr>
          <w:rFonts w:ascii="Book Antiqua" w:hAnsi="Book Antiqua" w:cs="宋体"/>
          <w:sz w:val="24"/>
          <w:szCs w:val="24"/>
        </w:rPr>
        <w:t>, Lunagomez S, Kim EE, Lee JH, Bresalier RS, Swisher SG, Wu TT, Morris J, Liao Z, Komaki R, Ajani JA. Value of baseline positron emission tomography for predicting overall survival in patient with nonmetastatic esophageal or gastroesophageal junction carcinoma. </w:t>
      </w:r>
      <w:r w:rsidRPr="00D32F39">
        <w:rPr>
          <w:rFonts w:ascii="Book Antiqua" w:hAnsi="Book Antiqua" w:cs="宋体"/>
          <w:i/>
          <w:iCs/>
          <w:sz w:val="24"/>
          <w:szCs w:val="24"/>
        </w:rPr>
        <w:t>Cancer</w:t>
      </w:r>
      <w:r w:rsidRPr="00D32F39">
        <w:rPr>
          <w:rFonts w:ascii="Book Antiqua" w:hAnsi="Book Antiqua" w:cs="宋体"/>
          <w:sz w:val="24"/>
          <w:szCs w:val="24"/>
        </w:rPr>
        <w:t> 2005; </w:t>
      </w:r>
      <w:r w:rsidRPr="00D32F39">
        <w:rPr>
          <w:rFonts w:ascii="Book Antiqua" w:hAnsi="Book Antiqua" w:cs="宋体"/>
          <w:b/>
          <w:bCs/>
          <w:sz w:val="24"/>
          <w:szCs w:val="24"/>
        </w:rPr>
        <w:t>104</w:t>
      </w:r>
      <w:r w:rsidRPr="00D32F39">
        <w:rPr>
          <w:rFonts w:ascii="Book Antiqua" w:hAnsi="Book Antiqua" w:cs="宋体"/>
          <w:sz w:val="24"/>
          <w:szCs w:val="24"/>
        </w:rPr>
        <w:t>: 1620-1626 [PMID: 16118804 DOI: 10.1002/cncr.21356]</w:t>
      </w:r>
    </w:p>
    <w:p w:rsidR="004116B2" w:rsidRPr="00D32F39" w:rsidRDefault="004116B2" w:rsidP="00CF4A41">
      <w:pPr>
        <w:spacing w:after="0" w:line="360" w:lineRule="auto"/>
        <w:jc w:val="both"/>
        <w:rPr>
          <w:rFonts w:ascii="Book Antiqua" w:hAnsi="Book Antiqua" w:cs="宋体"/>
          <w:sz w:val="24"/>
          <w:szCs w:val="24"/>
        </w:rPr>
      </w:pPr>
      <w:r w:rsidRPr="00D32F39">
        <w:rPr>
          <w:rFonts w:ascii="Book Antiqua" w:hAnsi="Book Antiqua" w:cs="宋体"/>
          <w:sz w:val="24"/>
          <w:szCs w:val="24"/>
        </w:rPr>
        <w:t xml:space="preserve">7 </w:t>
      </w:r>
      <w:r w:rsidRPr="00D32F39">
        <w:rPr>
          <w:rFonts w:ascii="Book Antiqua" w:hAnsi="Book Antiqua" w:cs="宋体"/>
          <w:b/>
          <w:sz w:val="24"/>
          <w:szCs w:val="24"/>
        </w:rPr>
        <w:t>Stahl A</w:t>
      </w:r>
      <w:r w:rsidRPr="00D32F39">
        <w:rPr>
          <w:rFonts w:ascii="Book Antiqua" w:hAnsi="Book Antiqua" w:cs="宋体"/>
          <w:sz w:val="24"/>
          <w:szCs w:val="24"/>
        </w:rPr>
        <w:t xml:space="preserve">, Stollfuss J, Ott K, Wieder H, Fink U, Schwaiger M, Weber WA. FDG PET and CT in locally advanced adenocarcinomas of the distal oesophagus. Clinical relevance of a discordant PET finding. </w:t>
      </w:r>
      <w:r w:rsidRPr="00D32F39">
        <w:rPr>
          <w:rFonts w:ascii="Book Antiqua" w:hAnsi="Book Antiqua" w:cs="宋体"/>
          <w:i/>
          <w:sz w:val="24"/>
          <w:szCs w:val="24"/>
        </w:rPr>
        <w:t xml:space="preserve">Nuklearmedizin </w:t>
      </w:r>
      <w:r w:rsidRPr="00D32F39">
        <w:rPr>
          <w:rFonts w:ascii="Book Antiqua" w:hAnsi="Book Antiqua" w:cs="宋体"/>
          <w:sz w:val="24"/>
          <w:szCs w:val="24"/>
        </w:rPr>
        <w:t xml:space="preserve">2005; </w:t>
      </w:r>
      <w:r w:rsidRPr="00D32F39">
        <w:rPr>
          <w:rFonts w:ascii="Book Antiqua" w:hAnsi="Book Antiqua" w:cs="宋体"/>
          <w:b/>
          <w:sz w:val="24"/>
          <w:szCs w:val="24"/>
        </w:rPr>
        <w:t>44</w:t>
      </w:r>
      <w:r w:rsidRPr="00D32F39">
        <w:rPr>
          <w:rFonts w:ascii="Book Antiqua" w:hAnsi="Book Antiqua" w:cs="宋体"/>
          <w:sz w:val="24"/>
          <w:szCs w:val="24"/>
        </w:rPr>
        <w:t>: 249–55 [PMID: 16400385]</w:t>
      </w:r>
    </w:p>
    <w:p w:rsidR="004116B2" w:rsidRPr="00D32F39" w:rsidRDefault="004116B2" w:rsidP="00CF4A41">
      <w:pPr>
        <w:spacing w:after="0" w:line="360" w:lineRule="auto"/>
        <w:jc w:val="both"/>
        <w:rPr>
          <w:rFonts w:ascii="Book Antiqua" w:hAnsi="Book Antiqua" w:cs="宋体"/>
          <w:sz w:val="24"/>
          <w:szCs w:val="24"/>
        </w:rPr>
      </w:pPr>
      <w:r w:rsidRPr="00D32F39">
        <w:rPr>
          <w:rFonts w:ascii="Book Antiqua" w:hAnsi="Book Antiqua" w:cs="宋体"/>
          <w:sz w:val="24"/>
          <w:szCs w:val="24"/>
        </w:rPr>
        <w:lastRenderedPageBreak/>
        <w:t>8 </w:t>
      </w:r>
      <w:r w:rsidRPr="00D32F39">
        <w:rPr>
          <w:rFonts w:ascii="Book Antiqua" w:hAnsi="Book Antiqua" w:cs="宋体"/>
          <w:b/>
          <w:bCs/>
          <w:sz w:val="24"/>
          <w:szCs w:val="24"/>
        </w:rPr>
        <w:t>van Westreenen HL</w:t>
      </w:r>
      <w:r w:rsidRPr="00D32F39">
        <w:rPr>
          <w:rFonts w:ascii="Book Antiqua" w:hAnsi="Book Antiqua" w:cs="宋体"/>
          <w:sz w:val="24"/>
          <w:szCs w:val="24"/>
        </w:rPr>
        <w:t>, Heeren PA, van Dullemen HM, van der Jagt EJ, Jager PL, Groen H, Plukker JT. Positron emission tomography with F-18-fluorodeoxyglucose in a combined staging strategy of esophageal cancer prevents unnecessary surgical explorations. </w:t>
      </w:r>
      <w:r w:rsidRPr="00D32F39">
        <w:rPr>
          <w:rFonts w:ascii="Book Antiqua" w:hAnsi="Book Antiqua" w:cs="宋体"/>
          <w:i/>
          <w:iCs/>
          <w:sz w:val="24"/>
          <w:szCs w:val="24"/>
        </w:rPr>
        <w:t>J Gastrointest Surg</w:t>
      </w:r>
      <w:r w:rsidRPr="00D32F39">
        <w:rPr>
          <w:rFonts w:ascii="Book Antiqua" w:hAnsi="Book Antiqua" w:cs="宋体"/>
          <w:sz w:val="24"/>
          <w:szCs w:val="24"/>
        </w:rPr>
        <w:t> 2005; </w:t>
      </w:r>
      <w:r w:rsidRPr="00D32F39">
        <w:rPr>
          <w:rFonts w:ascii="Book Antiqua" w:hAnsi="Book Antiqua" w:cs="宋体"/>
          <w:b/>
          <w:bCs/>
          <w:sz w:val="24"/>
          <w:szCs w:val="24"/>
        </w:rPr>
        <w:t>9</w:t>
      </w:r>
      <w:r w:rsidRPr="00D32F39">
        <w:rPr>
          <w:rFonts w:ascii="Book Antiqua" w:hAnsi="Book Antiqua" w:cs="宋体"/>
          <w:sz w:val="24"/>
          <w:szCs w:val="24"/>
        </w:rPr>
        <w:t>: 54-61 [PMID: 15623445 DOI: 10.1016/j.gassur.2004.09.055]</w:t>
      </w:r>
    </w:p>
    <w:p w:rsidR="004116B2" w:rsidRPr="00D32F39" w:rsidRDefault="004116B2" w:rsidP="00CF4A41">
      <w:pPr>
        <w:spacing w:after="0" w:line="360" w:lineRule="auto"/>
        <w:jc w:val="both"/>
        <w:rPr>
          <w:rFonts w:ascii="Book Antiqua" w:hAnsi="Book Antiqua" w:cs="宋体"/>
          <w:sz w:val="24"/>
          <w:szCs w:val="24"/>
        </w:rPr>
      </w:pPr>
      <w:r w:rsidRPr="00D32F39">
        <w:rPr>
          <w:rFonts w:ascii="Book Antiqua" w:hAnsi="Book Antiqua" w:cs="宋体"/>
          <w:sz w:val="24"/>
          <w:szCs w:val="24"/>
        </w:rPr>
        <w:t>9 </w:t>
      </w:r>
      <w:r w:rsidRPr="00D32F39">
        <w:rPr>
          <w:rFonts w:ascii="Book Antiqua" w:hAnsi="Book Antiqua" w:cs="宋体"/>
          <w:b/>
          <w:bCs/>
          <w:sz w:val="24"/>
          <w:szCs w:val="24"/>
        </w:rPr>
        <w:t>Cerfolio RJ</w:t>
      </w:r>
      <w:r w:rsidRPr="00D32F39">
        <w:rPr>
          <w:rFonts w:ascii="Book Antiqua" w:hAnsi="Book Antiqua" w:cs="宋体"/>
          <w:sz w:val="24"/>
          <w:szCs w:val="24"/>
        </w:rPr>
        <w:t>, Bryant AS. Maximum standardized uptake values on positron emission tomography of esophageal cancer predicts stage, tumor biology, and survival. </w:t>
      </w:r>
      <w:r w:rsidRPr="00D32F39">
        <w:rPr>
          <w:rFonts w:ascii="Book Antiqua" w:hAnsi="Book Antiqua" w:cs="宋体"/>
          <w:i/>
          <w:iCs/>
          <w:sz w:val="24"/>
          <w:szCs w:val="24"/>
        </w:rPr>
        <w:t>Ann Thorac Surg</w:t>
      </w:r>
      <w:r w:rsidRPr="00D32F39">
        <w:rPr>
          <w:rFonts w:ascii="Book Antiqua" w:hAnsi="Book Antiqua" w:cs="宋体"/>
          <w:sz w:val="24"/>
          <w:szCs w:val="24"/>
        </w:rPr>
        <w:t> 2006; </w:t>
      </w:r>
      <w:r w:rsidRPr="00D32F39">
        <w:rPr>
          <w:rFonts w:ascii="Book Antiqua" w:hAnsi="Book Antiqua" w:cs="宋体"/>
          <w:b/>
          <w:bCs/>
          <w:sz w:val="24"/>
          <w:szCs w:val="24"/>
        </w:rPr>
        <w:t>82</w:t>
      </w:r>
      <w:r w:rsidRPr="00D32F39">
        <w:rPr>
          <w:rFonts w:ascii="Book Antiqua" w:hAnsi="Book Antiqua" w:cs="宋体"/>
          <w:sz w:val="24"/>
          <w:szCs w:val="24"/>
        </w:rPr>
        <w:t>: 391-34; discussion 391-34; [PMID: 16863735 DOI: 10.1016/j.athoracsur.2006.03.045]</w:t>
      </w:r>
    </w:p>
    <w:p w:rsidR="004116B2" w:rsidRPr="00D32F39" w:rsidRDefault="004116B2" w:rsidP="00CF4A41">
      <w:pPr>
        <w:spacing w:after="0" w:line="360" w:lineRule="auto"/>
        <w:jc w:val="both"/>
        <w:rPr>
          <w:rFonts w:ascii="Book Antiqua" w:hAnsi="Book Antiqua" w:cs="宋体"/>
          <w:sz w:val="24"/>
          <w:szCs w:val="24"/>
        </w:rPr>
      </w:pPr>
      <w:r w:rsidRPr="00D32F39">
        <w:rPr>
          <w:rFonts w:ascii="Book Antiqua" w:hAnsi="Book Antiqua" w:cs="宋体"/>
          <w:sz w:val="24"/>
          <w:szCs w:val="24"/>
        </w:rPr>
        <w:t>10 </w:t>
      </w:r>
      <w:r w:rsidRPr="00D32F39">
        <w:rPr>
          <w:rFonts w:ascii="Book Antiqua" w:hAnsi="Book Antiqua" w:cs="宋体"/>
          <w:b/>
          <w:bCs/>
          <w:sz w:val="24"/>
          <w:szCs w:val="24"/>
        </w:rPr>
        <w:t>Choi JY</w:t>
      </w:r>
      <w:r w:rsidRPr="00D32F39">
        <w:rPr>
          <w:rFonts w:ascii="Book Antiqua" w:hAnsi="Book Antiqua" w:cs="宋体"/>
          <w:sz w:val="24"/>
          <w:szCs w:val="24"/>
        </w:rPr>
        <w:t>, Jang KT, Shim YM, Kim K, Ahn G, Lee KH, Choi Y, Choe YS, Kim BT. Prognostic significance of vascular endothelial growth factor expression and microvessel density in esophageal squamous cell carcinoma: comparison with positron emission tomography. </w:t>
      </w:r>
      <w:r w:rsidRPr="00D32F39">
        <w:rPr>
          <w:rFonts w:ascii="Book Antiqua" w:hAnsi="Book Antiqua" w:cs="宋体"/>
          <w:i/>
          <w:iCs/>
          <w:sz w:val="24"/>
          <w:szCs w:val="24"/>
        </w:rPr>
        <w:t>Ann Surg Oncol</w:t>
      </w:r>
      <w:r w:rsidRPr="00D32F39">
        <w:rPr>
          <w:rFonts w:ascii="Book Antiqua" w:hAnsi="Book Antiqua" w:cs="宋体"/>
          <w:sz w:val="24"/>
          <w:szCs w:val="24"/>
        </w:rPr>
        <w:t> 2006; </w:t>
      </w:r>
      <w:r w:rsidRPr="00D32F39">
        <w:rPr>
          <w:rFonts w:ascii="Book Antiqua" w:hAnsi="Book Antiqua" w:cs="宋体"/>
          <w:b/>
          <w:bCs/>
          <w:sz w:val="24"/>
          <w:szCs w:val="24"/>
        </w:rPr>
        <w:t>13</w:t>
      </w:r>
      <w:r w:rsidRPr="00D32F39">
        <w:rPr>
          <w:rFonts w:ascii="Book Antiqua" w:hAnsi="Book Antiqua" w:cs="宋体"/>
          <w:sz w:val="24"/>
          <w:szCs w:val="24"/>
        </w:rPr>
        <w:t>: 1054-1062 [PMID: 16865594 DOI: 10.1245/ASO.2006.08.012]</w:t>
      </w:r>
    </w:p>
    <w:p w:rsidR="004116B2" w:rsidRPr="00D32F39" w:rsidRDefault="004116B2" w:rsidP="00CF4A41">
      <w:pPr>
        <w:spacing w:after="0" w:line="360" w:lineRule="auto"/>
        <w:jc w:val="both"/>
        <w:rPr>
          <w:rFonts w:ascii="Book Antiqua" w:hAnsi="Book Antiqua" w:cs="宋体"/>
          <w:sz w:val="24"/>
          <w:szCs w:val="24"/>
        </w:rPr>
      </w:pPr>
      <w:r w:rsidRPr="00D32F39">
        <w:rPr>
          <w:rFonts w:ascii="Book Antiqua" w:hAnsi="Book Antiqua" w:cs="宋体"/>
          <w:sz w:val="24"/>
          <w:szCs w:val="24"/>
        </w:rPr>
        <w:t>11 </w:t>
      </w:r>
      <w:r w:rsidRPr="00D32F39">
        <w:rPr>
          <w:rFonts w:ascii="Book Antiqua" w:hAnsi="Book Antiqua" w:cs="宋体"/>
          <w:b/>
          <w:bCs/>
          <w:sz w:val="24"/>
          <w:szCs w:val="24"/>
        </w:rPr>
        <w:t>Westerterp M</w:t>
      </w:r>
      <w:r w:rsidRPr="00D32F39">
        <w:rPr>
          <w:rFonts w:ascii="Book Antiqua" w:hAnsi="Book Antiqua" w:cs="宋体"/>
          <w:sz w:val="24"/>
          <w:szCs w:val="24"/>
        </w:rPr>
        <w:t>, Sloof GW, Hoekstra OS, Ten Kate FJ, Meijer GA, Reitsma JB, Boellaard R, van Lanschot JJ, Molthoff CF. 18FDG uptake in oesophageal adenocarcinoma: linking biology and outcome. </w:t>
      </w:r>
      <w:r w:rsidRPr="00D32F39">
        <w:rPr>
          <w:rFonts w:ascii="Book Antiqua" w:hAnsi="Book Antiqua" w:cs="宋体"/>
          <w:i/>
          <w:iCs/>
          <w:sz w:val="24"/>
          <w:szCs w:val="24"/>
        </w:rPr>
        <w:t>J Cancer Res Clin Oncol</w:t>
      </w:r>
      <w:r w:rsidRPr="00D32F39">
        <w:rPr>
          <w:rFonts w:ascii="Book Antiqua" w:hAnsi="Book Antiqua" w:cs="宋体"/>
          <w:sz w:val="24"/>
          <w:szCs w:val="24"/>
        </w:rPr>
        <w:t> 2008; </w:t>
      </w:r>
      <w:r w:rsidRPr="00D32F39">
        <w:rPr>
          <w:rFonts w:ascii="Book Antiqua" w:hAnsi="Book Antiqua" w:cs="宋体"/>
          <w:b/>
          <w:bCs/>
          <w:sz w:val="24"/>
          <w:szCs w:val="24"/>
        </w:rPr>
        <w:t>134</w:t>
      </w:r>
      <w:r w:rsidRPr="00D32F39">
        <w:rPr>
          <w:rFonts w:ascii="Book Antiqua" w:hAnsi="Book Antiqua" w:cs="宋体"/>
          <w:sz w:val="24"/>
          <w:szCs w:val="24"/>
        </w:rPr>
        <w:t>: 227-236 [PMID: 17653575 DOI: 10.1007/s00432-007-0275-0]</w:t>
      </w:r>
    </w:p>
    <w:p w:rsidR="004116B2" w:rsidRPr="00D32F39" w:rsidRDefault="004116B2" w:rsidP="00CF4A41">
      <w:pPr>
        <w:spacing w:after="0" w:line="360" w:lineRule="auto"/>
        <w:jc w:val="both"/>
        <w:rPr>
          <w:rFonts w:ascii="Book Antiqua" w:hAnsi="Book Antiqua" w:cs="宋体"/>
          <w:sz w:val="24"/>
          <w:szCs w:val="24"/>
        </w:rPr>
      </w:pPr>
      <w:r w:rsidRPr="00D32F39">
        <w:rPr>
          <w:rFonts w:ascii="Book Antiqua" w:hAnsi="Book Antiqua" w:cs="宋体"/>
          <w:sz w:val="24"/>
          <w:szCs w:val="24"/>
        </w:rPr>
        <w:t>12 </w:t>
      </w:r>
      <w:r w:rsidRPr="00D32F39">
        <w:rPr>
          <w:rFonts w:ascii="Book Antiqua" w:hAnsi="Book Antiqua" w:cs="宋体"/>
          <w:b/>
          <w:bCs/>
          <w:sz w:val="24"/>
          <w:szCs w:val="24"/>
        </w:rPr>
        <w:t>Omloo JM</w:t>
      </w:r>
      <w:r w:rsidRPr="00D32F39">
        <w:rPr>
          <w:rFonts w:ascii="Book Antiqua" w:hAnsi="Book Antiqua" w:cs="宋体"/>
          <w:sz w:val="24"/>
          <w:szCs w:val="24"/>
        </w:rPr>
        <w:t>, Sloof GW, Boellaard R, Hoekstra OS, Jager PL, van Dullemen HM, Fockens P, Plukker JT, van Lanschot JJ. Importance of fluorodeoxyglucose-positron emission tomography (FDG-PET) and endoscopic ultrasonography parameters in predicting survival following surgery for esophageal cancer. </w:t>
      </w:r>
      <w:r w:rsidRPr="00D32F39">
        <w:rPr>
          <w:rFonts w:ascii="Book Antiqua" w:hAnsi="Book Antiqua" w:cs="宋体"/>
          <w:i/>
          <w:iCs/>
          <w:sz w:val="24"/>
          <w:szCs w:val="24"/>
        </w:rPr>
        <w:t>Endoscopy</w:t>
      </w:r>
      <w:r w:rsidRPr="00D32F39">
        <w:rPr>
          <w:rFonts w:ascii="Book Antiqua" w:hAnsi="Book Antiqua" w:cs="宋体"/>
          <w:sz w:val="24"/>
          <w:szCs w:val="24"/>
        </w:rPr>
        <w:t> 2008; </w:t>
      </w:r>
      <w:r w:rsidRPr="00D32F39">
        <w:rPr>
          <w:rFonts w:ascii="Book Antiqua" w:hAnsi="Book Antiqua" w:cs="宋体"/>
          <w:b/>
          <w:bCs/>
          <w:sz w:val="24"/>
          <w:szCs w:val="24"/>
        </w:rPr>
        <w:t>40</w:t>
      </w:r>
      <w:r w:rsidRPr="00D32F39">
        <w:rPr>
          <w:rFonts w:ascii="Book Antiqua" w:hAnsi="Book Antiqua" w:cs="宋体"/>
          <w:sz w:val="24"/>
          <w:szCs w:val="24"/>
        </w:rPr>
        <w:t>: 464-471 [PMID: 18543134 DOI: 10.1055/s-2008-1077302]</w:t>
      </w:r>
    </w:p>
    <w:p w:rsidR="004116B2" w:rsidRPr="00D32F39" w:rsidRDefault="004116B2" w:rsidP="00CF4A41">
      <w:pPr>
        <w:spacing w:after="0" w:line="360" w:lineRule="auto"/>
        <w:jc w:val="both"/>
        <w:rPr>
          <w:rFonts w:ascii="Book Antiqua" w:hAnsi="Book Antiqua" w:cs="宋体"/>
          <w:sz w:val="24"/>
          <w:szCs w:val="24"/>
        </w:rPr>
      </w:pPr>
      <w:r w:rsidRPr="00D32F39">
        <w:rPr>
          <w:rFonts w:ascii="Book Antiqua" w:hAnsi="Book Antiqua" w:cs="宋体"/>
          <w:sz w:val="24"/>
          <w:szCs w:val="24"/>
        </w:rPr>
        <w:t>13 </w:t>
      </w:r>
      <w:r w:rsidRPr="00D32F39">
        <w:rPr>
          <w:rFonts w:ascii="Book Antiqua" w:hAnsi="Book Antiqua" w:cs="宋体"/>
          <w:b/>
          <w:bCs/>
          <w:sz w:val="24"/>
          <w:szCs w:val="24"/>
        </w:rPr>
        <w:t>Cheze-Le Rest C</w:t>
      </w:r>
      <w:r w:rsidRPr="00D32F39">
        <w:rPr>
          <w:rFonts w:ascii="Book Antiqua" w:hAnsi="Book Antiqua" w:cs="宋体"/>
          <w:sz w:val="24"/>
          <w:szCs w:val="24"/>
        </w:rPr>
        <w:t>, Metges JP, Teyton P, Jestin-Le Tallec V, Lozac'h P, Volant A, Visvikis D. Prognostic value of initial fluorodeoxyglucose-PET in esophageal cancer: a prospective study. </w:t>
      </w:r>
      <w:r w:rsidRPr="00D32F39">
        <w:rPr>
          <w:rFonts w:ascii="Book Antiqua" w:hAnsi="Book Antiqua" w:cs="宋体"/>
          <w:i/>
          <w:iCs/>
          <w:sz w:val="24"/>
          <w:szCs w:val="24"/>
        </w:rPr>
        <w:t>Nucl Med Commun</w:t>
      </w:r>
      <w:r w:rsidRPr="00D32F39">
        <w:rPr>
          <w:rFonts w:ascii="Book Antiqua" w:hAnsi="Book Antiqua" w:cs="宋体"/>
          <w:sz w:val="24"/>
          <w:szCs w:val="24"/>
        </w:rPr>
        <w:t> 2008; </w:t>
      </w:r>
      <w:r w:rsidRPr="00D32F39">
        <w:rPr>
          <w:rFonts w:ascii="Book Antiqua" w:hAnsi="Book Antiqua" w:cs="宋体"/>
          <w:b/>
          <w:bCs/>
          <w:sz w:val="24"/>
          <w:szCs w:val="24"/>
        </w:rPr>
        <w:t>29</w:t>
      </w:r>
      <w:r w:rsidRPr="00D32F39">
        <w:rPr>
          <w:rFonts w:ascii="Book Antiqua" w:hAnsi="Book Antiqua" w:cs="宋体"/>
          <w:sz w:val="24"/>
          <w:szCs w:val="24"/>
        </w:rPr>
        <w:t>: 628-635 [PMID: 18528185 DOI: 10.1097/MNM.0b013e3282f81423]</w:t>
      </w:r>
    </w:p>
    <w:p w:rsidR="004116B2" w:rsidRPr="00D32F39" w:rsidRDefault="004116B2" w:rsidP="00CF4A41">
      <w:pPr>
        <w:spacing w:after="0" w:line="360" w:lineRule="auto"/>
        <w:jc w:val="both"/>
        <w:rPr>
          <w:rFonts w:ascii="Book Antiqua" w:hAnsi="Book Antiqua" w:cs="宋体"/>
          <w:sz w:val="24"/>
          <w:szCs w:val="24"/>
        </w:rPr>
      </w:pPr>
      <w:r w:rsidRPr="00D32F39">
        <w:rPr>
          <w:rFonts w:ascii="Book Antiqua" w:hAnsi="Book Antiqua" w:cs="宋体"/>
          <w:sz w:val="24"/>
          <w:szCs w:val="24"/>
        </w:rPr>
        <w:t>14 </w:t>
      </w:r>
      <w:r w:rsidRPr="00D32F39">
        <w:rPr>
          <w:rFonts w:ascii="Book Antiqua" w:hAnsi="Book Antiqua" w:cs="宋体"/>
          <w:b/>
          <w:bCs/>
          <w:sz w:val="24"/>
          <w:szCs w:val="24"/>
        </w:rPr>
        <w:t>Chatterton BE</w:t>
      </w:r>
      <w:r w:rsidRPr="00D32F39">
        <w:rPr>
          <w:rFonts w:ascii="Book Antiqua" w:hAnsi="Book Antiqua" w:cs="宋体"/>
          <w:sz w:val="24"/>
          <w:szCs w:val="24"/>
        </w:rPr>
        <w:t xml:space="preserve">, Ho Shon I, Baldey A, Lenzo N, Patrikeos A, Kelley B, Wong D, Ramshaw JE, Scott AM. Positron emission tomography changes </w:t>
      </w:r>
      <w:r w:rsidRPr="00D32F39">
        <w:rPr>
          <w:rFonts w:ascii="Book Antiqua" w:hAnsi="Book Antiqua" w:cs="宋体"/>
          <w:sz w:val="24"/>
          <w:szCs w:val="24"/>
        </w:rPr>
        <w:lastRenderedPageBreak/>
        <w:t>management and prognostic stratification in patients with oesophageal cancer: results of a multicentre prospective study. </w:t>
      </w:r>
      <w:r w:rsidRPr="00D32F39">
        <w:rPr>
          <w:rFonts w:ascii="Book Antiqua" w:hAnsi="Book Antiqua" w:cs="宋体"/>
          <w:i/>
          <w:iCs/>
          <w:sz w:val="24"/>
          <w:szCs w:val="24"/>
        </w:rPr>
        <w:t>Eur J Nucl Med Mol Imaging</w:t>
      </w:r>
      <w:r w:rsidRPr="00D32F39">
        <w:rPr>
          <w:rFonts w:ascii="Book Antiqua" w:hAnsi="Book Antiqua" w:cs="宋体"/>
          <w:sz w:val="24"/>
          <w:szCs w:val="24"/>
        </w:rPr>
        <w:t> 2009; </w:t>
      </w:r>
      <w:r w:rsidRPr="00D32F39">
        <w:rPr>
          <w:rFonts w:ascii="Book Antiqua" w:hAnsi="Book Antiqua" w:cs="宋体"/>
          <w:b/>
          <w:bCs/>
          <w:sz w:val="24"/>
          <w:szCs w:val="24"/>
        </w:rPr>
        <w:t>36</w:t>
      </w:r>
      <w:r w:rsidRPr="00D32F39">
        <w:rPr>
          <w:rFonts w:ascii="Book Antiqua" w:hAnsi="Book Antiqua" w:cs="宋体"/>
          <w:sz w:val="24"/>
          <w:szCs w:val="24"/>
        </w:rPr>
        <w:t>: 354-361 [PMID: 18931839 DOI: 10.1007/s00259-008-0959-y]</w:t>
      </w:r>
    </w:p>
    <w:p w:rsidR="004116B2" w:rsidRPr="00D32F39" w:rsidRDefault="004116B2" w:rsidP="00CF4A41">
      <w:pPr>
        <w:spacing w:after="0" w:line="360" w:lineRule="auto"/>
        <w:jc w:val="both"/>
        <w:rPr>
          <w:rFonts w:ascii="Book Antiqua" w:hAnsi="Book Antiqua" w:cs="宋体"/>
          <w:sz w:val="24"/>
          <w:szCs w:val="24"/>
        </w:rPr>
      </w:pPr>
      <w:r w:rsidRPr="00D32F39">
        <w:rPr>
          <w:rFonts w:ascii="Book Antiqua" w:hAnsi="Book Antiqua" w:cs="宋体"/>
          <w:sz w:val="24"/>
          <w:szCs w:val="24"/>
        </w:rPr>
        <w:t>15 </w:t>
      </w:r>
      <w:r w:rsidRPr="00D32F39">
        <w:rPr>
          <w:rFonts w:ascii="Book Antiqua" w:hAnsi="Book Antiqua" w:cs="宋体"/>
          <w:b/>
          <w:bCs/>
          <w:sz w:val="24"/>
          <w:szCs w:val="24"/>
        </w:rPr>
        <w:t>Makino T</w:t>
      </w:r>
      <w:r w:rsidRPr="00D32F39">
        <w:rPr>
          <w:rFonts w:ascii="Book Antiqua" w:hAnsi="Book Antiqua" w:cs="宋体"/>
          <w:sz w:val="24"/>
          <w:szCs w:val="24"/>
        </w:rPr>
        <w:t>, Doki Y, Miyata H, Yasuda T, Yamasaki M, Fujiwara Y, Takiguchi S, Higuchi I, Hatazawa J, Monden M. Use of (18)F-fluorodeoxyglucose-positron emission tomography to evaluate responses to neo-adjuvant chemotherapy for primary tumor and lymph node metastasis in esophageal squamous cell carcinoma. </w:t>
      </w:r>
      <w:r w:rsidRPr="00D32F39">
        <w:rPr>
          <w:rFonts w:ascii="Book Antiqua" w:hAnsi="Book Antiqua" w:cs="宋体"/>
          <w:i/>
          <w:iCs/>
          <w:sz w:val="24"/>
          <w:szCs w:val="24"/>
        </w:rPr>
        <w:t>Surgery</w:t>
      </w:r>
      <w:r w:rsidRPr="00D32F39">
        <w:rPr>
          <w:rFonts w:ascii="Book Antiqua" w:hAnsi="Book Antiqua" w:cs="宋体"/>
          <w:sz w:val="24"/>
          <w:szCs w:val="24"/>
        </w:rPr>
        <w:t> 2008; </w:t>
      </w:r>
      <w:r w:rsidRPr="00D32F39">
        <w:rPr>
          <w:rFonts w:ascii="Book Antiqua" w:hAnsi="Book Antiqua" w:cs="宋体"/>
          <w:b/>
          <w:bCs/>
          <w:sz w:val="24"/>
          <w:szCs w:val="24"/>
        </w:rPr>
        <w:t>144</w:t>
      </w:r>
      <w:r w:rsidRPr="00D32F39">
        <w:rPr>
          <w:rFonts w:ascii="Book Antiqua" w:hAnsi="Book Antiqua" w:cs="宋体"/>
          <w:sz w:val="24"/>
          <w:szCs w:val="24"/>
        </w:rPr>
        <w:t>: 793-802 [PMID: 19081023 DOI: 10.1016/j.surg.2008.06.026]</w:t>
      </w:r>
    </w:p>
    <w:p w:rsidR="004116B2" w:rsidRPr="00D32F39" w:rsidRDefault="004116B2" w:rsidP="00CF4A41">
      <w:pPr>
        <w:spacing w:after="0" w:line="360" w:lineRule="auto"/>
        <w:jc w:val="both"/>
        <w:rPr>
          <w:rFonts w:ascii="Book Antiqua" w:hAnsi="Book Antiqua" w:cs="宋体"/>
          <w:sz w:val="24"/>
          <w:szCs w:val="24"/>
        </w:rPr>
      </w:pPr>
      <w:r w:rsidRPr="00D32F39">
        <w:rPr>
          <w:rFonts w:ascii="Book Antiqua" w:hAnsi="Book Antiqua" w:cs="宋体"/>
          <w:sz w:val="24"/>
          <w:szCs w:val="24"/>
        </w:rPr>
        <w:t>16 </w:t>
      </w:r>
      <w:r w:rsidRPr="00D32F39">
        <w:rPr>
          <w:rFonts w:ascii="Book Antiqua" w:hAnsi="Book Antiqua" w:cs="宋体"/>
          <w:b/>
          <w:bCs/>
          <w:sz w:val="24"/>
          <w:szCs w:val="24"/>
        </w:rPr>
        <w:t>Javeri H</w:t>
      </w:r>
      <w:r w:rsidRPr="00D32F39">
        <w:rPr>
          <w:rFonts w:ascii="Book Antiqua" w:hAnsi="Book Antiqua" w:cs="宋体"/>
          <w:sz w:val="24"/>
          <w:szCs w:val="24"/>
        </w:rPr>
        <w:t>, Xiao L, Rohren E, Lee JH, Liao Z, Hofstetter W, Maru D, Bhutani MS, Swisher SG, Macapinlac H, Wang X, Ajani JA. The higher the decrease in the standardized uptake value of positron emission tomography after chemoradiation, the better the survival of patients with gastroesophageal adenocarcinoma. </w:t>
      </w:r>
      <w:r w:rsidRPr="00D32F39">
        <w:rPr>
          <w:rFonts w:ascii="Book Antiqua" w:hAnsi="Book Antiqua" w:cs="宋体"/>
          <w:i/>
          <w:iCs/>
          <w:sz w:val="24"/>
          <w:szCs w:val="24"/>
        </w:rPr>
        <w:t>Cancer</w:t>
      </w:r>
      <w:r w:rsidRPr="00D32F39">
        <w:rPr>
          <w:rFonts w:ascii="Book Antiqua" w:hAnsi="Book Antiqua" w:cs="宋体"/>
          <w:sz w:val="24"/>
          <w:szCs w:val="24"/>
        </w:rPr>
        <w:t> 2009; </w:t>
      </w:r>
      <w:r w:rsidRPr="00D32F39">
        <w:rPr>
          <w:rFonts w:ascii="Book Antiqua" w:hAnsi="Book Antiqua" w:cs="宋体"/>
          <w:b/>
          <w:bCs/>
          <w:sz w:val="24"/>
          <w:szCs w:val="24"/>
        </w:rPr>
        <w:t>115</w:t>
      </w:r>
      <w:r w:rsidRPr="00D32F39">
        <w:rPr>
          <w:rFonts w:ascii="Book Antiqua" w:hAnsi="Book Antiqua" w:cs="宋体"/>
          <w:sz w:val="24"/>
          <w:szCs w:val="24"/>
        </w:rPr>
        <w:t>: 5184-5192 [PMID: 19685531 DOI: 10.1002/cncr.24604]</w:t>
      </w:r>
    </w:p>
    <w:p w:rsidR="004116B2" w:rsidRPr="00D32F39" w:rsidRDefault="004116B2" w:rsidP="00CF4A41">
      <w:pPr>
        <w:spacing w:after="0" w:line="360" w:lineRule="auto"/>
        <w:jc w:val="both"/>
        <w:rPr>
          <w:rFonts w:ascii="Book Antiqua" w:hAnsi="Book Antiqua" w:cs="宋体"/>
          <w:sz w:val="24"/>
          <w:szCs w:val="24"/>
        </w:rPr>
      </w:pPr>
      <w:r w:rsidRPr="00D32F39">
        <w:rPr>
          <w:rFonts w:ascii="Book Antiqua" w:hAnsi="Book Antiqua" w:cs="宋体"/>
          <w:sz w:val="24"/>
          <w:szCs w:val="24"/>
        </w:rPr>
        <w:t>17 </w:t>
      </w:r>
      <w:r w:rsidRPr="00D32F39">
        <w:rPr>
          <w:rFonts w:ascii="Book Antiqua" w:hAnsi="Book Antiqua" w:cs="宋体"/>
          <w:b/>
          <w:bCs/>
          <w:sz w:val="24"/>
          <w:szCs w:val="24"/>
        </w:rPr>
        <w:t>Kato H</w:t>
      </w:r>
      <w:r w:rsidRPr="00D32F39">
        <w:rPr>
          <w:rFonts w:ascii="Book Antiqua" w:hAnsi="Book Antiqua" w:cs="宋体"/>
          <w:sz w:val="24"/>
          <w:szCs w:val="24"/>
        </w:rPr>
        <w:t>, Nakajima M, Sohda M, Tanaka N, Inose T, Miyazaki T, Fukuchi M, Oriuchi N, Endo K, Kuwano H. The clinical application of (18)F-fluorodeoxyglucose positron emission tomography to predict survival in patients with operable esophageal cancer. </w:t>
      </w:r>
      <w:r w:rsidRPr="00D32F39">
        <w:rPr>
          <w:rFonts w:ascii="Book Antiqua" w:hAnsi="Book Antiqua" w:cs="宋体"/>
          <w:i/>
          <w:iCs/>
          <w:sz w:val="24"/>
          <w:szCs w:val="24"/>
        </w:rPr>
        <w:t>Cancer</w:t>
      </w:r>
      <w:r w:rsidRPr="00D32F39">
        <w:rPr>
          <w:rFonts w:ascii="Book Antiqua" w:hAnsi="Book Antiqua" w:cs="宋体"/>
          <w:sz w:val="24"/>
          <w:szCs w:val="24"/>
        </w:rPr>
        <w:t> 2009; </w:t>
      </w:r>
      <w:r w:rsidRPr="00D32F39">
        <w:rPr>
          <w:rFonts w:ascii="Book Antiqua" w:hAnsi="Book Antiqua" w:cs="宋体"/>
          <w:b/>
          <w:bCs/>
          <w:sz w:val="24"/>
          <w:szCs w:val="24"/>
        </w:rPr>
        <w:t>115</w:t>
      </w:r>
      <w:r w:rsidRPr="00D32F39">
        <w:rPr>
          <w:rFonts w:ascii="Book Antiqua" w:hAnsi="Book Antiqua" w:cs="宋体"/>
          <w:sz w:val="24"/>
          <w:szCs w:val="24"/>
        </w:rPr>
        <w:t>: 3196-3203 [PMID: 19472406 DOI: 10.1002/cncr.24399]</w:t>
      </w:r>
    </w:p>
    <w:p w:rsidR="004116B2" w:rsidRPr="00D32F39" w:rsidRDefault="004116B2" w:rsidP="00CF4A41">
      <w:pPr>
        <w:spacing w:after="0" w:line="360" w:lineRule="auto"/>
        <w:jc w:val="both"/>
        <w:rPr>
          <w:rFonts w:ascii="Book Antiqua" w:hAnsi="Book Antiqua" w:cs="宋体"/>
          <w:sz w:val="24"/>
          <w:szCs w:val="24"/>
        </w:rPr>
      </w:pPr>
      <w:r w:rsidRPr="00D32F39">
        <w:rPr>
          <w:rFonts w:ascii="Book Antiqua" w:hAnsi="Book Antiqua" w:cs="宋体"/>
          <w:sz w:val="24"/>
          <w:szCs w:val="24"/>
        </w:rPr>
        <w:t>18 </w:t>
      </w:r>
      <w:r w:rsidRPr="00D32F39">
        <w:rPr>
          <w:rFonts w:ascii="Book Antiqua" w:hAnsi="Book Antiqua" w:cs="宋体"/>
          <w:b/>
          <w:bCs/>
          <w:sz w:val="24"/>
          <w:szCs w:val="24"/>
        </w:rPr>
        <w:t>Rizk N</w:t>
      </w:r>
      <w:r w:rsidRPr="00D32F39">
        <w:rPr>
          <w:rFonts w:ascii="Book Antiqua" w:hAnsi="Book Antiqua" w:cs="宋体"/>
          <w:sz w:val="24"/>
          <w:szCs w:val="24"/>
        </w:rPr>
        <w:t>, Downey RJ, Akhurst T, Gonen M, Bains MS, Larson S, Rusch V. Preoperative 18[F]-fluorodeoxyglucose positron emission tomography standardized uptake values predict survival after esophageal adenocarcinoma resection. </w:t>
      </w:r>
      <w:r w:rsidRPr="00D32F39">
        <w:rPr>
          <w:rFonts w:ascii="Book Antiqua" w:hAnsi="Book Antiqua" w:cs="宋体"/>
          <w:i/>
          <w:iCs/>
          <w:sz w:val="24"/>
          <w:szCs w:val="24"/>
        </w:rPr>
        <w:t>Ann Thorac Surg</w:t>
      </w:r>
      <w:r w:rsidRPr="00D32F39">
        <w:rPr>
          <w:rFonts w:ascii="Book Antiqua" w:hAnsi="Book Antiqua" w:cs="宋体"/>
          <w:sz w:val="24"/>
          <w:szCs w:val="24"/>
        </w:rPr>
        <w:t> 2006; </w:t>
      </w:r>
      <w:r w:rsidRPr="00D32F39">
        <w:rPr>
          <w:rFonts w:ascii="Book Antiqua" w:hAnsi="Book Antiqua" w:cs="宋体"/>
          <w:b/>
          <w:bCs/>
          <w:sz w:val="24"/>
          <w:szCs w:val="24"/>
        </w:rPr>
        <w:t>81</w:t>
      </w:r>
      <w:r w:rsidRPr="00D32F39">
        <w:rPr>
          <w:rFonts w:ascii="Book Antiqua" w:hAnsi="Book Antiqua" w:cs="宋体"/>
          <w:sz w:val="24"/>
          <w:szCs w:val="24"/>
        </w:rPr>
        <w:t>: 1076-1081 [PMID: 16488726 DOI: 10.1016/j.athoracsur.2005.09.063]</w:t>
      </w:r>
    </w:p>
    <w:p w:rsidR="004116B2" w:rsidRPr="00D32F39" w:rsidRDefault="004116B2" w:rsidP="00CF4A41">
      <w:pPr>
        <w:spacing w:after="0" w:line="360" w:lineRule="auto"/>
        <w:jc w:val="both"/>
        <w:rPr>
          <w:rFonts w:ascii="Book Antiqua" w:hAnsi="Book Antiqua" w:cs="宋体"/>
          <w:sz w:val="24"/>
          <w:szCs w:val="24"/>
        </w:rPr>
      </w:pPr>
      <w:r w:rsidRPr="00D32F39">
        <w:rPr>
          <w:rFonts w:ascii="Book Antiqua" w:hAnsi="Book Antiqua" w:cs="宋体"/>
          <w:sz w:val="24"/>
          <w:szCs w:val="24"/>
        </w:rPr>
        <w:t>19 </w:t>
      </w:r>
      <w:r w:rsidRPr="00D32F39">
        <w:rPr>
          <w:rFonts w:ascii="Book Antiqua" w:hAnsi="Book Antiqua" w:cs="宋体"/>
          <w:b/>
          <w:bCs/>
          <w:sz w:val="24"/>
          <w:szCs w:val="24"/>
        </w:rPr>
        <w:t>Sepesi B</w:t>
      </w:r>
      <w:r w:rsidRPr="00D32F39">
        <w:rPr>
          <w:rFonts w:ascii="Book Antiqua" w:hAnsi="Book Antiqua" w:cs="宋体"/>
          <w:sz w:val="24"/>
          <w:szCs w:val="24"/>
        </w:rPr>
        <w:t>, Raymond DP, Polomsky M, Watson TJ, Litle VR, Jones CE, Hu R, Qiu X, Peters JH. Does the value of PET-CT extend beyond pretreatment staging? An analysis of survival in surgical patients with esophageal cancer. </w:t>
      </w:r>
      <w:r w:rsidRPr="00D32F39">
        <w:rPr>
          <w:rFonts w:ascii="Book Antiqua" w:hAnsi="Book Antiqua" w:cs="宋体"/>
          <w:i/>
          <w:iCs/>
          <w:sz w:val="24"/>
          <w:szCs w:val="24"/>
        </w:rPr>
        <w:t>J Gastrointest Surg</w:t>
      </w:r>
      <w:r w:rsidRPr="00D32F39">
        <w:rPr>
          <w:rFonts w:ascii="Book Antiqua" w:hAnsi="Book Antiqua" w:cs="宋体"/>
          <w:sz w:val="24"/>
          <w:szCs w:val="24"/>
        </w:rPr>
        <w:t> 2009; </w:t>
      </w:r>
      <w:r w:rsidRPr="00D32F39">
        <w:rPr>
          <w:rFonts w:ascii="Book Antiqua" w:hAnsi="Book Antiqua" w:cs="宋体"/>
          <w:b/>
          <w:bCs/>
          <w:sz w:val="24"/>
          <w:szCs w:val="24"/>
        </w:rPr>
        <w:t>13</w:t>
      </w:r>
      <w:r w:rsidRPr="00D32F39">
        <w:rPr>
          <w:rFonts w:ascii="Book Antiqua" w:hAnsi="Book Antiqua" w:cs="宋体"/>
          <w:sz w:val="24"/>
          <w:szCs w:val="24"/>
        </w:rPr>
        <w:t>: 2121-2127 [PMID: 19795177 DOI: 10.1007/s11605-009-1038-9]</w:t>
      </w:r>
    </w:p>
    <w:p w:rsidR="004116B2" w:rsidRPr="00D32F39" w:rsidRDefault="004116B2" w:rsidP="00CF4A41">
      <w:pPr>
        <w:spacing w:after="0" w:line="360" w:lineRule="auto"/>
        <w:jc w:val="both"/>
        <w:rPr>
          <w:rFonts w:ascii="Book Antiqua" w:hAnsi="Book Antiqua" w:cs="宋体"/>
          <w:sz w:val="24"/>
          <w:szCs w:val="24"/>
        </w:rPr>
      </w:pPr>
      <w:r w:rsidRPr="00D32F39">
        <w:rPr>
          <w:rFonts w:ascii="Book Antiqua" w:hAnsi="Book Antiqua" w:cs="宋体"/>
          <w:sz w:val="24"/>
          <w:szCs w:val="24"/>
        </w:rPr>
        <w:lastRenderedPageBreak/>
        <w:t>20 </w:t>
      </w:r>
      <w:r w:rsidRPr="00D32F39">
        <w:rPr>
          <w:rFonts w:ascii="Book Antiqua" w:hAnsi="Book Antiqua" w:cs="宋体"/>
          <w:b/>
          <w:bCs/>
          <w:sz w:val="24"/>
          <w:szCs w:val="24"/>
        </w:rPr>
        <w:t>Shenfine J</w:t>
      </w:r>
      <w:r w:rsidRPr="00D32F39">
        <w:rPr>
          <w:rFonts w:ascii="Book Antiqua" w:hAnsi="Book Antiqua" w:cs="宋体"/>
          <w:sz w:val="24"/>
          <w:szCs w:val="24"/>
        </w:rPr>
        <w:t>, Barbour AP, Wong D, Thomas J, Martin I, Gotley DC, Smithers BM. Prognostic value of maximum standardized uptake values from preoperative positron emission tomography in resectable adenocarcinoma of the esophagus treated by surgery alone. </w:t>
      </w:r>
      <w:r w:rsidRPr="00D32F39">
        <w:rPr>
          <w:rFonts w:ascii="Book Antiqua" w:hAnsi="Book Antiqua" w:cs="宋体"/>
          <w:i/>
          <w:iCs/>
          <w:sz w:val="24"/>
          <w:szCs w:val="24"/>
        </w:rPr>
        <w:t>Dis Esophagus</w:t>
      </w:r>
      <w:r w:rsidRPr="00D32F39">
        <w:rPr>
          <w:rFonts w:ascii="Book Antiqua" w:hAnsi="Book Antiqua" w:cs="宋体"/>
          <w:sz w:val="24"/>
          <w:szCs w:val="24"/>
        </w:rPr>
        <w:t> 2009; </w:t>
      </w:r>
      <w:r w:rsidRPr="00D32F39">
        <w:rPr>
          <w:rFonts w:ascii="Book Antiqua" w:hAnsi="Book Antiqua" w:cs="宋体"/>
          <w:b/>
          <w:bCs/>
          <w:sz w:val="24"/>
          <w:szCs w:val="24"/>
        </w:rPr>
        <w:t>22</w:t>
      </w:r>
      <w:r w:rsidRPr="00D32F39">
        <w:rPr>
          <w:rFonts w:ascii="Book Antiqua" w:hAnsi="Book Antiqua" w:cs="宋体"/>
          <w:sz w:val="24"/>
          <w:szCs w:val="24"/>
        </w:rPr>
        <w:t>: 668-675 [PMID: 19222534 DOI: 10.1111/j.1442-2050.2009.00941.x]</w:t>
      </w:r>
    </w:p>
    <w:p w:rsidR="004116B2" w:rsidRPr="00D32F39" w:rsidRDefault="004116B2" w:rsidP="00CF4A41">
      <w:pPr>
        <w:spacing w:after="0" w:line="360" w:lineRule="auto"/>
        <w:jc w:val="both"/>
        <w:rPr>
          <w:rFonts w:ascii="Book Antiqua" w:hAnsi="Book Antiqua" w:cs="宋体"/>
          <w:sz w:val="24"/>
          <w:szCs w:val="24"/>
        </w:rPr>
      </w:pPr>
      <w:r w:rsidRPr="00D32F39">
        <w:rPr>
          <w:rFonts w:ascii="Book Antiqua" w:hAnsi="Book Antiqua" w:cs="宋体"/>
          <w:sz w:val="24"/>
          <w:szCs w:val="24"/>
        </w:rPr>
        <w:t>21 </w:t>
      </w:r>
      <w:r w:rsidRPr="00D32F39">
        <w:rPr>
          <w:rFonts w:ascii="Book Antiqua" w:hAnsi="Book Antiqua" w:cs="宋体"/>
          <w:b/>
          <w:bCs/>
          <w:sz w:val="24"/>
          <w:szCs w:val="24"/>
        </w:rPr>
        <w:t>Hyun SH</w:t>
      </w:r>
      <w:r w:rsidRPr="00D32F39">
        <w:rPr>
          <w:rFonts w:ascii="Book Antiqua" w:hAnsi="Book Antiqua" w:cs="宋体"/>
          <w:sz w:val="24"/>
          <w:szCs w:val="24"/>
        </w:rPr>
        <w:t>, Choi JY, Shim YM, Kim K, Lee SJ, Cho YS, Lee JY, Lee KH, Kim BT. Prognostic value of metabolic tumor volume measured by 18F-fluorodeoxyglucose positron emission tomography in patients with esophageal carcinoma. </w:t>
      </w:r>
      <w:r w:rsidRPr="00D32F39">
        <w:rPr>
          <w:rFonts w:ascii="Book Antiqua" w:hAnsi="Book Antiqua" w:cs="宋体"/>
          <w:i/>
          <w:iCs/>
          <w:sz w:val="24"/>
          <w:szCs w:val="24"/>
        </w:rPr>
        <w:t>Ann Surg Oncol</w:t>
      </w:r>
      <w:r w:rsidRPr="00D32F39">
        <w:rPr>
          <w:rFonts w:ascii="Book Antiqua" w:hAnsi="Book Antiqua" w:cs="宋体"/>
          <w:sz w:val="24"/>
          <w:szCs w:val="24"/>
        </w:rPr>
        <w:t> 2010; </w:t>
      </w:r>
      <w:r w:rsidRPr="00D32F39">
        <w:rPr>
          <w:rFonts w:ascii="Book Antiqua" w:hAnsi="Book Antiqua" w:cs="宋体"/>
          <w:b/>
          <w:bCs/>
          <w:sz w:val="24"/>
          <w:szCs w:val="24"/>
        </w:rPr>
        <w:t>17</w:t>
      </w:r>
      <w:r w:rsidRPr="00D32F39">
        <w:rPr>
          <w:rFonts w:ascii="Book Antiqua" w:hAnsi="Book Antiqua" w:cs="宋体"/>
          <w:sz w:val="24"/>
          <w:szCs w:val="24"/>
        </w:rPr>
        <w:t>: 115-122 [PMID: 19826877 DOI: 10.1245/s10434-009-0719-7]</w:t>
      </w:r>
    </w:p>
    <w:p w:rsidR="004116B2" w:rsidRPr="00D32F39" w:rsidRDefault="004116B2" w:rsidP="00CF4A41">
      <w:pPr>
        <w:spacing w:after="0" w:line="360" w:lineRule="auto"/>
        <w:jc w:val="both"/>
        <w:rPr>
          <w:rFonts w:ascii="Book Antiqua" w:hAnsi="Book Antiqua" w:cs="宋体"/>
          <w:sz w:val="24"/>
          <w:szCs w:val="24"/>
        </w:rPr>
      </w:pPr>
      <w:r w:rsidRPr="00D32F39">
        <w:rPr>
          <w:rFonts w:ascii="Book Antiqua" w:hAnsi="Book Antiqua" w:cs="宋体"/>
          <w:sz w:val="24"/>
          <w:szCs w:val="24"/>
        </w:rPr>
        <w:t>22 </w:t>
      </w:r>
      <w:r w:rsidRPr="00D32F39">
        <w:rPr>
          <w:rFonts w:ascii="Book Antiqua" w:hAnsi="Book Antiqua" w:cs="宋体"/>
          <w:b/>
          <w:bCs/>
          <w:sz w:val="24"/>
          <w:szCs w:val="24"/>
        </w:rPr>
        <w:t>Brown C</w:t>
      </w:r>
      <w:r w:rsidRPr="00D32F39">
        <w:rPr>
          <w:rFonts w:ascii="Book Antiqua" w:hAnsi="Book Antiqua" w:cs="宋体"/>
          <w:sz w:val="24"/>
          <w:szCs w:val="24"/>
        </w:rPr>
        <w:t>, Howes B, Jamieson GG, Bartholomeusz D, Zingg U, Sullivan TR, Thompson SK. Accuracy of PET-CT in predicting survival in patients with esophageal cancer. </w:t>
      </w:r>
      <w:r w:rsidRPr="00D32F39">
        <w:rPr>
          <w:rFonts w:ascii="Book Antiqua" w:hAnsi="Book Antiqua" w:cs="宋体"/>
          <w:i/>
          <w:iCs/>
          <w:sz w:val="24"/>
          <w:szCs w:val="24"/>
        </w:rPr>
        <w:t>World J Surg</w:t>
      </w:r>
      <w:r w:rsidRPr="00D32F39">
        <w:rPr>
          <w:rFonts w:ascii="Book Antiqua" w:hAnsi="Book Antiqua" w:cs="宋体"/>
          <w:sz w:val="24"/>
          <w:szCs w:val="24"/>
        </w:rPr>
        <w:t> 2012; </w:t>
      </w:r>
      <w:r w:rsidRPr="00D32F39">
        <w:rPr>
          <w:rFonts w:ascii="Book Antiqua" w:hAnsi="Book Antiqua" w:cs="宋体"/>
          <w:b/>
          <w:bCs/>
          <w:sz w:val="24"/>
          <w:szCs w:val="24"/>
        </w:rPr>
        <w:t>36</w:t>
      </w:r>
      <w:r w:rsidRPr="00D32F39">
        <w:rPr>
          <w:rFonts w:ascii="Book Antiqua" w:hAnsi="Book Antiqua" w:cs="宋体"/>
          <w:sz w:val="24"/>
          <w:szCs w:val="24"/>
        </w:rPr>
        <w:t>: 1089-1095 [PMID: 22374537 DOI: 10.1007/s00268-012-1470-y]</w:t>
      </w:r>
    </w:p>
    <w:p w:rsidR="004116B2" w:rsidRPr="00D32F39" w:rsidRDefault="004116B2" w:rsidP="00CF4A41">
      <w:pPr>
        <w:spacing w:after="0" w:line="360" w:lineRule="auto"/>
        <w:jc w:val="both"/>
        <w:rPr>
          <w:rFonts w:ascii="Book Antiqua" w:hAnsi="Book Antiqua" w:cs="宋体"/>
          <w:sz w:val="24"/>
          <w:szCs w:val="24"/>
        </w:rPr>
      </w:pPr>
      <w:r w:rsidRPr="00D32F39">
        <w:rPr>
          <w:rFonts w:ascii="Book Antiqua" w:hAnsi="Book Antiqua" w:cs="宋体"/>
          <w:sz w:val="24"/>
          <w:szCs w:val="24"/>
        </w:rPr>
        <w:t>23 </w:t>
      </w:r>
      <w:r w:rsidRPr="00D32F39">
        <w:rPr>
          <w:rFonts w:ascii="Book Antiqua" w:hAnsi="Book Antiqua" w:cs="宋体"/>
          <w:b/>
          <w:bCs/>
          <w:sz w:val="24"/>
          <w:szCs w:val="24"/>
        </w:rPr>
        <w:t>Gillies RS</w:t>
      </w:r>
      <w:r w:rsidRPr="00D32F39">
        <w:rPr>
          <w:rFonts w:ascii="Book Antiqua" w:hAnsi="Book Antiqua" w:cs="宋体"/>
          <w:sz w:val="24"/>
          <w:szCs w:val="24"/>
        </w:rPr>
        <w:t>, Middleton MR, Han C, Marshall RE, Maynard ND, Bradley KM, Gleeson FV. Role of positron emission tomography-computed tomography in predicting survival after neoadjuvant chemotherapy and surgery for oesophageal adenocarcinoma. </w:t>
      </w:r>
      <w:r w:rsidRPr="00D32F39">
        <w:rPr>
          <w:rFonts w:ascii="Book Antiqua" w:hAnsi="Book Antiqua" w:cs="宋体"/>
          <w:i/>
          <w:iCs/>
          <w:sz w:val="24"/>
          <w:szCs w:val="24"/>
        </w:rPr>
        <w:t>Br J Surg</w:t>
      </w:r>
      <w:r w:rsidRPr="00D32F39">
        <w:rPr>
          <w:rFonts w:ascii="Book Antiqua" w:hAnsi="Book Antiqua" w:cs="宋体"/>
          <w:sz w:val="24"/>
          <w:szCs w:val="24"/>
        </w:rPr>
        <w:t> 2012; </w:t>
      </w:r>
      <w:r w:rsidRPr="00D32F39">
        <w:rPr>
          <w:rFonts w:ascii="Book Antiqua" w:hAnsi="Book Antiqua" w:cs="宋体"/>
          <w:b/>
          <w:bCs/>
          <w:sz w:val="24"/>
          <w:szCs w:val="24"/>
        </w:rPr>
        <w:t>99</w:t>
      </w:r>
      <w:r w:rsidRPr="00D32F39">
        <w:rPr>
          <w:rFonts w:ascii="Book Antiqua" w:hAnsi="Book Antiqua" w:cs="宋体"/>
          <w:sz w:val="24"/>
          <w:szCs w:val="24"/>
        </w:rPr>
        <w:t>: 239-245 [PMID: 22329010 DOI: 10.1002/bjs.7758]</w:t>
      </w:r>
    </w:p>
    <w:p w:rsidR="004116B2" w:rsidRPr="00D32F39" w:rsidRDefault="004116B2" w:rsidP="00CF4A41">
      <w:pPr>
        <w:spacing w:after="0" w:line="360" w:lineRule="auto"/>
        <w:jc w:val="both"/>
        <w:rPr>
          <w:rFonts w:ascii="Book Antiqua" w:hAnsi="Book Antiqua" w:cs="宋体"/>
          <w:sz w:val="24"/>
          <w:szCs w:val="24"/>
        </w:rPr>
      </w:pPr>
      <w:r w:rsidRPr="00D32F39">
        <w:rPr>
          <w:rFonts w:ascii="Book Antiqua" w:hAnsi="Book Antiqua" w:cs="宋体"/>
          <w:sz w:val="24"/>
          <w:szCs w:val="24"/>
        </w:rPr>
        <w:t>24 </w:t>
      </w:r>
      <w:r w:rsidRPr="00D32F39">
        <w:rPr>
          <w:rFonts w:ascii="Book Antiqua" w:hAnsi="Book Antiqua" w:cs="宋体"/>
          <w:b/>
          <w:bCs/>
          <w:sz w:val="24"/>
          <w:szCs w:val="24"/>
        </w:rPr>
        <w:t>Chan DS</w:t>
      </w:r>
      <w:r w:rsidRPr="00D32F39">
        <w:rPr>
          <w:rFonts w:ascii="Book Antiqua" w:hAnsi="Book Antiqua" w:cs="宋体"/>
          <w:sz w:val="24"/>
          <w:szCs w:val="24"/>
        </w:rPr>
        <w:t>, Fielding P, Roberts SA, Reid TD, Ellis-Owen R, Lewis WG. Prognostic significance of 18-FDG PET/CT and EUS-defined tumour characteristics in patients with oesophageal cancer. </w:t>
      </w:r>
      <w:r w:rsidRPr="00D32F39">
        <w:rPr>
          <w:rFonts w:ascii="Book Antiqua" w:hAnsi="Book Antiqua" w:cs="宋体"/>
          <w:i/>
          <w:iCs/>
          <w:sz w:val="24"/>
          <w:szCs w:val="24"/>
        </w:rPr>
        <w:t>Clin Radiol</w:t>
      </w:r>
      <w:r w:rsidRPr="00D32F39">
        <w:rPr>
          <w:rFonts w:ascii="Book Antiqua" w:hAnsi="Book Antiqua" w:cs="宋体"/>
          <w:sz w:val="24"/>
          <w:szCs w:val="24"/>
        </w:rPr>
        <w:t> 2013; </w:t>
      </w:r>
      <w:r w:rsidRPr="00D32F39">
        <w:rPr>
          <w:rFonts w:ascii="Book Antiqua" w:hAnsi="Book Antiqua" w:cs="宋体"/>
          <w:b/>
          <w:bCs/>
          <w:sz w:val="24"/>
          <w:szCs w:val="24"/>
        </w:rPr>
        <w:t>68</w:t>
      </w:r>
      <w:r w:rsidRPr="00D32F39">
        <w:rPr>
          <w:rFonts w:ascii="Book Antiqua" w:hAnsi="Book Antiqua" w:cs="宋体"/>
          <w:sz w:val="24"/>
          <w:szCs w:val="24"/>
        </w:rPr>
        <w:t>: 352-357 [PMID: 22981727 DOI: 10.1016/j.crad.2012.08.012]</w:t>
      </w:r>
    </w:p>
    <w:p w:rsidR="004116B2" w:rsidRPr="00D32F39" w:rsidRDefault="004116B2" w:rsidP="00CF4A41">
      <w:pPr>
        <w:spacing w:after="0" w:line="360" w:lineRule="auto"/>
        <w:jc w:val="both"/>
        <w:rPr>
          <w:rFonts w:ascii="Book Antiqua" w:hAnsi="Book Antiqua" w:cs="宋体"/>
          <w:sz w:val="24"/>
          <w:szCs w:val="24"/>
        </w:rPr>
      </w:pPr>
      <w:r w:rsidRPr="00D32F39">
        <w:rPr>
          <w:rFonts w:ascii="Book Antiqua" w:hAnsi="Book Antiqua" w:cs="宋体"/>
          <w:sz w:val="24"/>
          <w:szCs w:val="24"/>
        </w:rPr>
        <w:t>25 </w:t>
      </w:r>
      <w:r w:rsidRPr="00D32F39">
        <w:rPr>
          <w:rFonts w:ascii="Book Antiqua" w:hAnsi="Book Antiqua" w:cs="宋体"/>
          <w:b/>
          <w:bCs/>
          <w:sz w:val="24"/>
          <w:szCs w:val="24"/>
        </w:rPr>
        <w:t>Vallböhmer D</w:t>
      </w:r>
      <w:r w:rsidRPr="00D32F39">
        <w:rPr>
          <w:rFonts w:ascii="Book Antiqua" w:hAnsi="Book Antiqua" w:cs="宋体"/>
          <w:sz w:val="24"/>
          <w:szCs w:val="24"/>
        </w:rPr>
        <w:t>, Hölscher AH, Dietlein M, Bollschweiler E, Baldus SE, Mönig SP, Metzger R, Schicha H, Schmidt M. [18F]-Fluorodeoxyglucose-positron emission tomography for the assessment of histopathologic response and prognosis after completion of neoadjuvant chemoradiation in esophageal cancer. </w:t>
      </w:r>
      <w:r w:rsidRPr="00D32F39">
        <w:rPr>
          <w:rFonts w:ascii="Book Antiqua" w:hAnsi="Book Antiqua" w:cs="宋体"/>
          <w:i/>
          <w:iCs/>
          <w:sz w:val="24"/>
          <w:szCs w:val="24"/>
        </w:rPr>
        <w:t>Ann Surg</w:t>
      </w:r>
      <w:r w:rsidRPr="00D32F39">
        <w:rPr>
          <w:rFonts w:ascii="Book Antiqua" w:hAnsi="Book Antiqua" w:cs="宋体"/>
          <w:sz w:val="24"/>
          <w:szCs w:val="24"/>
        </w:rPr>
        <w:t> 2009; </w:t>
      </w:r>
      <w:r w:rsidRPr="00D32F39">
        <w:rPr>
          <w:rFonts w:ascii="Book Antiqua" w:hAnsi="Book Antiqua" w:cs="宋体"/>
          <w:b/>
          <w:bCs/>
          <w:sz w:val="24"/>
          <w:szCs w:val="24"/>
        </w:rPr>
        <w:t>250</w:t>
      </w:r>
      <w:r w:rsidRPr="00D32F39">
        <w:rPr>
          <w:rFonts w:ascii="Book Antiqua" w:hAnsi="Book Antiqua" w:cs="宋体"/>
          <w:sz w:val="24"/>
          <w:szCs w:val="24"/>
        </w:rPr>
        <w:t>: 888-894 [PMID: 19953708 DOI: 10.1097/SLA.0b013e3181bc9c0d]</w:t>
      </w:r>
    </w:p>
    <w:p w:rsidR="004116B2" w:rsidRPr="00D32F39" w:rsidRDefault="004116B2" w:rsidP="00CF4A41">
      <w:pPr>
        <w:spacing w:after="0" w:line="360" w:lineRule="auto"/>
        <w:jc w:val="both"/>
        <w:rPr>
          <w:rFonts w:ascii="Book Antiqua" w:hAnsi="Book Antiqua"/>
          <w:sz w:val="24"/>
          <w:szCs w:val="24"/>
        </w:rPr>
      </w:pPr>
      <w:r w:rsidRPr="00D32F39">
        <w:rPr>
          <w:rFonts w:ascii="Book Antiqua" w:hAnsi="Book Antiqua"/>
          <w:sz w:val="24"/>
          <w:szCs w:val="24"/>
        </w:rPr>
        <w:lastRenderedPageBreak/>
        <w:t>26</w:t>
      </w:r>
      <w:r w:rsidR="00911F24">
        <w:rPr>
          <w:rFonts w:ascii="Book Antiqua" w:hAnsi="Book Antiqua" w:hint="eastAsia"/>
          <w:sz w:val="24"/>
          <w:szCs w:val="24"/>
          <w:lang w:eastAsia="zh-CN"/>
        </w:rPr>
        <w:t xml:space="preserve"> </w:t>
      </w:r>
      <w:r w:rsidRPr="00D32F39">
        <w:rPr>
          <w:rFonts w:ascii="Book Antiqua" w:hAnsi="Book Antiqua"/>
          <w:b/>
          <w:sz w:val="24"/>
          <w:szCs w:val="24"/>
        </w:rPr>
        <w:t>Ott K,</w:t>
      </w:r>
      <w:r w:rsidRPr="00D32F39">
        <w:rPr>
          <w:rFonts w:ascii="Book Antiqua" w:hAnsi="Book Antiqua"/>
          <w:sz w:val="24"/>
          <w:szCs w:val="24"/>
        </w:rPr>
        <w:t xml:space="preserve"> Weber WA, Lordick F, Becker K, Busch R, Herrmann K, Wieder H, Fink U, Schwaiger M, Siewert JR. Metabolic imaging predicts response, survival, and recurrence in adenocarcinomas of the esophagogastric junction. </w:t>
      </w:r>
      <w:r w:rsidRPr="00D32F39">
        <w:rPr>
          <w:rFonts w:ascii="Book Antiqua" w:hAnsi="Book Antiqua"/>
          <w:i/>
          <w:sz w:val="24"/>
          <w:szCs w:val="24"/>
        </w:rPr>
        <w:t>J Clin Oncol</w:t>
      </w:r>
      <w:r w:rsidRPr="00D32F39">
        <w:rPr>
          <w:rFonts w:ascii="Book Antiqua" w:hAnsi="Book Antiqua"/>
          <w:sz w:val="24"/>
          <w:szCs w:val="24"/>
        </w:rPr>
        <w:t xml:space="preserve"> 2006; </w:t>
      </w:r>
      <w:r w:rsidRPr="00D32F39">
        <w:rPr>
          <w:rFonts w:ascii="Book Antiqua" w:hAnsi="Book Antiqua"/>
          <w:b/>
          <w:sz w:val="24"/>
          <w:szCs w:val="24"/>
        </w:rPr>
        <w:t>24</w:t>
      </w:r>
      <w:r w:rsidRPr="00D32F39">
        <w:rPr>
          <w:rFonts w:ascii="Book Antiqua" w:hAnsi="Book Antiqua"/>
          <w:sz w:val="24"/>
          <w:szCs w:val="24"/>
        </w:rPr>
        <w:t>: 4692–4698 [PMID: 16966684DOI: 10.1200/JCO.2006.06.7801]</w:t>
      </w:r>
    </w:p>
    <w:p w:rsidR="00911F24" w:rsidRDefault="00911F24" w:rsidP="00911F24">
      <w:pPr>
        <w:spacing w:after="0" w:line="360" w:lineRule="auto"/>
        <w:jc w:val="right"/>
        <w:rPr>
          <w:rStyle w:val="af0"/>
          <w:rFonts w:ascii="Book Antiqua" w:hAnsi="Book Antiqua" w:cs="Arial"/>
          <w:bCs w:val="0"/>
          <w:noProof/>
          <w:color w:val="000000"/>
          <w:sz w:val="24"/>
          <w:szCs w:val="24"/>
          <w:lang w:eastAsia="zh-CN"/>
        </w:rPr>
      </w:pPr>
    </w:p>
    <w:p w:rsidR="004116B2" w:rsidRDefault="004116B2" w:rsidP="00911F24">
      <w:pPr>
        <w:spacing w:after="0" w:line="360" w:lineRule="auto"/>
        <w:jc w:val="right"/>
        <w:rPr>
          <w:rFonts w:ascii="Book Antiqua" w:hAnsi="Book Antiqua"/>
          <w:b/>
          <w:bCs/>
          <w:color w:val="000000"/>
          <w:sz w:val="24"/>
          <w:szCs w:val="24"/>
          <w:lang w:eastAsia="zh-CN"/>
        </w:rPr>
      </w:pPr>
      <w:r w:rsidRPr="004116B2">
        <w:rPr>
          <w:rStyle w:val="af0"/>
          <w:rFonts w:ascii="Book Antiqua" w:hAnsi="Book Antiqua" w:cs="Arial"/>
          <w:bCs w:val="0"/>
          <w:noProof/>
          <w:color w:val="000000"/>
          <w:sz w:val="24"/>
          <w:szCs w:val="24"/>
        </w:rPr>
        <w:t>P-Reviewers</w:t>
      </w:r>
      <w:r w:rsidRPr="004116B2">
        <w:rPr>
          <w:rStyle w:val="af0"/>
          <w:rFonts w:ascii="Book Antiqua" w:hAnsi="Book Antiqua" w:cs="Arial" w:hint="eastAsia"/>
          <w:bCs w:val="0"/>
          <w:noProof/>
          <w:color w:val="000000"/>
          <w:sz w:val="24"/>
          <w:szCs w:val="24"/>
          <w:lang w:eastAsia="zh-CN"/>
        </w:rPr>
        <w:t>:</w:t>
      </w:r>
      <w:r w:rsidRPr="004116B2">
        <w:rPr>
          <w:rFonts w:ascii="Book Antiqua" w:hAnsi="Book Antiqua"/>
          <w:bCs/>
          <w:color w:val="000000"/>
          <w:sz w:val="24"/>
          <w:szCs w:val="24"/>
        </w:rPr>
        <w:t xml:space="preserve"> </w:t>
      </w:r>
      <w:r>
        <w:rPr>
          <w:rFonts w:ascii="Book Antiqua" w:hAnsi="Book Antiqua"/>
          <w:bCs/>
          <w:color w:val="000000"/>
          <w:sz w:val="24"/>
          <w:szCs w:val="24"/>
        </w:rPr>
        <w:t>Chen</w:t>
      </w:r>
      <w:r>
        <w:rPr>
          <w:rFonts w:ascii="Book Antiqua" w:hAnsi="Book Antiqua" w:hint="eastAsia"/>
          <w:bCs/>
          <w:color w:val="000000"/>
          <w:sz w:val="24"/>
          <w:szCs w:val="24"/>
          <w:lang w:eastAsia="zh-CN"/>
        </w:rPr>
        <w:t xml:space="preserve"> </w:t>
      </w:r>
      <w:r w:rsidRPr="004116B2">
        <w:rPr>
          <w:rFonts w:ascii="Book Antiqua" w:hAnsi="Book Antiqua"/>
          <w:bCs/>
          <w:color w:val="000000"/>
          <w:sz w:val="24"/>
          <w:szCs w:val="24"/>
        </w:rPr>
        <w:t>XZ</w:t>
      </w:r>
      <w:r>
        <w:rPr>
          <w:rFonts w:ascii="Book Antiqua" w:hAnsi="Book Antiqua" w:hint="eastAsia"/>
          <w:bCs/>
          <w:color w:val="000000"/>
          <w:sz w:val="24"/>
          <w:szCs w:val="24"/>
          <w:lang w:eastAsia="zh-CN"/>
        </w:rPr>
        <w:t>,</w:t>
      </w:r>
      <w:r w:rsidRPr="004116B2">
        <w:rPr>
          <w:rFonts w:ascii="Book Antiqua" w:hAnsi="Book Antiqua"/>
          <w:bCs/>
          <w:color w:val="000000"/>
          <w:sz w:val="24"/>
          <w:szCs w:val="24"/>
        </w:rPr>
        <w:t xml:space="preserve"> Raul</w:t>
      </w:r>
      <w:r>
        <w:rPr>
          <w:rFonts w:ascii="Book Antiqua" w:hAnsi="Book Antiqua" w:hint="eastAsia"/>
          <w:bCs/>
          <w:color w:val="000000"/>
          <w:sz w:val="24"/>
          <w:szCs w:val="24"/>
          <w:lang w:eastAsia="zh-CN"/>
        </w:rPr>
        <w:t xml:space="preserve"> </w:t>
      </w:r>
      <w:r>
        <w:rPr>
          <w:rFonts w:ascii="Book Antiqua" w:hAnsi="Book Antiqua"/>
          <w:bCs/>
          <w:color w:val="000000"/>
          <w:sz w:val="24"/>
          <w:szCs w:val="24"/>
          <w:lang w:eastAsia="zh-CN"/>
        </w:rPr>
        <w:t>B</w:t>
      </w:r>
      <w:r>
        <w:rPr>
          <w:rFonts w:ascii="Book Antiqua" w:hAnsi="Book Antiqua"/>
          <w:bCs/>
          <w:color w:val="000000"/>
          <w:sz w:val="24"/>
          <w:szCs w:val="24"/>
        </w:rPr>
        <w:t xml:space="preserve"> </w:t>
      </w:r>
      <w:r w:rsidRPr="004116B2">
        <w:rPr>
          <w:rFonts w:ascii="Book Antiqua" w:hAnsi="Book Antiqua"/>
          <w:b/>
          <w:bCs/>
          <w:color w:val="000000"/>
          <w:sz w:val="24"/>
          <w:szCs w:val="24"/>
        </w:rPr>
        <w:t>S-Editor</w:t>
      </w:r>
      <w:r w:rsidRPr="004116B2">
        <w:rPr>
          <w:rFonts w:ascii="Book Antiqua" w:hAnsi="Book Antiqua" w:hint="eastAsia"/>
          <w:b/>
          <w:bCs/>
          <w:color w:val="000000"/>
          <w:sz w:val="24"/>
          <w:szCs w:val="24"/>
          <w:lang w:eastAsia="zh-CN"/>
        </w:rPr>
        <w:t>:</w:t>
      </w:r>
      <w:r w:rsidRPr="004116B2">
        <w:rPr>
          <w:rFonts w:ascii="Book Antiqua" w:hAnsi="Book Antiqua"/>
          <w:bCs/>
          <w:color w:val="000000"/>
          <w:sz w:val="24"/>
          <w:szCs w:val="24"/>
        </w:rPr>
        <w:t xml:space="preserve"> </w:t>
      </w:r>
      <w:r w:rsidRPr="004116B2">
        <w:rPr>
          <w:rFonts w:ascii="Book Antiqua" w:hAnsi="Book Antiqua" w:hint="eastAsia"/>
          <w:bCs/>
          <w:color w:val="000000"/>
          <w:sz w:val="24"/>
          <w:szCs w:val="24"/>
          <w:lang w:eastAsia="zh-CN"/>
        </w:rPr>
        <w:t>Qi Y</w:t>
      </w:r>
    </w:p>
    <w:p w:rsidR="00C56CA5" w:rsidRPr="004116B2" w:rsidRDefault="004116B2" w:rsidP="00911F24">
      <w:pPr>
        <w:spacing w:after="0" w:line="360" w:lineRule="auto"/>
        <w:jc w:val="right"/>
        <w:rPr>
          <w:rFonts w:ascii="Book Antiqua" w:hAnsi="Book Antiqua" w:cs="Times New Roman"/>
          <w:sz w:val="24"/>
          <w:szCs w:val="24"/>
          <w:lang w:val="en-US" w:eastAsia="zh-CN"/>
        </w:rPr>
      </w:pPr>
      <w:r w:rsidRPr="004116B2">
        <w:rPr>
          <w:rFonts w:ascii="Book Antiqua" w:hAnsi="Book Antiqua"/>
          <w:b/>
          <w:bCs/>
          <w:color w:val="000000"/>
          <w:sz w:val="24"/>
          <w:szCs w:val="24"/>
        </w:rPr>
        <w:t>L-Editor</w:t>
      </w:r>
      <w:r w:rsidRPr="004116B2">
        <w:rPr>
          <w:rFonts w:ascii="Book Antiqua" w:hAnsi="Book Antiqua" w:hint="eastAsia"/>
          <w:b/>
          <w:bCs/>
          <w:color w:val="000000"/>
          <w:sz w:val="24"/>
          <w:szCs w:val="24"/>
          <w:lang w:eastAsia="zh-CN"/>
        </w:rPr>
        <w:t>:</w:t>
      </w:r>
      <w:r w:rsidRPr="004116B2">
        <w:rPr>
          <w:rFonts w:ascii="Book Antiqua" w:hAnsi="Book Antiqua"/>
          <w:b/>
          <w:bCs/>
          <w:color w:val="000000"/>
          <w:sz w:val="24"/>
          <w:szCs w:val="24"/>
        </w:rPr>
        <w:t xml:space="preserve">   E-Editor</w:t>
      </w:r>
      <w:r w:rsidRPr="004116B2">
        <w:rPr>
          <w:rFonts w:ascii="Book Antiqua" w:hAnsi="Book Antiqua" w:hint="eastAsia"/>
          <w:b/>
          <w:bCs/>
          <w:color w:val="000000"/>
          <w:sz w:val="24"/>
          <w:szCs w:val="24"/>
          <w:lang w:eastAsia="zh-CN"/>
        </w:rPr>
        <w:t>:</w:t>
      </w:r>
    </w:p>
    <w:p w:rsidR="00773F51" w:rsidRPr="00613E70" w:rsidRDefault="00C56CA5" w:rsidP="00911F24">
      <w:pPr>
        <w:spacing w:after="0" w:line="360" w:lineRule="auto"/>
        <w:rPr>
          <w:rFonts w:ascii="Book Antiqua" w:hAnsi="Book Antiqua" w:cs="Times New Roman"/>
          <w:b/>
          <w:sz w:val="24"/>
          <w:szCs w:val="24"/>
          <w:lang w:val="en-US"/>
        </w:rPr>
      </w:pPr>
      <w:r w:rsidRPr="004116B2">
        <w:rPr>
          <w:rFonts w:ascii="Book Antiqua" w:hAnsi="Book Antiqua" w:cs="Times New Roman"/>
          <w:sz w:val="24"/>
          <w:szCs w:val="24"/>
          <w:lang w:val="en-US"/>
        </w:rPr>
        <w:br w:type="page"/>
      </w:r>
      <w:r w:rsidR="00773F51">
        <w:rPr>
          <w:rFonts w:ascii="Book Antiqua" w:hAnsi="Book Antiqua" w:cs="Times New Roman"/>
          <w:b/>
          <w:sz w:val="24"/>
          <w:szCs w:val="24"/>
          <w:lang w:val="en-US"/>
        </w:rPr>
        <w:lastRenderedPageBreak/>
        <w:t>Figure 1</w:t>
      </w:r>
      <w:r w:rsidR="00773F51">
        <w:rPr>
          <w:rFonts w:ascii="Book Antiqua" w:hAnsi="Book Antiqua" w:cs="Times New Roman" w:hint="eastAsia"/>
          <w:b/>
          <w:sz w:val="24"/>
          <w:szCs w:val="24"/>
          <w:lang w:val="en-US" w:eastAsia="zh-CN"/>
        </w:rPr>
        <w:t xml:space="preserve"> </w:t>
      </w:r>
      <w:r w:rsidR="00773F51" w:rsidRPr="00613E70">
        <w:rPr>
          <w:rFonts w:ascii="Book Antiqua" w:hAnsi="Book Antiqua" w:cs="Times New Roman"/>
          <w:b/>
          <w:sz w:val="24"/>
          <w:szCs w:val="24"/>
          <w:lang w:val="en-US"/>
        </w:rPr>
        <w:t>Survival of patients stratified into quartiles of SUV</w:t>
      </w:r>
      <w:r w:rsidR="00773F51" w:rsidRPr="00613E70">
        <w:rPr>
          <w:rFonts w:ascii="Book Antiqua" w:hAnsi="Book Antiqua" w:cs="Times New Roman"/>
          <w:b/>
          <w:sz w:val="24"/>
          <w:szCs w:val="24"/>
          <w:vertAlign w:val="subscript"/>
          <w:lang w:val="en-US"/>
        </w:rPr>
        <w:t>max</w:t>
      </w:r>
      <w:r w:rsidR="00773F51" w:rsidRPr="00613E70">
        <w:rPr>
          <w:rFonts w:ascii="Book Antiqua" w:hAnsi="Book Antiqua" w:cs="Times New Roman"/>
          <w:b/>
          <w:sz w:val="24"/>
          <w:szCs w:val="24"/>
          <w:lang w:val="en-US"/>
        </w:rPr>
        <w:t>.</w:t>
      </w:r>
    </w:p>
    <w:p w:rsidR="00773F51" w:rsidRPr="00613E70" w:rsidRDefault="00E26BBB" w:rsidP="00CF4A41">
      <w:pPr>
        <w:spacing w:after="0" w:line="360" w:lineRule="auto"/>
        <w:jc w:val="both"/>
        <w:rPr>
          <w:rFonts w:ascii="Book Antiqua" w:hAnsi="Book Antiqua" w:cs="Times New Roman"/>
          <w:sz w:val="24"/>
          <w:szCs w:val="24"/>
          <w:lang w:val="en-US"/>
        </w:rPr>
      </w:pPr>
      <w:r>
        <w:rPr>
          <w:noProof/>
          <w:lang w:val="en-US" w:eastAsia="zh-CN"/>
        </w:rPr>
        <mc:AlternateContent>
          <mc:Choice Requires="wps">
            <w:drawing>
              <wp:anchor distT="0" distB="0" distL="114300" distR="114300" simplePos="0" relativeHeight="251658240" behindDoc="0" locked="0" layoutInCell="1" allowOverlap="1">
                <wp:simplePos x="0" y="0"/>
                <wp:positionH relativeFrom="column">
                  <wp:posOffset>4191000</wp:posOffset>
                </wp:positionH>
                <wp:positionV relativeFrom="paragraph">
                  <wp:posOffset>2740025</wp:posOffset>
                </wp:positionV>
                <wp:extent cx="1184275" cy="40449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F51" w:rsidRPr="003901BE" w:rsidRDefault="00773F51" w:rsidP="00773F51">
                            <w:pPr>
                              <w:pStyle w:val="a6"/>
                              <w:spacing w:before="240" w:beforeAutospacing="0" w:after="0" w:afterAutospacing="0"/>
                              <w:jc w:val="center"/>
                              <w:textAlignment w:val="baseline"/>
                              <w:rPr>
                                <w:sz w:val="22"/>
                                <w:szCs w:val="22"/>
                              </w:rPr>
                            </w:pPr>
                            <w:r>
                              <w:rPr>
                                <w:rFonts w:ascii="Arial" w:hAnsi="Arial" w:cs="Arial"/>
                                <w:i/>
                                <w:iCs/>
                                <w:color w:val="000000"/>
                                <w:kern w:val="24"/>
                                <w:sz w:val="22"/>
                                <w:szCs w:val="22"/>
                              </w:rPr>
                              <w:t>p</w:t>
                            </w:r>
                            <w:r w:rsidRPr="00DE0CCB">
                              <w:rPr>
                                <w:rFonts w:ascii="Arial" w:hAnsi="Arial" w:cs="Arial"/>
                                <w:color w:val="000000"/>
                                <w:kern w:val="24"/>
                                <w:sz w:val="22"/>
                                <w:szCs w:val="22"/>
                              </w:rPr>
                              <w:t>=0.001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30pt;margin-top:215.75pt;width:93.25pt;height:3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0N/sg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" filled="f" stroked="f">
                <v:textbox style="mso-fit-shape-to-text:t">
                  <w:txbxContent>
                    <w:p w:rsidR="00773F51" w:rsidRPr="003901BE" w:rsidRDefault="00773F51" w:rsidP="00773F51">
                      <w:pPr>
                        <w:pStyle w:val="a6"/>
                        <w:spacing w:before="240" w:beforeAutospacing="0" w:after="0" w:afterAutospacing="0"/>
                        <w:jc w:val="center"/>
                        <w:textAlignment w:val="baseline"/>
                        <w:rPr>
                          <w:sz w:val="22"/>
                          <w:szCs w:val="22"/>
                        </w:rPr>
                      </w:pPr>
                      <w:r>
                        <w:rPr>
                          <w:rFonts w:ascii="Arial" w:hAnsi="Arial" w:cs="Arial"/>
                          <w:i/>
                          <w:iCs/>
                          <w:color w:val="000000"/>
                          <w:kern w:val="24"/>
                          <w:sz w:val="22"/>
                          <w:szCs w:val="22"/>
                        </w:rPr>
                        <w:t>p</w:t>
                      </w:r>
                      <w:r w:rsidRPr="00DE0CCB">
                        <w:rPr>
                          <w:rFonts w:ascii="Arial" w:hAnsi="Arial" w:cs="Arial"/>
                          <w:color w:val="000000"/>
                          <w:kern w:val="24"/>
                          <w:sz w:val="22"/>
                          <w:szCs w:val="22"/>
                        </w:rPr>
                        <w:t>=0.001</w:t>
                      </w:r>
                    </w:p>
                  </w:txbxContent>
                </v:textbox>
              </v:shape>
            </w:pict>
          </mc:Fallback>
        </mc:AlternateContent>
      </w:r>
      <w:r>
        <w:rPr>
          <w:rFonts w:ascii="Book Antiqua" w:hAnsi="Book Antiqua" w:cs="Times New Roman"/>
          <w:noProof/>
          <w:sz w:val="24"/>
          <w:szCs w:val="24"/>
          <w:lang w:val="en-US" w:eastAsia="zh-CN"/>
        </w:rPr>
        <w:drawing>
          <wp:inline distT="0" distB="0" distL="0" distR="0">
            <wp:extent cx="5354955" cy="3225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4955" cy="3225800"/>
                    </a:xfrm>
                    <a:prstGeom prst="rect">
                      <a:avLst/>
                    </a:prstGeom>
                    <a:noFill/>
                    <a:ln>
                      <a:noFill/>
                    </a:ln>
                  </pic:spPr>
                </pic:pic>
              </a:graphicData>
            </a:graphic>
          </wp:inline>
        </w:drawing>
      </w:r>
    </w:p>
    <w:p w:rsidR="00773F51" w:rsidRPr="00613E70" w:rsidRDefault="00773F51" w:rsidP="00CF4A41">
      <w:pPr>
        <w:tabs>
          <w:tab w:val="left" w:pos="945"/>
        </w:tabs>
        <w:spacing w:after="0" w:line="360" w:lineRule="auto"/>
        <w:jc w:val="both"/>
        <w:rPr>
          <w:rFonts w:ascii="Book Antiqua" w:hAnsi="Book Antiqua" w:cs="Times New Roman"/>
          <w:sz w:val="24"/>
          <w:szCs w:val="24"/>
          <w:lang w:val="en-US"/>
        </w:rPr>
      </w:pPr>
    </w:p>
    <w:p w:rsidR="00C56CA5" w:rsidRPr="00613E70" w:rsidRDefault="00773F51" w:rsidP="00CF4A41">
      <w:pPr>
        <w:spacing w:after="0" w:line="360" w:lineRule="auto"/>
        <w:jc w:val="both"/>
        <w:rPr>
          <w:rFonts w:ascii="Book Antiqua" w:hAnsi="Book Antiqua" w:cs="Times New Roman"/>
          <w:b/>
          <w:sz w:val="24"/>
          <w:szCs w:val="24"/>
          <w:lang w:val="en-US"/>
        </w:rPr>
      </w:pPr>
      <w:r>
        <w:rPr>
          <w:rFonts w:ascii="Book Antiqua" w:hAnsi="Book Antiqua" w:cs="Times New Roman"/>
          <w:b/>
          <w:sz w:val="24"/>
          <w:szCs w:val="24"/>
          <w:lang w:val="en-US"/>
        </w:rPr>
        <w:br w:type="page"/>
      </w:r>
      <w:r w:rsidR="00C56CA5" w:rsidRPr="00613E70">
        <w:rPr>
          <w:rFonts w:ascii="Book Antiqua" w:hAnsi="Book Antiqua" w:cs="Times New Roman"/>
          <w:b/>
          <w:sz w:val="24"/>
          <w:szCs w:val="24"/>
          <w:lang w:val="en-US"/>
        </w:rPr>
        <w:lastRenderedPageBreak/>
        <w:t xml:space="preserve">Table </w:t>
      </w:r>
      <w:r w:rsidR="00C56CA5" w:rsidRPr="00613E70">
        <w:rPr>
          <w:rFonts w:ascii="Book Antiqua" w:hAnsi="Book Antiqua" w:cs="Times New Roman"/>
          <w:b/>
          <w:sz w:val="24"/>
          <w:szCs w:val="24"/>
          <w:lang w:val="en-US"/>
        </w:rPr>
        <w:fldChar w:fldCharType="begin"/>
      </w:r>
      <w:r w:rsidR="00C56CA5" w:rsidRPr="00613E70">
        <w:rPr>
          <w:rFonts w:ascii="Book Antiqua" w:hAnsi="Book Antiqua" w:cs="Times New Roman"/>
          <w:b/>
          <w:sz w:val="24"/>
          <w:szCs w:val="24"/>
          <w:lang w:val="en-US"/>
        </w:rPr>
        <w:instrText xml:space="preserve"> SEQ Table \* ARABIC </w:instrText>
      </w:r>
      <w:r w:rsidR="00C56CA5" w:rsidRPr="00613E70">
        <w:rPr>
          <w:rFonts w:ascii="Book Antiqua" w:hAnsi="Book Antiqua" w:cs="Times New Roman"/>
          <w:b/>
          <w:sz w:val="24"/>
          <w:szCs w:val="24"/>
          <w:lang w:val="en-US"/>
        </w:rPr>
        <w:fldChar w:fldCharType="separate"/>
      </w:r>
      <w:r w:rsidR="00C56CA5">
        <w:rPr>
          <w:rFonts w:ascii="Book Antiqua" w:hAnsi="Book Antiqua" w:cs="Times New Roman"/>
          <w:b/>
          <w:noProof/>
          <w:sz w:val="24"/>
          <w:szCs w:val="24"/>
          <w:lang w:val="en-US"/>
        </w:rPr>
        <w:t>1</w:t>
      </w:r>
      <w:r w:rsidR="00C56CA5" w:rsidRPr="00613E70">
        <w:rPr>
          <w:rFonts w:ascii="Book Antiqua" w:hAnsi="Book Antiqua" w:cs="Times New Roman"/>
          <w:b/>
          <w:sz w:val="24"/>
          <w:szCs w:val="24"/>
          <w:lang w:val="en-US"/>
        </w:rPr>
        <w:fldChar w:fldCharType="end"/>
      </w:r>
      <w:r w:rsidR="0002253E">
        <w:rPr>
          <w:rFonts w:ascii="Book Antiqua" w:hAnsi="Book Antiqua" w:cs="Times New Roman" w:hint="eastAsia"/>
          <w:b/>
          <w:sz w:val="24"/>
          <w:szCs w:val="24"/>
          <w:lang w:val="en-US" w:eastAsia="zh-CN"/>
        </w:rPr>
        <w:t xml:space="preserve"> </w:t>
      </w:r>
      <w:r w:rsidR="00C56CA5" w:rsidRPr="00613E70">
        <w:rPr>
          <w:rFonts w:ascii="Book Antiqua" w:hAnsi="Book Antiqua" w:cs="Times New Roman"/>
          <w:b/>
          <w:sz w:val="24"/>
          <w:szCs w:val="24"/>
          <w:lang w:val="en-US"/>
        </w:rPr>
        <w:t>Influence of patient characteristics on SUV</w:t>
      </w:r>
      <w:r w:rsidR="00C56CA5" w:rsidRPr="0002253E">
        <w:rPr>
          <w:rFonts w:ascii="Book Antiqua" w:hAnsi="Book Antiqua" w:cs="Times New Roman"/>
          <w:b/>
          <w:sz w:val="24"/>
          <w:szCs w:val="24"/>
          <w:vertAlign w:val="subscript"/>
          <w:lang w:val="en-US"/>
        </w:rPr>
        <w:t>max</w:t>
      </w:r>
      <w:r w:rsidR="00C56CA5" w:rsidRPr="00613E70">
        <w:rPr>
          <w:rFonts w:ascii="Book Antiqua" w:hAnsi="Book Antiqua" w:cs="Times New Roman"/>
          <w:b/>
          <w:sz w:val="24"/>
          <w:szCs w:val="24"/>
          <w:lang w:val="en-US"/>
        </w:rPr>
        <w:t xml:space="preserve"> and survival </w:t>
      </w:r>
    </w:p>
    <w:tbl>
      <w:tblPr>
        <w:tblW w:w="9039" w:type="dxa"/>
        <w:tblBorders>
          <w:top w:val="single" w:sz="4" w:space="0" w:color="auto"/>
          <w:bottom w:val="single" w:sz="4" w:space="0" w:color="auto"/>
        </w:tblBorders>
        <w:tblLook w:val="00A0" w:firstRow="1" w:lastRow="0" w:firstColumn="1" w:lastColumn="0" w:noHBand="0" w:noVBand="0"/>
      </w:tblPr>
      <w:tblGrid>
        <w:gridCol w:w="3794"/>
        <w:gridCol w:w="2410"/>
        <w:gridCol w:w="2835"/>
      </w:tblGrid>
      <w:tr w:rsidR="00C56CA5" w:rsidRPr="00FE7B63" w:rsidTr="0002253E">
        <w:tc>
          <w:tcPr>
            <w:tcW w:w="3794" w:type="dxa"/>
            <w:tcBorders>
              <w:top w:val="single" w:sz="4" w:space="0" w:color="auto"/>
              <w:bottom w:val="single" w:sz="4" w:space="0" w:color="auto"/>
            </w:tcBorders>
          </w:tcPr>
          <w:p w:rsidR="00C56CA5" w:rsidRPr="00FE7B63" w:rsidRDefault="00C56CA5" w:rsidP="00CF4A41">
            <w:pPr>
              <w:spacing w:after="0" w:line="360" w:lineRule="auto"/>
              <w:jc w:val="both"/>
              <w:rPr>
                <w:rFonts w:ascii="Book Antiqua" w:hAnsi="Book Antiqua" w:cs="Times New Roman"/>
                <w:b/>
                <w:sz w:val="24"/>
                <w:szCs w:val="24"/>
                <w:lang w:val="en-US"/>
              </w:rPr>
            </w:pPr>
            <w:r w:rsidRPr="00FE7B63">
              <w:rPr>
                <w:rFonts w:ascii="Book Antiqua" w:hAnsi="Book Antiqua" w:cs="Times New Roman"/>
                <w:b/>
                <w:sz w:val="24"/>
                <w:szCs w:val="24"/>
                <w:lang w:val="en-US"/>
              </w:rPr>
              <w:t>Factor</w:t>
            </w:r>
          </w:p>
        </w:tc>
        <w:tc>
          <w:tcPr>
            <w:tcW w:w="2410" w:type="dxa"/>
            <w:tcBorders>
              <w:top w:val="single" w:sz="4" w:space="0" w:color="auto"/>
              <w:bottom w:val="single" w:sz="4" w:space="0" w:color="auto"/>
            </w:tcBorders>
          </w:tcPr>
          <w:p w:rsidR="00C56CA5" w:rsidRPr="00FE7B63" w:rsidRDefault="00C56CA5" w:rsidP="00CF4A41">
            <w:pPr>
              <w:spacing w:after="0" w:line="360" w:lineRule="auto"/>
              <w:jc w:val="both"/>
              <w:rPr>
                <w:rFonts w:ascii="Book Antiqua" w:hAnsi="Book Antiqua" w:cs="Times New Roman"/>
                <w:b/>
                <w:sz w:val="24"/>
                <w:szCs w:val="24"/>
                <w:lang w:val="en-US"/>
              </w:rPr>
            </w:pPr>
            <w:r w:rsidRPr="00FE7B63">
              <w:rPr>
                <w:rFonts w:ascii="Book Antiqua" w:hAnsi="Book Antiqua" w:cs="Times New Roman"/>
                <w:b/>
                <w:sz w:val="24"/>
                <w:szCs w:val="24"/>
                <w:lang w:val="en-US"/>
              </w:rPr>
              <w:t>Mean SUV</w:t>
            </w:r>
            <w:r w:rsidRPr="0002253E">
              <w:rPr>
                <w:rFonts w:ascii="Book Antiqua" w:hAnsi="Book Antiqua" w:cs="Times New Roman"/>
                <w:b/>
                <w:sz w:val="24"/>
                <w:szCs w:val="24"/>
                <w:vertAlign w:val="subscript"/>
                <w:lang w:val="en-US"/>
              </w:rPr>
              <w:t>max</w:t>
            </w:r>
            <w:r w:rsidRPr="00FE7B63">
              <w:rPr>
                <w:rFonts w:ascii="Book Antiqua" w:hAnsi="Book Antiqua" w:cs="Times New Roman"/>
                <w:b/>
                <w:sz w:val="24"/>
                <w:szCs w:val="24"/>
                <w:lang w:val="en-US"/>
              </w:rPr>
              <w:t xml:space="preserve"> (95% CI)</w:t>
            </w:r>
          </w:p>
        </w:tc>
        <w:tc>
          <w:tcPr>
            <w:tcW w:w="2835" w:type="dxa"/>
            <w:tcBorders>
              <w:top w:val="single" w:sz="4" w:space="0" w:color="auto"/>
              <w:bottom w:val="single" w:sz="4" w:space="0" w:color="auto"/>
            </w:tcBorders>
          </w:tcPr>
          <w:p w:rsidR="00C56CA5" w:rsidRPr="00FE7B63" w:rsidRDefault="00C56CA5" w:rsidP="00A971B0">
            <w:pPr>
              <w:spacing w:after="0" w:line="360" w:lineRule="auto"/>
              <w:jc w:val="both"/>
              <w:rPr>
                <w:rFonts w:ascii="Book Antiqua" w:hAnsi="Book Antiqua" w:cs="Times New Roman"/>
                <w:b/>
                <w:sz w:val="24"/>
                <w:szCs w:val="24"/>
                <w:lang w:val="en-US"/>
              </w:rPr>
            </w:pPr>
            <w:r w:rsidRPr="00FE7B63">
              <w:rPr>
                <w:rFonts w:ascii="Book Antiqua" w:hAnsi="Book Antiqua" w:cs="Times New Roman"/>
                <w:b/>
                <w:sz w:val="24"/>
                <w:szCs w:val="24"/>
                <w:lang w:val="en-US"/>
              </w:rPr>
              <w:t>Median survival in days (95%CI)</w:t>
            </w:r>
          </w:p>
        </w:tc>
      </w:tr>
      <w:tr w:rsidR="00C56CA5" w:rsidRPr="00FE7B63" w:rsidTr="0002253E">
        <w:tc>
          <w:tcPr>
            <w:tcW w:w="3794" w:type="dxa"/>
            <w:tcBorders>
              <w:top w:val="single" w:sz="4" w:space="0" w:color="auto"/>
            </w:tcBorders>
          </w:tcPr>
          <w:p w:rsidR="00C56CA5" w:rsidRPr="0002253E" w:rsidRDefault="00C56CA5"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sz w:val="24"/>
                <w:szCs w:val="24"/>
                <w:lang w:val="en-US"/>
              </w:rPr>
              <w:t>Sex</w:t>
            </w:r>
          </w:p>
          <w:p w:rsidR="00C56CA5" w:rsidRPr="00FE7B63" w:rsidRDefault="00C56CA5" w:rsidP="00CF4A41">
            <w:pPr>
              <w:spacing w:after="0" w:line="36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 xml:space="preserve">   Male (</w:t>
            </w:r>
            <w:r w:rsidRPr="0002253E">
              <w:rPr>
                <w:rFonts w:ascii="Book Antiqua" w:hAnsi="Book Antiqua" w:cs="Times New Roman"/>
                <w:i/>
                <w:sz w:val="24"/>
                <w:szCs w:val="24"/>
                <w:lang w:val="en-US"/>
              </w:rPr>
              <w:t>n</w:t>
            </w:r>
            <w:r w:rsidR="0002253E">
              <w:rPr>
                <w:rFonts w:ascii="Book Antiqua" w:hAnsi="Book Antiqua" w:cs="Times New Roman" w:hint="eastAsia"/>
                <w:sz w:val="24"/>
                <w:szCs w:val="24"/>
                <w:lang w:val="en-US" w:eastAsia="zh-CN"/>
              </w:rPr>
              <w:t xml:space="preserve"> </w:t>
            </w:r>
            <w:r w:rsidRPr="00FE7B63">
              <w:rPr>
                <w:rFonts w:ascii="Book Antiqua" w:hAnsi="Book Antiqua" w:cs="Times New Roman"/>
                <w:sz w:val="24"/>
                <w:szCs w:val="24"/>
                <w:lang w:val="en-US"/>
              </w:rPr>
              <w:t>=</w:t>
            </w:r>
            <w:r w:rsidR="0002253E">
              <w:rPr>
                <w:rFonts w:ascii="Book Antiqua" w:hAnsi="Book Antiqua" w:cs="Times New Roman" w:hint="eastAsia"/>
                <w:sz w:val="24"/>
                <w:szCs w:val="24"/>
                <w:lang w:val="en-US" w:eastAsia="zh-CN"/>
              </w:rPr>
              <w:t xml:space="preserve"> </w:t>
            </w:r>
            <w:r w:rsidRPr="00FE7B63">
              <w:rPr>
                <w:rFonts w:ascii="Book Antiqua" w:hAnsi="Book Antiqua" w:cs="Times New Roman"/>
                <w:sz w:val="24"/>
                <w:szCs w:val="24"/>
                <w:lang w:val="en-US"/>
              </w:rPr>
              <w:t>191)</w:t>
            </w:r>
          </w:p>
          <w:p w:rsidR="00C56CA5" w:rsidRPr="00FE7B63" w:rsidRDefault="00C56CA5" w:rsidP="00CF4A41">
            <w:pPr>
              <w:spacing w:after="0" w:line="36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 xml:space="preserve">   Female (</w:t>
            </w:r>
            <w:r w:rsidRPr="0002253E">
              <w:rPr>
                <w:rFonts w:ascii="Book Antiqua" w:hAnsi="Book Antiqua" w:cs="Times New Roman"/>
                <w:i/>
                <w:sz w:val="24"/>
                <w:szCs w:val="24"/>
                <w:lang w:val="en-US"/>
              </w:rPr>
              <w:t>n</w:t>
            </w:r>
            <w:r w:rsidR="0002253E">
              <w:rPr>
                <w:rFonts w:ascii="Book Antiqua" w:hAnsi="Book Antiqua" w:cs="Times New Roman" w:hint="eastAsia"/>
                <w:sz w:val="24"/>
                <w:szCs w:val="24"/>
                <w:lang w:val="en-US" w:eastAsia="zh-CN"/>
              </w:rPr>
              <w:t xml:space="preserve"> </w:t>
            </w:r>
            <w:r w:rsidRPr="00FE7B63">
              <w:rPr>
                <w:rFonts w:ascii="Book Antiqua" w:hAnsi="Book Antiqua" w:cs="Times New Roman"/>
                <w:sz w:val="24"/>
                <w:szCs w:val="24"/>
                <w:lang w:val="en-US"/>
              </w:rPr>
              <w:t>=</w:t>
            </w:r>
            <w:r w:rsidR="0002253E">
              <w:rPr>
                <w:rFonts w:ascii="Book Antiqua" w:hAnsi="Book Antiqua" w:cs="Times New Roman" w:hint="eastAsia"/>
                <w:sz w:val="24"/>
                <w:szCs w:val="24"/>
                <w:lang w:val="en-US" w:eastAsia="zh-CN"/>
              </w:rPr>
              <w:t xml:space="preserve"> </w:t>
            </w:r>
            <w:r w:rsidRPr="00FE7B63">
              <w:rPr>
                <w:rFonts w:ascii="Book Antiqua" w:hAnsi="Book Antiqua" w:cs="Times New Roman"/>
                <w:sz w:val="24"/>
                <w:szCs w:val="24"/>
                <w:lang w:val="en-US"/>
              </w:rPr>
              <w:t>80)</w:t>
            </w:r>
          </w:p>
        </w:tc>
        <w:tc>
          <w:tcPr>
            <w:tcW w:w="2410" w:type="dxa"/>
            <w:tcBorders>
              <w:top w:val="single" w:sz="4" w:space="0" w:color="auto"/>
            </w:tcBorders>
          </w:tcPr>
          <w:p w:rsidR="00C56CA5" w:rsidRPr="00FE7B63" w:rsidRDefault="00C56CA5" w:rsidP="00CF4A41">
            <w:pPr>
              <w:spacing w:after="0" w:line="360" w:lineRule="auto"/>
              <w:jc w:val="both"/>
              <w:rPr>
                <w:rFonts w:ascii="Book Antiqua" w:hAnsi="Book Antiqua" w:cs="Times New Roman"/>
                <w:sz w:val="24"/>
                <w:szCs w:val="24"/>
                <w:lang w:val="en-US"/>
              </w:rPr>
            </w:pPr>
          </w:p>
          <w:p w:rsidR="00C56CA5" w:rsidRPr="00FE7B63" w:rsidRDefault="00C56CA5" w:rsidP="00CF4A41">
            <w:pPr>
              <w:spacing w:after="0" w:line="36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11.4 (10.5, 12.3)</w:t>
            </w:r>
          </w:p>
          <w:p w:rsidR="00C56CA5" w:rsidRPr="00FE7B63" w:rsidRDefault="00C56CA5" w:rsidP="00CF4A41">
            <w:pPr>
              <w:spacing w:after="0" w:line="36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12.1 (10.2, 14.0)</w:t>
            </w:r>
          </w:p>
          <w:p w:rsidR="00C56CA5" w:rsidRPr="00FE7B63" w:rsidRDefault="0002253E" w:rsidP="00CF4A41">
            <w:pPr>
              <w:spacing w:after="0" w:line="360" w:lineRule="auto"/>
              <w:jc w:val="both"/>
              <w:rPr>
                <w:rFonts w:ascii="Book Antiqua" w:hAnsi="Book Antiqua" w:cs="Times New Roman"/>
                <w:i/>
                <w:sz w:val="24"/>
                <w:szCs w:val="24"/>
                <w:lang w:val="en-US"/>
              </w:rPr>
            </w:pPr>
            <w:r w:rsidRPr="0002253E">
              <w:rPr>
                <w:rFonts w:ascii="Book Antiqua" w:hAnsi="Book Antiqua" w:cs="Times New Roman"/>
                <w:i/>
                <w:sz w:val="24"/>
                <w:szCs w:val="24"/>
                <w:lang w:val="en-US"/>
              </w:rPr>
              <w:t>P</w:t>
            </w:r>
            <w:r w:rsidRPr="00FE7B63">
              <w:rPr>
                <w:rFonts w:ascii="Book Antiqua" w:hAnsi="Book Antiqua" w:cs="Times New Roman"/>
                <w:i/>
                <w:sz w:val="24"/>
                <w:szCs w:val="24"/>
                <w:lang w:val="en-US"/>
              </w:rPr>
              <w:t xml:space="preserve"> </w:t>
            </w:r>
            <w:r w:rsidR="00C56CA5" w:rsidRPr="00FE7B63">
              <w:rPr>
                <w:rFonts w:ascii="Book Antiqua" w:hAnsi="Book Antiqua" w:cs="Times New Roman"/>
                <w:i/>
                <w:sz w:val="24"/>
                <w:szCs w:val="24"/>
                <w:lang w:val="en-US"/>
              </w:rPr>
              <w:t>=</w:t>
            </w:r>
            <w:r>
              <w:rPr>
                <w:rFonts w:ascii="Book Antiqua" w:hAnsi="Book Antiqua" w:cs="Times New Roman" w:hint="eastAsia"/>
                <w:i/>
                <w:sz w:val="24"/>
                <w:szCs w:val="24"/>
                <w:lang w:val="en-US" w:eastAsia="zh-CN"/>
              </w:rPr>
              <w:t xml:space="preserve"> </w:t>
            </w:r>
            <w:r w:rsidR="00C56CA5" w:rsidRPr="0002253E">
              <w:rPr>
                <w:rFonts w:ascii="Book Antiqua" w:hAnsi="Book Antiqua" w:cs="Times New Roman"/>
                <w:sz w:val="24"/>
                <w:szCs w:val="24"/>
                <w:lang w:val="en-US"/>
              </w:rPr>
              <w:t>0.95</w:t>
            </w:r>
          </w:p>
        </w:tc>
        <w:tc>
          <w:tcPr>
            <w:tcW w:w="2835" w:type="dxa"/>
            <w:tcBorders>
              <w:top w:val="single" w:sz="4" w:space="0" w:color="auto"/>
            </w:tcBorders>
          </w:tcPr>
          <w:p w:rsidR="00C56CA5" w:rsidRPr="00FE7B63" w:rsidRDefault="00C56CA5" w:rsidP="00CF4A41">
            <w:pPr>
              <w:spacing w:after="0" w:line="360" w:lineRule="auto"/>
              <w:jc w:val="both"/>
              <w:rPr>
                <w:rFonts w:ascii="Book Antiqua" w:hAnsi="Book Antiqua" w:cs="Times New Roman"/>
                <w:sz w:val="24"/>
                <w:szCs w:val="24"/>
                <w:lang w:val="en-US"/>
              </w:rPr>
            </w:pPr>
          </w:p>
          <w:p w:rsidR="00C56CA5" w:rsidRPr="00FE7B63" w:rsidRDefault="00C56CA5" w:rsidP="00CF4A41">
            <w:pPr>
              <w:spacing w:after="0" w:line="36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566 (491,641)</w:t>
            </w:r>
          </w:p>
          <w:p w:rsidR="00C56CA5" w:rsidRPr="00FE7B63" w:rsidRDefault="00C56CA5" w:rsidP="00CF4A41">
            <w:pPr>
              <w:spacing w:after="0" w:line="36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884 (403,1364)</w:t>
            </w:r>
          </w:p>
          <w:p w:rsidR="00C56CA5" w:rsidRPr="00FE7B63" w:rsidRDefault="0002253E" w:rsidP="00CF4A41">
            <w:pPr>
              <w:spacing w:after="0" w:line="360" w:lineRule="auto"/>
              <w:jc w:val="both"/>
              <w:rPr>
                <w:rFonts w:ascii="Book Antiqua" w:hAnsi="Book Antiqua" w:cs="Times New Roman"/>
                <w:i/>
                <w:sz w:val="24"/>
                <w:szCs w:val="24"/>
                <w:lang w:val="en-US"/>
              </w:rPr>
            </w:pPr>
            <w:r w:rsidRPr="0002253E">
              <w:rPr>
                <w:rFonts w:ascii="Book Antiqua" w:hAnsi="Book Antiqua" w:cs="Times New Roman"/>
                <w:i/>
                <w:sz w:val="24"/>
                <w:szCs w:val="24"/>
                <w:lang w:val="en-US"/>
              </w:rPr>
              <w:t>P</w:t>
            </w:r>
            <w:r>
              <w:rPr>
                <w:rFonts w:ascii="Book Antiqua" w:hAnsi="Book Antiqua" w:cs="Times New Roman" w:hint="eastAsia"/>
                <w:i/>
                <w:sz w:val="24"/>
                <w:szCs w:val="24"/>
                <w:lang w:val="en-US" w:eastAsia="zh-CN"/>
              </w:rPr>
              <w:t xml:space="preserve"> </w:t>
            </w:r>
            <w:r w:rsidR="00C56CA5" w:rsidRPr="00FE7B63">
              <w:rPr>
                <w:rFonts w:ascii="Book Antiqua" w:hAnsi="Book Antiqua" w:cs="Times New Roman"/>
                <w:i/>
                <w:sz w:val="24"/>
                <w:szCs w:val="24"/>
                <w:lang w:val="en-US"/>
              </w:rPr>
              <w:t>=</w:t>
            </w:r>
            <w:r>
              <w:rPr>
                <w:rFonts w:ascii="Book Antiqua" w:hAnsi="Book Antiqua" w:cs="Times New Roman" w:hint="eastAsia"/>
                <w:i/>
                <w:sz w:val="24"/>
                <w:szCs w:val="24"/>
                <w:lang w:val="en-US" w:eastAsia="zh-CN"/>
              </w:rPr>
              <w:t xml:space="preserve"> </w:t>
            </w:r>
            <w:r w:rsidR="00C56CA5" w:rsidRPr="0002253E">
              <w:rPr>
                <w:rFonts w:ascii="Book Antiqua" w:hAnsi="Book Antiqua" w:cs="Times New Roman"/>
                <w:sz w:val="24"/>
                <w:szCs w:val="24"/>
                <w:lang w:val="en-US"/>
              </w:rPr>
              <w:t>0.05</w:t>
            </w:r>
          </w:p>
        </w:tc>
      </w:tr>
      <w:tr w:rsidR="00C56CA5" w:rsidRPr="00FE7B63" w:rsidTr="0002253E">
        <w:tc>
          <w:tcPr>
            <w:tcW w:w="3794" w:type="dxa"/>
          </w:tcPr>
          <w:p w:rsidR="00C56CA5" w:rsidRPr="0002253E" w:rsidRDefault="00C56CA5"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sz w:val="24"/>
                <w:szCs w:val="24"/>
                <w:lang w:val="en-US"/>
              </w:rPr>
              <w:t>Age in years</w:t>
            </w:r>
          </w:p>
          <w:p w:rsidR="00C56CA5" w:rsidRPr="00FE7B63" w:rsidRDefault="00C56CA5" w:rsidP="00CF4A41">
            <w:pPr>
              <w:spacing w:after="0" w:line="36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 xml:space="preserve">   Age </w:t>
            </w:r>
            <w:r w:rsidR="0002253E">
              <w:rPr>
                <w:rFonts w:ascii="Book Antiqua" w:hAnsi="Book Antiqua" w:cs="Times New Roman"/>
                <w:sz w:val="24"/>
                <w:szCs w:val="24"/>
                <w:lang w:val="en-US"/>
              </w:rPr>
              <w:sym w:font="Symbol" w:char="F0A3"/>
            </w:r>
            <w:r w:rsidR="0002253E">
              <w:rPr>
                <w:rFonts w:ascii="Book Antiqua" w:hAnsi="Book Antiqua" w:cs="Times New Roman" w:hint="eastAsia"/>
                <w:sz w:val="24"/>
                <w:szCs w:val="24"/>
                <w:lang w:val="en-US" w:eastAsia="zh-CN"/>
              </w:rPr>
              <w:t xml:space="preserve"> </w:t>
            </w:r>
            <w:r w:rsidRPr="00FE7B63">
              <w:rPr>
                <w:rFonts w:ascii="Book Antiqua" w:hAnsi="Book Antiqua" w:cs="Times New Roman"/>
                <w:sz w:val="24"/>
                <w:szCs w:val="24"/>
                <w:lang w:val="en-US"/>
              </w:rPr>
              <w:t>65 (</w:t>
            </w:r>
            <w:r w:rsidR="0002253E" w:rsidRPr="0002253E">
              <w:rPr>
                <w:rFonts w:ascii="Book Antiqua" w:hAnsi="Book Antiqua" w:cs="Times New Roman"/>
                <w:i/>
                <w:sz w:val="24"/>
                <w:szCs w:val="24"/>
                <w:lang w:val="en-US"/>
              </w:rPr>
              <w:t>n</w:t>
            </w:r>
            <w:r w:rsidR="0002253E" w:rsidRPr="0002253E">
              <w:rPr>
                <w:rFonts w:ascii="Book Antiqua" w:hAnsi="Book Antiqua" w:cs="Times New Roman" w:hint="eastAsia"/>
                <w:i/>
                <w:sz w:val="24"/>
                <w:szCs w:val="24"/>
                <w:lang w:val="en-US" w:eastAsia="zh-CN"/>
              </w:rPr>
              <w:t xml:space="preserve"> </w:t>
            </w:r>
            <w:r w:rsidRPr="00FE7B63">
              <w:rPr>
                <w:rFonts w:ascii="Book Antiqua" w:hAnsi="Book Antiqua" w:cs="Times New Roman"/>
                <w:sz w:val="24"/>
                <w:szCs w:val="24"/>
                <w:lang w:val="en-US"/>
              </w:rPr>
              <w:t>=</w:t>
            </w:r>
            <w:r w:rsidR="0002253E">
              <w:rPr>
                <w:rFonts w:ascii="Book Antiqua" w:hAnsi="Book Antiqua" w:cs="Times New Roman" w:hint="eastAsia"/>
                <w:sz w:val="24"/>
                <w:szCs w:val="24"/>
                <w:lang w:val="en-US" w:eastAsia="zh-CN"/>
              </w:rPr>
              <w:t xml:space="preserve"> </w:t>
            </w:r>
            <w:r w:rsidRPr="00FE7B63">
              <w:rPr>
                <w:rFonts w:ascii="Book Antiqua" w:hAnsi="Book Antiqua" w:cs="Times New Roman"/>
                <w:sz w:val="24"/>
                <w:szCs w:val="24"/>
                <w:lang w:val="en-US"/>
              </w:rPr>
              <w:t>136)</w:t>
            </w:r>
          </w:p>
          <w:p w:rsidR="00C56CA5" w:rsidRPr="00FE7B63" w:rsidRDefault="00C56CA5" w:rsidP="00CF4A41">
            <w:pPr>
              <w:spacing w:after="0" w:line="36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 xml:space="preserve">   Age </w:t>
            </w:r>
            <w:r w:rsidR="0002253E">
              <w:rPr>
                <w:rFonts w:ascii="Book Antiqua" w:hAnsi="Book Antiqua" w:cs="Times New Roman"/>
                <w:sz w:val="24"/>
                <w:szCs w:val="24"/>
                <w:lang w:val="en-US"/>
              </w:rPr>
              <w:sym w:font="Symbol" w:char="F03E"/>
            </w:r>
            <w:r w:rsidR="0002253E">
              <w:rPr>
                <w:rFonts w:ascii="Book Antiqua" w:hAnsi="Book Antiqua" w:cs="Times New Roman" w:hint="eastAsia"/>
                <w:sz w:val="24"/>
                <w:szCs w:val="24"/>
                <w:lang w:val="en-US" w:eastAsia="zh-CN"/>
              </w:rPr>
              <w:t xml:space="preserve"> </w:t>
            </w:r>
            <w:r w:rsidRPr="00FE7B63">
              <w:rPr>
                <w:rFonts w:ascii="Book Antiqua" w:hAnsi="Book Antiqua" w:cs="Times New Roman"/>
                <w:sz w:val="24"/>
                <w:szCs w:val="24"/>
                <w:lang w:val="en-US"/>
              </w:rPr>
              <w:t>65 (</w:t>
            </w:r>
            <w:r w:rsidR="0002253E" w:rsidRPr="0002253E">
              <w:rPr>
                <w:rFonts w:ascii="Book Antiqua" w:hAnsi="Book Antiqua" w:cs="Times New Roman"/>
                <w:i/>
                <w:sz w:val="24"/>
                <w:szCs w:val="24"/>
                <w:lang w:val="en-US"/>
              </w:rPr>
              <w:t>n</w:t>
            </w:r>
            <w:r w:rsidR="0002253E" w:rsidRPr="0002253E">
              <w:rPr>
                <w:rFonts w:ascii="Book Antiqua" w:hAnsi="Book Antiqua" w:cs="Times New Roman" w:hint="eastAsia"/>
                <w:i/>
                <w:sz w:val="24"/>
                <w:szCs w:val="24"/>
                <w:lang w:val="en-US" w:eastAsia="zh-CN"/>
              </w:rPr>
              <w:t xml:space="preserve"> </w:t>
            </w:r>
            <w:r w:rsidRPr="00FE7B63">
              <w:rPr>
                <w:rFonts w:ascii="Book Antiqua" w:hAnsi="Book Antiqua" w:cs="Times New Roman"/>
                <w:sz w:val="24"/>
                <w:szCs w:val="24"/>
                <w:lang w:val="en-US"/>
              </w:rPr>
              <w:t>=</w:t>
            </w:r>
            <w:r w:rsidR="0002253E">
              <w:rPr>
                <w:rFonts w:ascii="Book Antiqua" w:hAnsi="Book Antiqua" w:cs="Times New Roman" w:hint="eastAsia"/>
                <w:sz w:val="24"/>
                <w:szCs w:val="24"/>
                <w:lang w:val="en-US" w:eastAsia="zh-CN"/>
              </w:rPr>
              <w:t xml:space="preserve"> </w:t>
            </w:r>
            <w:r w:rsidRPr="00FE7B63">
              <w:rPr>
                <w:rFonts w:ascii="Book Antiqua" w:hAnsi="Book Antiqua" w:cs="Times New Roman"/>
                <w:sz w:val="24"/>
                <w:szCs w:val="24"/>
                <w:lang w:val="en-US"/>
              </w:rPr>
              <w:t>135)</w:t>
            </w:r>
          </w:p>
        </w:tc>
        <w:tc>
          <w:tcPr>
            <w:tcW w:w="2410" w:type="dxa"/>
          </w:tcPr>
          <w:p w:rsidR="00C56CA5" w:rsidRPr="00FE7B63" w:rsidRDefault="00C56CA5" w:rsidP="00CF4A41">
            <w:pPr>
              <w:spacing w:after="0" w:line="360" w:lineRule="auto"/>
              <w:jc w:val="both"/>
              <w:rPr>
                <w:rFonts w:ascii="Book Antiqua" w:hAnsi="Book Antiqua" w:cs="Times New Roman"/>
                <w:sz w:val="24"/>
                <w:szCs w:val="24"/>
                <w:lang w:val="en-US"/>
              </w:rPr>
            </w:pPr>
          </w:p>
          <w:p w:rsidR="00C56CA5" w:rsidRPr="00FE7B63" w:rsidRDefault="00C56CA5" w:rsidP="00CF4A41">
            <w:pPr>
              <w:spacing w:after="0" w:line="36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11.5 (10.5, 12.5)</w:t>
            </w:r>
          </w:p>
          <w:p w:rsidR="00C56CA5" w:rsidRPr="00FE7B63" w:rsidRDefault="00C56CA5" w:rsidP="00CF4A41">
            <w:pPr>
              <w:spacing w:after="0" w:line="36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11.7 (10.4, 13.1)</w:t>
            </w:r>
          </w:p>
          <w:p w:rsidR="00C56CA5" w:rsidRPr="00FE7B63" w:rsidRDefault="0002253E" w:rsidP="00CF4A41">
            <w:pPr>
              <w:spacing w:after="0" w:line="360" w:lineRule="auto"/>
              <w:jc w:val="both"/>
              <w:rPr>
                <w:rFonts w:ascii="Book Antiqua" w:hAnsi="Book Antiqua" w:cs="Times New Roman"/>
                <w:i/>
                <w:sz w:val="24"/>
                <w:szCs w:val="24"/>
                <w:lang w:val="en-US"/>
              </w:rPr>
            </w:pPr>
            <w:r w:rsidRPr="0002253E">
              <w:rPr>
                <w:rFonts w:ascii="Book Antiqua" w:hAnsi="Book Antiqua" w:cs="Times New Roman"/>
                <w:i/>
                <w:sz w:val="24"/>
                <w:szCs w:val="24"/>
                <w:lang w:val="en-US"/>
              </w:rPr>
              <w:t>P</w:t>
            </w:r>
            <w:r w:rsidRPr="00FE7B63">
              <w:rPr>
                <w:rFonts w:ascii="Book Antiqua" w:hAnsi="Book Antiqua" w:cs="Times New Roman"/>
                <w:i/>
                <w:sz w:val="24"/>
                <w:szCs w:val="24"/>
                <w:lang w:val="en-US"/>
              </w:rPr>
              <w:t xml:space="preserve"> </w:t>
            </w:r>
            <w:r w:rsidR="00C56CA5" w:rsidRPr="00FE7B63">
              <w:rPr>
                <w:rFonts w:ascii="Book Antiqua" w:hAnsi="Book Antiqua" w:cs="Times New Roman"/>
                <w:i/>
                <w:sz w:val="24"/>
                <w:szCs w:val="24"/>
                <w:lang w:val="en-US"/>
              </w:rPr>
              <w:t>=</w:t>
            </w:r>
            <w:r>
              <w:rPr>
                <w:rFonts w:ascii="Book Antiqua" w:hAnsi="Book Antiqua" w:cs="Times New Roman" w:hint="eastAsia"/>
                <w:i/>
                <w:sz w:val="24"/>
                <w:szCs w:val="24"/>
                <w:lang w:val="en-US" w:eastAsia="zh-CN"/>
              </w:rPr>
              <w:t xml:space="preserve"> </w:t>
            </w:r>
            <w:r w:rsidR="00C56CA5" w:rsidRPr="0002253E">
              <w:rPr>
                <w:rFonts w:ascii="Book Antiqua" w:hAnsi="Book Antiqua" w:cs="Times New Roman"/>
                <w:sz w:val="24"/>
                <w:szCs w:val="24"/>
                <w:lang w:val="en-US"/>
              </w:rPr>
              <w:t>0.77</w:t>
            </w:r>
          </w:p>
        </w:tc>
        <w:tc>
          <w:tcPr>
            <w:tcW w:w="2835" w:type="dxa"/>
          </w:tcPr>
          <w:p w:rsidR="00C56CA5" w:rsidRPr="00FE7B63" w:rsidRDefault="00C56CA5" w:rsidP="00CF4A41">
            <w:pPr>
              <w:spacing w:after="0" w:line="360" w:lineRule="auto"/>
              <w:jc w:val="both"/>
              <w:rPr>
                <w:rFonts w:ascii="Book Antiqua" w:hAnsi="Book Antiqua" w:cs="Times New Roman"/>
                <w:sz w:val="24"/>
                <w:szCs w:val="24"/>
                <w:lang w:val="en-US"/>
              </w:rPr>
            </w:pPr>
          </w:p>
          <w:p w:rsidR="00C56CA5" w:rsidRPr="00FE7B63" w:rsidRDefault="00C56CA5" w:rsidP="00CF4A41">
            <w:pPr>
              <w:spacing w:after="0" w:line="36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575 (456, 694)</w:t>
            </w:r>
          </w:p>
          <w:p w:rsidR="00C56CA5" w:rsidRPr="00FE7B63" w:rsidRDefault="00C56CA5" w:rsidP="00CF4A41">
            <w:pPr>
              <w:spacing w:after="0" w:line="36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586 (418, 754)</w:t>
            </w:r>
          </w:p>
          <w:p w:rsidR="00C56CA5" w:rsidRPr="00FE7B63" w:rsidRDefault="0002253E" w:rsidP="00CF4A41">
            <w:pPr>
              <w:spacing w:after="0" w:line="360" w:lineRule="auto"/>
              <w:jc w:val="both"/>
              <w:rPr>
                <w:rFonts w:ascii="Book Antiqua" w:hAnsi="Book Antiqua" w:cs="Times New Roman"/>
                <w:i/>
                <w:sz w:val="24"/>
                <w:szCs w:val="24"/>
                <w:lang w:val="en-US"/>
              </w:rPr>
            </w:pPr>
            <w:r w:rsidRPr="0002253E">
              <w:rPr>
                <w:rFonts w:ascii="Book Antiqua" w:hAnsi="Book Antiqua" w:cs="Times New Roman"/>
                <w:i/>
                <w:sz w:val="24"/>
                <w:szCs w:val="24"/>
                <w:lang w:val="en-US"/>
              </w:rPr>
              <w:t>P</w:t>
            </w:r>
            <w:r w:rsidRPr="00FE7B63">
              <w:rPr>
                <w:rFonts w:ascii="Book Antiqua" w:hAnsi="Book Antiqua" w:cs="Times New Roman"/>
                <w:i/>
                <w:sz w:val="24"/>
                <w:szCs w:val="24"/>
                <w:lang w:val="en-US"/>
              </w:rPr>
              <w:t xml:space="preserve"> </w:t>
            </w:r>
            <w:r w:rsidR="00C56CA5" w:rsidRPr="00FE7B63">
              <w:rPr>
                <w:rFonts w:ascii="Book Antiqua" w:hAnsi="Book Antiqua" w:cs="Times New Roman"/>
                <w:i/>
                <w:sz w:val="24"/>
                <w:szCs w:val="24"/>
                <w:lang w:val="en-US"/>
              </w:rPr>
              <w:t>=</w:t>
            </w:r>
            <w:r>
              <w:rPr>
                <w:rFonts w:ascii="Book Antiqua" w:hAnsi="Book Antiqua" w:cs="Times New Roman" w:hint="eastAsia"/>
                <w:i/>
                <w:sz w:val="24"/>
                <w:szCs w:val="24"/>
                <w:lang w:val="en-US" w:eastAsia="zh-CN"/>
              </w:rPr>
              <w:t xml:space="preserve"> </w:t>
            </w:r>
            <w:r w:rsidR="00C56CA5" w:rsidRPr="0002253E">
              <w:rPr>
                <w:rFonts w:ascii="Book Antiqua" w:hAnsi="Book Antiqua" w:cs="Times New Roman"/>
                <w:sz w:val="24"/>
                <w:szCs w:val="24"/>
                <w:lang w:val="en-US"/>
              </w:rPr>
              <w:t>0.25</w:t>
            </w:r>
          </w:p>
        </w:tc>
      </w:tr>
      <w:tr w:rsidR="00C56CA5" w:rsidRPr="00FE7B63" w:rsidTr="0002253E">
        <w:tc>
          <w:tcPr>
            <w:tcW w:w="3794" w:type="dxa"/>
          </w:tcPr>
          <w:p w:rsidR="00C56CA5" w:rsidRPr="00773F51" w:rsidRDefault="00C56CA5" w:rsidP="00CF4A41">
            <w:pPr>
              <w:spacing w:after="0" w:line="360" w:lineRule="auto"/>
              <w:jc w:val="both"/>
              <w:rPr>
                <w:rFonts w:ascii="Book Antiqua" w:hAnsi="Book Antiqua" w:cs="Times New Roman"/>
                <w:sz w:val="24"/>
                <w:szCs w:val="24"/>
                <w:lang w:val="en-US"/>
              </w:rPr>
            </w:pPr>
            <w:r w:rsidRPr="00773F51">
              <w:rPr>
                <w:rFonts w:ascii="Book Antiqua" w:hAnsi="Book Antiqua" w:cs="Times New Roman"/>
                <w:sz w:val="24"/>
                <w:szCs w:val="24"/>
                <w:lang w:val="en-US"/>
              </w:rPr>
              <w:t>Histology</w:t>
            </w:r>
          </w:p>
          <w:p w:rsidR="00C56CA5" w:rsidRPr="00FE7B63" w:rsidRDefault="00C56CA5" w:rsidP="00CF4A41">
            <w:pPr>
              <w:spacing w:after="0" w:line="36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 xml:space="preserve">   Adenocarcinoma (</w:t>
            </w:r>
            <w:r w:rsidRPr="0002253E">
              <w:rPr>
                <w:rFonts w:ascii="Book Antiqua" w:hAnsi="Book Antiqua" w:cs="Times New Roman"/>
                <w:i/>
                <w:sz w:val="24"/>
                <w:szCs w:val="24"/>
                <w:lang w:val="en-US"/>
              </w:rPr>
              <w:t>n</w:t>
            </w:r>
            <w:r w:rsidR="0002253E" w:rsidRPr="0002253E">
              <w:rPr>
                <w:rFonts w:ascii="Book Antiqua" w:hAnsi="Book Antiqua" w:cs="Times New Roman" w:hint="eastAsia"/>
                <w:i/>
                <w:sz w:val="24"/>
                <w:szCs w:val="24"/>
                <w:lang w:val="en-US" w:eastAsia="zh-CN"/>
              </w:rPr>
              <w:t xml:space="preserve"> </w:t>
            </w:r>
            <w:r w:rsidRPr="00FE7B63">
              <w:rPr>
                <w:rFonts w:ascii="Book Antiqua" w:hAnsi="Book Antiqua" w:cs="Times New Roman"/>
                <w:sz w:val="24"/>
                <w:szCs w:val="24"/>
                <w:lang w:val="en-US"/>
              </w:rPr>
              <w:t>=</w:t>
            </w:r>
            <w:r w:rsidR="0002253E">
              <w:rPr>
                <w:rFonts w:ascii="Book Antiqua" w:hAnsi="Book Antiqua" w:cs="Times New Roman" w:hint="eastAsia"/>
                <w:sz w:val="24"/>
                <w:szCs w:val="24"/>
                <w:lang w:val="en-US" w:eastAsia="zh-CN"/>
              </w:rPr>
              <w:t xml:space="preserve"> </w:t>
            </w:r>
            <w:r w:rsidRPr="00FE7B63">
              <w:rPr>
                <w:rFonts w:ascii="Book Antiqua" w:hAnsi="Book Antiqua" w:cs="Times New Roman"/>
                <w:sz w:val="24"/>
                <w:szCs w:val="24"/>
                <w:lang w:val="en-US"/>
              </w:rPr>
              <w:t>197)</w:t>
            </w:r>
          </w:p>
          <w:p w:rsidR="00C56CA5" w:rsidRPr="00FE7B63" w:rsidRDefault="00C56CA5" w:rsidP="00CF4A41">
            <w:pPr>
              <w:spacing w:after="0" w:line="36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 xml:space="preserve">   Squamous carcinoma (</w:t>
            </w:r>
            <w:r w:rsidR="0002253E" w:rsidRPr="0002253E">
              <w:rPr>
                <w:rFonts w:ascii="Book Antiqua" w:hAnsi="Book Antiqua" w:cs="Times New Roman"/>
                <w:i/>
                <w:sz w:val="24"/>
                <w:szCs w:val="24"/>
                <w:lang w:val="en-US"/>
              </w:rPr>
              <w:t>n</w:t>
            </w:r>
            <w:r w:rsidR="0002253E" w:rsidRPr="0002253E">
              <w:rPr>
                <w:rFonts w:ascii="Book Antiqua" w:hAnsi="Book Antiqua" w:cs="Times New Roman" w:hint="eastAsia"/>
                <w:i/>
                <w:sz w:val="24"/>
                <w:szCs w:val="24"/>
                <w:lang w:val="en-US" w:eastAsia="zh-CN"/>
              </w:rPr>
              <w:t xml:space="preserve"> </w:t>
            </w:r>
            <w:r w:rsidRPr="00FE7B63">
              <w:rPr>
                <w:rFonts w:ascii="Book Antiqua" w:hAnsi="Book Antiqua" w:cs="Times New Roman"/>
                <w:sz w:val="24"/>
                <w:szCs w:val="24"/>
                <w:lang w:val="en-US"/>
              </w:rPr>
              <w:t>=</w:t>
            </w:r>
            <w:r w:rsidR="0002253E">
              <w:rPr>
                <w:rFonts w:ascii="Book Antiqua" w:hAnsi="Book Antiqua" w:cs="Times New Roman" w:hint="eastAsia"/>
                <w:sz w:val="24"/>
                <w:szCs w:val="24"/>
                <w:lang w:val="en-US" w:eastAsia="zh-CN"/>
              </w:rPr>
              <w:t xml:space="preserve"> </w:t>
            </w:r>
            <w:r w:rsidRPr="00FE7B63">
              <w:rPr>
                <w:rFonts w:ascii="Book Antiqua" w:hAnsi="Book Antiqua" w:cs="Times New Roman"/>
                <w:sz w:val="24"/>
                <w:szCs w:val="24"/>
                <w:lang w:val="en-US"/>
              </w:rPr>
              <w:t>74)</w:t>
            </w:r>
          </w:p>
        </w:tc>
        <w:tc>
          <w:tcPr>
            <w:tcW w:w="2410" w:type="dxa"/>
          </w:tcPr>
          <w:p w:rsidR="00C56CA5" w:rsidRPr="00FE7B63" w:rsidRDefault="00C56CA5" w:rsidP="00CF4A41">
            <w:pPr>
              <w:spacing w:after="0" w:line="360" w:lineRule="auto"/>
              <w:jc w:val="both"/>
              <w:rPr>
                <w:rFonts w:ascii="Book Antiqua" w:hAnsi="Book Antiqua" w:cs="Times New Roman"/>
                <w:sz w:val="24"/>
                <w:szCs w:val="24"/>
                <w:lang w:val="en-US"/>
              </w:rPr>
            </w:pPr>
          </w:p>
          <w:p w:rsidR="00C56CA5" w:rsidRPr="00FE7B63" w:rsidRDefault="00C56CA5" w:rsidP="00CF4A41">
            <w:pPr>
              <w:spacing w:after="0" w:line="36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11.3 (10.2, 12.4)</w:t>
            </w:r>
          </w:p>
          <w:p w:rsidR="00C56CA5" w:rsidRPr="00FE7B63" w:rsidRDefault="00C56CA5" w:rsidP="00CF4A41">
            <w:pPr>
              <w:spacing w:after="0" w:line="36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12.4 (11.3, 13.6)</w:t>
            </w:r>
          </w:p>
          <w:p w:rsidR="00C56CA5" w:rsidRPr="00FE7B63" w:rsidRDefault="0002253E" w:rsidP="00CF4A41">
            <w:pPr>
              <w:spacing w:after="0" w:line="360" w:lineRule="auto"/>
              <w:jc w:val="both"/>
              <w:rPr>
                <w:rFonts w:ascii="Book Antiqua" w:hAnsi="Book Antiqua" w:cs="Times New Roman"/>
                <w:i/>
                <w:sz w:val="24"/>
                <w:szCs w:val="24"/>
                <w:lang w:val="en-US"/>
              </w:rPr>
            </w:pPr>
            <w:r w:rsidRPr="0002253E">
              <w:rPr>
                <w:rFonts w:ascii="Book Antiqua" w:hAnsi="Book Antiqua" w:cs="Times New Roman"/>
                <w:i/>
                <w:sz w:val="24"/>
                <w:szCs w:val="24"/>
                <w:lang w:val="en-US"/>
              </w:rPr>
              <w:t>P</w:t>
            </w:r>
            <w:r w:rsidRPr="00FE7B63">
              <w:rPr>
                <w:rFonts w:ascii="Book Antiqua" w:hAnsi="Book Antiqua" w:cs="Times New Roman"/>
                <w:i/>
                <w:sz w:val="24"/>
                <w:szCs w:val="24"/>
                <w:lang w:val="en-US"/>
              </w:rPr>
              <w:t xml:space="preserve"> </w:t>
            </w:r>
            <w:r w:rsidR="00C56CA5" w:rsidRPr="00FE7B63">
              <w:rPr>
                <w:rFonts w:ascii="Book Antiqua" w:hAnsi="Book Antiqua" w:cs="Times New Roman"/>
                <w:i/>
                <w:sz w:val="24"/>
                <w:szCs w:val="24"/>
                <w:lang w:val="en-US"/>
              </w:rPr>
              <w:t>=</w:t>
            </w:r>
            <w:r w:rsidRPr="0002253E">
              <w:rPr>
                <w:rFonts w:ascii="Book Antiqua" w:hAnsi="Book Antiqua" w:cs="Times New Roman" w:hint="eastAsia"/>
                <w:sz w:val="24"/>
                <w:szCs w:val="24"/>
                <w:lang w:val="en-US" w:eastAsia="zh-CN"/>
              </w:rPr>
              <w:t xml:space="preserve"> </w:t>
            </w:r>
            <w:r w:rsidR="00C56CA5" w:rsidRPr="0002253E">
              <w:rPr>
                <w:rFonts w:ascii="Book Antiqua" w:hAnsi="Book Antiqua" w:cs="Times New Roman"/>
                <w:sz w:val="24"/>
                <w:szCs w:val="24"/>
                <w:lang w:val="en-US"/>
              </w:rPr>
              <w:t>0.008</w:t>
            </w:r>
          </w:p>
        </w:tc>
        <w:tc>
          <w:tcPr>
            <w:tcW w:w="2835" w:type="dxa"/>
          </w:tcPr>
          <w:p w:rsidR="00C56CA5" w:rsidRPr="00FE7B63" w:rsidRDefault="00C56CA5" w:rsidP="00CF4A41">
            <w:pPr>
              <w:spacing w:after="0" w:line="360" w:lineRule="auto"/>
              <w:jc w:val="both"/>
              <w:rPr>
                <w:rFonts w:ascii="Book Antiqua" w:hAnsi="Book Antiqua" w:cs="Times New Roman"/>
                <w:sz w:val="24"/>
                <w:szCs w:val="24"/>
                <w:lang w:val="en-US"/>
              </w:rPr>
            </w:pPr>
          </w:p>
          <w:p w:rsidR="00C56CA5" w:rsidRPr="00FE7B63" w:rsidRDefault="00C56CA5" w:rsidP="00CF4A41">
            <w:pPr>
              <w:spacing w:after="0" w:line="36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570 (483, 657)</w:t>
            </w:r>
          </w:p>
          <w:p w:rsidR="00C56CA5" w:rsidRPr="00FE7B63" w:rsidRDefault="00C56CA5" w:rsidP="00CF4A41">
            <w:pPr>
              <w:spacing w:after="0" w:line="36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629 (445, 813)</w:t>
            </w:r>
          </w:p>
          <w:p w:rsidR="00C56CA5" w:rsidRPr="00FE7B63" w:rsidRDefault="0002253E" w:rsidP="00CF4A41">
            <w:pPr>
              <w:spacing w:after="0" w:line="360" w:lineRule="auto"/>
              <w:jc w:val="both"/>
              <w:rPr>
                <w:rFonts w:ascii="Book Antiqua" w:hAnsi="Book Antiqua" w:cs="Times New Roman"/>
                <w:i/>
                <w:sz w:val="24"/>
                <w:szCs w:val="24"/>
                <w:lang w:val="en-US"/>
              </w:rPr>
            </w:pPr>
            <w:r w:rsidRPr="0002253E">
              <w:rPr>
                <w:rFonts w:ascii="Book Antiqua" w:hAnsi="Book Antiqua" w:cs="Times New Roman"/>
                <w:i/>
                <w:sz w:val="24"/>
                <w:szCs w:val="24"/>
                <w:lang w:val="en-US"/>
              </w:rPr>
              <w:t>P</w:t>
            </w:r>
            <w:r w:rsidRPr="00FE7B63">
              <w:rPr>
                <w:rFonts w:ascii="Book Antiqua" w:hAnsi="Book Antiqua" w:cs="Times New Roman"/>
                <w:i/>
                <w:sz w:val="24"/>
                <w:szCs w:val="24"/>
                <w:lang w:val="en-US"/>
              </w:rPr>
              <w:t xml:space="preserve"> </w:t>
            </w:r>
            <w:r w:rsidR="00C56CA5" w:rsidRPr="00FE7B63">
              <w:rPr>
                <w:rFonts w:ascii="Book Antiqua" w:hAnsi="Book Antiqua" w:cs="Times New Roman"/>
                <w:i/>
                <w:sz w:val="24"/>
                <w:szCs w:val="24"/>
                <w:lang w:val="en-US"/>
              </w:rPr>
              <w:t>=</w:t>
            </w:r>
            <w:r>
              <w:rPr>
                <w:rFonts w:ascii="Book Antiqua" w:hAnsi="Book Antiqua" w:cs="Times New Roman" w:hint="eastAsia"/>
                <w:i/>
                <w:sz w:val="24"/>
                <w:szCs w:val="24"/>
                <w:lang w:val="en-US" w:eastAsia="zh-CN"/>
              </w:rPr>
              <w:t xml:space="preserve"> </w:t>
            </w:r>
            <w:r w:rsidR="00C56CA5" w:rsidRPr="0002253E">
              <w:rPr>
                <w:rFonts w:ascii="Book Antiqua" w:hAnsi="Book Antiqua" w:cs="Times New Roman"/>
                <w:sz w:val="24"/>
                <w:szCs w:val="24"/>
                <w:lang w:val="en-US"/>
              </w:rPr>
              <w:t>0.75</w:t>
            </w:r>
          </w:p>
        </w:tc>
      </w:tr>
      <w:tr w:rsidR="00C56CA5" w:rsidRPr="00FE7B63" w:rsidTr="0002253E">
        <w:tc>
          <w:tcPr>
            <w:tcW w:w="3794" w:type="dxa"/>
          </w:tcPr>
          <w:p w:rsidR="00C56CA5" w:rsidRPr="0002253E" w:rsidRDefault="00C56CA5"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sz w:val="24"/>
                <w:szCs w:val="24"/>
                <w:lang w:val="en-US"/>
              </w:rPr>
              <w:t>Tumor location</w:t>
            </w:r>
          </w:p>
          <w:p w:rsidR="00C56CA5" w:rsidRPr="00FE7B63" w:rsidRDefault="00C56CA5" w:rsidP="00CF4A41">
            <w:pPr>
              <w:spacing w:after="0" w:line="36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 xml:space="preserve">   Upper esophagus (</w:t>
            </w:r>
            <w:r w:rsidR="0002253E" w:rsidRPr="0002253E">
              <w:rPr>
                <w:rFonts w:ascii="Book Antiqua" w:hAnsi="Book Antiqua" w:cs="Times New Roman"/>
                <w:i/>
                <w:sz w:val="24"/>
                <w:szCs w:val="24"/>
                <w:lang w:val="en-US"/>
              </w:rPr>
              <w:t>n</w:t>
            </w:r>
            <w:r w:rsidR="0002253E" w:rsidRPr="0002253E">
              <w:rPr>
                <w:rFonts w:ascii="Book Antiqua" w:hAnsi="Book Antiqua" w:cs="Times New Roman" w:hint="eastAsia"/>
                <w:i/>
                <w:sz w:val="24"/>
                <w:szCs w:val="24"/>
                <w:lang w:val="en-US" w:eastAsia="zh-CN"/>
              </w:rPr>
              <w:t xml:space="preserve"> </w:t>
            </w:r>
            <w:r w:rsidRPr="00FE7B63">
              <w:rPr>
                <w:rFonts w:ascii="Book Antiqua" w:hAnsi="Book Antiqua" w:cs="Times New Roman"/>
                <w:sz w:val="24"/>
                <w:szCs w:val="24"/>
                <w:lang w:val="en-US"/>
              </w:rPr>
              <w:t>=</w:t>
            </w:r>
            <w:r w:rsidR="0002253E">
              <w:rPr>
                <w:rFonts w:ascii="Book Antiqua" w:hAnsi="Book Antiqua" w:cs="Times New Roman" w:hint="eastAsia"/>
                <w:sz w:val="24"/>
                <w:szCs w:val="24"/>
                <w:lang w:val="en-US" w:eastAsia="zh-CN"/>
              </w:rPr>
              <w:t xml:space="preserve"> </w:t>
            </w:r>
            <w:r w:rsidRPr="00FE7B63">
              <w:rPr>
                <w:rFonts w:ascii="Book Antiqua" w:hAnsi="Book Antiqua" w:cs="Times New Roman"/>
                <w:sz w:val="24"/>
                <w:szCs w:val="24"/>
                <w:lang w:val="en-US"/>
              </w:rPr>
              <w:t>13)</w:t>
            </w:r>
          </w:p>
          <w:p w:rsidR="00C56CA5" w:rsidRPr="00FE7B63" w:rsidRDefault="00C56CA5" w:rsidP="00CF4A41">
            <w:pPr>
              <w:spacing w:after="0" w:line="36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 xml:space="preserve">   Mid esophagus (</w:t>
            </w:r>
            <w:r w:rsidR="0002253E" w:rsidRPr="0002253E">
              <w:rPr>
                <w:rFonts w:ascii="Book Antiqua" w:hAnsi="Book Antiqua" w:cs="Times New Roman"/>
                <w:i/>
                <w:sz w:val="24"/>
                <w:szCs w:val="24"/>
                <w:lang w:val="en-US"/>
              </w:rPr>
              <w:t>n</w:t>
            </w:r>
            <w:r w:rsidR="0002253E" w:rsidRPr="0002253E">
              <w:rPr>
                <w:rFonts w:ascii="Book Antiqua" w:hAnsi="Book Antiqua" w:cs="Times New Roman" w:hint="eastAsia"/>
                <w:i/>
                <w:sz w:val="24"/>
                <w:szCs w:val="24"/>
                <w:lang w:val="en-US" w:eastAsia="zh-CN"/>
              </w:rPr>
              <w:t xml:space="preserve"> </w:t>
            </w:r>
            <w:r w:rsidRPr="00FE7B63">
              <w:rPr>
                <w:rFonts w:ascii="Book Antiqua" w:hAnsi="Book Antiqua" w:cs="Times New Roman"/>
                <w:sz w:val="24"/>
                <w:szCs w:val="24"/>
                <w:lang w:val="en-US"/>
              </w:rPr>
              <w:t>=</w:t>
            </w:r>
            <w:r w:rsidR="0002253E">
              <w:rPr>
                <w:rFonts w:ascii="Book Antiqua" w:hAnsi="Book Antiqua" w:cs="Times New Roman" w:hint="eastAsia"/>
                <w:sz w:val="24"/>
                <w:szCs w:val="24"/>
                <w:lang w:val="en-US" w:eastAsia="zh-CN"/>
              </w:rPr>
              <w:t xml:space="preserve"> </w:t>
            </w:r>
            <w:r w:rsidRPr="00FE7B63">
              <w:rPr>
                <w:rFonts w:ascii="Book Antiqua" w:hAnsi="Book Antiqua" w:cs="Times New Roman"/>
                <w:sz w:val="24"/>
                <w:szCs w:val="24"/>
                <w:lang w:val="en-US"/>
              </w:rPr>
              <w:t>50)</w:t>
            </w:r>
          </w:p>
          <w:p w:rsidR="00C56CA5" w:rsidRPr="00FE7B63" w:rsidRDefault="00C56CA5" w:rsidP="00CF4A41">
            <w:pPr>
              <w:spacing w:after="0" w:line="36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 xml:space="preserve">   Lower esophagus (</w:t>
            </w:r>
            <w:r w:rsidR="0002253E" w:rsidRPr="0002253E">
              <w:rPr>
                <w:rFonts w:ascii="Book Antiqua" w:hAnsi="Book Antiqua" w:cs="Times New Roman"/>
                <w:i/>
                <w:sz w:val="24"/>
                <w:szCs w:val="24"/>
                <w:lang w:val="en-US"/>
              </w:rPr>
              <w:t>n</w:t>
            </w:r>
            <w:r w:rsidR="0002253E" w:rsidRPr="0002253E">
              <w:rPr>
                <w:rFonts w:ascii="Book Antiqua" w:hAnsi="Book Antiqua" w:cs="Times New Roman" w:hint="eastAsia"/>
                <w:i/>
                <w:sz w:val="24"/>
                <w:szCs w:val="24"/>
                <w:lang w:val="en-US" w:eastAsia="zh-CN"/>
              </w:rPr>
              <w:t xml:space="preserve"> </w:t>
            </w:r>
            <w:r w:rsidRPr="00FE7B63">
              <w:rPr>
                <w:rFonts w:ascii="Book Antiqua" w:hAnsi="Book Antiqua" w:cs="Times New Roman"/>
                <w:sz w:val="24"/>
                <w:szCs w:val="24"/>
                <w:lang w:val="en-US"/>
              </w:rPr>
              <w:t>=</w:t>
            </w:r>
            <w:r w:rsidR="0002253E">
              <w:rPr>
                <w:rFonts w:ascii="Book Antiqua" w:hAnsi="Book Antiqua" w:cs="Times New Roman" w:hint="eastAsia"/>
                <w:sz w:val="24"/>
                <w:szCs w:val="24"/>
                <w:lang w:val="en-US" w:eastAsia="zh-CN"/>
              </w:rPr>
              <w:t xml:space="preserve"> </w:t>
            </w:r>
            <w:r w:rsidRPr="00FE7B63">
              <w:rPr>
                <w:rFonts w:ascii="Book Antiqua" w:hAnsi="Book Antiqua" w:cs="Times New Roman"/>
                <w:sz w:val="24"/>
                <w:szCs w:val="24"/>
                <w:lang w:val="en-US"/>
              </w:rPr>
              <w:t>136)</w:t>
            </w:r>
          </w:p>
          <w:p w:rsidR="00C56CA5" w:rsidRPr="00FE7B63" w:rsidRDefault="00C56CA5" w:rsidP="00CF4A41">
            <w:pPr>
              <w:spacing w:after="0" w:line="36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 xml:space="preserve">   Junctional(</w:t>
            </w:r>
            <w:r w:rsidR="0002253E" w:rsidRPr="0002253E">
              <w:rPr>
                <w:rFonts w:ascii="Book Antiqua" w:hAnsi="Book Antiqua" w:cs="Times New Roman"/>
                <w:i/>
                <w:sz w:val="24"/>
                <w:szCs w:val="24"/>
                <w:lang w:val="en-US"/>
              </w:rPr>
              <w:t>n</w:t>
            </w:r>
            <w:r w:rsidR="0002253E" w:rsidRPr="0002253E">
              <w:rPr>
                <w:rFonts w:ascii="Book Antiqua" w:hAnsi="Book Antiqua" w:cs="Times New Roman" w:hint="eastAsia"/>
                <w:i/>
                <w:sz w:val="24"/>
                <w:szCs w:val="24"/>
                <w:lang w:val="en-US" w:eastAsia="zh-CN"/>
              </w:rPr>
              <w:t xml:space="preserve"> </w:t>
            </w:r>
            <w:r w:rsidRPr="00FE7B63">
              <w:rPr>
                <w:rFonts w:ascii="Book Antiqua" w:hAnsi="Book Antiqua" w:cs="Times New Roman"/>
                <w:sz w:val="24"/>
                <w:szCs w:val="24"/>
                <w:lang w:val="en-US"/>
              </w:rPr>
              <w:t>=</w:t>
            </w:r>
            <w:r w:rsidR="0002253E">
              <w:rPr>
                <w:rFonts w:ascii="Book Antiqua" w:hAnsi="Book Antiqua" w:cs="Times New Roman" w:hint="eastAsia"/>
                <w:sz w:val="24"/>
                <w:szCs w:val="24"/>
                <w:lang w:val="en-US" w:eastAsia="zh-CN"/>
              </w:rPr>
              <w:t xml:space="preserve"> </w:t>
            </w:r>
            <w:r w:rsidRPr="00FE7B63">
              <w:rPr>
                <w:rFonts w:ascii="Book Antiqua" w:hAnsi="Book Antiqua" w:cs="Times New Roman"/>
                <w:sz w:val="24"/>
                <w:szCs w:val="24"/>
                <w:lang w:val="en-US"/>
              </w:rPr>
              <w:t>72)</w:t>
            </w:r>
          </w:p>
        </w:tc>
        <w:tc>
          <w:tcPr>
            <w:tcW w:w="2410" w:type="dxa"/>
          </w:tcPr>
          <w:p w:rsidR="00C56CA5" w:rsidRPr="00FE7B63" w:rsidRDefault="00C56CA5" w:rsidP="00CF4A41">
            <w:pPr>
              <w:spacing w:after="0" w:line="360" w:lineRule="auto"/>
              <w:jc w:val="both"/>
              <w:rPr>
                <w:rFonts w:ascii="Book Antiqua" w:hAnsi="Book Antiqua" w:cs="Times New Roman"/>
                <w:sz w:val="24"/>
                <w:szCs w:val="24"/>
                <w:lang w:val="en-US"/>
              </w:rPr>
            </w:pPr>
          </w:p>
          <w:p w:rsidR="00C56CA5" w:rsidRPr="00FE7B63" w:rsidRDefault="00C56CA5" w:rsidP="00CF4A41">
            <w:pPr>
              <w:spacing w:after="0" w:line="36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15.6 (11.4, 19.8)</w:t>
            </w:r>
          </w:p>
          <w:p w:rsidR="00C56CA5" w:rsidRPr="00FE7B63" w:rsidRDefault="00C56CA5" w:rsidP="00CF4A41">
            <w:pPr>
              <w:spacing w:after="0" w:line="36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12.8 (11.0, 14.6)</w:t>
            </w:r>
          </w:p>
          <w:p w:rsidR="00C56CA5" w:rsidRPr="00FE7B63" w:rsidRDefault="00C56CA5" w:rsidP="00CF4A41">
            <w:pPr>
              <w:spacing w:after="0" w:line="36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10.8 (9.6, 12.0)</w:t>
            </w:r>
          </w:p>
          <w:p w:rsidR="00C56CA5" w:rsidRPr="00FE7B63" w:rsidRDefault="00C56CA5" w:rsidP="00CF4A41">
            <w:pPr>
              <w:spacing w:after="0" w:line="36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11.6 (10.0, 13.1)</w:t>
            </w:r>
          </w:p>
          <w:p w:rsidR="00C56CA5" w:rsidRPr="0002253E" w:rsidRDefault="0002253E"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i/>
                <w:sz w:val="24"/>
                <w:szCs w:val="24"/>
                <w:lang w:val="en-US"/>
              </w:rPr>
              <w:t>P</w:t>
            </w:r>
            <w:r w:rsidRPr="0002253E">
              <w:rPr>
                <w:rFonts w:ascii="Book Antiqua" w:hAnsi="Book Antiqua" w:cs="Times New Roman"/>
                <w:sz w:val="24"/>
                <w:szCs w:val="24"/>
                <w:lang w:val="en-US"/>
              </w:rPr>
              <w:t xml:space="preserve"> </w:t>
            </w:r>
            <w:r w:rsidR="00C56CA5" w:rsidRPr="0002253E">
              <w:rPr>
                <w:rFonts w:ascii="Book Antiqua" w:hAnsi="Book Antiqua" w:cs="Times New Roman"/>
                <w:sz w:val="24"/>
                <w:szCs w:val="24"/>
                <w:lang w:val="en-US"/>
              </w:rPr>
              <w:t>=</w:t>
            </w:r>
            <w:r>
              <w:rPr>
                <w:rFonts w:ascii="Book Antiqua" w:hAnsi="Book Antiqua" w:cs="Times New Roman" w:hint="eastAsia"/>
                <w:sz w:val="24"/>
                <w:szCs w:val="24"/>
                <w:lang w:val="en-US" w:eastAsia="zh-CN"/>
              </w:rPr>
              <w:t xml:space="preserve"> </w:t>
            </w:r>
            <w:r w:rsidR="00C56CA5" w:rsidRPr="0002253E">
              <w:rPr>
                <w:rFonts w:ascii="Book Antiqua" w:hAnsi="Book Antiqua" w:cs="Times New Roman"/>
                <w:sz w:val="24"/>
                <w:szCs w:val="24"/>
                <w:lang w:val="en-US"/>
              </w:rPr>
              <w:t>0.01</w:t>
            </w:r>
          </w:p>
        </w:tc>
        <w:tc>
          <w:tcPr>
            <w:tcW w:w="2835" w:type="dxa"/>
          </w:tcPr>
          <w:p w:rsidR="00C56CA5" w:rsidRPr="0002253E" w:rsidRDefault="00C56CA5" w:rsidP="00CF4A41">
            <w:pPr>
              <w:spacing w:after="0" w:line="360" w:lineRule="auto"/>
              <w:jc w:val="both"/>
              <w:rPr>
                <w:rFonts w:ascii="Book Antiqua" w:hAnsi="Book Antiqua" w:cs="Times New Roman"/>
                <w:sz w:val="24"/>
                <w:szCs w:val="24"/>
                <w:lang w:val="en-US"/>
              </w:rPr>
            </w:pPr>
          </w:p>
          <w:p w:rsidR="00C56CA5" w:rsidRPr="0002253E" w:rsidRDefault="00C56CA5"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sz w:val="24"/>
                <w:szCs w:val="24"/>
                <w:lang w:val="en-US"/>
              </w:rPr>
              <w:t>973 (142,1804)</w:t>
            </w:r>
          </w:p>
          <w:p w:rsidR="00C56CA5" w:rsidRPr="0002253E" w:rsidRDefault="00C56CA5"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sz w:val="24"/>
                <w:szCs w:val="24"/>
                <w:lang w:val="en-US"/>
              </w:rPr>
              <w:t>425 (252, 598)</w:t>
            </w:r>
          </w:p>
          <w:p w:rsidR="00C56CA5" w:rsidRPr="0002253E" w:rsidRDefault="00C56CA5"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sz w:val="24"/>
                <w:szCs w:val="24"/>
                <w:lang w:val="en-US"/>
              </w:rPr>
              <w:t>586 (464, 708)</w:t>
            </w:r>
          </w:p>
          <w:p w:rsidR="00C56CA5" w:rsidRPr="0002253E" w:rsidRDefault="00C56CA5"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sz w:val="24"/>
                <w:szCs w:val="24"/>
                <w:lang w:val="en-US"/>
              </w:rPr>
              <w:t>684 (430, 938)</w:t>
            </w:r>
          </w:p>
          <w:p w:rsidR="00C56CA5" w:rsidRPr="0002253E" w:rsidRDefault="0002253E"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i/>
                <w:sz w:val="24"/>
                <w:szCs w:val="24"/>
                <w:lang w:val="en-US"/>
              </w:rPr>
              <w:t>P</w:t>
            </w:r>
            <w:r w:rsidRPr="0002253E">
              <w:rPr>
                <w:rFonts w:ascii="Book Antiqua" w:hAnsi="Book Antiqua" w:cs="Times New Roman"/>
                <w:sz w:val="24"/>
                <w:szCs w:val="24"/>
                <w:lang w:val="en-US"/>
              </w:rPr>
              <w:t xml:space="preserve"> </w:t>
            </w:r>
            <w:r w:rsidR="00C56CA5" w:rsidRPr="0002253E">
              <w:rPr>
                <w:rFonts w:ascii="Book Antiqua" w:hAnsi="Book Antiqua" w:cs="Times New Roman"/>
                <w:sz w:val="24"/>
                <w:szCs w:val="24"/>
                <w:lang w:val="en-US"/>
              </w:rPr>
              <w:t>=</w:t>
            </w:r>
            <w:r>
              <w:rPr>
                <w:rFonts w:ascii="Book Antiqua" w:hAnsi="Book Antiqua" w:cs="Times New Roman" w:hint="eastAsia"/>
                <w:sz w:val="24"/>
                <w:szCs w:val="24"/>
                <w:lang w:val="en-US" w:eastAsia="zh-CN"/>
              </w:rPr>
              <w:t xml:space="preserve"> </w:t>
            </w:r>
            <w:r w:rsidR="00C56CA5" w:rsidRPr="0002253E">
              <w:rPr>
                <w:rFonts w:ascii="Book Antiqua" w:hAnsi="Book Antiqua" w:cs="Times New Roman"/>
                <w:sz w:val="24"/>
                <w:szCs w:val="24"/>
                <w:lang w:val="en-US"/>
              </w:rPr>
              <w:t>0.14</w:t>
            </w:r>
          </w:p>
        </w:tc>
      </w:tr>
    </w:tbl>
    <w:p w:rsidR="00C56CA5" w:rsidRPr="00613E70" w:rsidRDefault="00C56CA5" w:rsidP="00CF4A41">
      <w:pPr>
        <w:spacing w:after="0" w:line="360" w:lineRule="auto"/>
        <w:jc w:val="both"/>
        <w:rPr>
          <w:rFonts w:ascii="Book Antiqua" w:hAnsi="Book Antiqua" w:cs="Times New Roman"/>
          <w:b/>
          <w:sz w:val="24"/>
          <w:szCs w:val="24"/>
          <w:lang w:val="en-US"/>
        </w:rPr>
      </w:pPr>
      <w:r w:rsidRPr="00613E70">
        <w:rPr>
          <w:rFonts w:ascii="Book Antiqua" w:hAnsi="Book Antiqua" w:cs="Times New Roman"/>
          <w:sz w:val="24"/>
          <w:szCs w:val="24"/>
          <w:lang w:val="en-US"/>
        </w:rPr>
        <w:br w:type="page"/>
      </w:r>
      <w:r w:rsidR="0002253E">
        <w:rPr>
          <w:rFonts w:ascii="Book Antiqua" w:hAnsi="Book Antiqua" w:cs="Times New Roman"/>
          <w:b/>
          <w:sz w:val="24"/>
          <w:szCs w:val="24"/>
          <w:lang w:val="en-US"/>
        </w:rPr>
        <w:lastRenderedPageBreak/>
        <w:t>Table 2</w:t>
      </w:r>
      <w:r w:rsidRPr="00613E70">
        <w:rPr>
          <w:rFonts w:ascii="Book Antiqua" w:hAnsi="Book Antiqua" w:cs="Times New Roman"/>
          <w:b/>
          <w:sz w:val="24"/>
          <w:szCs w:val="24"/>
          <w:lang w:val="en-US"/>
        </w:rPr>
        <w:t xml:space="preserve"> Influence of cancer stage on SUV</w:t>
      </w:r>
      <w:r w:rsidRPr="0002253E">
        <w:rPr>
          <w:rFonts w:ascii="Book Antiqua" w:hAnsi="Book Antiqua" w:cs="Times New Roman"/>
          <w:b/>
          <w:sz w:val="24"/>
          <w:szCs w:val="24"/>
          <w:vertAlign w:val="subscript"/>
          <w:lang w:val="en-US"/>
        </w:rPr>
        <w:t>max</w:t>
      </w:r>
      <w:r w:rsidRPr="00613E70">
        <w:rPr>
          <w:rFonts w:ascii="Book Antiqua" w:hAnsi="Book Antiqua" w:cs="Times New Roman"/>
          <w:b/>
          <w:sz w:val="24"/>
          <w:szCs w:val="24"/>
          <w:lang w:val="en-US"/>
        </w:rPr>
        <w:t xml:space="preserve"> and survival</w:t>
      </w:r>
    </w:p>
    <w:tbl>
      <w:tblPr>
        <w:tblW w:w="0" w:type="auto"/>
        <w:tblBorders>
          <w:top w:val="single" w:sz="4" w:space="0" w:color="auto"/>
          <w:bottom w:val="single" w:sz="4" w:space="0" w:color="auto"/>
        </w:tblBorders>
        <w:tblLook w:val="00A0" w:firstRow="1" w:lastRow="0" w:firstColumn="1" w:lastColumn="0" w:noHBand="0" w:noVBand="0"/>
      </w:tblPr>
      <w:tblGrid>
        <w:gridCol w:w="3794"/>
        <w:gridCol w:w="2410"/>
        <w:gridCol w:w="2268"/>
      </w:tblGrid>
      <w:tr w:rsidR="00C56CA5" w:rsidRPr="0002253E" w:rsidTr="0002253E">
        <w:tc>
          <w:tcPr>
            <w:tcW w:w="3794" w:type="dxa"/>
            <w:tcBorders>
              <w:top w:val="single" w:sz="4" w:space="0" w:color="auto"/>
              <w:bottom w:val="single" w:sz="4" w:space="0" w:color="auto"/>
            </w:tcBorders>
          </w:tcPr>
          <w:p w:rsidR="00C56CA5" w:rsidRPr="0002253E" w:rsidRDefault="00C56CA5" w:rsidP="00CF4A41">
            <w:pPr>
              <w:spacing w:after="0" w:line="360" w:lineRule="auto"/>
              <w:jc w:val="both"/>
              <w:rPr>
                <w:rFonts w:ascii="Book Antiqua" w:hAnsi="Book Antiqua" w:cs="Times New Roman"/>
                <w:b/>
                <w:sz w:val="24"/>
                <w:szCs w:val="24"/>
                <w:lang w:val="en-US"/>
              </w:rPr>
            </w:pPr>
            <w:r w:rsidRPr="0002253E">
              <w:rPr>
                <w:rFonts w:ascii="Book Antiqua" w:hAnsi="Book Antiqua" w:cs="Times New Roman"/>
                <w:b/>
                <w:sz w:val="24"/>
                <w:szCs w:val="24"/>
                <w:lang w:val="en-US"/>
              </w:rPr>
              <w:t>Factor</w:t>
            </w:r>
          </w:p>
        </w:tc>
        <w:tc>
          <w:tcPr>
            <w:tcW w:w="2410" w:type="dxa"/>
            <w:tcBorders>
              <w:top w:val="single" w:sz="4" w:space="0" w:color="auto"/>
              <w:bottom w:val="single" w:sz="4" w:space="0" w:color="auto"/>
            </w:tcBorders>
          </w:tcPr>
          <w:p w:rsidR="00C56CA5" w:rsidRPr="0002253E" w:rsidRDefault="00C56CA5" w:rsidP="00CF4A41">
            <w:pPr>
              <w:spacing w:after="0" w:line="360" w:lineRule="auto"/>
              <w:jc w:val="both"/>
              <w:rPr>
                <w:rFonts w:ascii="Book Antiqua" w:hAnsi="Book Antiqua" w:cs="Times New Roman"/>
                <w:b/>
                <w:sz w:val="24"/>
                <w:szCs w:val="24"/>
                <w:lang w:val="en-US"/>
              </w:rPr>
            </w:pPr>
            <w:r w:rsidRPr="0002253E">
              <w:rPr>
                <w:rFonts w:ascii="Book Antiqua" w:hAnsi="Book Antiqua" w:cs="Times New Roman"/>
                <w:b/>
                <w:sz w:val="24"/>
                <w:szCs w:val="24"/>
                <w:lang w:val="en-US"/>
              </w:rPr>
              <w:t>Mean SUV</w:t>
            </w:r>
            <w:r w:rsidRPr="0002253E">
              <w:rPr>
                <w:rFonts w:ascii="Book Antiqua" w:hAnsi="Book Antiqua" w:cs="Times New Roman"/>
                <w:b/>
                <w:sz w:val="24"/>
                <w:szCs w:val="24"/>
                <w:vertAlign w:val="subscript"/>
                <w:lang w:val="en-US"/>
              </w:rPr>
              <w:t>max</w:t>
            </w:r>
            <w:r w:rsidRPr="0002253E">
              <w:rPr>
                <w:rFonts w:ascii="Book Antiqua" w:hAnsi="Book Antiqua" w:cs="Times New Roman"/>
                <w:b/>
                <w:sz w:val="24"/>
                <w:szCs w:val="24"/>
                <w:lang w:val="en-US"/>
              </w:rPr>
              <w:t xml:space="preserve"> (95% CI)</w:t>
            </w:r>
          </w:p>
        </w:tc>
        <w:tc>
          <w:tcPr>
            <w:tcW w:w="2268" w:type="dxa"/>
            <w:tcBorders>
              <w:top w:val="single" w:sz="4" w:space="0" w:color="auto"/>
              <w:bottom w:val="single" w:sz="4" w:space="0" w:color="auto"/>
            </w:tcBorders>
          </w:tcPr>
          <w:p w:rsidR="00C56CA5" w:rsidRPr="0002253E" w:rsidRDefault="00A971B0" w:rsidP="00CF4A41">
            <w:pPr>
              <w:spacing w:after="0" w:line="360" w:lineRule="auto"/>
              <w:jc w:val="both"/>
              <w:rPr>
                <w:rFonts w:ascii="Book Antiqua" w:hAnsi="Book Antiqua" w:cs="Times New Roman"/>
                <w:b/>
                <w:sz w:val="24"/>
                <w:szCs w:val="24"/>
                <w:lang w:val="en-US"/>
              </w:rPr>
            </w:pPr>
            <w:r>
              <w:rPr>
                <w:rFonts w:ascii="Book Antiqua" w:hAnsi="Book Antiqua" w:cs="Times New Roman"/>
                <w:b/>
                <w:sz w:val="24"/>
                <w:szCs w:val="24"/>
                <w:lang w:val="en-US"/>
              </w:rPr>
              <w:t>Median survival in days (95%</w:t>
            </w:r>
            <w:r w:rsidR="00C56CA5" w:rsidRPr="0002253E">
              <w:rPr>
                <w:rFonts w:ascii="Book Antiqua" w:hAnsi="Book Antiqua" w:cs="Times New Roman"/>
                <w:b/>
                <w:sz w:val="24"/>
                <w:szCs w:val="24"/>
                <w:lang w:val="en-US"/>
              </w:rPr>
              <w:t>CI)</w:t>
            </w:r>
          </w:p>
        </w:tc>
      </w:tr>
      <w:tr w:rsidR="00C56CA5" w:rsidRPr="0002253E" w:rsidTr="0002253E">
        <w:tc>
          <w:tcPr>
            <w:tcW w:w="3794" w:type="dxa"/>
            <w:tcBorders>
              <w:top w:val="single" w:sz="4" w:space="0" w:color="auto"/>
            </w:tcBorders>
          </w:tcPr>
          <w:p w:rsidR="00C56CA5" w:rsidRPr="00773F51" w:rsidRDefault="00C56CA5" w:rsidP="00CF4A41">
            <w:pPr>
              <w:spacing w:after="0" w:line="360" w:lineRule="auto"/>
              <w:jc w:val="both"/>
              <w:rPr>
                <w:rFonts w:ascii="Book Antiqua" w:hAnsi="Book Antiqua" w:cs="Times New Roman"/>
                <w:sz w:val="24"/>
                <w:szCs w:val="24"/>
                <w:lang w:val="en-US"/>
              </w:rPr>
            </w:pPr>
            <w:r w:rsidRPr="00773F51">
              <w:rPr>
                <w:rFonts w:ascii="Book Antiqua" w:hAnsi="Book Antiqua" w:cs="Times New Roman"/>
                <w:sz w:val="24"/>
                <w:szCs w:val="24"/>
                <w:lang w:val="en-US"/>
              </w:rPr>
              <w:t>T stage</w:t>
            </w:r>
          </w:p>
          <w:p w:rsidR="00C56CA5" w:rsidRPr="0002253E" w:rsidRDefault="00C56CA5"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sz w:val="24"/>
                <w:szCs w:val="24"/>
                <w:lang w:val="en-US"/>
              </w:rPr>
              <w:t xml:space="preserve">   T0 or T1 (</w:t>
            </w:r>
            <w:r w:rsidRPr="0002253E">
              <w:rPr>
                <w:rFonts w:ascii="Book Antiqua" w:hAnsi="Book Antiqua" w:cs="Times New Roman"/>
                <w:i/>
                <w:sz w:val="24"/>
                <w:szCs w:val="24"/>
                <w:lang w:val="en-US"/>
              </w:rPr>
              <w:t>n</w:t>
            </w:r>
            <w:r w:rsidR="0002253E" w:rsidRPr="0002253E">
              <w:rPr>
                <w:rFonts w:ascii="Book Antiqua" w:hAnsi="Book Antiqua" w:cs="Times New Roman" w:hint="eastAsia"/>
                <w:sz w:val="24"/>
                <w:szCs w:val="24"/>
                <w:lang w:val="en-US" w:eastAsia="zh-CN"/>
              </w:rPr>
              <w:t xml:space="preserve"> </w:t>
            </w:r>
            <w:r w:rsidRPr="0002253E">
              <w:rPr>
                <w:rFonts w:ascii="Book Antiqua" w:hAnsi="Book Antiqua" w:cs="Times New Roman"/>
                <w:sz w:val="24"/>
                <w:szCs w:val="24"/>
                <w:lang w:val="en-US"/>
              </w:rPr>
              <w:t>=</w:t>
            </w:r>
            <w:r w:rsidR="0002253E" w:rsidRPr="0002253E">
              <w:rPr>
                <w:rFonts w:ascii="Book Antiqua" w:hAnsi="Book Antiqua" w:cs="Times New Roman" w:hint="eastAsia"/>
                <w:sz w:val="24"/>
                <w:szCs w:val="24"/>
                <w:lang w:val="en-US" w:eastAsia="zh-CN"/>
              </w:rPr>
              <w:t xml:space="preserve"> </w:t>
            </w:r>
            <w:r w:rsidRPr="0002253E">
              <w:rPr>
                <w:rFonts w:ascii="Book Antiqua" w:hAnsi="Book Antiqua" w:cs="Times New Roman"/>
                <w:sz w:val="24"/>
                <w:szCs w:val="24"/>
                <w:lang w:val="en-US"/>
              </w:rPr>
              <w:t>15)</w:t>
            </w:r>
          </w:p>
          <w:p w:rsidR="00C56CA5" w:rsidRPr="0002253E" w:rsidRDefault="00C56CA5"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sz w:val="24"/>
                <w:szCs w:val="24"/>
                <w:lang w:val="en-US"/>
              </w:rPr>
              <w:t xml:space="preserve">   T2 (</w:t>
            </w:r>
            <w:r w:rsidR="0002253E" w:rsidRPr="0002253E">
              <w:rPr>
                <w:rFonts w:ascii="Book Antiqua" w:hAnsi="Book Antiqua" w:cs="Times New Roman"/>
                <w:i/>
                <w:sz w:val="24"/>
                <w:szCs w:val="24"/>
                <w:lang w:val="en-US"/>
              </w:rPr>
              <w:t>n</w:t>
            </w:r>
            <w:r w:rsidR="0002253E" w:rsidRPr="0002253E">
              <w:rPr>
                <w:rFonts w:ascii="Book Antiqua" w:hAnsi="Book Antiqua" w:cs="Times New Roman"/>
                <w:sz w:val="24"/>
                <w:szCs w:val="24"/>
                <w:lang w:val="en-US"/>
              </w:rPr>
              <w:t xml:space="preserve"> </w:t>
            </w:r>
            <w:r w:rsidRPr="0002253E">
              <w:rPr>
                <w:rFonts w:ascii="Book Antiqua" w:hAnsi="Book Antiqua" w:cs="Times New Roman"/>
                <w:sz w:val="24"/>
                <w:szCs w:val="24"/>
                <w:lang w:val="en-US"/>
              </w:rPr>
              <w:t>=</w:t>
            </w:r>
            <w:r w:rsidR="0002253E" w:rsidRPr="0002253E">
              <w:rPr>
                <w:rFonts w:ascii="Book Antiqua" w:hAnsi="Book Antiqua" w:cs="Times New Roman" w:hint="eastAsia"/>
                <w:sz w:val="24"/>
                <w:szCs w:val="24"/>
                <w:lang w:val="en-US" w:eastAsia="zh-CN"/>
              </w:rPr>
              <w:t xml:space="preserve"> </w:t>
            </w:r>
            <w:r w:rsidRPr="0002253E">
              <w:rPr>
                <w:rFonts w:ascii="Book Antiqua" w:hAnsi="Book Antiqua" w:cs="Times New Roman"/>
                <w:sz w:val="24"/>
                <w:szCs w:val="24"/>
                <w:lang w:val="en-US"/>
              </w:rPr>
              <w:t>49)</w:t>
            </w:r>
          </w:p>
          <w:p w:rsidR="00C56CA5" w:rsidRPr="0002253E" w:rsidRDefault="00C56CA5"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sz w:val="24"/>
                <w:szCs w:val="24"/>
                <w:lang w:val="en-US"/>
              </w:rPr>
              <w:t xml:space="preserve">   T3 (</w:t>
            </w:r>
            <w:r w:rsidR="0002253E" w:rsidRPr="0002253E">
              <w:rPr>
                <w:rFonts w:ascii="Book Antiqua" w:hAnsi="Book Antiqua" w:cs="Times New Roman"/>
                <w:i/>
                <w:sz w:val="24"/>
                <w:szCs w:val="24"/>
                <w:lang w:val="en-US"/>
              </w:rPr>
              <w:t>n</w:t>
            </w:r>
            <w:r w:rsidR="0002253E" w:rsidRPr="0002253E">
              <w:rPr>
                <w:rFonts w:ascii="Book Antiqua" w:hAnsi="Book Antiqua" w:cs="Times New Roman" w:hint="eastAsia"/>
                <w:sz w:val="24"/>
                <w:szCs w:val="24"/>
                <w:lang w:val="en-US" w:eastAsia="zh-CN"/>
              </w:rPr>
              <w:t xml:space="preserve"> </w:t>
            </w:r>
            <w:r w:rsidRPr="0002253E">
              <w:rPr>
                <w:rFonts w:ascii="Book Antiqua" w:hAnsi="Book Antiqua" w:cs="Times New Roman"/>
                <w:sz w:val="24"/>
                <w:szCs w:val="24"/>
                <w:lang w:val="en-US"/>
              </w:rPr>
              <w:t>=</w:t>
            </w:r>
            <w:r w:rsidR="0002253E" w:rsidRPr="0002253E">
              <w:rPr>
                <w:rFonts w:ascii="Book Antiqua" w:hAnsi="Book Antiqua" w:cs="Times New Roman" w:hint="eastAsia"/>
                <w:sz w:val="24"/>
                <w:szCs w:val="24"/>
                <w:lang w:val="en-US" w:eastAsia="zh-CN"/>
              </w:rPr>
              <w:t xml:space="preserve"> </w:t>
            </w:r>
            <w:r w:rsidRPr="0002253E">
              <w:rPr>
                <w:rFonts w:ascii="Book Antiqua" w:hAnsi="Book Antiqua" w:cs="Times New Roman"/>
                <w:sz w:val="24"/>
                <w:szCs w:val="24"/>
                <w:lang w:val="en-US"/>
              </w:rPr>
              <w:t>183)</w:t>
            </w:r>
          </w:p>
          <w:p w:rsidR="00C56CA5" w:rsidRPr="0002253E" w:rsidRDefault="00C56CA5"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sz w:val="24"/>
                <w:szCs w:val="24"/>
                <w:lang w:val="en-US"/>
              </w:rPr>
              <w:t xml:space="preserve">   T4 (</w:t>
            </w:r>
            <w:r w:rsidR="0002253E" w:rsidRPr="0002253E">
              <w:rPr>
                <w:rFonts w:ascii="Book Antiqua" w:hAnsi="Book Antiqua" w:cs="Times New Roman"/>
                <w:i/>
                <w:sz w:val="24"/>
                <w:szCs w:val="24"/>
                <w:lang w:val="en-US"/>
              </w:rPr>
              <w:t>n</w:t>
            </w:r>
            <w:r w:rsidR="0002253E" w:rsidRPr="0002253E">
              <w:rPr>
                <w:rFonts w:ascii="Book Antiqua" w:hAnsi="Book Antiqua" w:cs="Times New Roman" w:hint="eastAsia"/>
                <w:sz w:val="24"/>
                <w:szCs w:val="24"/>
                <w:lang w:val="en-US" w:eastAsia="zh-CN"/>
              </w:rPr>
              <w:t xml:space="preserve"> </w:t>
            </w:r>
            <w:r w:rsidRPr="0002253E">
              <w:rPr>
                <w:rFonts w:ascii="Book Antiqua" w:hAnsi="Book Antiqua" w:cs="Times New Roman"/>
                <w:sz w:val="24"/>
                <w:szCs w:val="24"/>
                <w:lang w:val="en-US"/>
              </w:rPr>
              <w:t>=</w:t>
            </w:r>
            <w:r w:rsidR="0002253E" w:rsidRPr="0002253E">
              <w:rPr>
                <w:rFonts w:ascii="Book Antiqua" w:hAnsi="Book Antiqua" w:cs="Times New Roman" w:hint="eastAsia"/>
                <w:sz w:val="24"/>
                <w:szCs w:val="24"/>
                <w:lang w:val="en-US" w:eastAsia="zh-CN"/>
              </w:rPr>
              <w:t xml:space="preserve"> </w:t>
            </w:r>
            <w:r w:rsidRPr="0002253E">
              <w:rPr>
                <w:rFonts w:ascii="Book Antiqua" w:hAnsi="Book Antiqua" w:cs="Times New Roman"/>
                <w:sz w:val="24"/>
                <w:szCs w:val="24"/>
                <w:lang w:val="en-US"/>
              </w:rPr>
              <w:t>24)</w:t>
            </w:r>
          </w:p>
        </w:tc>
        <w:tc>
          <w:tcPr>
            <w:tcW w:w="2410" w:type="dxa"/>
            <w:tcBorders>
              <w:top w:val="single" w:sz="4" w:space="0" w:color="auto"/>
            </w:tcBorders>
          </w:tcPr>
          <w:p w:rsidR="00C56CA5" w:rsidRPr="0002253E" w:rsidRDefault="00C56CA5" w:rsidP="00CF4A41">
            <w:pPr>
              <w:spacing w:after="0" w:line="360" w:lineRule="auto"/>
              <w:jc w:val="both"/>
              <w:rPr>
                <w:rFonts w:ascii="Book Antiqua" w:hAnsi="Book Antiqua" w:cs="Times New Roman"/>
                <w:sz w:val="24"/>
                <w:szCs w:val="24"/>
                <w:lang w:val="en-US"/>
              </w:rPr>
            </w:pPr>
          </w:p>
          <w:p w:rsidR="00C56CA5" w:rsidRPr="0002253E" w:rsidRDefault="00C56CA5"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sz w:val="24"/>
                <w:szCs w:val="24"/>
                <w:lang w:val="en-US"/>
              </w:rPr>
              <w:t>3.1 (1.5, 4.7)</w:t>
            </w:r>
          </w:p>
          <w:p w:rsidR="00C56CA5" w:rsidRPr="0002253E" w:rsidRDefault="00C56CA5"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sz w:val="24"/>
                <w:szCs w:val="24"/>
                <w:lang w:val="en-US"/>
              </w:rPr>
              <w:t>8.7 (7.0, 10.4)</w:t>
            </w:r>
          </w:p>
          <w:p w:rsidR="00C56CA5" w:rsidRPr="0002253E" w:rsidRDefault="00C56CA5"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sz w:val="24"/>
                <w:szCs w:val="24"/>
                <w:lang w:val="en-US"/>
              </w:rPr>
              <w:t>12.7 (11.7, 13.7)</w:t>
            </w:r>
          </w:p>
          <w:p w:rsidR="00C56CA5" w:rsidRPr="0002253E" w:rsidRDefault="00C56CA5"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sz w:val="24"/>
                <w:szCs w:val="24"/>
                <w:lang w:val="en-US"/>
              </w:rPr>
              <w:t>14.1 (11.6, 16.7)</w:t>
            </w:r>
          </w:p>
          <w:p w:rsidR="00C56CA5" w:rsidRPr="0002253E" w:rsidRDefault="0002253E"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i/>
                <w:sz w:val="24"/>
                <w:szCs w:val="24"/>
                <w:lang w:val="en-US"/>
              </w:rPr>
              <w:t>P</w:t>
            </w:r>
            <w:r>
              <w:rPr>
                <w:rFonts w:ascii="Book Antiqua" w:hAnsi="Book Antiqua" w:cs="Times New Roman" w:hint="eastAsia"/>
                <w:i/>
                <w:sz w:val="24"/>
                <w:szCs w:val="24"/>
                <w:lang w:val="en-US" w:eastAsia="zh-CN"/>
              </w:rPr>
              <w:t xml:space="preserve"> </w:t>
            </w:r>
            <w:r w:rsidR="00C56CA5" w:rsidRPr="0002253E">
              <w:rPr>
                <w:rFonts w:ascii="Book Antiqua" w:hAnsi="Book Antiqua" w:cs="Times New Roman"/>
                <w:sz w:val="24"/>
                <w:szCs w:val="24"/>
                <w:lang w:val="en-US"/>
              </w:rPr>
              <w:t>&lt;</w:t>
            </w:r>
            <w:r>
              <w:rPr>
                <w:rFonts w:ascii="Book Antiqua" w:hAnsi="Book Antiqua" w:cs="Times New Roman" w:hint="eastAsia"/>
                <w:sz w:val="24"/>
                <w:szCs w:val="24"/>
                <w:lang w:val="en-US" w:eastAsia="zh-CN"/>
              </w:rPr>
              <w:t xml:space="preserve"> </w:t>
            </w:r>
            <w:r w:rsidRPr="0002253E">
              <w:rPr>
                <w:rFonts w:ascii="Book Antiqua" w:hAnsi="Book Antiqua" w:cs="Times New Roman" w:hint="eastAsia"/>
                <w:sz w:val="24"/>
                <w:szCs w:val="24"/>
                <w:lang w:val="en-US" w:eastAsia="zh-CN"/>
              </w:rPr>
              <w:t xml:space="preserve"> </w:t>
            </w:r>
            <w:r w:rsidR="00C56CA5" w:rsidRPr="0002253E">
              <w:rPr>
                <w:rFonts w:ascii="Book Antiqua" w:hAnsi="Book Antiqua" w:cs="Times New Roman"/>
                <w:sz w:val="24"/>
                <w:szCs w:val="24"/>
                <w:lang w:val="en-US"/>
              </w:rPr>
              <w:t>0.001</w:t>
            </w:r>
          </w:p>
        </w:tc>
        <w:tc>
          <w:tcPr>
            <w:tcW w:w="2268" w:type="dxa"/>
            <w:tcBorders>
              <w:top w:val="single" w:sz="4" w:space="0" w:color="auto"/>
            </w:tcBorders>
          </w:tcPr>
          <w:p w:rsidR="00C56CA5" w:rsidRPr="0002253E" w:rsidRDefault="00C56CA5" w:rsidP="00CF4A41">
            <w:pPr>
              <w:spacing w:after="0" w:line="360" w:lineRule="auto"/>
              <w:jc w:val="both"/>
              <w:rPr>
                <w:rFonts w:ascii="Book Antiqua" w:hAnsi="Book Antiqua" w:cs="Times New Roman"/>
                <w:sz w:val="24"/>
                <w:szCs w:val="24"/>
                <w:lang w:val="en-US"/>
              </w:rPr>
            </w:pPr>
          </w:p>
          <w:p w:rsidR="00C56CA5" w:rsidRPr="0002253E" w:rsidRDefault="00C56CA5"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sz w:val="24"/>
                <w:szCs w:val="24"/>
                <w:lang w:val="en-US"/>
              </w:rPr>
              <w:t>Not reached</w:t>
            </w:r>
          </w:p>
          <w:p w:rsidR="00C56CA5" w:rsidRPr="0002253E" w:rsidRDefault="00C56CA5"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sz w:val="24"/>
                <w:szCs w:val="24"/>
                <w:lang w:val="en-US"/>
              </w:rPr>
              <w:t>1225 (742, 1708)</w:t>
            </w:r>
          </w:p>
          <w:p w:rsidR="00C56CA5" w:rsidRPr="0002253E" w:rsidRDefault="00C56CA5"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sz w:val="24"/>
                <w:szCs w:val="24"/>
                <w:lang w:val="en-US"/>
              </w:rPr>
              <w:t>495 (413, 577)</w:t>
            </w:r>
          </w:p>
          <w:p w:rsidR="00C56CA5" w:rsidRPr="0002253E" w:rsidRDefault="00C56CA5"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sz w:val="24"/>
                <w:szCs w:val="24"/>
                <w:lang w:val="en-US"/>
              </w:rPr>
              <w:t>390 (186, 594)</w:t>
            </w:r>
          </w:p>
          <w:p w:rsidR="00C56CA5" w:rsidRPr="0002253E" w:rsidRDefault="0002253E"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i/>
                <w:sz w:val="24"/>
                <w:szCs w:val="24"/>
                <w:lang w:val="en-US"/>
              </w:rPr>
              <w:t>P</w:t>
            </w:r>
            <w:r w:rsidRPr="0002253E">
              <w:rPr>
                <w:rFonts w:ascii="Book Antiqua" w:hAnsi="Book Antiqua" w:cs="Times New Roman"/>
                <w:sz w:val="24"/>
                <w:szCs w:val="24"/>
                <w:lang w:val="en-US"/>
              </w:rPr>
              <w:t xml:space="preserve"> </w:t>
            </w:r>
            <w:r w:rsidR="00C56CA5" w:rsidRPr="0002253E">
              <w:rPr>
                <w:rFonts w:ascii="Book Antiqua" w:hAnsi="Book Antiqua" w:cs="Times New Roman"/>
                <w:sz w:val="24"/>
                <w:szCs w:val="24"/>
                <w:lang w:val="en-US"/>
              </w:rPr>
              <w:t>&lt;</w:t>
            </w:r>
            <w:r>
              <w:rPr>
                <w:rFonts w:ascii="Book Antiqua" w:hAnsi="Book Antiqua" w:cs="Times New Roman" w:hint="eastAsia"/>
                <w:sz w:val="24"/>
                <w:szCs w:val="24"/>
                <w:lang w:val="en-US" w:eastAsia="zh-CN"/>
              </w:rPr>
              <w:t xml:space="preserve"> </w:t>
            </w:r>
            <w:r w:rsidR="00C56CA5" w:rsidRPr="0002253E">
              <w:rPr>
                <w:rFonts w:ascii="Book Antiqua" w:hAnsi="Book Antiqua" w:cs="Times New Roman"/>
                <w:sz w:val="24"/>
                <w:szCs w:val="24"/>
                <w:lang w:val="en-US"/>
              </w:rPr>
              <w:t>0.001</w:t>
            </w:r>
          </w:p>
        </w:tc>
      </w:tr>
      <w:tr w:rsidR="00C56CA5" w:rsidRPr="0002253E" w:rsidTr="0002253E">
        <w:tc>
          <w:tcPr>
            <w:tcW w:w="3794" w:type="dxa"/>
          </w:tcPr>
          <w:p w:rsidR="00C56CA5" w:rsidRPr="00773F51" w:rsidRDefault="00C56CA5" w:rsidP="00CF4A41">
            <w:pPr>
              <w:spacing w:after="0" w:line="360" w:lineRule="auto"/>
              <w:jc w:val="both"/>
              <w:rPr>
                <w:rFonts w:ascii="Book Antiqua" w:hAnsi="Book Antiqua" w:cs="Times New Roman"/>
                <w:sz w:val="24"/>
                <w:szCs w:val="24"/>
                <w:lang w:val="en-US"/>
              </w:rPr>
            </w:pPr>
            <w:r w:rsidRPr="00773F51">
              <w:rPr>
                <w:rFonts w:ascii="Book Antiqua" w:hAnsi="Book Antiqua" w:cs="Times New Roman"/>
                <w:sz w:val="24"/>
                <w:szCs w:val="24"/>
                <w:lang w:val="en-US"/>
              </w:rPr>
              <w:t>N stage</w:t>
            </w:r>
          </w:p>
          <w:p w:rsidR="00C56CA5" w:rsidRPr="0002253E" w:rsidRDefault="00C56CA5"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sz w:val="24"/>
                <w:szCs w:val="24"/>
                <w:lang w:val="en-US"/>
              </w:rPr>
              <w:t xml:space="preserve">   N0 (</w:t>
            </w:r>
            <w:r w:rsidR="0002253E" w:rsidRPr="0002253E">
              <w:rPr>
                <w:rFonts w:ascii="Book Antiqua" w:hAnsi="Book Antiqua" w:cs="Times New Roman"/>
                <w:i/>
                <w:sz w:val="24"/>
                <w:szCs w:val="24"/>
                <w:lang w:val="en-US"/>
              </w:rPr>
              <w:t>n</w:t>
            </w:r>
            <w:r w:rsidR="0002253E" w:rsidRPr="0002253E">
              <w:rPr>
                <w:rFonts w:ascii="Book Antiqua" w:hAnsi="Book Antiqua" w:cs="Times New Roman"/>
                <w:sz w:val="24"/>
                <w:szCs w:val="24"/>
                <w:lang w:val="en-US"/>
              </w:rPr>
              <w:t xml:space="preserve"> </w:t>
            </w:r>
            <w:r w:rsidRPr="0002253E">
              <w:rPr>
                <w:rFonts w:ascii="Book Antiqua" w:hAnsi="Book Antiqua" w:cs="Times New Roman"/>
                <w:sz w:val="24"/>
                <w:szCs w:val="24"/>
                <w:lang w:val="en-US"/>
              </w:rPr>
              <w:t>=</w:t>
            </w:r>
            <w:r w:rsidR="0002253E">
              <w:rPr>
                <w:rFonts w:ascii="Book Antiqua" w:hAnsi="Book Antiqua" w:cs="Times New Roman" w:hint="eastAsia"/>
                <w:sz w:val="24"/>
                <w:szCs w:val="24"/>
                <w:lang w:val="en-US" w:eastAsia="zh-CN"/>
              </w:rPr>
              <w:t xml:space="preserve"> </w:t>
            </w:r>
            <w:r w:rsidRPr="0002253E">
              <w:rPr>
                <w:rFonts w:ascii="Book Antiqua" w:hAnsi="Book Antiqua" w:cs="Times New Roman"/>
                <w:sz w:val="24"/>
                <w:szCs w:val="24"/>
                <w:lang w:val="en-US"/>
              </w:rPr>
              <w:t>107)</w:t>
            </w:r>
          </w:p>
          <w:p w:rsidR="00C56CA5" w:rsidRPr="0002253E" w:rsidRDefault="00C56CA5"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sz w:val="24"/>
                <w:szCs w:val="24"/>
                <w:lang w:val="en-US"/>
              </w:rPr>
              <w:t xml:space="preserve">   N1 (</w:t>
            </w:r>
            <w:r w:rsidR="0002253E" w:rsidRPr="0002253E">
              <w:rPr>
                <w:rFonts w:ascii="Book Antiqua" w:hAnsi="Book Antiqua" w:cs="Times New Roman"/>
                <w:i/>
                <w:sz w:val="24"/>
                <w:szCs w:val="24"/>
                <w:lang w:val="en-US"/>
              </w:rPr>
              <w:t>n</w:t>
            </w:r>
            <w:r w:rsidR="0002253E" w:rsidRPr="0002253E">
              <w:rPr>
                <w:rFonts w:ascii="Book Antiqua" w:hAnsi="Book Antiqua" w:cs="Times New Roman"/>
                <w:sz w:val="24"/>
                <w:szCs w:val="24"/>
                <w:lang w:val="en-US"/>
              </w:rPr>
              <w:t xml:space="preserve"> </w:t>
            </w:r>
            <w:r w:rsidRPr="0002253E">
              <w:rPr>
                <w:rFonts w:ascii="Book Antiqua" w:hAnsi="Book Antiqua" w:cs="Times New Roman"/>
                <w:sz w:val="24"/>
                <w:szCs w:val="24"/>
                <w:lang w:val="en-US"/>
              </w:rPr>
              <w:t>=</w:t>
            </w:r>
            <w:r w:rsidR="0002253E">
              <w:rPr>
                <w:rFonts w:ascii="Book Antiqua" w:hAnsi="Book Antiqua" w:cs="Times New Roman" w:hint="eastAsia"/>
                <w:sz w:val="24"/>
                <w:szCs w:val="24"/>
                <w:lang w:val="en-US" w:eastAsia="zh-CN"/>
              </w:rPr>
              <w:t xml:space="preserve"> </w:t>
            </w:r>
            <w:r w:rsidRPr="0002253E">
              <w:rPr>
                <w:rFonts w:ascii="Book Antiqua" w:hAnsi="Book Antiqua" w:cs="Times New Roman"/>
                <w:sz w:val="24"/>
                <w:szCs w:val="24"/>
                <w:lang w:val="en-US"/>
              </w:rPr>
              <w:t>89)</w:t>
            </w:r>
          </w:p>
          <w:p w:rsidR="00C56CA5" w:rsidRPr="0002253E" w:rsidRDefault="00C56CA5"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sz w:val="24"/>
                <w:szCs w:val="24"/>
                <w:lang w:val="en-US"/>
              </w:rPr>
              <w:t xml:space="preserve">   N2 (</w:t>
            </w:r>
            <w:r w:rsidR="0002253E" w:rsidRPr="0002253E">
              <w:rPr>
                <w:rFonts w:ascii="Book Antiqua" w:hAnsi="Book Antiqua" w:cs="Times New Roman"/>
                <w:i/>
                <w:sz w:val="24"/>
                <w:szCs w:val="24"/>
                <w:lang w:val="en-US"/>
              </w:rPr>
              <w:t>n</w:t>
            </w:r>
            <w:r w:rsidR="0002253E" w:rsidRPr="0002253E">
              <w:rPr>
                <w:rFonts w:ascii="Book Antiqua" w:hAnsi="Book Antiqua" w:cs="Times New Roman"/>
                <w:sz w:val="24"/>
                <w:szCs w:val="24"/>
                <w:lang w:val="en-US"/>
              </w:rPr>
              <w:t xml:space="preserve"> </w:t>
            </w:r>
            <w:r w:rsidRPr="0002253E">
              <w:rPr>
                <w:rFonts w:ascii="Book Antiqua" w:hAnsi="Book Antiqua" w:cs="Times New Roman"/>
                <w:sz w:val="24"/>
                <w:szCs w:val="24"/>
                <w:lang w:val="en-US"/>
              </w:rPr>
              <w:t>=</w:t>
            </w:r>
            <w:r w:rsidR="0002253E">
              <w:rPr>
                <w:rFonts w:ascii="Book Antiqua" w:hAnsi="Book Antiqua" w:cs="Times New Roman" w:hint="eastAsia"/>
                <w:sz w:val="24"/>
                <w:szCs w:val="24"/>
                <w:lang w:val="en-US" w:eastAsia="zh-CN"/>
              </w:rPr>
              <w:t xml:space="preserve"> </w:t>
            </w:r>
            <w:r w:rsidRPr="0002253E">
              <w:rPr>
                <w:rFonts w:ascii="Book Antiqua" w:hAnsi="Book Antiqua" w:cs="Times New Roman"/>
                <w:sz w:val="24"/>
                <w:szCs w:val="24"/>
                <w:lang w:val="en-US"/>
              </w:rPr>
              <w:t>61)</w:t>
            </w:r>
          </w:p>
          <w:p w:rsidR="00C56CA5" w:rsidRPr="0002253E" w:rsidRDefault="00C56CA5"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sz w:val="24"/>
                <w:szCs w:val="24"/>
                <w:lang w:val="en-US"/>
              </w:rPr>
              <w:t xml:space="preserve">   N3 (</w:t>
            </w:r>
            <w:r w:rsidR="0002253E" w:rsidRPr="0002253E">
              <w:rPr>
                <w:rFonts w:ascii="Book Antiqua" w:hAnsi="Book Antiqua" w:cs="Times New Roman"/>
                <w:i/>
                <w:sz w:val="24"/>
                <w:szCs w:val="24"/>
                <w:lang w:val="en-US"/>
              </w:rPr>
              <w:t>n</w:t>
            </w:r>
            <w:r w:rsidR="0002253E" w:rsidRPr="0002253E">
              <w:rPr>
                <w:rFonts w:ascii="Book Antiqua" w:hAnsi="Book Antiqua" w:cs="Times New Roman"/>
                <w:sz w:val="24"/>
                <w:szCs w:val="24"/>
                <w:lang w:val="en-US"/>
              </w:rPr>
              <w:t xml:space="preserve"> </w:t>
            </w:r>
            <w:r w:rsidRPr="0002253E">
              <w:rPr>
                <w:rFonts w:ascii="Book Antiqua" w:hAnsi="Book Antiqua" w:cs="Times New Roman"/>
                <w:sz w:val="24"/>
                <w:szCs w:val="24"/>
                <w:lang w:val="en-US"/>
              </w:rPr>
              <w:t>=</w:t>
            </w:r>
            <w:r w:rsidR="0002253E">
              <w:rPr>
                <w:rFonts w:ascii="Book Antiqua" w:hAnsi="Book Antiqua" w:cs="Times New Roman" w:hint="eastAsia"/>
                <w:sz w:val="24"/>
                <w:szCs w:val="24"/>
                <w:lang w:val="en-US" w:eastAsia="zh-CN"/>
              </w:rPr>
              <w:t xml:space="preserve"> </w:t>
            </w:r>
            <w:r w:rsidRPr="0002253E">
              <w:rPr>
                <w:rFonts w:ascii="Book Antiqua" w:hAnsi="Book Antiqua" w:cs="Times New Roman"/>
                <w:sz w:val="24"/>
                <w:szCs w:val="24"/>
                <w:lang w:val="en-US"/>
              </w:rPr>
              <w:t>14)</w:t>
            </w:r>
          </w:p>
        </w:tc>
        <w:tc>
          <w:tcPr>
            <w:tcW w:w="2410" w:type="dxa"/>
          </w:tcPr>
          <w:p w:rsidR="00C56CA5" w:rsidRPr="0002253E" w:rsidRDefault="00C56CA5" w:rsidP="00CF4A41">
            <w:pPr>
              <w:spacing w:after="0" w:line="360" w:lineRule="auto"/>
              <w:jc w:val="both"/>
              <w:rPr>
                <w:rFonts w:ascii="Book Antiqua" w:hAnsi="Book Antiqua" w:cs="Times New Roman"/>
                <w:sz w:val="24"/>
                <w:szCs w:val="24"/>
                <w:lang w:val="en-US"/>
              </w:rPr>
            </w:pPr>
          </w:p>
          <w:p w:rsidR="00C56CA5" w:rsidRPr="0002253E" w:rsidRDefault="00C56CA5"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sz w:val="24"/>
                <w:szCs w:val="24"/>
                <w:lang w:val="en-US"/>
              </w:rPr>
              <w:t>9.1 (8.1, 10.2)</w:t>
            </w:r>
          </w:p>
          <w:p w:rsidR="00C56CA5" w:rsidRPr="0002253E" w:rsidRDefault="00C56CA5"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sz w:val="24"/>
                <w:szCs w:val="24"/>
                <w:lang w:val="en-US"/>
              </w:rPr>
              <w:t>12.9 (11.4, 14.5)</w:t>
            </w:r>
          </w:p>
          <w:p w:rsidR="00C56CA5" w:rsidRPr="0002253E" w:rsidRDefault="00C56CA5"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sz w:val="24"/>
                <w:szCs w:val="24"/>
                <w:lang w:val="en-US"/>
              </w:rPr>
              <w:t>13.4 (11.6, 15.1)</w:t>
            </w:r>
          </w:p>
          <w:p w:rsidR="00C56CA5" w:rsidRPr="0002253E" w:rsidRDefault="00C56CA5"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sz w:val="24"/>
                <w:szCs w:val="24"/>
                <w:lang w:val="en-US"/>
              </w:rPr>
              <w:t>14.4 (8.8, 19.9)</w:t>
            </w:r>
          </w:p>
          <w:p w:rsidR="00C56CA5" w:rsidRPr="0002253E" w:rsidRDefault="0002253E"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i/>
                <w:sz w:val="24"/>
                <w:szCs w:val="24"/>
                <w:lang w:val="en-US"/>
              </w:rPr>
              <w:t>P</w:t>
            </w:r>
            <w:r w:rsidRPr="0002253E">
              <w:rPr>
                <w:rFonts w:ascii="Book Antiqua" w:hAnsi="Book Antiqua" w:cs="Times New Roman"/>
                <w:sz w:val="24"/>
                <w:szCs w:val="24"/>
                <w:lang w:val="en-US"/>
              </w:rPr>
              <w:t xml:space="preserve"> </w:t>
            </w:r>
            <w:r w:rsidR="00C56CA5" w:rsidRPr="0002253E">
              <w:rPr>
                <w:rFonts w:ascii="Book Antiqua" w:hAnsi="Book Antiqua" w:cs="Times New Roman"/>
                <w:sz w:val="24"/>
                <w:szCs w:val="24"/>
                <w:lang w:val="en-US"/>
              </w:rPr>
              <w:t>&lt;</w:t>
            </w:r>
            <w:r>
              <w:rPr>
                <w:rFonts w:ascii="Book Antiqua" w:hAnsi="Book Antiqua" w:cs="Times New Roman" w:hint="eastAsia"/>
                <w:sz w:val="24"/>
                <w:szCs w:val="24"/>
                <w:lang w:val="en-US" w:eastAsia="zh-CN"/>
              </w:rPr>
              <w:t xml:space="preserve"> </w:t>
            </w:r>
            <w:r w:rsidR="00C56CA5" w:rsidRPr="0002253E">
              <w:rPr>
                <w:rFonts w:ascii="Book Antiqua" w:hAnsi="Book Antiqua" w:cs="Times New Roman"/>
                <w:sz w:val="24"/>
                <w:szCs w:val="24"/>
                <w:lang w:val="en-US"/>
              </w:rPr>
              <w:t>0.001</w:t>
            </w:r>
          </w:p>
        </w:tc>
        <w:tc>
          <w:tcPr>
            <w:tcW w:w="2268" w:type="dxa"/>
          </w:tcPr>
          <w:p w:rsidR="00C56CA5" w:rsidRPr="0002253E" w:rsidRDefault="00C56CA5" w:rsidP="00CF4A41">
            <w:pPr>
              <w:spacing w:after="0" w:line="360" w:lineRule="auto"/>
              <w:jc w:val="both"/>
              <w:rPr>
                <w:rFonts w:ascii="Book Antiqua" w:hAnsi="Book Antiqua" w:cs="Times New Roman"/>
                <w:sz w:val="24"/>
                <w:szCs w:val="24"/>
                <w:lang w:val="en-US"/>
              </w:rPr>
            </w:pPr>
          </w:p>
          <w:p w:rsidR="00C56CA5" w:rsidRPr="0002253E" w:rsidRDefault="00C56CA5"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sz w:val="24"/>
                <w:szCs w:val="24"/>
                <w:lang w:val="en-US"/>
              </w:rPr>
              <w:t>1094 (835, 1352)</w:t>
            </w:r>
          </w:p>
          <w:p w:rsidR="00C56CA5" w:rsidRPr="0002253E" w:rsidRDefault="00C56CA5"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sz w:val="24"/>
                <w:szCs w:val="24"/>
                <w:lang w:val="en-US"/>
              </w:rPr>
              <w:t>466 (371, 561)</w:t>
            </w:r>
          </w:p>
          <w:p w:rsidR="00C56CA5" w:rsidRPr="0002253E" w:rsidRDefault="00C56CA5"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sz w:val="24"/>
                <w:szCs w:val="24"/>
                <w:lang w:val="en-US"/>
              </w:rPr>
              <w:t>477 (307, 646)</w:t>
            </w:r>
          </w:p>
          <w:p w:rsidR="00C56CA5" w:rsidRPr="0002253E" w:rsidRDefault="00C56CA5"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sz w:val="24"/>
                <w:szCs w:val="24"/>
                <w:lang w:val="en-US"/>
              </w:rPr>
              <w:t>530 (350, 710)</w:t>
            </w:r>
          </w:p>
          <w:p w:rsidR="00C56CA5" w:rsidRPr="0002253E" w:rsidRDefault="0002253E"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i/>
                <w:sz w:val="24"/>
                <w:szCs w:val="24"/>
                <w:lang w:val="en-US"/>
              </w:rPr>
              <w:t>P</w:t>
            </w:r>
            <w:r w:rsidRPr="0002253E">
              <w:rPr>
                <w:rFonts w:ascii="Book Antiqua" w:hAnsi="Book Antiqua" w:cs="Times New Roman"/>
                <w:sz w:val="24"/>
                <w:szCs w:val="24"/>
                <w:lang w:val="en-US"/>
              </w:rPr>
              <w:t xml:space="preserve"> </w:t>
            </w:r>
            <w:r w:rsidR="00C56CA5" w:rsidRPr="0002253E">
              <w:rPr>
                <w:rFonts w:ascii="Book Antiqua" w:hAnsi="Book Antiqua" w:cs="Times New Roman"/>
                <w:sz w:val="24"/>
                <w:szCs w:val="24"/>
                <w:lang w:val="en-US"/>
              </w:rPr>
              <w:t>&lt;</w:t>
            </w:r>
            <w:r>
              <w:rPr>
                <w:rFonts w:ascii="Book Antiqua" w:hAnsi="Book Antiqua" w:cs="Times New Roman" w:hint="eastAsia"/>
                <w:sz w:val="24"/>
                <w:szCs w:val="24"/>
                <w:lang w:val="en-US" w:eastAsia="zh-CN"/>
              </w:rPr>
              <w:t xml:space="preserve"> </w:t>
            </w:r>
            <w:r w:rsidR="00C56CA5" w:rsidRPr="0002253E">
              <w:rPr>
                <w:rFonts w:ascii="Book Antiqua" w:hAnsi="Book Antiqua" w:cs="Times New Roman"/>
                <w:sz w:val="24"/>
                <w:szCs w:val="24"/>
                <w:lang w:val="en-US"/>
              </w:rPr>
              <w:t>0.001</w:t>
            </w:r>
          </w:p>
        </w:tc>
      </w:tr>
      <w:tr w:rsidR="00C56CA5" w:rsidRPr="0002253E" w:rsidTr="0002253E">
        <w:tc>
          <w:tcPr>
            <w:tcW w:w="3794" w:type="dxa"/>
          </w:tcPr>
          <w:p w:rsidR="00C56CA5" w:rsidRPr="00773F51" w:rsidRDefault="00C56CA5" w:rsidP="00CF4A41">
            <w:pPr>
              <w:spacing w:after="0" w:line="360" w:lineRule="auto"/>
              <w:jc w:val="both"/>
              <w:rPr>
                <w:rFonts w:ascii="Book Antiqua" w:hAnsi="Book Antiqua" w:cs="Times New Roman"/>
                <w:sz w:val="24"/>
                <w:szCs w:val="24"/>
                <w:lang w:val="en-US"/>
              </w:rPr>
            </w:pPr>
            <w:r w:rsidRPr="00773F51">
              <w:rPr>
                <w:rFonts w:ascii="Book Antiqua" w:hAnsi="Book Antiqua" w:cs="Times New Roman"/>
                <w:sz w:val="24"/>
                <w:szCs w:val="24"/>
                <w:lang w:val="en-US"/>
              </w:rPr>
              <w:t>UICC stage</w:t>
            </w:r>
          </w:p>
          <w:p w:rsidR="00C56CA5" w:rsidRPr="0002253E" w:rsidRDefault="00C56CA5"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sz w:val="24"/>
                <w:szCs w:val="24"/>
                <w:lang w:val="en-US"/>
              </w:rPr>
              <w:t>Stage 0 or 1 (</w:t>
            </w:r>
            <w:r w:rsidR="0002253E" w:rsidRPr="0002253E">
              <w:rPr>
                <w:rFonts w:ascii="Book Antiqua" w:hAnsi="Book Antiqua" w:cs="Times New Roman"/>
                <w:i/>
                <w:sz w:val="24"/>
                <w:szCs w:val="24"/>
                <w:lang w:val="en-US"/>
              </w:rPr>
              <w:t>n</w:t>
            </w:r>
            <w:r w:rsidR="0002253E" w:rsidRPr="0002253E">
              <w:rPr>
                <w:rFonts w:ascii="Book Antiqua" w:hAnsi="Book Antiqua" w:cs="Times New Roman"/>
                <w:sz w:val="24"/>
                <w:szCs w:val="24"/>
                <w:lang w:val="en-US"/>
              </w:rPr>
              <w:t xml:space="preserve"> </w:t>
            </w:r>
            <w:r w:rsidRPr="0002253E">
              <w:rPr>
                <w:rFonts w:ascii="Book Antiqua" w:hAnsi="Book Antiqua" w:cs="Times New Roman"/>
                <w:sz w:val="24"/>
                <w:szCs w:val="24"/>
                <w:lang w:val="en-US"/>
              </w:rPr>
              <w:t>=</w:t>
            </w:r>
            <w:r w:rsidR="0002253E">
              <w:rPr>
                <w:rFonts w:ascii="Book Antiqua" w:hAnsi="Book Antiqua" w:cs="Times New Roman" w:hint="eastAsia"/>
                <w:sz w:val="24"/>
                <w:szCs w:val="24"/>
                <w:lang w:val="en-US" w:eastAsia="zh-CN"/>
              </w:rPr>
              <w:t xml:space="preserve"> </w:t>
            </w:r>
            <w:r w:rsidRPr="0002253E">
              <w:rPr>
                <w:rFonts w:ascii="Book Antiqua" w:hAnsi="Book Antiqua" w:cs="Times New Roman"/>
                <w:sz w:val="24"/>
                <w:szCs w:val="24"/>
                <w:lang w:val="en-US"/>
              </w:rPr>
              <w:t>45)</w:t>
            </w:r>
          </w:p>
          <w:p w:rsidR="00C56CA5" w:rsidRPr="0002253E" w:rsidRDefault="00C56CA5"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sz w:val="24"/>
                <w:szCs w:val="24"/>
                <w:lang w:val="en-US"/>
              </w:rPr>
              <w:t xml:space="preserve">   Stage 2 (</w:t>
            </w:r>
            <w:r w:rsidR="0002253E" w:rsidRPr="0002253E">
              <w:rPr>
                <w:rFonts w:ascii="Book Antiqua" w:hAnsi="Book Antiqua" w:cs="Times New Roman"/>
                <w:i/>
                <w:sz w:val="24"/>
                <w:szCs w:val="24"/>
                <w:lang w:val="en-US"/>
              </w:rPr>
              <w:t>n</w:t>
            </w:r>
            <w:r w:rsidR="0002253E" w:rsidRPr="0002253E">
              <w:rPr>
                <w:rFonts w:ascii="Book Antiqua" w:hAnsi="Book Antiqua" w:cs="Times New Roman"/>
                <w:sz w:val="24"/>
                <w:szCs w:val="24"/>
                <w:lang w:val="en-US"/>
              </w:rPr>
              <w:t xml:space="preserve"> </w:t>
            </w:r>
            <w:r w:rsidRPr="0002253E">
              <w:rPr>
                <w:rFonts w:ascii="Book Antiqua" w:hAnsi="Book Antiqua" w:cs="Times New Roman"/>
                <w:sz w:val="24"/>
                <w:szCs w:val="24"/>
                <w:lang w:val="en-US"/>
              </w:rPr>
              <w:t>=</w:t>
            </w:r>
            <w:r w:rsidR="0002253E">
              <w:rPr>
                <w:rFonts w:ascii="Book Antiqua" w:hAnsi="Book Antiqua" w:cs="Times New Roman" w:hint="eastAsia"/>
                <w:sz w:val="24"/>
                <w:szCs w:val="24"/>
                <w:lang w:val="en-US" w:eastAsia="zh-CN"/>
              </w:rPr>
              <w:t xml:space="preserve"> </w:t>
            </w:r>
            <w:r w:rsidRPr="0002253E">
              <w:rPr>
                <w:rFonts w:ascii="Book Antiqua" w:hAnsi="Book Antiqua" w:cs="Times New Roman"/>
                <w:sz w:val="24"/>
                <w:szCs w:val="24"/>
                <w:lang w:val="en-US"/>
              </w:rPr>
              <w:t>50)</w:t>
            </w:r>
          </w:p>
          <w:p w:rsidR="00C56CA5" w:rsidRPr="0002253E" w:rsidRDefault="00C56CA5"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sz w:val="24"/>
                <w:szCs w:val="24"/>
                <w:lang w:val="en-US"/>
              </w:rPr>
              <w:t xml:space="preserve">   Stage 3 (</w:t>
            </w:r>
            <w:r w:rsidR="0002253E" w:rsidRPr="0002253E">
              <w:rPr>
                <w:rFonts w:ascii="Book Antiqua" w:hAnsi="Book Antiqua" w:cs="Times New Roman"/>
                <w:i/>
                <w:sz w:val="24"/>
                <w:szCs w:val="24"/>
                <w:lang w:val="en-US"/>
              </w:rPr>
              <w:t>n</w:t>
            </w:r>
            <w:r w:rsidR="0002253E" w:rsidRPr="0002253E">
              <w:rPr>
                <w:rFonts w:ascii="Book Antiqua" w:hAnsi="Book Antiqua" w:cs="Times New Roman"/>
                <w:sz w:val="24"/>
                <w:szCs w:val="24"/>
                <w:lang w:val="en-US"/>
              </w:rPr>
              <w:t xml:space="preserve"> </w:t>
            </w:r>
            <w:r w:rsidRPr="0002253E">
              <w:rPr>
                <w:rFonts w:ascii="Book Antiqua" w:hAnsi="Book Antiqua" w:cs="Times New Roman"/>
                <w:sz w:val="24"/>
                <w:szCs w:val="24"/>
                <w:lang w:val="en-US"/>
              </w:rPr>
              <w:t>=</w:t>
            </w:r>
            <w:r w:rsidR="0002253E">
              <w:rPr>
                <w:rFonts w:ascii="Book Antiqua" w:hAnsi="Book Antiqua" w:cs="Times New Roman" w:hint="eastAsia"/>
                <w:sz w:val="24"/>
                <w:szCs w:val="24"/>
                <w:lang w:val="en-US" w:eastAsia="zh-CN"/>
              </w:rPr>
              <w:t xml:space="preserve"> </w:t>
            </w:r>
            <w:r w:rsidRPr="0002253E">
              <w:rPr>
                <w:rFonts w:ascii="Book Antiqua" w:hAnsi="Book Antiqua" w:cs="Times New Roman"/>
                <w:sz w:val="24"/>
                <w:szCs w:val="24"/>
                <w:lang w:val="en-US"/>
              </w:rPr>
              <w:t>99)</w:t>
            </w:r>
          </w:p>
          <w:p w:rsidR="00C56CA5" w:rsidRPr="0002253E" w:rsidRDefault="00C56CA5"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sz w:val="24"/>
                <w:szCs w:val="24"/>
                <w:lang w:val="en-US"/>
              </w:rPr>
              <w:t xml:space="preserve">   Stage 4 (</w:t>
            </w:r>
            <w:r w:rsidR="0002253E" w:rsidRPr="0002253E">
              <w:rPr>
                <w:rFonts w:ascii="Book Antiqua" w:hAnsi="Book Antiqua" w:cs="Times New Roman"/>
                <w:i/>
                <w:sz w:val="24"/>
                <w:szCs w:val="24"/>
                <w:lang w:val="en-US"/>
              </w:rPr>
              <w:t>n</w:t>
            </w:r>
            <w:r w:rsidR="0002253E" w:rsidRPr="0002253E">
              <w:rPr>
                <w:rFonts w:ascii="Book Antiqua" w:hAnsi="Book Antiqua" w:cs="Times New Roman"/>
                <w:sz w:val="24"/>
                <w:szCs w:val="24"/>
                <w:lang w:val="en-US"/>
              </w:rPr>
              <w:t xml:space="preserve"> </w:t>
            </w:r>
            <w:r w:rsidRPr="0002253E">
              <w:rPr>
                <w:rFonts w:ascii="Book Antiqua" w:hAnsi="Book Antiqua" w:cs="Times New Roman"/>
                <w:sz w:val="24"/>
                <w:szCs w:val="24"/>
                <w:lang w:val="en-US"/>
              </w:rPr>
              <w:t>=</w:t>
            </w:r>
            <w:r w:rsidR="0002253E">
              <w:rPr>
                <w:rFonts w:ascii="Book Antiqua" w:hAnsi="Book Antiqua" w:cs="Times New Roman" w:hint="eastAsia"/>
                <w:sz w:val="24"/>
                <w:szCs w:val="24"/>
                <w:lang w:val="en-US" w:eastAsia="zh-CN"/>
              </w:rPr>
              <w:t xml:space="preserve"> </w:t>
            </w:r>
            <w:r w:rsidRPr="0002253E">
              <w:rPr>
                <w:rFonts w:ascii="Book Antiqua" w:hAnsi="Book Antiqua" w:cs="Times New Roman"/>
                <w:sz w:val="24"/>
                <w:szCs w:val="24"/>
                <w:lang w:val="en-US"/>
              </w:rPr>
              <w:t>77)</w:t>
            </w:r>
          </w:p>
        </w:tc>
        <w:tc>
          <w:tcPr>
            <w:tcW w:w="2410" w:type="dxa"/>
          </w:tcPr>
          <w:p w:rsidR="00C56CA5" w:rsidRPr="0002253E" w:rsidRDefault="00C56CA5" w:rsidP="00CF4A41">
            <w:pPr>
              <w:spacing w:after="0" w:line="360" w:lineRule="auto"/>
              <w:jc w:val="both"/>
              <w:rPr>
                <w:rFonts w:ascii="Book Antiqua" w:hAnsi="Book Antiqua" w:cs="Times New Roman"/>
                <w:sz w:val="24"/>
                <w:szCs w:val="24"/>
                <w:lang w:val="en-US"/>
              </w:rPr>
            </w:pPr>
          </w:p>
          <w:p w:rsidR="00C56CA5" w:rsidRPr="0002253E" w:rsidRDefault="00C56CA5"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sz w:val="24"/>
                <w:szCs w:val="24"/>
                <w:lang w:val="en-US"/>
              </w:rPr>
              <w:t>5.6 (4.2, 7.0)</w:t>
            </w:r>
          </w:p>
          <w:p w:rsidR="00C56CA5" w:rsidRPr="0002253E" w:rsidRDefault="00C56CA5"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sz w:val="24"/>
                <w:szCs w:val="24"/>
                <w:lang w:val="en-US"/>
              </w:rPr>
              <w:t>12.1 (10.6, 13.6)</w:t>
            </w:r>
          </w:p>
          <w:p w:rsidR="00C56CA5" w:rsidRPr="0002253E" w:rsidRDefault="00C56CA5"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sz w:val="24"/>
                <w:szCs w:val="24"/>
                <w:lang w:val="en-US"/>
              </w:rPr>
              <w:t>11.9 (10.7, 13.2)</w:t>
            </w:r>
          </w:p>
          <w:p w:rsidR="00C56CA5" w:rsidRPr="0002253E" w:rsidRDefault="00C56CA5"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sz w:val="24"/>
                <w:szCs w:val="24"/>
                <w:lang w:val="en-US"/>
              </w:rPr>
              <w:t>14.4 (12.6, 16.1)</w:t>
            </w:r>
          </w:p>
          <w:p w:rsidR="00C56CA5" w:rsidRPr="0002253E" w:rsidRDefault="0002253E"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i/>
                <w:sz w:val="24"/>
                <w:szCs w:val="24"/>
                <w:lang w:val="en-US"/>
              </w:rPr>
              <w:t>P</w:t>
            </w:r>
            <w:r w:rsidRPr="0002253E">
              <w:rPr>
                <w:rFonts w:ascii="Book Antiqua" w:hAnsi="Book Antiqua" w:cs="Times New Roman"/>
                <w:sz w:val="24"/>
                <w:szCs w:val="24"/>
                <w:lang w:val="en-US"/>
              </w:rPr>
              <w:t xml:space="preserve"> </w:t>
            </w:r>
            <w:r w:rsidR="00C56CA5" w:rsidRPr="0002253E">
              <w:rPr>
                <w:rFonts w:ascii="Book Antiqua" w:hAnsi="Book Antiqua" w:cs="Times New Roman"/>
                <w:sz w:val="24"/>
                <w:szCs w:val="24"/>
                <w:lang w:val="en-US"/>
              </w:rPr>
              <w:t>&lt;</w:t>
            </w:r>
            <w:r>
              <w:rPr>
                <w:rFonts w:ascii="Book Antiqua" w:hAnsi="Book Antiqua" w:cs="Times New Roman" w:hint="eastAsia"/>
                <w:sz w:val="24"/>
                <w:szCs w:val="24"/>
                <w:lang w:val="en-US" w:eastAsia="zh-CN"/>
              </w:rPr>
              <w:t xml:space="preserve"> </w:t>
            </w:r>
            <w:r w:rsidR="00C56CA5" w:rsidRPr="0002253E">
              <w:rPr>
                <w:rFonts w:ascii="Book Antiqua" w:hAnsi="Book Antiqua" w:cs="Times New Roman"/>
                <w:sz w:val="24"/>
                <w:szCs w:val="24"/>
                <w:lang w:val="en-US"/>
              </w:rPr>
              <w:t>0.001</w:t>
            </w:r>
          </w:p>
        </w:tc>
        <w:tc>
          <w:tcPr>
            <w:tcW w:w="2268" w:type="dxa"/>
          </w:tcPr>
          <w:p w:rsidR="00C56CA5" w:rsidRPr="0002253E" w:rsidRDefault="00C56CA5" w:rsidP="00CF4A41">
            <w:pPr>
              <w:spacing w:after="0" w:line="360" w:lineRule="auto"/>
              <w:jc w:val="both"/>
              <w:rPr>
                <w:rFonts w:ascii="Book Antiqua" w:hAnsi="Book Antiqua" w:cs="Times New Roman"/>
                <w:sz w:val="24"/>
                <w:szCs w:val="24"/>
                <w:lang w:val="en-US"/>
              </w:rPr>
            </w:pPr>
          </w:p>
          <w:p w:rsidR="00C56CA5" w:rsidRPr="0002253E" w:rsidRDefault="00C56CA5"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sz w:val="24"/>
                <w:szCs w:val="24"/>
                <w:lang w:val="en-US"/>
              </w:rPr>
              <w:t>2092 (1060, 3124)</w:t>
            </w:r>
          </w:p>
          <w:p w:rsidR="00C56CA5" w:rsidRPr="0002253E" w:rsidRDefault="00C56CA5"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sz w:val="24"/>
                <w:szCs w:val="24"/>
                <w:lang w:val="en-US"/>
              </w:rPr>
              <w:t>780 (195,1365)</w:t>
            </w:r>
          </w:p>
          <w:p w:rsidR="00C56CA5" w:rsidRPr="0002253E" w:rsidRDefault="00C56CA5"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sz w:val="24"/>
                <w:szCs w:val="24"/>
                <w:lang w:val="en-US"/>
              </w:rPr>
              <w:t>594 (473, 715)</w:t>
            </w:r>
          </w:p>
          <w:p w:rsidR="00C56CA5" w:rsidRPr="0002253E" w:rsidRDefault="00C56CA5"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sz w:val="24"/>
                <w:szCs w:val="24"/>
                <w:lang w:val="en-US"/>
              </w:rPr>
              <w:t>349 (280, 418)</w:t>
            </w:r>
          </w:p>
          <w:p w:rsidR="00C56CA5" w:rsidRPr="0002253E" w:rsidRDefault="0002253E"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i/>
                <w:sz w:val="24"/>
                <w:szCs w:val="24"/>
                <w:lang w:val="en-US"/>
              </w:rPr>
              <w:t>P</w:t>
            </w:r>
            <w:r w:rsidRPr="0002253E">
              <w:rPr>
                <w:rFonts w:ascii="Book Antiqua" w:hAnsi="Book Antiqua" w:cs="Times New Roman"/>
                <w:sz w:val="24"/>
                <w:szCs w:val="24"/>
                <w:lang w:val="en-US"/>
              </w:rPr>
              <w:t xml:space="preserve"> </w:t>
            </w:r>
            <w:r w:rsidR="00C56CA5" w:rsidRPr="0002253E">
              <w:rPr>
                <w:rFonts w:ascii="Book Antiqua" w:hAnsi="Book Antiqua" w:cs="Times New Roman"/>
                <w:sz w:val="24"/>
                <w:szCs w:val="24"/>
                <w:lang w:val="en-US"/>
              </w:rPr>
              <w:t>&lt;</w:t>
            </w:r>
            <w:r>
              <w:rPr>
                <w:rFonts w:ascii="Book Antiqua" w:hAnsi="Book Antiqua" w:cs="Times New Roman" w:hint="eastAsia"/>
                <w:sz w:val="24"/>
                <w:szCs w:val="24"/>
                <w:lang w:val="en-US" w:eastAsia="zh-CN"/>
              </w:rPr>
              <w:t xml:space="preserve"> </w:t>
            </w:r>
            <w:r w:rsidR="00C56CA5" w:rsidRPr="0002253E">
              <w:rPr>
                <w:rFonts w:ascii="Book Antiqua" w:hAnsi="Book Antiqua" w:cs="Times New Roman"/>
                <w:sz w:val="24"/>
                <w:szCs w:val="24"/>
                <w:lang w:val="en-US"/>
              </w:rPr>
              <w:t>0.001</w:t>
            </w:r>
          </w:p>
        </w:tc>
      </w:tr>
    </w:tbl>
    <w:p w:rsidR="00911F24" w:rsidRDefault="00911F24" w:rsidP="00CF4A41">
      <w:pPr>
        <w:spacing w:after="0" w:line="360" w:lineRule="auto"/>
        <w:jc w:val="both"/>
        <w:rPr>
          <w:rFonts w:ascii="Book Antiqua" w:hAnsi="Book Antiqua" w:cs="Times New Roman"/>
          <w:b/>
          <w:bCs/>
          <w:sz w:val="24"/>
          <w:szCs w:val="24"/>
          <w:lang w:val="en-US"/>
        </w:rPr>
      </w:pPr>
    </w:p>
    <w:p w:rsidR="00C56CA5" w:rsidRPr="00613E70" w:rsidRDefault="00911F24" w:rsidP="00CF4A41">
      <w:pPr>
        <w:spacing w:after="0" w:line="360" w:lineRule="auto"/>
        <w:jc w:val="both"/>
        <w:rPr>
          <w:rFonts w:ascii="Book Antiqua" w:hAnsi="Book Antiqua" w:cs="Times New Roman"/>
          <w:b/>
          <w:bCs/>
          <w:sz w:val="24"/>
          <w:szCs w:val="24"/>
          <w:lang w:val="en-US"/>
        </w:rPr>
      </w:pPr>
      <w:r>
        <w:rPr>
          <w:rFonts w:ascii="Book Antiqua" w:hAnsi="Book Antiqua" w:cs="Times New Roman"/>
          <w:b/>
          <w:bCs/>
          <w:sz w:val="24"/>
          <w:szCs w:val="24"/>
          <w:lang w:val="en-US"/>
        </w:rPr>
        <w:br w:type="page"/>
      </w:r>
      <w:r w:rsidR="0002253E">
        <w:rPr>
          <w:rFonts w:ascii="Book Antiqua" w:hAnsi="Book Antiqua" w:cs="Times New Roman"/>
          <w:b/>
          <w:bCs/>
          <w:sz w:val="24"/>
          <w:szCs w:val="24"/>
          <w:lang w:val="en-US"/>
        </w:rPr>
        <w:lastRenderedPageBreak/>
        <w:t>Table 3</w:t>
      </w:r>
      <w:r w:rsidR="00C56CA5" w:rsidRPr="00613E70">
        <w:rPr>
          <w:rFonts w:ascii="Book Antiqua" w:hAnsi="Book Antiqua" w:cs="Times New Roman"/>
          <w:b/>
          <w:bCs/>
          <w:sz w:val="24"/>
          <w:szCs w:val="24"/>
          <w:lang w:val="en-US"/>
        </w:rPr>
        <w:t xml:space="preserve"> Influence of treatment intent and modality on SUV</w:t>
      </w:r>
      <w:r w:rsidR="00C56CA5" w:rsidRPr="0002253E">
        <w:rPr>
          <w:rFonts w:ascii="Book Antiqua" w:hAnsi="Book Antiqua" w:cs="Times New Roman"/>
          <w:b/>
          <w:bCs/>
          <w:sz w:val="24"/>
          <w:szCs w:val="24"/>
          <w:vertAlign w:val="subscript"/>
          <w:lang w:val="en-US"/>
        </w:rPr>
        <w:t>max</w:t>
      </w:r>
      <w:r w:rsidR="00C56CA5" w:rsidRPr="00613E70">
        <w:rPr>
          <w:rFonts w:ascii="Book Antiqua" w:hAnsi="Book Antiqua" w:cs="Times New Roman"/>
          <w:b/>
          <w:bCs/>
          <w:sz w:val="24"/>
          <w:szCs w:val="24"/>
          <w:lang w:val="en-US"/>
        </w:rPr>
        <w:t xml:space="preserve"> and survival</w:t>
      </w:r>
    </w:p>
    <w:tbl>
      <w:tblPr>
        <w:tblW w:w="0" w:type="auto"/>
        <w:tblBorders>
          <w:top w:val="single" w:sz="4" w:space="0" w:color="auto"/>
          <w:bottom w:val="single" w:sz="4" w:space="0" w:color="auto"/>
        </w:tblBorders>
        <w:tblLook w:val="00A0" w:firstRow="1" w:lastRow="0" w:firstColumn="1" w:lastColumn="0" w:noHBand="0" w:noVBand="0"/>
      </w:tblPr>
      <w:tblGrid>
        <w:gridCol w:w="3794"/>
        <w:gridCol w:w="2410"/>
        <w:gridCol w:w="2268"/>
      </w:tblGrid>
      <w:tr w:rsidR="00C56CA5" w:rsidRPr="00FE7B63" w:rsidTr="0002253E">
        <w:tc>
          <w:tcPr>
            <w:tcW w:w="3794" w:type="dxa"/>
            <w:tcBorders>
              <w:top w:val="single" w:sz="4" w:space="0" w:color="auto"/>
              <w:bottom w:val="single" w:sz="4" w:space="0" w:color="auto"/>
            </w:tcBorders>
          </w:tcPr>
          <w:p w:rsidR="00C56CA5" w:rsidRPr="00FE7B63" w:rsidRDefault="00C56CA5" w:rsidP="00CF4A41">
            <w:pPr>
              <w:spacing w:after="0" w:line="360" w:lineRule="auto"/>
              <w:jc w:val="both"/>
              <w:rPr>
                <w:rFonts w:ascii="Book Antiqua" w:hAnsi="Book Antiqua" w:cs="Times New Roman"/>
                <w:b/>
                <w:sz w:val="24"/>
                <w:szCs w:val="24"/>
                <w:lang w:val="en-US"/>
              </w:rPr>
            </w:pPr>
            <w:r w:rsidRPr="00FE7B63">
              <w:rPr>
                <w:rFonts w:ascii="Book Antiqua" w:hAnsi="Book Antiqua" w:cs="Times New Roman"/>
                <w:b/>
                <w:sz w:val="24"/>
                <w:szCs w:val="24"/>
                <w:lang w:val="en-US"/>
              </w:rPr>
              <w:t>Factor</w:t>
            </w:r>
          </w:p>
        </w:tc>
        <w:tc>
          <w:tcPr>
            <w:tcW w:w="2410" w:type="dxa"/>
            <w:tcBorders>
              <w:top w:val="single" w:sz="4" w:space="0" w:color="auto"/>
              <w:bottom w:val="single" w:sz="4" w:space="0" w:color="auto"/>
            </w:tcBorders>
          </w:tcPr>
          <w:p w:rsidR="00C56CA5" w:rsidRPr="00FE7B63" w:rsidRDefault="00C56CA5" w:rsidP="00CF4A41">
            <w:pPr>
              <w:spacing w:after="0" w:line="360" w:lineRule="auto"/>
              <w:jc w:val="both"/>
              <w:rPr>
                <w:rFonts w:ascii="Book Antiqua" w:hAnsi="Book Antiqua" w:cs="Times New Roman"/>
                <w:b/>
                <w:sz w:val="24"/>
                <w:szCs w:val="24"/>
                <w:lang w:val="en-US"/>
              </w:rPr>
            </w:pPr>
            <w:r w:rsidRPr="00FE7B63">
              <w:rPr>
                <w:rFonts w:ascii="Book Antiqua" w:hAnsi="Book Antiqua" w:cs="Times New Roman"/>
                <w:b/>
                <w:sz w:val="24"/>
                <w:szCs w:val="24"/>
                <w:lang w:val="en-US"/>
              </w:rPr>
              <w:t>Mean SUV</w:t>
            </w:r>
            <w:r w:rsidRPr="0002253E">
              <w:rPr>
                <w:rFonts w:ascii="Book Antiqua" w:hAnsi="Book Antiqua" w:cs="Times New Roman"/>
                <w:b/>
                <w:sz w:val="24"/>
                <w:szCs w:val="24"/>
                <w:vertAlign w:val="subscript"/>
                <w:lang w:val="en-US"/>
              </w:rPr>
              <w:t>max</w:t>
            </w:r>
            <w:r w:rsidR="00A971B0">
              <w:rPr>
                <w:rFonts w:ascii="Book Antiqua" w:hAnsi="Book Antiqua" w:cs="Times New Roman"/>
                <w:b/>
                <w:sz w:val="24"/>
                <w:szCs w:val="24"/>
                <w:lang w:val="en-US"/>
              </w:rPr>
              <w:t xml:space="preserve"> (95%</w:t>
            </w:r>
            <w:r w:rsidRPr="00FE7B63">
              <w:rPr>
                <w:rFonts w:ascii="Book Antiqua" w:hAnsi="Book Antiqua" w:cs="Times New Roman"/>
                <w:b/>
                <w:sz w:val="24"/>
                <w:szCs w:val="24"/>
                <w:lang w:val="en-US"/>
              </w:rPr>
              <w:t>CI)</w:t>
            </w:r>
          </w:p>
        </w:tc>
        <w:tc>
          <w:tcPr>
            <w:tcW w:w="2268" w:type="dxa"/>
            <w:tcBorders>
              <w:top w:val="single" w:sz="4" w:space="0" w:color="auto"/>
              <w:bottom w:val="single" w:sz="4" w:space="0" w:color="auto"/>
            </w:tcBorders>
          </w:tcPr>
          <w:p w:rsidR="00C56CA5" w:rsidRPr="00FE7B63" w:rsidRDefault="00A971B0" w:rsidP="00CF4A41">
            <w:pPr>
              <w:spacing w:after="0" w:line="360" w:lineRule="auto"/>
              <w:jc w:val="both"/>
              <w:rPr>
                <w:rFonts w:ascii="Book Antiqua" w:hAnsi="Book Antiqua" w:cs="Times New Roman"/>
                <w:b/>
                <w:sz w:val="24"/>
                <w:szCs w:val="24"/>
                <w:lang w:val="en-US"/>
              </w:rPr>
            </w:pPr>
            <w:r>
              <w:rPr>
                <w:rFonts w:ascii="Book Antiqua" w:hAnsi="Book Antiqua" w:cs="Times New Roman"/>
                <w:b/>
                <w:sz w:val="24"/>
                <w:szCs w:val="24"/>
                <w:lang w:val="en-US"/>
              </w:rPr>
              <w:t>Median survival in days (95%</w:t>
            </w:r>
            <w:r w:rsidR="00C56CA5" w:rsidRPr="00FE7B63">
              <w:rPr>
                <w:rFonts w:ascii="Book Antiqua" w:hAnsi="Book Antiqua" w:cs="Times New Roman"/>
                <w:b/>
                <w:sz w:val="24"/>
                <w:szCs w:val="24"/>
                <w:lang w:val="en-US"/>
              </w:rPr>
              <w:t>CI)</w:t>
            </w:r>
          </w:p>
        </w:tc>
      </w:tr>
      <w:tr w:rsidR="00C56CA5" w:rsidRPr="00FE7B63" w:rsidTr="0002253E">
        <w:tc>
          <w:tcPr>
            <w:tcW w:w="3794" w:type="dxa"/>
            <w:tcBorders>
              <w:top w:val="single" w:sz="4" w:space="0" w:color="auto"/>
            </w:tcBorders>
          </w:tcPr>
          <w:p w:rsidR="00C56CA5" w:rsidRPr="00773F51" w:rsidRDefault="00C56CA5" w:rsidP="00CF4A41">
            <w:pPr>
              <w:spacing w:after="0" w:line="360" w:lineRule="auto"/>
              <w:jc w:val="both"/>
              <w:rPr>
                <w:rFonts w:ascii="Book Antiqua" w:hAnsi="Book Antiqua" w:cs="Times New Roman"/>
                <w:sz w:val="24"/>
                <w:szCs w:val="24"/>
                <w:lang w:val="en-US"/>
              </w:rPr>
            </w:pPr>
            <w:r w:rsidRPr="00773F51">
              <w:rPr>
                <w:rFonts w:ascii="Book Antiqua" w:hAnsi="Book Antiqua" w:cs="Times New Roman"/>
                <w:sz w:val="24"/>
                <w:szCs w:val="24"/>
                <w:lang w:val="en-US"/>
              </w:rPr>
              <w:t>Treatment intention</w:t>
            </w:r>
          </w:p>
          <w:p w:rsidR="00C56CA5" w:rsidRPr="00FE7B63" w:rsidRDefault="00C56CA5" w:rsidP="00CF4A41">
            <w:pPr>
              <w:spacing w:after="0" w:line="36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 xml:space="preserve">   Curative (</w:t>
            </w:r>
            <w:r w:rsidRPr="0002253E">
              <w:rPr>
                <w:rFonts w:ascii="Book Antiqua" w:hAnsi="Book Antiqua" w:cs="Times New Roman"/>
                <w:i/>
                <w:sz w:val="24"/>
                <w:szCs w:val="24"/>
                <w:lang w:val="en-US"/>
              </w:rPr>
              <w:t>n</w:t>
            </w:r>
            <w:r w:rsidR="0002253E">
              <w:rPr>
                <w:rFonts w:ascii="Book Antiqua" w:hAnsi="Book Antiqua" w:cs="Times New Roman" w:hint="eastAsia"/>
                <w:sz w:val="24"/>
                <w:szCs w:val="24"/>
                <w:lang w:val="en-US" w:eastAsia="zh-CN"/>
              </w:rPr>
              <w:t xml:space="preserve"> </w:t>
            </w:r>
            <w:r w:rsidRPr="00FE7B63">
              <w:rPr>
                <w:rFonts w:ascii="Book Antiqua" w:hAnsi="Book Antiqua" w:cs="Times New Roman"/>
                <w:sz w:val="24"/>
                <w:szCs w:val="24"/>
                <w:lang w:val="en-US"/>
              </w:rPr>
              <w:t>=</w:t>
            </w:r>
            <w:r w:rsidR="0002253E">
              <w:rPr>
                <w:rFonts w:ascii="Book Antiqua" w:hAnsi="Book Antiqua" w:cs="Times New Roman" w:hint="eastAsia"/>
                <w:sz w:val="24"/>
                <w:szCs w:val="24"/>
                <w:lang w:val="en-US" w:eastAsia="zh-CN"/>
              </w:rPr>
              <w:t xml:space="preserve"> </w:t>
            </w:r>
            <w:r w:rsidRPr="00FE7B63">
              <w:rPr>
                <w:rFonts w:ascii="Book Antiqua" w:hAnsi="Book Antiqua" w:cs="Times New Roman"/>
                <w:sz w:val="24"/>
                <w:szCs w:val="24"/>
                <w:lang w:val="en-US"/>
              </w:rPr>
              <w:t>182)</w:t>
            </w:r>
          </w:p>
          <w:p w:rsidR="00C56CA5" w:rsidRPr="00FE7B63" w:rsidRDefault="00C56CA5" w:rsidP="00CF4A41">
            <w:pPr>
              <w:spacing w:after="0" w:line="36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 xml:space="preserve">   Palliative (</w:t>
            </w:r>
            <w:r w:rsidR="0002253E" w:rsidRPr="0002253E">
              <w:rPr>
                <w:rFonts w:ascii="Book Antiqua" w:hAnsi="Book Antiqua" w:cs="Times New Roman"/>
                <w:i/>
                <w:sz w:val="24"/>
                <w:szCs w:val="24"/>
                <w:lang w:val="en-US"/>
              </w:rPr>
              <w:t>n</w:t>
            </w:r>
            <w:r w:rsidR="0002253E" w:rsidRPr="00FE7B63">
              <w:rPr>
                <w:rFonts w:ascii="Book Antiqua" w:hAnsi="Book Antiqua" w:cs="Times New Roman"/>
                <w:sz w:val="24"/>
                <w:szCs w:val="24"/>
                <w:lang w:val="en-US"/>
              </w:rPr>
              <w:t xml:space="preserve"> </w:t>
            </w:r>
            <w:r w:rsidRPr="00FE7B63">
              <w:rPr>
                <w:rFonts w:ascii="Book Antiqua" w:hAnsi="Book Antiqua" w:cs="Times New Roman"/>
                <w:sz w:val="24"/>
                <w:szCs w:val="24"/>
                <w:lang w:val="en-US"/>
              </w:rPr>
              <w:t>=</w:t>
            </w:r>
            <w:r w:rsidR="0002253E">
              <w:rPr>
                <w:rFonts w:ascii="Book Antiqua" w:hAnsi="Book Antiqua" w:cs="Times New Roman" w:hint="eastAsia"/>
                <w:sz w:val="24"/>
                <w:szCs w:val="24"/>
                <w:lang w:val="en-US" w:eastAsia="zh-CN"/>
              </w:rPr>
              <w:t xml:space="preserve"> </w:t>
            </w:r>
            <w:r w:rsidRPr="00FE7B63">
              <w:rPr>
                <w:rFonts w:ascii="Book Antiqua" w:hAnsi="Book Antiqua" w:cs="Times New Roman"/>
                <w:sz w:val="24"/>
                <w:szCs w:val="24"/>
                <w:lang w:val="en-US"/>
              </w:rPr>
              <w:t>89)</w:t>
            </w:r>
          </w:p>
        </w:tc>
        <w:tc>
          <w:tcPr>
            <w:tcW w:w="2410" w:type="dxa"/>
            <w:tcBorders>
              <w:top w:val="single" w:sz="4" w:space="0" w:color="auto"/>
            </w:tcBorders>
          </w:tcPr>
          <w:p w:rsidR="00C56CA5" w:rsidRPr="0002253E" w:rsidRDefault="00C56CA5" w:rsidP="00CF4A41">
            <w:pPr>
              <w:spacing w:after="0" w:line="360" w:lineRule="auto"/>
              <w:jc w:val="both"/>
              <w:rPr>
                <w:rFonts w:ascii="Book Antiqua" w:hAnsi="Book Antiqua" w:cs="Times New Roman"/>
                <w:sz w:val="24"/>
                <w:szCs w:val="24"/>
                <w:lang w:val="en-US"/>
              </w:rPr>
            </w:pPr>
          </w:p>
          <w:p w:rsidR="00C56CA5" w:rsidRPr="0002253E" w:rsidRDefault="00C56CA5"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sz w:val="24"/>
                <w:szCs w:val="24"/>
                <w:lang w:val="en-US"/>
              </w:rPr>
              <w:t>10.6 (9.7, 11.5)</w:t>
            </w:r>
          </w:p>
          <w:p w:rsidR="00C56CA5" w:rsidRPr="0002253E" w:rsidRDefault="00C56CA5"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sz w:val="24"/>
                <w:szCs w:val="24"/>
                <w:lang w:val="en-US"/>
              </w:rPr>
              <w:t>13.6 (11.9, 15.2)</w:t>
            </w:r>
          </w:p>
          <w:p w:rsidR="00C56CA5" w:rsidRPr="0002253E" w:rsidRDefault="0002253E"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i/>
                <w:sz w:val="24"/>
                <w:szCs w:val="24"/>
                <w:lang w:val="en-US"/>
              </w:rPr>
              <w:t>P</w:t>
            </w:r>
            <w:r>
              <w:rPr>
                <w:rFonts w:ascii="Book Antiqua" w:hAnsi="Book Antiqua" w:cs="Times New Roman" w:hint="eastAsia"/>
                <w:i/>
                <w:sz w:val="24"/>
                <w:szCs w:val="24"/>
                <w:lang w:val="en-US" w:eastAsia="zh-CN"/>
              </w:rPr>
              <w:t xml:space="preserve"> </w:t>
            </w:r>
            <w:r w:rsidR="00C56CA5" w:rsidRPr="0002253E">
              <w:rPr>
                <w:rFonts w:ascii="Book Antiqua" w:hAnsi="Book Antiqua" w:cs="Times New Roman"/>
                <w:sz w:val="24"/>
                <w:szCs w:val="24"/>
                <w:lang w:val="en-US"/>
              </w:rPr>
              <w:t>=</w:t>
            </w:r>
            <w:r>
              <w:rPr>
                <w:rFonts w:ascii="Book Antiqua" w:hAnsi="Book Antiqua" w:cs="Times New Roman" w:hint="eastAsia"/>
                <w:sz w:val="24"/>
                <w:szCs w:val="24"/>
                <w:lang w:val="en-US" w:eastAsia="zh-CN"/>
              </w:rPr>
              <w:t xml:space="preserve"> </w:t>
            </w:r>
            <w:r w:rsidR="00C56CA5" w:rsidRPr="0002253E">
              <w:rPr>
                <w:rFonts w:ascii="Book Antiqua" w:hAnsi="Book Antiqua" w:cs="Times New Roman"/>
                <w:sz w:val="24"/>
                <w:szCs w:val="24"/>
                <w:lang w:val="en-US"/>
              </w:rPr>
              <w:t>0.001</w:t>
            </w:r>
          </w:p>
        </w:tc>
        <w:tc>
          <w:tcPr>
            <w:tcW w:w="2268" w:type="dxa"/>
            <w:tcBorders>
              <w:top w:val="single" w:sz="4" w:space="0" w:color="auto"/>
            </w:tcBorders>
          </w:tcPr>
          <w:p w:rsidR="00C56CA5" w:rsidRPr="0002253E" w:rsidRDefault="00C56CA5" w:rsidP="00CF4A41">
            <w:pPr>
              <w:spacing w:after="0" w:line="360" w:lineRule="auto"/>
              <w:jc w:val="both"/>
              <w:rPr>
                <w:rFonts w:ascii="Book Antiqua" w:hAnsi="Book Antiqua" w:cs="Times New Roman"/>
                <w:sz w:val="24"/>
                <w:szCs w:val="24"/>
                <w:lang w:val="en-US"/>
              </w:rPr>
            </w:pPr>
          </w:p>
          <w:p w:rsidR="00C56CA5" w:rsidRPr="0002253E" w:rsidRDefault="00C56CA5"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sz w:val="24"/>
                <w:szCs w:val="24"/>
                <w:lang w:val="en-US"/>
              </w:rPr>
              <w:t>984 (699, 1269)</w:t>
            </w:r>
          </w:p>
          <w:p w:rsidR="00C56CA5" w:rsidRPr="0002253E" w:rsidRDefault="00C56CA5"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sz w:val="24"/>
                <w:szCs w:val="24"/>
                <w:lang w:val="en-US"/>
              </w:rPr>
              <w:t>370 (332, 408)</w:t>
            </w:r>
          </w:p>
          <w:p w:rsidR="00C56CA5" w:rsidRPr="0002253E" w:rsidRDefault="0002253E"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i/>
                <w:sz w:val="24"/>
                <w:szCs w:val="24"/>
                <w:lang w:val="en-US"/>
              </w:rPr>
              <w:t>P</w:t>
            </w:r>
            <w:r w:rsidRPr="0002253E">
              <w:rPr>
                <w:rFonts w:ascii="Book Antiqua" w:hAnsi="Book Antiqua" w:cs="Times New Roman"/>
                <w:sz w:val="24"/>
                <w:szCs w:val="24"/>
                <w:lang w:val="en-US"/>
              </w:rPr>
              <w:t xml:space="preserve"> </w:t>
            </w:r>
            <w:r w:rsidR="00C56CA5" w:rsidRPr="0002253E">
              <w:rPr>
                <w:rFonts w:ascii="Book Antiqua" w:hAnsi="Book Antiqua" w:cs="Times New Roman"/>
                <w:sz w:val="24"/>
                <w:szCs w:val="24"/>
                <w:lang w:val="en-US"/>
              </w:rPr>
              <w:t>&lt;</w:t>
            </w:r>
            <w:r>
              <w:rPr>
                <w:rFonts w:ascii="Book Antiqua" w:hAnsi="Book Antiqua" w:cs="Times New Roman" w:hint="eastAsia"/>
                <w:sz w:val="24"/>
                <w:szCs w:val="24"/>
                <w:lang w:val="en-US" w:eastAsia="zh-CN"/>
              </w:rPr>
              <w:t xml:space="preserve"> </w:t>
            </w:r>
            <w:r w:rsidR="00C56CA5" w:rsidRPr="0002253E">
              <w:rPr>
                <w:rFonts w:ascii="Book Antiqua" w:hAnsi="Book Antiqua" w:cs="Times New Roman"/>
                <w:sz w:val="24"/>
                <w:szCs w:val="24"/>
                <w:lang w:val="en-US"/>
              </w:rPr>
              <w:t>0.001</w:t>
            </w:r>
          </w:p>
        </w:tc>
      </w:tr>
      <w:tr w:rsidR="00C56CA5" w:rsidRPr="00FE7B63" w:rsidTr="0002253E">
        <w:tc>
          <w:tcPr>
            <w:tcW w:w="3794" w:type="dxa"/>
          </w:tcPr>
          <w:p w:rsidR="00C56CA5" w:rsidRPr="00773F51" w:rsidRDefault="00C56CA5" w:rsidP="00CF4A41">
            <w:pPr>
              <w:spacing w:after="0" w:line="360" w:lineRule="auto"/>
              <w:jc w:val="both"/>
              <w:rPr>
                <w:rFonts w:ascii="Book Antiqua" w:hAnsi="Book Antiqua" w:cs="Times New Roman"/>
                <w:sz w:val="24"/>
                <w:szCs w:val="24"/>
                <w:lang w:val="en-US"/>
              </w:rPr>
            </w:pPr>
            <w:r w:rsidRPr="00773F51">
              <w:rPr>
                <w:rFonts w:ascii="Book Antiqua" w:hAnsi="Book Antiqua" w:cs="Times New Roman"/>
                <w:sz w:val="24"/>
                <w:szCs w:val="24"/>
                <w:lang w:val="en-US"/>
              </w:rPr>
              <w:t>Treatment type</w:t>
            </w:r>
          </w:p>
          <w:p w:rsidR="00C56CA5" w:rsidRPr="00FE7B63" w:rsidRDefault="00C56CA5" w:rsidP="00CF4A41">
            <w:pPr>
              <w:spacing w:after="0" w:line="36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 xml:space="preserve">   Endoscopic resection (</w:t>
            </w:r>
            <w:r w:rsidR="0002253E" w:rsidRPr="0002253E">
              <w:rPr>
                <w:rFonts w:ascii="Book Antiqua" w:hAnsi="Book Antiqua" w:cs="Times New Roman"/>
                <w:i/>
                <w:sz w:val="24"/>
                <w:szCs w:val="24"/>
                <w:lang w:val="en-US"/>
              </w:rPr>
              <w:t>n</w:t>
            </w:r>
            <w:r w:rsidR="0002253E" w:rsidRPr="00FE7B63">
              <w:rPr>
                <w:rFonts w:ascii="Book Antiqua" w:hAnsi="Book Antiqua" w:cs="Times New Roman"/>
                <w:sz w:val="24"/>
                <w:szCs w:val="24"/>
                <w:lang w:val="en-US"/>
              </w:rPr>
              <w:t xml:space="preserve"> </w:t>
            </w:r>
            <w:r w:rsidRPr="00FE7B63">
              <w:rPr>
                <w:rFonts w:ascii="Book Antiqua" w:hAnsi="Book Antiqua" w:cs="Times New Roman"/>
                <w:sz w:val="24"/>
                <w:szCs w:val="24"/>
                <w:lang w:val="en-US"/>
              </w:rPr>
              <w:t>=</w:t>
            </w:r>
            <w:r w:rsidR="0002253E">
              <w:rPr>
                <w:rFonts w:ascii="Book Antiqua" w:hAnsi="Book Antiqua" w:cs="Times New Roman" w:hint="eastAsia"/>
                <w:sz w:val="24"/>
                <w:szCs w:val="24"/>
                <w:lang w:val="en-US" w:eastAsia="zh-CN"/>
              </w:rPr>
              <w:t xml:space="preserve"> </w:t>
            </w:r>
            <w:r w:rsidRPr="00FE7B63">
              <w:rPr>
                <w:rFonts w:ascii="Book Antiqua" w:hAnsi="Book Antiqua" w:cs="Times New Roman"/>
                <w:sz w:val="24"/>
                <w:szCs w:val="24"/>
                <w:lang w:val="en-US"/>
              </w:rPr>
              <w:t>5)</w:t>
            </w:r>
          </w:p>
          <w:p w:rsidR="00C56CA5" w:rsidRPr="00FE7B63" w:rsidRDefault="00C56CA5" w:rsidP="00CF4A41">
            <w:pPr>
              <w:spacing w:after="0" w:line="36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 xml:space="preserve">   Surgical resection (</w:t>
            </w:r>
            <w:r w:rsidR="0002253E" w:rsidRPr="0002253E">
              <w:rPr>
                <w:rFonts w:ascii="Book Antiqua" w:hAnsi="Book Antiqua" w:cs="Times New Roman"/>
                <w:i/>
                <w:sz w:val="24"/>
                <w:szCs w:val="24"/>
                <w:lang w:val="en-US"/>
              </w:rPr>
              <w:t>n</w:t>
            </w:r>
            <w:r w:rsidR="0002253E" w:rsidRPr="00FE7B63">
              <w:rPr>
                <w:rFonts w:ascii="Book Antiqua" w:hAnsi="Book Antiqua" w:cs="Times New Roman"/>
                <w:sz w:val="24"/>
                <w:szCs w:val="24"/>
                <w:lang w:val="en-US"/>
              </w:rPr>
              <w:t xml:space="preserve"> </w:t>
            </w:r>
            <w:r w:rsidRPr="00FE7B63">
              <w:rPr>
                <w:rFonts w:ascii="Book Antiqua" w:hAnsi="Book Antiqua" w:cs="Times New Roman"/>
                <w:sz w:val="24"/>
                <w:szCs w:val="24"/>
                <w:lang w:val="en-US"/>
              </w:rPr>
              <w:t>=</w:t>
            </w:r>
            <w:r w:rsidR="0002253E">
              <w:rPr>
                <w:rFonts w:ascii="Book Antiqua" w:hAnsi="Book Antiqua" w:cs="Times New Roman" w:hint="eastAsia"/>
                <w:sz w:val="24"/>
                <w:szCs w:val="24"/>
                <w:lang w:val="en-US" w:eastAsia="zh-CN"/>
              </w:rPr>
              <w:t xml:space="preserve"> </w:t>
            </w:r>
            <w:r w:rsidRPr="00FE7B63">
              <w:rPr>
                <w:rFonts w:ascii="Book Antiqua" w:hAnsi="Book Antiqua" w:cs="Times New Roman"/>
                <w:sz w:val="24"/>
                <w:szCs w:val="24"/>
                <w:lang w:val="en-US"/>
              </w:rPr>
              <w:t>95)</w:t>
            </w:r>
          </w:p>
          <w:p w:rsidR="00C56CA5" w:rsidRPr="00FE7B63" w:rsidRDefault="00C56CA5" w:rsidP="00CF4A41">
            <w:pPr>
              <w:spacing w:after="0" w:line="36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 xml:space="preserve">   Chemoradiotherapy (</w:t>
            </w:r>
            <w:r w:rsidR="0002253E" w:rsidRPr="0002253E">
              <w:rPr>
                <w:rFonts w:ascii="Book Antiqua" w:hAnsi="Book Antiqua" w:cs="Times New Roman"/>
                <w:i/>
                <w:sz w:val="24"/>
                <w:szCs w:val="24"/>
                <w:lang w:val="en-US"/>
              </w:rPr>
              <w:t>n</w:t>
            </w:r>
            <w:r w:rsidR="0002253E" w:rsidRPr="00FE7B63">
              <w:rPr>
                <w:rFonts w:ascii="Book Antiqua" w:hAnsi="Book Antiqua" w:cs="Times New Roman"/>
                <w:sz w:val="24"/>
                <w:szCs w:val="24"/>
                <w:lang w:val="en-US"/>
              </w:rPr>
              <w:t xml:space="preserve"> </w:t>
            </w:r>
            <w:r w:rsidRPr="00FE7B63">
              <w:rPr>
                <w:rFonts w:ascii="Book Antiqua" w:hAnsi="Book Antiqua" w:cs="Times New Roman"/>
                <w:sz w:val="24"/>
                <w:szCs w:val="24"/>
                <w:lang w:val="en-US"/>
              </w:rPr>
              <w:t>=</w:t>
            </w:r>
            <w:r w:rsidR="0002253E">
              <w:rPr>
                <w:rFonts w:ascii="Book Antiqua" w:hAnsi="Book Antiqua" w:cs="Times New Roman" w:hint="eastAsia"/>
                <w:sz w:val="24"/>
                <w:szCs w:val="24"/>
                <w:lang w:val="en-US" w:eastAsia="zh-CN"/>
              </w:rPr>
              <w:t xml:space="preserve"> </w:t>
            </w:r>
            <w:r w:rsidRPr="00FE7B63">
              <w:rPr>
                <w:rFonts w:ascii="Book Antiqua" w:hAnsi="Book Antiqua" w:cs="Times New Roman"/>
                <w:sz w:val="24"/>
                <w:szCs w:val="24"/>
                <w:lang w:val="en-US"/>
              </w:rPr>
              <w:t>63)</w:t>
            </w:r>
          </w:p>
          <w:p w:rsidR="00C56CA5" w:rsidRPr="00FE7B63" w:rsidRDefault="00C56CA5" w:rsidP="00CF4A41">
            <w:pPr>
              <w:spacing w:after="0" w:line="36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 xml:space="preserve">   Palliative (</w:t>
            </w:r>
            <w:r w:rsidR="0002253E" w:rsidRPr="0002253E">
              <w:rPr>
                <w:rFonts w:ascii="Book Antiqua" w:hAnsi="Book Antiqua" w:cs="Times New Roman"/>
                <w:i/>
                <w:sz w:val="24"/>
                <w:szCs w:val="24"/>
                <w:lang w:val="en-US"/>
              </w:rPr>
              <w:t>n</w:t>
            </w:r>
            <w:r w:rsidR="0002253E" w:rsidRPr="00FE7B63">
              <w:rPr>
                <w:rFonts w:ascii="Book Antiqua" w:hAnsi="Book Antiqua" w:cs="Times New Roman"/>
                <w:sz w:val="24"/>
                <w:szCs w:val="24"/>
                <w:lang w:val="en-US"/>
              </w:rPr>
              <w:t xml:space="preserve"> </w:t>
            </w:r>
            <w:r w:rsidRPr="00FE7B63">
              <w:rPr>
                <w:rFonts w:ascii="Book Antiqua" w:hAnsi="Book Antiqua" w:cs="Times New Roman"/>
                <w:sz w:val="24"/>
                <w:szCs w:val="24"/>
                <w:lang w:val="en-US"/>
              </w:rPr>
              <w:t>=</w:t>
            </w:r>
            <w:r w:rsidR="0002253E">
              <w:rPr>
                <w:rFonts w:ascii="Book Antiqua" w:hAnsi="Book Antiqua" w:cs="Times New Roman" w:hint="eastAsia"/>
                <w:sz w:val="24"/>
                <w:szCs w:val="24"/>
                <w:lang w:val="en-US" w:eastAsia="zh-CN"/>
              </w:rPr>
              <w:t xml:space="preserve"> </w:t>
            </w:r>
            <w:r w:rsidRPr="00FE7B63">
              <w:rPr>
                <w:rFonts w:ascii="Book Antiqua" w:hAnsi="Book Antiqua" w:cs="Times New Roman"/>
                <w:sz w:val="24"/>
                <w:szCs w:val="24"/>
                <w:lang w:val="en-US"/>
              </w:rPr>
              <w:t>89)</w:t>
            </w:r>
          </w:p>
          <w:p w:rsidR="00C56CA5" w:rsidRPr="00FE7B63" w:rsidRDefault="00C56CA5" w:rsidP="00CF4A41">
            <w:pPr>
              <w:spacing w:after="0" w:line="36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 xml:space="preserve">   Exploratory surgery (</w:t>
            </w:r>
            <w:r w:rsidR="0002253E" w:rsidRPr="0002253E">
              <w:rPr>
                <w:rFonts w:ascii="Book Antiqua" w:hAnsi="Book Antiqua" w:cs="Times New Roman"/>
                <w:i/>
                <w:sz w:val="24"/>
                <w:szCs w:val="24"/>
                <w:lang w:val="en-US"/>
              </w:rPr>
              <w:t>n</w:t>
            </w:r>
            <w:r w:rsidR="0002253E" w:rsidRPr="00FE7B63">
              <w:rPr>
                <w:rFonts w:ascii="Book Antiqua" w:hAnsi="Book Antiqua" w:cs="Times New Roman"/>
                <w:sz w:val="24"/>
                <w:szCs w:val="24"/>
                <w:lang w:val="en-US"/>
              </w:rPr>
              <w:t xml:space="preserve"> </w:t>
            </w:r>
            <w:r w:rsidRPr="00FE7B63">
              <w:rPr>
                <w:rFonts w:ascii="Book Antiqua" w:hAnsi="Book Antiqua" w:cs="Times New Roman"/>
                <w:sz w:val="24"/>
                <w:szCs w:val="24"/>
                <w:lang w:val="en-US"/>
              </w:rPr>
              <w:t>=</w:t>
            </w:r>
            <w:r w:rsidR="0002253E">
              <w:rPr>
                <w:rFonts w:ascii="Book Antiqua" w:hAnsi="Book Antiqua" w:cs="Times New Roman" w:hint="eastAsia"/>
                <w:sz w:val="24"/>
                <w:szCs w:val="24"/>
                <w:lang w:val="en-US" w:eastAsia="zh-CN"/>
              </w:rPr>
              <w:t xml:space="preserve"> </w:t>
            </w:r>
            <w:r w:rsidRPr="00FE7B63">
              <w:rPr>
                <w:rFonts w:ascii="Book Antiqua" w:hAnsi="Book Antiqua" w:cs="Times New Roman"/>
                <w:sz w:val="24"/>
                <w:szCs w:val="24"/>
                <w:lang w:val="en-US"/>
              </w:rPr>
              <w:t>19)</w:t>
            </w:r>
          </w:p>
        </w:tc>
        <w:tc>
          <w:tcPr>
            <w:tcW w:w="2410" w:type="dxa"/>
          </w:tcPr>
          <w:p w:rsidR="00C56CA5" w:rsidRPr="0002253E" w:rsidRDefault="00C56CA5" w:rsidP="00CF4A41">
            <w:pPr>
              <w:spacing w:after="0" w:line="360" w:lineRule="auto"/>
              <w:jc w:val="both"/>
              <w:rPr>
                <w:rFonts w:ascii="Book Antiqua" w:hAnsi="Book Antiqua" w:cs="Times New Roman"/>
                <w:sz w:val="24"/>
                <w:szCs w:val="24"/>
                <w:lang w:val="en-US"/>
              </w:rPr>
            </w:pPr>
          </w:p>
          <w:p w:rsidR="00C56CA5" w:rsidRPr="0002253E" w:rsidRDefault="00C56CA5"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sz w:val="24"/>
                <w:szCs w:val="24"/>
                <w:lang w:val="en-US"/>
              </w:rPr>
              <w:t>1.3 (-1.0, 3.6)</w:t>
            </w:r>
          </w:p>
          <w:p w:rsidR="00C56CA5" w:rsidRPr="0002253E" w:rsidRDefault="00C56CA5"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sz w:val="24"/>
                <w:szCs w:val="24"/>
                <w:lang w:val="en-US"/>
              </w:rPr>
              <w:t>10.7 (9.5, 11.9)</w:t>
            </w:r>
          </w:p>
          <w:p w:rsidR="00C56CA5" w:rsidRPr="0002253E" w:rsidRDefault="00C56CA5"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sz w:val="24"/>
                <w:szCs w:val="24"/>
                <w:lang w:val="en-US"/>
              </w:rPr>
              <w:t>11.6 (10.0, 13.1)</w:t>
            </w:r>
          </w:p>
          <w:p w:rsidR="00C56CA5" w:rsidRPr="0002253E" w:rsidRDefault="00C56CA5"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sz w:val="24"/>
                <w:szCs w:val="24"/>
                <w:lang w:val="en-US"/>
              </w:rPr>
              <w:t>13.8 (12.1, 15.5)</w:t>
            </w:r>
          </w:p>
          <w:p w:rsidR="00C56CA5" w:rsidRPr="0002253E" w:rsidRDefault="00C56CA5"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sz w:val="24"/>
                <w:szCs w:val="24"/>
                <w:lang w:val="en-US"/>
              </w:rPr>
              <w:t>8.8 (6.6, 11.0)</w:t>
            </w:r>
          </w:p>
          <w:p w:rsidR="00C56CA5" w:rsidRPr="0002253E" w:rsidRDefault="0002253E"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i/>
                <w:sz w:val="24"/>
                <w:szCs w:val="24"/>
                <w:lang w:val="en-US"/>
              </w:rPr>
              <w:t>P</w:t>
            </w:r>
            <w:r w:rsidRPr="0002253E">
              <w:rPr>
                <w:rFonts w:ascii="Book Antiqua" w:hAnsi="Book Antiqua" w:cs="Times New Roman"/>
                <w:sz w:val="24"/>
                <w:szCs w:val="24"/>
                <w:lang w:val="en-US"/>
              </w:rPr>
              <w:t xml:space="preserve"> </w:t>
            </w:r>
            <w:r w:rsidR="00C56CA5" w:rsidRPr="0002253E">
              <w:rPr>
                <w:rFonts w:ascii="Book Antiqua" w:hAnsi="Book Antiqua" w:cs="Times New Roman"/>
                <w:sz w:val="24"/>
                <w:szCs w:val="24"/>
                <w:lang w:val="en-US"/>
              </w:rPr>
              <w:t>&lt;</w:t>
            </w:r>
            <w:r>
              <w:rPr>
                <w:rFonts w:ascii="Book Antiqua" w:hAnsi="Book Antiqua" w:cs="Times New Roman" w:hint="eastAsia"/>
                <w:sz w:val="24"/>
                <w:szCs w:val="24"/>
                <w:lang w:val="en-US" w:eastAsia="zh-CN"/>
              </w:rPr>
              <w:t xml:space="preserve"> </w:t>
            </w:r>
            <w:r w:rsidR="00C56CA5" w:rsidRPr="0002253E">
              <w:rPr>
                <w:rFonts w:ascii="Book Antiqua" w:hAnsi="Book Antiqua" w:cs="Times New Roman"/>
                <w:sz w:val="24"/>
                <w:szCs w:val="24"/>
                <w:lang w:val="en-US"/>
              </w:rPr>
              <w:t>0.001</w:t>
            </w:r>
          </w:p>
        </w:tc>
        <w:tc>
          <w:tcPr>
            <w:tcW w:w="2268" w:type="dxa"/>
          </w:tcPr>
          <w:p w:rsidR="00C56CA5" w:rsidRPr="0002253E" w:rsidRDefault="00C56CA5" w:rsidP="00CF4A41">
            <w:pPr>
              <w:spacing w:after="0" w:line="360" w:lineRule="auto"/>
              <w:jc w:val="both"/>
              <w:rPr>
                <w:rFonts w:ascii="Book Antiqua" w:hAnsi="Book Antiqua" w:cs="Times New Roman"/>
                <w:sz w:val="24"/>
                <w:szCs w:val="24"/>
                <w:lang w:val="en-US"/>
              </w:rPr>
            </w:pPr>
          </w:p>
          <w:p w:rsidR="00C56CA5" w:rsidRPr="0002253E" w:rsidRDefault="00C56CA5"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sz w:val="24"/>
                <w:szCs w:val="24"/>
                <w:lang w:val="en-US"/>
              </w:rPr>
              <w:t>Not reached</w:t>
            </w:r>
          </w:p>
          <w:p w:rsidR="00C56CA5" w:rsidRPr="0002253E" w:rsidRDefault="00C56CA5"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sz w:val="24"/>
                <w:szCs w:val="24"/>
                <w:lang w:val="en-US"/>
              </w:rPr>
              <w:t>1285 (962, 1608)</w:t>
            </w:r>
          </w:p>
          <w:p w:rsidR="00C56CA5" w:rsidRPr="0002253E" w:rsidRDefault="00C56CA5"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sz w:val="24"/>
                <w:szCs w:val="24"/>
                <w:lang w:val="en-US"/>
              </w:rPr>
              <w:t>700 (411, 988)</w:t>
            </w:r>
          </w:p>
          <w:p w:rsidR="00C56CA5" w:rsidRPr="0002253E" w:rsidRDefault="00C56CA5"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sz w:val="24"/>
                <w:szCs w:val="24"/>
                <w:lang w:val="en-US"/>
              </w:rPr>
              <w:t>370 (349, 390)</w:t>
            </w:r>
          </w:p>
          <w:p w:rsidR="00C56CA5" w:rsidRPr="0002253E" w:rsidRDefault="00C56CA5"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sz w:val="24"/>
                <w:szCs w:val="24"/>
                <w:lang w:val="en-US"/>
              </w:rPr>
              <w:t>340 (280, 400)</w:t>
            </w:r>
          </w:p>
          <w:p w:rsidR="00C56CA5" w:rsidRPr="0002253E" w:rsidRDefault="0002253E" w:rsidP="00CF4A41">
            <w:pPr>
              <w:spacing w:after="0" w:line="360" w:lineRule="auto"/>
              <w:jc w:val="both"/>
              <w:rPr>
                <w:rFonts w:ascii="Book Antiqua" w:hAnsi="Book Antiqua" w:cs="Times New Roman"/>
                <w:sz w:val="24"/>
                <w:szCs w:val="24"/>
                <w:lang w:val="en-US"/>
              </w:rPr>
            </w:pPr>
            <w:r w:rsidRPr="0002253E">
              <w:rPr>
                <w:rFonts w:ascii="Book Antiqua" w:hAnsi="Book Antiqua" w:cs="Times New Roman"/>
                <w:i/>
                <w:sz w:val="24"/>
                <w:szCs w:val="24"/>
                <w:lang w:val="en-US"/>
              </w:rPr>
              <w:t>P</w:t>
            </w:r>
            <w:r w:rsidRPr="0002253E">
              <w:rPr>
                <w:rFonts w:ascii="Book Antiqua" w:hAnsi="Book Antiqua" w:cs="Times New Roman"/>
                <w:sz w:val="24"/>
                <w:szCs w:val="24"/>
                <w:lang w:val="en-US"/>
              </w:rPr>
              <w:t xml:space="preserve"> </w:t>
            </w:r>
            <w:r w:rsidR="00C56CA5" w:rsidRPr="0002253E">
              <w:rPr>
                <w:rFonts w:ascii="Book Antiqua" w:hAnsi="Book Antiqua" w:cs="Times New Roman"/>
                <w:sz w:val="24"/>
                <w:szCs w:val="24"/>
                <w:lang w:val="en-US"/>
              </w:rPr>
              <w:t>&lt;</w:t>
            </w:r>
            <w:r>
              <w:rPr>
                <w:rFonts w:ascii="Book Antiqua" w:hAnsi="Book Antiqua" w:cs="Times New Roman" w:hint="eastAsia"/>
                <w:sz w:val="24"/>
                <w:szCs w:val="24"/>
                <w:lang w:val="en-US" w:eastAsia="zh-CN"/>
              </w:rPr>
              <w:t xml:space="preserve"> </w:t>
            </w:r>
            <w:r w:rsidR="00C56CA5" w:rsidRPr="0002253E">
              <w:rPr>
                <w:rFonts w:ascii="Book Antiqua" w:hAnsi="Book Antiqua" w:cs="Times New Roman"/>
                <w:sz w:val="24"/>
                <w:szCs w:val="24"/>
                <w:lang w:val="en-US"/>
              </w:rPr>
              <w:t>0.001</w:t>
            </w:r>
          </w:p>
        </w:tc>
      </w:tr>
    </w:tbl>
    <w:p w:rsidR="00C56CA5" w:rsidRPr="00613E70" w:rsidRDefault="00C56CA5" w:rsidP="00CF4A41">
      <w:pPr>
        <w:spacing w:after="0" w:line="360" w:lineRule="auto"/>
        <w:jc w:val="both"/>
        <w:rPr>
          <w:rFonts w:ascii="Book Antiqua" w:hAnsi="Book Antiqua" w:cs="Times New Roman"/>
          <w:sz w:val="24"/>
          <w:szCs w:val="24"/>
          <w:lang w:val="en-US"/>
        </w:rPr>
      </w:pPr>
    </w:p>
    <w:p w:rsidR="00C56CA5" w:rsidRPr="00613E70" w:rsidRDefault="00C56CA5" w:rsidP="00CF4A41">
      <w:pPr>
        <w:spacing w:after="0" w:line="360" w:lineRule="auto"/>
        <w:jc w:val="both"/>
        <w:rPr>
          <w:rFonts w:ascii="Book Antiqua" w:hAnsi="Book Antiqua" w:cs="Times New Roman"/>
          <w:sz w:val="24"/>
          <w:szCs w:val="24"/>
          <w:lang w:val="en-US"/>
        </w:rPr>
      </w:pPr>
    </w:p>
    <w:p w:rsidR="00C56CA5" w:rsidRPr="00613E70" w:rsidRDefault="00773F51" w:rsidP="00CF4A41">
      <w:pPr>
        <w:spacing w:after="0" w:line="360" w:lineRule="auto"/>
        <w:jc w:val="both"/>
        <w:rPr>
          <w:rFonts w:ascii="Book Antiqua" w:hAnsi="Book Antiqua" w:cs="Times New Roman"/>
          <w:sz w:val="24"/>
          <w:szCs w:val="24"/>
          <w:lang w:val="en-US"/>
        </w:rPr>
      </w:pPr>
      <w:r w:rsidRPr="00613E70">
        <w:rPr>
          <w:rFonts w:ascii="Book Antiqua" w:hAnsi="Book Antiqua" w:cs="Times New Roman"/>
          <w:sz w:val="24"/>
          <w:szCs w:val="24"/>
          <w:lang w:val="en-US"/>
        </w:rPr>
        <w:t xml:space="preserve"> </w:t>
      </w:r>
    </w:p>
    <w:p w:rsidR="00C56CA5" w:rsidRPr="00613E70" w:rsidRDefault="00C56CA5" w:rsidP="00CF4A41">
      <w:pPr>
        <w:tabs>
          <w:tab w:val="left" w:pos="945"/>
        </w:tabs>
        <w:spacing w:after="0" w:line="360" w:lineRule="auto"/>
        <w:jc w:val="both"/>
        <w:rPr>
          <w:rFonts w:ascii="Book Antiqua" w:hAnsi="Book Antiqua" w:cs="Times New Roman"/>
          <w:sz w:val="24"/>
          <w:szCs w:val="24"/>
          <w:lang w:val="en-US"/>
        </w:rPr>
      </w:pPr>
    </w:p>
    <w:p w:rsidR="00C56CA5" w:rsidRPr="00613E70" w:rsidRDefault="00C56CA5" w:rsidP="00CF4A41">
      <w:pPr>
        <w:tabs>
          <w:tab w:val="left" w:pos="945"/>
        </w:tabs>
        <w:spacing w:after="0" w:line="360" w:lineRule="auto"/>
        <w:jc w:val="both"/>
        <w:rPr>
          <w:rFonts w:ascii="Book Antiqua" w:hAnsi="Book Antiqua" w:cs="Times New Roman"/>
          <w:sz w:val="24"/>
          <w:szCs w:val="24"/>
          <w:vertAlign w:val="subscript"/>
          <w:lang w:val="en-US"/>
        </w:rPr>
      </w:pPr>
    </w:p>
    <w:p w:rsidR="00C56CA5" w:rsidRPr="00613E70" w:rsidRDefault="00C56CA5" w:rsidP="00CF4A41">
      <w:pPr>
        <w:spacing w:after="0" w:line="360" w:lineRule="auto"/>
        <w:jc w:val="both"/>
        <w:rPr>
          <w:rFonts w:ascii="Book Antiqua" w:hAnsi="Book Antiqua" w:cs="Times New Roman"/>
          <w:noProof/>
          <w:sz w:val="24"/>
          <w:szCs w:val="24"/>
          <w:lang w:val="en-US"/>
        </w:rPr>
      </w:pPr>
    </w:p>
    <w:p w:rsidR="00C56CA5" w:rsidRPr="00613E70" w:rsidRDefault="00C56CA5" w:rsidP="00CF4A41">
      <w:pPr>
        <w:spacing w:after="0" w:line="360" w:lineRule="auto"/>
        <w:ind w:hanging="720"/>
        <w:jc w:val="both"/>
        <w:rPr>
          <w:rFonts w:ascii="Book Antiqua" w:hAnsi="Book Antiqua" w:cs="Times New Roman"/>
          <w:sz w:val="24"/>
          <w:szCs w:val="24"/>
          <w:lang w:val="en-US"/>
        </w:rPr>
        <w:sectPr w:rsidR="00C56CA5" w:rsidRPr="00613E70" w:rsidSect="008D3070">
          <w:pgSz w:w="11906" w:h="16838"/>
          <w:pgMar w:top="1701" w:right="1701" w:bottom="1701" w:left="1701" w:header="709" w:footer="709" w:gutter="0"/>
          <w:cols w:space="708"/>
          <w:docGrid w:linePitch="360"/>
        </w:sectPr>
      </w:pPr>
    </w:p>
    <w:p w:rsidR="00C56CA5" w:rsidRPr="00613E70" w:rsidRDefault="0002253E" w:rsidP="00CF4A41">
      <w:pPr>
        <w:spacing w:after="0" w:line="360" w:lineRule="auto"/>
        <w:jc w:val="both"/>
        <w:rPr>
          <w:rFonts w:ascii="Book Antiqua" w:hAnsi="Book Antiqua" w:cs="Times New Roman"/>
          <w:b/>
          <w:sz w:val="24"/>
          <w:szCs w:val="24"/>
          <w:lang w:val="en-US"/>
        </w:rPr>
      </w:pPr>
      <w:r>
        <w:rPr>
          <w:rFonts w:ascii="Book Antiqua" w:hAnsi="Book Antiqua" w:cs="Times New Roman"/>
          <w:b/>
          <w:sz w:val="24"/>
          <w:szCs w:val="24"/>
          <w:lang w:val="en-US"/>
        </w:rPr>
        <w:lastRenderedPageBreak/>
        <w:t>Table 4</w:t>
      </w:r>
      <w:r>
        <w:rPr>
          <w:rFonts w:ascii="Book Antiqua" w:hAnsi="Book Antiqua" w:cs="Times New Roman" w:hint="eastAsia"/>
          <w:b/>
          <w:sz w:val="24"/>
          <w:szCs w:val="24"/>
          <w:lang w:val="en-US" w:eastAsia="zh-CN"/>
        </w:rPr>
        <w:t xml:space="preserve"> </w:t>
      </w:r>
      <w:r w:rsidR="00C56CA5" w:rsidRPr="00613E70">
        <w:rPr>
          <w:rFonts w:ascii="Book Antiqua" w:hAnsi="Book Antiqua" w:cs="Times New Roman"/>
          <w:b/>
          <w:sz w:val="24"/>
          <w:szCs w:val="24"/>
          <w:lang w:val="en-US"/>
        </w:rPr>
        <w:t>Summary of literature reporting on prognostic value of SUV</w:t>
      </w:r>
      <w:r w:rsidR="00C56CA5" w:rsidRPr="0002253E">
        <w:rPr>
          <w:rFonts w:ascii="Book Antiqua" w:hAnsi="Book Antiqua" w:cs="Times New Roman"/>
          <w:b/>
          <w:sz w:val="24"/>
          <w:szCs w:val="24"/>
          <w:vertAlign w:val="subscript"/>
          <w:lang w:val="en-US"/>
        </w:rPr>
        <w:t xml:space="preserve">max </w:t>
      </w:r>
      <w:r w:rsidR="00C56CA5" w:rsidRPr="00613E70">
        <w:rPr>
          <w:rFonts w:ascii="Book Antiqua" w:hAnsi="Book Antiqua" w:cs="Times New Roman"/>
          <w:b/>
          <w:sz w:val="24"/>
          <w:szCs w:val="24"/>
          <w:lang w:val="en-US"/>
        </w:rPr>
        <w:t>in patients with esophageal carcinoma</w:t>
      </w:r>
    </w:p>
    <w:p w:rsidR="00C56CA5" w:rsidRPr="00613E70" w:rsidRDefault="00C56CA5" w:rsidP="00CF4A41">
      <w:pPr>
        <w:spacing w:after="0" w:line="360" w:lineRule="auto"/>
        <w:ind w:hanging="720"/>
        <w:jc w:val="both"/>
        <w:rPr>
          <w:rFonts w:ascii="Book Antiqua" w:hAnsi="Book Antiqua" w:cs="Times New Roman"/>
          <w:sz w:val="24"/>
          <w:szCs w:val="24"/>
          <w:lang w:val="en-US"/>
        </w:rPr>
      </w:pPr>
    </w:p>
    <w:tbl>
      <w:tblPr>
        <w:tblW w:w="0" w:type="auto"/>
        <w:tblInd w:w="250" w:type="dxa"/>
        <w:tblBorders>
          <w:top w:val="single" w:sz="4" w:space="0" w:color="auto"/>
          <w:bottom w:val="single" w:sz="4" w:space="0" w:color="auto"/>
        </w:tblBorders>
        <w:tblLayout w:type="fixed"/>
        <w:tblLook w:val="00A0" w:firstRow="1" w:lastRow="0" w:firstColumn="1" w:lastColumn="0" w:noHBand="0" w:noVBand="0"/>
      </w:tblPr>
      <w:tblGrid>
        <w:gridCol w:w="2126"/>
        <w:gridCol w:w="1468"/>
        <w:gridCol w:w="1226"/>
        <w:gridCol w:w="1559"/>
        <w:gridCol w:w="1729"/>
        <w:gridCol w:w="1531"/>
        <w:gridCol w:w="1843"/>
        <w:gridCol w:w="1920"/>
      </w:tblGrid>
      <w:tr w:rsidR="00C56CA5" w:rsidRPr="00FE7B63" w:rsidTr="00773F51">
        <w:tc>
          <w:tcPr>
            <w:tcW w:w="2126" w:type="dxa"/>
            <w:tcBorders>
              <w:top w:val="single" w:sz="4" w:space="0" w:color="auto"/>
              <w:bottom w:val="single" w:sz="4" w:space="0" w:color="auto"/>
            </w:tcBorders>
          </w:tcPr>
          <w:p w:rsidR="00C56CA5" w:rsidRPr="00FE7B63" w:rsidRDefault="00773F51" w:rsidP="00CF4A41">
            <w:pPr>
              <w:spacing w:after="0" w:line="240" w:lineRule="auto"/>
              <w:jc w:val="both"/>
              <w:rPr>
                <w:rFonts w:ascii="Book Antiqua" w:hAnsi="Book Antiqua" w:cs="Times New Roman"/>
                <w:b/>
                <w:sz w:val="24"/>
                <w:szCs w:val="24"/>
                <w:lang w:val="en-US" w:eastAsia="zh-CN"/>
              </w:rPr>
            </w:pPr>
            <w:r>
              <w:rPr>
                <w:rFonts w:ascii="Book Antiqua" w:hAnsi="Book Antiqua" w:cs="Times New Roman" w:hint="eastAsia"/>
                <w:b/>
                <w:sz w:val="24"/>
                <w:szCs w:val="24"/>
                <w:lang w:val="en-US" w:eastAsia="zh-CN"/>
              </w:rPr>
              <w:t>Ref.</w:t>
            </w:r>
          </w:p>
        </w:tc>
        <w:tc>
          <w:tcPr>
            <w:tcW w:w="1468" w:type="dxa"/>
            <w:tcBorders>
              <w:top w:val="single" w:sz="4" w:space="0" w:color="auto"/>
              <w:bottom w:val="single" w:sz="4" w:space="0" w:color="auto"/>
            </w:tcBorders>
          </w:tcPr>
          <w:p w:rsidR="00C56CA5" w:rsidRPr="00FE7B63" w:rsidRDefault="00773F51" w:rsidP="00CF4A41">
            <w:pPr>
              <w:spacing w:after="0" w:line="240" w:lineRule="auto"/>
              <w:jc w:val="both"/>
              <w:rPr>
                <w:rFonts w:ascii="Book Antiqua" w:hAnsi="Book Antiqua" w:cs="Times New Roman"/>
                <w:b/>
                <w:sz w:val="24"/>
                <w:szCs w:val="24"/>
                <w:lang w:val="en-US" w:eastAsia="zh-CN"/>
              </w:rPr>
            </w:pPr>
            <w:r w:rsidRPr="00FE7B63">
              <w:rPr>
                <w:rFonts w:ascii="Book Antiqua" w:hAnsi="Book Antiqua" w:cs="Times New Roman"/>
                <w:b/>
                <w:sz w:val="24"/>
                <w:szCs w:val="24"/>
                <w:lang w:val="en-US"/>
              </w:rPr>
              <w:t>Patients</w:t>
            </w:r>
            <w:r>
              <w:rPr>
                <w:rFonts w:ascii="Book Antiqua" w:hAnsi="Book Antiqua" w:cs="Times New Roman" w:hint="eastAsia"/>
                <w:b/>
                <w:sz w:val="24"/>
                <w:szCs w:val="24"/>
                <w:lang w:val="en-US" w:eastAsia="zh-CN"/>
              </w:rPr>
              <w:t xml:space="preserve"> (N)</w:t>
            </w:r>
          </w:p>
        </w:tc>
        <w:tc>
          <w:tcPr>
            <w:tcW w:w="1226" w:type="dxa"/>
            <w:tcBorders>
              <w:top w:val="single" w:sz="4" w:space="0" w:color="auto"/>
              <w:bottom w:val="single" w:sz="4" w:space="0" w:color="auto"/>
            </w:tcBorders>
          </w:tcPr>
          <w:p w:rsidR="00C56CA5" w:rsidRPr="00FE7B63" w:rsidRDefault="00C56CA5" w:rsidP="00CF4A41">
            <w:pPr>
              <w:spacing w:after="0" w:line="240" w:lineRule="auto"/>
              <w:jc w:val="both"/>
              <w:rPr>
                <w:rFonts w:ascii="Book Antiqua" w:hAnsi="Book Antiqua" w:cs="Times New Roman"/>
                <w:b/>
                <w:sz w:val="24"/>
                <w:szCs w:val="24"/>
                <w:lang w:val="en-US"/>
              </w:rPr>
            </w:pPr>
            <w:r w:rsidRPr="00FE7B63">
              <w:rPr>
                <w:rFonts w:ascii="Book Antiqua" w:hAnsi="Book Antiqua" w:cs="Times New Roman"/>
                <w:b/>
                <w:sz w:val="24"/>
                <w:szCs w:val="24"/>
                <w:lang w:val="en-US"/>
              </w:rPr>
              <w:t>Adeno-carcinoma (%)</w:t>
            </w:r>
          </w:p>
        </w:tc>
        <w:tc>
          <w:tcPr>
            <w:tcW w:w="1559" w:type="dxa"/>
            <w:tcBorders>
              <w:top w:val="single" w:sz="4" w:space="0" w:color="auto"/>
              <w:bottom w:val="single" w:sz="4" w:space="0" w:color="auto"/>
            </w:tcBorders>
          </w:tcPr>
          <w:p w:rsidR="00C56CA5" w:rsidRPr="00FE7B63" w:rsidRDefault="00C56CA5" w:rsidP="00CF4A41">
            <w:pPr>
              <w:spacing w:after="0" w:line="240" w:lineRule="auto"/>
              <w:jc w:val="both"/>
              <w:rPr>
                <w:rFonts w:ascii="Book Antiqua" w:hAnsi="Book Antiqua" w:cs="Times New Roman"/>
                <w:b/>
                <w:sz w:val="24"/>
                <w:szCs w:val="24"/>
                <w:lang w:val="en-US"/>
              </w:rPr>
            </w:pPr>
            <w:r w:rsidRPr="00FE7B63">
              <w:rPr>
                <w:rFonts w:ascii="Book Antiqua" w:hAnsi="Book Antiqua" w:cs="Times New Roman"/>
                <w:b/>
                <w:sz w:val="24"/>
                <w:szCs w:val="24"/>
                <w:lang w:val="en-US"/>
              </w:rPr>
              <w:t>Treatment intention of studied group</w:t>
            </w:r>
          </w:p>
        </w:tc>
        <w:tc>
          <w:tcPr>
            <w:tcW w:w="1729" w:type="dxa"/>
            <w:tcBorders>
              <w:top w:val="single" w:sz="4" w:space="0" w:color="auto"/>
              <w:bottom w:val="single" w:sz="4" w:space="0" w:color="auto"/>
            </w:tcBorders>
          </w:tcPr>
          <w:p w:rsidR="00C56CA5" w:rsidRPr="00FE7B63" w:rsidRDefault="00C56CA5" w:rsidP="00CF4A41">
            <w:pPr>
              <w:spacing w:after="0" w:line="240" w:lineRule="auto"/>
              <w:jc w:val="both"/>
              <w:rPr>
                <w:rFonts w:ascii="Book Antiqua" w:hAnsi="Book Antiqua" w:cs="Times New Roman"/>
                <w:b/>
                <w:sz w:val="24"/>
                <w:szCs w:val="24"/>
                <w:lang w:val="en-US"/>
              </w:rPr>
            </w:pPr>
            <w:r w:rsidRPr="00FE7B63">
              <w:rPr>
                <w:rFonts w:ascii="Book Antiqua" w:hAnsi="Book Antiqua" w:cs="Times New Roman"/>
                <w:b/>
                <w:sz w:val="24"/>
                <w:szCs w:val="24"/>
                <w:lang w:val="en-US"/>
              </w:rPr>
              <w:t>Median (or mean) SUV</w:t>
            </w:r>
            <w:r w:rsidRPr="00ED15AD">
              <w:rPr>
                <w:rFonts w:ascii="Book Antiqua" w:hAnsi="Book Antiqua" w:cs="Times New Roman"/>
                <w:b/>
                <w:sz w:val="24"/>
                <w:szCs w:val="24"/>
                <w:vertAlign w:val="subscript"/>
                <w:lang w:val="en-US"/>
              </w:rPr>
              <w:t>max</w:t>
            </w:r>
          </w:p>
        </w:tc>
        <w:tc>
          <w:tcPr>
            <w:tcW w:w="1531" w:type="dxa"/>
            <w:tcBorders>
              <w:top w:val="single" w:sz="4" w:space="0" w:color="auto"/>
              <w:bottom w:val="single" w:sz="4" w:space="0" w:color="auto"/>
            </w:tcBorders>
          </w:tcPr>
          <w:p w:rsidR="00C56CA5" w:rsidRPr="00FE7B63" w:rsidRDefault="00C56CA5" w:rsidP="00CF4A41">
            <w:pPr>
              <w:spacing w:after="0" w:line="240" w:lineRule="auto"/>
              <w:jc w:val="both"/>
              <w:rPr>
                <w:rFonts w:ascii="Book Antiqua" w:hAnsi="Book Antiqua" w:cs="Times New Roman"/>
                <w:b/>
                <w:sz w:val="24"/>
                <w:szCs w:val="24"/>
                <w:lang w:val="en-US"/>
              </w:rPr>
            </w:pPr>
            <w:r w:rsidRPr="00FE7B63">
              <w:rPr>
                <w:rFonts w:ascii="Book Antiqua" w:hAnsi="Book Antiqua" w:cs="Times New Roman"/>
                <w:b/>
                <w:sz w:val="24"/>
                <w:szCs w:val="24"/>
                <w:lang w:val="en-US"/>
              </w:rPr>
              <w:t>SUV</w:t>
            </w:r>
            <w:r w:rsidRPr="00773F51">
              <w:rPr>
                <w:rFonts w:ascii="Book Antiqua" w:hAnsi="Book Antiqua" w:cs="Times New Roman"/>
                <w:b/>
                <w:sz w:val="24"/>
                <w:szCs w:val="24"/>
                <w:vertAlign w:val="subscript"/>
                <w:lang w:val="en-US"/>
              </w:rPr>
              <w:t xml:space="preserve">max </w:t>
            </w:r>
            <w:r w:rsidRPr="00FE7B63">
              <w:rPr>
                <w:rFonts w:ascii="Book Antiqua" w:hAnsi="Book Antiqua" w:cs="Times New Roman"/>
                <w:b/>
                <w:sz w:val="24"/>
                <w:szCs w:val="24"/>
                <w:lang w:val="en-US"/>
              </w:rPr>
              <w:t>significant on univariate analysis</w:t>
            </w:r>
          </w:p>
        </w:tc>
        <w:tc>
          <w:tcPr>
            <w:tcW w:w="1843" w:type="dxa"/>
            <w:tcBorders>
              <w:top w:val="single" w:sz="4" w:space="0" w:color="auto"/>
              <w:bottom w:val="single" w:sz="4" w:space="0" w:color="auto"/>
            </w:tcBorders>
          </w:tcPr>
          <w:p w:rsidR="00C56CA5" w:rsidRPr="00FE7B63" w:rsidRDefault="00C56CA5" w:rsidP="00CF4A41">
            <w:pPr>
              <w:spacing w:after="0" w:line="240" w:lineRule="auto"/>
              <w:jc w:val="both"/>
              <w:rPr>
                <w:rFonts w:ascii="Book Antiqua" w:hAnsi="Book Antiqua" w:cs="Times New Roman"/>
                <w:b/>
                <w:sz w:val="24"/>
                <w:szCs w:val="24"/>
                <w:lang w:val="en-US"/>
              </w:rPr>
            </w:pPr>
            <w:r w:rsidRPr="00FE7B63">
              <w:rPr>
                <w:rFonts w:ascii="Book Antiqua" w:hAnsi="Book Antiqua" w:cs="Times New Roman"/>
                <w:b/>
                <w:sz w:val="24"/>
                <w:szCs w:val="24"/>
                <w:lang w:val="en-US"/>
              </w:rPr>
              <w:t>SUV</w:t>
            </w:r>
            <w:r w:rsidRPr="00773F51">
              <w:rPr>
                <w:rFonts w:ascii="Book Antiqua" w:hAnsi="Book Antiqua" w:cs="Times New Roman"/>
                <w:b/>
                <w:sz w:val="24"/>
                <w:szCs w:val="24"/>
                <w:vertAlign w:val="subscript"/>
                <w:lang w:val="en-US"/>
              </w:rPr>
              <w:t xml:space="preserve">max </w:t>
            </w:r>
            <w:r w:rsidRPr="00FE7B63">
              <w:rPr>
                <w:rFonts w:ascii="Book Antiqua" w:hAnsi="Book Antiqua" w:cs="Times New Roman"/>
                <w:b/>
                <w:sz w:val="24"/>
                <w:szCs w:val="24"/>
                <w:lang w:val="en-US"/>
              </w:rPr>
              <w:t>significant on multivariate analysis</w:t>
            </w:r>
          </w:p>
        </w:tc>
        <w:tc>
          <w:tcPr>
            <w:tcW w:w="1920" w:type="dxa"/>
            <w:tcBorders>
              <w:top w:val="single" w:sz="4" w:space="0" w:color="auto"/>
              <w:bottom w:val="single" w:sz="4" w:space="0" w:color="auto"/>
            </w:tcBorders>
          </w:tcPr>
          <w:p w:rsidR="00C56CA5" w:rsidRPr="00FE7B63" w:rsidRDefault="00C56CA5" w:rsidP="00CF4A41">
            <w:pPr>
              <w:spacing w:after="0" w:line="240" w:lineRule="auto"/>
              <w:jc w:val="both"/>
              <w:rPr>
                <w:rFonts w:ascii="Book Antiqua" w:hAnsi="Book Antiqua" w:cs="Times New Roman"/>
                <w:b/>
                <w:sz w:val="24"/>
                <w:szCs w:val="24"/>
                <w:lang w:val="en-US"/>
              </w:rPr>
            </w:pPr>
            <w:r w:rsidRPr="00FE7B63">
              <w:rPr>
                <w:rFonts w:ascii="Book Antiqua" w:hAnsi="Book Antiqua" w:cs="Times New Roman"/>
                <w:b/>
                <w:sz w:val="24"/>
                <w:szCs w:val="24"/>
                <w:lang w:val="en-US"/>
              </w:rPr>
              <w:t>Other significant associations on multivariate analysis</w:t>
            </w:r>
          </w:p>
        </w:tc>
      </w:tr>
      <w:tr w:rsidR="00C56CA5" w:rsidRPr="00FE7B63" w:rsidTr="00773F51">
        <w:tc>
          <w:tcPr>
            <w:tcW w:w="2126" w:type="dxa"/>
            <w:tcBorders>
              <w:top w:val="single" w:sz="4" w:space="0" w:color="auto"/>
            </w:tcBorders>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 xml:space="preserve">Fukunaga </w:t>
            </w:r>
            <w:r w:rsidRPr="00773F51">
              <w:rPr>
                <w:rFonts w:ascii="Book Antiqua" w:hAnsi="Book Antiqua" w:cs="Times New Roman"/>
                <w:i/>
                <w:sz w:val="24"/>
                <w:szCs w:val="24"/>
                <w:lang w:val="en-US"/>
              </w:rPr>
              <w:t>et al</w:t>
            </w:r>
            <w:r w:rsidRPr="00FE7B63">
              <w:rPr>
                <w:rFonts w:ascii="Book Antiqua" w:hAnsi="Book Antiqua" w:cs="Times New Roman"/>
                <w:sz w:val="24"/>
                <w:szCs w:val="24"/>
                <w:vertAlign w:val="superscript"/>
                <w:lang w:val="en-US"/>
              </w:rPr>
              <w:t>[4]</w:t>
            </w:r>
            <w:r w:rsidRPr="00FE7B63">
              <w:rPr>
                <w:rFonts w:ascii="Book Antiqua" w:hAnsi="Book Antiqua" w:cs="Times New Roman"/>
                <w:sz w:val="24"/>
                <w:szCs w:val="24"/>
                <w:lang w:val="en-US"/>
              </w:rPr>
              <w:t>, 1998</w:t>
            </w:r>
          </w:p>
        </w:tc>
        <w:tc>
          <w:tcPr>
            <w:tcW w:w="1468" w:type="dxa"/>
            <w:tcBorders>
              <w:top w:val="single" w:sz="4" w:space="0" w:color="auto"/>
            </w:tcBorders>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48</w:t>
            </w:r>
          </w:p>
        </w:tc>
        <w:tc>
          <w:tcPr>
            <w:tcW w:w="1226" w:type="dxa"/>
            <w:tcBorders>
              <w:top w:val="single" w:sz="4" w:space="0" w:color="auto"/>
            </w:tcBorders>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Not stated</w:t>
            </w:r>
          </w:p>
        </w:tc>
        <w:tc>
          <w:tcPr>
            <w:tcW w:w="1559" w:type="dxa"/>
            <w:tcBorders>
              <w:top w:val="single" w:sz="4" w:space="0" w:color="auto"/>
            </w:tcBorders>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Curative</w:t>
            </w:r>
          </w:p>
        </w:tc>
        <w:tc>
          <w:tcPr>
            <w:tcW w:w="1729" w:type="dxa"/>
            <w:tcBorders>
              <w:top w:val="single" w:sz="4" w:space="0" w:color="auto"/>
            </w:tcBorders>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7.0</w:t>
            </w:r>
          </w:p>
        </w:tc>
        <w:tc>
          <w:tcPr>
            <w:tcW w:w="1531" w:type="dxa"/>
            <w:tcBorders>
              <w:top w:val="single" w:sz="4" w:space="0" w:color="auto"/>
            </w:tcBorders>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Yes</w:t>
            </w:r>
          </w:p>
        </w:tc>
        <w:tc>
          <w:tcPr>
            <w:tcW w:w="1843" w:type="dxa"/>
            <w:tcBorders>
              <w:top w:val="single" w:sz="4" w:space="0" w:color="auto"/>
            </w:tcBorders>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Not assessed</w:t>
            </w:r>
          </w:p>
        </w:tc>
        <w:tc>
          <w:tcPr>
            <w:tcW w:w="1920" w:type="dxa"/>
            <w:tcBorders>
              <w:top w:val="single" w:sz="4" w:space="0" w:color="auto"/>
            </w:tcBorders>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Not assessed</w:t>
            </w:r>
          </w:p>
        </w:tc>
      </w:tr>
      <w:tr w:rsidR="00C56CA5" w:rsidRPr="00FE7B63" w:rsidTr="00773F51">
        <w:tc>
          <w:tcPr>
            <w:tcW w:w="2126"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 xml:space="preserve">Choi </w:t>
            </w:r>
            <w:r w:rsidR="00773F51" w:rsidRPr="00773F51">
              <w:rPr>
                <w:rFonts w:ascii="Book Antiqua" w:hAnsi="Book Antiqua" w:cs="Times New Roman"/>
                <w:i/>
                <w:sz w:val="24"/>
                <w:szCs w:val="24"/>
                <w:lang w:val="en-US"/>
              </w:rPr>
              <w:t>et al</w:t>
            </w:r>
            <w:r w:rsidR="00773F51" w:rsidRPr="00FE7B63">
              <w:rPr>
                <w:rFonts w:ascii="Book Antiqua" w:hAnsi="Book Antiqua" w:cs="Times New Roman"/>
                <w:sz w:val="24"/>
                <w:szCs w:val="24"/>
                <w:vertAlign w:val="superscript"/>
                <w:lang w:val="en-US"/>
              </w:rPr>
              <w:t xml:space="preserve"> </w:t>
            </w:r>
            <w:r w:rsidRPr="00FE7B63">
              <w:rPr>
                <w:rFonts w:ascii="Book Antiqua" w:hAnsi="Book Antiqua" w:cs="Times New Roman"/>
                <w:sz w:val="24"/>
                <w:szCs w:val="24"/>
                <w:vertAlign w:val="superscript"/>
                <w:lang w:val="en-US"/>
              </w:rPr>
              <w:t>[5]</w:t>
            </w:r>
            <w:r w:rsidRPr="00FE7B63">
              <w:rPr>
                <w:rFonts w:ascii="Book Antiqua" w:hAnsi="Book Antiqua" w:cs="Times New Roman"/>
                <w:sz w:val="24"/>
                <w:szCs w:val="24"/>
                <w:lang w:val="en-US"/>
              </w:rPr>
              <w:t>, 2004</w:t>
            </w:r>
          </w:p>
        </w:tc>
        <w:tc>
          <w:tcPr>
            <w:tcW w:w="1468"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69</w:t>
            </w:r>
          </w:p>
        </w:tc>
        <w:tc>
          <w:tcPr>
            <w:tcW w:w="1226"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0%</w:t>
            </w:r>
          </w:p>
        </w:tc>
        <w:tc>
          <w:tcPr>
            <w:tcW w:w="1559"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Curative</w:t>
            </w:r>
          </w:p>
        </w:tc>
        <w:tc>
          <w:tcPr>
            <w:tcW w:w="1729" w:type="dxa"/>
          </w:tcPr>
          <w:p w:rsidR="00C56CA5" w:rsidRPr="00FE7B63" w:rsidRDefault="00ED15AD" w:rsidP="00CF4A41">
            <w:pPr>
              <w:spacing w:after="0" w:line="240" w:lineRule="auto"/>
              <w:jc w:val="both"/>
              <w:rPr>
                <w:rFonts w:ascii="Book Antiqua" w:hAnsi="Book Antiqua" w:cs="Times New Roman"/>
                <w:sz w:val="24"/>
                <w:szCs w:val="24"/>
                <w:lang w:val="en-US"/>
              </w:rPr>
            </w:pPr>
            <w:r>
              <w:rPr>
                <w:rFonts w:ascii="Book Antiqua" w:hAnsi="Book Antiqua" w:cs="Times New Roman"/>
                <w:sz w:val="24"/>
                <w:szCs w:val="24"/>
                <w:lang w:val="en-US"/>
              </w:rPr>
              <w:t>6.3/</w:t>
            </w:r>
            <w:r w:rsidR="00C56CA5" w:rsidRPr="00FE7B63">
              <w:rPr>
                <w:rFonts w:ascii="Book Antiqua" w:hAnsi="Book Antiqua" w:cs="Times New Roman"/>
                <w:sz w:val="24"/>
                <w:szCs w:val="24"/>
                <w:lang w:val="en-US"/>
              </w:rPr>
              <w:t>13.7 (thresholds)</w:t>
            </w:r>
          </w:p>
        </w:tc>
        <w:tc>
          <w:tcPr>
            <w:tcW w:w="1531"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Yes</w:t>
            </w:r>
          </w:p>
        </w:tc>
        <w:tc>
          <w:tcPr>
            <w:tcW w:w="1843"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No</w:t>
            </w:r>
          </w:p>
        </w:tc>
        <w:tc>
          <w:tcPr>
            <w:tcW w:w="1920"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UICC stage</w:t>
            </w:r>
          </w:p>
        </w:tc>
      </w:tr>
      <w:tr w:rsidR="00C56CA5" w:rsidRPr="00FE7B63" w:rsidTr="00773F51">
        <w:tc>
          <w:tcPr>
            <w:tcW w:w="2126"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 xml:space="preserve">Hong </w:t>
            </w:r>
            <w:r w:rsidR="00773F51" w:rsidRPr="00773F51">
              <w:rPr>
                <w:rFonts w:ascii="Book Antiqua" w:hAnsi="Book Antiqua" w:cs="Times New Roman"/>
                <w:i/>
                <w:sz w:val="24"/>
                <w:szCs w:val="24"/>
                <w:lang w:val="en-US"/>
              </w:rPr>
              <w:t>et al</w:t>
            </w:r>
            <w:r w:rsidR="00773F51" w:rsidRPr="00FE7B63">
              <w:rPr>
                <w:rFonts w:ascii="Book Antiqua" w:hAnsi="Book Antiqua" w:cs="Times New Roman"/>
                <w:sz w:val="24"/>
                <w:szCs w:val="24"/>
                <w:vertAlign w:val="superscript"/>
                <w:lang w:val="en-US"/>
              </w:rPr>
              <w:t xml:space="preserve"> </w:t>
            </w:r>
            <w:r w:rsidRPr="00FE7B63">
              <w:rPr>
                <w:rFonts w:ascii="Book Antiqua" w:hAnsi="Book Antiqua" w:cs="Times New Roman"/>
                <w:sz w:val="24"/>
                <w:szCs w:val="24"/>
                <w:vertAlign w:val="superscript"/>
                <w:lang w:val="en-US"/>
              </w:rPr>
              <w:t>[6]</w:t>
            </w:r>
            <w:r w:rsidRPr="00FE7B63">
              <w:rPr>
                <w:rFonts w:ascii="Book Antiqua" w:hAnsi="Book Antiqua" w:cs="Times New Roman"/>
                <w:sz w:val="24"/>
                <w:szCs w:val="24"/>
                <w:lang w:val="en-US"/>
              </w:rPr>
              <w:t>, 2005</w:t>
            </w:r>
          </w:p>
        </w:tc>
        <w:tc>
          <w:tcPr>
            <w:tcW w:w="1468"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47</w:t>
            </w:r>
          </w:p>
        </w:tc>
        <w:tc>
          <w:tcPr>
            <w:tcW w:w="1226"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87%</w:t>
            </w:r>
          </w:p>
        </w:tc>
        <w:tc>
          <w:tcPr>
            <w:tcW w:w="1559"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Curative</w:t>
            </w:r>
          </w:p>
        </w:tc>
        <w:tc>
          <w:tcPr>
            <w:tcW w:w="1729"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Not stated</w:t>
            </w:r>
          </w:p>
        </w:tc>
        <w:tc>
          <w:tcPr>
            <w:tcW w:w="1531"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No</w:t>
            </w:r>
          </w:p>
        </w:tc>
        <w:tc>
          <w:tcPr>
            <w:tcW w:w="1843"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No</w:t>
            </w:r>
          </w:p>
        </w:tc>
        <w:tc>
          <w:tcPr>
            <w:tcW w:w="1920"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Number of abnormalities on PET-CT</w:t>
            </w:r>
          </w:p>
        </w:tc>
      </w:tr>
      <w:tr w:rsidR="00C56CA5" w:rsidRPr="00FE7B63" w:rsidTr="00773F51">
        <w:tc>
          <w:tcPr>
            <w:tcW w:w="2126"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 xml:space="preserve">Stahl </w:t>
            </w:r>
            <w:r w:rsidR="00773F51" w:rsidRPr="00773F51">
              <w:rPr>
                <w:rFonts w:ascii="Book Antiqua" w:hAnsi="Book Antiqua" w:cs="Times New Roman"/>
                <w:i/>
                <w:sz w:val="24"/>
                <w:szCs w:val="24"/>
                <w:lang w:val="en-US"/>
              </w:rPr>
              <w:t>et al</w:t>
            </w:r>
            <w:r w:rsidR="00773F51" w:rsidRPr="00FE7B63">
              <w:rPr>
                <w:rFonts w:ascii="Book Antiqua" w:hAnsi="Book Antiqua" w:cs="Times New Roman"/>
                <w:sz w:val="24"/>
                <w:szCs w:val="24"/>
                <w:vertAlign w:val="superscript"/>
                <w:lang w:val="en-US"/>
              </w:rPr>
              <w:t xml:space="preserve"> </w:t>
            </w:r>
            <w:r w:rsidRPr="00FE7B63">
              <w:rPr>
                <w:rFonts w:ascii="Book Antiqua" w:hAnsi="Book Antiqua" w:cs="Times New Roman"/>
                <w:sz w:val="24"/>
                <w:szCs w:val="24"/>
                <w:vertAlign w:val="superscript"/>
                <w:lang w:val="en-US"/>
              </w:rPr>
              <w:t>[7]</w:t>
            </w:r>
            <w:r w:rsidRPr="00FE7B63">
              <w:rPr>
                <w:rFonts w:ascii="Book Antiqua" w:hAnsi="Book Antiqua" w:cs="Times New Roman"/>
                <w:sz w:val="24"/>
                <w:szCs w:val="24"/>
                <w:lang w:val="en-US"/>
              </w:rPr>
              <w:t>, 2005</w:t>
            </w:r>
          </w:p>
        </w:tc>
        <w:tc>
          <w:tcPr>
            <w:tcW w:w="1468"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40</w:t>
            </w:r>
          </w:p>
        </w:tc>
        <w:tc>
          <w:tcPr>
            <w:tcW w:w="1226"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100%</w:t>
            </w:r>
          </w:p>
        </w:tc>
        <w:tc>
          <w:tcPr>
            <w:tcW w:w="1559"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Curative</w:t>
            </w:r>
          </w:p>
        </w:tc>
        <w:tc>
          <w:tcPr>
            <w:tcW w:w="1729"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10.5</w:t>
            </w:r>
          </w:p>
        </w:tc>
        <w:tc>
          <w:tcPr>
            <w:tcW w:w="1531"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No</w:t>
            </w:r>
          </w:p>
        </w:tc>
        <w:tc>
          <w:tcPr>
            <w:tcW w:w="1843"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Not assessed</w:t>
            </w:r>
          </w:p>
        </w:tc>
        <w:tc>
          <w:tcPr>
            <w:tcW w:w="1920" w:type="dxa"/>
          </w:tcPr>
          <w:p w:rsidR="00C56CA5" w:rsidRPr="00FE7B63" w:rsidRDefault="00C56CA5" w:rsidP="00CF4A41">
            <w:pPr>
              <w:spacing w:after="0" w:line="240" w:lineRule="auto"/>
              <w:jc w:val="both"/>
              <w:rPr>
                <w:rFonts w:ascii="Book Antiqua" w:hAnsi="Book Antiqua" w:cs="Times New Roman"/>
                <w:sz w:val="24"/>
                <w:szCs w:val="24"/>
                <w:lang w:val="en-US"/>
              </w:rPr>
            </w:pPr>
          </w:p>
        </w:tc>
      </w:tr>
      <w:tr w:rsidR="00C56CA5" w:rsidRPr="00FE7B63" w:rsidTr="00773F51">
        <w:tc>
          <w:tcPr>
            <w:tcW w:w="2126"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 xml:space="preserve">Van Westreenen </w:t>
            </w:r>
            <w:r w:rsidR="00773F51" w:rsidRPr="00773F51">
              <w:rPr>
                <w:rFonts w:ascii="Book Antiqua" w:hAnsi="Book Antiqua" w:cs="Times New Roman"/>
                <w:i/>
                <w:sz w:val="24"/>
                <w:szCs w:val="24"/>
                <w:lang w:val="en-US"/>
              </w:rPr>
              <w:t>et al</w:t>
            </w:r>
            <w:r w:rsidR="00773F51" w:rsidRPr="00FE7B63">
              <w:rPr>
                <w:rFonts w:ascii="Book Antiqua" w:hAnsi="Book Antiqua" w:cs="Times New Roman"/>
                <w:sz w:val="24"/>
                <w:szCs w:val="24"/>
                <w:vertAlign w:val="superscript"/>
                <w:lang w:val="en-US"/>
              </w:rPr>
              <w:t xml:space="preserve"> </w:t>
            </w:r>
            <w:r w:rsidRPr="00FE7B63">
              <w:rPr>
                <w:rFonts w:ascii="Book Antiqua" w:hAnsi="Book Antiqua" w:cs="Times New Roman"/>
                <w:sz w:val="24"/>
                <w:szCs w:val="24"/>
                <w:vertAlign w:val="superscript"/>
                <w:lang w:val="en-US"/>
              </w:rPr>
              <w:t>[8]</w:t>
            </w:r>
            <w:r w:rsidRPr="00FE7B63">
              <w:rPr>
                <w:rFonts w:ascii="Book Antiqua" w:hAnsi="Book Antiqua" w:cs="Times New Roman"/>
                <w:sz w:val="24"/>
                <w:szCs w:val="24"/>
                <w:lang w:val="en-US"/>
              </w:rPr>
              <w:t>, 2005</w:t>
            </w:r>
          </w:p>
        </w:tc>
        <w:tc>
          <w:tcPr>
            <w:tcW w:w="1468"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40</w:t>
            </w:r>
          </w:p>
        </w:tc>
        <w:tc>
          <w:tcPr>
            <w:tcW w:w="1226"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70%</w:t>
            </w:r>
          </w:p>
        </w:tc>
        <w:tc>
          <w:tcPr>
            <w:tcW w:w="1559"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Curative and palliative</w:t>
            </w:r>
          </w:p>
        </w:tc>
        <w:tc>
          <w:tcPr>
            <w:tcW w:w="1729"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6.7</w:t>
            </w:r>
          </w:p>
        </w:tc>
        <w:tc>
          <w:tcPr>
            <w:tcW w:w="1531"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Yes</w:t>
            </w:r>
          </w:p>
        </w:tc>
        <w:tc>
          <w:tcPr>
            <w:tcW w:w="1843"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No</w:t>
            </w:r>
          </w:p>
        </w:tc>
        <w:tc>
          <w:tcPr>
            <w:tcW w:w="1920"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Treatment</w:t>
            </w:r>
          </w:p>
        </w:tc>
      </w:tr>
      <w:tr w:rsidR="00C56CA5" w:rsidRPr="00FE7B63" w:rsidTr="00773F51">
        <w:tc>
          <w:tcPr>
            <w:tcW w:w="2126"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 xml:space="preserve">Cerfolio </w:t>
            </w:r>
            <w:r w:rsidR="00773F51" w:rsidRPr="00773F51">
              <w:rPr>
                <w:rFonts w:ascii="Book Antiqua" w:hAnsi="Book Antiqua" w:cs="Times New Roman"/>
                <w:i/>
                <w:sz w:val="24"/>
                <w:szCs w:val="24"/>
                <w:lang w:val="en-US"/>
              </w:rPr>
              <w:t>et al</w:t>
            </w:r>
            <w:r w:rsidRPr="00FE7B63">
              <w:rPr>
                <w:rFonts w:ascii="Book Antiqua" w:hAnsi="Book Antiqua" w:cs="Times New Roman"/>
                <w:sz w:val="24"/>
                <w:szCs w:val="24"/>
                <w:vertAlign w:val="superscript"/>
                <w:lang w:val="en-US"/>
              </w:rPr>
              <w:t>[9]</w:t>
            </w:r>
            <w:r w:rsidRPr="00FE7B63">
              <w:rPr>
                <w:rFonts w:ascii="Book Antiqua" w:hAnsi="Book Antiqua" w:cs="Times New Roman"/>
                <w:sz w:val="24"/>
                <w:szCs w:val="24"/>
                <w:lang w:val="en-US"/>
              </w:rPr>
              <w:t>, 2006</w:t>
            </w:r>
          </w:p>
        </w:tc>
        <w:tc>
          <w:tcPr>
            <w:tcW w:w="1468"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89</w:t>
            </w:r>
          </w:p>
        </w:tc>
        <w:tc>
          <w:tcPr>
            <w:tcW w:w="1226"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53%</w:t>
            </w:r>
          </w:p>
        </w:tc>
        <w:tc>
          <w:tcPr>
            <w:tcW w:w="1559"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Curative</w:t>
            </w:r>
          </w:p>
        </w:tc>
        <w:tc>
          <w:tcPr>
            <w:tcW w:w="1729"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6.6</w:t>
            </w:r>
          </w:p>
        </w:tc>
        <w:tc>
          <w:tcPr>
            <w:tcW w:w="1531"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Yes</w:t>
            </w:r>
          </w:p>
        </w:tc>
        <w:tc>
          <w:tcPr>
            <w:tcW w:w="1843"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Yes</w:t>
            </w:r>
          </w:p>
        </w:tc>
        <w:tc>
          <w:tcPr>
            <w:tcW w:w="1920"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UICC stage</w:t>
            </w:r>
          </w:p>
        </w:tc>
      </w:tr>
      <w:tr w:rsidR="00C56CA5" w:rsidRPr="00FE7B63" w:rsidTr="00773F51">
        <w:tc>
          <w:tcPr>
            <w:tcW w:w="2126"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 xml:space="preserve">Choi </w:t>
            </w:r>
            <w:r w:rsidR="00773F51" w:rsidRPr="00773F51">
              <w:rPr>
                <w:rFonts w:ascii="Book Antiqua" w:hAnsi="Book Antiqua" w:cs="Times New Roman"/>
                <w:i/>
                <w:sz w:val="24"/>
                <w:szCs w:val="24"/>
                <w:lang w:val="en-US"/>
              </w:rPr>
              <w:t>et al</w:t>
            </w:r>
            <w:r w:rsidRPr="00FE7B63">
              <w:rPr>
                <w:rFonts w:ascii="Book Antiqua" w:hAnsi="Book Antiqua" w:cs="Times New Roman"/>
                <w:sz w:val="24"/>
                <w:szCs w:val="24"/>
                <w:vertAlign w:val="superscript"/>
                <w:lang w:val="en-US"/>
              </w:rPr>
              <w:t>[10]</w:t>
            </w:r>
            <w:r w:rsidRPr="00FE7B63">
              <w:rPr>
                <w:rFonts w:ascii="Book Antiqua" w:hAnsi="Book Antiqua" w:cs="Times New Roman"/>
                <w:sz w:val="24"/>
                <w:szCs w:val="24"/>
                <w:lang w:val="en-US"/>
              </w:rPr>
              <w:t>, 2006</w:t>
            </w:r>
          </w:p>
        </w:tc>
        <w:tc>
          <w:tcPr>
            <w:tcW w:w="1468"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51</w:t>
            </w:r>
          </w:p>
        </w:tc>
        <w:tc>
          <w:tcPr>
            <w:tcW w:w="1226"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0%</w:t>
            </w:r>
          </w:p>
        </w:tc>
        <w:tc>
          <w:tcPr>
            <w:tcW w:w="1559"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Curative</w:t>
            </w:r>
          </w:p>
        </w:tc>
        <w:tc>
          <w:tcPr>
            <w:tcW w:w="1729"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Not stated</w:t>
            </w:r>
          </w:p>
        </w:tc>
        <w:tc>
          <w:tcPr>
            <w:tcW w:w="1531"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Yes</w:t>
            </w:r>
          </w:p>
        </w:tc>
        <w:tc>
          <w:tcPr>
            <w:tcW w:w="1843"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No</w:t>
            </w:r>
          </w:p>
        </w:tc>
        <w:tc>
          <w:tcPr>
            <w:tcW w:w="1920"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UICC stage, N1 status (on PET-CT), immunohistochemical markers</w:t>
            </w:r>
          </w:p>
        </w:tc>
      </w:tr>
      <w:tr w:rsidR="00C56CA5" w:rsidRPr="00FE7B63" w:rsidTr="00773F51">
        <w:tc>
          <w:tcPr>
            <w:tcW w:w="2126"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 xml:space="preserve">Westerterp </w:t>
            </w:r>
            <w:r w:rsidR="00773F51" w:rsidRPr="00773F51">
              <w:rPr>
                <w:rFonts w:ascii="Book Antiqua" w:hAnsi="Book Antiqua" w:cs="Times New Roman"/>
                <w:i/>
                <w:sz w:val="24"/>
                <w:szCs w:val="24"/>
                <w:lang w:val="en-US"/>
              </w:rPr>
              <w:t>et al</w:t>
            </w:r>
            <w:r w:rsidRPr="00FE7B63">
              <w:rPr>
                <w:rFonts w:ascii="Book Antiqua" w:hAnsi="Book Antiqua" w:cs="Times New Roman"/>
                <w:sz w:val="24"/>
                <w:szCs w:val="24"/>
                <w:vertAlign w:val="superscript"/>
                <w:lang w:val="en-US"/>
              </w:rPr>
              <w:t>[11]</w:t>
            </w:r>
            <w:r w:rsidRPr="00FE7B63">
              <w:rPr>
                <w:rFonts w:ascii="Book Antiqua" w:hAnsi="Book Antiqua" w:cs="Times New Roman"/>
                <w:sz w:val="24"/>
                <w:szCs w:val="24"/>
                <w:lang w:val="en-US"/>
              </w:rPr>
              <w:t>, 2008</w:t>
            </w:r>
          </w:p>
        </w:tc>
        <w:tc>
          <w:tcPr>
            <w:tcW w:w="1468"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26</w:t>
            </w:r>
          </w:p>
        </w:tc>
        <w:tc>
          <w:tcPr>
            <w:tcW w:w="1226"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100%</w:t>
            </w:r>
          </w:p>
        </w:tc>
        <w:tc>
          <w:tcPr>
            <w:tcW w:w="1559"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Curative</w:t>
            </w:r>
          </w:p>
        </w:tc>
        <w:tc>
          <w:tcPr>
            <w:tcW w:w="1729"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0.26</w:t>
            </w:r>
          </w:p>
        </w:tc>
        <w:tc>
          <w:tcPr>
            <w:tcW w:w="1531"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Yes</w:t>
            </w:r>
          </w:p>
        </w:tc>
        <w:tc>
          <w:tcPr>
            <w:tcW w:w="1843"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Not assessed</w:t>
            </w:r>
          </w:p>
        </w:tc>
        <w:tc>
          <w:tcPr>
            <w:tcW w:w="1920" w:type="dxa"/>
          </w:tcPr>
          <w:p w:rsidR="00C56CA5" w:rsidRPr="00FE7B63" w:rsidRDefault="00C56CA5" w:rsidP="00CF4A41">
            <w:pPr>
              <w:spacing w:after="0" w:line="240" w:lineRule="auto"/>
              <w:jc w:val="both"/>
              <w:rPr>
                <w:rFonts w:ascii="Book Antiqua" w:hAnsi="Book Antiqua" w:cs="Times New Roman"/>
                <w:sz w:val="24"/>
                <w:szCs w:val="24"/>
                <w:lang w:val="en-US"/>
              </w:rPr>
            </w:pPr>
          </w:p>
        </w:tc>
      </w:tr>
      <w:tr w:rsidR="00C56CA5" w:rsidRPr="00FE7B63" w:rsidTr="00773F51">
        <w:tc>
          <w:tcPr>
            <w:tcW w:w="2126"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lastRenderedPageBreak/>
              <w:t xml:space="preserve">Omloo </w:t>
            </w:r>
            <w:r w:rsidR="00773F51" w:rsidRPr="00773F51">
              <w:rPr>
                <w:rFonts w:ascii="Book Antiqua" w:hAnsi="Book Antiqua" w:cs="Times New Roman"/>
                <w:i/>
                <w:sz w:val="24"/>
                <w:szCs w:val="24"/>
                <w:lang w:val="en-US"/>
              </w:rPr>
              <w:t>et al</w:t>
            </w:r>
            <w:r w:rsidRPr="00FE7B63">
              <w:rPr>
                <w:rFonts w:ascii="Book Antiqua" w:hAnsi="Book Antiqua" w:cs="Times New Roman"/>
                <w:sz w:val="24"/>
                <w:szCs w:val="24"/>
                <w:vertAlign w:val="superscript"/>
                <w:lang w:val="en-US"/>
              </w:rPr>
              <w:t>[12]</w:t>
            </w:r>
            <w:r w:rsidRPr="00FE7B63">
              <w:rPr>
                <w:rFonts w:ascii="Book Antiqua" w:hAnsi="Book Antiqua" w:cs="Times New Roman"/>
                <w:sz w:val="24"/>
                <w:szCs w:val="24"/>
                <w:lang w:val="en-US"/>
              </w:rPr>
              <w:t>, 2008</w:t>
            </w:r>
          </w:p>
        </w:tc>
        <w:tc>
          <w:tcPr>
            <w:tcW w:w="1468"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125</w:t>
            </w:r>
          </w:p>
        </w:tc>
        <w:tc>
          <w:tcPr>
            <w:tcW w:w="1226"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85%</w:t>
            </w:r>
          </w:p>
        </w:tc>
        <w:tc>
          <w:tcPr>
            <w:tcW w:w="1559"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Curative</w:t>
            </w:r>
          </w:p>
        </w:tc>
        <w:tc>
          <w:tcPr>
            <w:tcW w:w="1729"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0.27</w:t>
            </w:r>
          </w:p>
        </w:tc>
        <w:tc>
          <w:tcPr>
            <w:tcW w:w="1531"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Yes</w:t>
            </w:r>
          </w:p>
        </w:tc>
        <w:tc>
          <w:tcPr>
            <w:tcW w:w="1843"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No</w:t>
            </w:r>
          </w:p>
        </w:tc>
        <w:tc>
          <w:tcPr>
            <w:tcW w:w="1920"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UICC stage</w:t>
            </w:r>
          </w:p>
        </w:tc>
      </w:tr>
      <w:tr w:rsidR="00C56CA5" w:rsidRPr="00FE7B63" w:rsidTr="00773F51">
        <w:tc>
          <w:tcPr>
            <w:tcW w:w="2126"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 xml:space="preserve">Cheze-LeRest </w:t>
            </w:r>
            <w:r w:rsidR="00773F51" w:rsidRPr="00773F51">
              <w:rPr>
                <w:rFonts w:ascii="Book Antiqua" w:hAnsi="Book Antiqua" w:cs="Times New Roman"/>
                <w:i/>
                <w:sz w:val="24"/>
                <w:szCs w:val="24"/>
                <w:lang w:val="en-US"/>
              </w:rPr>
              <w:t>et al</w:t>
            </w:r>
            <w:r w:rsidRPr="00FE7B63">
              <w:rPr>
                <w:rFonts w:ascii="Book Antiqua" w:hAnsi="Book Antiqua" w:cs="Times New Roman"/>
                <w:sz w:val="24"/>
                <w:szCs w:val="24"/>
                <w:vertAlign w:val="superscript"/>
                <w:lang w:val="en-US"/>
              </w:rPr>
              <w:t>[13]</w:t>
            </w:r>
            <w:r w:rsidRPr="00FE7B63">
              <w:rPr>
                <w:rFonts w:ascii="Book Antiqua" w:hAnsi="Book Antiqua" w:cs="Times New Roman"/>
                <w:sz w:val="24"/>
                <w:szCs w:val="24"/>
                <w:lang w:val="en-US"/>
              </w:rPr>
              <w:t>, 2008</w:t>
            </w:r>
          </w:p>
        </w:tc>
        <w:tc>
          <w:tcPr>
            <w:tcW w:w="1468"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47</w:t>
            </w:r>
          </w:p>
        </w:tc>
        <w:tc>
          <w:tcPr>
            <w:tcW w:w="1226"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77%</w:t>
            </w:r>
          </w:p>
        </w:tc>
        <w:tc>
          <w:tcPr>
            <w:tcW w:w="1559"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Curative</w:t>
            </w:r>
          </w:p>
        </w:tc>
        <w:tc>
          <w:tcPr>
            <w:tcW w:w="1729"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9</w:t>
            </w:r>
          </w:p>
        </w:tc>
        <w:tc>
          <w:tcPr>
            <w:tcW w:w="1531"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Yes</w:t>
            </w:r>
          </w:p>
        </w:tc>
        <w:tc>
          <w:tcPr>
            <w:tcW w:w="1843"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Yes</w:t>
            </w:r>
          </w:p>
        </w:tc>
        <w:tc>
          <w:tcPr>
            <w:tcW w:w="1920"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Treatment, number of abnormalities on PET-CT</w:t>
            </w:r>
          </w:p>
        </w:tc>
      </w:tr>
      <w:tr w:rsidR="00C56CA5" w:rsidRPr="00FE7B63" w:rsidTr="00773F51">
        <w:tc>
          <w:tcPr>
            <w:tcW w:w="2126"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 xml:space="preserve">Chatterton </w:t>
            </w:r>
            <w:r w:rsidR="00773F51" w:rsidRPr="00773F51">
              <w:rPr>
                <w:rFonts w:ascii="Book Antiqua" w:hAnsi="Book Antiqua" w:cs="Times New Roman"/>
                <w:i/>
                <w:sz w:val="24"/>
                <w:szCs w:val="24"/>
                <w:lang w:val="en-US"/>
              </w:rPr>
              <w:t>et al</w:t>
            </w:r>
            <w:r w:rsidRPr="00FE7B63">
              <w:rPr>
                <w:rFonts w:ascii="Book Antiqua" w:hAnsi="Book Antiqua" w:cs="Times New Roman"/>
                <w:sz w:val="24"/>
                <w:szCs w:val="24"/>
                <w:vertAlign w:val="superscript"/>
                <w:lang w:val="en-US"/>
              </w:rPr>
              <w:t>[14]</w:t>
            </w:r>
            <w:r w:rsidRPr="00FE7B63">
              <w:rPr>
                <w:rFonts w:ascii="Book Antiqua" w:hAnsi="Book Antiqua" w:cs="Times New Roman"/>
                <w:sz w:val="24"/>
                <w:szCs w:val="24"/>
                <w:lang w:val="en-US"/>
              </w:rPr>
              <w:t>, 2008</w:t>
            </w:r>
          </w:p>
        </w:tc>
        <w:tc>
          <w:tcPr>
            <w:tcW w:w="1468"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129</w:t>
            </w:r>
          </w:p>
        </w:tc>
        <w:tc>
          <w:tcPr>
            <w:tcW w:w="1226"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19%</w:t>
            </w:r>
          </w:p>
        </w:tc>
        <w:tc>
          <w:tcPr>
            <w:tcW w:w="1559"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Curative and palliative</w:t>
            </w:r>
          </w:p>
        </w:tc>
        <w:tc>
          <w:tcPr>
            <w:tcW w:w="1729"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8.2</w:t>
            </w:r>
          </w:p>
        </w:tc>
        <w:tc>
          <w:tcPr>
            <w:tcW w:w="1531"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No</w:t>
            </w:r>
          </w:p>
        </w:tc>
        <w:tc>
          <w:tcPr>
            <w:tcW w:w="1843"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Not assessed</w:t>
            </w:r>
          </w:p>
        </w:tc>
        <w:tc>
          <w:tcPr>
            <w:tcW w:w="1920"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Not assessed</w:t>
            </w:r>
          </w:p>
        </w:tc>
      </w:tr>
      <w:tr w:rsidR="00C56CA5" w:rsidRPr="00FE7B63" w:rsidTr="00773F51">
        <w:tc>
          <w:tcPr>
            <w:tcW w:w="2126"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 xml:space="preserve">Makino </w:t>
            </w:r>
            <w:r w:rsidR="00773F51" w:rsidRPr="00773F51">
              <w:rPr>
                <w:rFonts w:ascii="Book Antiqua" w:hAnsi="Book Antiqua" w:cs="Times New Roman"/>
                <w:i/>
                <w:sz w:val="24"/>
                <w:szCs w:val="24"/>
                <w:lang w:val="en-US"/>
              </w:rPr>
              <w:t>et al</w:t>
            </w:r>
            <w:r w:rsidRPr="00FE7B63">
              <w:rPr>
                <w:rFonts w:ascii="Book Antiqua" w:hAnsi="Book Antiqua" w:cs="Times New Roman"/>
                <w:sz w:val="24"/>
                <w:szCs w:val="24"/>
                <w:vertAlign w:val="superscript"/>
                <w:lang w:val="en-US"/>
              </w:rPr>
              <w:t>[15]</w:t>
            </w:r>
            <w:r w:rsidRPr="00FE7B63">
              <w:rPr>
                <w:rFonts w:ascii="Book Antiqua" w:hAnsi="Book Antiqua" w:cs="Times New Roman"/>
                <w:sz w:val="24"/>
                <w:szCs w:val="24"/>
                <w:lang w:val="en-US"/>
              </w:rPr>
              <w:t>, 2008</w:t>
            </w:r>
          </w:p>
        </w:tc>
        <w:tc>
          <w:tcPr>
            <w:tcW w:w="1468"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38</w:t>
            </w:r>
          </w:p>
        </w:tc>
        <w:tc>
          <w:tcPr>
            <w:tcW w:w="1226"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100%</w:t>
            </w:r>
          </w:p>
        </w:tc>
        <w:tc>
          <w:tcPr>
            <w:tcW w:w="1559"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Curative</w:t>
            </w:r>
          </w:p>
        </w:tc>
        <w:tc>
          <w:tcPr>
            <w:tcW w:w="1729"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11.1</w:t>
            </w:r>
          </w:p>
        </w:tc>
        <w:tc>
          <w:tcPr>
            <w:tcW w:w="1531"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Yes</w:t>
            </w:r>
          </w:p>
        </w:tc>
        <w:tc>
          <w:tcPr>
            <w:tcW w:w="1843"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No</w:t>
            </w:r>
          </w:p>
        </w:tc>
        <w:tc>
          <w:tcPr>
            <w:tcW w:w="1920"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N1 status (on PET-CT)</w:t>
            </w:r>
          </w:p>
        </w:tc>
      </w:tr>
      <w:tr w:rsidR="00C56CA5" w:rsidRPr="00FE7B63" w:rsidTr="00773F51">
        <w:tc>
          <w:tcPr>
            <w:tcW w:w="2126"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 xml:space="preserve">Javeriet </w:t>
            </w:r>
            <w:r w:rsidR="00773F51" w:rsidRPr="00773F51">
              <w:rPr>
                <w:rFonts w:ascii="Book Antiqua" w:hAnsi="Book Antiqua" w:cs="Times New Roman"/>
                <w:i/>
                <w:sz w:val="24"/>
                <w:szCs w:val="24"/>
                <w:lang w:val="en-US"/>
              </w:rPr>
              <w:t>et al</w:t>
            </w:r>
            <w:r w:rsidRPr="00FE7B63">
              <w:rPr>
                <w:rFonts w:ascii="Book Antiqua" w:hAnsi="Book Antiqua" w:cs="Times New Roman"/>
                <w:sz w:val="24"/>
                <w:szCs w:val="24"/>
                <w:vertAlign w:val="superscript"/>
                <w:lang w:val="en-US"/>
              </w:rPr>
              <w:t>[16]</w:t>
            </w:r>
            <w:r w:rsidRPr="00FE7B63">
              <w:rPr>
                <w:rFonts w:ascii="Book Antiqua" w:hAnsi="Book Antiqua" w:cs="Times New Roman"/>
                <w:sz w:val="24"/>
                <w:szCs w:val="24"/>
                <w:lang w:val="en-US"/>
              </w:rPr>
              <w:t>, 2009</w:t>
            </w:r>
          </w:p>
        </w:tc>
        <w:tc>
          <w:tcPr>
            <w:tcW w:w="1468"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161</w:t>
            </w:r>
          </w:p>
        </w:tc>
        <w:tc>
          <w:tcPr>
            <w:tcW w:w="1226"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100%</w:t>
            </w:r>
          </w:p>
        </w:tc>
        <w:tc>
          <w:tcPr>
            <w:tcW w:w="1559"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Curative</w:t>
            </w:r>
          </w:p>
        </w:tc>
        <w:tc>
          <w:tcPr>
            <w:tcW w:w="1729"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10.1</w:t>
            </w:r>
          </w:p>
        </w:tc>
        <w:tc>
          <w:tcPr>
            <w:tcW w:w="1531"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No</w:t>
            </w:r>
          </w:p>
        </w:tc>
        <w:tc>
          <w:tcPr>
            <w:tcW w:w="1843"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No</w:t>
            </w:r>
          </w:p>
        </w:tc>
        <w:tc>
          <w:tcPr>
            <w:tcW w:w="1920" w:type="dxa"/>
          </w:tcPr>
          <w:p w:rsidR="00C56CA5" w:rsidRPr="00FE7B63" w:rsidRDefault="00C56CA5" w:rsidP="00CF4A41">
            <w:pPr>
              <w:spacing w:after="0" w:line="240" w:lineRule="auto"/>
              <w:jc w:val="both"/>
              <w:rPr>
                <w:rFonts w:ascii="Book Antiqua" w:hAnsi="Book Antiqua" w:cs="Times New Roman"/>
                <w:sz w:val="24"/>
                <w:szCs w:val="24"/>
                <w:lang w:val="en-US"/>
              </w:rPr>
            </w:pPr>
          </w:p>
        </w:tc>
      </w:tr>
      <w:tr w:rsidR="00C56CA5" w:rsidRPr="00FE7B63" w:rsidTr="00773F51">
        <w:tc>
          <w:tcPr>
            <w:tcW w:w="2126"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 xml:space="preserve">Kato </w:t>
            </w:r>
            <w:r w:rsidR="00773F51" w:rsidRPr="00773F51">
              <w:rPr>
                <w:rFonts w:ascii="Book Antiqua" w:hAnsi="Book Antiqua" w:cs="Times New Roman"/>
                <w:i/>
                <w:sz w:val="24"/>
                <w:szCs w:val="24"/>
                <w:lang w:val="en-US"/>
              </w:rPr>
              <w:t>et al</w:t>
            </w:r>
            <w:r w:rsidRPr="00FE7B63">
              <w:rPr>
                <w:rFonts w:ascii="Book Antiqua" w:hAnsi="Book Antiqua" w:cs="Times New Roman"/>
                <w:sz w:val="24"/>
                <w:szCs w:val="24"/>
                <w:vertAlign w:val="superscript"/>
                <w:lang w:val="en-US"/>
              </w:rPr>
              <w:t>[17]</w:t>
            </w:r>
            <w:r w:rsidRPr="00FE7B63">
              <w:rPr>
                <w:rFonts w:ascii="Book Antiqua" w:hAnsi="Book Antiqua" w:cs="Times New Roman"/>
                <w:sz w:val="24"/>
                <w:szCs w:val="24"/>
                <w:lang w:val="en-US"/>
              </w:rPr>
              <w:t>, 2009</w:t>
            </w:r>
          </w:p>
        </w:tc>
        <w:tc>
          <w:tcPr>
            <w:tcW w:w="1468"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184</w:t>
            </w:r>
          </w:p>
        </w:tc>
        <w:tc>
          <w:tcPr>
            <w:tcW w:w="1226"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0%</w:t>
            </w:r>
          </w:p>
        </w:tc>
        <w:tc>
          <w:tcPr>
            <w:tcW w:w="1559"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Curative</w:t>
            </w:r>
          </w:p>
        </w:tc>
        <w:tc>
          <w:tcPr>
            <w:tcW w:w="1729"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4.5</w:t>
            </w:r>
          </w:p>
        </w:tc>
        <w:tc>
          <w:tcPr>
            <w:tcW w:w="1531"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Yes</w:t>
            </w:r>
          </w:p>
        </w:tc>
        <w:tc>
          <w:tcPr>
            <w:tcW w:w="1843"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Yes</w:t>
            </w:r>
          </w:p>
        </w:tc>
        <w:tc>
          <w:tcPr>
            <w:tcW w:w="1920"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N1 status</w:t>
            </w:r>
          </w:p>
        </w:tc>
      </w:tr>
      <w:tr w:rsidR="00C56CA5" w:rsidRPr="00FE7B63" w:rsidTr="00773F51">
        <w:tc>
          <w:tcPr>
            <w:tcW w:w="2126"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Risked</w:t>
            </w:r>
            <w:r w:rsidR="00773F51" w:rsidRPr="00773F51">
              <w:rPr>
                <w:rFonts w:ascii="Book Antiqua" w:hAnsi="Book Antiqua" w:cs="Times New Roman"/>
                <w:i/>
                <w:sz w:val="24"/>
                <w:szCs w:val="24"/>
                <w:lang w:val="en-US"/>
              </w:rPr>
              <w:t xml:space="preserve"> et al</w:t>
            </w:r>
            <w:r w:rsidRPr="00FE7B63">
              <w:rPr>
                <w:rFonts w:ascii="Book Antiqua" w:hAnsi="Book Antiqua" w:cs="Times New Roman"/>
                <w:sz w:val="24"/>
                <w:szCs w:val="24"/>
                <w:vertAlign w:val="superscript"/>
                <w:lang w:val="en-US"/>
              </w:rPr>
              <w:t>[18]</w:t>
            </w:r>
            <w:r w:rsidRPr="00FE7B63">
              <w:rPr>
                <w:rFonts w:ascii="Book Antiqua" w:hAnsi="Book Antiqua" w:cs="Times New Roman"/>
                <w:sz w:val="24"/>
                <w:szCs w:val="24"/>
                <w:lang w:val="en-US"/>
              </w:rPr>
              <w:t>, 2009</w:t>
            </w:r>
          </w:p>
        </w:tc>
        <w:tc>
          <w:tcPr>
            <w:tcW w:w="1468"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189</w:t>
            </w:r>
          </w:p>
        </w:tc>
        <w:tc>
          <w:tcPr>
            <w:tcW w:w="1226"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100%</w:t>
            </w:r>
          </w:p>
        </w:tc>
        <w:tc>
          <w:tcPr>
            <w:tcW w:w="1559"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Curative</w:t>
            </w:r>
          </w:p>
        </w:tc>
        <w:tc>
          <w:tcPr>
            <w:tcW w:w="1729"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4.5 (preset threshold)</w:t>
            </w:r>
          </w:p>
        </w:tc>
        <w:tc>
          <w:tcPr>
            <w:tcW w:w="1531"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Yes</w:t>
            </w:r>
          </w:p>
        </w:tc>
        <w:tc>
          <w:tcPr>
            <w:tcW w:w="1843"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Not assessed</w:t>
            </w:r>
          </w:p>
        </w:tc>
        <w:tc>
          <w:tcPr>
            <w:tcW w:w="1920"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Not assessed</w:t>
            </w:r>
          </w:p>
        </w:tc>
      </w:tr>
      <w:tr w:rsidR="00C56CA5" w:rsidRPr="00FE7B63" w:rsidTr="00773F51">
        <w:tc>
          <w:tcPr>
            <w:tcW w:w="2126"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 xml:space="preserve">Sepesi </w:t>
            </w:r>
            <w:r w:rsidR="00773F51" w:rsidRPr="00773F51">
              <w:rPr>
                <w:rFonts w:ascii="Book Antiqua" w:hAnsi="Book Antiqua" w:cs="Times New Roman"/>
                <w:i/>
                <w:sz w:val="24"/>
                <w:szCs w:val="24"/>
                <w:lang w:val="en-US"/>
              </w:rPr>
              <w:t>et al</w:t>
            </w:r>
            <w:r w:rsidRPr="00FE7B63">
              <w:rPr>
                <w:rFonts w:ascii="Book Antiqua" w:hAnsi="Book Antiqua" w:cs="Times New Roman"/>
                <w:sz w:val="24"/>
                <w:szCs w:val="24"/>
                <w:vertAlign w:val="superscript"/>
                <w:lang w:val="en-US"/>
              </w:rPr>
              <w:t>[19]</w:t>
            </w:r>
            <w:r w:rsidRPr="00FE7B63">
              <w:rPr>
                <w:rFonts w:ascii="Book Antiqua" w:hAnsi="Book Antiqua" w:cs="Times New Roman"/>
                <w:sz w:val="24"/>
                <w:szCs w:val="24"/>
                <w:lang w:val="en-US"/>
              </w:rPr>
              <w:t>, 2009</w:t>
            </w:r>
          </w:p>
        </w:tc>
        <w:tc>
          <w:tcPr>
            <w:tcW w:w="1468"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72</w:t>
            </w:r>
          </w:p>
        </w:tc>
        <w:tc>
          <w:tcPr>
            <w:tcW w:w="1226"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83%</w:t>
            </w:r>
          </w:p>
        </w:tc>
        <w:tc>
          <w:tcPr>
            <w:tcW w:w="1559"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Curative</w:t>
            </w:r>
          </w:p>
        </w:tc>
        <w:tc>
          <w:tcPr>
            <w:tcW w:w="1729"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6.2</w:t>
            </w:r>
          </w:p>
        </w:tc>
        <w:tc>
          <w:tcPr>
            <w:tcW w:w="1531"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Yes</w:t>
            </w:r>
          </w:p>
        </w:tc>
        <w:tc>
          <w:tcPr>
            <w:tcW w:w="1843"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Yes</w:t>
            </w:r>
          </w:p>
        </w:tc>
        <w:tc>
          <w:tcPr>
            <w:tcW w:w="1920" w:type="dxa"/>
          </w:tcPr>
          <w:p w:rsidR="00C56CA5" w:rsidRPr="00FE7B63" w:rsidRDefault="00C56CA5" w:rsidP="00CF4A41">
            <w:pPr>
              <w:spacing w:after="0" w:line="240" w:lineRule="auto"/>
              <w:jc w:val="both"/>
              <w:rPr>
                <w:rFonts w:ascii="Book Antiqua" w:hAnsi="Book Antiqua" w:cs="Times New Roman"/>
                <w:sz w:val="24"/>
                <w:szCs w:val="24"/>
                <w:lang w:val="en-US"/>
              </w:rPr>
            </w:pPr>
          </w:p>
        </w:tc>
      </w:tr>
      <w:tr w:rsidR="00C56CA5" w:rsidRPr="00FE7B63" w:rsidTr="00773F51">
        <w:tc>
          <w:tcPr>
            <w:tcW w:w="2126"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 xml:space="preserve">Shenfine </w:t>
            </w:r>
            <w:r w:rsidR="00773F51" w:rsidRPr="00773F51">
              <w:rPr>
                <w:rFonts w:ascii="Book Antiqua" w:hAnsi="Book Antiqua" w:cs="Times New Roman"/>
                <w:i/>
                <w:sz w:val="24"/>
                <w:szCs w:val="24"/>
                <w:lang w:val="en-US"/>
              </w:rPr>
              <w:t>et al</w:t>
            </w:r>
            <w:r w:rsidRPr="00FE7B63">
              <w:rPr>
                <w:rFonts w:ascii="Book Antiqua" w:hAnsi="Book Antiqua" w:cs="Times New Roman"/>
                <w:sz w:val="24"/>
                <w:szCs w:val="24"/>
                <w:vertAlign w:val="superscript"/>
                <w:lang w:val="en-US"/>
              </w:rPr>
              <w:t>[20]</w:t>
            </w:r>
            <w:r w:rsidRPr="00FE7B63">
              <w:rPr>
                <w:rFonts w:ascii="Book Antiqua" w:hAnsi="Book Antiqua" w:cs="Times New Roman"/>
                <w:sz w:val="24"/>
                <w:szCs w:val="24"/>
                <w:lang w:val="en-US"/>
              </w:rPr>
              <w:t>, 2009</w:t>
            </w:r>
          </w:p>
        </w:tc>
        <w:tc>
          <w:tcPr>
            <w:tcW w:w="1468"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45</w:t>
            </w:r>
          </w:p>
        </w:tc>
        <w:tc>
          <w:tcPr>
            <w:tcW w:w="1226"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100%</w:t>
            </w:r>
          </w:p>
        </w:tc>
        <w:tc>
          <w:tcPr>
            <w:tcW w:w="1559"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Curative</w:t>
            </w:r>
          </w:p>
        </w:tc>
        <w:tc>
          <w:tcPr>
            <w:tcW w:w="1729"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5.7</w:t>
            </w:r>
          </w:p>
        </w:tc>
        <w:tc>
          <w:tcPr>
            <w:tcW w:w="1531"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Yes</w:t>
            </w:r>
          </w:p>
        </w:tc>
        <w:tc>
          <w:tcPr>
            <w:tcW w:w="1843"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No</w:t>
            </w:r>
          </w:p>
        </w:tc>
        <w:tc>
          <w:tcPr>
            <w:tcW w:w="1920"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UICC stage</w:t>
            </w:r>
          </w:p>
        </w:tc>
      </w:tr>
      <w:tr w:rsidR="00C56CA5" w:rsidRPr="00FE7B63" w:rsidTr="00773F51">
        <w:tc>
          <w:tcPr>
            <w:tcW w:w="2126"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 xml:space="preserve">Hyun </w:t>
            </w:r>
            <w:r w:rsidR="00773F51" w:rsidRPr="00773F51">
              <w:rPr>
                <w:rFonts w:ascii="Book Antiqua" w:hAnsi="Book Antiqua" w:cs="Times New Roman"/>
                <w:i/>
                <w:sz w:val="24"/>
                <w:szCs w:val="24"/>
                <w:lang w:val="en-US"/>
              </w:rPr>
              <w:t>et al</w:t>
            </w:r>
            <w:r w:rsidRPr="00FE7B63">
              <w:rPr>
                <w:rFonts w:ascii="Book Antiqua" w:hAnsi="Book Antiqua" w:cs="Times New Roman"/>
                <w:sz w:val="24"/>
                <w:szCs w:val="24"/>
                <w:vertAlign w:val="superscript"/>
                <w:lang w:val="en-US"/>
              </w:rPr>
              <w:t>[21]</w:t>
            </w:r>
            <w:r w:rsidRPr="00FE7B63">
              <w:rPr>
                <w:rFonts w:ascii="Book Antiqua" w:hAnsi="Book Antiqua" w:cs="Times New Roman"/>
                <w:sz w:val="24"/>
                <w:szCs w:val="24"/>
                <w:lang w:val="en-US"/>
              </w:rPr>
              <w:t>, 2010</w:t>
            </w:r>
          </w:p>
        </w:tc>
        <w:tc>
          <w:tcPr>
            <w:tcW w:w="1468"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151</w:t>
            </w:r>
          </w:p>
        </w:tc>
        <w:tc>
          <w:tcPr>
            <w:tcW w:w="1226"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3%</w:t>
            </w:r>
          </w:p>
        </w:tc>
        <w:tc>
          <w:tcPr>
            <w:tcW w:w="1559"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Curative and palliative</w:t>
            </w:r>
          </w:p>
        </w:tc>
        <w:tc>
          <w:tcPr>
            <w:tcW w:w="1729"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17.2</w:t>
            </w:r>
          </w:p>
        </w:tc>
        <w:tc>
          <w:tcPr>
            <w:tcW w:w="1531"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Yes</w:t>
            </w:r>
          </w:p>
        </w:tc>
        <w:tc>
          <w:tcPr>
            <w:tcW w:w="1843"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No</w:t>
            </w:r>
          </w:p>
        </w:tc>
        <w:tc>
          <w:tcPr>
            <w:tcW w:w="1920"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UICC stage, metabolic tumor volume</w:t>
            </w:r>
          </w:p>
        </w:tc>
      </w:tr>
      <w:tr w:rsidR="00C56CA5" w:rsidRPr="00FE7B63" w:rsidTr="00773F51">
        <w:tc>
          <w:tcPr>
            <w:tcW w:w="2126"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Brown et al</w:t>
            </w:r>
            <w:r w:rsidRPr="00FE7B63">
              <w:rPr>
                <w:rFonts w:ascii="Book Antiqua" w:hAnsi="Book Antiqua" w:cs="Times New Roman"/>
                <w:sz w:val="24"/>
                <w:szCs w:val="24"/>
                <w:vertAlign w:val="superscript"/>
                <w:lang w:val="en-US"/>
              </w:rPr>
              <w:t>[22]</w:t>
            </w:r>
            <w:r w:rsidRPr="00FE7B63">
              <w:rPr>
                <w:rFonts w:ascii="Book Antiqua" w:hAnsi="Book Antiqua" w:cs="Times New Roman"/>
                <w:sz w:val="24"/>
                <w:szCs w:val="24"/>
                <w:lang w:val="en-US"/>
              </w:rPr>
              <w:t>, 2012</w:t>
            </w:r>
          </w:p>
        </w:tc>
        <w:tc>
          <w:tcPr>
            <w:tcW w:w="1468"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103</w:t>
            </w:r>
          </w:p>
        </w:tc>
        <w:tc>
          <w:tcPr>
            <w:tcW w:w="1226"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80%</w:t>
            </w:r>
          </w:p>
        </w:tc>
        <w:tc>
          <w:tcPr>
            <w:tcW w:w="1559"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Curative</w:t>
            </w:r>
          </w:p>
        </w:tc>
        <w:tc>
          <w:tcPr>
            <w:tcW w:w="1729"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 xml:space="preserve">6.4 (early) /8.8 (later scans) </w:t>
            </w:r>
          </w:p>
        </w:tc>
        <w:tc>
          <w:tcPr>
            <w:tcW w:w="1531"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Yes</w:t>
            </w:r>
          </w:p>
        </w:tc>
        <w:tc>
          <w:tcPr>
            <w:tcW w:w="1843"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No</w:t>
            </w:r>
          </w:p>
        </w:tc>
        <w:tc>
          <w:tcPr>
            <w:tcW w:w="1920"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N1 status, age</w:t>
            </w:r>
          </w:p>
        </w:tc>
      </w:tr>
      <w:tr w:rsidR="00C56CA5" w:rsidRPr="00FE7B63" w:rsidTr="00773F51">
        <w:tc>
          <w:tcPr>
            <w:tcW w:w="2126"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 xml:space="preserve">Gillies </w:t>
            </w:r>
            <w:r w:rsidR="00773F51" w:rsidRPr="00773F51">
              <w:rPr>
                <w:rFonts w:ascii="Book Antiqua" w:hAnsi="Book Antiqua" w:cs="Times New Roman"/>
                <w:i/>
                <w:sz w:val="24"/>
                <w:szCs w:val="24"/>
                <w:lang w:val="en-US"/>
              </w:rPr>
              <w:t>et al</w:t>
            </w:r>
            <w:r w:rsidRPr="00FE7B63">
              <w:rPr>
                <w:rFonts w:ascii="Book Antiqua" w:hAnsi="Book Antiqua" w:cs="Times New Roman"/>
                <w:sz w:val="24"/>
                <w:szCs w:val="24"/>
                <w:vertAlign w:val="superscript"/>
                <w:lang w:val="en-US"/>
              </w:rPr>
              <w:t>[23]</w:t>
            </w:r>
            <w:r w:rsidRPr="00FE7B63">
              <w:rPr>
                <w:rFonts w:ascii="Book Antiqua" w:hAnsi="Book Antiqua" w:cs="Times New Roman"/>
                <w:sz w:val="24"/>
                <w:szCs w:val="24"/>
                <w:lang w:val="en-US"/>
              </w:rPr>
              <w:t>, 2012</w:t>
            </w:r>
          </w:p>
        </w:tc>
        <w:tc>
          <w:tcPr>
            <w:tcW w:w="1468"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121</w:t>
            </w:r>
          </w:p>
        </w:tc>
        <w:tc>
          <w:tcPr>
            <w:tcW w:w="1226"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100%</w:t>
            </w:r>
          </w:p>
        </w:tc>
        <w:tc>
          <w:tcPr>
            <w:tcW w:w="1559"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Curative</w:t>
            </w:r>
          </w:p>
        </w:tc>
        <w:tc>
          <w:tcPr>
            <w:tcW w:w="1729"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8.5</w:t>
            </w:r>
          </w:p>
        </w:tc>
        <w:tc>
          <w:tcPr>
            <w:tcW w:w="1531"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Yes</w:t>
            </w:r>
          </w:p>
        </w:tc>
        <w:tc>
          <w:tcPr>
            <w:tcW w:w="1843"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No</w:t>
            </w:r>
          </w:p>
        </w:tc>
        <w:tc>
          <w:tcPr>
            <w:tcW w:w="1920"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N1 status (on PET-CT)</w:t>
            </w:r>
          </w:p>
        </w:tc>
      </w:tr>
      <w:tr w:rsidR="00C56CA5" w:rsidRPr="00FE7B63" w:rsidTr="00773F51">
        <w:tc>
          <w:tcPr>
            <w:tcW w:w="2126"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lastRenderedPageBreak/>
              <w:t xml:space="preserve">Chan </w:t>
            </w:r>
            <w:r w:rsidR="00773F51" w:rsidRPr="00773F51">
              <w:rPr>
                <w:rFonts w:ascii="Book Antiqua" w:hAnsi="Book Antiqua" w:cs="Times New Roman"/>
                <w:i/>
                <w:sz w:val="24"/>
                <w:szCs w:val="24"/>
                <w:lang w:val="en-US"/>
              </w:rPr>
              <w:t>et al</w:t>
            </w:r>
            <w:r w:rsidRPr="00FE7B63">
              <w:rPr>
                <w:rFonts w:ascii="Book Antiqua" w:hAnsi="Book Antiqua" w:cs="Times New Roman"/>
                <w:sz w:val="24"/>
                <w:szCs w:val="24"/>
                <w:vertAlign w:val="superscript"/>
                <w:lang w:val="en-US"/>
              </w:rPr>
              <w:t>[24]</w:t>
            </w:r>
            <w:r w:rsidRPr="00FE7B63">
              <w:rPr>
                <w:rFonts w:ascii="Book Antiqua" w:hAnsi="Book Antiqua" w:cs="Times New Roman"/>
                <w:sz w:val="24"/>
                <w:szCs w:val="24"/>
                <w:lang w:val="en-US"/>
              </w:rPr>
              <w:t>, 2013</w:t>
            </w:r>
          </w:p>
        </w:tc>
        <w:tc>
          <w:tcPr>
            <w:tcW w:w="1468"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185</w:t>
            </w:r>
          </w:p>
        </w:tc>
        <w:tc>
          <w:tcPr>
            <w:tcW w:w="1226"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75%</w:t>
            </w:r>
          </w:p>
        </w:tc>
        <w:tc>
          <w:tcPr>
            <w:tcW w:w="1559"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Curative and palliative</w:t>
            </w:r>
          </w:p>
        </w:tc>
        <w:tc>
          <w:tcPr>
            <w:tcW w:w="1729"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8.9</w:t>
            </w:r>
          </w:p>
        </w:tc>
        <w:tc>
          <w:tcPr>
            <w:tcW w:w="1531"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Yes</w:t>
            </w:r>
          </w:p>
        </w:tc>
        <w:tc>
          <w:tcPr>
            <w:tcW w:w="1843"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No</w:t>
            </w:r>
          </w:p>
        </w:tc>
        <w:tc>
          <w:tcPr>
            <w:tcW w:w="1920" w:type="dxa"/>
          </w:tcPr>
          <w:p w:rsidR="00C56CA5" w:rsidRPr="00FE7B63" w:rsidRDefault="00C56CA5" w:rsidP="00CF4A41">
            <w:pPr>
              <w:spacing w:after="0" w:line="240" w:lineRule="auto"/>
              <w:jc w:val="both"/>
              <w:rPr>
                <w:rFonts w:ascii="Book Antiqua" w:hAnsi="Book Antiqua" w:cs="Times New Roman"/>
                <w:sz w:val="24"/>
                <w:szCs w:val="24"/>
                <w:lang w:val="en-US"/>
              </w:rPr>
            </w:pPr>
            <w:r w:rsidRPr="00FE7B63">
              <w:rPr>
                <w:rFonts w:ascii="Book Antiqua" w:hAnsi="Book Antiqua" w:cs="Times New Roman"/>
                <w:sz w:val="24"/>
                <w:szCs w:val="24"/>
                <w:lang w:val="en-US"/>
              </w:rPr>
              <w:t>N1 status, Tumor volume on EUS</w:t>
            </w:r>
          </w:p>
        </w:tc>
      </w:tr>
    </w:tbl>
    <w:p w:rsidR="00C56CA5" w:rsidRPr="00613E70" w:rsidRDefault="00C56CA5" w:rsidP="00CF4A41">
      <w:pPr>
        <w:spacing w:after="0" w:line="360" w:lineRule="auto"/>
        <w:ind w:hanging="720"/>
        <w:jc w:val="both"/>
        <w:rPr>
          <w:rFonts w:ascii="Book Antiqua" w:hAnsi="Book Antiqua" w:cs="Times New Roman"/>
          <w:sz w:val="24"/>
          <w:szCs w:val="24"/>
          <w:lang w:val="en-US"/>
        </w:rPr>
      </w:pPr>
    </w:p>
    <w:sectPr w:rsidR="00C56CA5" w:rsidRPr="00613E70" w:rsidSect="008D3070">
      <w:headerReference w:type="default" r:id="rId11"/>
      <w:pgSz w:w="16838" w:h="11906" w:orient="landscape"/>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C7C" w:rsidRDefault="00946C7C" w:rsidP="000C431E">
      <w:pPr>
        <w:spacing w:after="0" w:line="240" w:lineRule="auto"/>
      </w:pPr>
      <w:r>
        <w:separator/>
      </w:r>
    </w:p>
  </w:endnote>
  <w:endnote w:type="continuationSeparator" w:id="0">
    <w:p w:rsidR="00946C7C" w:rsidRDefault="00946C7C" w:rsidP="000C4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C7C" w:rsidRDefault="00946C7C" w:rsidP="000C431E">
      <w:pPr>
        <w:spacing w:after="0" w:line="240" w:lineRule="auto"/>
      </w:pPr>
      <w:r>
        <w:separator/>
      </w:r>
    </w:p>
  </w:footnote>
  <w:footnote w:type="continuationSeparator" w:id="0">
    <w:p w:rsidR="00946C7C" w:rsidRDefault="00946C7C" w:rsidP="000C4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1FD" w:rsidRDefault="008941FD">
    <w:pPr>
      <w:pStyle w:val="a4"/>
    </w:pPr>
  </w:p>
  <w:p w:rsidR="008941FD" w:rsidRDefault="008941FD">
    <w:pPr>
      <w:pStyle w:val="a4"/>
    </w:pPr>
  </w:p>
  <w:p w:rsidR="008941FD" w:rsidRDefault="008941F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F3DB1"/>
    <w:multiLevelType w:val="hybridMultilevel"/>
    <w:tmpl w:val="2B40C34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2FC01A0"/>
    <w:multiLevelType w:val="hybridMultilevel"/>
    <w:tmpl w:val="2B40C34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6677745"/>
    <w:multiLevelType w:val="hybridMultilevel"/>
    <w:tmpl w:val="2B40C34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8447290"/>
    <w:multiLevelType w:val="hybridMultilevel"/>
    <w:tmpl w:val="2B40C34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6FFC6351"/>
    <w:multiLevelType w:val="hybridMultilevel"/>
    <w:tmpl w:val="2B40C34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7C7B50D2"/>
    <w:multiLevelType w:val="hybridMultilevel"/>
    <w:tmpl w:val="2B40C34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7D5F7E67"/>
    <w:multiLevelType w:val="hybridMultilevel"/>
    <w:tmpl w:val="2B40C34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6"/>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PET paper.enl&lt;/item&gt;&lt;/Libraries&gt;&lt;/ENLibraries&gt;"/>
  </w:docVars>
  <w:rsids>
    <w:rsidRoot w:val="000C431E"/>
    <w:rsid w:val="000048A5"/>
    <w:rsid w:val="000140A9"/>
    <w:rsid w:val="00020A43"/>
    <w:rsid w:val="0002253E"/>
    <w:rsid w:val="0002406D"/>
    <w:rsid w:val="00037AF0"/>
    <w:rsid w:val="00040E34"/>
    <w:rsid w:val="000529B9"/>
    <w:rsid w:val="000550E9"/>
    <w:rsid w:val="00057F15"/>
    <w:rsid w:val="0006166F"/>
    <w:rsid w:val="00067C83"/>
    <w:rsid w:val="0007552D"/>
    <w:rsid w:val="000767AF"/>
    <w:rsid w:val="000873FF"/>
    <w:rsid w:val="000966C5"/>
    <w:rsid w:val="000A2082"/>
    <w:rsid w:val="000A34CE"/>
    <w:rsid w:val="000A61DC"/>
    <w:rsid w:val="000A78E0"/>
    <w:rsid w:val="000C0AEB"/>
    <w:rsid w:val="000C1353"/>
    <w:rsid w:val="000C431E"/>
    <w:rsid w:val="000C48A5"/>
    <w:rsid w:val="000D3048"/>
    <w:rsid w:val="000D5DAF"/>
    <w:rsid w:val="000E582D"/>
    <w:rsid w:val="000F3765"/>
    <w:rsid w:val="001065AA"/>
    <w:rsid w:val="00112847"/>
    <w:rsid w:val="001206B5"/>
    <w:rsid w:val="00127104"/>
    <w:rsid w:val="00143286"/>
    <w:rsid w:val="00143CF2"/>
    <w:rsid w:val="001442D9"/>
    <w:rsid w:val="001504BE"/>
    <w:rsid w:val="00155A51"/>
    <w:rsid w:val="00157A0B"/>
    <w:rsid w:val="00157D22"/>
    <w:rsid w:val="00162F34"/>
    <w:rsid w:val="0016540C"/>
    <w:rsid w:val="001802F1"/>
    <w:rsid w:val="001A29B6"/>
    <w:rsid w:val="001B0A44"/>
    <w:rsid w:val="001B1581"/>
    <w:rsid w:val="001B330E"/>
    <w:rsid w:val="001C3EF6"/>
    <w:rsid w:val="001C5A84"/>
    <w:rsid w:val="001E52E2"/>
    <w:rsid w:val="001F5471"/>
    <w:rsid w:val="001F641F"/>
    <w:rsid w:val="002053C2"/>
    <w:rsid w:val="0021427B"/>
    <w:rsid w:val="00224439"/>
    <w:rsid w:val="00225401"/>
    <w:rsid w:val="00231A4E"/>
    <w:rsid w:val="00232FC6"/>
    <w:rsid w:val="00236BE2"/>
    <w:rsid w:val="00245BB2"/>
    <w:rsid w:val="002504AA"/>
    <w:rsid w:val="0025591B"/>
    <w:rsid w:val="0025646F"/>
    <w:rsid w:val="00266ABC"/>
    <w:rsid w:val="00283DEA"/>
    <w:rsid w:val="00296C2E"/>
    <w:rsid w:val="002B57E0"/>
    <w:rsid w:val="002B5BF4"/>
    <w:rsid w:val="002C02B2"/>
    <w:rsid w:val="002C61A6"/>
    <w:rsid w:val="002C7015"/>
    <w:rsid w:val="002D12FA"/>
    <w:rsid w:val="002D2DDB"/>
    <w:rsid w:val="002F5873"/>
    <w:rsid w:val="003007E6"/>
    <w:rsid w:val="00303BFE"/>
    <w:rsid w:val="0030609E"/>
    <w:rsid w:val="0031249F"/>
    <w:rsid w:val="00321247"/>
    <w:rsid w:val="003360BF"/>
    <w:rsid w:val="00345721"/>
    <w:rsid w:val="00350356"/>
    <w:rsid w:val="00352B1E"/>
    <w:rsid w:val="00353B56"/>
    <w:rsid w:val="003639AF"/>
    <w:rsid w:val="00385F93"/>
    <w:rsid w:val="00387F9F"/>
    <w:rsid w:val="003901BE"/>
    <w:rsid w:val="00395BAC"/>
    <w:rsid w:val="003A0185"/>
    <w:rsid w:val="003A0A5F"/>
    <w:rsid w:val="003A0B48"/>
    <w:rsid w:val="003A3FBF"/>
    <w:rsid w:val="003A48C0"/>
    <w:rsid w:val="003B4046"/>
    <w:rsid w:val="003D6375"/>
    <w:rsid w:val="003F11BF"/>
    <w:rsid w:val="003F156F"/>
    <w:rsid w:val="003F2B80"/>
    <w:rsid w:val="003F505F"/>
    <w:rsid w:val="003F5160"/>
    <w:rsid w:val="004016A8"/>
    <w:rsid w:val="004116B2"/>
    <w:rsid w:val="004210E0"/>
    <w:rsid w:val="00422E55"/>
    <w:rsid w:val="004345A1"/>
    <w:rsid w:val="00437DD6"/>
    <w:rsid w:val="00441AFB"/>
    <w:rsid w:val="00442643"/>
    <w:rsid w:val="00446AC6"/>
    <w:rsid w:val="00447810"/>
    <w:rsid w:val="00450B0E"/>
    <w:rsid w:val="00450DAC"/>
    <w:rsid w:val="00453BEB"/>
    <w:rsid w:val="00454417"/>
    <w:rsid w:val="004557FF"/>
    <w:rsid w:val="004727F6"/>
    <w:rsid w:val="00474A17"/>
    <w:rsid w:val="00474ECB"/>
    <w:rsid w:val="0047799B"/>
    <w:rsid w:val="0049124B"/>
    <w:rsid w:val="00491642"/>
    <w:rsid w:val="004A1F51"/>
    <w:rsid w:val="004A68DB"/>
    <w:rsid w:val="004B4628"/>
    <w:rsid w:val="004B5E89"/>
    <w:rsid w:val="004B6241"/>
    <w:rsid w:val="004C59CF"/>
    <w:rsid w:val="004C5BC8"/>
    <w:rsid w:val="004C5F8E"/>
    <w:rsid w:val="004C7B95"/>
    <w:rsid w:val="004E14D6"/>
    <w:rsid w:val="004E3D88"/>
    <w:rsid w:val="004E4C07"/>
    <w:rsid w:val="004E5FBB"/>
    <w:rsid w:val="004F27F1"/>
    <w:rsid w:val="00503287"/>
    <w:rsid w:val="0051504F"/>
    <w:rsid w:val="0052325F"/>
    <w:rsid w:val="00525BC7"/>
    <w:rsid w:val="005340E3"/>
    <w:rsid w:val="00535BBE"/>
    <w:rsid w:val="00536C61"/>
    <w:rsid w:val="00537D00"/>
    <w:rsid w:val="00542990"/>
    <w:rsid w:val="00546F11"/>
    <w:rsid w:val="00552FC5"/>
    <w:rsid w:val="00563C30"/>
    <w:rsid w:val="005641EA"/>
    <w:rsid w:val="00571B6F"/>
    <w:rsid w:val="00580E13"/>
    <w:rsid w:val="005A2F0C"/>
    <w:rsid w:val="005A60B6"/>
    <w:rsid w:val="005B0B39"/>
    <w:rsid w:val="005B2B3B"/>
    <w:rsid w:val="005B3484"/>
    <w:rsid w:val="005D3F24"/>
    <w:rsid w:val="005E1513"/>
    <w:rsid w:val="005E32C2"/>
    <w:rsid w:val="005E60B1"/>
    <w:rsid w:val="005E672E"/>
    <w:rsid w:val="005F532C"/>
    <w:rsid w:val="00600A45"/>
    <w:rsid w:val="00601E5C"/>
    <w:rsid w:val="00604087"/>
    <w:rsid w:val="00613E70"/>
    <w:rsid w:val="006162BC"/>
    <w:rsid w:val="00625B8D"/>
    <w:rsid w:val="0063273A"/>
    <w:rsid w:val="00670744"/>
    <w:rsid w:val="006711CD"/>
    <w:rsid w:val="00672EA6"/>
    <w:rsid w:val="006935EA"/>
    <w:rsid w:val="006977BB"/>
    <w:rsid w:val="006A2BFE"/>
    <w:rsid w:val="006A4CEB"/>
    <w:rsid w:val="006A50AE"/>
    <w:rsid w:val="006A6DCB"/>
    <w:rsid w:val="006B4E19"/>
    <w:rsid w:val="006D3CAE"/>
    <w:rsid w:val="006E11F4"/>
    <w:rsid w:val="006E7443"/>
    <w:rsid w:val="00700948"/>
    <w:rsid w:val="00707AE4"/>
    <w:rsid w:val="00714192"/>
    <w:rsid w:val="007227A6"/>
    <w:rsid w:val="0073116B"/>
    <w:rsid w:val="007333F8"/>
    <w:rsid w:val="00734E2A"/>
    <w:rsid w:val="0075605E"/>
    <w:rsid w:val="00773F51"/>
    <w:rsid w:val="007860D2"/>
    <w:rsid w:val="0078655F"/>
    <w:rsid w:val="00787DED"/>
    <w:rsid w:val="00791865"/>
    <w:rsid w:val="007A19F0"/>
    <w:rsid w:val="007A410E"/>
    <w:rsid w:val="007B16F2"/>
    <w:rsid w:val="007B29AC"/>
    <w:rsid w:val="007B4CFA"/>
    <w:rsid w:val="007B75BE"/>
    <w:rsid w:val="007D3B3A"/>
    <w:rsid w:val="007D7C8A"/>
    <w:rsid w:val="007E07A2"/>
    <w:rsid w:val="007E692D"/>
    <w:rsid w:val="0080737F"/>
    <w:rsid w:val="00835E5B"/>
    <w:rsid w:val="00836DF3"/>
    <w:rsid w:val="008378F1"/>
    <w:rsid w:val="008458DE"/>
    <w:rsid w:val="0084797A"/>
    <w:rsid w:val="00847EAC"/>
    <w:rsid w:val="00857461"/>
    <w:rsid w:val="00860D69"/>
    <w:rsid w:val="008707B9"/>
    <w:rsid w:val="008756F5"/>
    <w:rsid w:val="00880214"/>
    <w:rsid w:val="008811B8"/>
    <w:rsid w:val="00883622"/>
    <w:rsid w:val="0088659B"/>
    <w:rsid w:val="00892F4B"/>
    <w:rsid w:val="008941FD"/>
    <w:rsid w:val="008A1150"/>
    <w:rsid w:val="008A3400"/>
    <w:rsid w:val="008A41E2"/>
    <w:rsid w:val="008A6C65"/>
    <w:rsid w:val="008B5C15"/>
    <w:rsid w:val="008B7213"/>
    <w:rsid w:val="008D3070"/>
    <w:rsid w:val="008E0E57"/>
    <w:rsid w:val="008E115F"/>
    <w:rsid w:val="008E7EA2"/>
    <w:rsid w:val="008F5AB6"/>
    <w:rsid w:val="008F5BF6"/>
    <w:rsid w:val="00901040"/>
    <w:rsid w:val="00905FA0"/>
    <w:rsid w:val="00910132"/>
    <w:rsid w:val="00911F24"/>
    <w:rsid w:val="0091447B"/>
    <w:rsid w:val="00931460"/>
    <w:rsid w:val="00945E84"/>
    <w:rsid w:val="00946C7C"/>
    <w:rsid w:val="00947D76"/>
    <w:rsid w:val="0095355B"/>
    <w:rsid w:val="00956594"/>
    <w:rsid w:val="009636C8"/>
    <w:rsid w:val="00964834"/>
    <w:rsid w:val="00964DA5"/>
    <w:rsid w:val="00965891"/>
    <w:rsid w:val="00974D51"/>
    <w:rsid w:val="00975620"/>
    <w:rsid w:val="009805C2"/>
    <w:rsid w:val="00982F15"/>
    <w:rsid w:val="00983423"/>
    <w:rsid w:val="009900D2"/>
    <w:rsid w:val="00990F5A"/>
    <w:rsid w:val="009A649F"/>
    <w:rsid w:val="009B565A"/>
    <w:rsid w:val="009B5A8E"/>
    <w:rsid w:val="009C01C4"/>
    <w:rsid w:val="009C1EEE"/>
    <w:rsid w:val="009C5518"/>
    <w:rsid w:val="009C6C55"/>
    <w:rsid w:val="009D00F9"/>
    <w:rsid w:val="009E59AC"/>
    <w:rsid w:val="009E6722"/>
    <w:rsid w:val="009E77B8"/>
    <w:rsid w:val="009F2596"/>
    <w:rsid w:val="009F3A00"/>
    <w:rsid w:val="009F5564"/>
    <w:rsid w:val="009F6F97"/>
    <w:rsid w:val="00A00D5E"/>
    <w:rsid w:val="00A0624B"/>
    <w:rsid w:val="00A2482B"/>
    <w:rsid w:val="00A2545A"/>
    <w:rsid w:val="00A37154"/>
    <w:rsid w:val="00A470D5"/>
    <w:rsid w:val="00A50505"/>
    <w:rsid w:val="00A54F1C"/>
    <w:rsid w:val="00A61521"/>
    <w:rsid w:val="00A66276"/>
    <w:rsid w:val="00A74E6B"/>
    <w:rsid w:val="00A83762"/>
    <w:rsid w:val="00A83E61"/>
    <w:rsid w:val="00A95BB1"/>
    <w:rsid w:val="00A971B0"/>
    <w:rsid w:val="00AA1073"/>
    <w:rsid w:val="00AA1175"/>
    <w:rsid w:val="00AA7B0D"/>
    <w:rsid w:val="00AC03C3"/>
    <w:rsid w:val="00AC5958"/>
    <w:rsid w:val="00AC5C54"/>
    <w:rsid w:val="00AD3534"/>
    <w:rsid w:val="00AD4175"/>
    <w:rsid w:val="00AD5E34"/>
    <w:rsid w:val="00AE3904"/>
    <w:rsid w:val="00AE6D64"/>
    <w:rsid w:val="00AF0977"/>
    <w:rsid w:val="00AF40A3"/>
    <w:rsid w:val="00AF6E67"/>
    <w:rsid w:val="00B00D48"/>
    <w:rsid w:val="00B0159D"/>
    <w:rsid w:val="00B03076"/>
    <w:rsid w:val="00B07259"/>
    <w:rsid w:val="00B11689"/>
    <w:rsid w:val="00B1572E"/>
    <w:rsid w:val="00B26E51"/>
    <w:rsid w:val="00B37B05"/>
    <w:rsid w:val="00B46DB5"/>
    <w:rsid w:val="00B57C90"/>
    <w:rsid w:val="00B61970"/>
    <w:rsid w:val="00B7691B"/>
    <w:rsid w:val="00B94D6A"/>
    <w:rsid w:val="00B95251"/>
    <w:rsid w:val="00BA2661"/>
    <w:rsid w:val="00BA2F8B"/>
    <w:rsid w:val="00BA6D4A"/>
    <w:rsid w:val="00BB31A2"/>
    <w:rsid w:val="00BC62BF"/>
    <w:rsid w:val="00BC6A5B"/>
    <w:rsid w:val="00BD6F39"/>
    <w:rsid w:val="00BE2C14"/>
    <w:rsid w:val="00BF22B5"/>
    <w:rsid w:val="00BF40CF"/>
    <w:rsid w:val="00BF4C28"/>
    <w:rsid w:val="00BF4F5A"/>
    <w:rsid w:val="00C04C25"/>
    <w:rsid w:val="00C05014"/>
    <w:rsid w:val="00C0621C"/>
    <w:rsid w:val="00C10535"/>
    <w:rsid w:val="00C1226F"/>
    <w:rsid w:val="00C15846"/>
    <w:rsid w:val="00C32F15"/>
    <w:rsid w:val="00C341E9"/>
    <w:rsid w:val="00C3492E"/>
    <w:rsid w:val="00C45B4B"/>
    <w:rsid w:val="00C53E34"/>
    <w:rsid w:val="00C56AF2"/>
    <w:rsid w:val="00C56CA5"/>
    <w:rsid w:val="00C65DDE"/>
    <w:rsid w:val="00C67EB6"/>
    <w:rsid w:val="00C746B7"/>
    <w:rsid w:val="00C74CB2"/>
    <w:rsid w:val="00C76B48"/>
    <w:rsid w:val="00C76D14"/>
    <w:rsid w:val="00C81B47"/>
    <w:rsid w:val="00C917DB"/>
    <w:rsid w:val="00CA571D"/>
    <w:rsid w:val="00CA6408"/>
    <w:rsid w:val="00CA75B1"/>
    <w:rsid w:val="00CA75D8"/>
    <w:rsid w:val="00CC1B1F"/>
    <w:rsid w:val="00CD2975"/>
    <w:rsid w:val="00CD56B6"/>
    <w:rsid w:val="00CE24FB"/>
    <w:rsid w:val="00CF0D2B"/>
    <w:rsid w:val="00CF4A41"/>
    <w:rsid w:val="00CF60D1"/>
    <w:rsid w:val="00D10B2D"/>
    <w:rsid w:val="00D15A56"/>
    <w:rsid w:val="00D160BB"/>
    <w:rsid w:val="00D239D4"/>
    <w:rsid w:val="00D30DBF"/>
    <w:rsid w:val="00D332D0"/>
    <w:rsid w:val="00D3334D"/>
    <w:rsid w:val="00D4082F"/>
    <w:rsid w:val="00D4657A"/>
    <w:rsid w:val="00D4735E"/>
    <w:rsid w:val="00D52C93"/>
    <w:rsid w:val="00D53EC7"/>
    <w:rsid w:val="00D62A71"/>
    <w:rsid w:val="00D81123"/>
    <w:rsid w:val="00D830CE"/>
    <w:rsid w:val="00D93499"/>
    <w:rsid w:val="00DA1537"/>
    <w:rsid w:val="00DA317B"/>
    <w:rsid w:val="00DA55D6"/>
    <w:rsid w:val="00DD303A"/>
    <w:rsid w:val="00DE061F"/>
    <w:rsid w:val="00DE0835"/>
    <w:rsid w:val="00DE0CCB"/>
    <w:rsid w:val="00DF059C"/>
    <w:rsid w:val="00DF2671"/>
    <w:rsid w:val="00DF3B05"/>
    <w:rsid w:val="00DF4A87"/>
    <w:rsid w:val="00E100A5"/>
    <w:rsid w:val="00E110F5"/>
    <w:rsid w:val="00E209AB"/>
    <w:rsid w:val="00E250FD"/>
    <w:rsid w:val="00E26BBB"/>
    <w:rsid w:val="00E41B41"/>
    <w:rsid w:val="00E43EDF"/>
    <w:rsid w:val="00E46777"/>
    <w:rsid w:val="00E50C5B"/>
    <w:rsid w:val="00E5771B"/>
    <w:rsid w:val="00E61045"/>
    <w:rsid w:val="00E61587"/>
    <w:rsid w:val="00E6202D"/>
    <w:rsid w:val="00E72FC9"/>
    <w:rsid w:val="00E8033C"/>
    <w:rsid w:val="00E832E0"/>
    <w:rsid w:val="00E84D93"/>
    <w:rsid w:val="00E87379"/>
    <w:rsid w:val="00E90B0F"/>
    <w:rsid w:val="00E949A0"/>
    <w:rsid w:val="00EA65F3"/>
    <w:rsid w:val="00EB736E"/>
    <w:rsid w:val="00EC5DC2"/>
    <w:rsid w:val="00EC7C58"/>
    <w:rsid w:val="00ED15AD"/>
    <w:rsid w:val="00EF09E2"/>
    <w:rsid w:val="00EF335A"/>
    <w:rsid w:val="00EF3515"/>
    <w:rsid w:val="00EF571D"/>
    <w:rsid w:val="00F32675"/>
    <w:rsid w:val="00F327F3"/>
    <w:rsid w:val="00F3613C"/>
    <w:rsid w:val="00F52B06"/>
    <w:rsid w:val="00F65C19"/>
    <w:rsid w:val="00F674D4"/>
    <w:rsid w:val="00F7501E"/>
    <w:rsid w:val="00F75AA9"/>
    <w:rsid w:val="00F763FE"/>
    <w:rsid w:val="00F8610B"/>
    <w:rsid w:val="00F93B04"/>
    <w:rsid w:val="00F94119"/>
    <w:rsid w:val="00F95104"/>
    <w:rsid w:val="00FA510A"/>
    <w:rsid w:val="00FB040D"/>
    <w:rsid w:val="00FC3517"/>
    <w:rsid w:val="00FC47BF"/>
    <w:rsid w:val="00FD0DF2"/>
    <w:rsid w:val="00FD3317"/>
    <w:rsid w:val="00FE4C56"/>
    <w:rsid w:val="00FE567A"/>
    <w:rsid w:val="00FE7B63"/>
    <w:rsid w:val="00FF18A2"/>
    <w:rsid w:val="00FF5749"/>
    <w:rsid w:val="00FF61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1B8"/>
    <w:pPr>
      <w:spacing w:after="200" w:line="276" w:lineRule="auto"/>
    </w:pPr>
    <w:rPr>
      <w:rFonts w:cs="Calibri"/>
      <w:sz w:val="22"/>
      <w:szCs w:val="22"/>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C431E"/>
    <w:rPr>
      <w:rFonts w:cs="Times New Roman"/>
      <w:color w:val="0000FF"/>
      <w:u w:val="single"/>
    </w:rPr>
  </w:style>
  <w:style w:type="paragraph" w:styleId="a4">
    <w:name w:val="header"/>
    <w:basedOn w:val="a"/>
    <w:link w:val="Char"/>
    <w:uiPriority w:val="99"/>
    <w:rsid w:val="000C431E"/>
    <w:pPr>
      <w:tabs>
        <w:tab w:val="center" w:pos="4513"/>
        <w:tab w:val="right" w:pos="9026"/>
      </w:tabs>
      <w:spacing w:after="0" w:line="240" w:lineRule="auto"/>
    </w:pPr>
    <w:rPr>
      <w:rFonts w:cs="Times New Roman"/>
      <w:sz w:val="20"/>
      <w:szCs w:val="20"/>
      <w:lang w:eastAsia="ja-JP"/>
    </w:rPr>
  </w:style>
  <w:style w:type="character" w:customStyle="1" w:styleId="Char">
    <w:name w:val="页眉 Char"/>
    <w:basedOn w:val="a0"/>
    <w:link w:val="a4"/>
    <w:uiPriority w:val="99"/>
    <w:locked/>
    <w:rsid w:val="000C431E"/>
  </w:style>
  <w:style w:type="paragraph" w:styleId="a5">
    <w:name w:val="footer"/>
    <w:basedOn w:val="a"/>
    <w:link w:val="Char0"/>
    <w:uiPriority w:val="99"/>
    <w:rsid w:val="000C431E"/>
    <w:pPr>
      <w:tabs>
        <w:tab w:val="center" w:pos="4513"/>
        <w:tab w:val="right" w:pos="9026"/>
      </w:tabs>
      <w:spacing w:after="0" w:line="240" w:lineRule="auto"/>
    </w:pPr>
    <w:rPr>
      <w:rFonts w:cs="Times New Roman"/>
      <w:sz w:val="20"/>
      <w:szCs w:val="20"/>
      <w:lang w:eastAsia="ja-JP"/>
    </w:rPr>
  </w:style>
  <w:style w:type="character" w:customStyle="1" w:styleId="Char0">
    <w:name w:val="页脚 Char"/>
    <w:basedOn w:val="a0"/>
    <w:link w:val="a5"/>
    <w:uiPriority w:val="99"/>
    <w:locked/>
    <w:rsid w:val="000C431E"/>
  </w:style>
  <w:style w:type="paragraph" w:styleId="a6">
    <w:name w:val="Normal (Web)"/>
    <w:basedOn w:val="a"/>
    <w:uiPriority w:val="99"/>
    <w:semiHidden/>
    <w:rsid w:val="00F8610B"/>
    <w:pPr>
      <w:spacing w:before="100" w:beforeAutospacing="1" w:after="100" w:afterAutospacing="1" w:line="240" w:lineRule="auto"/>
    </w:pPr>
    <w:rPr>
      <w:sz w:val="24"/>
      <w:szCs w:val="24"/>
    </w:rPr>
  </w:style>
  <w:style w:type="paragraph" w:styleId="a7">
    <w:name w:val="Balloon Text"/>
    <w:basedOn w:val="a"/>
    <w:link w:val="Char1"/>
    <w:uiPriority w:val="99"/>
    <w:semiHidden/>
    <w:rsid w:val="00266ABC"/>
    <w:pPr>
      <w:spacing w:after="0" w:line="240" w:lineRule="auto"/>
    </w:pPr>
    <w:rPr>
      <w:rFonts w:ascii="Tahoma" w:hAnsi="Tahoma" w:cs="Times New Roman"/>
      <w:sz w:val="16"/>
      <w:szCs w:val="16"/>
      <w:lang w:eastAsia="ja-JP"/>
    </w:rPr>
  </w:style>
  <w:style w:type="character" w:customStyle="1" w:styleId="Char1">
    <w:name w:val="批注框文本 Char"/>
    <w:link w:val="a7"/>
    <w:uiPriority w:val="99"/>
    <w:semiHidden/>
    <w:locked/>
    <w:rsid w:val="00266ABC"/>
    <w:rPr>
      <w:rFonts w:ascii="Tahoma" w:hAnsi="Tahoma"/>
      <w:sz w:val="16"/>
    </w:rPr>
  </w:style>
  <w:style w:type="paragraph" w:styleId="a8">
    <w:name w:val="caption"/>
    <w:basedOn w:val="a"/>
    <w:next w:val="a"/>
    <w:uiPriority w:val="99"/>
    <w:qFormat/>
    <w:rsid w:val="00266ABC"/>
    <w:pPr>
      <w:spacing w:line="240" w:lineRule="auto"/>
    </w:pPr>
    <w:rPr>
      <w:b/>
      <w:bCs/>
      <w:color w:val="4F81BD"/>
      <w:sz w:val="18"/>
      <w:szCs w:val="18"/>
    </w:rPr>
  </w:style>
  <w:style w:type="table" w:styleId="a9">
    <w:name w:val="Table Grid"/>
    <w:basedOn w:val="a1"/>
    <w:uiPriority w:val="99"/>
    <w:rsid w:val="00734E2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uiPriority w:val="99"/>
    <w:semiHidden/>
    <w:rsid w:val="00225401"/>
    <w:rPr>
      <w:rFonts w:cs="Times New Roman"/>
      <w:color w:val="800080"/>
      <w:u w:val="single"/>
    </w:rPr>
  </w:style>
  <w:style w:type="character" w:styleId="ab">
    <w:name w:val="annotation reference"/>
    <w:uiPriority w:val="99"/>
    <w:semiHidden/>
    <w:rsid w:val="004E5FBB"/>
    <w:rPr>
      <w:rFonts w:cs="Times New Roman"/>
      <w:sz w:val="16"/>
    </w:rPr>
  </w:style>
  <w:style w:type="paragraph" w:styleId="ac">
    <w:name w:val="annotation text"/>
    <w:basedOn w:val="a"/>
    <w:link w:val="Char2"/>
    <w:uiPriority w:val="99"/>
    <w:semiHidden/>
    <w:rsid w:val="004E5FBB"/>
    <w:rPr>
      <w:rFonts w:cs="Times New Roman"/>
      <w:sz w:val="20"/>
      <w:szCs w:val="20"/>
      <w:lang w:eastAsia="ja-JP"/>
    </w:rPr>
  </w:style>
  <w:style w:type="character" w:customStyle="1" w:styleId="Char2">
    <w:name w:val="批注文字 Char"/>
    <w:basedOn w:val="a0"/>
    <w:link w:val="ac"/>
    <w:uiPriority w:val="99"/>
    <w:semiHidden/>
    <w:locked/>
    <w:rsid w:val="004E5FBB"/>
  </w:style>
  <w:style w:type="paragraph" w:styleId="ad">
    <w:name w:val="annotation subject"/>
    <w:basedOn w:val="ac"/>
    <w:next w:val="ac"/>
    <w:link w:val="Char3"/>
    <w:uiPriority w:val="99"/>
    <w:semiHidden/>
    <w:rsid w:val="004E5FBB"/>
    <w:rPr>
      <w:b/>
      <w:bCs/>
    </w:rPr>
  </w:style>
  <w:style w:type="character" w:customStyle="1" w:styleId="Char3">
    <w:name w:val="批注主题 Char"/>
    <w:link w:val="ad"/>
    <w:uiPriority w:val="99"/>
    <w:semiHidden/>
    <w:locked/>
    <w:rsid w:val="004E5FBB"/>
    <w:rPr>
      <w:b/>
    </w:rPr>
  </w:style>
  <w:style w:type="paragraph" w:styleId="ae">
    <w:name w:val="footnote text"/>
    <w:basedOn w:val="a"/>
    <w:link w:val="Char4"/>
    <w:uiPriority w:val="99"/>
    <w:semiHidden/>
    <w:rsid w:val="00DA55D6"/>
    <w:rPr>
      <w:sz w:val="20"/>
      <w:szCs w:val="20"/>
    </w:rPr>
  </w:style>
  <w:style w:type="character" w:customStyle="1" w:styleId="Char4">
    <w:name w:val="脚注文本 Char"/>
    <w:link w:val="ae"/>
    <w:uiPriority w:val="99"/>
    <w:semiHidden/>
    <w:locked/>
    <w:rsid w:val="00DA55D6"/>
    <w:rPr>
      <w:rFonts w:cs="Calibri"/>
    </w:rPr>
  </w:style>
  <w:style w:type="character" w:styleId="af">
    <w:name w:val="footnote reference"/>
    <w:uiPriority w:val="99"/>
    <w:semiHidden/>
    <w:rsid w:val="00DA55D6"/>
    <w:rPr>
      <w:rFonts w:cs="Times New Roman"/>
      <w:vertAlign w:val="superscript"/>
    </w:rPr>
  </w:style>
  <w:style w:type="character" w:styleId="af0">
    <w:name w:val="Strong"/>
    <w:qFormat/>
    <w:locked/>
    <w:rsid w:val="004116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1B8"/>
    <w:pPr>
      <w:spacing w:after="200" w:line="276" w:lineRule="auto"/>
    </w:pPr>
    <w:rPr>
      <w:rFonts w:cs="Calibri"/>
      <w:sz w:val="22"/>
      <w:szCs w:val="22"/>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C431E"/>
    <w:rPr>
      <w:rFonts w:cs="Times New Roman"/>
      <w:color w:val="0000FF"/>
      <w:u w:val="single"/>
    </w:rPr>
  </w:style>
  <w:style w:type="paragraph" w:styleId="a4">
    <w:name w:val="header"/>
    <w:basedOn w:val="a"/>
    <w:link w:val="Char"/>
    <w:uiPriority w:val="99"/>
    <w:rsid w:val="000C431E"/>
    <w:pPr>
      <w:tabs>
        <w:tab w:val="center" w:pos="4513"/>
        <w:tab w:val="right" w:pos="9026"/>
      </w:tabs>
      <w:spacing w:after="0" w:line="240" w:lineRule="auto"/>
    </w:pPr>
    <w:rPr>
      <w:rFonts w:cs="Times New Roman"/>
      <w:sz w:val="20"/>
      <w:szCs w:val="20"/>
      <w:lang w:eastAsia="ja-JP"/>
    </w:rPr>
  </w:style>
  <w:style w:type="character" w:customStyle="1" w:styleId="Char">
    <w:name w:val="页眉 Char"/>
    <w:basedOn w:val="a0"/>
    <w:link w:val="a4"/>
    <w:uiPriority w:val="99"/>
    <w:locked/>
    <w:rsid w:val="000C431E"/>
  </w:style>
  <w:style w:type="paragraph" w:styleId="a5">
    <w:name w:val="footer"/>
    <w:basedOn w:val="a"/>
    <w:link w:val="Char0"/>
    <w:uiPriority w:val="99"/>
    <w:rsid w:val="000C431E"/>
    <w:pPr>
      <w:tabs>
        <w:tab w:val="center" w:pos="4513"/>
        <w:tab w:val="right" w:pos="9026"/>
      </w:tabs>
      <w:spacing w:after="0" w:line="240" w:lineRule="auto"/>
    </w:pPr>
    <w:rPr>
      <w:rFonts w:cs="Times New Roman"/>
      <w:sz w:val="20"/>
      <w:szCs w:val="20"/>
      <w:lang w:eastAsia="ja-JP"/>
    </w:rPr>
  </w:style>
  <w:style w:type="character" w:customStyle="1" w:styleId="Char0">
    <w:name w:val="页脚 Char"/>
    <w:basedOn w:val="a0"/>
    <w:link w:val="a5"/>
    <w:uiPriority w:val="99"/>
    <w:locked/>
    <w:rsid w:val="000C431E"/>
  </w:style>
  <w:style w:type="paragraph" w:styleId="a6">
    <w:name w:val="Normal (Web)"/>
    <w:basedOn w:val="a"/>
    <w:uiPriority w:val="99"/>
    <w:semiHidden/>
    <w:rsid w:val="00F8610B"/>
    <w:pPr>
      <w:spacing w:before="100" w:beforeAutospacing="1" w:after="100" w:afterAutospacing="1" w:line="240" w:lineRule="auto"/>
    </w:pPr>
    <w:rPr>
      <w:sz w:val="24"/>
      <w:szCs w:val="24"/>
    </w:rPr>
  </w:style>
  <w:style w:type="paragraph" w:styleId="a7">
    <w:name w:val="Balloon Text"/>
    <w:basedOn w:val="a"/>
    <w:link w:val="Char1"/>
    <w:uiPriority w:val="99"/>
    <w:semiHidden/>
    <w:rsid w:val="00266ABC"/>
    <w:pPr>
      <w:spacing w:after="0" w:line="240" w:lineRule="auto"/>
    </w:pPr>
    <w:rPr>
      <w:rFonts w:ascii="Tahoma" w:hAnsi="Tahoma" w:cs="Times New Roman"/>
      <w:sz w:val="16"/>
      <w:szCs w:val="16"/>
      <w:lang w:eastAsia="ja-JP"/>
    </w:rPr>
  </w:style>
  <w:style w:type="character" w:customStyle="1" w:styleId="Char1">
    <w:name w:val="批注框文本 Char"/>
    <w:link w:val="a7"/>
    <w:uiPriority w:val="99"/>
    <w:semiHidden/>
    <w:locked/>
    <w:rsid w:val="00266ABC"/>
    <w:rPr>
      <w:rFonts w:ascii="Tahoma" w:hAnsi="Tahoma"/>
      <w:sz w:val="16"/>
    </w:rPr>
  </w:style>
  <w:style w:type="paragraph" w:styleId="a8">
    <w:name w:val="caption"/>
    <w:basedOn w:val="a"/>
    <w:next w:val="a"/>
    <w:uiPriority w:val="99"/>
    <w:qFormat/>
    <w:rsid w:val="00266ABC"/>
    <w:pPr>
      <w:spacing w:line="240" w:lineRule="auto"/>
    </w:pPr>
    <w:rPr>
      <w:b/>
      <w:bCs/>
      <w:color w:val="4F81BD"/>
      <w:sz w:val="18"/>
      <w:szCs w:val="18"/>
    </w:rPr>
  </w:style>
  <w:style w:type="table" w:styleId="a9">
    <w:name w:val="Table Grid"/>
    <w:basedOn w:val="a1"/>
    <w:uiPriority w:val="99"/>
    <w:rsid w:val="00734E2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uiPriority w:val="99"/>
    <w:semiHidden/>
    <w:rsid w:val="00225401"/>
    <w:rPr>
      <w:rFonts w:cs="Times New Roman"/>
      <w:color w:val="800080"/>
      <w:u w:val="single"/>
    </w:rPr>
  </w:style>
  <w:style w:type="character" w:styleId="ab">
    <w:name w:val="annotation reference"/>
    <w:uiPriority w:val="99"/>
    <w:semiHidden/>
    <w:rsid w:val="004E5FBB"/>
    <w:rPr>
      <w:rFonts w:cs="Times New Roman"/>
      <w:sz w:val="16"/>
    </w:rPr>
  </w:style>
  <w:style w:type="paragraph" w:styleId="ac">
    <w:name w:val="annotation text"/>
    <w:basedOn w:val="a"/>
    <w:link w:val="Char2"/>
    <w:uiPriority w:val="99"/>
    <w:semiHidden/>
    <w:rsid w:val="004E5FBB"/>
    <w:rPr>
      <w:rFonts w:cs="Times New Roman"/>
      <w:sz w:val="20"/>
      <w:szCs w:val="20"/>
      <w:lang w:eastAsia="ja-JP"/>
    </w:rPr>
  </w:style>
  <w:style w:type="character" w:customStyle="1" w:styleId="Char2">
    <w:name w:val="批注文字 Char"/>
    <w:basedOn w:val="a0"/>
    <w:link w:val="ac"/>
    <w:uiPriority w:val="99"/>
    <w:semiHidden/>
    <w:locked/>
    <w:rsid w:val="004E5FBB"/>
  </w:style>
  <w:style w:type="paragraph" w:styleId="ad">
    <w:name w:val="annotation subject"/>
    <w:basedOn w:val="ac"/>
    <w:next w:val="ac"/>
    <w:link w:val="Char3"/>
    <w:uiPriority w:val="99"/>
    <w:semiHidden/>
    <w:rsid w:val="004E5FBB"/>
    <w:rPr>
      <w:b/>
      <w:bCs/>
    </w:rPr>
  </w:style>
  <w:style w:type="character" w:customStyle="1" w:styleId="Char3">
    <w:name w:val="批注主题 Char"/>
    <w:link w:val="ad"/>
    <w:uiPriority w:val="99"/>
    <w:semiHidden/>
    <w:locked/>
    <w:rsid w:val="004E5FBB"/>
    <w:rPr>
      <w:b/>
    </w:rPr>
  </w:style>
  <w:style w:type="paragraph" w:styleId="ae">
    <w:name w:val="footnote text"/>
    <w:basedOn w:val="a"/>
    <w:link w:val="Char4"/>
    <w:uiPriority w:val="99"/>
    <w:semiHidden/>
    <w:rsid w:val="00DA55D6"/>
    <w:rPr>
      <w:sz w:val="20"/>
      <w:szCs w:val="20"/>
    </w:rPr>
  </w:style>
  <w:style w:type="character" w:customStyle="1" w:styleId="Char4">
    <w:name w:val="脚注文本 Char"/>
    <w:link w:val="ae"/>
    <w:uiPriority w:val="99"/>
    <w:semiHidden/>
    <w:locked/>
    <w:rsid w:val="00DA55D6"/>
    <w:rPr>
      <w:rFonts w:cs="Calibri"/>
    </w:rPr>
  </w:style>
  <w:style w:type="character" w:styleId="af">
    <w:name w:val="footnote reference"/>
    <w:uiPriority w:val="99"/>
    <w:semiHidden/>
    <w:rsid w:val="00DA55D6"/>
    <w:rPr>
      <w:rFonts w:cs="Times New Roman"/>
      <w:vertAlign w:val="superscript"/>
    </w:rPr>
  </w:style>
  <w:style w:type="character" w:styleId="af0">
    <w:name w:val="Strong"/>
    <w:qFormat/>
    <w:locked/>
    <w:rsid w:val="004116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181278">
      <w:marLeft w:val="0"/>
      <w:marRight w:val="0"/>
      <w:marTop w:val="0"/>
      <w:marBottom w:val="0"/>
      <w:divBdr>
        <w:top w:val="none" w:sz="0" w:space="0" w:color="auto"/>
        <w:left w:val="none" w:sz="0" w:space="0" w:color="auto"/>
        <w:bottom w:val="none" w:sz="0" w:space="0" w:color="auto"/>
        <w:right w:val="none" w:sz="0" w:space="0" w:color="auto"/>
      </w:divBdr>
    </w:div>
    <w:div w:id="813181279">
      <w:marLeft w:val="0"/>
      <w:marRight w:val="0"/>
      <w:marTop w:val="0"/>
      <w:marBottom w:val="0"/>
      <w:divBdr>
        <w:top w:val="none" w:sz="0" w:space="0" w:color="auto"/>
        <w:left w:val="none" w:sz="0" w:space="0" w:color="auto"/>
        <w:bottom w:val="none" w:sz="0" w:space="0" w:color="auto"/>
        <w:right w:val="none" w:sz="0" w:space="0" w:color="auto"/>
      </w:divBdr>
    </w:div>
    <w:div w:id="813181280">
      <w:marLeft w:val="0"/>
      <w:marRight w:val="0"/>
      <w:marTop w:val="0"/>
      <w:marBottom w:val="0"/>
      <w:divBdr>
        <w:top w:val="none" w:sz="0" w:space="0" w:color="auto"/>
        <w:left w:val="none" w:sz="0" w:space="0" w:color="auto"/>
        <w:bottom w:val="none" w:sz="0" w:space="0" w:color="auto"/>
        <w:right w:val="none" w:sz="0" w:space="0" w:color="auto"/>
      </w:divBdr>
    </w:div>
    <w:div w:id="813181281">
      <w:marLeft w:val="0"/>
      <w:marRight w:val="0"/>
      <w:marTop w:val="0"/>
      <w:marBottom w:val="0"/>
      <w:divBdr>
        <w:top w:val="none" w:sz="0" w:space="0" w:color="auto"/>
        <w:left w:val="none" w:sz="0" w:space="0" w:color="auto"/>
        <w:bottom w:val="none" w:sz="0" w:space="0" w:color="auto"/>
        <w:right w:val="none" w:sz="0" w:space="0" w:color="auto"/>
      </w:divBdr>
    </w:div>
    <w:div w:id="813181282">
      <w:marLeft w:val="0"/>
      <w:marRight w:val="0"/>
      <w:marTop w:val="0"/>
      <w:marBottom w:val="0"/>
      <w:divBdr>
        <w:top w:val="none" w:sz="0" w:space="0" w:color="auto"/>
        <w:left w:val="none" w:sz="0" w:space="0" w:color="auto"/>
        <w:bottom w:val="none" w:sz="0" w:space="0" w:color="auto"/>
        <w:right w:val="none" w:sz="0" w:space="0" w:color="auto"/>
      </w:divBdr>
    </w:div>
    <w:div w:id="813181283">
      <w:marLeft w:val="0"/>
      <w:marRight w:val="0"/>
      <w:marTop w:val="0"/>
      <w:marBottom w:val="0"/>
      <w:divBdr>
        <w:top w:val="none" w:sz="0" w:space="0" w:color="auto"/>
        <w:left w:val="none" w:sz="0" w:space="0" w:color="auto"/>
        <w:bottom w:val="none" w:sz="0" w:space="0" w:color="auto"/>
        <w:right w:val="none" w:sz="0" w:space="0" w:color="auto"/>
      </w:divBdr>
    </w:div>
    <w:div w:id="813181284">
      <w:marLeft w:val="0"/>
      <w:marRight w:val="0"/>
      <w:marTop w:val="0"/>
      <w:marBottom w:val="0"/>
      <w:divBdr>
        <w:top w:val="none" w:sz="0" w:space="0" w:color="auto"/>
        <w:left w:val="none" w:sz="0" w:space="0" w:color="auto"/>
        <w:bottom w:val="none" w:sz="0" w:space="0" w:color="auto"/>
        <w:right w:val="none" w:sz="0" w:space="0" w:color="auto"/>
      </w:divBdr>
    </w:div>
    <w:div w:id="813181285">
      <w:marLeft w:val="0"/>
      <w:marRight w:val="0"/>
      <w:marTop w:val="0"/>
      <w:marBottom w:val="0"/>
      <w:divBdr>
        <w:top w:val="none" w:sz="0" w:space="0" w:color="auto"/>
        <w:left w:val="none" w:sz="0" w:space="0" w:color="auto"/>
        <w:bottom w:val="none" w:sz="0" w:space="0" w:color="auto"/>
        <w:right w:val="none" w:sz="0" w:space="0" w:color="auto"/>
      </w:divBdr>
    </w:div>
    <w:div w:id="813181286">
      <w:marLeft w:val="0"/>
      <w:marRight w:val="0"/>
      <w:marTop w:val="0"/>
      <w:marBottom w:val="0"/>
      <w:divBdr>
        <w:top w:val="none" w:sz="0" w:space="0" w:color="auto"/>
        <w:left w:val="none" w:sz="0" w:space="0" w:color="auto"/>
        <w:bottom w:val="none" w:sz="0" w:space="0" w:color="auto"/>
        <w:right w:val="none" w:sz="0" w:space="0" w:color="auto"/>
      </w:divBdr>
    </w:div>
    <w:div w:id="813181287">
      <w:marLeft w:val="0"/>
      <w:marRight w:val="0"/>
      <w:marTop w:val="0"/>
      <w:marBottom w:val="0"/>
      <w:divBdr>
        <w:top w:val="none" w:sz="0" w:space="0" w:color="auto"/>
        <w:left w:val="none" w:sz="0" w:space="0" w:color="auto"/>
        <w:bottom w:val="none" w:sz="0" w:space="0" w:color="auto"/>
        <w:right w:val="none" w:sz="0" w:space="0" w:color="auto"/>
      </w:divBdr>
    </w:div>
    <w:div w:id="813181288">
      <w:marLeft w:val="0"/>
      <w:marRight w:val="0"/>
      <w:marTop w:val="0"/>
      <w:marBottom w:val="0"/>
      <w:divBdr>
        <w:top w:val="none" w:sz="0" w:space="0" w:color="auto"/>
        <w:left w:val="none" w:sz="0" w:space="0" w:color="auto"/>
        <w:bottom w:val="none" w:sz="0" w:space="0" w:color="auto"/>
        <w:right w:val="none" w:sz="0" w:space="0" w:color="auto"/>
      </w:divBdr>
    </w:div>
    <w:div w:id="813181289">
      <w:marLeft w:val="0"/>
      <w:marRight w:val="0"/>
      <w:marTop w:val="0"/>
      <w:marBottom w:val="0"/>
      <w:divBdr>
        <w:top w:val="none" w:sz="0" w:space="0" w:color="auto"/>
        <w:left w:val="none" w:sz="0" w:space="0" w:color="auto"/>
        <w:bottom w:val="none" w:sz="0" w:space="0" w:color="auto"/>
        <w:right w:val="none" w:sz="0" w:space="0" w:color="auto"/>
      </w:divBdr>
    </w:div>
    <w:div w:id="813181290">
      <w:marLeft w:val="0"/>
      <w:marRight w:val="0"/>
      <w:marTop w:val="0"/>
      <w:marBottom w:val="0"/>
      <w:divBdr>
        <w:top w:val="none" w:sz="0" w:space="0" w:color="auto"/>
        <w:left w:val="none" w:sz="0" w:space="0" w:color="auto"/>
        <w:bottom w:val="none" w:sz="0" w:space="0" w:color="auto"/>
        <w:right w:val="none" w:sz="0" w:space="0" w:color="auto"/>
      </w:divBdr>
    </w:div>
    <w:div w:id="813181291">
      <w:marLeft w:val="0"/>
      <w:marRight w:val="0"/>
      <w:marTop w:val="0"/>
      <w:marBottom w:val="0"/>
      <w:divBdr>
        <w:top w:val="none" w:sz="0" w:space="0" w:color="auto"/>
        <w:left w:val="none" w:sz="0" w:space="0" w:color="auto"/>
        <w:bottom w:val="none" w:sz="0" w:space="0" w:color="auto"/>
        <w:right w:val="none" w:sz="0" w:space="0" w:color="auto"/>
      </w:divBdr>
    </w:div>
    <w:div w:id="813181292">
      <w:marLeft w:val="0"/>
      <w:marRight w:val="0"/>
      <w:marTop w:val="0"/>
      <w:marBottom w:val="0"/>
      <w:divBdr>
        <w:top w:val="none" w:sz="0" w:space="0" w:color="auto"/>
        <w:left w:val="none" w:sz="0" w:space="0" w:color="auto"/>
        <w:bottom w:val="none" w:sz="0" w:space="0" w:color="auto"/>
        <w:right w:val="none" w:sz="0" w:space="0" w:color="auto"/>
      </w:divBdr>
    </w:div>
    <w:div w:id="813181293">
      <w:marLeft w:val="0"/>
      <w:marRight w:val="0"/>
      <w:marTop w:val="0"/>
      <w:marBottom w:val="0"/>
      <w:divBdr>
        <w:top w:val="none" w:sz="0" w:space="0" w:color="auto"/>
        <w:left w:val="none" w:sz="0" w:space="0" w:color="auto"/>
        <w:bottom w:val="none" w:sz="0" w:space="0" w:color="auto"/>
        <w:right w:val="none" w:sz="0" w:space="0" w:color="auto"/>
      </w:divBdr>
    </w:div>
    <w:div w:id="813181294">
      <w:marLeft w:val="0"/>
      <w:marRight w:val="0"/>
      <w:marTop w:val="0"/>
      <w:marBottom w:val="0"/>
      <w:divBdr>
        <w:top w:val="none" w:sz="0" w:space="0" w:color="auto"/>
        <w:left w:val="none" w:sz="0" w:space="0" w:color="auto"/>
        <w:bottom w:val="none" w:sz="0" w:space="0" w:color="auto"/>
        <w:right w:val="none" w:sz="0" w:space="0" w:color="auto"/>
      </w:divBdr>
    </w:div>
    <w:div w:id="813181295">
      <w:marLeft w:val="0"/>
      <w:marRight w:val="0"/>
      <w:marTop w:val="0"/>
      <w:marBottom w:val="0"/>
      <w:divBdr>
        <w:top w:val="none" w:sz="0" w:space="0" w:color="auto"/>
        <w:left w:val="none" w:sz="0" w:space="0" w:color="auto"/>
        <w:bottom w:val="none" w:sz="0" w:space="0" w:color="auto"/>
        <w:right w:val="none" w:sz="0" w:space="0" w:color="auto"/>
      </w:divBdr>
    </w:div>
    <w:div w:id="813181301">
      <w:marLeft w:val="0"/>
      <w:marRight w:val="0"/>
      <w:marTop w:val="0"/>
      <w:marBottom w:val="0"/>
      <w:divBdr>
        <w:top w:val="none" w:sz="0" w:space="0" w:color="auto"/>
        <w:left w:val="none" w:sz="0" w:space="0" w:color="auto"/>
        <w:bottom w:val="none" w:sz="0" w:space="0" w:color="auto"/>
        <w:right w:val="none" w:sz="0" w:space="0" w:color="auto"/>
      </w:divBdr>
      <w:divsChild>
        <w:div w:id="813181303">
          <w:marLeft w:val="0"/>
          <w:marRight w:val="1"/>
          <w:marTop w:val="0"/>
          <w:marBottom w:val="0"/>
          <w:divBdr>
            <w:top w:val="none" w:sz="0" w:space="0" w:color="auto"/>
            <w:left w:val="none" w:sz="0" w:space="0" w:color="auto"/>
            <w:bottom w:val="none" w:sz="0" w:space="0" w:color="auto"/>
            <w:right w:val="none" w:sz="0" w:space="0" w:color="auto"/>
          </w:divBdr>
          <w:divsChild>
            <w:div w:id="813181302">
              <w:marLeft w:val="0"/>
              <w:marRight w:val="0"/>
              <w:marTop w:val="0"/>
              <w:marBottom w:val="0"/>
              <w:divBdr>
                <w:top w:val="none" w:sz="0" w:space="0" w:color="auto"/>
                <w:left w:val="none" w:sz="0" w:space="0" w:color="auto"/>
                <w:bottom w:val="none" w:sz="0" w:space="0" w:color="auto"/>
                <w:right w:val="none" w:sz="0" w:space="0" w:color="auto"/>
              </w:divBdr>
              <w:divsChild>
                <w:div w:id="813181296">
                  <w:marLeft w:val="0"/>
                  <w:marRight w:val="1"/>
                  <w:marTop w:val="0"/>
                  <w:marBottom w:val="0"/>
                  <w:divBdr>
                    <w:top w:val="none" w:sz="0" w:space="0" w:color="auto"/>
                    <w:left w:val="none" w:sz="0" w:space="0" w:color="auto"/>
                    <w:bottom w:val="none" w:sz="0" w:space="0" w:color="auto"/>
                    <w:right w:val="none" w:sz="0" w:space="0" w:color="auto"/>
                  </w:divBdr>
                  <w:divsChild>
                    <w:div w:id="813181298">
                      <w:marLeft w:val="0"/>
                      <w:marRight w:val="0"/>
                      <w:marTop w:val="0"/>
                      <w:marBottom w:val="0"/>
                      <w:divBdr>
                        <w:top w:val="none" w:sz="0" w:space="0" w:color="auto"/>
                        <w:left w:val="none" w:sz="0" w:space="0" w:color="auto"/>
                        <w:bottom w:val="none" w:sz="0" w:space="0" w:color="auto"/>
                        <w:right w:val="none" w:sz="0" w:space="0" w:color="auto"/>
                      </w:divBdr>
                      <w:divsChild>
                        <w:div w:id="813181299">
                          <w:marLeft w:val="0"/>
                          <w:marRight w:val="0"/>
                          <w:marTop w:val="0"/>
                          <w:marBottom w:val="0"/>
                          <w:divBdr>
                            <w:top w:val="none" w:sz="0" w:space="0" w:color="auto"/>
                            <w:left w:val="none" w:sz="0" w:space="0" w:color="auto"/>
                            <w:bottom w:val="none" w:sz="0" w:space="0" w:color="auto"/>
                            <w:right w:val="none" w:sz="0" w:space="0" w:color="auto"/>
                          </w:divBdr>
                          <w:divsChild>
                            <w:div w:id="813181304">
                              <w:marLeft w:val="0"/>
                              <w:marRight w:val="0"/>
                              <w:marTop w:val="120"/>
                              <w:marBottom w:val="360"/>
                              <w:divBdr>
                                <w:top w:val="none" w:sz="0" w:space="0" w:color="auto"/>
                                <w:left w:val="none" w:sz="0" w:space="0" w:color="auto"/>
                                <w:bottom w:val="none" w:sz="0" w:space="0" w:color="auto"/>
                                <w:right w:val="none" w:sz="0" w:space="0" w:color="auto"/>
                              </w:divBdr>
                              <w:divsChild>
                                <w:div w:id="813181297">
                                  <w:marLeft w:val="0"/>
                                  <w:marRight w:val="0"/>
                                  <w:marTop w:val="0"/>
                                  <w:marBottom w:val="0"/>
                                  <w:divBdr>
                                    <w:top w:val="none" w:sz="0" w:space="0" w:color="auto"/>
                                    <w:left w:val="none" w:sz="0" w:space="0" w:color="auto"/>
                                    <w:bottom w:val="none" w:sz="0" w:space="0" w:color="auto"/>
                                    <w:right w:val="none" w:sz="0" w:space="0" w:color="auto"/>
                                  </w:divBdr>
                                  <w:divsChild>
                                    <w:div w:id="81318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jb57@le.ac.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ovidsp.tx.ovid.com.ezproxy4.lib.le.ac.uk/sp-3.10.0b/ovidweb.cgi?&amp;Controlled+Vocabulary=Mapping%7c4&amp;Return=mapping&amp;S=MLIBFPGNLGDDNIBCNCNKIGDCDHOOAA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4282</Words>
  <Characters>24413</Characters>
  <Application>Microsoft Office Word</Application>
  <DocSecurity>0</DocSecurity>
  <Lines>203</Lines>
  <Paragraphs>57</Paragraphs>
  <ScaleCrop>false</ScaleCrop>
  <Company>University of Leicester</Company>
  <LinksUpToDate>false</LinksUpToDate>
  <CharactersWithSpaces>28638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ame22</dc:creator>
  <cp:lastModifiedBy>LS Ma</cp:lastModifiedBy>
  <cp:revision>2</cp:revision>
  <cp:lastPrinted>2013-11-12T02:23:00Z</cp:lastPrinted>
  <dcterms:created xsi:type="dcterms:W3CDTF">2014-04-10T22:30:00Z</dcterms:created>
  <dcterms:modified xsi:type="dcterms:W3CDTF">2014-04-10T22:30:00Z</dcterms:modified>
</cp:coreProperties>
</file>