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890E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Name of Journal: </w:t>
      </w:r>
      <w:r w:rsidRPr="00807BCB">
        <w:rPr>
          <w:rFonts w:ascii="Book Antiqua" w:eastAsia="Book Antiqua" w:hAnsi="Book Antiqua" w:cs="Book Antiqua"/>
          <w:i/>
          <w:color w:val="000000"/>
        </w:rPr>
        <w:t>World Journal of Clinical Cases</w:t>
      </w:r>
    </w:p>
    <w:p w14:paraId="7F3C2736"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Manuscript NO: </w:t>
      </w:r>
      <w:r w:rsidRPr="00807BCB">
        <w:rPr>
          <w:rFonts w:ascii="Book Antiqua" w:eastAsia="Book Antiqua" w:hAnsi="Book Antiqua" w:cs="Book Antiqua"/>
          <w:color w:val="000000"/>
        </w:rPr>
        <w:t>73201</w:t>
      </w:r>
    </w:p>
    <w:p w14:paraId="41B94A63"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Manuscript Type: </w:t>
      </w:r>
      <w:r w:rsidRPr="00807BCB">
        <w:rPr>
          <w:rFonts w:ascii="Book Antiqua" w:eastAsia="Book Antiqua" w:hAnsi="Book Antiqua" w:cs="Book Antiqua"/>
          <w:color w:val="000000"/>
        </w:rPr>
        <w:t>CASE REPORT</w:t>
      </w:r>
    </w:p>
    <w:p w14:paraId="7C6796E5" w14:textId="77777777" w:rsidR="005105FB" w:rsidRPr="00807BCB" w:rsidRDefault="005105FB">
      <w:pPr>
        <w:spacing w:line="360" w:lineRule="auto"/>
        <w:jc w:val="both"/>
        <w:rPr>
          <w:rFonts w:ascii="Book Antiqua" w:hAnsi="Book Antiqua"/>
        </w:rPr>
      </w:pPr>
    </w:p>
    <w:p w14:paraId="2D14D4B7" w14:textId="77777777" w:rsidR="005105FB" w:rsidRPr="00807BCB" w:rsidRDefault="00A36158">
      <w:pPr>
        <w:spacing w:line="360" w:lineRule="auto"/>
        <w:jc w:val="both"/>
        <w:rPr>
          <w:rFonts w:ascii="Book Antiqua" w:hAnsi="Book Antiqua"/>
          <w:lang w:eastAsia="zh-CN"/>
        </w:rPr>
      </w:pPr>
      <w:r w:rsidRPr="00807BCB">
        <w:rPr>
          <w:rFonts w:ascii="Book Antiqua" w:eastAsia="Book Antiqua" w:hAnsi="Book Antiqua" w:cs="Book Antiqua"/>
          <w:b/>
          <w:color w:val="000000"/>
        </w:rPr>
        <w:t>Growth hormone ameliorates hepatopulmonary syndrome and nonalcoholic steatohepatitis secondary to hypopituitarism in a child</w:t>
      </w:r>
      <w:r w:rsidRPr="00807BCB">
        <w:rPr>
          <w:rFonts w:ascii="Book Antiqua" w:hAnsi="Book Antiqua" w:cs="Book Antiqua" w:hint="eastAsia"/>
          <w:b/>
          <w:color w:val="000000"/>
          <w:lang w:eastAsia="zh-CN"/>
        </w:rPr>
        <w:t>: A case report</w:t>
      </w:r>
    </w:p>
    <w:p w14:paraId="13313E56" w14:textId="77777777" w:rsidR="005105FB" w:rsidRPr="00807BCB" w:rsidRDefault="005105FB">
      <w:pPr>
        <w:spacing w:line="360" w:lineRule="auto"/>
        <w:jc w:val="both"/>
        <w:rPr>
          <w:rFonts w:ascii="Book Antiqua" w:hAnsi="Book Antiqua"/>
        </w:rPr>
      </w:pPr>
    </w:p>
    <w:p w14:paraId="63311227"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Zhang </w:t>
      </w:r>
      <w:r w:rsidRPr="00807BCB">
        <w:rPr>
          <w:rFonts w:ascii="Book Antiqua" w:hAnsi="Book Antiqua" w:cs="Book Antiqua" w:hint="eastAsia"/>
          <w:color w:val="000000"/>
          <w:lang w:eastAsia="zh-CN"/>
        </w:rPr>
        <w:t xml:space="preserve">XY </w:t>
      </w:r>
      <w:r w:rsidRPr="00807BCB">
        <w:rPr>
          <w:rFonts w:ascii="Book Antiqua" w:hAnsi="Book Antiqua" w:cs="Book Antiqua" w:hint="eastAsia"/>
          <w:i/>
          <w:color w:val="000000"/>
          <w:lang w:eastAsia="zh-CN"/>
        </w:rPr>
        <w:t>et al</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Nonalcoholic steatohepatitis and</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HPS in children</w:t>
      </w:r>
    </w:p>
    <w:p w14:paraId="6C9242C0" w14:textId="77777777" w:rsidR="005105FB" w:rsidRPr="00807BCB" w:rsidRDefault="005105FB">
      <w:pPr>
        <w:spacing w:line="360" w:lineRule="auto"/>
        <w:jc w:val="both"/>
        <w:rPr>
          <w:rFonts w:ascii="Book Antiqua" w:hAnsi="Book Antiqua"/>
        </w:rPr>
      </w:pPr>
    </w:p>
    <w:p w14:paraId="42179EC2"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Xiao-Yuan Zhang, Ke Yuan, Yan-Lan Fang, Chun-Lin Wang</w:t>
      </w:r>
    </w:p>
    <w:p w14:paraId="1F325E9B" w14:textId="77777777" w:rsidR="005105FB" w:rsidRPr="00807BCB" w:rsidRDefault="005105FB">
      <w:pPr>
        <w:spacing w:line="360" w:lineRule="auto"/>
        <w:jc w:val="both"/>
        <w:rPr>
          <w:rFonts w:ascii="Book Antiqua" w:hAnsi="Book Antiqua"/>
        </w:rPr>
      </w:pPr>
    </w:p>
    <w:p w14:paraId="6A6429E3"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Xiao-Yuan Zhang, Ke Yuan, Yan-Lan Fang, Chun-Lin Wang,</w:t>
      </w:r>
      <w:r w:rsidRPr="00807BCB">
        <w:rPr>
          <w:rFonts w:ascii="Book Antiqua" w:eastAsia="Book Antiqua" w:hAnsi="Book Antiqua" w:cs="Book Antiqua"/>
          <w:color w:val="000000"/>
        </w:rPr>
        <w:t xml:space="preserve"> </w:t>
      </w:r>
      <w:r w:rsidRPr="00807BCB">
        <w:rPr>
          <w:rFonts w:ascii="Book Antiqua" w:hAnsi="Book Antiqua" w:cs="Book Antiqua" w:hint="eastAsia"/>
          <w:color w:val="000000"/>
          <w:lang w:eastAsia="zh-CN"/>
        </w:rPr>
        <w:t>D</w:t>
      </w:r>
      <w:r w:rsidRPr="00807BCB">
        <w:rPr>
          <w:rFonts w:ascii="Book Antiqua" w:eastAsia="Book Antiqua" w:hAnsi="Book Antiqua" w:cs="Book Antiqua"/>
          <w:color w:val="000000"/>
        </w:rPr>
        <w:t>epartment</w:t>
      </w:r>
      <w:r w:rsidRPr="00807BCB">
        <w:rPr>
          <w:rFonts w:ascii="Book Antiqua" w:eastAsia="Book Antiqua" w:hAnsi="Book Antiqua" w:cs="Book Antiqua"/>
          <w:bCs/>
          <w:color w:val="000000"/>
        </w:rPr>
        <w:t xml:space="preserve"> </w:t>
      </w:r>
      <w:r w:rsidRPr="00807BCB">
        <w:rPr>
          <w:rFonts w:ascii="Book Antiqua" w:hAnsi="Book Antiqua" w:cs="Book Antiqua" w:hint="eastAsia"/>
          <w:bCs/>
          <w:color w:val="000000"/>
          <w:lang w:eastAsia="zh-CN"/>
        </w:rPr>
        <w:t xml:space="preserve">of </w:t>
      </w:r>
      <w:r w:rsidRPr="00807BCB">
        <w:rPr>
          <w:rFonts w:ascii="Book Antiqua" w:hAnsi="Book Antiqua" w:cs="Book Antiqua" w:hint="eastAsia"/>
          <w:color w:val="000000"/>
          <w:lang w:eastAsia="zh-CN"/>
        </w:rPr>
        <w:t>P</w:t>
      </w:r>
      <w:r w:rsidRPr="00807BCB">
        <w:rPr>
          <w:rFonts w:ascii="Book Antiqua" w:eastAsia="Book Antiqua" w:hAnsi="Book Antiqua" w:cs="Book Antiqua"/>
          <w:color w:val="000000"/>
        </w:rPr>
        <w:t xml:space="preserve">ediatrics, The First Affiliated Hospital, Zhejiang University School of Medicine, Hangzhou 310003, Zhejiang </w:t>
      </w:r>
      <w:r w:rsidRPr="00807BCB">
        <w:rPr>
          <w:rFonts w:ascii="Book Antiqua" w:hAnsi="Book Antiqua" w:cs="Book Antiqua" w:hint="eastAsia"/>
          <w:color w:val="000000"/>
          <w:lang w:eastAsia="zh-CN"/>
        </w:rPr>
        <w:t xml:space="preserve">Province, </w:t>
      </w:r>
      <w:r w:rsidRPr="00807BCB">
        <w:rPr>
          <w:rFonts w:ascii="Book Antiqua" w:eastAsia="Book Antiqua" w:hAnsi="Book Antiqua" w:cs="Book Antiqua"/>
          <w:color w:val="000000"/>
        </w:rPr>
        <w:t>China</w:t>
      </w:r>
    </w:p>
    <w:p w14:paraId="1FA7D18B" w14:textId="77777777" w:rsidR="005105FB" w:rsidRPr="00807BCB" w:rsidRDefault="005105FB">
      <w:pPr>
        <w:spacing w:line="360" w:lineRule="auto"/>
        <w:jc w:val="both"/>
        <w:rPr>
          <w:rFonts w:ascii="Book Antiqua" w:hAnsi="Book Antiqua"/>
        </w:rPr>
      </w:pPr>
    </w:p>
    <w:p w14:paraId="041E807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Author contributions: </w:t>
      </w:r>
      <w:r w:rsidRPr="00807BCB">
        <w:rPr>
          <w:rFonts w:ascii="Book Antiqua" w:eastAsia="Book Antiqua" w:hAnsi="Book Antiqua" w:cs="Book Antiqua"/>
          <w:color w:val="000000"/>
        </w:rPr>
        <w:t>Zhang</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XY</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and Wang CL conceived and designed the study; Zhang</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XY</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and Yuan</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K</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provided clinical research; Zhang</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XY</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wrote the paper; Zhang</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 xml:space="preserve">XY, Yuan K, </w:t>
      </w:r>
      <w:r w:rsidRPr="00807BCB">
        <w:rPr>
          <w:rFonts w:ascii="Book Antiqua" w:hAnsi="Book Antiqua" w:cs="Book Antiqua" w:hint="eastAsia"/>
          <w:color w:val="000000"/>
          <w:lang w:eastAsia="zh-CN"/>
        </w:rPr>
        <w:t>F</w:t>
      </w:r>
      <w:r w:rsidRPr="00807BCB">
        <w:rPr>
          <w:rFonts w:ascii="Book Antiqua" w:eastAsia="Book Antiqua" w:hAnsi="Book Antiqua" w:cs="Book Antiqua"/>
          <w:color w:val="000000"/>
        </w:rPr>
        <w:t xml:space="preserve">ang </w:t>
      </w:r>
      <w:r w:rsidRPr="00807BCB">
        <w:rPr>
          <w:rFonts w:ascii="Book Antiqua" w:hAnsi="Book Antiqua" w:cs="Book Antiqua" w:hint="eastAsia"/>
          <w:color w:val="000000"/>
          <w:lang w:eastAsia="zh-CN"/>
        </w:rPr>
        <w:t>YL</w:t>
      </w:r>
      <w:r w:rsidRPr="00807BCB">
        <w:rPr>
          <w:rFonts w:ascii="Book Antiqua" w:hAnsi="Book Antiqua" w:cs="Book Antiqua"/>
          <w:color w:val="000000"/>
          <w:lang w:eastAsia="zh-CN"/>
        </w:rPr>
        <w:t>,</w:t>
      </w:r>
      <w:r w:rsidRPr="00807BCB">
        <w:rPr>
          <w:rFonts w:ascii="Book Antiqua" w:eastAsia="Book Antiqua" w:hAnsi="Book Antiqua" w:cs="Book Antiqua"/>
          <w:color w:val="000000"/>
        </w:rPr>
        <w:t xml:space="preserve"> and Wang CL reviewed and edited the manuscript; all authors read and approved the manuscript.</w:t>
      </w:r>
    </w:p>
    <w:p w14:paraId="21321258" w14:textId="77777777" w:rsidR="005105FB" w:rsidRPr="00807BCB" w:rsidRDefault="005105FB">
      <w:pPr>
        <w:spacing w:line="360" w:lineRule="auto"/>
        <w:jc w:val="both"/>
        <w:rPr>
          <w:rFonts w:ascii="Book Antiqua" w:hAnsi="Book Antiqua"/>
        </w:rPr>
      </w:pPr>
    </w:p>
    <w:p w14:paraId="18F682A7"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Corresponding author: Chun-Lin Wang, Doctor, PhD, Chief Doctor, Professor, </w:t>
      </w:r>
      <w:r w:rsidRPr="00807BCB">
        <w:rPr>
          <w:rFonts w:ascii="Book Antiqua" w:hAnsi="Book Antiqua" w:cs="Book Antiqua" w:hint="eastAsia"/>
          <w:color w:val="000000"/>
          <w:lang w:eastAsia="zh-CN"/>
        </w:rPr>
        <w:t>D</w:t>
      </w:r>
      <w:r w:rsidRPr="00807BCB">
        <w:rPr>
          <w:rFonts w:ascii="Book Antiqua" w:eastAsia="Book Antiqua" w:hAnsi="Book Antiqua" w:cs="Book Antiqua"/>
          <w:color w:val="000000"/>
        </w:rPr>
        <w:t>epartment</w:t>
      </w:r>
      <w:r w:rsidRPr="00807BCB">
        <w:rPr>
          <w:rFonts w:ascii="Book Antiqua" w:eastAsia="Book Antiqua" w:hAnsi="Book Antiqua" w:cs="Book Antiqua"/>
          <w:bCs/>
          <w:color w:val="000000"/>
        </w:rPr>
        <w:t xml:space="preserve"> </w:t>
      </w:r>
      <w:r w:rsidRPr="00807BCB">
        <w:rPr>
          <w:rFonts w:ascii="Book Antiqua" w:hAnsi="Book Antiqua" w:cs="Book Antiqua" w:hint="eastAsia"/>
          <w:bCs/>
          <w:color w:val="000000"/>
          <w:lang w:eastAsia="zh-CN"/>
        </w:rPr>
        <w:t xml:space="preserve">of </w:t>
      </w:r>
      <w:r w:rsidRPr="00807BCB">
        <w:rPr>
          <w:rFonts w:ascii="Book Antiqua" w:hAnsi="Book Antiqua" w:cs="Book Antiqua" w:hint="eastAsia"/>
          <w:color w:val="000000"/>
          <w:lang w:eastAsia="zh-CN"/>
        </w:rPr>
        <w:t>P</w:t>
      </w:r>
      <w:r w:rsidRPr="00807BCB">
        <w:rPr>
          <w:rFonts w:ascii="Book Antiqua" w:eastAsia="Book Antiqua" w:hAnsi="Book Antiqua" w:cs="Book Antiqua"/>
          <w:color w:val="000000"/>
        </w:rPr>
        <w:t xml:space="preserve">ediatrics, The First Affiliated Hospital, Zhejiang University School of Medicine, No. 79 Qingchun Road, Hangzhou 310003, Zhejiang </w:t>
      </w:r>
      <w:r w:rsidRPr="00807BCB">
        <w:rPr>
          <w:rFonts w:ascii="Book Antiqua" w:hAnsi="Book Antiqua" w:cs="Book Antiqua" w:hint="eastAsia"/>
          <w:color w:val="000000"/>
          <w:lang w:eastAsia="zh-CN"/>
        </w:rPr>
        <w:t xml:space="preserve">Province, </w:t>
      </w:r>
      <w:r w:rsidRPr="00807BCB">
        <w:rPr>
          <w:rFonts w:ascii="Book Antiqua" w:eastAsia="Book Antiqua" w:hAnsi="Book Antiqua" w:cs="Book Antiqua"/>
          <w:color w:val="000000"/>
        </w:rPr>
        <w:t>China. hzwangcl@zju.edu.cn</w:t>
      </w:r>
    </w:p>
    <w:p w14:paraId="43FEFB7D" w14:textId="77777777" w:rsidR="005105FB" w:rsidRPr="00807BCB" w:rsidRDefault="005105FB">
      <w:pPr>
        <w:spacing w:line="360" w:lineRule="auto"/>
        <w:jc w:val="both"/>
        <w:rPr>
          <w:rFonts w:ascii="Book Antiqua" w:hAnsi="Book Antiqua"/>
        </w:rPr>
      </w:pPr>
    </w:p>
    <w:p w14:paraId="2802B47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Received: </w:t>
      </w:r>
      <w:r w:rsidRPr="00807BCB">
        <w:rPr>
          <w:rFonts w:ascii="Book Antiqua" w:eastAsia="Book Antiqua" w:hAnsi="Book Antiqua" w:cs="Book Antiqua"/>
          <w:color w:val="000000"/>
        </w:rPr>
        <w:t>November 13, 2021</w:t>
      </w:r>
    </w:p>
    <w:p w14:paraId="0AD11837"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Revised: </w:t>
      </w:r>
      <w:r w:rsidRPr="00807BCB">
        <w:rPr>
          <w:rFonts w:ascii="Book Antiqua" w:hAnsi="Book Antiqua"/>
        </w:rPr>
        <w:t>March 25, 2022</w:t>
      </w:r>
    </w:p>
    <w:p w14:paraId="129A9C32"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Accepted: </w:t>
      </w:r>
      <w:r w:rsidRPr="00807BCB">
        <w:rPr>
          <w:rFonts w:ascii="Book Antiqua" w:eastAsia="Book Antiqua" w:hAnsi="Book Antiqua" w:cs="Book Antiqua"/>
          <w:color w:val="000000"/>
        </w:rPr>
        <w:t>April 22, 2022</w:t>
      </w:r>
    </w:p>
    <w:p w14:paraId="5066F611" w14:textId="77777777" w:rsidR="005105FB" w:rsidRPr="00807BCB" w:rsidRDefault="00A36158">
      <w:pPr>
        <w:spacing w:line="360" w:lineRule="auto"/>
        <w:jc w:val="both"/>
        <w:rPr>
          <w:rFonts w:ascii="Book Antiqua" w:eastAsia="宋体" w:hAnsi="Book Antiqua"/>
          <w:lang w:eastAsia="zh-CN"/>
        </w:rPr>
      </w:pPr>
      <w:r w:rsidRPr="00807BCB">
        <w:rPr>
          <w:rFonts w:ascii="Book Antiqua" w:eastAsia="Book Antiqua" w:hAnsi="Book Antiqua" w:cs="Book Antiqua"/>
          <w:b/>
          <w:bCs/>
          <w:color w:val="000000"/>
        </w:rPr>
        <w:t xml:space="preserve">Published online: </w:t>
      </w:r>
      <w:r w:rsidRPr="00807BCB">
        <w:rPr>
          <w:rFonts w:ascii="Book Antiqua" w:eastAsia="宋体" w:hAnsi="Book Antiqua" w:cs="Book Antiqua" w:hint="eastAsia"/>
          <w:color w:val="000000"/>
          <w:lang w:eastAsia="zh-CN"/>
        </w:rPr>
        <w:t>June 26,2022</w:t>
      </w:r>
    </w:p>
    <w:p w14:paraId="18FAC418" w14:textId="77777777" w:rsidR="005105FB" w:rsidRPr="00807BCB" w:rsidRDefault="005105FB">
      <w:pPr>
        <w:spacing w:line="360" w:lineRule="auto"/>
        <w:jc w:val="both"/>
        <w:rPr>
          <w:rFonts w:ascii="Book Antiqua" w:hAnsi="Book Antiqua"/>
        </w:rPr>
        <w:sectPr w:rsidR="005105FB" w:rsidRPr="00807BCB">
          <w:footerReference w:type="default" r:id="rId6"/>
          <w:pgSz w:w="12240" w:h="15840"/>
          <w:pgMar w:top="1440" w:right="1440" w:bottom="1440" w:left="1440" w:header="720" w:footer="720" w:gutter="0"/>
          <w:cols w:space="720"/>
          <w:docGrid w:linePitch="360"/>
        </w:sectPr>
      </w:pPr>
    </w:p>
    <w:p w14:paraId="67417EFE"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lastRenderedPageBreak/>
        <w:t>Abstract</w:t>
      </w:r>
    </w:p>
    <w:p w14:paraId="56B1D1E7"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BACKGROUND</w:t>
      </w:r>
    </w:p>
    <w:p w14:paraId="7ECE7FE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Craniopharyngioma</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is a benign tumor that usually develops in children; however, it is located in the center and close to sensitive structures, such as the pituitary gland and hypothalamus. As the hypothalamus plays a crucial role in the homeostasis of anterior pituitary hormone synthesis, damage to the hypothalamus leads to multiple pituitary hormone deficiencies and non-alcoholic fatty liver disease, including hepatopulmonary syndrome</w:t>
      </w:r>
      <w:r w:rsidRPr="00807BCB">
        <w:rPr>
          <w:rFonts w:ascii="Book Antiqua" w:hAnsi="Book Antiqua" w:cs="Book Antiqua" w:hint="eastAsia"/>
          <w:color w:val="000000"/>
          <w:lang w:eastAsia="zh-CN"/>
        </w:rPr>
        <w:t xml:space="preserve"> (HPS)</w:t>
      </w:r>
      <w:r w:rsidRPr="00807BCB">
        <w:rPr>
          <w:rFonts w:ascii="Book Antiqua" w:eastAsia="Book Antiqua" w:hAnsi="Book Antiqua" w:cs="Book Antiqua"/>
          <w:color w:val="000000"/>
        </w:rPr>
        <w:t xml:space="preserve">. </w:t>
      </w:r>
      <w:r w:rsidRPr="00807BCB">
        <w:rPr>
          <w:rFonts w:ascii="Book Antiqua" w:hAnsi="Book Antiqua" w:cs="Book Antiqua" w:hint="eastAsia"/>
          <w:color w:val="000000"/>
          <w:lang w:eastAsia="zh-CN"/>
        </w:rPr>
        <w:t xml:space="preserve">HPS </w:t>
      </w:r>
      <w:r w:rsidRPr="00807BCB">
        <w:rPr>
          <w:rFonts w:ascii="Book Antiqua" w:eastAsia="Book Antiqua" w:hAnsi="Book Antiqua" w:cs="Book Antiqua"/>
          <w:color w:val="000000"/>
        </w:rPr>
        <w:t>has limited treatment and poor prognosis.</w:t>
      </w:r>
    </w:p>
    <w:p w14:paraId="530CC955" w14:textId="77777777" w:rsidR="005105FB" w:rsidRPr="00807BCB" w:rsidRDefault="005105FB">
      <w:pPr>
        <w:spacing w:line="360" w:lineRule="auto"/>
        <w:jc w:val="both"/>
        <w:rPr>
          <w:rFonts w:ascii="Book Antiqua" w:hAnsi="Book Antiqua"/>
        </w:rPr>
      </w:pPr>
    </w:p>
    <w:p w14:paraId="2C949F9E"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CASE SUMMARY</w:t>
      </w:r>
    </w:p>
    <w:p w14:paraId="5CBC2CC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A girl aged 13 years and 6 mo underwent surgery for craniopharyngioma 6 years prior. Right craniotomy was performed with total resection </w:t>
      </w:r>
      <w:r w:rsidRPr="00807BCB">
        <w:rPr>
          <w:rFonts w:ascii="Book Antiqua" w:eastAsia="Book Antiqua" w:hAnsi="Book Antiqua" w:cs="Book Antiqua"/>
          <w:i/>
          <w:iCs/>
          <w:color w:val="000000"/>
        </w:rPr>
        <w:t>via</w:t>
      </w:r>
      <w:r w:rsidRPr="00807BCB">
        <w:rPr>
          <w:rFonts w:ascii="Book Antiqua" w:eastAsia="Book Antiqua" w:hAnsi="Book Antiqua" w:cs="Book Antiqua"/>
          <w:color w:val="000000"/>
        </w:rPr>
        <w:t xml:space="preserve"> the corpus callosum approach, and the tumor at the base was approximately 3.5 cm</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 3.5 cm</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 4.0</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cm. At 1 year postoperatively, she exhibited abdominal distension and weakness, and the laboratory tests revealed fatty liver disease.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Thereafter, she had not visited the outpatient clinic for 2 years.</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Two years ago, she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developed decreased activity endurance, severe cyanosis, chest tightness, wheezing, and intermittent and recurrent low fever after mild physical labor. Hepatobiliary ultrasonography, liver biopsy, and contrast echocardiography of the right heart</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 xml:space="preserve">showed cirrhosis and multiple pituitary hormone deficiencies, indicating </w:t>
      </w:r>
      <w:r w:rsidRPr="00807BCB">
        <w:rPr>
          <w:rFonts w:ascii="Book Antiqua" w:hAnsi="Book Antiqua" w:cs="Book Antiqua" w:hint="eastAsia"/>
          <w:color w:val="000000"/>
          <w:lang w:eastAsia="zh-CN"/>
        </w:rPr>
        <w:t>HPS</w:t>
      </w:r>
      <w:r w:rsidRPr="00807BCB">
        <w:rPr>
          <w:rFonts w:ascii="Book Antiqua" w:eastAsia="Book Antiqua" w:hAnsi="Book Antiqua" w:cs="Book Antiqua"/>
          <w:color w:val="000000"/>
        </w:rPr>
        <w:t>.</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After 1 year of treatment with recombinant human growth hormone, the liver function and oxygenation improved; she did not undergo liver transplantation.</w:t>
      </w:r>
    </w:p>
    <w:p w14:paraId="3A0F2AA8" w14:textId="77777777" w:rsidR="005105FB" w:rsidRPr="00807BCB" w:rsidRDefault="005105FB">
      <w:pPr>
        <w:spacing w:line="360" w:lineRule="auto"/>
        <w:jc w:val="both"/>
        <w:rPr>
          <w:rFonts w:ascii="Book Antiqua" w:hAnsi="Book Antiqua"/>
        </w:rPr>
      </w:pPr>
    </w:p>
    <w:p w14:paraId="72E450B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CONCLUSION</w:t>
      </w:r>
    </w:p>
    <w:p w14:paraId="3BFA371B"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Craniopharyngioma surgery can easily cause hypopituitarism, which can lead to nonalcoholic steatohepatitis and </w:t>
      </w:r>
      <w:r w:rsidRPr="00807BCB">
        <w:rPr>
          <w:rFonts w:ascii="Book Antiqua" w:hAnsi="Book Antiqua" w:cs="Book Antiqua" w:hint="eastAsia"/>
          <w:color w:val="000000"/>
          <w:lang w:eastAsia="zh-CN"/>
        </w:rPr>
        <w:t>HPS</w:t>
      </w:r>
      <w:r w:rsidRPr="00807BCB">
        <w:rPr>
          <w:rFonts w:ascii="Book Antiqua" w:eastAsia="Book Antiqua" w:hAnsi="Book Antiqua" w:cs="Book Antiqua"/>
          <w:color w:val="000000"/>
        </w:rPr>
        <w:t xml:space="preserve"> in children. Early growth hormone therapy is important to improve the prognosis of these diseases.</w:t>
      </w:r>
    </w:p>
    <w:p w14:paraId="0920D590" w14:textId="77777777" w:rsidR="005105FB" w:rsidRPr="00807BCB" w:rsidRDefault="005105FB">
      <w:pPr>
        <w:spacing w:line="360" w:lineRule="auto"/>
        <w:jc w:val="both"/>
        <w:rPr>
          <w:rFonts w:ascii="Book Antiqua" w:hAnsi="Book Antiqua"/>
        </w:rPr>
      </w:pPr>
    </w:p>
    <w:p w14:paraId="4BADA51E" w14:textId="77777777" w:rsidR="005105FB" w:rsidRPr="00807BCB" w:rsidRDefault="00A36158">
      <w:pPr>
        <w:spacing w:line="360" w:lineRule="auto"/>
        <w:jc w:val="both"/>
        <w:rPr>
          <w:rFonts w:ascii="Book Antiqua" w:hAnsi="Book Antiqua"/>
          <w:lang w:eastAsia="zh-CN"/>
        </w:rPr>
      </w:pPr>
      <w:r w:rsidRPr="00807BCB">
        <w:rPr>
          <w:rFonts w:ascii="Book Antiqua" w:eastAsia="Book Antiqua" w:hAnsi="Book Antiqua" w:cs="Book Antiqua"/>
          <w:b/>
          <w:bCs/>
          <w:color w:val="000000"/>
        </w:rPr>
        <w:t xml:space="preserve">Key Words: </w:t>
      </w:r>
      <w:r w:rsidRPr="00807BCB">
        <w:rPr>
          <w:rFonts w:ascii="Book Antiqua" w:hAnsi="Book Antiqua" w:cs="Book Antiqua" w:hint="eastAsia"/>
          <w:color w:val="000000"/>
          <w:lang w:eastAsia="zh-CN"/>
        </w:rPr>
        <w:t>C</w:t>
      </w:r>
      <w:r w:rsidRPr="00807BCB">
        <w:rPr>
          <w:rFonts w:ascii="Book Antiqua" w:eastAsia="Book Antiqua" w:hAnsi="Book Antiqua" w:cs="Book Antiqua"/>
          <w:color w:val="000000"/>
        </w:rPr>
        <w:t xml:space="preserve">raniopharyngioma; </w:t>
      </w:r>
      <w:r w:rsidRPr="00807BCB">
        <w:rPr>
          <w:rFonts w:ascii="Book Antiqua" w:hAnsi="Book Antiqua" w:cs="Book Antiqua" w:hint="eastAsia"/>
          <w:color w:val="000000"/>
          <w:lang w:eastAsia="zh-CN"/>
        </w:rPr>
        <w:t>N</w:t>
      </w:r>
      <w:r w:rsidRPr="00807BCB">
        <w:rPr>
          <w:rFonts w:ascii="Book Antiqua" w:eastAsia="Book Antiqua" w:hAnsi="Book Antiqua" w:cs="Book Antiqua"/>
          <w:color w:val="000000"/>
        </w:rPr>
        <w:t xml:space="preserve">onalcoholic fatty liver disease; </w:t>
      </w:r>
      <w:r w:rsidRPr="00807BCB">
        <w:rPr>
          <w:rFonts w:ascii="Book Antiqua" w:hAnsi="Book Antiqua" w:cs="Book Antiqua" w:hint="eastAsia"/>
          <w:color w:val="000000"/>
          <w:lang w:eastAsia="zh-CN"/>
        </w:rPr>
        <w:t>H</w:t>
      </w:r>
      <w:r w:rsidRPr="00807BCB">
        <w:rPr>
          <w:rFonts w:ascii="Book Antiqua" w:eastAsia="Book Antiqua" w:hAnsi="Book Antiqua" w:cs="Book Antiqua"/>
          <w:color w:val="000000"/>
        </w:rPr>
        <w:t xml:space="preserve">ypopituitarism; </w:t>
      </w:r>
      <w:r w:rsidRPr="00807BCB">
        <w:rPr>
          <w:rFonts w:ascii="Book Antiqua" w:hAnsi="Book Antiqua" w:cs="Book Antiqua" w:hint="eastAsia"/>
          <w:color w:val="000000"/>
          <w:lang w:eastAsia="zh-CN"/>
        </w:rPr>
        <w:t>H</w:t>
      </w:r>
      <w:r w:rsidRPr="00807BCB">
        <w:rPr>
          <w:rFonts w:ascii="Book Antiqua" w:eastAsia="Book Antiqua" w:hAnsi="Book Antiqua" w:cs="Book Antiqua"/>
          <w:color w:val="000000"/>
        </w:rPr>
        <w:t xml:space="preserve">epatopulmonary syndrome; </w:t>
      </w:r>
      <w:r w:rsidRPr="00807BCB">
        <w:rPr>
          <w:rFonts w:ascii="Book Antiqua" w:hAnsi="Book Antiqua" w:cs="Book Antiqua" w:hint="eastAsia"/>
          <w:color w:val="000000"/>
          <w:lang w:eastAsia="zh-CN"/>
        </w:rPr>
        <w:t>G</w:t>
      </w:r>
      <w:r w:rsidRPr="00807BCB">
        <w:rPr>
          <w:rFonts w:ascii="Book Antiqua" w:eastAsia="Book Antiqua" w:hAnsi="Book Antiqua" w:cs="Book Antiqua"/>
          <w:color w:val="000000"/>
        </w:rPr>
        <w:t xml:space="preserve">rowth hormone; </w:t>
      </w:r>
      <w:r w:rsidRPr="00807BCB">
        <w:rPr>
          <w:rFonts w:ascii="Book Antiqua" w:hAnsi="Book Antiqua" w:cs="Book Antiqua" w:hint="eastAsia"/>
          <w:color w:val="000000"/>
          <w:lang w:eastAsia="zh-CN"/>
        </w:rPr>
        <w:t>C</w:t>
      </w:r>
      <w:r w:rsidRPr="00807BCB">
        <w:rPr>
          <w:rFonts w:ascii="Book Antiqua" w:eastAsia="Book Antiqua" w:hAnsi="Book Antiqua" w:cs="Book Antiqua"/>
          <w:color w:val="000000"/>
        </w:rPr>
        <w:t>hildren</w:t>
      </w:r>
      <w:r w:rsidRPr="00807BCB">
        <w:rPr>
          <w:rFonts w:ascii="Book Antiqua" w:hAnsi="Book Antiqua" w:cs="Book Antiqua" w:hint="eastAsia"/>
          <w:color w:val="000000"/>
          <w:lang w:eastAsia="zh-CN"/>
        </w:rPr>
        <w:t>; Case report</w:t>
      </w:r>
    </w:p>
    <w:p w14:paraId="5FA44564" w14:textId="77777777" w:rsidR="005105FB" w:rsidRPr="00807BCB" w:rsidRDefault="005105FB">
      <w:pPr>
        <w:spacing w:line="360" w:lineRule="auto"/>
        <w:jc w:val="both"/>
        <w:rPr>
          <w:rFonts w:ascii="Book Antiqua" w:hAnsi="Book Antiqua"/>
        </w:rPr>
      </w:pPr>
    </w:p>
    <w:p w14:paraId="1F506AC2" w14:textId="77777777" w:rsidR="00F65BF9" w:rsidRPr="00807BCB" w:rsidRDefault="00F65BF9" w:rsidP="00F65BF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807BCB">
        <w:rPr>
          <w:rFonts w:ascii="Book Antiqua" w:eastAsia="Book Antiqua" w:hAnsi="Book Antiqua" w:cs="Book Antiqua" w:hint="eastAsia"/>
          <w:b/>
          <w:color w:val="000000"/>
        </w:rPr>
        <w:t>©</w:t>
      </w:r>
      <w:r w:rsidRPr="00807BCB">
        <w:rPr>
          <w:rFonts w:ascii="Book Antiqua" w:eastAsia="Book Antiqua" w:hAnsi="Book Antiqua" w:cs="Book Antiqua"/>
          <w:b/>
          <w:color w:val="000000"/>
        </w:rPr>
        <w:t>The</w:t>
      </w:r>
      <w:r w:rsidRPr="00807BCB">
        <w:rPr>
          <w:rFonts w:ascii="Book Antiqua" w:eastAsia="Book Antiqua" w:hAnsi="Book Antiqua" w:cs="Book Antiqua"/>
          <w:color w:val="000000"/>
        </w:rPr>
        <w:t xml:space="preserve"> </w:t>
      </w:r>
      <w:r w:rsidRPr="00807BCB">
        <w:rPr>
          <w:rFonts w:ascii="Book Antiqua" w:eastAsia="Book Antiqua" w:hAnsi="Book Antiqua" w:cs="Book Antiqua"/>
          <w:b/>
          <w:color w:val="000000"/>
        </w:rPr>
        <w:t xml:space="preserve">Author(s) 2022. </w:t>
      </w:r>
      <w:r w:rsidRPr="00807BCB">
        <w:rPr>
          <w:rFonts w:ascii="Book Antiqua" w:eastAsia="Book Antiqua" w:hAnsi="Book Antiqua" w:cs="Book Antiqua"/>
          <w:color w:val="000000"/>
        </w:rPr>
        <w:t>Published by Baishideng Publishing Group Inc. All rights reserved.</w:t>
      </w:r>
      <w:bookmarkEnd w:id="0"/>
      <w:r w:rsidRPr="00807BCB">
        <w:rPr>
          <w:rFonts w:ascii="Book Antiqua" w:eastAsia="Book Antiqua" w:hAnsi="Book Antiqua" w:cs="Book Antiqua"/>
          <w:color w:val="000000"/>
        </w:rPr>
        <w:t xml:space="preserve"> </w:t>
      </w:r>
    </w:p>
    <w:bookmarkEnd w:id="1"/>
    <w:p w14:paraId="6B1C5F1A" w14:textId="77777777" w:rsidR="00F65BF9" w:rsidRPr="00807BCB" w:rsidRDefault="00F65BF9" w:rsidP="00F65BF9">
      <w:pPr>
        <w:spacing w:line="360" w:lineRule="auto"/>
        <w:jc w:val="both"/>
        <w:rPr>
          <w:lang w:eastAsia="zh-CN"/>
        </w:rPr>
      </w:pPr>
    </w:p>
    <w:p w14:paraId="67F640C8" w14:textId="2B187E73" w:rsidR="00F65BF9" w:rsidRPr="00807BCB" w:rsidRDefault="00F65BF9" w:rsidP="00F65BF9">
      <w:pPr>
        <w:spacing w:line="360" w:lineRule="auto"/>
        <w:jc w:val="both"/>
        <w:rPr>
          <w:rFonts w:ascii="Book Antiqua" w:eastAsia="Book Antiqua" w:hAnsi="Book Antiqua" w:cs="Book Antiqua"/>
          <w:color w:val="000000"/>
        </w:rPr>
      </w:pPr>
      <w:bookmarkStart w:id="4" w:name="_Hlk88512899"/>
      <w:bookmarkStart w:id="5" w:name="_Hlk88512352"/>
      <w:bookmarkEnd w:id="2"/>
      <w:r w:rsidRPr="00807BCB">
        <w:rPr>
          <w:rFonts w:ascii="Book Antiqua" w:hAnsi="Book Antiqua" w:cs="Book Antiqua" w:hint="eastAsia"/>
          <w:b/>
          <w:color w:val="000000"/>
          <w:lang w:eastAsia="zh-CN"/>
        </w:rPr>
        <w:t>Citation:</w:t>
      </w:r>
      <w:bookmarkEnd w:id="3"/>
      <w:bookmarkEnd w:id="4"/>
      <w:r w:rsidRPr="00807BCB">
        <w:rPr>
          <w:rFonts w:ascii="Book Antiqua" w:hAnsi="Book Antiqua" w:cs="Book Antiqua" w:hint="eastAsia"/>
          <w:color w:val="000000"/>
          <w:lang w:eastAsia="zh-CN"/>
        </w:rPr>
        <w:t xml:space="preserve"> </w:t>
      </w:r>
      <w:bookmarkEnd w:id="5"/>
      <w:r w:rsidR="00A36158" w:rsidRPr="00807BCB">
        <w:rPr>
          <w:rFonts w:ascii="Book Antiqua" w:eastAsia="Book Antiqua" w:hAnsi="Book Antiqua" w:cs="Book Antiqua"/>
          <w:color w:val="000000"/>
        </w:rPr>
        <w:t>Zhang XY, Yuan K, Fang YL, Wang CL. Growth hormone ameliorates hepatopulmonary syndrome and nonalcoholic steatohepatitis secondary to hypopituitarism in a child</w:t>
      </w:r>
      <w:r w:rsidR="00A36158" w:rsidRPr="00807BCB">
        <w:rPr>
          <w:rFonts w:ascii="Book Antiqua" w:hAnsi="Book Antiqua" w:cs="Book Antiqua" w:hint="eastAsia"/>
          <w:color w:val="000000"/>
          <w:lang w:eastAsia="zh-CN"/>
        </w:rPr>
        <w:t>: A case report</w:t>
      </w:r>
      <w:r w:rsidR="00A36158" w:rsidRPr="00807BCB">
        <w:rPr>
          <w:rFonts w:ascii="Book Antiqua" w:eastAsia="Book Antiqua" w:hAnsi="Book Antiqua" w:cs="Book Antiqua"/>
          <w:color w:val="000000"/>
        </w:rPr>
        <w:t xml:space="preserve">. </w:t>
      </w:r>
      <w:r w:rsidR="00A36158" w:rsidRPr="00807BCB">
        <w:rPr>
          <w:rFonts w:ascii="Book Antiqua" w:eastAsia="Book Antiqua" w:hAnsi="Book Antiqua" w:cs="Book Antiqua"/>
          <w:i/>
          <w:iCs/>
          <w:color w:val="000000"/>
        </w:rPr>
        <w:t>World J Clin Cases</w:t>
      </w:r>
      <w:r w:rsidR="00A36158" w:rsidRPr="00807BCB">
        <w:rPr>
          <w:rFonts w:ascii="Book Antiqua" w:eastAsia="Book Antiqua" w:hAnsi="Book Antiqua" w:cs="Book Antiqua"/>
          <w:color w:val="000000"/>
        </w:rPr>
        <w:t xml:space="preserve"> 2022; </w:t>
      </w:r>
      <w:r w:rsidR="00A36158" w:rsidRPr="00807BCB">
        <w:rPr>
          <w:rFonts w:ascii="Book Antiqua" w:eastAsia="Book Antiqua" w:hAnsi="Book Antiqua" w:cs="Book Antiqua" w:hint="eastAsia"/>
          <w:color w:val="000000"/>
        </w:rPr>
        <w:t xml:space="preserve">10(18): </w:t>
      </w:r>
      <w:r w:rsidRPr="00807BCB">
        <w:rPr>
          <w:rFonts w:ascii="Book Antiqua" w:eastAsia="Book Antiqua" w:hAnsi="Book Antiqua" w:cs="Book Antiqua"/>
          <w:color w:val="000000"/>
        </w:rPr>
        <w:t>6211</w:t>
      </w:r>
      <w:r w:rsidR="00A36158" w:rsidRPr="00807BCB">
        <w:rPr>
          <w:rFonts w:ascii="Book Antiqua" w:eastAsia="Book Antiqua" w:hAnsi="Book Antiqua" w:cs="Book Antiqua" w:hint="eastAsia"/>
          <w:color w:val="000000"/>
        </w:rPr>
        <w:t>-</w:t>
      </w:r>
      <w:r w:rsidRPr="00807BCB">
        <w:rPr>
          <w:rFonts w:ascii="Book Antiqua" w:eastAsia="Book Antiqua" w:hAnsi="Book Antiqua" w:cs="Book Antiqua"/>
          <w:color w:val="000000"/>
        </w:rPr>
        <w:t>6217</w:t>
      </w:r>
    </w:p>
    <w:p w14:paraId="3F594552" w14:textId="1FBFAC24" w:rsidR="00F65BF9" w:rsidRPr="00807BCB" w:rsidRDefault="00A36158" w:rsidP="00F65BF9">
      <w:pPr>
        <w:spacing w:line="360" w:lineRule="auto"/>
        <w:jc w:val="both"/>
        <w:rPr>
          <w:rFonts w:ascii="Book Antiqua" w:eastAsia="Book Antiqua" w:hAnsi="Book Antiqua" w:cs="Book Antiqua"/>
          <w:color w:val="000000"/>
        </w:rPr>
      </w:pPr>
      <w:r w:rsidRPr="00807BCB">
        <w:rPr>
          <w:rFonts w:ascii="Book Antiqua" w:eastAsia="Book Antiqua" w:hAnsi="Book Antiqua" w:cs="Book Antiqua" w:hint="eastAsia"/>
          <w:b/>
          <w:bCs/>
          <w:color w:val="000000"/>
        </w:rPr>
        <w:t>URL:</w:t>
      </w:r>
      <w:r w:rsidRPr="00807BCB">
        <w:rPr>
          <w:rFonts w:ascii="Book Antiqua" w:eastAsia="Book Antiqua" w:hAnsi="Book Antiqua" w:cs="Book Antiqua" w:hint="eastAsia"/>
          <w:color w:val="000000"/>
        </w:rPr>
        <w:t xml:space="preserve"> </w:t>
      </w:r>
      <w:hyperlink r:id="rId7" w:history="1">
        <w:r w:rsidR="00F65BF9" w:rsidRPr="00807BCB">
          <w:rPr>
            <w:rStyle w:val="af"/>
            <w:rFonts w:ascii="Book Antiqua" w:eastAsia="Book Antiqua" w:hAnsi="Book Antiqua" w:cs="Book Antiqua" w:hint="eastAsia"/>
          </w:rPr>
          <w:t>https://www.wjgnet.com/2307-8960/full/v10/i18/</w:t>
        </w:r>
        <w:r w:rsidR="00F65BF9" w:rsidRPr="00807BCB">
          <w:rPr>
            <w:rStyle w:val="af"/>
            <w:rFonts w:ascii="Book Antiqua" w:eastAsia="Book Antiqua" w:hAnsi="Book Antiqua" w:cs="Book Antiqua"/>
          </w:rPr>
          <w:t>6211</w:t>
        </w:r>
        <w:r w:rsidR="00F65BF9" w:rsidRPr="00807BCB">
          <w:rPr>
            <w:rStyle w:val="af"/>
            <w:rFonts w:ascii="Book Antiqua" w:eastAsia="Book Antiqua" w:hAnsi="Book Antiqua" w:cs="Book Antiqua" w:hint="eastAsia"/>
          </w:rPr>
          <w:t>.htm</w:t>
        </w:r>
      </w:hyperlink>
    </w:p>
    <w:p w14:paraId="3C06F0D5" w14:textId="16997A34" w:rsidR="005105FB" w:rsidRPr="00807BCB" w:rsidRDefault="00A36158" w:rsidP="00F65BF9">
      <w:pPr>
        <w:spacing w:line="360" w:lineRule="auto"/>
        <w:jc w:val="both"/>
        <w:rPr>
          <w:rFonts w:ascii="Book Antiqua" w:eastAsia="Book Antiqua" w:hAnsi="Book Antiqua" w:cs="Book Antiqua"/>
          <w:color w:val="000000"/>
        </w:rPr>
      </w:pPr>
      <w:r w:rsidRPr="00807BCB">
        <w:rPr>
          <w:rFonts w:ascii="Book Antiqua" w:eastAsia="Book Antiqua" w:hAnsi="Book Antiqua" w:cs="Book Antiqua" w:hint="eastAsia"/>
          <w:b/>
          <w:bCs/>
          <w:color w:val="000000"/>
        </w:rPr>
        <w:t>DOI:</w:t>
      </w:r>
      <w:r w:rsidRPr="00807BCB">
        <w:rPr>
          <w:rFonts w:ascii="Book Antiqua" w:eastAsia="Book Antiqua" w:hAnsi="Book Antiqua" w:cs="Book Antiqua" w:hint="eastAsia"/>
          <w:color w:val="000000"/>
        </w:rPr>
        <w:t xml:space="preserve"> https://dx.doi.org/10.12998/wjcc.v10.i18.</w:t>
      </w:r>
      <w:r w:rsidR="00F65BF9" w:rsidRPr="00807BCB">
        <w:rPr>
          <w:rFonts w:ascii="Book Antiqua" w:eastAsia="Book Antiqua" w:hAnsi="Book Antiqua" w:cs="Book Antiqua"/>
          <w:color w:val="000000"/>
        </w:rPr>
        <w:t>6211</w:t>
      </w:r>
    </w:p>
    <w:p w14:paraId="7151FD9B" w14:textId="77777777" w:rsidR="005105FB" w:rsidRPr="00807BCB" w:rsidRDefault="005105FB">
      <w:pPr>
        <w:spacing w:line="360" w:lineRule="auto"/>
        <w:jc w:val="both"/>
        <w:rPr>
          <w:rFonts w:ascii="Book Antiqua" w:hAnsi="Book Antiqua"/>
        </w:rPr>
      </w:pPr>
    </w:p>
    <w:p w14:paraId="717B2887" w14:textId="77777777" w:rsidR="005105FB" w:rsidRPr="00807BCB" w:rsidRDefault="005105FB">
      <w:pPr>
        <w:spacing w:line="360" w:lineRule="auto"/>
        <w:jc w:val="both"/>
        <w:rPr>
          <w:rFonts w:ascii="Book Antiqua" w:hAnsi="Book Antiqua"/>
        </w:rPr>
      </w:pPr>
    </w:p>
    <w:p w14:paraId="1CCEC1C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Core Tip: </w:t>
      </w:r>
      <w:r w:rsidRPr="00807BCB">
        <w:rPr>
          <w:rFonts w:ascii="Book Antiqua" w:eastAsia="Book Antiqua" w:hAnsi="Book Antiqua" w:cs="Book Antiqua"/>
          <w:color w:val="000000"/>
        </w:rPr>
        <w:t>Hepatopulmonary syndrome</w:t>
      </w:r>
      <w:r w:rsidRPr="00807BCB">
        <w:rPr>
          <w:rFonts w:ascii="Book Antiqua" w:hAnsi="Book Antiqua" w:cs="Book Antiqua" w:hint="eastAsia"/>
          <w:color w:val="000000"/>
          <w:lang w:eastAsia="zh-CN"/>
        </w:rPr>
        <w:t xml:space="preserve"> (HPS)</w:t>
      </w:r>
      <w:r w:rsidRPr="00807BCB">
        <w:rPr>
          <w:rFonts w:ascii="Book Antiqua" w:eastAsia="Book Antiqua" w:hAnsi="Book Antiqua" w:cs="Book Antiqua"/>
          <w:color w:val="000000"/>
        </w:rPr>
        <w:t xml:space="preserve"> is a serious complication of chronic liver disease with a poor prognosis. Currently, liver transplantation is the only available treatment; however, severe hypoxemia before transplantation is a high risk factor for postoperative death. We present a case of postoperative craniopharyngioma in a child with nonalcoholic steatohepatitis and </w:t>
      </w:r>
      <w:r w:rsidRPr="00807BCB">
        <w:rPr>
          <w:rFonts w:ascii="Book Antiqua" w:hAnsi="Book Antiqua" w:cs="Book Antiqua" w:hint="eastAsia"/>
          <w:color w:val="000000"/>
          <w:lang w:eastAsia="zh-CN"/>
        </w:rPr>
        <w:t>HPS</w:t>
      </w:r>
      <w:r w:rsidRPr="00807BCB">
        <w:rPr>
          <w:rFonts w:ascii="Book Antiqua" w:eastAsia="Book Antiqua" w:hAnsi="Book Antiqua" w:cs="Book Antiqua"/>
          <w:color w:val="000000"/>
        </w:rPr>
        <w:t xml:space="preserve"> secondary to hypopituitarism. The patient’s liver function and hypoxemia were improved by growth hormone replacement therapy, and liver transplantation was expected to be avoided.</w:t>
      </w:r>
    </w:p>
    <w:p w14:paraId="42EB9C38" w14:textId="77777777" w:rsidR="005105FB" w:rsidRPr="00807BCB" w:rsidRDefault="005105FB">
      <w:pPr>
        <w:spacing w:line="360" w:lineRule="auto"/>
        <w:jc w:val="both"/>
        <w:rPr>
          <w:rFonts w:ascii="Book Antiqua" w:hAnsi="Book Antiqua"/>
        </w:rPr>
      </w:pPr>
    </w:p>
    <w:p w14:paraId="63D4F665"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aps/>
          <w:color w:val="000000"/>
          <w:u w:val="single"/>
        </w:rPr>
        <w:t>INTRODUCTION</w:t>
      </w:r>
    </w:p>
    <w:p w14:paraId="7BFD69A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Nonalcoholic steatohepatitis and hepatopulmonary syndrome (HPS) are rare in children with secondary pituitary insufficiency after surgery for craniopharyngioma. Craniopharyngioma and treatment sequelae may lead to polypituitary insufficiency, which further affects the hormone secretion in the body. Endocrine diseases also</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cause nonalcoholic fatty liver disease (NAFLD)</w:t>
      </w:r>
      <w:r w:rsidRPr="00807BCB">
        <w:rPr>
          <w:rFonts w:ascii="Book Antiqua" w:eastAsia="Book Antiqua" w:hAnsi="Book Antiqua" w:cs="Book Antiqua"/>
          <w:color w:val="000000"/>
          <w:vertAlign w:val="superscript"/>
        </w:rPr>
        <w:t>[1]</w:t>
      </w:r>
      <w:r w:rsidRPr="00807BCB">
        <w:rPr>
          <w:rFonts w:ascii="Book Antiqua" w:eastAsia="Book Antiqua" w:hAnsi="Book Antiqua" w:cs="Book Antiqua"/>
          <w:color w:val="000000"/>
        </w:rPr>
        <w:t>. This report aims to further elucidate the clinical characteristics of nonalcoholic steatohepatitis (NASH) and HPS caused by hypothalamic-pituitary dysfunction after surgery for craniopharyngioma</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and the improvement of this disease after hormone replacement therapy, which has great significance in the clinical prognosis.</w:t>
      </w:r>
    </w:p>
    <w:p w14:paraId="43CB8AF4" w14:textId="77777777" w:rsidR="005105FB" w:rsidRPr="00807BCB" w:rsidRDefault="005105FB">
      <w:pPr>
        <w:spacing w:line="360" w:lineRule="auto"/>
        <w:jc w:val="both"/>
        <w:rPr>
          <w:rFonts w:ascii="Book Antiqua" w:hAnsi="Book Antiqua"/>
        </w:rPr>
      </w:pPr>
    </w:p>
    <w:p w14:paraId="729E979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aps/>
          <w:color w:val="000000"/>
          <w:u w:val="single"/>
        </w:rPr>
        <w:lastRenderedPageBreak/>
        <w:t>CASE PRESENTATION</w:t>
      </w:r>
    </w:p>
    <w:p w14:paraId="49298937"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i/>
          <w:color w:val="000000"/>
        </w:rPr>
        <w:t>Chief complaints</w:t>
      </w:r>
    </w:p>
    <w:p w14:paraId="5981E06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The chief complaints were liver enlargement for 4 years, activity loss for 2 years, and cyanosis for more than 1 year.</w:t>
      </w:r>
    </w:p>
    <w:p w14:paraId="668B2FC0" w14:textId="77777777" w:rsidR="005105FB" w:rsidRPr="00807BCB" w:rsidRDefault="005105FB">
      <w:pPr>
        <w:spacing w:line="360" w:lineRule="auto"/>
        <w:jc w:val="both"/>
        <w:rPr>
          <w:rFonts w:ascii="Book Antiqua" w:hAnsi="Book Antiqua"/>
        </w:rPr>
      </w:pPr>
    </w:p>
    <w:p w14:paraId="04B3D283"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i/>
          <w:color w:val="000000"/>
        </w:rPr>
        <w:t>History of present illness</w:t>
      </w:r>
    </w:p>
    <w:p w14:paraId="019FA57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A female patient aged 13 years and 6 mo was diagnosed with craniopharyngioma 6 years prior and underwent surgical resection without postoperative hormone replacement therapy. She had weakness after the surgery, and multiple laboratory tests revealed hypernatremia</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and hyperchloremia. The maximum serum sodium level was 176 mmol/L, which was improved by infusion of glucose, and the lowest sodium level was reduced to approximately 155 mmol/L. Four years ago, abdominal distension due to liver enlargement was noted, and B-ultrasound examination suggested fatty liver disease.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The patient had severe cyanosis, chest tightness, wheezing, intermittent fever, and progressive exacerbation after mild physical labor for more than 1 year. Oxygen saturation fluctuated around 85% under high-flow oxygen inhalation. Hepatobiliary ultrasonography, liver biopsy, and contrast echocardiography of the right heart revealed cirrhosis and HPS.</w:t>
      </w:r>
    </w:p>
    <w:p w14:paraId="649A75DA" w14:textId="77777777" w:rsidR="005105FB" w:rsidRPr="00807BCB" w:rsidRDefault="005105FB">
      <w:pPr>
        <w:spacing w:line="360" w:lineRule="auto"/>
        <w:jc w:val="both"/>
        <w:rPr>
          <w:rFonts w:ascii="Book Antiqua" w:hAnsi="Book Antiqua"/>
        </w:rPr>
      </w:pPr>
    </w:p>
    <w:p w14:paraId="14A826EF"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i/>
          <w:color w:val="000000"/>
        </w:rPr>
        <w:t>History of past illness</w:t>
      </w:r>
    </w:p>
    <w:p w14:paraId="11EA4BA2"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The patient had no history of hypertension, diabetes, or heart disease. She had undergone surgery for craniopharyngioma 6 years ago.</w:t>
      </w:r>
    </w:p>
    <w:p w14:paraId="64645127" w14:textId="77777777" w:rsidR="005105FB" w:rsidRPr="00807BCB" w:rsidRDefault="005105FB">
      <w:pPr>
        <w:spacing w:line="360" w:lineRule="auto"/>
        <w:jc w:val="both"/>
        <w:rPr>
          <w:rFonts w:ascii="Book Antiqua" w:hAnsi="Book Antiqua"/>
        </w:rPr>
      </w:pPr>
    </w:p>
    <w:p w14:paraId="778A340F"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i/>
          <w:color w:val="000000"/>
        </w:rPr>
        <w:t>Personal and family history</w:t>
      </w:r>
    </w:p>
    <w:p w14:paraId="0BFC1D1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The patient was born to a G1P1 mother at full term.</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The patient’s parents are alive, healthy,</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and divorced. The patient does not have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siblings.</w:t>
      </w:r>
    </w:p>
    <w:p w14:paraId="61F39ACB" w14:textId="77777777" w:rsidR="005105FB" w:rsidRPr="00807BCB" w:rsidRDefault="005105FB">
      <w:pPr>
        <w:spacing w:line="360" w:lineRule="auto"/>
        <w:jc w:val="both"/>
        <w:rPr>
          <w:rFonts w:ascii="Book Antiqua" w:hAnsi="Book Antiqua"/>
        </w:rPr>
      </w:pPr>
    </w:p>
    <w:p w14:paraId="59864F7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i/>
          <w:color w:val="000000"/>
        </w:rPr>
        <w:t>Physical examination</w:t>
      </w:r>
    </w:p>
    <w:p w14:paraId="10A43DE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lastRenderedPageBreak/>
        <w:t>Under atmospheric inhalation, oxygen saturation (SpO</w:t>
      </w:r>
      <w:r w:rsidRPr="00807BCB">
        <w:rPr>
          <w:rFonts w:ascii="Book Antiqua" w:eastAsia="Book Antiqua" w:hAnsi="Book Antiqua" w:cs="Book Antiqua"/>
          <w:color w:val="000000"/>
          <w:vertAlign w:val="subscript"/>
        </w:rPr>
        <w:t>2</w:t>
      </w:r>
      <w:r w:rsidRPr="00807BCB">
        <w:rPr>
          <w:rFonts w:ascii="Book Antiqua" w:eastAsia="Book Antiqua" w:hAnsi="Book Antiqua" w:cs="Book Antiqua"/>
          <w:color w:val="000000"/>
        </w:rPr>
        <w:t>) mostly fluctuated at around 70%. Cyanosis of the face and lips</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was noted. The heart rate was 124 beats/min,</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respiration was 26 breaths/min, blood pressure was 96/46</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mmHg,</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height was 141.5</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cm (-2.5 SD), and weight was 41.85</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kg (-0.5 SD). The skin sclera did not have obvious yellow staining, and acanthosis nigricans was noted around the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neck</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and</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axillae. No abnormality was found during cardiopulmonary auscultation, and the abdomen was soft</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but enlarged with palpable spleen and liver. Examination of the nervous system was negative, double breasts were in stage B1, pubic hair was in stage PH1, and no axillary hair was found.</w:t>
      </w:r>
    </w:p>
    <w:p w14:paraId="07E7E2C6" w14:textId="77777777" w:rsidR="005105FB" w:rsidRPr="00807BCB" w:rsidRDefault="005105FB">
      <w:pPr>
        <w:spacing w:line="360" w:lineRule="auto"/>
        <w:jc w:val="both"/>
        <w:rPr>
          <w:rFonts w:ascii="Book Antiqua" w:hAnsi="Book Antiqua"/>
        </w:rPr>
      </w:pPr>
    </w:p>
    <w:p w14:paraId="65F37236"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i/>
          <w:color w:val="000000"/>
        </w:rPr>
        <w:t>Laboratory examinations</w:t>
      </w:r>
    </w:p>
    <w:p w14:paraId="477168DE"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The patient exhibited hypernatremia (serum sodium level, 167</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mmol/L; normal range, 135–145 mmol/L), mild</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liver</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function</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abnormality (alanine aminotransferase level, 67 U/L, normal range, 7–40 U/L; aspartate aminotransferase level, 93 U/L, normal range, 13–40 U/L; γ-glutamyltranspeptidase, 107 U/L, normal range, 7–45 U/L; total</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bilirubin</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level, 45.1 μmol/L, normal range, 0.0–21 μmol/L; total biliary acid level, 22.3 μmol/L, normal range, 0.0–10.0 μmol/L; indirect bilirubin level, 33.6 μmol/L, normal range, 3-14 μmol/L; triglyceride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level, 2.53</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mmol/L, normal range, 0.3–1.7</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mmol/L), abnormal</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renal</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function (creatinine level, 79 μmol/L; normal range, 15–77 μmol/L), and high blood ammonia level (94 μmol/L; normal range, 10–47 μmol/L). The patient had hypopituitarism and multiple pituitary</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hormone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deficiencies (Table 1). However, the coagulation</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function, immune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 xml:space="preserve">function, and Epstein-Barr virus and cytomegalovirus levels were normal. The hepatitis series, including </w:t>
      </w:r>
      <w:r w:rsidRPr="00807BCB">
        <w:rPr>
          <w:rFonts w:ascii="Book Antiqua" w:eastAsia="Book Antiqua" w:hAnsi="Book Antiqua" w:cs="Book Antiqua" w:hint="eastAsia"/>
          <w:color w:val="000000"/>
        </w:rPr>
        <w:t>h</w:t>
      </w:r>
      <w:r w:rsidRPr="00807BCB">
        <w:rPr>
          <w:rFonts w:ascii="Book Antiqua" w:eastAsia="Book Antiqua" w:hAnsi="Book Antiqua" w:cs="Book Antiqua"/>
          <w:color w:val="000000"/>
        </w:rPr>
        <w:t xml:space="preserve">epatitis A virus, </w:t>
      </w:r>
      <w:r w:rsidRPr="00807BCB">
        <w:rPr>
          <w:rFonts w:ascii="Book Antiqua" w:eastAsia="Book Antiqua" w:hAnsi="Book Antiqua" w:cs="Book Antiqua" w:hint="eastAsia"/>
          <w:color w:val="000000"/>
        </w:rPr>
        <w:t>h</w:t>
      </w:r>
      <w:r w:rsidRPr="00807BCB">
        <w:rPr>
          <w:rFonts w:ascii="Book Antiqua" w:eastAsia="Book Antiqua" w:hAnsi="Book Antiqua" w:cs="Book Antiqua"/>
          <w:color w:val="000000"/>
        </w:rPr>
        <w:t xml:space="preserve">epatitis </w:t>
      </w:r>
      <w:r w:rsidRPr="00807BCB">
        <w:rPr>
          <w:rFonts w:ascii="Book Antiqua" w:hAnsi="Book Antiqua" w:cs="Book Antiqua" w:hint="eastAsia"/>
          <w:color w:val="000000"/>
          <w:lang w:eastAsia="zh-CN"/>
        </w:rPr>
        <w:t>B</w:t>
      </w:r>
      <w:r w:rsidRPr="00807BCB">
        <w:rPr>
          <w:rFonts w:ascii="Book Antiqua" w:eastAsia="Book Antiqua" w:hAnsi="Book Antiqua" w:cs="Book Antiqua"/>
          <w:color w:val="000000"/>
        </w:rPr>
        <w:t xml:space="preserve"> virus, </w:t>
      </w:r>
      <w:r w:rsidRPr="00807BCB">
        <w:rPr>
          <w:rFonts w:ascii="Book Antiqua" w:eastAsia="Book Antiqua" w:hAnsi="Book Antiqua" w:cs="Book Antiqua" w:hint="eastAsia"/>
          <w:color w:val="000000"/>
        </w:rPr>
        <w:t>h</w:t>
      </w:r>
      <w:r w:rsidRPr="00807BCB">
        <w:rPr>
          <w:rFonts w:ascii="Book Antiqua" w:eastAsia="Book Antiqua" w:hAnsi="Book Antiqua" w:cs="Book Antiqua"/>
          <w:color w:val="000000"/>
        </w:rPr>
        <w:t xml:space="preserve">epatitis </w:t>
      </w:r>
      <w:r w:rsidRPr="00807BCB">
        <w:rPr>
          <w:rFonts w:ascii="Book Antiqua" w:hAnsi="Book Antiqua" w:cs="Book Antiqua" w:hint="eastAsia"/>
          <w:color w:val="000000"/>
          <w:lang w:eastAsia="zh-CN"/>
        </w:rPr>
        <w:t>C</w:t>
      </w:r>
      <w:r w:rsidRPr="00807BCB">
        <w:rPr>
          <w:rFonts w:ascii="Book Antiqua" w:eastAsia="Book Antiqua" w:hAnsi="Book Antiqua" w:cs="Book Antiqua"/>
          <w:color w:val="000000"/>
        </w:rPr>
        <w:t xml:space="preserve"> virus, </w:t>
      </w:r>
      <w:r w:rsidRPr="00807BCB">
        <w:rPr>
          <w:rFonts w:ascii="Book Antiqua" w:eastAsia="Book Antiqua" w:hAnsi="Book Antiqua" w:cs="Book Antiqua" w:hint="eastAsia"/>
          <w:color w:val="000000"/>
        </w:rPr>
        <w:t>h</w:t>
      </w:r>
      <w:r w:rsidRPr="00807BCB">
        <w:rPr>
          <w:rFonts w:ascii="Book Antiqua" w:eastAsia="Book Antiqua" w:hAnsi="Book Antiqua" w:cs="Book Antiqua"/>
          <w:color w:val="000000"/>
        </w:rPr>
        <w:t xml:space="preserve">epatitis </w:t>
      </w:r>
      <w:r w:rsidRPr="00807BCB">
        <w:rPr>
          <w:rFonts w:ascii="Book Antiqua" w:hAnsi="Book Antiqua" w:cs="Book Antiqua" w:hint="eastAsia"/>
          <w:color w:val="000000"/>
          <w:lang w:eastAsia="zh-CN"/>
        </w:rPr>
        <w:t>D</w:t>
      </w:r>
      <w:r w:rsidRPr="00807BCB">
        <w:rPr>
          <w:rFonts w:ascii="Book Antiqua" w:eastAsia="Book Antiqua" w:hAnsi="Book Antiqua" w:cs="Book Antiqua"/>
          <w:color w:val="000000"/>
        </w:rPr>
        <w:t xml:space="preserve"> virus, and </w:t>
      </w:r>
      <w:r w:rsidRPr="00807BCB">
        <w:rPr>
          <w:rFonts w:ascii="Book Antiqua" w:eastAsia="Book Antiqua" w:hAnsi="Book Antiqua" w:cs="Book Antiqua" w:hint="eastAsia"/>
          <w:color w:val="000000"/>
        </w:rPr>
        <w:t>h</w:t>
      </w:r>
      <w:r w:rsidRPr="00807BCB">
        <w:rPr>
          <w:rFonts w:ascii="Book Antiqua" w:eastAsia="Book Antiqua" w:hAnsi="Book Antiqua" w:cs="Book Antiqua"/>
          <w:color w:val="000000"/>
        </w:rPr>
        <w:t xml:space="preserve">epatitis </w:t>
      </w:r>
      <w:r w:rsidRPr="00807BCB">
        <w:rPr>
          <w:rFonts w:ascii="Book Antiqua" w:hAnsi="Book Antiqua" w:cs="Book Antiqua" w:hint="eastAsia"/>
          <w:color w:val="000000"/>
          <w:lang w:eastAsia="zh-CN"/>
        </w:rPr>
        <w:t>E</w:t>
      </w:r>
      <w:r w:rsidRPr="00807BCB">
        <w:rPr>
          <w:rFonts w:ascii="Book Antiqua" w:eastAsia="Book Antiqua" w:hAnsi="Book Antiqua" w:cs="Book Antiqua"/>
          <w:color w:val="000000"/>
        </w:rPr>
        <w:t xml:space="preserve"> virus, were normal.</w:t>
      </w:r>
    </w:p>
    <w:p w14:paraId="64D0F206" w14:textId="77777777" w:rsidR="005105FB" w:rsidRPr="00807BCB" w:rsidRDefault="005105FB">
      <w:pPr>
        <w:spacing w:line="360" w:lineRule="auto"/>
        <w:jc w:val="both"/>
        <w:rPr>
          <w:rFonts w:ascii="Book Antiqua" w:hAnsi="Book Antiqua"/>
        </w:rPr>
      </w:pPr>
    </w:p>
    <w:p w14:paraId="3EE1C72B"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i/>
          <w:color w:val="000000"/>
        </w:rPr>
        <w:t>Imaging examinations</w:t>
      </w:r>
    </w:p>
    <w:p w14:paraId="76A2812D"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Echocardiography of the right heart revealed a diffuse arteriovenous shunt in the lung (grade III &gt; 100/frame), which was consistent with HPS (Figure 1</w:t>
      </w:r>
      <w:r w:rsidRPr="00807BCB">
        <w:rPr>
          <w:rFonts w:ascii="Book Antiqua" w:hAnsi="Book Antiqua" w:cs="Book Antiqua"/>
          <w:color w:val="000000"/>
          <w:lang w:eastAsia="zh-CN"/>
        </w:rPr>
        <w:t>A</w:t>
      </w:r>
      <w:r w:rsidRPr="00807BCB">
        <w:rPr>
          <w:rFonts w:ascii="Book Antiqua" w:eastAsia="Book Antiqua" w:hAnsi="Book Antiqua" w:cs="Book Antiqua"/>
          <w:color w:val="000000"/>
        </w:rPr>
        <w:t xml:space="preserve">). Abdominal ultrasonography revealed bile duct dilatation, cirrhosis, and splenomegaly (Figure </w:t>
      </w:r>
      <w:r w:rsidRPr="00807BCB">
        <w:rPr>
          <w:rFonts w:ascii="Book Antiqua" w:hAnsi="Book Antiqua" w:cs="Book Antiqua"/>
          <w:color w:val="000000"/>
          <w:lang w:eastAsia="zh-CN"/>
        </w:rPr>
        <w:t>1B</w:t>
      </w:r>
      <w:r w:rsidRPr="00807BCB">
        <w:rPr>
          <w:rFonts w:ascii="Book Antiqua" w:eastAsia="Book Antiqua" w:hAnsi="Book Antiqua" w:cs="Book Antiqua"/>
          <w:color w:val="000000"/>
        </w:rPr>
        <w:t xml:space="preserve">). </w:t>
      </w:r>
      <w:r w:rsidRPr="00807BCB">
        <w:rPr>
          <w:rFonts w:ascii="Book Antiqua" w:eastAsia="Book Antiqua" w:hAnsi="Book Antiqua" w:cs="Book Antiqua"/>
          <w:color w:val="000000"/>
        </w:rPr>
        <w:lastRenderedPageBreak/>
        <w:t xml:space="preserve">Biopsy of the liver parenchyma showed loss of lobular structure, formation of regenerated nodules, swelling of the hepatocytes, mild steatosis (20%), fibroseptal bile duct hyperplasia, and fibrous tissue hyperplasia. The diagnostic view showed nodular cirrhosis (considering the origin of NASH) (Figure </w:t>
      </w:r>
      <w:r w:rsidRPr="00807BCB">
        <w:rPr>
          <w:rFonts w:ascii="Book Antiqua" w:hAnsi="Book Antiqua" w:cs="Book Antiqua"/>
          <w:color w:val="000000"/>
          <w:lang w:eastAsia="zh-CN"/>
        </w:rPr>
        <w:t>2</w:t>
      </w:r>
      <w:r w:rsidRPr="00807BCB">
        <w:rPr>
          <w:rFonts w:ascii="Book Antiqua" w:eastAsia="Book Antiqua" w:hAnsi="Book Antiqua" w:cs="Book Antiqua"/>
          <w:color w:val="000000"/>
        </w:rPr>
        <w:t xml:space="preserve">). The liver vasculature of computed tomography angiography revealed cirrhotic hepatosplenomegaly and portal hypertension, spongiform changes in the left portal artery, mild varicose veins in the lower esophagus, and splenic-renal shunt. Magnetic resonance cholangiopancreatography did not show abnormal changes in the </w:t>
      </w:r>
      <w:bookmarkStart w:id="6" w:name="OLE_LINK1"/>
      <w:r w:rsidRPr="00807BCB">
        <w:rPr>
          <w:rFonts w:ascii="Book Antiqua" w:eastAsia="Book Antiqua" w:hAnsi="Book Antiqua" w:cs="Book Antiqua" w:hint="eastAsia"/>
          <w:color w:val="000000"/>
        </w:rPr>
        <w:t>pancreatic duct</w:t>
      </w:r>
      <w:r w:rsidRPr="00807BCB">
        <w:rPr>
          <w:rFonts w:ascii="Book Antiqua" w:eastAsia="宋体" w:hAnsi="Book Antiqua" w:cs="Book Antiqua" w:hint="eastAsia"/>
          <w:color w:val="000000"/>
          <w:lang w:eastAsia="zh-CN"/>
        </w:rPr>
        <w:t>.</w:t>
      </w:r>
      <w:bookmarkEnd w:id="6"/>
      <w:r w:rsidRPr="00807BCB">
        <w:rPr>
          <w:rFonts w:ascii="Book Antiqua" w:eastAsia="Book Antiqua" w:hAnsi="Book Antiqua" w:cs="Book Antiqua"/>
          <w:color w:val="000000"/>
        </w:rPr>
        <w:t xml:space="preserve"> The pituitary magnetic resonance imaging that included</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the</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conventional plain scan and</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dynamic contrast-enhanced</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scan</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 xml:space="preserve">showed postoperative changes in craniopharyngioma. </w:t>
      </w:r>
    </w:p>
    <w:p w14:paraId="5342A344" w14:textId="77777777" w:rsidR="005105FB" w:rsidRPr="00807BCB" w:rsidRDefault="005105FB">
      <w:pPr>
        <w:spacing w:line="360" w:lineRule="auto"/>
        <w:jc w:val="both"/>
        <w:rPr>
          <w:rFonts w:ascii="Book Antiqua" w:hAnsi="Book Antiqua"/>
        </w:rPr>
      </w:pPr>
    </w:p>
    <w:p w14:paraId="3E7E54B9"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aps/>
          <w:color w:val="000000"/>
          <w:u w:val="single"/>
        </w:rPr>
        <w:t>FINAL DIAGNOSIS</w:t>
      </w:r>
    </w:p>
    <w:p w14:paraId="0F85221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The final diagnoses were liver cirrhosis, HPS, hypopituitarism, and electrolyte imbalance.</w:t>
      </w:r>
    </w:p>
    <w:p w14:paraId="01788606" w14:textId="77777777" w:rsidR="005105FB" w:rsidRPr="00807BCB" w:rsidRDefault="005105FB">
      <w:pPr>
        <w:spacing w:line="360" w:lineRule="auto"/>
        <w:jc w:val="both"/>
        <w:rPr>
          <w:rFonts w:ascii="Book Antiqua" w:hAnsi="Book Antiqua"/>
        </w:rPr>
      </w:pPr>
    </w:p>
    <w:p w14:paraId="07BA4F3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aps/>
          <w:color w:val="000000"/>
          <w:u w:val="single"/>
        </w:rPr>
        <w:t>TREATMENT</w:t>
      </w:r>
    </w:p>
    <w:p w14:paraId="117E1CA5"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The patient received multiple hormone replacement and desmopressin therapies: </w:t>
      </w:r>
      <w:r w:rsidRPr="00807BCB">
        <w:rPr>
          <w:rFonts w:ascii="Book Antiqua" w:hAnsi="Book Antiqua" w:cs="Book Antiqua" w:hint="eastAsia"/>
          <w:color w:val="000000"/>
          <w:lang w:eastAsia="zh-CN"/>
        </w:rPr>
        <w:t>G</w:t>
      </w:r>
      <w:r w:rsidRPr="00807BCB">
        <w:rPr>
          <w:rFonts w:ascii="Book Antiqua" w:eastAsia="Book Antiqua" w:hAnsi="Book Antiqua" w:cs="Book Antiqua"/>
          <w:color w:val="000000"/>
        </w:rPr>
        <w:t>rowth hormone (GH) (4 IU qn), thyroid hormone (levothyroxine sodium hydrate, 50 μg/d), corticosteroid (hydrocortisone, 15 mg/d), and desmopressin (Minirin, 0.05</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mg/d). Moreover, the patient received symptomatic oxygen inhalation and calcium and potassium supplementation.</w:t>
      </w:r>
    </w:p>
    <w:p w14:paraId="2E1DAA3D" w14:textId="77777777" w:rsidR="005105FB" w:rsidRPr="00807BCB" w:rsidRDefault="005105FB">
      <w:pPr>
        <w:spacing w:line="360" w:lineRule="auto"/>
        <w:jc w:val="both"/>
        <w:rPr>
          <w:rFonts w:ascii="Book Antiqua" w:hAnsi="Book Antiqua"/>
        </w:rPr>
      </w:pPr>
    </w:p>
    <w:p w14:paraId="4318C282"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aps/>
          <w:color w:val="000000"/>
          <w:u w:val="single"/>
        </w:rPr>
        <w:t>OUTCOME AND FOLLOW-UP</w:t>
      </w:r>
    </w:p>
    <w:p w14:paraId="27EADD57"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Oxygen saturation improved significantly after 1 mo of GH treatment and currently fluctuated at around 92% for low-flow nasal catheter oxygen. Liver function was reduced to the normal range, hypernatremia improved, and total bilirubin, indirect bilirubin, total bile acid, and lipid levels were significantly improved. During regular follow-up, it was found that liver transplantation was not required.</w:t>
      </w:r>
    </w:p>
    <w:p w14:paraId="783A282C" w14:textId="77777777" w:rsidR="005105FB" w:rsidRPr="00807BCB" w:rsidRDefault="005105FB">
      <w:pPr>
        <w:spacing w:line="360" w:lineRule="auto"/>
        <w:jc w:val="both"/>
        <w:rPr>
          <w:rFonts w:ascii="Book Antiqua" w:hAnsi="Book Antiqua"/>
        </w:rPr>
      </w:pPr>
    </w:p>
    <w:p w14:paraId="6A240A75"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aps/>
          <w:color w:val="000000"/>
          <w:u w:val="single"/>
        </w:rPr>
        <w:t>DISCUSSION</w:t>
      </w:r>
    </w:p>
    <w:p w14:paraId="03B208B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lastRenderedPageBreak/>
        <w:t xml:space="preserve">Craniopharyngioma is a rare primary brain tumor that originates from ectopic embryonic remnants of the craniopharyngeal duct or squamous epithelial cells. Its incidence is 0.5–2 cases </w:t>
      </w:r>
      <w:r w:rsidRPr="00807BCB">
        <w:rPr>
          <w:rFonts w:ascii="Book Antiqua" w:eastAsia="Book Antiqua" w:hAnsi="Book Antiqua" w:cs="Book Antiqua"/>
          <w:i/>
          <w:color w:val="000000"/>
        </w:rPr>
        <w:t>per</w:t>
      </w:r>
      <w:r w:rsidRPr="00807BCB">
        <w:rPr>
          <w:rFonts w:ascii="Book Antiqua" w:eastAsia="Book Antiqua" w:hAnsi="Book Antiqua" w:cs="Book Antiqua"/>
          <w:color w:val="000000"/>
        </w:rPr>
        <w:t xml:space="preserve"> million persons </w:t>
      </w:r>
      <w:r w:rsidRPr="00807BCB">
        <w:rPr>
          <w:rFonts w:ascii="Book Antiqua" w:eastAsia="Book Antiqua" w:hAnsi="Book Antiqua" w:cs="Book Antiqua"/>
          <w:i/>
          <w:color w:val="000000"/>
        </w:rPr>
        <w:t>per</w:t>
      </w:r>
      <w:r w:rsidRPr="00807BCB">
        <w:rPr>
          <w:rFonts w:ascii="Book Antiqua" w:eastAsia="Book Antiqua" w:hAnsi="Book Antiqua" w:cs="Book Antiqua"/>
          <w:color w:val="000000"/>
        </w:rPr>
        <w:t xml:space="preserve"> year, with peaks in childhood/adolescence (8 years) and adulthood (40–50 years)</w:t>
      </w:r>
      <w:r w:rsidRPr="00807BCB">
        <w:rPr>
          <w:rFonts w:ascii="Book Antiqua" w:eastAsia="Book Antiqua" w:hAnsi="Book Antiqua" w:cs="Book Antiqua"/>
          <w:color w:val="000000"/>
          <w:vertAlign w:val="superscript"/>
        </w:rPr>
        <w:t>[2,3]</w:t>
      </w:r>
      <w:r w:rsidRPr="00807BCB">
        <w:rPr>
          <w:rFonts w:ascii="Book Antiqua" w:eastAsia="Book Antiqua" w:hAnsi="Book Antiqua" w:cs="Book Antiqua"/>
          <w:color w:val="000000"/>
        </w:rPr>
        <w:t>. Although histologically defined as a benign tumor, craniopharyngioma often compresses nearby key structures, such as the optic neurohypophysis or hypothalamus</w:t>
      </w:r>
      <w:r w:rsidRPr="00807BCB">
        <w:rPr>
          <w:rFonts w:ascii="Book Antiqua" w:eastAsia="Book Antiqua" w:hAnsi="Book Antiqua" w:cs="Book Antiqua"/>
          <w:color w:val="000000"/>
          <w:vertAlign w:val="superscript"/>
        </w:rPr>
        <w:t>[4,5]</w:t>
      </w:r>
      <w:r w:rsidRPr="00807BCB">
        <w:rPr>
          <w:rFonts w:ascii="Book Antiqua" w:eastAsia="Book Antiqua" w:hAnsi="Book Antiqua" w:cs="Book Antiqua"/>
          <w:color w:val="000000"/>
        </w:rPr>
        <w:t>. Postoperative complications of craniopharyngioma, especially endocrine dysfunction, have a high incidence and mainly manifest as intractable diabetes insipidus hypothalamic-pituitary insufficiency, severe electrolyte disorder, and neuropsychological defects,</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which seriously affect the quality of life of children.</w:t>
      </w:r>
    </w:p>
    <w:p w14:paraId="60042E23" w14:textId="77777777" w:rsidR="005105FB" w:rsidRPr="00807BCB" w:rsidRDefault="00A36158">
      <w:pPr>
        <w:spacing w:line="360" w:lineRule="auto"/>
        <w:ind w:firstLineChars="200" w:firstLine="480"/>
        <w:jc w:val="both"/>
        <w:rPr>
          <w:rFonts w:ascii="Book Antiqua" w:hAnsi="Book Antiqua"/>
        </w:rPr>
      </w:pPr>
      <w:r w:rsidRPr="00807BCB">
        <w:rPr>
          <w:rFonts w:ascii="Book Antiqua" w:eastAsia="Book Antiqua" w:hAnsi="Book Antiqua" w:cs="Book Antiqua"/>
          <w:color w:val="000000"/>
        </w:rPr>
        <w:t>NAFLD is a chronic liver disease worldwide, and its incidence is increasing with the prevalence of obesity, diabetes, and metabolic syndrome. Statistically, the global incidence is 25%</w:t>
      </w:r>
      <w:r w:rsidRPr="00807BCB">
        <w:rPr>
          <w:rFonts w:ascii="Book Antiqua" w:eastAsia="Book Antiqua" w:hAnsi="Book Antiqua" w:cs="Book Antiqua"/>
          <w:color w:val="000000"/>
          <w:vertAlign w:val="superscript"/>
        </w:rPr>
        <w:t>[6]</w:t>
      </w:r>
      <w:r w:rsidRPr="00807BCB">
        <w:rPr>
          <w:rFonts w:ascii="Book Antiqua" w:eastAsia="Book Antiqua" w:hAnsi="Book Antiqua" w:cs="Book Antiqua"/>
          <w:color w:val="000000"/>
        </w:rPr>
        <w:t>. NAFLD is histologically classified into NAFLD and NASH, cirrhosis, and hepatocellular carcinoma. NAFLD and NASH are associated with hypothalamic hypopituitarism, but their pathogeneses remain unclear, and an increasing number of studies have found that the development of NASH is closely related to endocrine hormone abnormalities</w:t>
      </w:r>
      <w:r w:rsidRPr="00807BCB">
        <w:rPr>
          <w:rFonts w:ascii="Book Antiqua" w:eastAsia="Book Antiqua" w:hAnsi="Book Antiqua" w:cs="Book Antiqua"/>
          <w:color w:val="000000"/>
          <w:vertAlign w:val="superscript"/>
        </w:rPr>
        <w:t>[7]</w:t>
      </w:r>
      <w:r w:rsidRPr="00807BCB">
        <w:rPr>
          <w:rFonts w:ascii="Book Antiqua" w:eastAsia="Book Antiqua" w:hAnsi="Book Antiqua" w:cs="Book Antiqua"/>
          <w:color w:val="000000"/>
        </w:rPr>
        <w:t>. In children, it is caused by craniopharyngioma or pituitary adenoma and sequelae of treatment, leading to hypothyroidism, adrenal insufficiency, hypogonadotropism, and GH deficiency</w:t>
      </w:r>
      <w:r w:rsidRPr="00807BCB">
        <w:rPr>
          <w:rFonts w:ascii="Book Antiqua" w:eastAsia="Book Antiqua" w:hAnsi="Book Antiqua" w:cs="Book Antiqua"/>
          <w:color w:val="000000"/>
          <w:vertAlign w:val="superscript"/>
        </w:rPr>
        <w:t>[8]</w:t>
      </w:r>
      <w:r w:rsidRPr="00807BCB">
        <w:rPr>
          <w:rFonts w:ascii="Book Antiqua" w:eastAsia="Book Antiqua" w:hAnsi="Book Antiqua" w:cs="Book Antiqua"/>
          <w:color w:val="000000"/>
        </w:rPr>
        <w:t xml:space="preserve">. Adams </w:t>
      </w:r>
      <w:r w:rsidRPr="00807BCB">
        <w:rPr>
          <w:rFonts w:ascii="Book Antiqua" w:eastAsia="Book Antiqua" w:hAnsi="Book Antiqua" w:cs="Book Antiqua"/>
          <w:i/>
          <w:color w:val="000000"/>
        </w:rPr>
        <w:t>et al</w:t>
      </w:r>
      <w:r w:rsidRPr="00807BCB">
        <w:rPr>
          <w:rFonts w:ascii="Book Antiqua" w:eastAsia="Book Antiqua" w:hAnsi="Book Antiqua" w:cs="Book Antiqua"/>
          <w:color w:val="000000"/>
          <w:vertAlign w:val="superscript"/>
        </w:rPr>
        <w:t>[9]</w:t>
      </w:r>
      <w:r w:rsidRPr="00807BCB">
        <w:rPr>
          <w:rFonts w:ascii="Book Antiqua" w:eastAsia="Book Antiqua" w:hAnsi="Book Antiqua" w:cs="Book Antiqua"/>
          <w:color w:val="000000"/>
        </w:rPr>
        <w:t xml:space="preserve"> reported 21 cases of NAFLD, among which 15 were secondary after brain tumor surgery (approximately 71%), suggesting that brain tumor near the pituitary hypothalamus is an important cause of NAFLD. More than 50% (eight cases) of these tumors were craniopharyngiomas, suggesting the importance of careful diagnosis and exclusion of this type of tumor in the presence of clinically unexplained NAFLD</w:t>
      </w:r>
      <w:r w:rsidRPr="00807BCB">
        <w:rPr>
          <w:rFonts w:ascii="Book Antiqua" w:eastAsia="Book Antiqua" w:hAnsi="Book Antiqua" w:cs="Book Antiqua"/>
          <w:color w:val="000000"/>
          <w:vertAlign w:val="superscript"/>
        </w:rPr>
        <w:t>[9]</w:t>
      </w:r>
      <w:r w:rsidRPr="00807BCB">
        <w:rPr>
          <w:rFonts w:ascii="Book Antiqua" w:eastAsia="Book Antiqua" w:hAnsi="Book Antiqua" w:cs="Book Antiqua"/>
          <w:color w:val="000000"/>
        </w:rPr>
        <w:t xml:space="preserve">. Jung </w:t>
      </w:r>
      <w:r w:rsidRPr="00807BCB">
        <w:rPr>
          <w:rFonts w:ascii="Book Antiqua" w:eastAsia="Book Antiqua" w:hAnsi="Book Antiqua" w:cs="Book Antiqua"/>
          <w:i/>
          <w:color w:val="000000"/>
        </w:rPr>
        <w:t>et al</w:t>
      </w:r>
      <w:r w:rsidRPr="00807BCB">
        <w:rPr>
          <w:rFonts w:ascii="Book Antiqua" w:eastAsia="Book Antiqua" w:hAnsi="Book Antiqua" w:cs="Book Antiqua"/>
          <w:color w:val="000000"/>
          <w:vertAlign w:val="superscript"/>
        </w:rPr>
        <w:t>[10]</w:t>
      </w:r>
      <w:r w:rsidRPr="00807BCB">
        <w:rPr>
          <w:rFonts w:ascii="Book Antiqua" w:eastAsia="Book Antiqua" w:hAnsi="Book Antiqua" w:cs="Book Antiqua"/>
          <w:color w:val="000000"/>
        </w:rPr>
        <w:t xml:space="preserve"> reported the case of a 19-year-old girl diagnosed with craniopharyngioma who developed hypothalamic obesity, NAFLD, and progression to HPS after tumor resection</w:t>
      </w:r>
      <w:r w:rsidRPr="00807BCB">
        <w:rPr>
          <w:rFonts w:ascii="Book Antiqua" w:eastAsia="Book Antiqua" w:hAnsi="Book Antiqua" w:cs="Book Antiqua"/>
          <w:color w:val="000000"/>
          <w:vertAlign w:val="superscript"/>
        </w:rPr>
        <w:t>[10]</w:t>
      </w:r>
      <w:r w:rsidRPr="00807BCB">
        <w:rPr>
          <w:rFonts w:ascii="Book Antiqua" w:eastAsia="Book Antiqua" w:hAnsi="Book Antiqua" w:cs="Book Antiqua"/>
          <w:color w:val="000000"/>
        </w:rPr>
        <w:t xml:space="preserve">. Recently, studies on patients with hypothalamic-pituitary involvement after craniopharyngioma have found that the prevalence of NAFLD in children is approximately 3%–10%, while the incidence of NAFLD caused by hypothalamic-pituitary damage after craniopharyngioma has </w:t>
      </w:r>
      <w:r w:rsidRPr="00807BCB">
        <w:rPr>
          <w:rFonts w:ascii="Book Antiqua" w:eastAsia="Book Antiqua" w:hAnsi="Book Antiqua" w:cs="Book Antiqua"/>
          <w:color w:val="000000"/>
        </w:rPr>
        <w:lastRenderedPageBreak/>
        <w:t>increased to approximately 50%</w:t>
      </w:r>
      <w:r w:rsidRPr="00807BCB">
        <w:rPr>
          <w:rFonts w:ascii="Book Antiqua" w:eastAsia="Book Antiqua" w:hAnsi="Book Antiqua" w:cs="Book Antiqua"/>
          <w:color w:val="000000"/>
          <w:vertAlign w:val="superscript"/>
        </w:rPr>
        <w:t>[11,12]</w:t>
      </w:r>
      <w:r w:rsidRPr="00807BCB">
        <w:rPr>
          <w:rFonts w:ascii="Book Antiqua" w:eastAsia="Book Antiqua" w:hAnsi="Book Antiqua" w:cs="Book Antiqua"/>
          <w:color w:val="000000"/>
        </w:rPr>
        <w:t>. Previously, it was generally believed that the risk factors for NAFLD were excessive fructose intake, insulin resistance, and metabolic syndrome, followed by oxidative stress injury and endoplasmic reticulum stress, adipocytokine, mitochondrial dysfunction, and bisphenol A intake</w:t>
      </w:r>
      <w:r w:rsidRPr="00807BCB">
        <w:rPr>
          <w:rFonts w:ascii="Book Antiqua" w:eastAsia="Book Antiqua" w:hAnsi="Book Antiqua" w:cs="Book Antiqua"/>
          <w:color w:val="000000"/>
          <w:vertAlign w:val="superscript"/>
        </w:rPr>
        <w:t>[13,14]</w:t>
      </w:r>
      <w:r w:rsidRPr="00807BCB">
        <w:rPr>
          <w:rFonts w:ascii="Book Antiqua" w:eastAsia="Book Antiqua" w:hAnsi="Book Antiqua" w:cs="Book Antiqua"/>
          <w:color w:val="000000"/>
        </w:rPr>
        <w:t xml:space="preserve">. </w:t>
      </w:r>
    </w:p>
    <w:p w14:paraId="1B6AEBA1" w14:textId="77777777" w:rsidR="005105FB" w:rsidRPr="00807BCB" w:rsidRDefault="00A36158">
      <w:pPr>
        <w:spacing w:line="360" w:lineRule="auto"/>
        <w:ind w:firstLineChars="200" w:firstLine="480"/>
        <w:jc w:val="both"/>
        <w:rPr>
          <w:rFonts w:ascii="Book Antiqua" w:hAnsi="Book Antiqua"/>
        </w:rPr>
      </w:pPr>
      <w:r w:rsidRPr="00807BCB">
        <w:rPr>
          <w:rFonts w:ascii="Book Antiqua" w:eastAsia="Book Antiqua" w:hAnsi="Book Antiqua" w:cs="Book Antiqua"/>
          <w:color w:val="000000"/>
        </w:rPr>
        <w:t>In a retrospective study that reported the association between hypopituitarism, hypothalamic dysfunction, and</w:t>
      </w:r>
      <w:r w:rsidRPr="00807BCB">
        <w:rPr>
          <w:rFonts w:ascii="Book Antiqua" w:hAnsi="Book Antiqua" w:cs="Book Antiqua" w:hint="eastAsia"/>
          <w:color w:val="000000"/>
          <w:lang w:eastAsia="zh-CN"/>
        </w:rPr>
        <w:t xml:space="preserve"> </w:t>
      </w:r>
      <w:r w:rsidRPr="00807BCB">
        <w:rPr>
          <w:rFonts w:ascii="Book Antiqua" w:eastAsia="Book Antiqua" w:hAnsi="Book Antiqua" w:cs="Book Antiqua"/>
          <w:color w:val="000000"/>
        </w:rPr>
        <w:t>NAFLD, NAFLD was found in 2.3% of patients with hypopituitarism and hypothalamic obesity</w:t>
      </w:r>
      <w:r w:rsidRPr="00807BCB">
        <w:rPr>
          <w:rFonts w:ascii="Book Antiqua" w:eastAsia="Book Antiqua" w:hAnsi="Book Antiqua" w:cs="Book Antiqua"/>
          <w:color w:val="000000"/>
          <w:vertAlign w:val="superscript"/>
        </w:rPr>
        <w:t>[15]</w:t>
      </w:r>
      <w:r w:rsidRPr="00807BCB">
        <w:rPr>
          <w:rFonts w:ascii="Book Antiqua" w:eastAsia="Book Antiqua" w:hAnsi="Book Antiqua" w:cs="Book Antiqua"/>
          <w:color w:val="000000"/>
        </w:rPr>
        <w:t>. Moreover, a recent analysis of long-term outcomes after childhood-onset craniopharyngioma found that 1 of 32 patients (3%) died of cirrhosis</w:t>
      </w:r>
      <w:r w:rsidRPr="00807BCB">
        <w:rPr>
          <w:rFonts w:ascii="Book Antiqua" w:eastAsia="Book Antiqua" w:hAnsi="Book Antiqua" w:cs="Book Antiqua"/>
          <w:color w:val="000000"/>
          <w:vertAlign w:val="superscript"/>
        </w:rPr>
        <w:t>[16]</w:t>
      </w:r>
      <w:r w:rsidRPr="00807BCB">
        <w:rPr>
          <w:rFonts w:ascii="Book Antiqua" w:eastAsia="Book Antiqua" w:hAnsi="Book Antiqua" w:cs="Book Antiqua"/>
          <w:color w:val="000000"/>
        </w:rPr>
        <w:t>.</w:t>
      </w:r>
    </w:p>
    <w:p w14:paraId="6FDE3D14" w14:textId="77777777" w:rsidR="005105FB" w:rsidRPr="00807BCB" w:rsidRDefault="00A36158">
      <w:pPr>
        <w:spacing w:line="360" w:lineRule="auto"/>
        <w:ind w:firstLineChars="200" w:firstLine="480"/>
        <w:jc w:val="both"/>
        <w:rPr>
          <w:rFonts w:ascii="Book Antiqua" w:hAnsi="Book Antiqua"/>
        </w:rPr>
      </w:pPr>
      <w:r w:rsidRPr="00807BCB">
        <w:rPr>
          <w:rFonts w:ascii="Book Antiqua" w:eastAsia="Book Antiqua" w:hAnsi="Book Antiqua" w:cs="Book Antiqua"/>
          <w:color w:val="000000"/>
        </w:rPr>
        <w:t>The risk of progression from childhood simple fatty liver to adult cirrhosis and liver failure is low, and the natural course of NAFLD in patients with hypothalamic and pituitary dysfunction may be more aggressive than that in the general population. Therefore, children with craniopharyngioma should be closely followed postoperatively, especially for liver function and pituitary hormone levels. Some scholars have reported NASH 4 years after pituitary tumor resection, accompanied by dyspnea and hypoxemia, which eventually developed into HPS</w:t>
      </w:r>
      <w:r w:rsidRPr="00807BCB">
        <w:rPr>
          <w:rFonts w:ascii="Book Antiqua" w:eastAsia="Book Antiqua" w:hAnsi="Book Antiqua" w:cs="Book Antiqua"/>
          <w:color w:val="000000"/>
          <w:vertAlign w:val="superscript"/>
        </w:rPr>
        <w:t>[17]</w:t>
      </w:r>
      <w:r w:rsidRPr="00807BCB">
        <w:rPr>
          <w:rFonts w:ascii="Book Antiqua" w:eastAsia="Book Antiqua" w:hAnsi="Book Antiqua" w:cs="Book Antiqua"/>
          <w:color w:val="000000"/>
        </w:rPr>
        <w:t>. HPS is a serious complication of chronic liver disease, which includes three main characteristics: Abnormal liver function, pulmonary telangiectasia (shunt), and hypoxemia</w:t>
      </w:r>
      <w:r w:rsidRPr="00807BCB">
        <w:rPr>
          <w:rFonts w:ascii="Book Antiqua" w:eastAsia="Book Antiqua" w:hAnsi="Book Antiqua" w:cs="Book Antiqua"/>
          <w:color w:val="000000"/>
          <w:vertAlign w:val="superscript"/>
        </w:rPr>
        <w:t>[18]</w:t>
      </w:r>
      <w:r w:rsidRPr="00807BCB">
        <w:rPr>
          <w:rFonts w:ascii="Book Antiqua" w:eastAsia="Book Antiqua" w:hAnsi="Book Antiqua" w:cs="Book Antiqua"/>
          <w:color w:val="000000"/>
        </w:rPr>
        <w:t>. It is a progressive disease that is a complication of cirrhosis or portal hypertension. The main clinical manifestations are dyspnea and cyanosis. At this point, the exact pathogenesis of HPS is still unclear, and is most likely thought to occur due to vasodilatation caused by nitric oxide</w:t>
      </w:r>
      <w:r w:rsidRPr="00807BCB">
        <w:rPr>
          <w:rFonts w:ascii="Book Antiqua" w:eastAsia="Book Antiqua" w:hAnsi="Book Antiqua" w:cs="Book Antiqua"/>
          <w:color w:val="000000"/>
          <w:vertAlign w:val="superscript"/>
        </w:rPr>
        <w:t>[19]</w:t>
      </w:r>
      <w:r w:rsidRPr="00807BCB">
        <w:rPr>
          <w:rFonts w:ascii="Book Antiqua" w:eastAsia="Book Antiqua" w:hAnsi="Book Antiqua" w:cs="Book Antiqua"/>
          <w:color w:val="000000"/>
        </w:rPr>
        <w:t>, which increases pulmonary blood flow and cardiac output, leading to pulmonary ventilation-perfusion mismatch and arteriovenous shallows, ultimately making it difficult for oxygen molecules to bind with hemoglobin, and resulting in hypoxemia</w:t>
      </w:r>
      <w:r w:rsidRPr="00807BCB">
        <w:rPr>
          <w:rFonts w:ascii="Book Antiqua" w:eastAsia="Book Antiqua" w:hAnsi="Book Antiqua" w:cs="Book Antiqua"/>
          <w:color w:val="000000"/>
          <w:vertAlign w:val="superscript"/>
        </w:rPr>
        <w:t>[20,21]</w:t>
      </w:r>
      <w:r w:rsidRPr="00807BCB">
        <w:rPr>
          <w:rFonts w:ascii="Book Antiqua" w:eastAsia="Book Antiqua" w:hAnsi="Book Antiqua" w:cs="Book Antiqua"/>
          <w:color w:val="000000"/>
        </w:rPr>
        <w:t xml:space="preserve">. Currently, liver transplantation is the accepted treatment. Despite successful liver transplantation, NAFLD has a high recurrence rate. Therefore, the prospects for the treatment of NAFLD and HPS secondary to craniopharyngioma are not optimistic, and the need for liver transplantation should be carefully considered. We present the case of a 13-year-old girl with hypopituitarism following surgery for craniopharyngioma; particularly, GH </w:t>
      </w:r>
      <w:r w:rsidRPr="00807BCB">
        <w:rPr>
          <w:rFonts w:ascii="Book Antiqua" w:eastAsia="Book Antiqua" w:hAnsi="Book Antiqua" w:cs="Book Antiqua"/>
          <w:color w:val="000000"/>
        </w:rPr>
        <w:lastRenderedPageBreak/>
        <w:t>deficiency resulted in slow-progressive NASH, which progressed to cirrhosis, and HPS was eventually diagnosed. After GH replacement therapy, liver biochemical indexes and hypoxemia were significantly improved. Therefore, it is speculated that GH may provide a new approach for the treatment of HPS in the future. An 11-year-old boy from Japan was reported to have developed hypopituitarism after surgical resection of a pituitary tumor and subsequently progressed to NASH and HPS. He underwent living-donor liver transplantation at 15 years of age and developed NAFLD again 1 year after transplantation; GH replacement therapy improved liver function, which stabilized to the normal range during 10 years of follow-up</w:t>
      </w:r>
      <w:r w:rsidRPr="00807BCB">
        <w:rPr>
          <w:rFonts w:ascii="Book Antiqua" w:eastAsia="Book Antiqua" w:hAnsi="Book Antiqua" w:cs="Book Antiqua"/>
          <w:color w:val="000000"/>
          <w:vertAlign w:val="superscript"/>
        </w:rPr>
        <w:t>[17]</w:t>
      </w:r>
      <w:r w:rsidRPr="00807BCB">
        <w:rPr>
          <w:rFonts w:ascii="Book Antiqua" w:eastAsia="Book Antiqua" w:hAnsi="Book Antiqua" w:cs="Book Antiqua"/>
          <w:color w:val="000000"/>
        </w:rPr>
        <w:t xml:space="preserve">. </w:t>
      </w:r>
      <w:r w:rsidRPr="00807BCB">
        <w:rPr>
          <w:rFonts w:ascii="Book Antiqua" w:eastAsia="Book Antiqua" w:hAnsi="Book Antiqua" w:cs="Book Antiqua"/>
          <w:bCs/>
          <w:color w:val="000000"/>
        </w:rPr>
        <w:t>Kodama</w:t>
      </w:r>
      <w:r w:rsidRPr="00807BCB">
        <w:rPr>
          <w:rFonts w:ascii="Book Antiqua" w:eastAsia="Book Antiqua" w:hAnsi="Book Antiqua" w:cs="Book Antiqua"/>
          <w:color w:val="000000"/>
        </w:rPr>
        <w:t xml:space="preserve"> </w:t>
      </w:r>
      <w:r w:rsidRPr="00807BCB">
        <w:rPr>
          <w:rFonts w:ascii="Book Antiqua" w:eastAsia="Book Antiqua" w:hAnsi="Book Antiqua" w:cs="Book Antiqua"/>
          <w:i/>
          <w:iCs/>
          <w:color w:val="000000"/>
        </w:rPr>
        <w:t>et al</w:t>
      </w:r>
      <w:r w:rsidRPr="00807BCB">
        <w:rPr>
          <w:rFonts w:ascii="Book Antiqua" w:eastAsia="Book Antiqua" w:hAnsi="Book Antiqua" w:cs="Book Antiqua"/>
          <w:color w:val="000000"/>
          <w:vertAlign w:val="superscript"/>
        </w:rPr>
        <w:t>[2</w:t>
      </w:r>
      <w:r w:rsidRPr="00807BCB">
        <w:rPr>
          <w:rFonts w:ascii="Book Antiqua" w:hAnsi="Book Antiqua" w:cs="Book Antiqua" w:hint="eastAsia"/>
          <w:color w:val="000000"/>
          <w:vertAlign w:val="superscript"/>
          <w:lang w:eastAsia="zh-CN"/>
        </w:rPr>
        <w:t>2</w:t>
      </w:r>
      <w:r w:rsidRPr="00807BCB">
        <w:rPr>
          <w:rFonts w:ascii="Book Antiqua" w:eastAsia="Book Antiqua" w:hAnsi="Book Antiqua" w:cs="Book Antiqua"/>
          <w:color w:val="000000"/>
          <w:vertAlign w:val="superscript"/>
        </w:rPr>
        <w:t>]</w:t>
      </w:r>
      <w:r w:rsidRPr="00807BCB">
        <w:rPr>
          <w:rFonts w:ascii="Book Antiqua" w:hAnsi="Book Antiqua" w:cs="Book Antiqua" w:hint="eastAsia"/>
          <w:color w:val="000000"/>
          <w:lang w:eastAsia="zh-CN"/>
        </w:rPr>
        <w:t xml:space="preserve"> and</w:t>
      </w:r>
      <w:r w:rsidRPr="00807BCB">
        <w:rPr>
          <w:rFonts w:ascii="Book Antiqua" w:eastAsia="Book Antiqua" w:hAnsi="Book Antiqua" w:cs="Book Antiqua"/>
          <w:bCs/>
          <w:color w:val="000000"/>
        </w:rPr>
        <w:t xml:space="preserve"> Torii</w:t>
      </w:r>
      <w:r w:rsidRPr="00807BCB">
        <w:rPr>
          <w:rFonts w:ascii="Book Antiqua" w:eastAsia="Book Antiqua" w:hAnsi="Book Antiqua" w:cs="Book Antiqua"/>
          <w:color w:val="000000"/>
        </w:rPr>
        <w:t xml:space="preserve"> </w:t>
      </w:r>
      <w:r w:rsidRPr="00807BCB">
        <w:rPr>
          <w:rFonts w:ascii="Book Antiqua" w:eastAsia="Book Antiqua" w:hAnsi="Book Antiqua" w:cs="Book Antiqua"/>
          <w:i/>
          <w:iCs/>
          <w:color w:val="000000"/>
        </w:rPr>
        <w:t>et al</w:t>
      </w:r>
      <w:r w:rsidRPr="00807BCB">
        <w:rPr>
          <w:rFonts w:ascii="Book Antiqua" w:eastAsia="Book Antiqua" w:hAnsi="Book Antiqua" w:cs="Book Antiqua"/>
          <w:color w:val="000000"/>
          <w:vertAlign w:val="superscript"/>
        </w:rPr>
        <w:t>[2</w:t>
      </w:r>
      <w:r w:rsidRPr="00807BCB">
        <w:rPr>
          <w:rFonts w:ascii="Book Antiqua" w:hAnsi="Book Antiqua" w:cs="Book Antiqua" w:hint="eastAsia"/>
          <w:color w:val="000000"/>
          <w:vertAlign w:val="superscript"/>
          <w:lang w:eastAsia="zh-CN"/>
        </w:rPr>
        <w:t>3</w:t>
      </w:r>
      <w:r w:rsidRPr="00807BCB">
        <w:rPr>
          <w:rFonts w:ascii="Book Antiqua" w:eastAsia="Book Antiqua" w:hAnsi="Book Antiqua" w:cs="Book Antiqua"/>
          <w:color w:val="000000"/>
          <w:vertAlign w:val="superscript"/>
        </w:rPr>
        <w:t>]</w:t>
      </w:r>
      <w:r w:rsidRPr="00807BCB">
        <w:rPr>
          <w:rFonts w:ascii="Book Antiqua" w:eastAsia="Book Antiqua" w:hAnsi="Book Antiqua" w:cs="Book Antiqua"/>
          <w:b/>
          <w:bCs/>
          <w:color w:val="000000"/>
        </w:rPr>
        <w:t xml:space="preserve"> </w:t>
      </w:r>
      <w:r w:rsidRPr="00807BCB">
        <w:rPr>
          <w:rFonts w:ascii="Book Antiqua" w:eastAsia="Book Antiqua" w:hAnsi="Book Antiqua" w:cs="Book Antiqua"/>
          <w:color w:val="000000"/>
        </w:rPr>
        <w:t>reported that GH replacement therapy improved NASH and HPS</w:t>
      </w:r>
      <w:r w:rsidRPr="00807BCB">
        <w:rPr>
          <w:rFonts w:ascii="Book Antiqua" w:eastAsia="Book Antiqua" w:hAnsi="Book Antiqua" w:cs="Book Antiqua"/>
          <w:color w:val="000000"/>
          <w:vertAlign w:val="superscript"/>
        </w:rPr>
        <w:t>[2</w:t>
      </w:r>
      <w:r w:rsidRPr="00807BCB">
        <w:rPr>
          <w:rFonts w:ascii="Book Antiqua" w:hAnsi="Book Antiqua" w:cs="Book Antiqua" w:hint="eastAsia"/>
          <w:color w:val="000000"/>
          <w:vertAlign w:val="superscript"/>
          <w:lang w:eastAsia="zh-CN"/>
        </w:rPr>
        <w:t>2</w:t>
      </w:r>
      <w:r w:rsidRPr="00807BCB">
        <w:rPr>
          <w:rFonts w:ascii="Book Antiqua" w:eastAsia="Book Antiqua" w:hAnsi="Book Antiqua" w:cs="Book Antiqua"/>
          <w:color w:val="000000"/>
          <w:vertAlign w:val="superscript"/>
        </w:rPr>
        <w:t>,2</w:t>
      </w:r>
      <w:r w:rsidRPr="00807BCB">
        <w:rPr>
          <w:rFonts w:ascii="Book Antiqua" w:hAnsi="Book Antiqua" w:cs="Book Antiqua" w:hint="eastAsia"/>
          <w:color w:val="000000"/>
          <w:vertAlign w:val="superscript"/>
          <w:lang w:eastAsia="zh-CN"/>
        </w:rPr>
        <w:t>3</w:t>
      </w:r>
      <w:r w:rsidRPr="00807BCB">
        <w:rPr>
          <w:rFonts w:ascii="Book Antiqua" w:eastAsia="Book Antiqua" w:hAnsi="Book Antiqua" w:cs="Book Antiqua"/>
          <w:color w:val="000000"/>
          <w:vertAlign w:val="superscript"/>
        </w:rPr>
        <w:t>]</w:t>
      </w:r>
      <w:r w:rsidRPr="00807BCB">
        <w:rPr>
          <w:rFonts w:ascii="Book Antiqua" w:eastAsia="Book Antiqua" w:hAnsi="Book Antiqua" w:cs="Book Antiqua"/>
          <w:color w:val="000000"/>
        </w:rPr>
        <w:t>. A 29-year-old man with pituitary stalk interruption syndrome progressed slowly to HPS, and after 14 mo of treatment with recombinant human GH, the liver function and hypoxemia improved, and liver fibrosis did not progress</w:t>
      </w:r>
      <w:r w:rsidRPr="00807BCB">
        <w:rPr>
          <w:rFonts w:ascii="Book Antiqua" w:eastAsia="Book Antiqua" w:hAnsi="Book Antiqua" w:cs="Book Antiqua"/>
          <w:color w:val="000000"/>
          <w:vertAlign w:val="superscript"/>
        </w:rPr>
        <w:t>[2</w:t>
      </w:r>
      <w:r w:rsidRPr="00807BCB">
        <w:rPr>
          <w:rFonts w:ascii="Book Antiqua" w:hAnsi="Book Antiqua" w:cs="Book Antiqua" w:hint="eastAsia"/>
          <w:color w:val="000000"/>
          <w:vertAlign w:val="superscript"/>
          <w:lang w:eastAsia="zh-CN"/>
        </w:rPr>
        <w:t>4</w:t>
      </w:r>
      <w:r w:rsidRPr="00807BCB">
        <w:rPr>
          <w:rFonts w:ascii="Book Antiqua" w:eastAsia="Book Antiqua" w:hAnsi="Book Antiqua" w:cs="Book Antiqua"/>
          <w:color w:val="000000"/>
          <w:vertAlign w:val="superscript"/>
        </w:rPr>
        <w:t>]</w:t>
      </w:r>
      <w:r w:rsidRPr="00807BCB">
        <w:rPr>
          <w:rFonts w:ascii="Book Antiqua" w:eastAsia="Book Antiqua" w:hAnsi="Book Antiqua" w:cs="Book Antiqua"/>
          <w:color w:val="000000"/>
        </w:rPr>
        <w:t>.</w:t>
      </w:r>
    </w:p>
    <w:p w14:paraId="3BDA0DF2" w14:textId="77777777" w:rsidR="005105FB" w:rsidRPr="00807BCB" w:rsidRDefault="00A36158">
      <w:pPr>
        <w:spacing w:line="360" w:lineRule="auto"/>
        <w:ind w:firstLineChars="200" w:firstLine="480"/>
        <w:jc w:val="both"/>
        <w:rPr>
          <w:rFonts w:ascii="Book Antiqua" w:hAnsi="Book Antiqua"/>
        </w:rPr>
      </w:pPr>
      <w:r w:rsidRPr="00807BCB">
        <w:rPr>
          <w:rFonts w:ascii="Book Antiqua" w:eastAsia="Book Antiqua" w:hAnsi="Book Antiqua" w:cs="Book Antiqua"/>
          <w:color w:val="000000"/>
        </w:rPr>
        <w:t xml:space="preserve">Recent studies have demonstrated an increased prevalence of NASH in adult patients with GH deficiency and improvement in liver function impairment after GH replacement therapy. Although it is unclear whether GH replacement therapy directly or indirectly reduces oxidative stress in the liver, GH has antioxidant stress effects </w:t>
      </w:r>
      <w:r w:rsidRPr="00807BCB">
        <w:rPr>
          <w:rFonts w:ascii="Book Antiqua" w:eastAsia="Book Antiqua" w:hAnsi="Book Antiqua" w:cs="Book Antiqua"/>
          <w:i/>
          <w:color w:val="000000"/>
        </w:rPr>
        <w:t>in vivo</w:t>
      </w:r>
      <w:r w:rsidRPr="00807BCB">
        <w:rPr>
          <w:rFonts w:ascii="Book Antiqua" w:eastAsia="Book Antiqua" w:hAnsi="Book Antiqua" w:cs="Book Antiqua"/>
          <w:color w:val="000000"/>
        </w:rPr>
        <w:t>. GH can directly reduce adipogenesis in liver cells and simultaneously regulate the production of IGF1, which can induce cell senescence and inactivate hepatic stellate cells, thus improving liver fibrosis</w:t>
      </w:r>
      <w:r w:rsidRPr="00807BCB">
        <w:rPr>
          <w:rFonts w:ascii="Book Antiqua" w:eastAsia="Book Antiqua" w:hAnsi="Book Antiqua" w:cs="Book Antiqua"/>
          <w:color w:val="000000"/>
          <w:vertAlign w:val="superscript"/>
        </w:rPr>
        <w:t>[2</w:t>
      </w:r>
      <w:r w:rsidRPr="00807BCB">
        <w:rPr>
          <w:rFonts w:ascii="Book Antiqua" w:hAnsi="Book Antiqua" w:cs="Book Antiqua" w:hint="eastAsia"/>
          <w:color w:val="000000"/>
          <w:vertAlign w:val="superscript"/>
          <w:lang w:eastAsia="zh-CN"/>
        </w:rPr>
        <w:t>5</w:t>
      </w:r>
      <w:r w:rsidRPr="00807BCB">
        <w:rPr>
          <w:rFonts w:ascii="Book Antiqua" w:eastAsia="Book Antiqua" w:hAnsi="Book Antiqua" w:cs="Book Antiqua"/>
          <w:color w:val="000000"/>
          <w:vertAlign w:val="superscript"/>
        </w:rPr>
        <w:t>]</w:t>
      </w:r>
      <w:r w:rsidRPr="00807BCB">
        <w:rPr>
          <w:rFonts w:ascii="Book Antiqua" w:eastAsia="Book Antiqua" w:hAnsi="Book Antiqua" w:cs="Book Antiqua"/>
          <w:color w:val="000000"/>
        </w:rPr>
        <w:t>.</w:t>
      </w:r>
    </w:p>
    <w:p w14:paraId="3755C31F" w14:textId="77777777" w:rsidR="005105FB" w:rsidRPr="00807BCB" w:rsidRDefault="005105FB">
      <w:pPr>
        <w:spacing w:line="360" w:lineRule="auto"/>
        <w:jc w:val="both"/>
        <w:rPr>
          <w:rFonts w:ascii="Book Antiqua" w:hAnsi="Book Antiqua"/>
        </w:rPr>
      </w:pPr>
    </w:p>
    <w:p w14:paraId="702B5DA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aps/>
          <w:color w:val="000000"/>
          <w:u w:val="single"/>
        </w:rPr>
        <w:t>CONCLUSION</w:t>
      </w:r>
    </w:p>
    <w:p w14:paraId="4AB5480E"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Craniopharyngioma in children likely damages the pituitary gland and leads to hypopituitarism, regardless of its unique location or treatment with surgery or radiotherapy. Hypopituitarism in children is likely to develop into NASH, cirrhosis, and even HPS. In this study, GH replacement therapy significantly improved liver function, metabolic status, and hypoxemia, providing new clinical support for the early diagnosis and treatment of NASH and HPS in children with hypopituitarism.</w:t>
      </w:r>
    </w:p>
    <w:p w14:paraId="279A2052" w14:textId="77777777" w:rsidR="005105FB" w:rsidRPr="00807BCB" w:rsidRDefault="005105FB">
      <w:pPr>
        <w:spacing w:line="360" w:lineRule="auto"/>
        <w:jc w:val="both"/>
        <w:rPr>
          <w:rFonts w:ascii="Book Antiqua" w:hAnsi="Book Antiqua"/>
        </w:rPr>
      </w:pPr>
    </w:p>
    <w:p w14:paraId="5ED6BE75"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lastRenderedPageBreak/>
        <w:t>REFERENCES</w:t>
      </w:r>
    </w:p>
    <w:p w14:paraId="6F557215"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 </w:t>
      </w:r>
      <w:r w:rsidRPr="00807BCB">
        <w:rPr>
          <w:rFonts w:ascii="Book Antiqua" w:eastAsia="Book Antiqua" w:hAnsi="Book Antiqua" w:cs="Book Antiqua"/>
          <w:b/>
          <w:bCs/>
          <w:color w:val="000000"/>
        </w:rPr>
        <w:t>Marino L</w:t>
      </w:r>
      <w:r w:rsidRPr="00807BCB">
        <w:rPr>
          <w:rFonts w:ascii="Book Antiqua" w:eastAsia="Book Antiqua" w:hAnsi="Book Antiqua" w:cs="Book Antiqua"/>
          <w:color w:val="000000"/>
        </w:rPr>
        <w:t xml:space="preserve">, Jornayvaz FR. Endocrine causes of nonalcoholic fatty liver disease. </w:t>
      </w:r>
      <w:r w:rsidRPr="00807BCB">
        <w:rPr>
          <w:rFonts w:ascii="Book Antiqua" w:eastAsia="Book Antiqua" w:hAnsi="Book Antiqua" w:cs="Book Antiqua"/>
          <w:i/>
          <w:iCs/>
          <w:color w:val="000000"/>
        </w:rPr>
        <w:t>World J Gastroenterol</w:t>
      </w:r>
      <w:r w:rsidRPr="00807BCB">
        <w:rPr>
          <w:rFonts w:ascii="Book Antiqua" w:eastAsia="Book Antiqua" w:hAnsi="Book Antiqua" w:cs="Book Antiqua"/>
          <w:color w:val="000000"/>
        </w:rPr>
        <w:t xml:space="preserve"> 2015; </w:t>
      </w:r>
      <w:r w:rsidRPr="00807BCB">
        <w:rPr>
          <w:rFonts w:ascii="Book Antiqua" w:eastAsia="Book Antiqua" w:hAnsi="Book Antiqua" w:cs="Book Antiqua"/>
          <w:b/>
          <w:bCs/>
          <w:color w:val="000000"/>
        </w:rPr>
        <w:t>21</w:t>
      </w:r>
      <w:r w:rsidRPr="00807BCB">
        <w:rPr>
          <w:rFonts w:ascii="Book Antiqua" w:eastAsia="Book Antiqua" w:hAnsi="Book Antiqua" w:cs="Book Antiqua"/>
          <w:color w:val="000000"/>
        </w:rPr>
        <w:t>: 11053-11076 [PMID: 26494962 DOI: 10.3748/wjg.v21.i39.11053]</w:t>
      </w:r>
    </w:p>
    <w:p w14:paraId="3C0678D4"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2 </w:t>
      </w:r>
      <w:r w:rsidRPr="00807BCB">
        <w:rPr>
          <w:rFonts w:ascii="Book Antiqua" w:eastAsia="Book Antiqua" w:hAnsi="Book Antiqua" w:cs="Book Antiqua"/>
          <w:b/>
          <w:bCs/>
          <w:color w:val="000000"/>
        </w:rPr>
        <w:t>Lustig RH</w:t>
      </w:r>
      <w:r w:rsidRPr="00807BCB">
        <w:rPr>
          <w:rFonts w:ascii="Book Antiqua" w:eastAsia="Book Antiqua" w:hAnsi="Book Antiqua" w:cs="Book Antiqua"/>
          <w:color w:val="000000"/>
        </w:rPr>
        <w:t xml:space="preserve">. Hypothalamic obesity after craniopharyngioma: mechanisms, diagnosis, and treatment. </w:t>
      </w:r>
      <w:r w:rsidRPr="00807BCB">
        <w:rPr>
          <w:rFonts w:ascii="Book Antiqua" w:eastAsia="Book Antiqua" w:hAnsi="Book Antiqua" w:cs="Book Antiqua"/>
          <w:i/>
          <w:iCs/>
          <w:color w:val="000000"/>
        </w:rPr>
        <w:t>Front Endocrinol (Lausanne)</w:t>
      </w:r>
      <w:r w:rsidRPr="00807BCB">
        <w:rPr>
          <w:rFonts w:ascii="Book Antiqua" w:eastAsia="Book Antiqua" w:hAnsi="Book Antiqua" w:cs="Book Antiqua"/>
          <w:color w:val="000000"/>
        </w:rPr>
        <w:t xml:space="preserve"> 2011; </w:t>
      </w:r>
      <w:r w:rsidRPr="00807BCB">
        <w:rPr>
          <w:rFonts w:ascii="Book Antiqua" w:eastAsia="Book Antiqua" w:hAnsi="Book Antiqua" w:cs="Book Antiqua"/>
          <w:b/>
          <w:bCs/>
          <w:color w:val="000000"/>
        </w:rPr>
        <w:t>2</w:t>
      </w:r>
      <w:r w:rsidRPr="00807BCB">
        <w:rPr>
          <w:rFonts w:ascii="Book Antiqua" w:eastAsia="Book Antiqua" w:hAnsi="Book Antiqua" w:cs="Book Antiqua"/>
          <w:color w:val="000000"/>
        </w:rPr>
        <w:t>: 60 [PMID: 22654817 DOI: 10.3389/fendo.2011.00060]</w:t>
      </w:r>
    </w:p>
    <w:p w14:paraId="5F5637C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3 </w:t>
      </w:r>
      <w:r w:rsidRPr="00807BCB">
        <w:rPr>
          <w:rFonts w:ascii="Book Antiqua" w:eastAsia="Book Antiqua" w:hAnsi="Book Antiqua" w:cs="Book Antiqua"/>
          <w:b/>
          <w:bCs/>
          <w:color w:val="000000"/>
        </w:rPr>
        <w:t>Eveslage M</w:t>
      </w:r>
      <w:r w:rsidRPr="00807BCB">
        <w:rPr>
          <w:rFonts w:ascii="Book Antiqua" w:eastAsia="Book Antiqua" w:hAnsi="Book Antiqua" w:cs="Book Antiqua"/>
          <w:color w:val="000000"/>
        </w:rPr>
        <w:t xml:space="preserve">, Calaminus G, Warmuth-Metz M, Kortmann RD, Pohl F, Timmermann B, Schuhmann MU, Flitsch J, Faldum A, Müller HL. The Postopera tive Quality of Life in Children and Adolescents with Craniopharyngioma. </w:t>
      </w:r>
      <w:r w:rsidRPr="00807BCB">
        <w:rPr>
          <w:rFonts w:ascii="Book Antiqua" w:eastAsia="Book Antiqua" w:hAnsi="Book Antiqua" w:cs="Book Antiqua"/>
          <w:i/>
          <w:iCs/>
          <w:color w:val="000000"/>
        </w:rPr>
        <w:t>Dtsch Arztebl Int</w:t>
      </w:r>
      <w:r w:rsidRPr="00807BCB">
        <w:rPr>
          <w:rFonts w:ascii="Book Antiqua" w:eastAsia="Book Antiqua" w:hAnsi="Book Antiqua" w:cs="Book Antiqua"/>
          <w:color w:val="000000"/>
        </w:rPr>
        <w:t xml:space="preserve"> 2019; </w:t>
      </w:r>
      <w:r w:rsidRPr="00807BCB">
        <w:rPr>
          <w:rFonts w:ascii="Book Antiqua" w:eastAsia="Book Antiqua" w:hAnsi="Book Antiqua" w:cs="Book Antiqua"/>
          <w:b/>
          <w:bCs/>
          <w:color w:val="000000"/>
        </w:rPr>
        <w:t>116</w:t>
      </w:r>
      <w:r w:rsidRPr="00807BCB">
        <w:rPr>
          <w:rFonts w:ascii="Book Antiqua" w:eastAsia="Book Antiqua" w:hAnsi="Book Antiqua" w:cs="Book Antiqua"/>
          <w:color w:val="000000"/>
        </w:rPr>
        <w:t>: 321-328 [PMID: 31219033 DOI: 10.3238/arztebl.2019.0321]</w:t>
      </w:r>
    </w:p>
    <w:p w14:paraId="09A5BFAF"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4 </w:t>
      </w:r>
      <w:r w:rsidRPr="00807BCB">
        <w:rPr>
          <w:rFonts w:ascii="Book Antiqua" w:eastAsia="Book Antiqua" w:hAnsi="Book Antiqua" w:cs="Book Antiqua"/>
          <w:b/>
          <w:bCs/>
          <w:color w:val="000000"/>
        </w:rPr>
        <w:t>Müller HL</w:t>
      </w:r>
      <w:r w:rsidRPr="00807BCB">
        <w:rPr>
          <w:rFonts w:ascii="Book Antiqua" w:eastAsia="Book Antiqua" w:hAnsi="Book Antiqua" w:cs="Book Antiqua"/>
          <w:color w:val="000000"/>
        </w:rPr>
        <w:t xml:space="preserve">. Craniopharyngioma. </w:t>
      </w:r>
      <w:r w:rsidRPr="00807BCB">
        <w:rPr>
          <w:rFonts w:ascii="Book Antiqua" w:eastAsia="Book Antiqua" w:hAnsi="Book Antiqua" w:cs="Book Antiqua"/>
          <w:i/>
          <w:iCs/>
          <w:color w:val="000000"/>
        </w:rPr>
        <w:t>Endocr Rev</w:t>
      </w:r>
      <w:r w:rsidRPr="00807BCB">
        <w:rPr>
          <w:rFonts w:ascii="Book Antiqua" w:eastAsia="Book Antiqua" w:hAnsi="Book Antiqua" w:cs="Book Antiqua"/>
          <w:color w:val="000000"/>
        </w:rPr>
        <w:t xml:space="preserve"> 2014; </w:t>
      </w:r>
      <w:r w:rsidRPr="00807BCB">
        <w:rPr>
          <w:rFonts w:ascii="Book Antiqua" w:eastAsia="Book Antiqua" w:hAnsi="Book Antiqua" w:cs="Book Antiqua"/>
          <w:b/>
          <w:bCs/>
          <w:color w:val="000000"/>
        </w:rPr>
        <w:t>35</w:t>
      </w:r>
      <w:r w:rsidRPr="00807BCB">
        <w:rPr>
          <w:rFonts w:ascii="Book Antiqua" w:eastAsia="Book Antiqua" w:hAnsi="Book Antiqua" w:cs="Book Antiqua"/>
          <w:color w:val="000000"/>
        </w:rPr>
        <w:t>: 513-543 [PMID: 24467716 DOI: 10.1210/er.2013-1115]</w:t>
      </w:r>
    </w:p>
    <w:p w14:paraId="36B74483"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5 </w:t>
      </w:r>
      <w:r w:rsidRPr="00807BCB">
        <w:rPr>
          <w:rFonts w:ascii="Book Antiqua" w:eastAsia="Book Antiqua" w:hAnsi="Book Antiqua" w:cs="Book Antiqua"/>
          <w:b/>
          <w:bCs/>
          <w:color w:val="000000"/>
        </w:rPr>
        <w:t>Chen X</w:t>
      </w:r>
      <w:r w:rsidRPr="00807BCB">
        <w:rPr>
          <w:rFonts w:ascii="Book Antiqua" w:eastAsia="Book Antiqua" w:hAnsi="Book Antiqua" w:cs="Book Antiqua"/>
          <w:color w:val="000000"/>
        </w:rPr>
        <w:t xml:space="preserve">, Tong Y, Shi Z, Chen H, Yang Z, Wang Y, Chen L, Yu J. Noninvasive molecular diagnosis of craniopharyngioma with MRI-based radiomics approach. </w:t>
      </w:r>
      <w:r w:rsidRPr="00807BCB">
        <w:rPr>
          <w:rFonts w:ascii="Book Antiqua" w:eastAsia="Book Antiqua" w:hAnsi="Book Antiqua" w:cs="Book Antiqua"/>
          <w:i/>
          <w:iCs/>
          <w:color w:val="000000"/>
        </w:rPr>
        <w:t>BMC Neurol</w:t>
      </w:r>
      <w:r w:rsidRPr="00807BCB">
        <w:rPr>
          <w:rFonts w:ascii="Book Antiqua" w:eastAsia="Book Antiqua" w:hAnsi="Book Antiqua" w:cs="Book Antiqua"/>
          <w:color w:val="000000"/>
        </w:rPr>
        <w:t xml:space="preserve"> 2019; </w:t>
      </w:r>
      <w:r w:rsidRPr="00807BCB">
        <w:rPr>
          <w:rFonts w:ascii="Book Antiqua" w:eastAsia="Book Antiqua" w:hAnsi="Book Antiqua" w:cs="Book Antiqua"/>
          <w:b/>
          <w:bCs/>
          <w:color w:val="000000"/>
        </w:rPr>
        <w:t>19</w:t>
      </w:r>
      <w:r w:rsidRPr="00807BCB">
        <w:rPr>
          <w:rFonts w:ascii="Book Antiqua" w:eastAsia="Book Antiqua" w:hAnsi="Book Antiqua" w:cs="Book Antiqua"/>
          <w:color w:val="000000"/>
        </w:rPr>
        <w:t>: 6 [PMID: 30616515 DOI: 10.1186/s12883-018-1216-z]</w:t>
      </w:r>
    </w:p>
    <w:p w14:paraId="2FCC285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6 </w:t>
      </w:r>
      <w:r w:rsidRPr="00807BCB">
        <w:rPr>
          <w:rFonts w:ascii="Book Antiqua" w:eastAsia="Book Antiqua" w:hAnsi="Book Antiqua" w:cs="Book Antiqua"/>
          <w:b/>
          <w:bCs/>
          <w:color w:val="000000"/>
        </w:rPr>
        <w:t>Kim U</w:t>
      </w:r>
      <w:r w:rsidRPr="00807BCB">
        <w:rPr>
          <w:rFonts w:ascii="Book Antiqua" w:eastAsia="Book Antiqua" w:hAnsi="Book Antiqua" w:cs="Book Antiqua"/>
          <w:color w:val="000000"/>
        </w:rPr>
        <w:t xml:space="preserve">, Kim N, Shin HY. Modeling Non-Alcoholic Fatty Liver Disease (NAFLD) Using "Good-Fit" Genome-Editing Tools. </w:t>
      </w:r>
      <w:r w:rsidRPr="00807BCB">
        <w:rPr>
          <w:rFonts w:ascii="Book Antiqua" w:eastAsia="Book Antiqua" w:hAnsi="Book Antiqua" w:cs="Book Antiqua"/>
          <w:i/>
          <w:iCs/>
          <w:color w:val="000000"/>
        </w:rPr>
        <w:t>Cells</w:t>
      </w:r>
      <w:r w:rsidRPr="00807BCB">
        <w:rPr>
          <w:rFonts w:ascii="Book Antiqua" w:eastAsia="Book Antiqua" w:hAnsi="Book Antiqua" w:cs="Book Antiqua"/>
          <w:color w:val="000000"/>
        </w:rPr>
        <w:t xml:space="preserve"> 2020; </w:t>
      </w:r>
      <w:r w:rsidRPr="00807BCB">
        <w:rPr>
          <w:rFonts w:ascii="Book Antiqua" w:eastAsia="Book Antiqua" w:hAnsi="Book Antiqua" w:cs="Book Antiqua"/>
          <w:b/>
          <w:bCs/>
          <w:color w:val="000000"/>
        </w:rPr>
        <w:t>9</w:t>
      </w:r>
      <w:r w:rsidRPr="00807BCB">
        <w:rPr>
          <w:rFonts w:ascii="Book Antiqua" w:eastAsia="Book Antiqua" w:hAnsi="Book Antiqua" w:cs="Book Antiqua"/>
          <w:color w:val="000000"/>
        </w:rPr>
        <w:t xml:space="preserve"> [PMID: 33271878 DOI: 10.3390/cells9122572]</w:t>
      </w:r>
    </w:p>
    <w:p w14:paraId="46334CEB"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7 </w:t>
      </w:r>
      <w:r w:rsidRPr="00807BCB">
        <w:rPr>
          <w:rFonts w:ascii="Book Antiqua" w:eastAsia="Book Antiqua" w:hAnsi="Book Antiqua" w:cs="Book Antiqua"/>
          <w:b/>
          <w:bCs/>
          <w:color w:val="000000"/>
        </w:rPr>
        <w:t>Singeap AM</w:t>
      </w:r>
      <w:r w:rsidRPr="00807BCB">
        <w:rPr>
          <w:rFonts w:ascii="Book Antiqua" w:eastAsia="Book Antiqua" w:hAnsi="Book Antiqua" w:cs="Book Antiqua"/>
          <w:color w:val="000000"/>
        </w:rPr>
        <w:t xml:space="preserve">, Stanciu C, Huiban L, Muzica CM, Cuciureanu T, Girleanu I, Chiriac S, Zenovia S, Nastasa R, Sfarti C, Cojocariu C, Trifan A. Association between Nonalcoholic Fatty Liver Disease and Endocrinopathies: Clinical Implications. </w:t>
      </w:r>
      <w:r w:rsidRPr="00807BCB">
        <w:rPr>
          <w:rFonts w:ascii="Book Antiqua" w:eastAsia="Book Antiqua" w:hAnsi="Book Antiqua" w:cs="Book Antiqua"/>
          <w:i/>
          <w:iCs/>
          <w:color w:val="000000"/>
        </w:rPr>
        <w:t>Can J Gastroenterol Hepatol</w:t>
      </w:r>
      <w:r w:rsidRPr="00807BCB">
        <w:rPr>
          <w:rFonts w:ascii="Book Antiqua" w:eastAsia="Book Antiqua" w:hAnsi="Book Antiqua" w:cs="Book Antiqua"/>
          <w:color w:val="000000"/>
        </w:rPr>
        <w:t xml:space="preserve"> 2021; </w:t>
      </w:r>
      <w:r w:rsidRPr="00807BCB">
        <w:rPr>
          <w:rFonts w:ascii="Book Antiqua" w:eastAsia="Book Antiqua" w:hAnsi="Book Antiqua" w:cs="Book Antiqua"/>
          <w:b/>
          <w:bCs/>
          <w:color w:val="000000"/>
        </w:rPr>
        <w:t>2021</w:t>
      </w:r>
      <w:r w:rsidRPr="00807BCB">
        <w:rPr>
          <w:rFonts w:ascii="Book Antiqua" w:eastAsia="Book Antiqua" w:hAnsi="Book Antiqua" w:cs="Book Antiqua"/>
          <w:color w:val="000000"/>
        </w:rPr>
        <w:t>: 6678142 [PMID: 33505943 DOI: 10.1155/2021/6678142]</w:t>
      </w:r>
    </w:p>
    <w:p w14:paraId="391AB4A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8 </w:t>
      </w:r>
      <w:r w:rsidRPr="00807BCB">
        <w:rPr>
          <w:rFonts w:ascii="Book Antiqua" w:eastAsia="Book Antiqua" w:hAnsi="Book Antiqua" w:cs="Book Antiqua"/>
          <w:b/>
          <w:bCs/>
          <w:color w:val="000000"/>
        </w:rPr>
        <w:t>Gilliland T</w:t>
      </w:r>
      <w:r w:rsidRPr="00807BCB">
        <w:rPr>
          <w:rFonts w:ascii="Book Antiqua" w:eastAsia="Book Antiqua" w:hAnsi="Book Antiqua" w:cs="Book Antiqua"/>
          <w:color w:val="000000"/>
        </w:rPr>
        <w:t xml:space="preserve">, Dufour S, Shulman GI, Petersen KF, Emre SH. Resolution of non-alcoholic steatohepatitis after growth hormone replacement in a pediatric liver transplant patient with panhypopituitarism. </w:t>
      </w:r>
      <w:r w:rsidRPr="00807BCB">
        <w:rPr>
          <w:rFonts w:ascii="Book Antiqua" w:eastAsia="Book Antiqua" w:hAnsi="Book Antiqua" w:cs="Book Antiqua"/>
          <w:i/>
          <w:iCs/>
          <w:color w:val="000000"/>
        </w:rPr>
        <w:t>Pediatr Transplant</w:t>
      </w:r>
      <w:r w:rsidRPr="00807BCB">
        <w:rPr>
          <w:rFonts w:ascii="Book Antiqua" w:eastAsia="Book Antiqua" w:hAnsi="Book Antiqua" w:cs="Book Antiqua"/>
          <w:color w:val="000000"/>
        </w:rPr>
        <w:t xml:space="preserve"> 2016; </w:t>
      </w:r>
      <w:r w:rsidRPr="00807BCB">
        <w:rPr>
          <w:rFonts w:ascii="Book Antiqua" w:eastAsia="Book Antiqua" w:hAnsi="Book Antiqua" w:cs="Book Antiqua"/>
          <w:b/>
          <w:bCs/>
          <w:color w:val="000000"/>
        </w:rPr>
        <w:t>20</w:t>
      </w:r>
      <w:r w:rsidRPr="00807BCB">
        <w:rPr>
          <w:rFonts w:ascii="Book Antiqua" w:eastAsia="Book Antiqua" w:hAnsi="Book Antiqua" w:cs="Book Antiqua"/>
          <w:color w:val="000000"/>
        </w:rPr>
        <w:t>: 1157-1163 [PMID: 27762491 DOI: 10.1111/petr.12819]</w:t>
      </w:r>
    </w:p>
    <w:p w14:paraId="5090557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9 </w:t>
      </w:r>
      <w:r w:rsidRPr="00807BCB">
        <w:rPr>
          <w:rFonts w:ascii="Book Antiqua" w:eastAsia="Book Antiqua" w:hAnsi="Book Antiqua" w:cs="Book Antiqua"/>
          <w:b/>
          <w:bCs/>
          <w:color w:val="000000"/>
        </w:rPr>
        <w:t>Adams LA</w:t>
      </w:r>
      <w:r w:rsidRPr="00807BCB">
        <w:rPr>
          <w:rFonts w:ascii="Book Antiqua" w:eastAsia="Book Antiqua" w:hAnsi="Book Antiqua" w:cs="Book Antiqua"/>
          <w:color w:val="000000"/>
        </w:rPr>
        <w:t xml:space="preserve">, Feldstein A, Lindor KD, Angulo P. Nonalcoholic fatty liver disease among patients with hypothalamic and pituitary dysfunction. </w:t>
      </w:r>
      <w:r w:rsidRPr="00807BCB">
        <w:rPr>
          <w:rFonts w:ascii="Book Antiqua" w:eastAsia="Book Antiqua" w:hAnsi="Book Antiqua" w:cs="Book Antiqua"/>
          <w:i/>
          <w:iCs/>
          <w:color w:val="000000"/>
        </w:rPr>
        <w:t>Hepatology</w:t>
      </w:r>
      <w:r w:rsidRPr="00807BCB">
        <w:rPr>
          <w:rFonts w:ascii="Book Antiqua" w:eastAsia="Book Antiqua" w:hAnsi="Book Antiqua" w:cs="Book Antiqua"/>
          <w:color w:val="000000"/>
        </w:rPr>
        <w:t xml:space="preserve"> 2004; </w:t>
      </w:r>
      <w:r w:rsidRPr="00807BCB">
        <w:rPr>
          <w:rFonts w:ascii="Book Antiqua" w:eastAsia="Book Antiqua" w:hAnsi="Book Antiqua" w:cs="Book Antiqua"/>
          <w:b/>
          <w:bCs/>
          <w:color w:val="000000"/>
        </w:rPr>
        <w:t>39</w:t>
      </w:r>
      <w:r w:rsidRPr="00807BCB">
        <w:rPr>
          <w:rFonts w:ascii="Book Antiqua" w:eastAsia="Book Antiqua" w:hAnsi="Book Antiqua" w:cs="Book Antiqua"/>
          <w:color w:val="000000"/>
        </w:rPr>
        <w:t>: 909-914 [PMID: 15057893 DOI: 10.1002/hep.20140]</w:t>
      </w:r>
    </w:p>
    <w:p w14:paraId="4C2C5D73"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lastRenderedPageBreak/>
        <w:t xml:space="preserve">10 </w:t>
      </w:r>
      <w:r w:rsidRPr="00807BCB">
        <w:rPr>
          <w:rFonts w:ascii="Book Antiqua" w:eastAsia="Book Antiqua" w:hAnsi="Book Antiqua" w:cs="Book Antiqua"/>
          <w:b/>
          <w:bCs/>
          <w:color w:val="000000"/>
        </w:rPr>
        <w:t>Jung D</w:t>
      </w:r>
      <w:r w:rsidRPr="00807BCB">
        <w:rPr>
          <w:rFonts w:ascii="Book Antiqua" w:eastAsia="Book Antiqua" w:hAnsi="Book Antiqua" w:cs="Book Antiqua"/>
          <w:color w:val="000000"/>
        </w:rPr>
        <w:t xml:space="preserve">, Seo GH, Kim YM, Choi JH, Yoo HW. Hepatopulmonary syndrome caused by hypothalamic obesity and nonalcoholic fatty liver disease after surgery for craniopharyngioma: a case report. </w:t>
      </w:r>
      <w:r w:rsidRPr="00807BCB">
        <w:rPr>
          <w:rFonts w:ascii="Book Antiqua" w:eastAsia="Book Antiqua" w:hAnsi="Book Antiqua" w:cs="Book Antiqua"/>
          <w:i/>
          <w:iCs/>
          <w:color w:val="000000"/>
        </w:rPr>
        <w:t>Ann Pediatr Endocrinol Metab</w:t>
      </w:r>
      <w:r w:rsidRPr="00807BCB">
        <w:rPr>
          <w:rFonts w:ascii="Book Antiqua" w:eastAsia="Book Antiqua" w:hAnsi="Book Antiqua" w:cs="Book Antiqua"/>
          <w:color w:val="000000"/>
        </w:rPr>
        <w:t xml:space="preserve"> 2018; </w:t>
      </w:r>
      <w:r w:rsidRPr="00807BCB">
        <w:rPr>
          <w:rFonts w:ascii="Book Antiqua" w:eastAsia="Book Antiqua" w:hAnsi="Book Antiqua" w:cs="Book Antiqua"/>
          <w:b/>
          <w:bCs/>
          <w:color w:val="000000"/>
        </w:rPr>
        <w:t>23</w:t>
      </w:r>
      <w:r w:rsidRPr="00807BCB">
        <w:rPr>
          <w:rFonts w:ascii="Book Antiqua" w:eastAsia="Book Antiqua" w:hAnsi="Book Antiqua" w:cs="Book Antiqua"/>
          <w:color w:val="000000"/>
        </w:rPr>
        <w:t>: 51-55 [PMID: 29609450 DOI: 10.6065/apem.2018.23.1.51]</w:t>
      </w:r>
    </w:p>
    <w:p w14:paraId="5D09D1B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11 </w:t>
      </w:r>
      <w:r w:rsidRPr="00807BCB">
        <w:rPr>
          <w:rFonts w:ascii="Book Antiqua" w:eastAsia="Book Antiqua" w:hAnsi="Book Antiqua" w:cs="Book Antiqua"/>
          <w:b/>
          <w:bCs/>
          <w:color w:val="000000"/>
        </w:rPr>
        <w:t>Hoffmann A</w:t>
      </w:r>
      <w:r w:rsidRPr="00807BCB">
        <w:rPr>
          <w:rFonts w:ascii="Book Antiqua" w:eastAsia="Book Antiqua" w:hAnsi="Book Antiqua" w:cs="Book Antiqua"/>
          <w:color w:val="000000"/>
        </w:rPr>
        <w:t xml:space="preserve">, Bootsveld K, Gebhardt U, Daubenbüchel AM, Sterkenburg AS, Müller HL. Nonalcoholic fatty liver disease and fatigue in long-term survivors of childhood-onset craniopharyngioma. </w:t>
      </w:r>
      <w:r w:rsidRPr="00807BCB">
        <w:rPr>
          <w:rFonts w:ascii="Book Antiqua" w:eastAsia="Book Antiqua" w:hAnsi="Book Antiqua" w:cs="Book Antiqua"/>
          <w:i/>
          <w:iCs/>
          <w:color w:val="000000"/>
        </w:rPr>
        <w:t>Eur J Endocrinol</w:t>
      </w:r>
      <w:r w:rsidRPr="00807BCB">
        <w:rPr>
          <w:rFonts w:ascii="Book Antiqua" w:eastAsia="Book Antiqua" w:hAnsi="Book Antiqua" w:cs="Book Antiqua"/>
          <w:color w:val="000000"/>
        </w:rPr>
        <w:t xml:space="preserve"> 2015; </w:t>
      </w:r>
      <w:r w:rsidRPr="00807BCB">
        <w:rPr>
          <w:rFonts w:ascii="Book Antiqua" w:eastAsia="Book Antiqua" w:hAnsi="Book Antiqua" w:cs="Book Antiqua"/>
          <w:b/>
          <w:bCs/>
          <w:color w:val="000000"/>
        </w:rPr>
        <w:t>173</w:t>
      </w:r>
      <w:r w:rsidRPr="00807BCB">
        <w:rPr>
          <w:rFonts w:ascii="Book Antiqua" w:eastAsia="Book Antiqua" w:hAnsi="Book Antiqua" w:cs="Book Antiqua"/>
          <w:color w:val="000000"/>
        </w:rPr>
        <w:t>: 389-397 [PMID: 26088821 DOI: 10.1530/EJE-15-0422]</w:t>
      </w:r>
    </w:p>
    <w:p w14:paraId="5CBFBB5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12 </w:t>
      </w:r>
      <w:r w:rsidRPr="00807BCB">
        <w:rPr>
          <w:rFonts w:ascii="Book Antiqua" w:eastAsia="Book Antiqua" w:hAnsi="Book Antiqua" w:cs="Book Antiqua"/>
          <w:b/>
          <w:bCs/>
          <w:color w:val="000000"/>
        </w:rPr>
        <w:t>Della Corte C</w:t>
      </w:r>
      <w:r w:rsidRPr="00807BCB">
        <w:rPr>
          <w:rFonts w:ascii="Book Antiqua" w:eastAsia="Book Antiqua" w:hAnsi="Book Antiqua" w:cs="Book Antiqua"/>
          <w:color w:val="000000"/>
        </w:rPr>
        <w:t xml:space="preserve">, Mazzotta AR, Nobili V. Fatty liver disease and obesity in youth. </w:t>
      </w:r>
      <w:r w:rsidRPr="00807BCB">
        <w:rPr>
          <w:rFonts w:ascii="Book Antiqua" w:eastAsia="Book Antiqua" w:hAnsi="Book Antiqua" w:cs="Book Antiqua"/>
          <w:i/>
          <w:iCs/>
          <w:color w:val="000000"/>
        </w:rPr>
        <w:t>Curr Opin Endocrinol Diabetes Obes</w:t>
      </w:r>
      <w:r w:rsidRPr="00807BCB">
        <w:rPr>
          <w:rFonts w:ascii="Book Antiqua" w:eastAsia="Book Antiqua" w:hAnsi="Book Antiqua" w:cs="Book Antiqua"/>
          <w:color w:val="000000"/>
        </w:rPr>
        <w:t xml:space="preserve"> 2016; </w:t>
      </w:r>
      <w:r w:rsidRPr="00807BCB">
        <w:rPr>
          <w:rFonts w:ascii="Book Antiqua" w:eastAsia="Book Antiqua" w:hAnsi="Book Antiqua" w:cs="Book Antiqua"/>
          <w:b/>
          <w:bCs/>
          <w:color w:val="000000"/>
        </w:rPr>
        <w:t>23</w:t>
      </w:r>
      <w:r w:rsidRPr="00807BCB">
        <w:rPr>
          <w:rFonts w:ascii="Book Antiqua" w:eastAsia="Book Antiqua" w:hAnsi="Book Antiqua" w:cs="Book Antiqua"/>
          <w:color w:val="000000"/>
        </w:rPr>
        <w:t>: 66-71 [PMID: 26702852 DOI: 10.1097/MED.0000000000000221]</w:t>
      </w:r>
    </w:p>
    <w:p w14:paraId="4281D7B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13 </w:t>
      </w:r>
      <w:r w:rsidRPr="00807BCB">
        <w:rPr>
          <w:rFonts w:ascii="Book Antiqua" w:eastAsia="Book Antiqua" w:hAnsi="Book Antiqua" w:cs="Book Antiqua"/>
          <w:b/>
          <w:bCs/>
          <w:color w:val="000000"/>
        </w:rPr>
        <w:t>Sandlers Y</w:t>
      </w:r>
      <w:r w:rsidRPr="00807BCB">
        <w:rPr>
          <w:rFonts w:ascii="Book Antiqua" w:eastAsia="Book Antiqua" w:hAnsi="Book Antiqua" w:cs="Book Antiqua"/>
          <w:color w:val="000000"/>
        </w:rPr>
        <w:t xml:space="preserve">, Shah RR, Pearce RW, Dasarathy J, McCullough AJ, Dasarathy S. Plasma Krebs Cycle Intermediates in Nonalcoholic Fatty Liver Disease. </w:t>
      </w:r>
      <w:r w:rsidRPr="00807BCB">
        <w:rPr>
          <w:rFonts w:ascii="Book Antiqua" w:eastAsia="Book Antiqua" w:hAnsi="Book Antiqua" w:cs="Book Antiqua"/>
          <w:i/>
          <w:iCs/>
          <w:color w:val="000000"/>
        </w:rPr>
        <w:t>J Clin Med</w:t>
      </w:r>
      <w:r w:rsidRPr="00807BCB">
        <w:rPr>
          <w:rFonts w:ascii="Book Antiqua" w:eastAsia="Book Antiqua" w:hAnsi="Book Antiqua" w:cs="Book Antiqua"/>
          <w:color w:val="000000"/>
        </w:rPr>
        <w:t xml:space="preserve"> 2020; </w:t>
      </w:r>
      <w:r w:rsidRPr="00807BCB">
        <w:rPr>
          <w:rFonts w:ascii="Book Antiqua" w:eastAsia="Book Antiqua" w:hAnsi="Book Antiqua" w:cs="Book Antiqua"/>
          <w:b/>
          <w:bCs/>
          <w:color w:val="000000"/>
        </w:rPr>
        <w:t>9</w:t>
      </w:r>
      <w:r w:rsidRPr="00807BCB">
        <w:rPr>
          <w:rFonts w:ascii="Book Antiqua" w:eastAsia="Book Antiqua" w:hAnsi="Book Antiqua" w:cs="Book Antiqua"/>
          <w:color w:val="000000"/>
        </w:rPr>
        <w:t xml:space="preserve"> [PMID: 31979094 DOI: 10.3390/jcm9020314]</w:t>
      </w:r>
    </w:p>
    <w:p w14:paraId="0A3E21D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14 </w:t>
      </w:r>
      <w:r w:rsidRPr="00807BCB">
        <w:rPr>
          <w:rFonts w:ascii="Book Antiqua" w:eastAsia="Book Antiqua" w:hAnsi="Book Antiqua" w:cs="Book Antiqua"/>
          <w:b/>
          <w:bCs/>
          <w:color w:val="000000"/>
        </w:rPr>
        <w:t>Paradies G</w:t>
      </w:r>
      <w:r w:rsidRPr="00807BCB">
        <w:rPr>
          <w:rFonts w:ascii="Book Antiqua" w:eastAsia="Book Antiqua" w:hAnsi="Book Antiqua" w:cs="Book Antiqua"/>
          <w:color w:val="000000"/>
        </w:rPr>
        <w:t xml:space="preserve">, Paradies V, Ruggiero FM, Petrosillo G. Oxidative stress, cardiolipin and mitochondrial dysfunction in nonalcoholic fatty liver disease. </w:t>
      </w:r>
      <w:r w:rsidRPr="00807BCB">
        <w:rPr>
          <w:rFonts w:ascii="Book Antiqua" w:eastAsia="Book Antiqua" w:hAnsi="Book Antiqua" w:cs="Book Antiqua"/>
          <w:i/>
          <w:iCs/>
          <w:color w:val="000000"/>
        </w:rPr>
        <w:t>World J Gastroenterol</w:t>
      </w:r>
      <w:r w:rsidRPr="00807BCB">
        <w:rPr>
          <w:rFonts w:ascii="Book Antiqua" w:eastAsia="Book Antiqua" w:hAnsi="Book Antiqua" w:cs="Book Antiqua"/>
          <w:color w:val="000000"/>
        </w:rPr>
        <w:t xml:space="preserve"> 2014; </w:t>
      </w:r>
      <w:r w:rsidRPr="00807BCB">
        <w:rPr>
          <w:rFonts w:ascii="Book Antiqua" w:eastAsia="Book Antiqua" w:hAnsi="Book Antiqua" w:cs="Book Antiqua"/>
          <w:b/>
          <w:bCs/>
          <w:color w:val="000000"/>
        </w:rPr>
        <w:t>20</w:t>
      </w:r>
      <w:r w:rsidRPr="00807BCB">
        <w:rPr>
          <w:rFonts w:ascii="Book Antiqua" w:eastAsia="Book Antiqua" w:hAnsi="Book Antiqua" w:cs="Book Antiqua"/>
          <w:color w:val="000000"/>
        </w:rPr>
        <w:t>: 14205-14218 [PMID: 25339807 DOI: 10.3748/wjg.v20.i39.14205]</w:t>
      </w:r>
    </w:p>
    <w:p w14:paraId="0CA3EC3A"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15 </w:t>
      </w:r>
      <w:r w:rsidRPr="00807BCB">
        <w:rPr>
          <w:rFonts w:ascii="Book Antiqua" w:eastAsia="Book Antiqua" w:hAnsi="Book Antiqua" w:cs="Book Antiqua"/>
          <w:b/>
          <w:bCs/>
          <w:color w:val="000000"/>
        </w:rPr>
        <w:t>Simoneau-Roy J</w:t>
      </w:r>
      <w:r w:rsidRPr="00807BCB">
        <w:rPr>
          <w:rFonts w:ascii="Book Antiqua" w:eastAsia="Book Antiqua" w:hAnsi="Book Antiqua" w:cs="Book Antiqua"/>
          <w:color w:val="000000"/>
        </w:rPr>
        <w:t xml:space="preserve">, O'Gorman C, Pencharz P, Adeli K, Daneman D, Hamilton J. Insulin sensitivity and secretion in children and adolescents with hypothalamic obesity following treatment for craniopharyngioma. </w:t>
      </w:r>
      <w:r w:rsidRPr="00807BCB">
        <w:rPr>
          <w:rFonts w:ascii="Book Antiqua" w:eastAsia="Book Antiqua" w:hAnsi="Book Antiqua" w:cs="Book Antiqua"/>
          <w:i/>
          <w:iCs/>
          <w:color w:val="000000"/>
        </w:rPr>
        <w:t>Clin Endocrinol (Oxf)</w:t>
      </w:r>
      <w:r w:rsidRPr="00807BCB">
        <w:rPr>
          <w:rFonts w:ascii="Book Antiqua" w:eastAsia="Book Antiqua" w:hAnsi="Book Antiqua" w:cs="Book Antiqua"/>
          <w:color w:val="000000"/>
        </w:rPr>
        <w:t xml:space="preserve"> 2010; </w:t>
      </w:r>
      <w:r w:rsidRPr="00807BCB">
        <w:rPr>
          <w:rFonts w:ascii="Book Antiqua" w:eastAsia="Book Antiqua" w:hAnsi="Book Antiqua" w:cs="Book Antiqua"/>
          <w:b/>
          <w:bCs/>
          <w:color w:val="000000"/>
        </w:rPr>
        <w:t>72</w:t>
      </w:r>
      <w:r w:rsidRPr="00807BCB">
        <w:rPr>
          <w:rFonts w:ascii="Book Antiqua" w:eastAsia="Book Antiqua" w:hAnsi="Book Antiqua" w:cs="Book Antiqua"/>
          <w:color w:val="000000"/>
        </w:rPr>
        <w:t>: 364-370 [PMID: 19486023 DOI: 10.1111/j.1365-2265.2009.03639.x]</w:t>
      </w:r>
    </w:p>
    <w:p w14:paraId="07AA216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16 </w:t>
      </w:r>
      <w:r w:rsidRPr="00807BCB">
        <w:rPr>
          <w:rFonts w:ascii="Book Antiqua" w:eastAsia="Book Antiqua" w:hAnsi="Book Antiqua" w:cs="Book Antiqua"/>
          <w:b/>
          <w:bCs/>
          <w:color w:val="000000"/>
        </w:rPr>
        <w:t>Sterkenburg AS</w:t>
      </w:r>
      <w:r w:rsidRPr="00807BCB">
        <w:rPr>
          <w:rFonts w:ascii="Book Antiqua" w:eastAsia="Book Antiqua" w:hAnsi="Book Antiqua" w:cs="Book Antiqua"/>
          <w:color w:val="000000"/>
        </w:rPr>
        <w:t xml:space="preserve">, Hoffmann A, Gebhardt U, Warmuth-Metz M, Daubenbüchel AM, Müller HL. Survival, hypothalamic obesity, and neuropsychological/psychosocial status after childhood-onset craniopharyngioma: newly reported long-term outcomes. </w:t>
      </w:r>
      <w:r w:rsidRPr="00807BCB">
        <w:rPr>
          <w:rFonts w:ascii="Book Antiqua" w:eastAsia="Book Antiqua" w:hAnsi="Book Antiqua" w:cs="Book Antiqua"/>
          <w:i/>
          <w:iCs/>
          <w:color w:val="000000"/>
        </w:rPr>
        <w:t>Neuro Oncol</w:t>
      </w:r>
      <w:r w:rsidRPr="00807BCB">
        <w:rPr>
          <w:rFonts w:ascii="Book Antiqua" w:eastAsia="Book Antiqua" w:hAnsi="Book Antiqua" w:cs="Book Antiqua"/>
          <w:color w:val="000000"/>
        </w:rPr>
        <w:t xml:space="preserve"> 2015; </w:t>
      </w:r>
      <w:r w:rsidRPr="00807BCB">
        <w:rPr>
          <w:rFonts w:ascii="Book Antiqua" w:eastAsia="Book Antiqua" w:hAnsi="Book Antiqua" w:cs="Book Antiqua"/>
          <w:b/>
          <w:bCs/>
          <w:color w:val="000000"/>
        </w:rPr>
        <w:t>17</w:t>
      </w:r>
      <w:r w:rsidRPr="00807BCB">
        <w:rPr>
          <w:rFonts w:ascii="Book Antiqua" w:eastAsia="Book Antiqua" w:hAnsi="Book Antiqua" w:cs="Book Antiqua"/>
          <w:color w:val="000000"/>
        </w:rPr>
        <w:t>: 1029-1038 [PMID: 25838139 DOI: 10.1093/neuonc/nov044]</w:t>
      </w:r>
    </w:p>
    <w:p w14:paraId="24CF0B1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17 </w:t>
      </w:r>
      <w:r w:rsidRPr="00807BCB">
        <w:rPr>
          <w:rFonts w:ascii="Book Antiqua" w:eastAsia="Book Antiqua" w:hAnsi="Book Antiqua" w:cs="Book Antiqua"/>
          <w:b/>
          <w:bCs/>
          <w:color w:val="000000"/>
        </w:rPr>
        <w:t>Fujio A</w:t>
      </w:r>
      <w:r w:rsidRPr="00807BCB">
        <w:rPr>
          <w:rFonts w:ascii="Book Antiqua" w:eastAsia="Book Antiqua" w:hAnsi="Book Antiqua" w:cs="Book Antiqua"/>
          <w:color w:val="000000"/>
        </w:rPr>
        <w:t xml:space="preserve">, Kawagishi N, Echizenya T, Tokodai K, Nakanishi C, Miyagi S, Sato K, Fujimori K, Ohuchi N. Long-term survival with growth hormone replacement after liver transplantation of pediatric nonalcoholic steatohepatitis complicating acquired </w:t>
      </w:r>
      <w:r w:rsidRPr="00807BCB">
        <w:rPr>
          <w:rFonts w:ascii="Book Antiqua" w:eastAsia="Book Antiqua" w:hAnsi="Book Antiqua" w:cs="Book Antiqua"/>
          <w:color w:val="000000"/>
        </w:rPr>
        <w:lastRenderedPageBreak/>
        <w:t xml:space="preserve">hypopituitarism. </w:t>
      </w:r>
      <w:r w:rsidRPr="00807BCB">
        <w:rPr>
          <w:rFonts w:ascii="Book Antiqua" w:eastAsia="Book Antiqua" w:hAnsi="Book Antiqua" w:cs="Book Antiqua"/>
          <w:i/>
          <w:iCs/>
          <w:color w:val="000000"/>
        </w:rPr>
        <w:t>Tohoku J Exp Med</w:t>
      </w:r>
      <w:r w:rsidRPr="00807BCB">
        <w:rPr>
          <w:rFonts w:ascii="Book Antiqua" w:eastAsia="Book Antiqua" w:hAnsi="Book Antiqua" w:cs="Book Antiqua"/>
          <w:color w:val="000000"/>
        </w:rPr>
        <w:t xml:space="preserve"> 2015; </w:t>
      </w:r>
      <w:r w:rsidRPr="00807BCB">
        <w:rPr>
          <w:rFonts w:ascii="Book Antiqua" w:eastAsia="Book Antiqua" w:hAnsi="Book Antiqua" w:cs="Book Antiqua"/>
          <w:b/>
          <w:bCs/>
          <w:color w:val="000000"/>
        </w:rPr>
        <w:t>235</w:t>
      </w:r>
      <w:r w:rsidRPr="00807BCB">
        <w:rPr>
          <w:rFonts w:ascii="Book Antiqua" w:eastAsia="Book Antiqua" w:hAnsi="Book Antiqua" w:cs="Book Antiqua"/>
          <w:color w:val="000000"/>
        </w:rPr>
        <w:t>: 61-67 [PMID: 25744617 DOI: 10.1620/tjem.235.61]</w:t>
      </w:r>
    </w:p>
    <w:p w14:paraId="35EA0398"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18 </w:t>
      </w:r>
      <w:r w:rsidRPr="00807BCB">
        <w:rPr>
          <w:rFonts w:ascii="Book Antiqua" w:eastAsia="Book Antiqua" w:hAnsi="Book Antiqua" w:cs="Book Antiqua"/>
          <w:b/>
          <w:bCs/>
          <w:color w:val="000000"/>
        </w:rPr>
        <w:t>Kim KY</w:t>
      </w:r>
      <w:r w:rsidRPr="00807BCB">
        <w:rPr>
          <w:rFonts w:ascii="Book Antiqua" w:eastAsia="Book Antiqua" w:hAnsi="Book Antiqua" w:cs="Book Antiqua"/>
          <w:color w:val="000000"/>
        </w:rPr>
        <w:t xml:space="preserve">, Kim TH, Lee JM, Yi NJ, Kim HY, Moon JS, Ko JS. Clinical outcomes and risk factors of hepatopulmonary syndrome in children. </w:t>
      </w:r>
      <w:r w:rsidRPr="00807BCB">
        <w:rPr>
          <w:rFonts w:ascii="Book Antiqua" w:eastAsia="Book Antiqua" w:hAnsi="Book Antiqua" w:cs="Book Antiqua"/>
          <w:i/>
          <w:iCs/>
          <w:color w:val="000000"/>
        </w:rPr>
        <w:t>Sci Rep</w:t>
      </w:r>
      <w:r w:rsidRPr="00807BCB">
        <w:rPr>
          <w:rFonts w:ascii="Book Antiqua" w:eastAsia="Book Antiqua" w:hAnsi="Book Antiqua" w:cs="Book Antiqua"/>
          <w:color w:val="000000"/>
        </w:rPr>
        <w:t xml:space="preserve"> 2021; </w:t>
      </w:r>
      <w:r w:rsidRPr="00807BCB">
        <w:rPr>
          <w:rFonts w:ascii="Book Antiqua" w:eastAsia="Book Antiqua" w:hAnsi="Book Antiqua" w:cs="Book Antiqua"/>
          <w:b/>
          <w:bCs/>
          <w:color w:val="000000"/>
        </w:rPr>
        <w:t>11</w:t>
      </w:r>
      <w:r w:rsidRPr="00807BCB">
        <w:rPr>
          <w:rFonts w:ascii="Book Antiqua" w:eastAsia="Book Antiqua" w:hAnsi="Book Antiqua" w:cs="Book Antiqua"/>
          <w:color w:val="000000"/>
        </w:rPr>
        <w:t>: 4134 [PMID: 33603173 DOI: 10.1038/s41598-021-83785-x]</w:t>
      </w:r>
    </w:p>
    <w:p w14:paraId="6D98B09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19 </w:t>
      </w:r>
      <w:r w:rsidRPr="00807BCB">
        <w:rPr>
          <w:rFonts w:ascii="Book Antiqua" w:eastAsia="Book Antiqua" w:hAnsi="Book Antiqua" w:cs="Book Antiqua"/>
          <w:b/>
          <w:bCs/>
          <w:color w:val="000000"/>
        </w:rPr>
        <w:t>Fallon MB</w:t>
      </w:r>
      <w:r w:rsidRPr="00807BCB">
        <w:rPr>
          <w:rFonts w:ascii="Book Antiqua" w:eastAsia="Book Antiqua" w:hAnsi="Book Antiqua" w:cs="Book Antiqua"/>
          <w:color w:val="000000"/>
        </w:rPr>
        <w:t xml:space="preserve">. Mechanisms of pulmonary vascular complications of liver disease: hepatopulmonary syndrome. </w:t>
      </w:r>
      <w:r w:rsidRPr="00807BCB">
        <w:rPr>
          <w:rFonts w:ascii="Book Antiqua" w:eastAsia="Book Antiqua" w:hAnsi="Book Antiqua" w:cs="Book Antiqua"/>
          <w:i/>
          <w:iCs/>
          <w:color w:val="000000"/>
        </w:rPr>
        <w:t>J Clin Gastroenterol</w:t>
      </w:r>
      <w:r w:rsidRPr="00807BCB">
        <w:rPr>
          <w:rFonts w:ascii="Book Antiqua" w:eastAsia="Book Antiqua" w:hAnsi="Book Antiqua" w:cs="Book Antiqua"/>
          <w:color w:val="000000"/>
        </w:rPr>
        <w:t xml:space="preserve"> 2005; </w:t>
      </w:r>
      <w:r w:rsidRPr="00807BCB">
        <w:rPr>
          <w:rFonts w:ascii="Book Antiqua" w:eastAsia="Book Antiqua" w:hAnsi="Book Antiqua" w:cs="Book Antiqua"/>
          <w:b/>
          <w:bCs/>
          <w:color w:val="000000"/>
        </w:rPr>
        <w:t>39</w:t>
      </w:r>
      <w:r w:rsidRPr="00807BCB">
        <w:rPr>
          <w:rFonts w:ascii="Book Antiqua" w:eastAsia="Book Antiqua" w:hAnsi="Book Antiqua" w:cs="Book Antiqua"/>
          <w:color w:val="000000"/>
        </w:rPr>
        <w:t>: S138-S142 [PMID: 15758649]</w:t>
      </w:r>
    </w:p>
    <w:p w14:paraId="15BA760E"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20 </w:t>
      </w:r>
      <w:r w:rsidRPr="00807BCB">
        <w:rPr>
          <w:rFonts w:ascii="Book Antiqua" w:eastAsia="Book Antiqua" w:hAnsi="Book Antiqua" w:cs="Book Antiqua"/>
          <w:b/>
          <w:bCs/>
          <w:color w:val="000000"/>
        </w:rPr>
        <w:t>Lv Y</w:t>
      </w:r>
      <w:r w:rsidRPr="00807BCB">
        <w:rPr>
          <w:rFonts w:ascii="Book Antiqua" w:eastAsia="Book Antiqua" w:hAnsi="Book Antiqua" w:cs="Book Antiqua"/>
          <w:color w:val="000000"/>
        </w:rPr>
        <w:t xml:space="preserve">, Fan D. Hepatopulmonary Syndrome. </w:t>
      </w:r>
      <w:r w:rsidRPr="00807BCB">
        <w:rPr>
          <w:rFonts w:ascii="Book Antiqua" w:eastAsia="Book Antiqua" w:hAnsi="Book Antiqua" w:cs="Book Antiqua"/>
          <w:i/>
          <w:iCs/>
          <w:color w:val="000000"/>
        </w:rPr>
        <w:t>Dig Dis Sci</w:t>
      </w:r>
      <w:r w:rsidRPr="00807BCB">
        <w:rPr>
          <w:rFonts w:ascii="Book Antiqua" w:eastAsia="Book Antiqua" w:hAnsi="Book Antiqua" w:cs="Book Antiqua"/>
          <w:color w:val="000000"/>
        </w:rPr>
        <w:t xml:space="preserve"> 2015; </w:t>
      </w:r>
      <w:r w:rsidRPr="00807BCB">
        <w:rPr>
          <w:rFonts w:ascii="Book Antiqua" w:eastAsia="Book Antiqua" w:hAnsi="Book Antiqua" w:cs="Book Antiqua"/>
          <w:b/>
          <w:bCs/>
          <w:color w:val="000000"/>
        </w:rPr>
        <w:t>60</w:t>
      </w:r>
      <w:r w:rsidRPr="00807BCB">
        <w:rPr>
          <w:rFonts w:ascii="Book Antiqua" w:eastAsia="Book Antiqua" w:hAnsi="Book Antiqua" w:cs="Book Antiqua"/>
          <w:color w:val="000000"/>
        </w:rPr>
        <w:t>: 1914-1923 [PMID: 25732713 DOI: 10.1007/s10620-015-3593-0]</w:t>
      </w:r>
    </w:p>
    <w:p w14:paraId="2D4FC6B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21 </w:t>
      </w:r>
      <w:r w:rsidRPr="00807BCB">
        <w:rPr>
          <w:rFonts w:ascii="Book Antiqua" w:eastAsia="Book Antiqua" w:hAnsi="Book Antiqua" w:cs="Book Antiqua"/>
          <w:b/>
          <w:bCs/>
          <w:color w:val="000000"/>
        </w:rPr>
        <w:t>Ikubo Y</w:t>
      </w:r>
      <w:r w:rsidRPr="00807BCB">
        <w:rPr>
          <w:rFonts w:ascii="Book Antiqua" w:eastAsia="Book Antiqua" w:hAnsi="Book Antiqua" w:cs="Book Antiqua"/>
          <w:color w:val="000000"/>
        </w:rPr>
        <w:t xml:space="preserve">, Kasai H, Sugiura T, Saito T, Shoji H, Sakao S, Kasahara Y, Tanabe N, Tatsumi K. Pulmonary Hypertension that Developed During Treatment for Hepatopulmonary Syndrome and Pulmonary Arteriovenous Malformation. </w:t>
      </w:r>
      <w:r w:rsidRPr="00807BCB">
        <w:rPr>
          <w:rFonts w:ascii="Book Antiqua" w:eastAsia="Book Antiqua" w:hAnsi="Book Antiqua" w:cs="Book Antiqua"/>
          <w:i/>
          <w:iCs/>
          <w:color w:val="000000"/>
        </w:rPr>
        <w:t>Intern Med</w:t>
      </w:r>
      <w:r w:rsidRPr="00807BCB">
        <w:rPr>
          <w:rFonts w:ascii="Book Antiqua" w:eastAsia="Book Antiqua" w:hAnsi="Book Antiqua" w:cs="Book Antiqua"/>
          <w:color w:val="000000"/>
        </w:rPr>
        <w:t xml:space="preserve"> 2019; </w:t>
      </w:r>
      <w:r w:rsidRPr="00807BCB">
        <w:rPr>
          <w:rFonts w:ascii="Book Antiqua" w:eastAsia="Book Antiqua" w:hAnsi="Book Antiqua" w:cs="Book Antiqua"/>
          <w:b/>
          <w:bCs/>
          <w:color w:val="000000"/>
        </w:rPr>
        <w:t>58</w:t>
      </w:r>
      <w:r w:rsidRPr="00807BCB">
        <w:rPr>
          <w:rFonts w:ascii="Book Antiqua" w:eastAsia="Book Antiqua" w:hAnsi="Book Antiqua" w:cs="Book Antiqua"/>
          <w:color w:val="000000"/>
        </w:rPr>
        <w:t>: 1765-1769 [PMID: 30799344 DOI: 10.2169/internalmedicine.1993-18]</w:t>
      </w:r>
    </w:p>
    <w:p w14:paraId="6887F75B"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22 </w:t>
      </w:r>
      <w:r w:rsidRPr="00807BCB">
        <w:rPr>
          <w:rFonts w:ascii="Book Antiqua" w:eastAsia="Book Antiqua" w:hAnsi="Book Antiqua" w:cs="Book Antiqua"/>
          <w:b/>
          <w:bCs/>
          <w:color w:val="000000"/>
        </w:rPr>
        <w:t>Kodama K</w:t>
      </w:r>
      <w:r w:rsidRPr="00807BCB">
        <w:rPr>
          <w:rFonts w:ascii="Book Antiqua" w:eastAsia="Book Antiqua" w:hAnsi="Book Antiqua" w:cs="Book Antiqua"/>
          <w:color w:val="000000"/>
        </w:rPr>
        <w:t xml:space="preserve">, Ichihara A, Seki Y, Ikarashi Y, Sagawa T, Kogiso T, Taniai M, Tokushige K. Characteristics of NAFLD Based on Hypopituitarism. </w:t>
      </w:r>
      <w:r w:rsidRPr="00807BCB">
        <w:rPr>
          <w:rFonts w:ascii="Book Antiqua" w:eastAsia="Book Antiqua" w:hAnsi="Book Antiqua" w:cs="Book Antiqua"/>
          <w:i/>
          <w:iCs/>
          <w:color w:val="000000"/>
        </w:rPr>
        <w:t>Can J Gastroenterol Hepatol</w:t>
      </w:r>
      <w:r w:rsidRPr="00807BCB">
        <w:rPr>
          <w:rFonts w:ascii="Book Antiqua" w:eastAsia="Book Antiqua" w:hAnsi="Book Antiqua" w:cs="Book Antiqua"/>
          <w:color w:val="000000"/>
        </w:rPr>
        <w:t xml:space="preserve"> 2020; </w:t>
      </w:r>
      <w:r w:rsidRPr="00807BCB">
        <w:rPr>
          <w:rFonts w:ascii="Book Antiqua" w:eastAsia="Book Antiqua" w:hAnsi="Book Antiqua" w:cs="Book Antiqua"/>
          <w:b/>
          <w:bCs/>
          <w:color w:val="000000"/>
        </w:rPr>
        <w:t>2020</w:t>
      </w:r>
      <w:r w:rsidRPr="00807BCB">
        <w:rPr>
          <w:rFonts w:ascii="Book Antiqua" w:eastAsia="Book Antiqua" w:hAnsi="Book Antiqua" w:cs="Book Antiqua"/>
          <w:color w:val="000000"/>
        </w:rPr>
        <w:t>: 8814435 [PMID: 33102399 DOI: 10.1155/2020/8814435]</w:t>
      </w:r>
    </w:p>
    <w:p w14:paraId="43294ED3"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23 </w:t>
      </w:r>
      <w:r w:rsidRPr="00807BCB">
        <w:rPr>
          <w:rFonts w:ascii="Book Antiqua" w:eastAsia="Book Antiqua" w:hAnsi="Book Antiqua" w:cs="Book Antiqua"/>
          <w:b/>
          <w:bCs/>
          <w:color w:val="000000"/>
        </w:rPr>
        <w:t>Torii N</w:t>
      </w:r>
      <w:r w:rsidRPr="00807BCB">
        <w:rPr>
          <w:rFonts w:ascii="Book Antiqua" w:eastAsia="Book Antiqua" w:hAnsi="Book Antiqua" w:cs="Book Antiqua"/>
          <w:color w:val="000000"/>
        </w:rPr>
        <w:t xml:space="preserve">, Ichihara A, Mizuguchi Y, Seki Y, Hashimoto E, Tokushige K. Hormone-replacement Therapy for Hepatopulmonary Syndrome and NASH Associated with Hypopituitarism. </w:t>
      </w:r>
      <w:r w:rsidRPr="00807BCB">
        <w:rPr>
          <w:rFonts w:ascii="Book Antiqua" w:eastAsia="Book Antiqua" w:hAnsi="Book Antiqua" w:cs="Book Antiqua"/>
          <w:i/>
          <w:iCs/>
          <w:color w:val="000000"/>
        </w:rPr>
        <w:t>Intern Med</w:t>
      </w:r>
      <w:r w:rsidRPr="00807BCB">
        <w:rPr>
          <w:rFonts w:ascii="Book Antiqua" w:eastAsia="Book Antiqua" w:hAnsi="Book Antiqua" w:cs="Book Antiqua"/>
          <w:color w:val="000000"/>
        </w:rPr>
        <w:t xml:space="preserve"> 2018; </w:t>
      </w:r>
      <w:r w:rsidRPr="00807BCB">
        <w:rPr>
          <w:rFonts w:ascii="Book Antiqua" w:eastAsia="Book Antiqua" w:hAnsi="Book Antiqua" w:cs="Book Antiqua"/>
          <w:b/>
          <w:bCs/>
          <w:color w:val="000000"/>
        </w:rPr>
        <w:t>57</w:t>
      </w:r>
      <w:r w:rsidRPr="00807BCB">
        <w:rPr>
          <w:rFonts w:ascii="Book Antiqua" w:eastAsia="Book Antiqua" w:hAnsi="Book Antiqua" w:cs="Book Antiqua"/>
          <w:color w:val="000000"/>
        </w:rPr>
        <w:t>: 1741-1745 [PMID: 29910217 DOI: 10.2169/internalmedicine.0027-17]</w:t>
      </w:r>
    </w:p>
    <w:p w14:paraId="22C1DCA8"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24 </w:t>
      </w:r>
      <w:r w:rsidRPr="00807BCB">
        <w:rPr>
          <w:rFonts w:ascii="Book Antiqua" w:eastAsia="Book Antiqua" w:hAnsi="Book Antiqua" w:cs="Book Antiqua"/>
          <w:b/>
          <w:bCs/>
          <w:color w:val="000000"/>
        </w:rPr>
        <w:t>Ji W</w:t>
      </w:r>
      <w:r w:rsidRPr="00807BCB">
        <w:rPr>
          <w:rFonts w:ascii="Book Antiqua" w:eastAsia="Book Antiqua" w:hAnsi="Book Antiqua" w:cs="Book Antiqua"/>
          <w:color w:val="000000"/>
        </w:rPr>
        <w:t xml:space="preserve">, Nie M, Mao JF, Zhang HB, Wang X, Wu XY. Growth hormone cocktail improves hepatopulmonary syndrome secondary to hypopituitarism: A case report. </w:t>
      </w:r>
      <w:r w:rsidRPr="00807BCB">
        <w:rPr>
          <w:rFonts w:ascii="Book Antiqua" w:eastAsia="Book Antiqua" w:hAnsi="Book Antiqua" w:cs="Book Antiqua"/>
          <w:i/>
          <w:iCs/>
          <w:color w:val="000000"/>
        </w:rPr>
        <w:t>World J Clin Cases</w:t>
      </w:r>
      <w:r w:rsidRPr="00807BCB">
        <w:rPr>
          <w:rFonts w:ascii="Book Antiqua" w:eastAsia="Book Antiqua" w:hAnsi="Book Antiqua" w:cs="Book Antiqua"/>
          <w:color w:val="000000"/>
        </w:rPr>
        <w:t xml:space="preserve"> 2021; </w:t>
      </w:r>
      <w:r w:rsidRPr="00807BCB">
        <w:rPr>
          <w:rFonts w:ascii="Book Antiqua" w:eastAsia="Book Antiqua" w:hAnsi="Book Antiqua" w:cs="Book Antiqua"/>
          <w:b/>
          <w:bCs/>
          <w:color w:val="000000"/>
        </w:rPr>
        <w:t>9</w:t>
      </w:r>
      <w:r w:rsidRPr="00807BCB">
        <w:rPr>
          <w:rFonts w:ascii="Book Antiqua" w:eastAsia="Book Antiqua" w:hAnsi="Book Antiqua" w:cs="Book Antiqua"/>
          <w:color w:val="000000"/>
        </w:rPr>
        <w:t>: 4852-4858 [PMID: 34222458 DOI: 10.12998/wjcc.v9.i18.4852]</w:t>
      </w:r>
    </w:p>
    <w:p w14:paraId="023AD102"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 xml:space="preserve">25 </w:t>
      </w:r>
      <w:r w:rsidRPr="00807BCB">
        <w:rPr>
          <w:rFonts w:ascii="Book Antiqua" w:eastAsia="Book Antiqua" w:hAnsi="Book Antiqua" w:cs="Book Antiqua"/>
          <w:b/>
          <w:bCs/>
          <w:color w:val="000000"/>
        </w:rPr>
        <w:t>Takahashi Y</w:t>
      </w:r>
      <w:r w:rsidRPr="00807BCB">
        <w:rPr>
          <w:rFonts w:ascii="Book Antiqua" w:eastAsia="Book Antiqua" w:hAnsi="Book Antiqua" w:cs="Book Antiqua"/>
          <w:color w:val="000000"/>
        </w:rPr>
        <w:t xml:space="preserve">. The Role of Growth Hormone and Insulin-Like Growth Factor-I in the Liver. </w:t>
      </w:r>
      <w:r w:rsidRPr="00807BCB">
        <w:rPr>
          <w:rFonts w:ascii="Book Antiqua" w:eastAsia="Book Antiqua" w:hAnsi="Book Antiqua" w:cs="Book Antiqua"/>
          <w:i/>
          <w:iCs/>
          <w:color w:val="000000"/>
        </w:rPr>
        <w:t>Int J Mol Sci</w:t>
      </w:r>
      <w:r w:rsidRPr="00807BCB">
        <w:rPr>
          <w:rFonts w:ascii="Book Antiqua" w:eastAsia="Book Antiqua" w:hAnsi="Book Antiqua" w:cs="Book Antiqua"/>
          <w:color w:val="000000"/>
        </w:rPr>
        <w:t xml:space="preserve"> 2017; </w:t>
      </w:r>
      <w:r w:rsidRPr="00807BCB">
        <w:rPr>
          <w:rFonts w:ascii="Book Antiqua" w:eastAsia="Book Antiqua" w:hAnsi="Book Antiqua" w:cs="Book Antiqua"/>
          <w:b/>
          <w:bCs/>
          <w:color w:val="000000"/>
        </w:rPr>
        <w:t>18</w:t>
      </w:r>
      <w:r w:rsidRPr="00807BCB">
        <w:rPr>
          <w:rFonts w:ascii="Book Antiqua" w:eastAsia="Book Antiqua" w:hAnsi="Book Antiqua" w:cs="Book Antiqua"/>
          <w:color w:val="000000"/>
        </w:rPr>
        <w:t xml:space="preserve"> [PMID: 28678199 DOI: 10.3390/ijms18071447]</w:t>
      </w:r>
    </w:p>
    <w:p w14:paraId="2570E124" w14:textId="77777777" w:rsidR="005105FB" w:rsidRPr="00807BCB" w:rsidRDefault="005105FB">
      <w:pPr>
        <w:spacing w:line="360" w:lineRule="auto"/>
        <w:jc w:val="both"/>
        <w:rPr>
          <w:rFonts w:ascii="Book Antiqua" w:hAnsi="Book Antiqua"/>
        </w:rPr>
        <w:sectPr w:rsidR="005105FB" w:rsidRPr="00807BCB">
          <w:pgSz w:w="12240" w:h="15840"/>
          <w:pgMar w:top="1440" w:right="1440" w:bottom="1440" w:left="1440" w:header="720" w:footer="720" w:gutter="0"/>
          <w:cols w:space="720"/>
          <w:docGrid w:linePitch="360"/>
        </w:sectPr>
      </w:pPr>
    </w:p>
    <w:p w14:paraId="7679EA62"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lastRenderedPageBreak/>
        <w:t>Footnotes</w:t>
      </w:r>
    </w:p>
    <w:p w14:paraId="3E21AD4F"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Informed consent statement: </w:t>
      </w:r>
      <w:r w:rsidRPr="00807BCB">
        <w:rPr>
          <w:rFonts w:ascii="Book Antiqua" w:eastAsia="Book Antiqua" w:hAnsi="Book Antiqua" w:cs="Book Antiqua"/>
          <w:color w:val="000000"/>
        </w:rPr>
        <w:t>Informed written consent was obtained from the patient for the publication of this report and any accompanying images.</w:t>
      </w:r>
    </w:p>
    <w:p w14:paraId="2D028558" w14:textId="77777777" w:rsidR="005105FB" w:rsidRPr="00807BCB" w:rsidRDefault="005105FB">
      <w:pPr>
        <w:spacing w:line="360" w:lineRule="auto"/>
        <w:jc w:val="both"/>
        <w:rPr>
          <w:rFonts w:ascii="Book Antiqua" w:hAnsi="Book Antiqua"/>
        </w:rPr>
      </w:pPr>
    </w:p>
    <w:p w14:paraId="54C24C0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Conflict-of-interest statement: </w:t>
      </w:r>
      <w:r w:rsidRPr="00807BCB">
        <w:rPr>
          <w:rFonts w:ascii="Book Antiqua" w:eastAsia="Book Antiqua" w:hAnsi="Book Antiqua" w:cs="Book Antiqua"/>
          <w:color w:val="000000"/>
        </w:rPr>
        <w:t>The authors declare that they have no conflicts of interest related to this manuscript.</w:t>
      </w:r>
    </w:p>
    <w:p w14:paraId="3CEC4259" w14:textId="77777777" w:rsidR="005105FB" w:rsidRPr="00807BCB" w:rsidRDefault="005105FB">
      <w:pPr>
        <w:spacing w:line="360" w:lineRule="auto"/>
        <w:jc w:val="both"/>
        <w:rPr>
          <w:rFonts w:ascii="Book Antiqua" w:hAnsi="Book Antiqua"/>
        </w:rPr>
      </w:pPr>
    </w:p>
    <w:p w14:paraId="4EBA2FF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CARE Checklist (2016) statement: </w:t>
      </w:r>
      <w:r w:rsidRPr="00807BCB">
        <w:rPr>
          <w:rFonts w:ascii="Book Antiqua" w:eastAsia="Book Antiqua" w:hAnsi="Book Antiqua" w:cs="Book Antiqua"/>
          <w:color w:val="000000"/>
        </w:rPr>
        <w:t>The authors have read the CARE Checklist (2016), and the manuscript was prepared and revised according to the CARE Checklist (2016).</w:t>
      </w:r>
    </w:p>
    <w:p w14:paraId="57CE01B2" w14:textId="77777777" w:rsidR="005105FB" w:rsidRPr="00807BCB" w:rsidRDefault="005105FB">
      <w:pPr>
        <w:spacing w:line="360" w:lineRule="auto"/>
        <w:jc w:val="both"/>
        <w:rPr>
          <w:rFonts w:ascii="Book Antiqua" w:hAnsi="Book Antiqua"/>
        </w:rPr>
      </w:pPr>
    </w:p>
    <w:p w14:paraId="1523FF0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bCs/>
          <w:color w:val="000000"/>
        </w:rPr>
        <w:t xml:space="preserve">Open-Access: </w:t>
      </w:r>
      <w:r w:rsidRPr="00807BC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FA8E13" w14:textId="77777777" w:rsidR="005105FB" w:rsidRPr="00807BCB" w:rsidRDefault="005105FB">
      <w:pPr>
        <w:spacing w:line="360" w:lineRule="auto"/>
        <w:jc w:val="both"/>
        <w:rPr>
          <w:rFonts w:ascii="Book Antiqua" w:hAnsi="Book Antiqua"/>
        </w:rPr>
      </w:pPr>
    </w:p>
    <w:p w14:paraId="47293808" w14:textId="77777777" w:rsidR="005105FB" w:rsidRPr="00807BCB" w:rsidRDefault="00A36158">
      <w:pPr>
        <w:spacing w:line="360" w:lineRule="auto"/>
        <w:jc w:val="both"/>
        <w:rPr>
          <w:rFonts w:ascii="Book Antiqua" w:hAnsi="Book Antiqua" w:cs="Book Antiqua"/>
          <w:color w:val="000000"/>
          <w:lang w:eastAsia="zh-CN"/>
        </w:rPr>
      </w:pPr>
      <w:r w:rsidRPr="00807BCB">
        <w:rPr>
          <w:rFonts w:ascii="Book Antiqua" w:eastAsia="Book Antiqua" w:hAnsi="Book Antiqua" w:cs="Book Antiqua"/>
          <w:b/>
          <w:color w:val="000000"/>
        </w:rPr>
        <w:t xml:space="preserve">Provenance and peer review: </w:t>
      </w:r>
      <w:r w:rsidRPr="00807BCB">
        <w:rPr>
          <w:rFonts w:ascii="Book Antiqua" w:eastAsia="Book Antiqua" w:hAnsi="Book Antiqua" w:cs="Book Antiqua"/>
          <w:color w:val="000000"/>
        </w:rPr>
        <w:t>Unsolicited article; Externally peer reviewed.</w:t>
      </w:r>
    </w:p>
    <w:p w14:paraId="13576F8A" w14:textId="77777777" w:rsidR="005105FB" w:rsidRPr="00807BCB" w:rsidRDefault="005105FB">
      <w:pPr>
        <w:spacing w:line="360" w:lineRule="auto"/>
        <w:jc w:val="both"/>
        <w:rPr>
          <w:rFonts w:ascii="Book Antiqua" w:hAnsi="Book Antiqua"/>
          <w:lang w:eastAsia="zh-CN"/>
        </w:rPr>
      </w:pPr>
    </w:p>
    <w:p w14:paraId="1C5EB27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Peer-review model: </w:t>
      </w:r>
      <w:r w:rsidRPr="00807BCB">
        <w:rPr>
          <w:rFonts w:ascii="Book Antiqua" w:eastAsia="Book Antiqua" w:hAnsi="Book Antiqua" w:cs="Book Antiqua"/>
          <w:color w:val="000000"/>
        </w:rPr>
        <w:t>Single blind</w:t>
      </w:r>
    </w:p>
    <w:p w14:paraId="77F03A17" w14:textId="77777777" w:rsidR="005105FB" w:rsidRPr="00807BCB" w:rsidRDefault="005105FB">
      <w:pPr>
        <w:spacing w:line="360" w:lineRule="auto"/>
        <w:jc w:val="both"/>
        <w:rPr>
          <w:rFonts w:ascii="Book Antiqua" w:hAnsi="Book Antiqua"/>
        </w:rPr>
      </w:pPr>
    </w:p>
    <w:p w14:paraId="55F18887"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Peer-review started: </w:t>
      </w:r>
      <w:r w:rsidRPr="00807BCB">
        <w:rPr>
          <w:rFonts w:ascii="Book Antiqua" w:eastAsia="Book Antiqua" w:hAnsi="Book Antiqua" w:cs="Book Antiqua"/>
          <w:color w:val="000000"/>
        </w:rPr>
        <w:t>November 13, 2021</w:t>
      </w:r>
    </w:p>
    <w:p w14:paraId="2E0F8CC5"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First decision: </w:t>
      </w:r>
      <w:r w:rsidRPr="00807BCB">
        <w:rPr>
          <w:rFonts w:ascii="Book Antiqua" w:eastAsia="Book Antiqua" w:hAnsi="Book Antiqua" w:cs="Book Antiqua"/>
          <w:color w:val="000000"/>
        </w:rPr>
        <w:t>March 7, 2022</w:t>
      </w:r>
    </w:p>
    <w:p w14:paraId="2598205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Article in press: </w:t>
      </w:r>
      <w:r w:rsidRPr="00807BCB">
        <w:rPr>
          <w:rFonts w:ascii="Book Antiqua" w:eastAsia="Book Antiqua" w:hAnsi="Book Antiqua" w:cs="Book Antiqua"/>
          <w:color w:val="000000"/>
        </w:rPr>
        <w:t>April 22, 2022</w:t>
      </w:r>
    </w:p>
    <w:p w14:paraId="581E2523" w14:textId="77777777" w:rsidR="005105FB" w:rsidRPr="00807BCB" w:rsidRDefault="005105FB">
      <w:pPr>
        <w:spacing w:line="360" w:lineRule="auto"/>
        <w:jc w:val="both"/>
        <w:rPr>
          <w:rFonts w:ascii="Book Antiqua" w:hAnsi="Book Antiqua"/>
        </w:rPr>
      </w:pPr>
    </w:p>
    <w:p w14:paraId="1783A701"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Specialty type: </w:t>
      </w:r>
      <w:bookmarkStart w:id="7" w:name="_Hlk71726650"/>
      <w:bookmarkStart w:id="8" w:name="OLE_LINK2066"/>
      <w:bookmarkStart w:id="9" w:name="OLE_LINK1952"/>
      <w:bookmarkStart w:id="10" w:name="OLE_LINK1953"/>
      <w:r w:rsidRPr="00807BCB">
        <w:rPr>
          <w:rFonts w:ascii="Book Antiqua" w:eastAsia="微软雅黑" w:hAnsi="Book Antiqua" w:cs="宋体"/>
        </w:rPr>
        <w:t>Medicine, research and experimenta</w:t>
      </w:r>
      <w:bookmarkEnd w:id="7"/>
      <w:r w:rsidRPr="00807BCB">
        <w:rPr>
          <w:rFonts w:ascii="Book Antiqua" w:eastAsia="微软雅黑" w:hAnsi="Book Antiqua" w:cs="宋体"/>
        </w:rPr>
        <w:t>l</w:t>
      </w:r>
      <w:bookmarkEnd w:id="8"/>
      <w:bookmarkEnd w:id="9"/>
      <w:bookmarkEnd w:id="10"/>
    </w:p>
    <w:p w14:paraId="30AA8B6F"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 xml:space="preserve">Country/Territory of origin: </w:t>
      </w:r>
      <w:r w:rsidRPr="00807BCB">
        <w:rPr>
          <w:rFonts w:ascii="Book Antiqua" w:eastAsia="Book Antiqua" w:hAnsi="Book Antiqua" w:cs="Book Antiqua"/>
          <w:color w:val="000000"/>
        </w:rPr>
        <w:t>China</w:t>
      </w:r>
    </w:p>
    <w:p w14:paraId="19B3F266"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b/>
          <w:color w:val="000000"/>
        </w:rPr>
        <w:t>Peer-review report’s scientific quality classification</w:t>
      </w:r>
    </w:p>
    <w:p w14:paraId="2766FB1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Grade A (Excellent): 0</w:t>
      </w:r>
    </w:p>
    <w:p w14:paraId="34BA5DA5"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lastRenderedPageBreak/>
        <w:t>Grade B (Very good): 0</w:t>
      </w:r>
    </w:p>
    <w:p w14:paraId="6CA74BB2"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Grade C (Good): C, C, C</w:t>
      </w:r>
    </w:p>
    <w:p w14:paraId="690FD3D0"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Grade D (Fair): 0</w:t>
      </w:r>
    </w:p>
    <w:p w14:paraId="1F3DBEFC" w14:textId="77777777" w:rsidR="005105FB" w:rsidRPr="00807BCB" w:rsidRDefault="00A36158">
      <w:pPr>
        <w:spacing w:line="360" w:lineRule="auto"/>
        <w:jc w:val="both"/>
        <w:rPr>
          <w:rFonts w:ascii="Book Antiqua" w:hAnsi="Book Antiqua"/>
        </w:rPr>
      </w:pPr>
      <w:r w:rsidRPr="00807BCB">
        <w:rPr>
          <w:rFonts w:ascii="Book Antiqua" w:eastAsia="Book Antiqua" w:hAnsi="Book Antiqua" w:cs="Book Antiqua"/>
          <w:color w:val="000000"/>
        </w:rPr>
        <w:t>Grade E (Poor): 0</w:t>
      </w:r>
    </w:p>
    <w:p w14:paraId="1ED49D05" w14:textId="77777777" w:rsidR="005105FB" w:rsidRPr="00807BCB" w:rsidRDefault="005105FB">
      <w:pPr>
        <w:spacing w:line="360" w:lineRule="auto"/>
        <w:jc w:val="both"/>
        <w:rPr>
          <w:rFonts w:ascii="Book Antiqua" w:hAnsi="Book Antiqua"/>
        </w:rPr>
      </w:pPr>
    </w:p>
    <w:p w14:paraId="5D9889A1" w14:textId="77777777" w:rsidR="005105FB" w:rsidRPr="00807BCB" w:rsidRDefault="00A36158">
      <w:pPr>
        <w:pStyle w:val="ab"/>
        <w:spacing w:before="0" w:beforeAutospacing="0" w:after="0" w:afterAutospacing="0" w:line="360" w:lineRule="auto"/>
        <w:jc w:val="both"/>
        <w:rPr>
          <w:rFonts w:ascii="Book Antiqua" w:hAnsi="Book Antiqua"/>
        </w:rPr>
      </w:pPr>
      <w:r w:rsidRPr="00807BCB">
        <w:rPr>
          <w:rFonts w:ascii="Book Antiqua" w:hAnsi="Book Antiqua"/>
          <w:b/>
          <w:bCs/>
        </w:rPr>
        <w:t xml:space="preserve">P-Reviewer: </w:t>
      </w:r>
      <w:r w:rsidRPr="00807BCB">
        <w:rPr>
          <w:rFonts w:ascii="Book Antiqua" w:hAnsi="Book Antiqua"/>
        </w:rPr>
        <w:t>Aktas S, Turkey; Govindarajan KK, India; Soresi M, Italy</w:t>
      </w:r>
      <w:r w:rsidRPr="00807BCB">
        <w:rPr>
          <w:rFonts w:ascii="Book Antiqua" w:hAnsi="Book Antiqua"/>
          <w:b/>
          <w:bCs/>
        </w:rPr>
        <w:t xml:space="preserve"> S-Editor: </w:t>
      </w:r>
      <w:r w:rsidRPr="00807BCB">
        <w:rPr>
          <w:rFonts w:ascii="Book Antiqua" w:hAnsi="Book Antiqua"/>
        </w:rPr>
        <w:t>Fan JR</w:t>
      </w:r>
      <w:r w:rsidRPr="00807BCB">
        <w:rPr>
          <w:rFonts w:ascii="Book Antiqua" w:hAnsi="Book Antiqua"/>
          <w:b/>
          <w:bCs/>
        </w:rPr>
        <w:t xml:space="preserve"> L-Editor: </w:t>
      </w:r>
      <w:r w:rsidRPr="00807BCB">
        <w:rPr>
          <w:rFonts w:ascii="Book Antiqua" w:hAnsi="Book Antiqua"/>
          <w:bCs/>
        </w:rPr>
        <w:t>Wang TQ</w:t>
      </w:r>
      <w:r w:rsidRPr="00807BCB">
        <w:rPr>
          <w:rFonts w:ascii="Book Antiqua" w:hAnsi="Book Antiqua"/>
          <w:b/>
          <w:bCs/>
        </w:rPr>
        <w:t xml:space="preserve"> P-Editor: </w:t>
      </w:r>
      <w:r w:rsidRPr="00807BCB">
        <w:rPr>
          <w:rFonts w:ascii="Book Antiqua" w:hAnsi="Book Antiqua"/>
        </w:rPr>
        <w:t>Fan JR</w:t>
      </w:r>
    </w:p>
    <w:p w14:paraId="3FE4C3E6" w14:textId="77777777" w:rsidR="005105FB" w:rsidRPr="00807BCB" w:rsidRDefault="00A36158">
      <w:pPr>
        <w:pStyle w:val="ab"/>
        <w:spacing w:before="0" w:beforeAutospacing="0" w:after="0" w:afterAutospacing="0" w:line="360" w:lineRule="auto"/>
        <w:jc w:val="both"/>
        <w:rPr>
          <w:rFonts w:ascii="Book Antiqua" w:hAnsi="Book Antiqua"/>
          <w:b/>
        </w:rPr>
      </w:pPr>
      <w:r w:rsidRPr="00807BCB">
        <w:rPr>
          <w:rFonts w:ascii="Book Antiqua" w:hAnsi="Book Antiqua"/>
        </w:rPr>
        <w:br w:type="page"/>
      </w:r>
      <w:r w:rsidRPr="00807BCB">
        <w:rPr>
          <w:rFonts w:ascii="Book Antiqua" w:hAnsi="Book Antiqua"/>
          <w:b/>
        </w:rPr>
        <w:lastRenderedPageBreak/>
        <w:t>Figure Legends</w:t>
      </w:r>
    </w:p>
    <w:p w14:paraId="463C234C" w14:textId="66904DCC" w:rsidR="005105FB" w:rsidRPr="00807BCB" w:rsidRDefault="00850F7A">
      <w:pPr>
        <w:pStyle w:val="ab"/>
        <w:spacing w:before="0" w:beforeAutospacing="0" w:after="0" w:afterAutospacing="0" w:line="360" w:lineRule="auto"/>
        <w:jc w:val="both"/>
        <w:rPr>
          <w:rFonts w:ascii="Book Antiqua" w:hAnsi="Book Antiqua"/>
          <w:b/>
        </w:rPr>
      </w:pPr>
      <w:r>
        <w:rPr>
          <w:rFonts w:ascii="Book Antiqua" w:hAnsi="Book Antiqua"/>
          <w:noProof/>
        </w:rPr>
        <w:drawing>
          <wp:inline distT="0" distB="0" distL="0" distR="0" wp14:anchorId="775DC105" wp14:editId="17850EAA">
            <wp:extent cx="5795010" cy="25946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010" cy="2594610"/>
                    </a:xfrm>
                    <a:prstGeom prst="rect">
                      <a:avLst/>
                    </a:prstGeom>
                    <a:noFill/>
                    <a:ln>
                      <a:noFill/>
                    </a:ln>
                  </pic:spPr>
                </pic:pic>
              </a:graphicData>
            </a:graphic>
          </wp:inline>
        </w:drawing>
      </w:r>
    </w:p>
    <w:p w14:paraId="0C230529" w14:textId="3F9D9877" w:rsidR="005105FB" w:rsidRPr="00807BCB" w:rsidRDefault="00A36158">
      <w:pPr>
        <w:spacing w:line="360" w:lineRule="auto"/>
        <w:jc w:val="both"/>
        <w:rPr>
          <w:rStyle w:val="q4iawc"/>
          <w:rFonts w:ascii="Book Antiqua" w:hAnsi="Book Antiqua"/>
          <w:lang w:val="en" w:eastAsia="zh-CN"/>
        </w:rPr>
      </w:pPr>
      <w:r w:rsidRPr="00807BCB">
        <w:rPr>
          <w:rStyle w:val="q4iawc"/>
          <w:rFonts w:ascii="Book Antiqua" w:hAnsi="Book Antiqua"/>
          <w:b/>
          <w:lang w:val="en" w:eastAsia="zh-CN"/>
        </w:rPr>
        <w:t xml:space="preserve">Figure 1 </w:t>
      </w:r>
      <w:r w:rsidRPr="00807BCB">
        <w:rPr>
          <w:rStyle w:val="q4iawc"/>
          <w:rFonts w:ascii="Book Antiqua" w:hAnsi="Book Antiqua"/>
          <w:b/>
          <w:lang w:val="en"/>
        </w:rPr>
        <w:t>Ultrasonography</w:t>
      </w:r>
      <w:r w:rsidRPr="00807BCB">
        <w:rPr>
          <w:rStyle w:val="q4iawc"/>
          <w:rFonts w:ascii="Book Antiqua" w:hAnsi="Book Antiqua"/>
          <w:b/>
          <w:lang w:val="en" w:eastAsia="zh-CN"/>
        </w:rPr>
        <w:t>.</w:t>
      </w:r>
      <w:r w:rsidRPr="00807BCB">
        <w:rPr>
          <w:rStyle w:val="q4iawc"/>
          <w:rFonts w:ascii="Book Antiqua" w:hAnsi="Book Antiqua"/>
          <w:lang w:val="en" w:eastAsia="zh-CN"/>
        </w:rPr>
        <w:t xml:space="preserve"> A: Right echocardiography revealed diffuse arteriovenous shunt in the lung</w:t>
      </w:r>
      <w:r w:rsidRPr="00807BCB">
        <w:rPr>
          <w:rStyle w:val="q4iawc"/>
          <w:rFonts w:ascii="Book Antiqua" w:hAnsi="Book Antiqua" w:hint="eastAsia"/>
          <w:lang w:val="en" w:eastAsia="zh-CN"/>
        </w:rPr>
        <w:t xml:space="preserve"> </w:t>
      </w:r>
      <w:r w:rsidRPr="00807BCB">
        <w:rPr>
          <w:rStyle w:val="q4iawc"/>
          <w:rFonts w:ascii="Book Antiqua" w:hAnsi="Book Antiqua"/>
          <w:lang w:val="en" w:eastAsia="zh-CN"/>
        </w:rPr>
        <w:t>(grade III &gt; 100/frame), consistent with hepatopulmonary syndrome; B:</w:t>
      </w:r>
      <w:r w:rsidRPr="00807BCB">
        <w:rPr>
          <w:rFonts w:ascii="Book Antiqua" w:hAnsi="Book Antiqua"/>
        </w:rPr>
        <w:t xml:space="preserve"> </w:t>
      </w:r>
      <w:r w:rsidRPr="00807BCB">
        <w:rPr>
          <w:rStyle w:val="q4iawc"/>
          <w:rFonts w:ascii="Book Antiqua" w:hAnsi="Book Antiqua"/>
          <w:lang w:val="en" w:eastAsia="zh-CN"/>
        </w:rPr>
        <w:t>Abdominal ultrasound displayed bile duct dilatation, cirrhosis, and splenomegaly.</w:t>
      </w:r>
      <w:r w:rsidRPr="00807BCB">
        <w:rPr>
          <w:rStyle w:val="q4iawc"/>
          <w:rFonts w:ascii="Book Antiqua" w:hAnsi="Book Antiqua"/>
          <w:lang w:val="en" w:eastAsia="zh-CN"/>
        </w:rPr>
        <w:cr/>
      </w:r>
      <w:r w:rsidRPr="00807BCB">
        <w:rPr>
          <w:rStyle w:val="q4iawc"/>
          <w:rFonts w:ascii="Book Antiqua" w:hAnsi="Book Antiqua"/>
          <w:lang w:val="en" w:eastAsia="zh-CN"/>
        </w:rPr>
        <w:br w:type="page"/>
      </w:r>
      <w:r w:rsidR="00850F7A">
        <w:rPr>
          <w:rFonts w:ascii="Book Antiqua" w:hAnsi="Book Antiqua"/>
          <w:noProof/>
          <w:lang w:eastAsia="zh-CN"/>
        </w:rPr>
        <w:lastRenderedPageBreak/>
        <w:drawing>
          <wp:inline distT="0" distB="0" distL="0" distR="0" wp14:anchorId="1167FD3C" wp14:editId="1F84AAEA">
            <wp:extent cx="5795010" cy="42532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5010" cy="4253230"/>
                    </a:xfrm>
                    <a:prstGeom prst="rect">
                      <a:avLst/>
                    </a:prstGeom>
                    <a:noFill/>
                    <a:ln>
                      <a:noFill/>
                    </a:ln>
                  </pic:spPr>
                </pic:pic>
              </a:graphicData>
            </a:graphic>
          </wp:inline>
        </w:drawing>
      </w:r>
    </w:p>
    <w:p w14:paraId="3689B49C" w14:textId="77777777" w:rsidR="005105FB" w:rsidRPr="00807BCB" w:rsidRDefault="00A36158">
      <w:pPr>
        <w:spacing w:line="360" w:lineRule="auto"/>
        <w:jc w:val="both"/>
        <w:rPr>
          <w:rFonts w:ascii="Book Antiqua" w:eastAsia="微软雅黑" w:hAnsi="Book Antiqua"/>
          <w:b/>
          <w:lang w:eastAsia="zh-CN"/>
        </w:rPr>
      </w:pPr>
      <w:r w:rsidRPr="00807BCB">
        <w:rPr>
          <w:rFonts w:ascii="Book Antiqua" w:hAnsi="Book Antiqua"/>
          <w:b/>
          <w:lang w:eastAsia="zh-CN"/>
        </w:rPr>
        <w:t>Figure 2 Pathological images of liver biopsy.</w:t>
      </w:r>
      <w:r w:rsidRPr="00807BCB">
        <w:rPr>
          <w:rFonts w:ascii="Book Antiqua" w:hAnsi="Book Antiqua"/>
          <w:lang w:eastAsia="zh-CN"/>
        </w:rPr>
        <w:t xml:space="preserve"> A: Immunohistochemical staining for CK818 (× 200); B: dPAS staining (× 200); C: HE staining (× 50); D: HE staining (× 200). Nodular cirrhosis (consider the origin of nonalcoholic steatohepatitis).</w:t>
      </w:r>
      <w:r w:rsidRPr="00807BCB">
        <w:rPr>
          <w:rFonts w:ascii="Book Antiqua" w:hAnsi="Book Antiqua"/>
          <w:lang w:eastAsia="zh-CN"/>
        </w:rPr>
        <w:br w:type="page"/>
      </w:r>
      <w:r w:rsidRPr="00807BCB">
        <w:rPr>
          <w:rFonts w:ascii="Book Antiqua" w:eastAsia="微软雅黑" w:hAnsi="Book Antiqua"/>
          <w:b/>
        </w:rPr>
        <w:lastRenderedPageBreak/>
        <w:t>Table 1 Laboratory examinations results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680"/>
        <w:gridCol w:w="4680"/>
      </w:tblGrid>
      <w:tr w:rsidR="005105FB" w:rsidRPr="00807BCB" w14:paraId="6F33C0DE" w14:textId="77777777">
        <w:trPr>
          <w:trHeight w:val="375"/>
        </w:trPr>
        <w:tc>
          <w:tcPr>
            <w:tcW w:w="2500" w:type="pct"/>
            <w:tcBorders>
              <w:top w:val="single" w:sz="4" w:space="0" w:color="auto"/>
              <w:bottom w:val="single" w:sz="4" w:space="0" w:color="auto"/>
            </w:tcBorders>
            <w:shd w:val="clear" w:color="auto" w:fill="auto"/>
            <w:tcMar>
              <w:top w:w="15" w:type="dxa"/>
              <w:left w:w="108" w:type="dxa"/>
              <w:bottom w:w="0" w:type="dxa"/>
              <w:right w:w="108" w:type="dxa"/>
            </w:tcMar>
          </w:tcPr>
          <w:p w14:paraId="5BE29FC9" w14:textId="77777777" w:rsidR="005105FB" w:rsidRPr="00807BCB" w:rsidRDefault="00A36158">
            <w:pPr>
              <w:spacing w:line="360" w:lineRule="auto"/>
              <w:jc w:val="both"/>
              <w:rPr>
                <w:rFonts w:ascii="Book Antiqua" w:eastAsia="微软雅黑" w:hAnsi="Book Antiqua"/>
                <w:b/>
              </w:rPr>
            </w:pPr>
            <w:r w:rsidRPr="00807BCB">
              <w:rPr>
                <w:rFonts w:ascii="Book Antiqua" w:eastAsia="微软雅黑" w:hAnsi="Book Antiqua"/>
                <w:b/>
              </w:rPr>
              <w:t>Variable</w:t>
            </w:r>
          </w:p>
        </w:tc>
        <w:tc>
          <w:tcPr>
            <w:tcW w:w="2500" w:type="pct"/>
            <w:tcBorders>
              <w:top w:val="single" w:sz="4" w:space="0" w:color="auto"/>
              <w:bottom w:val="single" w:sz="4" w:space="0" w:color="auto"/>
            </w:tcBorders>
            <w:shd w:val="clear" w:color="auto" w:fill="auto"/>
            <w:tcMar>
              <w:top w:w="15" w:type="dxa"/>
              <w:left w:w="108" w:type="dxa"/>
              <w:bottom w:w="0" w:type="dxa"/>
              <w:right w:w="108" w:type="dxa"/>
            </w:tcMar>
          </w:tcPr>
          <w:p w14:paraId="2018B711" w14:textId="77777777" w:rsidR="005105FB" w:rsidRPr="00807BCB" w:rsidRDefault="00A36158">
            <w:pPr>
              <w:spacing w:line="360" w:lineRule="auto"/>
              <w:jc w:val="both"/>
              <w:rPr>
                <w:rFonts w:ascii="Book Antiqua" w:eastAsia="微软雅黑" w:hAnsi="Book Antiqua"/>
                <w:b/>
              </w:rPr>
            </w:pPr>
            <w:r w:rsidRPr="00807BCB">
              <w:rPr>
                <w:rFonts w:ascii="Book Antiqua" w:eastAsia="微软雅黑" w:hAnsi="Book Antiqua"/>
                <w:b/>
              </w:rPr>
              <w:t>Value</w:t>
            </w:r>
          </w:p>
        </w:tc>
      </w:tr>
      <w:tr w:rsidR="005105FB" w:rsidRPr="00807BCB" w14:paraId="29683990" w14:textId="77777777">
        <w:trPr>
          <w:trHeight w:val="375"/>
        </w:trPr>
        <w:tc>
          <w:tcPr>
            <w:tcW w:w="2500" w:type="pct"/>
            <w:tcBorders>
              <w:top w:val="single" w:sz="4" w:space="0" w:color="auto"/>
            </w:tcBorders>
            <w:shd w:val="clear" w:color="auto" w:fill="auto"/>
            <w:tcMar>
              <w:top w:w="15" w:type="dxa"/>
              <w:left w:w="108" w:type="dxa"/>
              <w:bottom w:w="0" w:type="dxa"/>
              <w:right w:w="108" w:type="dxa"/>
            </w:tcMar>
          </w:tcPr>
          <w:p w14:paraId="2F7AFF9B"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IGF-1</w:t>
            </w:r>
            <w:r w:rsidRPr="00807BCB">
              <w:rPr>
                <w:rFonts w:ascii="Book Antiqua" w:eastAsia="微软雅黑" w:hAnsi="Book Antiqua" w:hint="eastAsia"/>
                <w:lang w:eastAsia="zh-CN"/>
              </w:rPr>
              <w:t xml:space="preserve"> </w:t>
            </w:r>
            <w:r w:rsidRPr="00807BCB">
              <w:rPr>
                <w:rFonts w:ascii="Book Antiqua" w:eastAsia="微软雅黑" w:hAnsi="Book Antiqua"/>
              </w:rPr>
              <w:t>(220.0-972.0</w:t>
            </w:r>
            <w:r w:rsidRPr="00807BCB">
              <w:rPr>
                <w:rFonts w:ascii="Book Antiqua" w:eastAsia="微软雅黑" w:hAnsi="Book Antiqua" w:hint="eastAsia"/>
                <w:lang w:eastAsia="zh-CN"/>
              </w:rPr>
              <w:t xml:space="preserve"> </w:t>
            </w:r>
            <w:r w:rsidRPr="00807BCB">
              <w:rPr>
                <w:rFonts w:ascii="Book Antiqua" w:eastAsia="微软雅黑" w:hAnsi="Book Antiqua"/>
              </w:rPr>
              <w:t>ng/mL)</w:t>
            </w:r>
          </w:p>
        </w:tc>
        <w:tc>
          <w:tcPr>
            <w:tcW w:w="2500" w:type="pct"/>
            <w:tcBorders>
              <w:top w:val="single" w:sz="4" w:space="0" w:color="auto"/>
            </w:tcBorders>
            <w:shd w:val="clear" w:color="auto" w:fill="auto"/>
            <w:tcMar>
              <w:top w:w="15" w:type="dxa"/>
              <w:left w:w="108" w:type="dxa"/>
              <w:bottom w:w="0" w:type="dxa"/>
              <w:right w:w="108" w:type="dxa"/>
            </w:tcMar>
          </w:tcPr>
          <w:p w14:paraId="1CACB9FF"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170</w:t>
            </w:r>
          </w:p>
        </w:tc>
      </w:tr>
      <w:tr w:rsidR="005105FB" w:rsidRPr="00807BCB" w14:paraId="0AA616BF" w14:textId="77777777">
        <w:trPr>
          <w:trHeight w:val="375"/>
        </w:trPr>
        <w:tc>
          <w:tcPr>
            <w:tcW w:w="2500" w:type="pct"/>
            <w:shd w:val="clear" w:color="auto" w:fill="auto"/>
            <w:tcMar>
              <w:top w:w="15" w:type="dxa"/>
              <w:left w:w="108" w:type="dxa"/>
              <w:bottom w:w="0" w:type="dxa"/>
              <w:right w:w="108" w:type="dxa"/>
            </w:tcMar>
          </w:tcPr>
          <w:p w14:paraId="1E751F8F"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TSH</w:t>
            </w:r>
            <w:r w:rsidRPr="00807BCB">
              <w:rPr>
                <w:rFonts w:ascii="Book Antiqua" w:eastAsia="微软雅黑" w:hAnsi="Book Antiqua" w:hint="eastAsia"/>
                <w:lang w:eastAsia="zh-CN"/>
              </w:rPr>
              <w:t xml:space="preserve"> </w:t>
            </w:r>
            <w:r w:rsidRPr="00807BCB">
              <w:rPr>
                <w:rFonts w:ascii="Book Antiqua" w:eastAsia="微软雅黑" w:hAnsi="Book Antiqua"/>
              </w:rPr>
              <w:t>(0.35-4.94</w:t>
            </w:r>
            <w:r w:rsidRPr="00807BCB">
              <w:rPr>
                <w:rFonts w:ascii="Book Antiqua" w:eastAsia="微软雅黑" w:hAnsi="Book Antiqua" w:hint="eastAsia"/>
                <w:lang w:eastAsia="zh-CN"/>
              </w:rPr>
              <w:t xml:space="preserve"> </w:t>
            </w:r>
            <w:r w:rsidRPr="00807BCB">
              <w:rPr>
                <w:rFonts w:ascii="Book Antiqua" w:eastAsia="微软雅黑" w:hAnsi="Book Antiqua"/>
              </w:rPr>
              <w:t>mIU/L)</w:t>
            </w:r>
          </w:p>
        </w:tc>
        <w:tc>
          <w:tcPr>
            <w:tcW w:w="2500" w:type="pct"/>
            <w:shd w:val="clear" w:color="auto" w:fill="auto"/>
            <w:tcMar>
              <w:top w:w="15" w:type="dxa"/>
              <w:left w:w="108" w:type="dxa"/>
              <w:bottom w:w="0" w:type="dxa"/>
              <w:right w:w="108" w:type="dxa"/>
            </w:tcMar>
          </w:tcPr>
          <w:p w14:paraId="0E48670D"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1.05</w:t>
            </w:r>
          </w:p>
        </w:tc>
      </w:tr>
      <w:tr w:rsidR="005105FB" w:rsidRPr="00807BCB" w14:paraId="4DF3989A" w14:textId="77777777">
        <w:trPr>
          <w:trHeight w:val="375"/>
        </w:trPr>
        <w:tc>
          <w:tcPr>
            <w:tcW w:w="2500" w:type="pct"/>
            <w:shd w:val="clear" w:color="auto" w:fill="auto"/>
            <w:tcMar>
              <w:top w:w="15" w:type="dxa"/>
              <w:left w:w="108" w:type="dxa"/>
              <w:bottom w:w="0" w:type="dxa"/>
              <w:right w:w="108" w:type="dxa"/>
            </w:tcMar>
          </w:tcPr>
          <w:p w14:paraId="20C359A2"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FT3</w:t>
            </w:r>
            <w:r w:rsidRPr="00807BCB">
              <w:rPr>
                <w:rFonts w:ascii="Book Antiqua" w:eastAsia="微软雅黑" w:hAnsi="Book Antiqua" w:hint="eastAsia"/>
                <w:lang w:eastAsia="zh-CN"/>
              </w:rPr>
              <w:t xml:space="preserve"> </w:t>
            </w:r>
            <w:r w:rsidRPr="00807BCB">
              <w:rPr>
                <w:rFonts w:ascii="Book Antiqua" w:eastAsia="微软雅黑" w:hAnsi="Book Antiqua"/>
              </w:rPr>
              <w:t>(2.43-6.01</w:t>
            </w:r>
            <w:r w:rsidRPr="00807BCB">
              <w:rPr>
                <w:rFonts w:ascii="Book Antiqua" w:eastAsia="微软雅黑" w:hAnsi="Book Antiqua" w:hint="eastAsia"/>
                <w:lang w:eastAsia="zh-CN"/>
              </w:rPr>
              <w:t xml:space="preserve"> </w:t>
            </w:r>
            <w:r w:rsidRPr="00807BCB">
              <w:rPr>
                <w:rFonts w:ascii="Book Antiqua" w:eastAsia="微软雅黑" w:hAnsi="Book Antiqua"/>
              </w:rPr>
              <w:t>pmol/L)</w:t>
            </w:r>
          </w:p>
        </w:tc>
        <w:tc>
          <w:tcPr>
            <w:tcW w:w="2500" w:type="pct"/>
            <w:shd w:val="clear" w:color="auto" w:fill="auto"/>
            <w:tcMar>
              <w:top w:w="15" w:type="dxa"/>
              <w:left w:w="108" w:type="dxa"/>
              <w:bottom w:w="0" w:type="dxa"/>
              <w:right w:w="108" w:type="dxa"/>
            </w:tcMar>
          </w:tcPr>
          <w:p w14:paraId="015250D4"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3.9</w:t>
            </w:r>
          </w:p>
        </w:tc>
      </w:tr>
      <w:tr w:rsidR="005105FB" w:rsidRPr="00807BCB" w14:paraId="4D3A7DDE" w14:textId="77777777">
        <w:trPr>
          <w:trHeight w:val="375"/>
        </w:trPr>
        <w:tc>
          <w:tcPr>
            <w:tcW w:w="2500" w:type="pct"/>
            <w:shd w:val="clear" w:color="auto" w:fill="auto"/>
            <w:tcMar>
              <w:top w:w="15" w:type="dxa"/>
              <w:left w:w="108" w:type="dxa"/>
              <w:bottom w:w="0" w:type="dxa"/>
              <w:right w:w="108" w:type="dxa"/>
            </w:tcMar>
          </w:tcPr>
          <w:p w14:paraId="15321FA5" w14:textId="77777777" w:rsidR="005105FB" w:rsidRPr="00807BCB" w:rsidRDefault="00A36158">
            <w:pPr>
              <w:spacing w:line="360" w:lineRule="auto"/>
              <w:jc w:val="both"/>
              <w:rPr>
                <w:rFonts w:ascii="Book Antiqua" w:eastAsia="微软雅黑" w:hAnsi="Book Antiqua"/>
                <w:lang w:eastAsia="zh-CN"/>
              </w:rPr>
            </w:pPr>
            <w:r w:rsidRPr="00807BCB">
              <w:rPr>
                <w:rFonts w:ascii="Book Antiqua" w:eastAsia="微软雅黑" w:hAnsi="Book Antiqua"/>
              </w:rPr>
              <w:t>FT4</w:t>
            </w:r>
            <w:r w:rsidRPr="00807BCB">
              <w:rPr>
                <w:rFonts w:ascii="Book Antiqua" w:eastAsia="微软雅黑" w:hAnsi="Book Antiqua" w:hint="eastAsia"/>
                <w:lang w:eastAsia="zh-CN"/>
              </w:rPr>
              <w:t xml:space="preserve"> (</w:t>
            </w:r>
            <w:r w:rsidRPr="00807BCB">
              <w:rPr>
                <w:rFonts w:ascii="Book Antiqua" w:eastAsia="微软雅黑" w:hAnsi="Book Antiqua"/>
              </w:rPr>
              <w:t>9.01-19.05</w:t>
            </w:r>
            <w:r w:rsidRPr="00807BCB">
              <w:rPr>
                <w:rFonts w:ascii="Book Antiqua" w:eastAsia="微软雅黑" w:hAnsi="Book Antiqua" w:hint="eastAsia"/>
                <w:lang w:eastAsia="zh-CN"/>
              </w:rPr>
              <w:t xml:space="preserve"> </w:t>
            </w:r>
            <w:r w:rsidRPr="00807BCB">
              <w:rPr>
                <w:rFonts w:ascii="Book Antiqua" w:eastAsia="微软雅黑" w:hAnsi="Book Antiqua"/>
              </w:rPr>
              <w:t>pmol/L</w:t>
            </w:r>
            <w:r w:rsidRPr="00807BCB">
              <w:rPr>
                <w:rFonts w:ascii="Book Antiqua" w:eastAsia="微软雅黑" w:hAnsi="Book Antiqua" w:hint="eastAsia"/>
                <w:lang w:eastAsia="zh-CN"/>
              </w:rPr>
              <w:t>)</w:t>
            </w:r>
          </w:p>
        </w:tc>
        <w:tc>
          <w:tcPr>
            <w:tcW w:w="2500" w:type="pct"/>
            <w:shd w:val="clear" w:color="auto" w:fill="auto"/>
            <w:tcMar>
              <w:top w:w="15" w:type="dxa"/>
              <w:left w:w="108" w:type="dxa"/>
              <w:bottom w:w="0" w:type="dxa"/>
              <w:right w:w="108" w:type="dxa"/>
            </w:tcMar>
          </w:tcPr>
          <w:p w14:paraId="3EF4B7C3"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7.94</w:t>
            </w:r>
          </w:p>
        </w:tc>
      </w:tr>
      <w:tr w:rsidR="005105FB" w:rsidRPr="00807BCB" w14:paraId="4D85D537" w14:textId="77777777">
        <w:trPr>
          <w:trHeight w:val="375"/>
        </w:trPr>
        <w:tc>
          <w:tcPr>
            <w:tcW w:w="2500" w:type="pct"/>
            <w:shd w:val="clear" w:color="auto" w:fill="auto"/>
            <w:tcMar>
              <w:top w:w="15" w:type="dxa"/>
              <w:left w:w="108" w:type="dxa"/>
              <w:bottom w:w="0" w:type="dxa"/>
              <w:right w:w="108" w:type="dxa"/>
            </w:tcMar>
          </w:tcPr>
          <w:p w14:paraId="57FB992B"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ACTH</w:t>
            </w:r>
            <w:r w:rsidRPr="00807BCB">
              <w:rPr>
                <w:rFonts w:ascii="Book Antiqua" w:eastAsia="微软雅黑" w:hAnsi="Book Antiqua" w:hint="eastAsia"/>
                <w:lang w:eastAsia="zh-CN"/>
              </w:rPr>
              <w:t xml:space="preserve"> </w:t>
            </w:r>
            <w:r w:rsidRPr="00807BCB">
              <w:rPr>
                <w:rFonts w:ascii="Book Antiqua" w:eastAsia="微软雅黑" w:hAnsi="Book Antiqua"/>
              </w:rPr>
              <w:t>(8</w:t>
            </w:r>
            <w:r w:rsidRPr="00807BCB">
              <w:rPr>
                <w:rFonts w:ascii="Book Antiqua" w:eastAsia="微软雅黑" w:hAnsi="Book Antiqua" w:hint="eastAsia"/>
                <w:lang w:eastAsia="zh-CN"/>
              </w:rPr>
              <w:t xml:space="preserve"> </w:t>
            </w:r>
            <w:r w:rsidRPr="00807BCB">
              <w:rPr>
                <w:rFonts w:ascii="Book Antiqua" w:eastAsia="微软雅黑" w:hAnsi="Book Antiqua"/>
              </w:rPr>
              <w:t>am,</w:t>
            </w:r>
            <w:r w:rsidRPr="00807BCB">
              <w:rPr>
                <w:rFonts w:ascii="Book Antiqua" w:eastAsia="微软雅黑" w:hAnsi="Book Antiqua" w:hint="eastAsia"/>
                <w:lang w:eastAsia="zh-CN"/>
              </w:rPr>
              <w:t xml:space="preserve"> </w:t>
            </w:r>
            <w:r w:rsidRPr="00807BCB">
              <w:rPr>
                <w:rFonts w:ascii="Book Antiqua" w:eastAsia="微软雅黑" w:hAnsi="Book Antiqua"/>
              </w:rPr>
              <w:t>pg/mL)</w:t>
            </w:r>
          </w:p>
        </w:tc>
        <w:tc>
          <w:tcPr>
            <w:tcW w:w="2500" w:type="pct"/>
            <w:shd w:val="clear" w:color="auto" w:fill="auto"/>
            <w:tcMar>
              <w:top w:w="15" w:type="dxa"/>
              <w:left w:w="108" w:type="dxa"/>
              <w:bottom w:w="0" w:type="dxa"/>
              <w:right w:w="108" w:type="dxa"/>
            </w:tcMar>
          </w:tcPr>
          <w:p w14:paraId="6A2FF98F"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&lt;</w:t>
            </w:r>
            <w:r w:rsidRPr="00807BCB">
              <w:rPr>
                <w:rFonts w:ascii="Book Antiqua" w:eastAsia="微软雅黑" w:hAnsi="Book Antiqua" w:hint="eastAsia"/>
                <w:lang w:eastAsia="zh-CN"/>
              </w:rPr>
              <w:t xml:space="preserve"> </w:t>
            </w:r>
            <w:r w:rsidRPr="00807BCB">
              <w:rPr>
                <w:rFonts w:ascii="Book Antiqua" w:eastAsia="微软雅黑" w:hAnsi="Book Antiqua"/>
              </w:rPr>
              <w:t>5.00</w:t>
            </w:r>
          </w:p>
        </w:tc>
      </w:tr>
      <w:tr w:rsidR="005105FB" w:rsidRPr="00807BCB" w14:paraId="1AF3DDA6" w14:textId="77777777">
        <w:trPr>
          <w:trHeight w:val="375"/>
        </w:trPr>
        <w:tc>
          <w:tcPr>
            <w:tcW w:w="2500" w:type="pct"/>
            <w:shd w:val="clear" w:color="auto" w:fill="auto"/>
            <w:tcMar>
              <w:top w:w="15" w:type="dxa"/>
              <w:left w:w="108" w:type="dxa"/>
              <w:bottom w:w="0" w:type="dxa"/>
              <w:right w:w="108" w:type="dxa"/>
            </w:tcMar>
          </w:tcPr>
          <w:p w14:paraId="225178E6"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Cortisol</w:t>
            </w:r>
            <w:r w:rsidRPr="00807BCB">
              <w:rPr>
                <w:rFonts w:ascii="Book Antiqua" w:eastAsia="微软雅黑" w:hAnsi="Book Antiqua" w:hint="eastAsia"/>
                <w:lang w:eastAsia="zh-CN"/>
              </w:rPr>
              <w:t xml:space="preserve"> </w:t>
            </w:r>
            <w:r w:rsidRPr="00807BCB">
              <w:rPr>
                <w:rFonts w:ascii="Book Antiqua" w:eastAsia="微软雅黑" w:hAnsi="Book Antiqua"/>
              </w:rPr>
              <w:t>(8</w:t>
            </w:r>
            <w:r w:rsidRPr="00807BCB">
              <w:rPr>
                <w:rFonts w:ascii="Book Antiqua" w:eastAsia="微软雅黑" w:hAnsi="Book Antiqua" w:hint="eastAsia"/>
                <w:lang w:eastAsia="zh-CN"/>
              </w:rPr>
              <w:t xml:space="preserve"> </w:t>
            </w:r>
            <w:r w:rsidRPr="00807BCB">
              <w:rPr>
                <w:rFonts w:ascii="Book Antiqua" w:eastAsia="微软雅黑" w:hAnsi="Book Antiqua"/>
              </w:rPr>
              <w:t>am,</w:t>
            </w:r>
            <w:r w:rsidRPr="00807BCB">
              <w:rPr>
                <w:rFonts w:ascii="Book Antiqua" w:eastAsia="微软雅黑" w:hAnsi="Book Antiqua" w:hint="eastAsia"/>
                <w:lang w:eastAsia="zh-CN"/>
              </w:rPr>
              <w:t xml:space="preserve"> </w:t>
            </w:r>
            <w:r w:rsidRPr="00807BCB">
              <w:rPr>
                <w:rFonts w:ascii="Book Antiqua" w:eastAsia="微软雅黑" w:hAnsi="Book Antiqua"/>
              </w:rPr>
              <w:t>5-25</w:t>
            </w:r>
            <w:r w:rsidRPr="00807BCB">
              <w:rPr>
                <w:rFonts w:ascii="Book Antiqua" w:eastAsia="微软雅黑" w:hAnsi="Book Antiqua" w:hint="eastAsia"/>
                <w:lang w:eastAsia="zh-CN"/>
              </w:rPr>
              <w:t xml:space="preserve"> </w:t>
            </w:r>
            <w:r w:rsidRPr="00807BCB">
              <w:rPr>
                <w:rFonts w:ascii="Book Antiqua" w:eastAsia="微软雅黑" w:hAnsi="Book Antiqua"/>
              </w:rPr>
              <w:t>μg/dL)</w:t>
            </w:r>
          </w:p>
        </w:tc>
        <w:tc>
          <w:tcPr>
            <w:tcW w:w="2500" w:type="pct"/>
            <w:shd w:val="clear" w:color="auto" w:fill="auto"/>
            <w:tcMar>
              <w:top w:w="15" w:type="dxa"/>
              <w:left w:w="108" w:type="dxa"/>
              <w:bottom w:w="0" w:type="dxa"/>
              <w:right w:w="108" w:type="dxa"/>
            </w:tcMar>
          </w:tcPr>
          <w:p w14:paraId="2A97C1D5"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&lt;</w:t>
            </w:r>
            <w:r w:rsidRPr="00807BCB">
              <w:rPr>
                <w:rFonts w:ascii="Book Antiqua" w:eastAsia="微软雅黑" w:hAnsi="Book Antiqua" w:hint="eastAsia"/>
                <w:lang w:eastAsia="zh-CN"/>
              </w:rPr>
              <w:t xml:space="preserve"> </w:t>
            </w:r>
            <w:r w:rsidRPr="00807BCB">
              <w:rPr>
                <w:rFonts w:ascii="Book Antiqua" w:eastAsia="微软雅黑" w:hAnsi="Book Antiqua"/>
              </w:rPr>
              <w:t>1.00</w:t>
            </w:r>
          </w:p>
        </w:tc>
      </w:tr>
      <w:tr w:rsidR="005105FB" w:rsidRPr="00807BCB" w14:paraId="30A54A54" w14:textId="77777777">
        <w:trPr>
          <w:trHeight w:val="375"/>
        </w:trPr>
        <w:tc>
          <w:tcPr>
            <w:tcW w:w="2500" w:type="pct"/>
            <w:shd w:val="clear" w:color="auto" w:fill="auto"/>
            <w:tcMar>
              <w:top w:w="15" w:type="dxa"/>
              <w:left w:w="108" w:type="dxa"/>
              <w:bottom w:w="0" w:type="dxa"/>
              <w:right w:w="108" w:type="dxa"/>
            </w:tcMar>
          </w:tcPr>
          <w:p w14:paraId="188AF7E8"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LH</w:t>
            </w:r>
            <w:r w:rsidRPr="00807BCB">
              <w:rPr>
                <w:rFonts w:ascii="Book Antiqua" w:eastAsia="微软雅黑" w:hAnsi="Book Antiqua" w:hint="eastAsia"/>
                <w:lang w:eastAsia="zh-CN"/>
              </w:rPr>
              <w:t xml:space="preserve"> </w:t>
            </w:r>
            <w:r w:rsidRPr="00807BCB">
              <w:rPr>
                <w:rFonts w:ascii="Book Antiqua" w:eastAsia="微软雅黑" w:hAnsi="Book Antiqua"/>
              </w:rPr>
              <w:t>(1.8-11.78</w:t>
            </w:r>
            <w:r w:rsidRPr="00807BCB">
              <w:rPr>
                <w:rFonts w:ascii="Book Antiqua" w:eastAsia="微软雅黑" w:hAnsi="Book Antiqua" w:hint="eastAsia"/>
                <w:lang w:eastAsia="zh-CN"/>
              </w:rPr>
              <w:t xml:space="preserve"> </w:t>
            </w:r>
            <w:r w:rsidRPr="00807BCB">
              <w:rPr>
                <w:rFonts w:ascii="Book Antiqua" w:eastAsia="微软雅黑" w:hAnsi="Book Antiqua"/>
              </w:rPr>
              <w:t>mIU/mL,)</w:t>
            </w:r>
          </w:p>
        </w:tc>
        <w:tc>
          <w:tcPr>
            <w:tcW w:w="2500" w:type="pct"/>
            <w:shd w:val="clear" w:color="auto" w:fill="auto"/>
            <w:tcMar>
              <w:top w:w="15" w:type="dxa"/>
              <w:left w:w="108" w:type="dxa"/>
              <w:bottom w:w="0" w:type="dxa"/>
              <w:right w:w="108" w:type="dxa"/>
            </w:tcMar>
          </w:tcPr>
          <w:p w14:paraId="26554784"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0.09</w:t>
            </w:r>
          </w:p>
        </w:tc>
      </w:tr>
      <w:tr w:rsidR="005105FB" w:rsidRPr="00807BCB" w14:paraId="4897D64B" w14:textId="77777777">
        <w:trPr>
          <w:trHeight w:val="375"/>
        </w:trPr>
        <w:tc>
          <w:tcPr>
            <w:tcW w:w="2500" w:type="pct"/>
            <w:shd w:val="clear" w:color="auto" w:fill="auto"/>
            <w:tcMar>
              <w:top w:w="15" w:type="dxa"/>
              <w:left w:w="108" w:type="dxa"/>
              <w:bottom w:w="0" w:type="dxa"/>
              <w:right w:w="108" w:type="dxa"/>
            </w:tcMar>
          </w:tcPr>
          <w:p w14:paraId="502134E8"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FSH</w:t>
            </w:r>
            <w:r w:rsidRPr="00807BCB">
              <w:rPr>
                <w:rFonts w:ascii="Book Antiqua" w:eastAsia="微软雅黑" w:hAnsi="Book Antiqua" w:hint="eastAsia"/>
                <w:lang w:eastAsia="zh-CN"/>
              </w:rPr>
              <w:t xml:space="preserve"> </w:t>
            </w:r>
            <w:r w:rsidRPr="00807BCB">
              <w:rPr>
                <w:rFonts w:ascii="Book Antiqua" w:eastAsia="微软雅黑" w:hAnsi="Book Antiqua"/>
              </w:rPr>
              <w:t>(3.03-8.08</w:t>
            </w:r>
            <w:r w:rsidRPr="00807BCB">
              <w:rPr>
                <w:rFonts w:ascii="Book Antiqua" w:eastAsia="微软雅黑" w:hAnsi="Book Antiqua" w:hint="eastAsia"/>
                <w:lang w:eastAsia="zh-CN"/>
              </w:rPr>
              <w:t xml:space="preserve"> </w:t>
            </w:r>
            <w:r w:rsidRPr="00807BCB">
              <w:rPr>
                <w:rFonts w:ascii="Book Antiqua" w:eastAsia="微软雅黑" w:hAnsi="Book Antiqua"/>
              </w:rPr>
              <w:t>mIU/mL)</w:t>
            </w:r>
          </w:p>
        </w:tc>
        <w:tc>
          <w:tcPr>
            <w:tcW w:w="2500" w:type="pct"/>
            <w:shd w:val="clear" w:color="auto" w:fill="auto"/>
            <w:tcMar>
              <w:top w:w="15" w:type="dxa"/>
              <w:left w:w="108" w:type="dxa"/>
              <w:bottom w:w="0" w:type="dxa"/>
              <w:right w:w="108" w:type="dxa"/>
            </w:tcMar>
          </w:tcPr>
          <w:p w14:paraId="24F7918F"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&lt;</w:t>
            </w:r>
            <w:r w:rsidRPr="00807BCB">
              <w:rPr>
                <w:rFonts w:ascii="Book Antiqua" w:eastAsia="微软雅黑" w:hAnsi="Book Antiqua" w:hint="eastAsia"/>
                <w:lang w:eastAsia="zh-CN"/>
              </w:rPr>
              <w:t xml:space="preserve"> </w:t>
            </w:r>
            <w:r w:rsidRPr="00807BCB">
              <w:rPr>
                <w:rFonts w:ascii="Book Antiqua" w:eastAsia="微软雅黑" w:hAnsi="Book Antiqua"/>
              </w:rPr>
              <w:t>0.05</w:t>
            </w:r>
          </w:p>
        </w:tc>
      </w:tr>
      <w:tr w:rsidR="005105FB" w:rsidRPr="00807BCB" w14:paraId="748D5104" w14:textId="77777777">
        <w:trPr>
          <w:trHeight w:val="375"/>
        </w:trPr>
        <w:tc>
          <w:tcPr>
            <w:tcW w:w="2500" w:type="pct"/>
            <w:shd w:val="clear" w:color="auto" w:fill="auto"/>
            <w:tcMar>
              <w:top w:w="15" w:type="dxa"/>
              <w:left w:w="108" w:type="dxa"/>
              <w:bottom w:w="0" w:type="dxa"/>
              <w:right w:w="108" w:type="dxa"/>
            </w:tcMar>
          </w:tcPr>
          <w:p w14:paraId="0404CFB2"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Testosterone</w:t>
            </w:r>
            <w:r w:rsidRPr="00807BCB">
              <w:rPr>
                <w:rFonts w:ascii="Book Antiqua" w:eastAsia="微软雅黑" w:hAnsi="Book Antiqua" w:hint="eastAsia"/>
                <w:lang w:eastAsia="zh-CN"/>
              </w:rPr>
              <w:t xml:space="preserve"> </w:t>
            </w:r>
            <w:r w:rsidRPr="00807BCB">
              <w:rPr>
                <w:rFonts w:ascii="Book Antiqua" w:eastAsia="微软雅黑" w:hAnsi="Book Antiqua"/>
              </w:rPr>
              <w:t>(10.83-56.94</w:t>
            </w:r>
            <w:r w:rsidRPr="00807BCB">
              <w:rPr>
                <w:rFonts w:ascii="Book Antiqua" w:eastAsia="微软雅黑" w:hAnsi="Book Antiqua" w:hint="eastAsia"/>
                <w:lang w:eastAsia="zh-CN"/>
              </w:rPr>
              <w:t xml:space="preserve"> </w:t>
            </w:r>
            <w:r w:rsidRPr="00807BCB">
              <w:rPr>
                <w:rFonts w:ascii="Book Antiqua" w:eastAsia="微软雅黑" w:hAnsi="Book Antiqua"/>
              </w:rPr>
              <w:t>ng/dL)</w:t>
            </w:r>
          </w:p>
        </w:tc>
        <w:tc>
          <w:tcPr>
            <w:tcW w:w="2500" w:type="pct"/>
            <w:shd w:val="clear" w:color="auto" w:fill="auto"/>
            <w:tcMar>
              <w:top w:w="15" w:type="dxa"/>
              <w:left w:w="108" w:type="dxa"/>
              <w:bottom w:w="0" w:type="dxa"/>
              <w:right w:w="108" w:type="dxa"/>
            </w:tcMar>
          </w:tcPr>
          <w:p w14:paraId="47A087FA"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&lt;</w:t>
            </w:r>
            <w:r w:rsidRPr="00807BCB">
              <w:rPr>
                <w:rFonts w:ascii="Book Antiqua" w:eastAsia="微软雅黑" w:hAnsi="Book Antiqua" w:hint="eastAsia"/>
                <w:lang w:eastAsia="zh-CN"/>
              </w:rPr>
              <w:t xml:space="preserve"> </w:t>
            </w:r>
            <w:r w:rsidRPr="00807BCB">
              <w:rPr>
                <w:rFonts w:ascii="Book Antiqua" w:eastAsia="微软雅黑" w:hAnsi="Book Antiqua"/>
              </w:rPr>
              <w:t>3.82</w:t>
            </w:r>
          </w:p>
        </w:tc>
      </w:tr>
      <w:tr w:rsidR="005105FB" w:rsidRPr="00807BCB" w14:paraId="3082912F" w14:textId="77777777">
        <w:trPr>
          <w:trHeight w:val="375"/>
        </w:trPr>
        <w:tc>
          <w:tcPr>
            <w:tcW w:w="2500" w:type="pct"/>
            <w:shd w:val="clear" w:color="auto" w:fill="auto"/>
            <w:tcMar>
              <w:top w:w="15" w:type="dxa"/>
              <w:left w:w="108" w:type="dxa"/>
              <w:bottom w:w="0" w:type="dxa"/>
              <w:right w:w="108" w:type="dxa"/>
            </w:tcMar>
          </w:tcPr>
          <w:p w14:paraId="6C6A066E"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Estradiol</w:t>
            </w:r>
            <w:r w:rsidRPr="00807BCB">
              <w:rPr>
                <w:rFonts w:ascii="Book Antiqua" w:eastAsia="微软雅黑" w:hAnsi="Book Antiqua" w:hint="eastAsia"/>
                <w:lang w:eastAsia="zh-CN"/>
              </w:rPr>
              <w:t xml:space="preserve"> </w:t>
            </w:r>
            <w:r w:rsidRPr="00807BCB">
              <w:rPr>
                <w:rFonts w:ascii="Book Antiqua" w:eastAsia="微软雅黑" w:hAnsi="Book Antiqua"/>
              </w:rPr>
              <w:t>(21-251</w:t>
            </w:r>
            <w:r w:rsidRPr="00807BCB">
              <w:rPr>
                <w:rFonts w:ascii="Book Antiqua" w:eastAsia="微软雅黑" w:hAnsi="Book Antiqua" w:hint="eastAsia"/>
                <w:lang w:eastAsia="zh-CN"/>
              </w:rPr>
              <w:t xml:space="preserve"> </w:t>
            </w:r>
            <w:r w:rsidRPr="00807BCB">
              <w:rPr>
                <w:rFonts w:ascii="Book Antiqua" w:eastAsia="微软雅黑" w:hAnsi="Book Antiqua"/>
              </w:rPr>
              <w:t>pg/mL)</w:t>
            </w:r>
          </w:p>
        </w:tc>
        <w:tc>
          <w:tcPr>
            <w:tcW w:w="2500" w:type="pct"/>
            <w:shd w:val="clear" w:color="auto" w:fill="auto"/>
            <w:tcMar>
              <w:top w:w="15" w:type="dxa"/>
              <w:left w:w="108" w:type="dxa"/>
              <w:bottom w:w="0" w:type="dxa"/>
              <w:right w:w="108" w:type="dxa"/>
            </w:tcMar>
          </w:tcPr>
          <w:p w14:paraId="3A858D17"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&lt;</w:t>
            </w:r>
            <w:r w:rsidRPr="00807BCB">
              <w:rPr>
                <w:rFonts w:ascii="Book Antiqua" w:eastAsia="微软雅黑" w:hAnsi="Book Antiqua" w:hint="eastAsia"/>
                <w:lang w:eastAsia="zh-CN"/>
              </w:rPr>
              <w:t xml:space="preserve"> </w:t>
            </w:r>
            <w:r w:rsidRPr="00807BCB">
              <w:rPr>
                <w:rFonts w:ascii="Book Antiqua" w:eastAsia="微软雅黑" w:hAnsi="Book Antiqua"/>
              </w:rPr>
              <w:t>10.00</w:t>
            </w:r>
          </w:p>
        </w:tc>
      </w:tr>
      <w:tr w:rsidR="005105FB" w:rsidRPr="00807BCB" w14:paraId="70B10604" w14:textId="77777777">
        <w:trPr>
          <w:trHeight w:val="375"/>
        </w:trPr>
        <w:tc>
          <w:tcPr>
            <w:tcW w:w="2500" w:type="pct"/>
            <w:shd w:val="clear" w:color="auto" w:fill="auto"/>
            <w:tcMar>
              <w:top w:w="15" w:type="dxa"/>
              <w:left w:w="108" w:type="dxa"/>
              <w:bottom w:w="0" w:type="dxa"/>
              <w:right w:w="108" w:type="dxa"/>
            </w:tcMar>
          </w:tcPr>
          <w:p w14:paraId="1C088C25"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Progesterone</w:t>
            </w:r>
            <w:r w:rsidRPr="00807BCB">
              <w:rPr>
                <w:rFonts w:ascii="Book Antiqua" w:eastAsia="微软雅黑" w:hAnsi="Book Antiqua" w:hint="eastAsia"/>
                <w:lang w:eastAsia="zh-CN"/>
              </w:rPr>
              <w:t xml:space="preserve"> </w:t>
            </w:r>
            <w:r w:rsidRPr="00807BCB">
              <w:rPr>
                <w:rFonts w:ascii="Book Antiqua" w:eastAsia="微软雅黑" w:hAnsi="Book Antiqua"/>
              </w:rPr>
              <w:t>(0.00-0.30</w:t>
            </w:r>
            <w:r w:rsidRPr="00807BCB">
              <w:rPr>
                <w:rFonts w:ascii="Book Antiqua" w:eastAsia="微软雅黑" w:hAnsi="Book Antiqua" w:hint="eastAsia"/>
                <w:lang w:eastAsia="zh-CN"/>
              </w:rPr>
              <w:t xml:space="preserve"> </w:t>
            </w:r>
            <w:r w:rsidRPr="00807BCB">
              <w:rPr>
                <w:rFonts w:ascii="Book Antiqua" w:eastAsia="微软雅黑" w:hAnsi="Book Antiqua"/>
              </w:rPr>
              <w:t>ng/mL)</w:t>
            </w:r>
          </w:p>
        </w:tc>
        <w:tc>
          <w:tcPr>
            <w:tcW w:w="2500" w:type="pct"/>
            <w:shd w:val="clear" w:color="auto" w:fill="auto"/>
            <w:tcMar>
              <w:top w:w="15" w:type="dxa"/>
              <w:left w:w="108" w:type="dxa"/>
              <w:bottom w:w="0" w:type="dxa"/>
              <w:right w:w="108" w:type="dxa"/>
            </w:tcMar>
          </w:tcPr>
          <w:p w14:paraId="0EF539A4"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&lt;</w:t>
            </w:r>
            <w:r w:rsidRPr="00807BCB">
              <w:rPr>
                <w:rFonts w:ascii="Book Antiqua" w:eastAsia="微软雅黑" w:hAnsi="Book Antiqua" w:hint="eastAsia"/>
                <w:lang w:eastAsia="zh-CN"/>
              </w:rPr>
              <w:t xml:space="preserve"> </w:t>
            </w:r>
            <w:r w:rsidRPr="00807BCB">
              <w:rPr>
                <w:rFonts w:ascii="Book Antiqua" w:eastAsia="微软雅黑" w:hAnsi="Book Antiqua"/>
              </w:rPr>
              <w:t>0.10</w:t>
            </w:r>
          </w:p>
        </w:tc>
      </w:tr>
      <w:tr w:rsidR="005105FB" w:rsidRPr="00807BCB" w14:paraId="6CBFA2B6" w14:textId="77777777">
        <w:trPr>
          <w:trHeight w:val="375"/>
        </w:trPr>
        <w:tc>
          <w:tcPr>
            <w:tcW w:w="2500" w:type="pct"/>
            <w:shd w:val="clear" w:color="auto" w:fill="auto"/>
            <w:tcMar>
              <w:top w:w="15" w:type="dxa"/>
              <w:left w:w="108" w:type="dxa"/>
              <w:bottom w:w="0" w:type="dxa"/>
              <w:right w:w="108" w:type="dxa"/>
            </w:tcMar>
          </w:tcPr>
          <w:p w14:paraId="5240C58F"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Prolactin</w:t>
            </w:r>
            <w:r w:rsidRPr="00807BCB">
              <w:rPr>
                <w:rFonts w:ascii="Book Antiqua" w:eastAsia="微软雅黑" w:hAnsi="Book Antiqua" w:hint="eastAsia"/>
                <w:lang w:eastAsia="zh-CN"/>
              </w:rPr>
              <w:t xml:space="preserve"> </w:t>
            </w:r>
            <w:r w:rsidRPr="00807BCB">
              <w:rPr>
                <w:rFonts w:ascii="Book Antiqua" w:eastAsia="微软雅黑" w:hAnsi="Book Antiqua"/>
              </w:rPr>
              <w:t>(5.18-26.53</w:t>
            </w:r>
            <w:r w:rsidRPr="00807BCB">
              <w:rPr>
                <w:rFonts w:ascii="Book Antiqua" w:eastAsia="微软雅黑" w:hAnsi="Book Antiqua" w:hint="eastAsia"/>
                <w:lang w:eastAsia="zh-CN"/>
              </w:rPr>
              <w:t xml:space="preserve"> </w:t>
            </w:r>
            <w:r w:rsidRPr="00807BCB">
              <w:rPr>
                <w:rFonts w:ascii="Book Antiqua" w:eastAsia="微软雅黑" w:hAnsi="Book Antiqua"/>
              </w:rPr>
              <w:t>ng/mL)</w:t>
            </w:r>
          </w:p>
        </w:tc>
        <w:tc>
          <w:tcPr>
            <w:tcW w:w="2500" w:type="pct"/>
            <w:shd w:val="clear" w:color="auto" w:fill="auto"/>
            <w:tcMar>
              <w:top w:w="15" w:type="dxa"/>
              <w:left w:w="108" w:type="dxa"/>
              <w:bottom w:w="0" w:type="dxa"/>
              <w:right w:w="108" w:type="dxa"/>
            </w:tcMar>
          </w:tcPr>
          <w:p w14:paraId="19E7CD67"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44.60</w:t>
            </w:r>
          </w:p>
        </w:tc>
      </w:tr>
    </w:tbl>
    <w:p w14:paraId="0ED20619" w14:textId="77777777" w:rsidR="005105FB" w:rsidRPr="00807BCB" w:rsidRDefault="00A36158">
      <w:pPr>
        <w:spacing w:line="360" w:lineRule="auto"/>
        <w:jc w:val="both"/>
        <w:rPr>
          <w:rFonts w:ascii="Book Antiqua" w:eastAsia="微软雅黑" w:hAnsi="Book Antiqua"/>
        </w:rPr>
      </w:pPr>
      <w:r w:rsidRPr="00807BCB">
        <w:rPr>
          <w:rFonts w:ascii="Book Antiqua" w:eastAsia="微软雅黑" w:hAnsi="Book Antiqua"/>
        </w:rPr>
        <w:t>IGF-1: Insulin-like growth factor-I; TSH: Thyroid stimulating hormone; FT3: Free triiodothyronine; FT4: Free thyroxine; ACTH: Adrenocorticotropic hormone; LH: Luteinizing hormone; FSH: Follicle stimulating hormone.</w:t>
      </w:r>
    </w:p>
    <w:p w14:paraId="2A40A8CD" w14:textId="26BC25D9" w:rsidR="00D552DB" w:rsidRPr="00807BCB" w:rsidRDefault="00D552DB">
      <w:pPr>
        <w:rPr>
          <w:rFonts w:ascii="Book Antiqua" w:hAnsi="Book Antiqua"/>
          <w:lang w:eastAsia="zh-CN"/>
        </w:rPr>
      </w:pPr>
      <w:r w:rsidRPr="00807BCB">
        <w:rPr>
          <w:rFonts w:ascii="Book Antiqua" w:hAnsi="Book Antiqua"/>
          <w:lang w:eastAsia="zh-CN"/>
        </w:rPr>
        <w:br w:type="page"/>
      </w:r>
    </w:p>
    <w:p w14:paraId="1CFFABF3" w14:textId="77777777" w:rsidR="00D552DB" w:rsidRPr="00807BCB" w:rsidRDefault="00D552DB" w:rsidP="00D552DB">
      <w:pPr>
        <w:ind w:leftChars="100" w:left="240"/>
        <w:jc w:val="center"/>
        <w:rPr>
          <w:rFonts w:ascii="Book Antiqua" w:hAnsi="Book Antiqua"/>
          <w:lang w:val="pt-BR" w:eastAsia="zh-CN"/>
        </w:rPr>
      </w:pPr>
      <w:bookmarkStart w:id="11" w:name="_Hlk88512952"/>
    </w:p>
    <w:p w14:paraId="17745BB4" w14:textId="77777777" w:rsidR="00D552DB" w:rsidRPr="00807BCB" w:rsidRDefault="00D552DB" w:rsidP="00D552DB">
      <w:pPr>
        <w:ind w:leftChars="100" w:left="240"/>
        <w:jc w:val="center"/>
        <w:rPr>
          <w:rFonts w:ascii="Book Antiqua" w:hAnsi="Book Antiqua"/>
          <w:lang w:val="pt-BR" w:eastAsia="zh-CN"/>
        </w:rPr>
      </w:pPr>
    </w:p>
    <w:p w14:paraId="65EEB45F" w14:textId="77777777" w:rsidR="00D552DB" w:rsidRPr="00807BCB" w:rsidRDefault="00D552DB" w:rsidP="00D552DB">
      <w:pPr>
        <w:ind w:leftChars="100" w:left="240"/>
        <w:jc w:val="center"/>
        <w:rPr>
          <w:rFonts w:ascii="Book Antiqua" w:hAnsi="Book Antiqua"/>
          <w:lang w:val="pt-BR" w:eastAsia="zh-CN"/>
        </w:rPr>
      </w:pPr>
    </w:p>
    <w:p w14:paraId="118A9242" w14:textId="77777777" w:rsidR="00D552DB" w:rsidRPr="00807BCB" w:rsidRDefault="00D552DB" w:rsidP="00D552DB">
      <w:pPr>
        <w:ind w:leftChars="100" w:left="240"/>
        <w:jc w:val="center"/>
        <w:rPr>
          <w:rFonts w:ascii="Book Antiqua" w:hAnsi="Book Antiqua"/>
          <w:lang w:val="pt-BR" w:eastAsia="zh-CN"/>
        </w:rPr>
      </w:pPr>
    </w:p>
    <w:p w14:paraId="0C19971E" w14:textId="77777777" w:rsidR="00D552DB" w:rsidRPr="00807BCB" w:rsidRDefault="00D552DB" w:rsidP="00D552DB">
      <w:pPr>
        <w:ind w:leftChars="100" w:left="240"/>
        <w:jc w:val="center"/>
        <w:rPr>
          <w:rFonts w:ascii="Book Antiqua" w:hAnsi="Book Antiqua"/>
          <w:lang w:eastAsia="zh-CN"/>
        </w:rPr>
      </w:pPr>
      <w:r w:rsidRPr="00807BCB">
        <w:rPr>
          <w:rFonts w:ascii="Book Antiqua" w:hAnsi="Book Antiqua"/>
          <w:noProof/>
          <w:lang w:eastAsia="zh-CN"/>
        </w:rPr>
        <w:drawing>
          <wp:inline distT="0" distB="0" distL="0" distR="0" wp14:anchorId="3838D159" wp14:editId="76C420F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C702A9" w14:textId="77777777" w:rsidR="00D552DB" w:rsidRPr="00807BCB" w:rsidRDefault="00D552DB" w:rsidP="00D552DB">
      <w:pPr>
        <w:ind w:leftChars="100" w:left="240"/>
        <w:jc w:val="center"/>
        <w:rPr>
          <w:rFonts w:ascii="Book Antiqua" w:hAnsi="Book Antiqua"/>
          <w:lang w:eastAsia="zh-CN"/>
        </w:rPr>
      </w:pPr>
    </w:p>
    <w:p w14:paraId="09BDE00B" w14:textId="77777777" w:rsidR="00D552DB" w:rsidRPr="00807BCB" w:rsidRDefault="00D552DB" w:rsidP="00D552DB">
      <w:pPr>
        <w:autoSpaceDE w:val="0"/>
        <w:autoSpaceDN w:val="0"/>
        <w:adjustRightInd w:val="0"/>
        <w:ind w:leftChars="100" w:left="240"/>
        <w:jc w:val="center"/>
        <w:rPr>
          <w:rFonts w:ascii="Book Antiqua" w:eastAsia="Garamond-Bold" w:hAnsi="Book Antiqua" w:cs="Garamond-Bold"/>
          <w:b/>
          <w:bCs/>
          <w:color w:val="000000"/>
          <w:sz w:val="28"/>
          <w:szCs w:val="28"/>
        </w:rPr>
      </w:pPr>
      <w:r w:rsidRPr="00807BCB">
        <w:rPr>
          <w:rFonts w:ascii="Book Antiqua" w:eastAsia="TimesNewRomanPSMT" w:hAnsi="Book Antiqua" w:cs="TimesNewRomanPSMT"/>
          <w:color w:val="000000"/>
          <w:sz w:val="28"/>
          <w:szCs w:val="28"/>
        </w:rPr>
        <w:t xml:space="preserve">Published by </w:t>
      </w:r>
      <w:r w:rsidRPr="00807BCB">
        <w:rPr>
          <w:rFonts w:ascii="Book Antiqua" w:eastAsia="Garamond-Bold" w:hAnsi="Book Antiqua" w:cs="Garamond-Bold"/>
          <w:b/>
          <w:bCs/>
          <w:color w:val="000000"/>
          <w:sz w:val="28"/>
          <w:szCs w:val="28"/>
        </w:rPr>
        <w:t>Baishideng Publishing Group Inc</w:t>
      </w:r>
    </w:p>
    <w:p w14:paraId="5448C6E2" w14:textId="77777777" w:rsidR="00D552DB" w:rsidRPr="00807BCB" w:rsidRDefault="00D552DB" w:rsidP="00D552DB">
      <w:pPr>
        <w:autoSpaceDE w:val="0"/>
        <w:autoSpaceDN w:val="0"/>
        <w:adjustRightInd w:val="0"/>
        <w:ind w:leftChars="100" w:left="240"/>
        <w:jc w:val="center"/>
        <w:rPr>
          <w:rFonts w:ascii="Book Antiqua" w:eastAsia="TimesNewRomanPSMT" w:hAnsi="Book Antiqua" w:cs="Garamond"/>
          <w:color w:val="000000"/>
          <w:sz w:val="28"/>
          <w:szCs w:val="28"/>
        </w:rPr>
      </w:pPr>
      <w:r w:rsidRPr="00807BCB">
        <w:rPr>
          <w:rFonts w:ascii="Book Antiqua" w:eastAsia="TimesNewRomanPSMT" w:hAnsi="Book Antiqua" w:cs="Garamond"/>
          <w:color w:val="000000"/>
          <w:sz w:val="28"/>
          <w:szCs w:val="28"/>
        </w:rPr>
        <w:t>7041 Koll Center Parkway, Suite 160, Pleasanton, CA 94566, USA</w:t>
      </w:r>
    </w:p>
    <w:p w14:paraId="0702B17C" w14:textId="77777777" w:rsidR="00D552DB" w:rsidRPr="00807BCB" w:rsidRDefault="00D552DB" w:rsidP="00D552DB">
      <w:pPr>
        <w:autoSpaceDE w:val="0"/>
        <w:autoSpaceDN w:val="0"/>
        <w:adjustRightInd w:val="0"/>
        <w:ind w:leftChars="100" w:left="240"/>
        <w:jc w:val="center"/>
        <w:rPr>
          <w:rFonts w:ascii="Book Antiqua" w:eastAsia="TimesNewRomanPSMT" w:hAnsi="Book Antiqua" w:cs="Garamond"/>
          <w:color w:val="000000"/>
          <w:sz w:val="28"/>
          <w:szCs w:val="28"/>
        </w:rPr>
      </w:pPr>
      <w:r w:rsidRPr="00807BCB">
        <w:rPr>
          <w:rFonts w:ascii="Book Antiqua" w:eastAsia="Garamond-Bold" w:hAnsi="Book Antiqua" w:cs="Garamond-Bold"/>
          <w:b/>
          <w:bCs/>
          <w:color w:val="000000"/>
          <w:sz w:val="28"/>
          <w:szCs w:val="28"/>
        </w:rPr>
        <w:t xml:space="preserve">Telephone: </w:t>
      </w:r>
      <w:r w:rsidRPr="00807BCB">
        <w:rPr>
          <w:rFonts w:ascii="Book Antiqua" w:eastAsia="TimesNewRomanPSMT" w:hAnsi="Book Antiqua" w:cs="Garamond"/>
          <w:color w:val="000000"/>
          <w:sz w:val="28"/>
          <w:szCs w:val="28"/>
        </w:rPr>
        <w:t>+1-925-3991568</w:t>
      </w:r>
    </w:p>
    <w:p w14:paraId="0D5F8C4F" w14:textId="77777777" w:rsidR="00D552DB" w:rsidRPr="00807BCB" w:rsidRDefault="00D552DB" w:rsidP="00D552DB">
      <w:pPr>
        <w:autoSpaceDE w:val="0"/>
        <w:autoSpaceDN w:val="0"/>
        <w:adjustRightInd w:val="0"/>
        <w:ind w:leftChars="100" w:left="240"/>
        <w:jc w:val="center"/>
        <w:rPr>
          <w:rFonts w:ascii="Book Antiqua" w:eastAsia="TimesNewRomanPSMT" w:hAnsi="Book Antiqua" w:cs="Garamond"/>
          <w:color w:val="D56400"/>
          <w:sz w:val="28"/>
          <w:szCs w:val="28"/>
        </w:rPr>
      </w:pPr>
      <w:r w:rsidRPr="00807BCB">
        <w:rPr>
          <w:rFonts w:ascii="Book Antiqua" w:eastAsia="Garamond-Bold" w:hAnsi="Book Antiqua" w:cs="Garamond-Bold"/>
          <w:b/>
          <w:bCs/>
          <w:color w:val="000000"/>
          <w:sz w:val="28"/>
          <w:szCs w:val="28"/>
        </w:rPr>
        <w:t xml:space="preserve">E-mail: </w:t>
      </w:r>
      <w:r w:rsidRPr="00807BCB">
        <w:rPr>
          <w:rFonts w:ascii="Book Antiqua" w:eastAsia="TimesNewRomanPSMT" w:hAnsi="Book Antiqua" w:cs="Garamond"/>
          <w:color w:val="D56400"/>
          <w:sz w:val="28"/>
          <w:szCs w:val="28"/>
        </w:rPr>
        <w:t>bpgoffice@wjgnet.com</w:t>
      </w:r>
    </w:p>
    <w:p w14:paraId="25967743" w14:textId="77777777" w:rsidR="00D552DB" w:rsidRPr="00807BCB" w:rsidRDefault="00D552DB" w:rsidP="00D552DB">
      <w:pPr>
        <w:autoSpaceDE w:val="0"/>
        <w:autoSpaceDN w:val="0"/>
        <w:adjustRightInd w:val="0"/>
        <w:ind w:leftChars="100" w:left="240"/>
        <w:jc w:val="center"/>
        <w:rPr>
          <w:rFonts w:ascii="Book Antiqua" w:eastAsia="TimesNewRomanPSMT" w:hAnsi="Book Antiqua" w:cs="Garamond"/>
          <w:color w:val="D56400"/>
          <w:sz w:val="28"/>
          <w:szCs w:val="28"/>
        </w:rPr>
      </w:pPr>
      <w:r w:rsidRPr="00807BCB">
        <w:rPr>
          <w:rFonts w:ascii="Book Antiqua" w:eastAsia="Garamond-Bold" w:hAnsi="Book Antiqua" w:cs="Garamond-Bold"/>
          <w:b/>
          <w:bCs/>
          <w:color w:val="000000"/>
          <w:sz w:val="28"/>
          <w:szCs w:val="28"/>
        </w:rPr>
        <w:t xml:space="preserve">Help Desk: </w:t>
      </w:r>
      <w:r w:rsidRPr="00807BCB">
        <w:rPr>
          <w:rFonts w:ascii="Book Antiqua" w:eastAsia="TimesNewRomanPSMT" w:hAnsi="Book Antiqua" w:cs="Garamond"/>
          <w:color w:val="D56400"/>
          <w:sz w:val="28"/>
          <w:szCs w:val="28"/>
        </w:rPr>
        <w:t>https://www.f6publishing.com/helpdesk</w:t>
      </w:r>
    </w:p>
    <w:p w14:paraId="186A0089" w14:textId="77777777" w:rsidR="00D552DB" w:rsidRPr="00807BCB" w:rsidRDefault="00D552DB" w:rsidP="00D552DB">
      <w:pPr>
        <w:ind w:leftChars="100" w:left="240"/>
        <w:jc w:val="center"/>
        <w:rPr>
          <w:rFonts w:ascii="Book Antiqua" w:hAnsi="Book Antiqua"/>
          <w:lang w:eastAsia="zh-CN"/>
        </w:rPr>
      </w:pPr>
      <w:r w:rsidRPr="00807BCB">
        <w:rPr>
          <w:rFonts w:ascii="Book Antiqua" w:eastAsia="TimesNewRomanPSMT" w:hAnsi="Book Antiqua" w:cs="Garamond"/>
          <w:color w:val="D56400"/>
          <w:sz w:val="28"/>
          <w:szCs w:val="28"/>
        </w:rPr>
        <w:t>https://www.wjgnet.com</w:t>
      </w:r>
    </w:p>
    <w:p w14:paraId="35A34E47" w14:textId="77777777" w:rsidR="00D552DB" w:rsidRPr="00807BCB" w:rsidRDefault="00D552DB" w:rsidP="00D552DB">
      <w:pPr>
        <w:ind w:leftChars="100" w:left="240"/>
        <w:jc w:val="center"/>
        <w:rPr>
          <w:rFonts w:ascii="Book Antiqua" w:hAnsi="Book Antiqua"/>
          <w:lang w:eastAsia="zh-CN"/>
        </w:rPr>
      </w:pPr>
    </w:p>
    <w:p w14:paraId="54FED0B5" w14:textId="77777777" w:rsidR="00D552DB" w:rsidRPr="00807BCB" w:rsidRDefault="00D552DB" w:rsidP="00D552DB">
      <w:pPr>
        <w:ind w:leftChars="100" w:left="240"/>
        <w:jc w:val="center"/>
        <w:rPr>
          <w:rFonts w:ascii="Book Antiqua" w:hAnsi="Book Antiqua"/>
          <w:lang w:eastAsia="zh-CN"/>
        </w:rPr>
      </w:pPr>
    </w:p>
    <w:p w14:paraId="4E99A491" w14:textId="77777777" w:rsidR="00D552DB" w:rsidRPr="00807BCB" w:rsidRDefault="00D552DB" w:rsidP="00D552DB">
      <w:pPr>
        <w:ind w:leftChars="100" w:left="240"/>
        <w:jc w:val="center"/>
        <w:rPr>
          <w:rFonts w:ascii="Book Antiqua" w:hAnsi="Book Antiqua"/>
          <w:lang w:eastAsia="zh-CN"/>
        </w:rPr>
      </w:pPr>
    </w:p>
    <w:p w14:paraId="774B2F55" w14:textId="77777777" w:rsidR="00D552DB" w:rsidRPr="00807BCB" w:rsidRDefault="00D552DB" w:rsidP="00D552DB">
      <w:pPr>
        <w:ind w:leftChars="100" w:left="240"/>
        <w:jc w:val="center"/>
        <w:rPr>
          <w:rFonts w:ascii="Book Antiqua" w:hAnsi="Book Antiqua"/>
          <w:lang w:eastAsia="zh-CN"/>
        </w:rPr>
      </w:pPr>
      <w:r w:rsidRPr="00807BCB">
        <w:rPr>
          <w:rFonts w:ascii="Book Antiqua" w:hAnsi="Book Antiqua"/>
          <w:noProof/>
          <w:lang w:eastAsia="zh-CN"/>
        </w:rPr>
        <w:drawing>
          <wp:inline distT="0" distB="0" distL="0" distR="0" wp14:anchorId="5D328C0F" wp14:editId="773408E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63B5DC" w14:textId="77777777" w:rsidR="00D552DB" w:rsidRPr="00807BCB" w:rsidRDefault="00D552DB" w:rsidP="00D552DB">
      <w:pPr>
        <w:ind w:leftChars="100" w:left="240"/>
        <w:jc w:val="center"/>
        <w:rPr>
          <w:rFonts w:ascii="Book Antiqua" w:hAnsi="Book Antiqua"/>
          <w:lang w:eastAsia="zh-CN"/>
        </w:rPr>
      </w:pPr>
    </w:p>
    <w:p w14:paraId="7E4474A3" w14:textId="77777777" w:rsidR="00D552DB" w:rsidRPr="00807BCB" w:rsidRDefault="00D552DB" w:rsidP="00D552DB">
      <w:pPr>
        <w:ind w:leftChars="100" w:left="240"/>
        <w:jc w:val="center"/>
        <w:rPr>
          <w:rFonts w:ascii="Book Antiqua" w:hAnsi="Book Antiqua"/>
          <w:lang w:eastAsia="zh-CN"/>
        </w:rPr>
      </w:pPr>
    </w:p>
    <w:p w14:paraId="233B8881" w14:textId="77777777" w:rsidR="00D552DB" w:rsidRPr="00807BCB" w:rsidRDefault="00D552DB" w:rsidP="00D552DB">
      <w:pPr>
        <w:ind w:leftChars="100" w:left="240"/>
        <w:jc w:val="center"/>
        <w:rPr>
          <w:rFonts w:ascii="Book Antiqua" w:hAnsi="Book Antiqua"/>
          <w:lang w:eastAsia="zh-CN"/>
        </w:rPr>
      </w:pPr>
    </w:p>
    <w:p w14:paraId="3DF076EF" w14:textId="77777777" w:rsidR="00D552DB" w:rsidRPr="00807BCB" w:rsidRDefault="00D552DB" w:rsidP="00D552DB">
      <w:pPr>
        <w:ind w:leftChars="100" w:left="240"/>
        <w:jc w:val="center"/>
        <w:rPr>
          <w:rFonts w:ascii="Book Antiqua" w:hAnsi="Book Antiqua"/>
          <w:lang w:eastAsia="zh-CN"/>
        </w:rPr>
      </w:pPr>
    </w:p>
    <w:p w14:paraId="4D0F7FE5" w14:textId="77777777" w:rsidR="00D552DB" w:rsidRPr="00807BCB" w:rsidRDefault="00D552DB" w:rsidP="00D552DB">
      <w:pPr>
        <w:ind w:leftChars="100" w:left="240"/>
        <w:jc w:val="center"/>
        <w:rPr>
          <w:rFonts w:ascii="Book Antiqua" w:hAnsi="Book Antiqua"/>
          <w:lang w:eastAsia="zh-CN"/>
        </w:rPr>
      </w:pPr>
    </w:p>
    <w:p w14:paraId="66AA628F" w14:textId="77777777" w:rsidR="00D552DB" w:rsidRPr="00807BCB" w:rsidRDefault="00D552DB" w:rsidP="00D552DB">
      <w:pPr>
        <w:ind w:leftChars="100" w:left="240"/>
        <w:jc w:val="center"/>
        <w:rPr>
          <w:rFonts w:ascii="Book Antiqua" w:hAnsi="Book Antiqua"/>
          <w:lang w:eastAsia="zh-CN"/>
        </w:rPr>
      </w:pPr>
    </w:p>
    <w:p w14:paraId="3193F725" w14:textId="77777777" w:rsidR="00D552DB" w:rsidRPr="00807BCB" w:rsidRDefault="00D552DB" w:rsidP="00D552DB">
      <w:pPr>
        <w:ind w:leftChars="100" w:left="240"/>
        <w:jc w:val="center"/>
        <w:rPr>
          <w:rFonts w:ascii="Book Antiqua" w:hAnsi="Book Antiqua"/>
          <w:lang w:eastAsia="zh-CN"/>
        </w:rPr>
      </w:pPr>
    </w:p>
    <w:p w14:paraId="147D0F33" w14:textId="77777777" w:rsidR="00D552DB" w:rsidRPr="00807BCB" w:rsidRDefault="00D552DB" w:rsidP="00D552DB">
      <w:pPr>
        <w:ind w:leftChars="100" w:left="240"/>
        <w:jc w:val="center"/>
        <w:rPr>
          <w:rFonts w:ascii="Book Antiqua" w:hAnsi="Book Antiqua"/>
          <w:lang w:eastAsia="zh-CN"/>
        </w:rPr>
      </w:pPr>
    </w:p>
    <w:p w14:paraId="1CBCD951" w14:textId="77777777" w:rsidR="00D552DB" w:rsidRPr="00807BCB" w:rsidRDefault="00D552DB" w:rsidP="00D552DB">
      <w:pPr>
        <w:ind w:leftChars="100" w:left="240"/>
        <w:jc w:val="center"/>
        <w:rPr>
          <w:rFonts w:ascii="Book Antiqua" w:hAnsi="Book Antiqua"/>
          <w:lang w:eastAsia="zh-CN"/>
        </w:rPr>
      </w:pPr>
    </w:p>
    <w:p w14:paraId="13E9BE56" w14:textId="77777777" w:rsidR="00D552DB" w:rsidRPr="00807BCB" w:rsidRDefault="00D552DB" w:rsidP="00D552DB">
      <w:pPr>
        <w:ind w:leftChars="100" w:left="240"/>
        <w:jc w:val="right"/>
        <w:rPr>
          <w:rFonts w:ascii="Book Antiqua" w:hAnsi="Book Antiqua"/>
          <w:color w:val="000000" w:themeColor="text1"/>
          <w:lang w:eastAsia="zh-CN"/>
        </w:rPr>
      </w:pPr>
    </w:p>
    <w:p w14:paraId="0937AEC8" w14:textId="77777777" w:rsidR="00D552DB" w:rsidRPr="00763D22" w:rsidRDefault="00D552DB" w:rsidP="00D552DB">
      <w:pPr>
        <w:ind w:leftChars="100" w:left="240"/>
        <w:jc w:val="center"/>
        <w:rPr>
          <w:rFonts w:ascii="Book Antiqua" w:hAnsi="Book Antiqua"/>
          <w:color w:val="000000" w:themeColor="text1"/>
          <w:lang w:eastAsia="zh-CN"/>
        </w:rPr>
      </w:pPr>
      <w:r w:rsidRPr="00807BCB">
        <w:rPr>
          <w:rFonts w:ascii="Book Antiqua" w:eastAsia="BookAntiqua-Bold" w:hAnsi="Book Antiqua" w:cs="BookAntiqua-Bold"/>
          <w:b/>
          <w:bCs/>
          <w:color w:val="000000" w:themeColor="text1"/>
        </w:rPr>
        <w:t>© 2022 Baishideng Publishing Group Inc. All rights reserved.</w:t>
      </w:r>
      <w:r w:rsidRPr="00807BCB">
        <w:rPr>
          <w:rFonts w:ascii="Book Antiqua" w:hAnsi="Book Antiqua"/>
          <w:color w:val="000000" w:themeColor="text1"/>
          <w:lang w:eastAsia="zh-CN"/>
        </w:rPr>
        <w:fldChar w:fldCharType="begin"/>
      </w:r>
      <w:r w:rsidRPr="00807BCB">
        <w:rPr>
          <w:rFonts w:ascii="Book Antiqua" w:hAnsi="Book Antiqua"/>
          <w:color w:val="000000" w:themeColor="text1"/>
          <w:lang w:eastAsia="zh-CN"/>
        </w:rPr>
        <w:instrText xml:space="preserve"> ADDIN EN.REFLIST </w:instrText>
      </w:r>
      <w:r w:rsidRPr="00807BCB">
        <w:rPr>
          <w:rFonts w:ascii="Book Antiqua" w:hAnsi="Book Antiqua"/>
          <w:color w:val="000000" w:themeColor="text1"/>
          <w:lang w:eastAsia="zh-CN"/>
        </w:rPr>
        <w:fldChar w:fldCharType="end"/>
      </w:r>
      <w:bookmarkEnd w:id="11"/>
    </w:p>
    <w:p w14:paraId="1B04AA22" w14:textId="77777777" w:rsidR="005105FB" w:rsidRPr="00D552DB" w:rsidRDefault="005105FB">
      <w:pPr>
        <w:spacing w:line="360" w:lineRule="auto"/>
        <w:jc w:val="both"/>
        <w:rPr>
          <w:rFonts w:ascii="Book Antiqua" w:hAnsi="Book Antiqua"/>
          <w:lang w:eastAsia="zh-CN"/>
        </w:rPr>
      </w:pPr>
    </w:p>
    <w:sectPr w:rsidR="005105FB" w:rsidRPr="00D552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B32A" w14:textId="77777777" w:rsidR="001A7159" w:rsidRDefault="001A7159">
      <w:r>
        <w:separator/>
      </w:r>
    </w:p>
  </w:endnote>
  <w:endnote w:type="continuationSeparator" w:id="0">
    <w:p w14:paraId="71C72E43" w14:textId="77777777" w:rsidR="001A7159" w:rsidRDefault="001A7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8189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A677FF4" w14:textId="77777777" w:rsidR="005105FB" w:rsidRDefault="00A3615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14:paraId="2FA47F3F" w14:textId="77777777" w:rsidR="005105FB" w:rsidRDefault="005105F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E9720" w14:textId="77777777" w:rsidR="001A7159" w:rsidRDefault="001A7159">
      <w:r>
        <w:separator/>
      </w:r>
    </w:p>
  </w:footnote>
  <w:footnote w:type="continuationSeparator" w:id="0">
    <w:p w14:paraId="24465153" w14:textId="77777777" w:rsidR="001A7159" w:rsidRDefault="001A71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30E77"/>
    <w:rsid w:val="00075471"/>
    <w:rsid w:val="000868A8"/>
    <w:rsid w:val="00093CC1"/>
    <w:rsid w:val="000D184C"/>
    <w:rsid w:val="00112DF0"/>
    <w:rsid w:val="0013134B"/>
    <w:rsid w:val="00136A39"/>
    <w:rsid w:val="00140A32"/>
    <w:rsid w:val="001453F2"/>
    <w:rsid w:val="00153BD9"/>
    <w:rsid w:val="001672BC"/>
    <w:rsid w:val="001756DC"/>
    <w:rsid w:val="001A7159"/>
    <w:rsid w:val="001B2978"/>
    <w:rsid w:val="001B72C3"/>
    <w:rsid w:val="001E2B5A"/>
    <w:rsid w:val="00232CFF"/>
    <w:rsid w:val="00294023"/>
    <w:rsid w:val="00336309"/>
    <w:rsid w:val="0037080C"/>
    <w:rsid w:val="003A4982"/>
    <w:rsid w:val="003D496D"/>
    <w:rsid w:val="00422E16"/>
    <w:rsid w:val="0043555D"/>
    <w:rsid w:val="00453931"/>
    <w:rsid w:val="004C7022"/>
    <w:rsid w:val="004D4227"/>
    <w:rsid w:val="005007F0"/>
    <w:rsid w:val="005105FB"/>
    <w:rsid w:val="005C413B"/>
    <w:rsid w:val="005C5DEF"/>
    <w:rsid w:val="005C662C"/>
    <w:rsid w:val="005E4AC1"/>
    <w:rsid w:val="0062525F"/>
    <w:rsid w:val="006376AD"/>
    <w:rsid w:val="006B4E1E"/>
    <w:rsid w:val="006B5D0B"/>
    <w:rsid w:val="006B731D"/>
    <w:rsid w:val="00740455"/>
    <w:rsid w:val="00750F0D"/>
    <w:rsid w:val="00794869"/>
    <w:rsid w:val="007E4DA2"/>
    <w:rsid w:val="00807BCB"/>
    <w:rsid w:val="00812B5E"/>
    <w:rsid w:val="00812DC0"/>
    <w:rsid w:val="00850F7A"/>
    <w:rsid w:val="008A6608"/>
    <w:rsid w:val="008E720A"/>
    <w:rsid w:val="009A6634"/>
    <w:rsid w:val="009B1688"/>
    <w:rsid w:val="009D1DF4"/>
    <w:rsid w:val="009F1FE3"/>
    <w:rsid w:val="00A02795"/>
    <w:rsid w:val="00A11E52"/>
    <w:rsid w:val="00A36158"/>
    <w:rsid w:val="00A77B3E"/>
    <w:rsid w:val="00AD4484"/>
    <w:rsid w:val="00B044D6"/>
    <w:rsid w:val="00B7016B"/>
    <w:rsid w:val="00B70F56"/>
    <w:rsid w:val="00B72B9C"/>
    <w:rsid w:val="00B84F0C"/>
    <w:rsid w:val="00BB6943"/>
    <w:rsid w:val="00C0138D"/>
    <w:rsid w:val="00C53DA2"/>
    <w:rsid w:val="00C75385"/>
    <w:rsid w:val="00C85CDA"/>
    <w:rsid w:val="00C93984"/>
    <w:rsid w:val="00CA2A55"/>
    <w:rsid w:val="00CD48FE"/>
    <w:rsid w:val="00CE400A"/>
    <w:rsid w:val="00CF6BF6"/>
    <w:rsid w:val="00D15577"/>
    <w:rsid w:val="00D24BF7"/>
    <w:rsid w:val="00D552DB"/>
    <w:rsid w:val="00DC2FD6"/>
    <w:rsid w:val="00DD4994"/>
    <w:rsid w:val="00DD70A5"/>
    <w:rsid w:val="00DE735B"/>
    <w:rsid w:val="00E1388D"/>
    <w:rsid w:val="00E3646F"/>
    <w:rsid w:val="00E657E7"/>
    <w:rsid w:val="00EB0EE8"/>
    <w:rsid w:val="00EE1E71"/>
    <w:rsid w:val="00EE2DCC"/>
    <w:rsid w:val="00F169FC"/>
    <w:rsid w:val="00F25F64"/>
    <w:rsid w:val="00F65BF9"/>
    <w:rsid w:val="00F7674E"/>
    <w:rsid w:val="00FC1A9E"/>
    <w:rsid w:val="31C5471F"/>
    <w:rsid w:val="3F2731A2"/>
    <w:rsid w:val="4F95017D"/>
    <w:rsid w:val="69A15BD3"/>
    <w:rsid w:val="7F675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87502"/>
  <w15:docId w15:val="{43D0017C-D011-4B10-82BB-30C6D7F2B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q4iawc">
    <w:name w:val="q4iawc"/>
    <w:basedOn w:val="a0"/>
  </w:style>
  <w:style w:type="character" w:customStyle="1" w:styleId="a6">
    <w:name w:val="批注框文本 字符"/>
    <w:basedOn w:val="a0"/>
    <w:link w:val="a5"/>
    <w:qFormat/>
    <w:rPr>
      <w:sz w:val="18"/>
      <w:szCs w:val="18"/>
    </w:rPr>
  </w:style>
  <w:style w:type="character" w:customStyle="1" w:styleId="a4">
    <w:name w:val="批注文字 字符"/>
    <w:basedOn w:val="a0"/>
    <w:link w:val="a3"/>
    <w:semiHidden/>
    <w:rPr>
      <w:sz w:val="24"/>
      <w:szCs w:val="24"/>
    </w:rPr>
  </w:style>
  <w:style w:type="character" w:customStyle="1" w:styleId="ad">
    <w:name w:val="批注主题 字符"/>
    <w:basedOn w:val="a4"/>
    <w:link w:val="ac"/>
    <w:semiHidden/>
    <w:qFormat/>
    <w:rPr>
      <w:b/>
      <w:bCs/>
      <w:sz w:val="24"/>
      <w:szCs w:val="24"/>
    </w:rPr>
  </w:style>
  <w:style w:type="paragraph" w:customStyle="1" w:styleId="1">
    <w:name w:val="修订1"/>
    <w:hidden/>
    <w:uiPriority w:val="99"/>
    <w:semiHidden/>
    <w:rPr>
      <w:rFonts w:eastAsiaTheme="minorEastAsia"/>
      <w:sz w:val="24"/>
      <w:szCs w:val="24"/>
      <w:lang w:eastAsia="en-US"/>
    </w:rPr>
  </w:style>
  <w:style w:type="character" w:styleId="af">
    <w:name w:val="Hyperlink"/>
    <w:basedOn w:val="a0"/>
    <w:unhideWhenUsed/>
    <w:rsid w:val="00F65BF9"/>
    <w:rPr>
      <w:color w:val="0000FF" w:themeColor="hyperlink"/>
      <w:u w:val="single"/>
    </w:rPr>
  </w:style>
  <w:style w:type="character" w:styleId="af0">
    <w:name w:val="Unresolved Mention"/>
    <w:basedOn w:val="a0"/>
    <w:uiPriority w:val="99"/>
    <w:semiHidden/>
    <w:unhideWhenUsed/>
    <w:rsid w:val="00F65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0/i18/6211.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3845</Words>
  <Characters>21917</Characters>
  <Application>Microsoft Office Word</Application>
  <DocSecurity>0</DocSecurity>
  <Lines>182</Lines>
  <Paragraphs>51</Paragraphs>
  <ScaleCrop>false</ScaleCrop>
  <Company/>
  <LinksUpToDate>false</LinksUpToDate>
  <CharactersWithSpaces>25711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5</cp:revision>
  <dcterms:created xsi:type="dcterms:W3CDTF">2022-04-22T08:04:00Z</dcterms:created>
  <dcterms:modified xsi:type="dcterms:W3CDTF">2022-06-15T07:40:00Z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A2BB268A93F142E6944281B94CCEF7DB</vt:lpwstr>
  </property>
</Properties>
</file>