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A9AF5" w14:textId="77777777" w:rsidR="009A6634" w:rsidRDefault="00EE2DCC">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767AAC8" w14:textId="77777777" w:rsidR="009A6634" w:rsidRDefault="00EE2DCC">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73201</w:t>
      </w:r>
    </w:p>
    <w:p w14:paraId="4F0F8536" w14:textId="77777777" w:rsidR="009A6634" w:rsidRDefault="00EE2DCC">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1763831" w14:textId="77777777" w:rsidR="009A6634" w:rsidRDefault="009A6634">
      <w:pPr>
        <w:spacing w:line="360" w:lineRule="auto"/>
        <w:jc w:val="both"/>
        <w:rPr>
          <w:rFonts w:ascii="Book Antiqua" w:hAnsi="Book Antiqua"/>
        </w:rPr>
      </w:pPr>
    </w:p>
    <w:p w14:paraId="4F5685E5" w14:textId="77777777" w:rsidR="009A6634" w:rsidRDefault="00EE2DCC">
      <w:pPr>
        <w:spacing w:line="360" w:lineRule="auto"/>
        <w:jc w:val="both"/>
        <w:rPr>
          <w:rFonts w:ascii="Book Antiqua" w:hAnsi="Book Antiqua"/>
          <w:lang w:eastAsia="zh-CN"/>
        </w:rPr>
      </w:pPr>
      <w:r>
        <w:rPr>
          <w:rFonts w:ascii="Book Antiqua" w:eastAsia="Book Antiqua" w:hAnsi="Book Antiqua" w:cs="Book Antiqua"/>
          <w:b/>
          <w:color w:val="000000"/>
        </w:rPr>
        <w:t>Growth hormone ameliorates hepatopulmonary syndrome and nonalcoholic steatohepatitis secondary to hypopituitarism in a child</w:t>
      </w:r>
      <w:r>
        <w:rPr>
          <w:rFonts w:ascii="Book Antiqua" w:hAnsi="Book Antiqua" w:cs="Book Antiqua" w:hint="eastAsia"/>
          <w:b/>
          <w:color w:val="000000"/>
          <w:lang w:eastAsia="zh-CN"/>
        </w:rPr>
        <w:t>: A case report</w:t>
      </w:r>
    </w:p>
    <w:p w14:paraId="455B70B7" w14:textId="77777777" w:rsidR="009A6634" w:rsidRDefault="009A6634">
      <w:pPr>
        <w:spacing w:line="360" w:lineRule="auto"/>
        <w:jc w:val="both"/>
        <w:rPr>
          <w:rFonts w:ascii="Book Antiqua" w:hAnsi="Book Antiqua"/>
        </w:rPr>
      </w:pPr>
    </w:p>
    <w:p w14:paraId="6000041B"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XY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Nonalcoholic steatohepatitis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HPS in children</w:t>
      </w:r>
    </w:p>
    <w:p w14:paraId="7BAA61A9" w14:textId="77777777" w:rsidR="009A6634" w:rsidRDefault="009A6634">
      <w:pPr>
        <w:spacing w:line="360" w:lineRule="auto"/>
        <w:jc w:val="both"/>
        <w:rPr>
          <w:rFonts w:ascii="Book Antiqua" w:hAnsi="Book Antiqua"/>
        </w:rPr>
      </w:pPr>
    </w:p>
    <w:p w14:paraId="52719923"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Xiao-Yuan Zhang,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Yuan, Yan-Lan Fang, Chun-Lin Wang</w:t>
      </w:r>
    </w:p>
    <w:p w14:paraId="6B0CC095" w14:textId="77777777" w:rsidR="009A6634" w:rsidRDefault="009A6634">
      <w:pPr>
        <w:spacing w:line="360" w:lineRule="auto"/>
        <w:jc w:val="both"/>
        <w:rPr>
          <w:rFonts w:ascii="Book Antiqua" w:hAnsi="Book Antiqua"/>
        </w:rPr>
      </w:pPr>
    </w:p>
    <w:p w14:paraId="63451168" w14:textId="77777777" w:rsidR="009A6634" w:rsidRDefault="00EE2DCC">
      <w:pPr>
        <w:spacing w:line="360" w:lineRule="auto"/>
        <w:jc w:val="both"/>
        <w:rPr>
          <w:rFonts w:ascii="Book Antiqua" w:hAnsi="Book Antiqua"/>
        </w:rPr>
      </w:pPr>
      <w:r>
        <w:rPr>
          <w:rFonts w:ascii="Book Antiqua" w:eastAsia="Book Antiqua" w:hAnsi="Book Antiqua" w:cs="Book Antiqua"/>
          <w:b/>
          <w:bCs/>
          <w:color w:val="000000"/>
        </w:rPr>
        <w:t xml:space="preserve">Xiao-Yuan Zhang, </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Yuan, Yan-Lan Fang, Chun-Lin Wang,</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epartment</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of </w:t>
      </w:r>
      <w:r>
        <w:rPr>
          <w:rFonts w:ascii="Book Antiqua" w:hAnsi="Book Antiqua" w:cs="Book Antiqua" w:hint="eastAsia"/>
          <w:color w:val="000000"/>
          <w:lang w:eastAsia="zh-CN"/>
        </w:rPr>
        <w:t>P</w:t>
      </w:r>
      <w:r>
        <w:rPr>
          <w:rFonts w:ascii="Book Antiqua" w:eastAsia="Book Antiqua" w:hAnsi="Book Antiqua" w:cs="Book Antiqua"/>
          <w:color w:val="000000"/>
        </w:rPr>
        <w:t xml:space="preserve">ediatrics, The First Affiliated Hospital, Zhejiang University School of Medicine, Hangzhou 310003, Zhejiang </w:t>
      </w:r>
      <w:r>
        <w:rPr>
          <w:rFonts w:ascii="Book Antiqua" w:hAnsi="Book Antiqua" w:cs="Book Antiqua" w:hint="eastAsia"/>
          <w:color w:val="000000"/>
          <w:lang w:eastAsia="zh-CN"/>
        </w:rPr>
        <w:t xml:space="preserve">Province, </w:t>
      </w:r>
      <w:r>
        <w:rPr>
          <w:rFonts w:ascii="Book Antiqua" w:eastAsia="Book Antiqua" w:hAnsi="Book Antiqua" w:cs="Book Antiqua"/>
          <w:color w:val="000000"/>
        </w:rPr>
        <w:t>China</w:t>
      </w:r>
    </w:p>
    <w:p w14:paraId="6BB9B798" w14:textId="77777777" w:rsidR="009A6634" w:rsidRDefault="009A6634">
      <w:pPr>
        <w:spacing w:line="360" w:lineRule="auto"/>
        <w:jc w:val="both"/>
        <w:rPr>
          <w:rFonts w:ascii="Book Antiqua" w:hAnsi="Book Antiqua"/>
        </w:rPr>
      </w:pPr>
    </w:p>
    <w:p w14:paraId="4EC522E0" w14:textId="77777777" w:rsidR="009A6634" w:rsidRDefault="00EE2DCC">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XY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Wang CL conceived and designed the study; 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XY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Yuan</w:t>
      </w:r>
      <w:r>
        <w:rPr>
          <w:rFonts w:ascii="Book Antiqua" w:hAnsi="Book Antiqua" w:cs="Book Antiqua" w:hint="eastAsia"/>
          <w:color w:val="000000"/>
          <w:lang w:eastAsia="zh-CN"/>
        </w:rPr>
        <w:t xml:space="preserve"> </w:t>
      </w:r>
      <w:r>
        <w:rPr>
          <w:rFonts w:ascii="Book Antiqua" w:eastAsia="Book Antiqua" w:hAnsi="Book Antiqua" w:cs="Book Antiqua"/>
          <w:color w:val="000000"/>
        </w:rPr>
        <w:t>K</w:t>
      </w:r>
      <w:r>
        <w:rPr>
          <w:rFonts w:ascii="Book Antiqua" w:hAnsi="Book Antiqua" w:cs="Book Antiqua" w:hint="eastAsia"/>
          <w:color w:val="000000"/>
          <w:lang w:eastAsia="zh-CN"/>
        </w:rPr>
        <w:t xml:space="preserve"> </w:t>
      </w:r>
      <w:r>
        <w:rPr>
          <w:rFonts w:ascii="Book Antiqua" w:eastAsia="Book Antiqua" w:hAnsi="Book Antiqua" w:cs="Book Antiqua"/>
          <w:color w:val="000000"/>
        </w:rPr>
        <w:t>provided clinical research; 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XY</w:t>
      </w:r>
      <w:r>
        <w:rPr>
          <w:rFonts w:ascii="Book Antiqua" w:hAnsi="Book Antiqua" w:cs="Book Antiqua" w:hint="eastAsia"/>
          <w:color w:val="000000"/>
          <w:lang w:eastAsia="zh-CN"/>
        </w:rPr>
        <w:t xml:space="preserve"> </w:t>
      </w:r>
      <w:r>
        <w:rPr>
          <w:rFonts w:ascii="Book Antiqua" w:eastAsia="Book Antiqua" w:hAnsi="Book Antiqua" w:cs="Book Antiqua"/>
          <w:color w:val="000000"/>
        </w:rPr>
        <w:t>wrote the paper; 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XY, Yuan K, </w:t>
      </w:r>
      <w:r>
        <w:rPr>
          <w:rFonts w:ascii="Book Antiqua" w:hAnsi="Book Antiqua" w:cs="Book Antiqua" w:hint="eastAsia"/>
          <w:color w:val="000000"/>
          <w:lang w:eastAsia="zh-CN"/>
        </w:rPr>
        <w:t>F</w:t>
      </w:r>
      <w:r>
        <w:rPr>
          <w:rFonts w:ascii="Book Antiqua" w:eastAsia="Book Antiqua" w:hAnsi="Book Antiqua" w:cs="Book Antiqua"/>
          <w:color w:val="000000"/>
        </w:rPr>
        <w:t xml:space="preserve">ang </w:t>
      </w:r>
      <w:r>
        <w:rPr>
          <w:rFonts w:ascii="Book Antiqua" w:hAnsi="Book Antiqua" w:cs="Book Antiqua" w:hint="eastAsia"/>
          <w:color w:val="000000"/>
          <w:lang w:eastAsia="zh-CN"/>
        </w:rPr>
        <w:t>YL</w:t>
      </w:r>
      <w:r>
        <w:rPr>
          <w:rFonts w:ascii="Book Antiqua" w:hAnsi="Book Antiqua" w:cs="Book Antiqua"/>
          <w:color w:val="000000"/>
          <w:lang w:eastAsia="zh-CN"/>
        </w:rPr>
        <w:t>,</w:t>
      </w:r>
      <w:r>
        <w:rPr>
          <w:rFonts w:ascii="Book Antiqua" w:eastAsia="Book Antiqua" w:hAnsi="Book Antiqua" w:cs="Book Antiqua"/>
          <w:color w:val="000000"/>
        </w:rPr>
        <w:t xml:space="preserve"> and Wang CL reviewed and edited the manuscript; all authors read and approved the manuscript.</w:t>
      </w:r>
    </w:p>
    <w:p w14:paraId="7BD7D180" w14:textId="77777777" w:rsidR="009A6634" w:rsidRDefault="009A6634">
      <w:pPr>
        <w:spacing w:line="360" w:lineRule="auto"/>
        <w:jc w:val="both"/>
        <w:rPr>
          <w:rFonts w:ascii="Book Antiqua" w:hAnsi="Book Antiqua"/>
        </w:rPr>
      </w:pPr>
    </w:p>
    <w:p w14:paraId="218D0B72" w14:textId="77777777" w:rsidR="009A6634" w:rsidRDefault="00EE2DCC">
      <w:pPr>
        <w:spacing w:line="360" w:lineRule="auto"/>
        <w:jc w:val="both"/>
        <w:rPr>
          <w:rFonts w:ascii="Book Antiqua" w:hAnsi="Book Antiqua"/>
        </w:rPr>
      </w:pPr>
      <w:r>
        <w:rPr>
          <w:rFonts w:ascii="Book Antiqua" w:eastAsia="Book Antiqua" w:hAnsi="Book Antiqua" w:cs="Book Antiqua"/>
          <w:b/>
          <w:bCs/>
          <w:color w:val="000000"/>
        </w:rPr>
        <w:t xml:space="preserve">Corresponding author: Chun-Lin Wang, Doctor, PhD, Chief Doctor, Professor, </w:t>
      </w:r>
      <w:r>
        <w:rPr>
          <w:rFonts w:ascii="Book Antiqua" w:hAnsi="Book Antiqua" w:cs="Book Antiqua" w:hint="eastAsia"/>
          <w:color w:val="000000"/>
          <w:lang w:eastAsia="zh-CN"/>
        </w:rPr>
        <w:t>D</w:t>
      </w:r>
      <w:r>
        <w:rPr>
          <w:rFonts w:ascii="Book Antiqua" w:eastAsia="Book Antiqua" w:hAnsi="Book Antiqua" w:cs="Book Antiqua"/>
          <w:color w:val="000000"/>
        </w:rPr>
        <w:t>epartment</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of </w:t>
      </w:r>
      <w:r>
        <w:rPr>
          <w:rFonts w:ascii="Book Antiqua" w:hAnsi="Book Antiqua" w:cs="Book Antiqua" w:hint="eastAsia"/>
          <w:color w:val="000000"/>
          <w:lang w:eastAsia="zh-CN"/>
        </w:rPr>
        <w:t>P</w:t>
      </w:r>
      <w:r>
        <w:rPr>
          <w:rFonts w:ascii="Book Antiqua" w:eastAsia="Book Antiqua" w:hAnsi="Book Antiqua" w:cs="Book Antiqua"/>
          <w:color w:val="000000"/>
        </w:rPr>
        <w:t xml:space="preserve">ediatrics, The First Affiliated Hospital, Zhejiang University School of Medicine, No. 79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Road, Hangzhou 310003, Zhejiang </w:t>
      </w:r>
      <w:r>
        <w:rPr>
          <w:rFonts w:ascii="Book Antiqua" w:hAnsi="Book Antiqua" w:cs="Book Antiqua" w:hint="eastAsia"/>
          <w:color w:val="000000"/>
          <w:lang w:eastAsia="zh-CN"/>
        </w:rPr>
        <w:t xml:space="preserve">Province, </w:t>
      </w:r>
      <w:r>
        <w:rPr>
          <w:rFonts w:ascii="Book Antiqua" w:eastAsia="Book Antiqua" w:hAnsi="Book Antiqua" w:cs="Book Antiqua"/>
          <w:color w:val="000000"/>
        </w:rPr>
        <w:t>China. hzwangcl@zju.edu.cn</w:t>
      </w:r>
    </w:p>
    <w:p w14:paraId="3AFCD647" w14:textId="77777777" w:rsidR="009A6634" w:rsidRDefault="009A6634">
      <w:pPr>
        <w:spacing w:line="360" w:lineRule="auto"/>
        <w:jc w:val="both"/>
        <w:rPr>
          <w:rFonts w:ascii="Book Antiqua" w:hAnsi="Book Antiqua"/>
        </w:rPr>
      </w:pPr>
    </w:p>
    <w:p w14:paraId="10B52EAC" w14:textId="77777777" w:rsidR="009A6634" w:rsidRDefault="00EE2DCC">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13, 2021</w:t>
      </w:r>
    </w:p>
    <w:p w14:paraId="11CC3DE6" w14:textId="77777777" w:rsidR="009A6634" w:rsidRDefault="00EE2DCC">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rPr>
        <w:t>March 25, 2022</w:t>
      </w:r>
    </w:p>
    <w:p w14:paraId="636F69FC" w14:textId="755319BB" w:rsidR="009A6634" w:rsidRDefault="00EE2DCC">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w:date="2022-04-22T16:03:00Z">
        <w:r w:rsidR="00794869" w:rsidRPr="00794869">
          <w:rPr>
            <w:rFonts w:ascii="Book Antiqua" w:eastAsia="Book Antiqua" w:hAnsi="Book Antiqua" w:cs="Book Antiqua"/>
            <w:b/>
            <w:bCs/>
            <w:color w:val="000000"/>
          </w:rPr>
          <w:t>April 22, 2022</w:t>
        </w:r>
      </w:ins>
    </w:p>
    <w:p w14:paraId="4441C2B0" w14:textId="77777777" w:rsidR="009A6634" w:rsidRDefault="00EE2DCC">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29D6A11F" w14:textId="77777777" w:rsidR="009A6634" w:rsidRDefault="009A6634">
      <w:pPr>
        <w:spacing w:line="360" w:lineRule="auto"/>
        <w:jc w:val="both"/>
        <w:rPr>
          <w:rFonts w:ascii="Book Antiqua" w:hAnsi="Book Antiqua"/>
        </w:rPr>
        <w:sectPr w:rsidR="009A6634">
          <w:footerReference w:type="default" r:id="rId7"/>
          <w:pgSz w:w="12240" w:h="15840"/>
          <w:pgMar w:top="1440" w:right="1440" w:bottom="1440" w:left="1440" w:header="720" w:footer="720" w:gutter="0"/>
          <w:cols w:space="720"/>
          <w:docGrid w:linePitch="360"/>
        </w:sectPr>
      </w:pPr>
    </w:p>
    <w:p w14:paraId="29EFEB2B" w14:textId="77777777" w:rsidR="009A6634" w:rsidRDefault="00EE2DCC">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41DA058"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BACKGROUND</w:t>
      </w:r>
    </w:p>
    <w:p w14:paraId="2F9D3400"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Craniopharyngioma</w:t>
      </w:r>
      <w:r>
        <w:rPr>
          <w:rFonts w:ascii="Book Antiqua" w:hAnsi="Book Antiqua" w:cs="Book Antiqua" w:hint="eastAsia"/>
          <w:color w:val="000000"/>
          <w:lang w:eastAsia="zh-CN"/>
        </w:rPr>
        <w:t xml:space="preserve"> </w:t>
      </w:r>
      <w:r>
        <w:rPr>
          <w:rFonts w:ascii="Book Antiqua" w:eastAsia="Book Antiqua" w:hAnsi="Book Antiqua" w:cs="Book Antiqua"/>
          <w:color w:val="000000"/>
        </w:rPr>
        <w:t>is a benign tumor that usually develops in children; however, it is located in the center and close to sensitive structures, such as the pituitary gland and hypothalamus. As the hypothalamus plays a crucial role in the homeostasis of anterior pituitary hormone synthesis, damage to the hypothalamus leads to multiple pituitary hormone deficiencies and non-alcoholic fatty liver disease, including hepatopulmonary syndrome</w:t>
      </w:r>
      <w:r>
        <w:rPr>
          <w:rFonts w:ascii="Book Antiqua" w:hAnsi="Book Antiqua" w:cs="Book Antiqua" w:hint="eastAsia"/>
          <w:color w:val="000000"/>
          <w:lang w:eastAsia="zh-CN"/>
        </w:rPr>
        <w:t xml:space="preserve"> (HPS)</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HPS </w:t>
      </w:r>
      <w:r>
        <w:rPr>
          <w:rFonts w:ascii="Book Antiqua" w:eastAsia="Book Antiqua" w:hAnsi="Book Antiqua" w:cs="Book Antiqua"/>
          <w:color w:val="000000"/>
        </w:rPr>
        <w:t>has limited treatment and poor prognosis.</w:t>
      </w:r>
    </w:p>
    <w:p w14:paraId="3CE0AA5C" w14:textId="77777777" w:rsidR="009A6634" w:rsidRDefault="009A6634">
      <w:pPr>
        <w:spacing w:line="360" w:lineRule="auto"/>
        <w:jc w:val="both"/>
        <w:rPr>
          <w:rFonts w:ascii="Book Antiqua" w:hAnsi="Book Antiqua"/>
        </w:rPr>
      </w:pPr>
    </w:p>
    <w:p w14:paraId="11F45468"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CASE SUMMARY</w:t>
      </w:r>
    </w:p>
    <w:p w14:paraId="6556CA1C"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A girl aged 13 years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underwent surgery for craniopharyngioma 6 years prior. Right craniotomy was performed with total resection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corpus callosum approach, and the tumor at the base was approximately 3.5 cm</w:t>
      </w:r>
      <w:r>
        <w:rPr>
          <w:rFonts w:ascii="Book Antiqua" w:hAnsi="Book Antiqua" w:cs="Book Antiqua" w:hint="eastAsia"/>
          <w:color w:val="000000"/>
          <w:lang w:eastAsia="zh-CN"/>
        </w:rPr>
        <w:t xml:space="preserve"> </w:t>
      </w:r>
      <w:r>
        <w:rPr>
          <w:rFonts w:ascii="Book Antiqua" w:eastAsia="Book Antiqua" w:hAnsi="Book Antiqua" w:cs="Book Antiqua"/>
          <w:color w:val="000000"/>
        </w:rPr>
        <w:t>× 3.5 cm</w:t>
      </w:r>
      <w:r>
        <w:rPr>
          <w:rFonts w:ascii="Book Antiqua" w:hAnsi="Book Antiqua" w:cs="Book Antiqua" w:hint="eastAsia"/>
          <w:color w:val="000000"/>
          <w:lang w:eastAsia="zh-CN"/>
        </w:rPr>
        <w:t xml:space="preserve"> </w:t>
      </w:r>
      <w:r>
        <w:rPr>
          <w:rFonts w:ascii="Book Antiqua" w:eastAsia="Book Antiqua" w:hAnsi="Book Antiqua" w:cs="Book Antiqua"/>
          <w:color w:val="000000"/>
        </w:rPr>
        <w:t>× 4.0</w:t>
      </w:r>
      <w:r>
        <w:rPr>
          <w:rFonts w:ascii="Book Antiqua" w:hAnsi="Book Antiqua" w:cs="Book Antiqua" w:hint="eastAsia"/>
          <w:color w:val="000000"/>
          <w:lang w:eastAsia="zh-CN"/>
        </w:rPr>
        <w:t xml:space="preserve"> </w:t>
      </w:r>
      <w:r>
        <w:rPr>
          <w:rFonts w:ascii="Book Antiqua" w:eastAsia="Book Antiqua" w:hAnsi="Book Antiqua" w:cs="Book Antiqua"/>
          <w:color w:val="000000"/>
        </w:rPr>
        <w:t>cm. At 1 year postoperatively, she exhibited abdominal distension and weakness, and the laboratory tests revealed fatty liver 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Thereafter, she had not visited the outpatient clinic for 2 years.</w:t>
      </w:r>
      <w:r>
        <w:rPr>
          <w:rFonts w:ascii="Book Antiqua" w:hAnsi="Book Antiqua" w:cs="Book Antiqua" w:hint="eastAsia"/>
          <w:color w:val="000000"/>
          <w:lang w:eastAsia="zh-CN"/>
        </w:rPr>
        <w:t xml:space="preserve"> </w:t>
      </w:r>
      <w:r>
        <w:rPr>
          <w:rFonts w:ascii="Book Antiqua" w:eastAsia="Book Antiqua" w:hAnsi="Book Antiqua" w:cs="Book Antiqua"/>
          <w:color w:val="000000"/>
        </w:rPr>
        <w:t>Two years ago, she</w:t>
      </w:r>
      <w:r>
        <w:rPr>
          <w:rFonts w:ascii="Book Antiqua" w:hAnsi="Book Antiqua" w:cs="Book Antiqua" w:hint="eastAsia"/>
          <w:color w:val="000000"/>
          <w:lang w:eastAsia="zh-CN"/>
        </w:rPr>
        <w:t xml:space="preserve"> </w:t>
      </w:r>
      <w:r>
        <w:rPr>
          <w:rFonts w:ascii="Book Antiqua" w:eastAsia="Book Antiqua" w:hAnsi="Book Antiqua" w:cs="Book Antiqua"/>
          <w:color w:val="000000"/>
        </w:rPr>
        <w:t>developed decreased activity endurance, severe cyanosis, chest tightness, wheezing, and intermittent and recurrent low fever after mild physical labor. Hepatobiliary ultrasonography, liver biopsy, and contrast echocardiography of the right heart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showed cirrhosis and multiple pituitary hormone deficiencies, indicating </w:t>
      </w:r>
      <w:r>
        <w:rPr>
          <w:rFonts w:ascii="Book Antiqua" w:hAnsi="Book Antiqua" w:cs="Book Antiqua" w:hint="eastAsia"/>
          <w:color w:val="000000"/>
          <w:lang w:eastAsia="zh-CN"/>
        </w:rPr>
        <w:t>HPS</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1 year of treatment with recombinant human growth hormone, the liver function and oxygenation improved; she did not undergo liver transplantation.</w:t>
      </w:r>
    </w:p>
    <w:p w14:paraId="4D947414" w14:textId="77777777" w:rsidR="009A6634" w:rsidRDefault="009A6634">
      <w:pPr>
        <w:spacing w:line="360" w:lineRule="auto"/>
        <w:jc w:val="both"/>
        <w:rPr>
          <w:rFonts w:ascii="Book Antiqua" w:hAnsi="Book Antiqua"/>
        </w:rPr>
      </w:pPr>
    </w:p>
    <w:p w14:paraId="53361049"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CONCLUSION</w:t>
      </w:r>
    </w:p>
    <w:p w14:paraId="5C1BA55F"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Craniopharyngioma surgery can easily cause hypopituitarism, which can lead to nonalcoholic steatohepatitis and </w:t>
      </w:r>
      <w:r>
        <w:rPr>
          <w:rFonts w:ascii="Book Antiqua" w:hAnsi="Book Antiqua" w:cs="Book Antiqua" w:hint="eastAsia"/>
          <w:color w:val="000000"/>
          <w:lang w:eastAsia="zh-CN"/>
        </w:rPr>
        <w:t>HPS</w:t>
      </w:r>
      <w:r>
        <w:rPr>
          <w:rFonts w:ascii="Book Antiqua" w:eastAsia="Book Antiqua" w:hAnsi="Book Antiqua" w:cs="Book Antiqua"/>
          <w:color w:val="000000"/>
        </w:rPr>
        <w:t xml:space="preserve"> in children. Early growth hormone therapy is important to improve the prognosis of these diseases.</w:t>
      </w:r>
    </w:p>
    <w:p w14:paraId="2BA41A16" w14:textId="77777777" w:rsidR="009A6634" w:rsidRDefault="009A6634">
      <w:pPr>
        <w:spacing w:line="360" w:lineRule="auto"/>
        <w:jc w:val="both"/>
        <w:rPr>
          <w:rFonts w:ascii="Book Antiqua" w:hAnsi="Book Antiqua"/>
        </w:rPr>
      </w:pPr>
    </w:p>
    <w:p w14:paraId="51897909" w14:textId="77777777" w:rsidR="009A6634" w:rsidRDefault="00EE2DCC">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hAnsi="Book Antiqua" w:cs="Book Antiqua" w:hint="eastAsia"/>
          <w:color w:val="000000"/>
          <w:lang w:eastAsia="zh-CN"/>
        </w:rPr>
        <w:t>C</w:t>
      </w:r>
      <w:r>
        <w:rPr>
          <w:rFonts w:ascii="Book Antiqua" w:eastAsia="Book Antiqua" w:hAnsi="Book Antiqua" w:cs="Book Antiqua"/>
          <w:color w:val="000000"/>
        </w:rPr>
        <w:t xml:space="preserve">raniopharyngioma; </w:t>
      </w:r>
      <w:r>
        <w:rPr>
          <w:rFonts w:ascii="Book Antiqua" w:hAnsi="Book Antiqua" w:cs="Book Antiqua" w:hint="eastAsia"/>
          <w:color w:val="000000"/>
          <w:lang w:eastAsia="zh-CN"/>
        </w:rPr>
        <w:t>N</w:t>
      </w:r>
      <w:r>
        <w:rPr>
          <w:rFonts w:ascii="Book Antiqua" w:eastAsia="Book Antiqua" w:hAnsi="Book Antiqua" w:cs="Book Antiqua"/>
          <w:color w:val="000000"/>
        </w:rPr>
        <w:t xml:space="preserve">onalcoholic fatty liver disease; </w:t>
      </w:r>
      <w:r>
        <w:rPr>
          <w:rFonts w:ascii="Book Antiqua" w:hAnsi="Book Antiqua" w:cs="Book Antiqua" w:hint="eastAsia"/>
          <w:color w:val="000000"/>
          <w:lang w:eastAsia="zh-CN"/>
        </w:rPr>
        <w:t>H</w:t>
      </w:r>
      <w:r>
        <w:rPr>
          <w:rFonts w:ascii="Book Antiqua" w:eastAsia="Book Antiqua" w:hAnsi="Book Antiqua" w:cs="Book Antiqua"/>
          <w:color w:val="000000"/>
        </w:rPr>
        <w:t xml:space="preserve">ypopituitarism;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epatopulmonary syndrome; </w:t>
      </w:r>
      <w:r>
        <w:rPr>
          <w:rFonts w:ascii="Book Antiqua" w:hAnsi="Book Antiqua" w:cs="Book Antiqua" w:hint="eastAsia"/>
          <w:color w:val="000000"/>
          <w:lang w:eastAsia="zh-CN"/>
        </w:rPr>
        <w:t>G</w:t>
      </w:r>
      <w:r>
        <w:rPr>
          <w:rFonts w:ascii="Book Antiqua" w:eastAsia="Book Antiqua" w:hAnsi="Book Antiqua" w:cs="Book Antiqua"/>
          <w:color w:val="000000"/>
        </w:rPr>
        <w:t xml:space="preserve">rowth hormone; </w:t>
      </w:r>
      <w:r>
        <w:rPr>
          <w:rFonts w:ascii="Book Antiqua" w:hAnsi="Book Antiqua" w:cs="Book Antiqua" w:hint="eastAsia"/>
          <w:color w:val="000000"/>
          <w:lang w:eastAsia="zh-CN"/>
        </w:rPr>
        <w:t>C</w:t>
      </w:r>
      <w:r>
        <w:rPr>
          <w:rFonts w:ascii="Book Antiqua" w:eastAsia="Book Antiqua" w:hAnsi="Book Antiqua" w:cs="Book Antiqua"/>
          <w:color w:val="000000"/>
        </w:rPr>
        <w:t>hildren</w:t>
      </w:r>
      <w:r>
        <w:rPr>
          <w:rFonts w:ascii="Book Antiqua" w:hAnsi="Book Antiqua" w:cs="Book Antiqua" w:hint="eastAsia"/>
          <w:color w:val="000000"/>
          <w:lang w:eastAsia="zh-CN"/>
        </w:rPr>
        <w:t>; Case report</w:t>
      </w:r>
    </w:p>
    <w:p w14:paraId="21F52D35" w14:textId="77777777" w:rsidR="009A6634" w:rsidRDefault="009A6634">
      <w:pPr>
        <w:spacing w:line="360" w:lineRule="auto"/>
        <w:jc w:val="both"/>
        <w:rPr>
          <w:rFonts w:ascii="Book Antiqua" w:hAnsi="Book Antiqua"/>
        </w:rPr>
      </w:pPr>
    </w:p>
    <w:p w14:paraId="55D4030C"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Zhang XY, Yuan K, Fang YL, Wang CL. Growth hormone ameliorates hepatopulmonary syndrome and nonalcoholic steatohepatitis secondary to hypopituitarism in a child</w:t>
      </w:r>
      <w:r>
        <w:rPr>
          <w:rFonts w:ascii="Book Antiqua" w:hAnsi="Book Antiqua" w:cs="Book Antiqua" w:hint="eastAsia"/>
          <w:color w:val="000000"/>
          <w:lang w:eastAsia="zh-CN"/>
        </w:rPr>
        <w: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185D76C" w14:textId="77777777" w:rsidR="009A6634" w:rsidRDefault="009A6634">
      <w:pPr>
        <w:spacing w:line="360" w:lineRule="auto"/>
        <w:jc w:val="both"/>
        <w:rPr>
          <w:rFonts w:ascii="Book Antiqua" w:hAnsi="Book Antiqua"/>
        </w:rPr>
      </w:pPr>
    </w:p>
    <w:p w14:paraId="46A631EF" w14:textId="77777777" w:rsidR="009A6634" w:rsidRDefault="00EE2DCC">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Hepatopulmonary syndrome</w:t>
      </w:r>
      <w:r>
        <w:rPr>
          <w:rFonts w:ascii="Book Antiqua" w:hAnsi="Book Antiqua" w:cs="Book Antiqua" w:hint="eastAsia"/>
          <w:color w:val="000000"/>
          <w:lang w:eastAsia="zh-CN"/>
        </w:rPr>
        <w:t xml:space="preserve"> (HPS)</w:t>
      </w:r>
      <w:r>
        <w:rPr>
          <w:rFonts w:ascii="Book Antiqua" w:eastAsia="Book Antiqua" w:hAnsi="Book Antiqua" w:cs="Book Antiqua"/>
          <w:color w:val="000000"/>
        </w:rPr>
        <w:t xml:space="preserve"> is a serious complication of chronic liver disease with a poor prognosis. Currently, liver transplantation is the only available treatment; however, severe hypoxemia before transplantation is a high risk factor for postoperative death. We present a case of postoperative craniopharyngioma in a child with nonalcoholic steatohepatitis and </w:t>
      </w:r>
      <w:r>
        <w:rPr>
          <w:rFonts w:ascii="Book Antiqua" w:hAnsi="Book Antiqua" w:cs="Book Antiqua" w:hint="eastAsia"/>
          <w:color w:val="000000"/>
          <w:lang w:eastAsia="zh-CN"/>
        </w:rPr>
        <w:t>HPS</w:t>
      </w:r>
      <w:r>
        <w:rPr>
          <w:rFonts w:ascii="Book Antiqua" w:eastAsia="Book Antiqua" w:hAnsi="Book Antiqua" w:cs="Book Antiqua"/>
          <w:color w:val="000000"/>
        </w:rPr>
        <w:t xml:space="preserve"> secondary to hypopituitarism. The patient’s liver function and hypoxemia were improved by growth hormone replacement therapy, and liver transplantation was expected to be avoided.</w:t>
      </w:r>
    </w:p>
    <w:p w14:paraId="70D686A5" w14:textId="77777777" w:rsidR="009A6634" w:rsidRDefault="009A6634">
      <w:pPr>
        <w:spacing w:line="360" w:lineRule="auto"/>
        <w:jc w:val="both"/>
        <w:rPr>
          <w:rFonts w:ascii="Book Antiqua" w:hAnsi="Book Antiqua"/>
        </w:rPr>
      </w:pPr>
    </w:p>
    <w:p w14:paraId="70F86C90" w14:textId="77777777" w:rsidR="009A6634" w:rsidRDefault="00EE2DCC">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569BDA3"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Nonalcoholic steatohepatitis and hepatopulmonary syndrome (HPS) are rare in children with secondary pituitary insufficiency after surgery for craniopharyngioma. Craniopharyngioma and treatment sequelae may lead to </w:t>
      </w:r>
      <w:proofErr w:type="spellStart"/>
      <w:r>
        <w:rPr>
          <w:rFonts w:ascii="Book Antiqua" w:eastAsia="Book Antiqua" w:hAnsi="Book Antiqua" w:cs="Book Antiqua"/>
          <w:color w:val="000000"/>
        </w:rPr>
        <w:t>polypituitary</w:t>
      </w:r>
      <w:proofErr w:type="spellEnd"/>
      <w:r>
        <w:rPr>
          <w:rFonts w:ascii="Book Antiqua" w:eastAsia="Book Antiqua" w:hAnsi="Book Antiqua" w:cs="Book Antiqua"/>
          <w:color w:val="000000"/>
        </w:rPr>
        <w:t xml:space="preserve"> insufficiency, which further affects the hormone secretion in the body. Endocrine diseases also</w:t>
      </w:r>
      <w:r>
        <w:rPr>
          <w:rFonts w:ascii="Book Antiqua" w:hAnsi="Book Antiqua" w:cs="Book Antiqua" w:hint="eastAsia"/>
          <w:color w:val="000000"/>
          <w:lang w:eastAsia="zh-CN"/>
        </w:rPr>
        <w:t xml:space="preserve"> </w:t>
      </w:r>
      <w:r>
        <w:rPr>
          <w:rFonts w:ascii="Book Antiqua" w:eastAsia="Book Antiqua" w:hAnsi="Book Antiqua" w:cs="Book Antiqua"/>
          <w:color w:val="000000"/>
        </w:rPr>
        <w:t>cause nonalcoholic fatty liver disease (NAFLD</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This report aims to further elucidate the clinical characteristics of nonalcoholic steatohepatitis (NASH) and HPS caused by hypothalamic-pituitary dysfunction after surgery for craniopharyngioma</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improvement of this disease after hormone replacement therapy, which has great significance in the clinical prognosis.</w:t>
      </w:r>
    </w:p>
    <w:p w14:paraId="449CCA4A" w14:textId="77777777" w:rsidR="009A6634" w:rsidRDefault="009A6634">
      <w:pPr>
        <w:spacing w:line="360" w:lineRule="auto"/>
        <w:jc w:val="both"/>
        <w:rPr>
          <w:rFonts w:ascii="Book Antiqua" w:hAnsi="Book Antiqua"/>
        </w:rPr>
      </w:pPr>
    </w:p>
    <w:p w14:paraId="4E095BF0" w14:textId="77777777" w:rsidR="009A6634" w:rsidRDefault="00EE2DCC">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5818E4F8" w14:textId="77777777" w:rsidR="009A6634" w:rsidRDefault="00EE2DCC">
      <w:pPr>
        <w:spacing w:line="360" w:lineRule="auto"/>
        <w:jc w:val="both"/>
        <w:rPr>
          <w:rFonts w:ascii="Book Antiqua" w:hAnsi="Book Antiqua"/>
        </w:rPr>
      </w:pPr>
      <w:r>
        <w:rPr>
          <w:rFonts w:ascii="Book Antiqua" w:eastAsia="Book Antiqua" w:hAnsi="Book Antiqua" w:cs="Book Antiqua"/>
          <w:b/>
          <w:i/>
          <w:color w:val="000000"/>
        </w:rPr>
        <w:t>Chief complaints</w:t>
      </w:r>
    </w:p>
    <w:p w14:paraId="4E14F5AE"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The chief complaints were liver enlargement for 4 years, activity loss for 2 years, and cyanosis for more than 1 year.</w:t>
      </w:r>
    </w:p>
    <w:p w14:paraId="1521EA28" w14:textId="77777777" w:rsidR="009A6634" w:rsidRDefault="009A6634">
      <w:pPr>
        <w:spacing w:line="360" w:lineRule="auto"/>
        <w:jc w:val="both"/>
        <w:rPr>
          <w:rFonts w:ascii="Book Antiqua" w:hAnsi="Book Antiqua"/>
        </w:rPr>
      </w:pPr>
    </w:p>
    <w:p w14:paraId="5120C11E" w14:textId="77777777" w:rsidR="009A6634" w:rsidRDefault="00EE2DCC">
      <w:pPr>
        <w:spacing w:line="360" w:lineRule="auto"/>
        <w:jc w:val="both"/>
        <w:rPr>
          <w:rFonts w:ascii="Book Antiqua" w:hAnsi="Book Antiqua"/>
        </w:rPr>
      </w:pPr>
      <w:r>
        <w:rPr>
          <w:rFonts w:ascii="Book Antiqua" w:eastAsia="Book Antiqua" w:hAnsi="Book Antiqua" w:cs="Book Antiqua"/>
          <w:b/>
          <w:i/>
          <w:color w:val="000000"/>
        </w:rPr>
        <w:lastRenderedPageBreak/>
        <w:t>History of present illness</w:t>
      </w:r>
    </w:p>
    <w:p w14:paraId="709D8BC4"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A female patient aged 13 years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diagnosed with craniopharyngioma 6 years prior and underwent surgical resection without postoperative hormone replacement therapy. She had weakness after the surgery, and multiple laboratory tests revealed hypernatremia</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hyperchloremia. The maximum serum sodium level was 176 mmol/L, which was improved by infusion of glucose, and the lowest sodium level was reduced to approximately 155 mmol/L. Four years ago, abdominal distension due to liver enlargement was noted, and B-ultrasound examination suggested fatty liver 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had severe cyanosis, chest tightness, wheezing, intermittent fever, and progressive exacerbation after mild physical labor for more than 1 year. Oxygen saturation fluctuated around 85% under high-flow oxygen inhalation. Hepatobiliary ultrasonography, liver biopsy, and contrast echocardiography of the right heart revealed cirrhosis and HPS.</w:t>
      </w:r>
    </w:p>
    <w:p w14:paraId="6707BF4F" w14:textId="77777777" w:rsidR="009A6634" w:rsidRDefault="009A6634">
      <w:pPr>
        <w:spacing w:line="360" w:lineRule="auto"/>
        <w:jc w:val="both"/>
        <w:rPr>
          <w:rFonts w:ascii="Book Antiqua" w:hAnsi="Book Antiqua"/>
        </w:rPr>
      </w:pPr>
    </w:p>
    <w:p w14:paraId="2F432320" w14:textId="77777777" w:rsidR="009A6634" w:rsidRDefault="00EE2DCC">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DA74BE8"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The patient had no history of hypertension, diabetes, or heart disease. She had undergone surgery for craniopharyngioma 6 years ago.</w:t>
      </w:r>
    </w:p>
    <w:p w14:paraId="5617CF7B" w14:textId="77777777" w:rsidR="009A6634" w:rsidRDefault="009A6634">
      <w:pPr>
        <w:spacing w:line="360" w:lineRule="auto"/>
        <w:jc w:val="both"/>
        <w:rPr>
          <w:rFonts w:ascii="Book Antiqua" w:hAnsi="Book Antiqua"/>
        </w:rPr>
      </w:pPr>
    </w:p>
    <w:p w14:paraId="6A7F9778" w14:textId="77777777" w:rsidR="009A6634" w:rsidRDefault="00EE2DCC">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3BE2C51D"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The patient was born to a G1P1 mother at full term.</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patient’s parents are alive, healthy,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divorced. The patient does not have</w:t>
      </w:r>
      <w:r>
        <w:rPr>
          <w:rFonts w:ascii="Book Antiqua" w:hAnsi="Book Antiqua" w:cs="Book Antiqua" w:hint="eastAsia"/>
          <w:color w:val="000000"/>
          <w:lang w:eastAsia="zh-CN"/>
        </w:rPr>
        <w:t xml:space="preserve"> </w:t>
      </w:r>
      <w:r>
        <w:rPr>
          <w:rFonts w:ascii="Book Antiqua" w:eastAsia="Book Antiqua" w:hAnsi="Book Antiqua" w:cs="Book Antiqua"/>
          <w:color w:val="000000"/>
        </w:rPr>
        <w:t>siblings.</w:t>
      </w:r>
    </w:p>
    <w:p w14:paraId="05B0C04E" w14:textId="77777777" w:rsidR="009A6634" w:rsidRDefault="009A6634">
      <w:pPr>
        <w:spacing w:line="360" w:lineRule="auto"/>
        <w:jc w:val="both"/>
        <w:rPr>
          <w:rFonts w:ascii="Book Antiqua" w:hAnsi="Book Antiqua"/>
        </w:rPr>
      </w:pPr>
    </w:p>
    <w:p w14:paraId="68CE30D9" w14:textId="77777777" w:rsidR="009A6634" w:rsidRDefault="00EE2DCC">
      <w:pPr>
        <w:spacing w:line="360" w:lineRule="auto"/>
        <w:jc w:val="both"/>
        <w:rPr>
          <w:rFonts w:ascii="Book Antiqua" w:hAnsi="Book Antiqua"/>
        </w:rPr>
      </w:pPr>
      <w:r>
        <w:rPr>
          <w:rFonts w:ascii="Book Antiqua" w:eastAsia="Book Antiqua" w:hAnsi="Book Antiqua" w:cs="Book Antiqua"/>
          <w:b/>
          <w:i/>
          <w:color w:val="000000"/>
        </w:rPr>
        <w:t>Physical examination</w:t>
      </w:r>
    </w:p>
    <w:p w14:paraId="4934DDBB"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Under atmospheric inhalation, oxygen saturation (SpO</w:t>
      </w:r>
      <w:r>
        <w:rPr>
          <w:rFonts w:ascii="Book Antiqua" w:eastAsia="Book Antiqua" w:hAnsi="Book Antiqua" w:cs="Book Antiqua"/>
          <w:color w:val="000000"/>
          <w:vertAlign w:val="subscript"/>
        </w:rPr>
        <w:t>2</w:t>
      </w:r>
      <w:r>
        <w:rPr>
          <w:rFonts w:ascii="Book Antiqua" w:eastAsia="Book Antiqua" w:hAnsi="Book Antiqua" w:cs="Book Antiqua"/>
          <w:color w:val="000000"/>
        </w:rPr>
        <w:t>) mostly fluctuated at around 70%. Cyanosis of the face and lips</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noted. The heart rate was 124 beats/min,</w:t>
      </w:r>
      <w:r>
        <w:rPr>
          <w:rFonts w:ascii="Book Antiqua" w:hAnsi="Book Antiqua" w:cs="Book Antiqua" w:hint="eastAsia"/>
          <w:color w:val="000000"/>
          <w:lang w:eastAsia="zh-CN"/>
        </w:rPr>
        <w:t xml:space="preserve"> </w:t>
      </w:r>
      <w:r>
        <w:rPr>
          <w:rFonts w:ascii="Book Antiqua" w:eastAsia="Book Antiqua" w:hAnsi="Book Antiqua" w:cs="Book Antiqua"/>
          <w:color w:val="000000"/>
        </w:rPr>
        <w:t>respiration was 26 breaths/min, blood pressure was 96/46</w:t>
      </w:r>
      <w:r>
        <w:rPr>
          <w:rFonts w:ascii="Book Antiqua" w:hAnsi="Book Antiqua" w:cs="Book Antiqua" w:hint="eastAsia"/>
          <w:color w:val="000000"/>
          <w:lang w:eastAsia="zh-CN"/>
        </w:rPr>
        <w:t xml:space="preserve"> </w:t>
      </w:r>
      <w:r>
        <w:rPr>
          <w:rFonts w:ascii="Book Antiqua" w:eastAsia="Book Antiqua" w:hAnsi="Book Antiqua" w:cs="Book Antiqua"/>
          <w:color w:val="000000"/>
        </w:rPr>
        <w:t>mmHg,</w:t>
      </w:r>
      <w:r>
        <w:rPr>
          <w:rFonts w:ascii="Book Antiqua" w:hAnsi="Book Antiqua" w:cs="Book Antiqua" w:hint="eastAsia"/>
          <w:color w:val="000000"/>
          <w:lang w:eastAsia="zh-CN"/>
        </w:rPr>
        <w:t xml:space="preserve"> </w:t>
      </w:r>
      <w:r>
        <w:rPr>
          <w:rFonts w:ascii="Book Antiqua" w:eastAsia="Book Antiqua" w:hAnsi="Book Antiqua" w:cs="Book Antiqua"/>
          <w:color w:val="000000"/>
        </w:rPr>
        <w:t>height was 141.5</w:t>
      </w:r>
      <w:r>
        <w:rPr>
          <w:rFonts w:ascii="Book Antiqua" w:hAnsi="Book Antiqua" w:cs="Book Antiqua" w:hint="eastAsia"/>
          <w:color w:val="000000"/>
          <w:lang w:eastAsia="zh-CN"/>
        </w:rPr>
        <w:t xml:space="preserve"> </w:t>
      </w:r>
      <w:r>
        <w:rPr>
          <w:rFonts w:ascii="Book Antiqua" w:eastAsia="Book Antiqua" w:hAnsi="Book Antiqua" w:cs="Book Antiqua"/>
          <w:color w:val="000000"/>
        </w:rPr>
        <w:t>cm (-2.5 SD), and weight was 41.85</w:t>
      </w:r>
      <w:r>
        <w:rPr>
          <w:rFonts w:ascii="Book Antiqua" w:hAnsi="Book Antiqua" w:cs="Book Antiqua" w:hint="eastAsia"/>
          <w:color w:val="000000"/>
          <w:lang w:eastAsia="zh-CN"/>
        </w:rPr>
        <w:t xml:space="preserve"> </w:t>
      </w:r>
      <w:r>
        <w:rPr>
          <w:rFonts w:ascii="Book Antiqua" w:eastAsia="Book Antiqua" w:hAnsi="Book Antiqua" w:cs="Book Antiqua"/>
          <w:color w:val="000000"/>
        </w:rPr>
        <w:t>kg (-0.5 SD). The skin sclera did not have obvious yellow staining, and acanthosis nigricans was noted around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neck</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axillae. No abnormality was found during cardiopulmonary auscultation, and the abdomen was </w:t>
      </w:r>
      <w:r>
        <w:rPr>
          <w:rFonts w:ascii="Book Antiqua" w:eastAsia="Book Antiqua" w:hAnsi="Book Antiqua" w:cs="Book Antiqua"/>
          <w:color w:val="000000"/>
        </w:rPr>
        <w:lastRenderedPageBreak/>
        <w:t>soft</w:t>
      </w:r>
      <w:r>
        <w:rPr>
          <w:rFonts w:ascii="Book Antiqua" w:hAnsi="Book Antiqua" w:cs="Book Antiqua" w:hint="eastAsia"/>
          <w:color w:val="000000"/>
          <w:lang w:eastAsia="zh-CN"/>
        </w:rPr>
        <w:t xml:space="preserve"> </w:t>
      </w:r>
      <w:r>
        <w:rPr>
          <w:rFonts w:ascii="Book Antiqua" w:eastAsia="Book Antiqua" w:hAnsi="Book Antiqua" w:cs="Book Antiqua"/>
          <w:color w:val="000000"/>
        </w:rPr>
        <w:t>but enlarged with palpable spleen and liver. Examination of the nervous system was negative, double breasts were in stage B1, pubic hair was in stage PH1, and no axillary hair was found.</w:t>
      </w:r>
    </w:p>
    <w:p w14:paraId="0C2B342A" w14:textId="77777777" w:rsidR="009A6634" w:rsidRDefault="009A6634">
      <w:pPr>
        <w:spacing w:line="360" w:lineRule="auto"/>
        <w:jc w:val="both"/>
        <w:rPr>
          <w:rFonts w:ascii="Book Antiqua" w:hAnsi="Book Antiqua"/>
        </w:rPr>
      </w:pPr>
    </w:p>
    <w:p w14:paraId="707CF1F1" w14:textId="77777777" w:rsidR="009A6634" w:rsidRDefault="00EE2DCC">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45A9DB8"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The patient exhibited hypernatremia (serum sodium level, 167</w:t>
      </w:r>
      <w:r>
        <w:rPr>
          <w:rFonts w:ascii="Book Antiqua" w:hAnsi="Book Antiqua" w:cs="Book Antiqua" w:hint="eastAsia"/>
          <w:color w:val="000000"/>
          <w:lang w:eastAsia="zh-CN"/>
        </w:rPr>
        <w:t xml:space="preserve"> </w:t>
      </w:r>
      <w:r>
        <w:rPr>
          <w:rFonts w:ascii="Book Antiqua" w:eastAsia="Book Antiqua" w:hAnsi="Book Antiqua" w:cs="Book Antiqua"/>
          <w:color w:val="000000"/>
        </w:rPr>
        <w:t>mmol/L; normal range, 135–145 mmol/L), mild</w:t>
      </w:r>
      <w:r>
        <w:rPr>
          <w:rFonts w:ascii="Book Antiqua" w:hAnsi="Book Antiqua" w:cs="Book Antiqua" w:hint="eastAsia"/>
          <w:color w:val="000000"/>
          <w:lang w:eastAsia="zh-CN"/>
        </w:rPr>
        <w:t xml:space="preserve"> </w:t>
      </w:r>
      <w:r>
        <w:rPr>
          <w:rFonts w:ascii="Book Antiqua" w:eastAsia="Book Antiqua" w:hAnsi="Book Antiqua" w:cs="Book Antiqua"/>
          <w:color w:val="000000"/>
        </w:rPr>
        <w:t>liver</w:t>
      </w:r>
      <w:r>
        <w:rPr>
          <w:rFonts w:ascii="Book Antiqua" w:hAnsi="Book Antiqua" w:cs="Book Antiqua" w:hint="eastAsia"/>
          <w:color w:val="000000"/>
          <w:lang w:eastAsia="zh-CN"/>
        </w:rPr>
        <w:t xml:space="preserve"> </w:t>
      </w:r>
      <w:r>
        <w:rPr>
          <w:rFonts w:ascii="Book Antiqua" w:eastAsia="Book Antiqua" w:hAnsi="Book Antiqua" w:cs="Book Antiqua"/>
          <w:color w:val="000000"/>
        </w:rPr>
        <w:t>function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abnormality (alanine aminotransferase level, 67 U/L, normal range, 7–40 U/L; aspartate aminotransferase level, 93 U/L, normal range, 13–40 U/L; γ-</w:t>
      </w:r>
      <w:proofErr w:type="spellStart"/>
      <w:r>
        <w:rPr>
          <w:rFonts w:ascii="Book Antiqua" w:eastAsia="Book Antiqua" w:hAnsi="Book Antiqua" w:cs="Book Antiqua"/>
          <w:color w:val="000000"/>
        </w:rPr>
        <w:t>glutamyltranspeptidase</w:t>
      </w:r>
      <w:proofErr w:type="spellEnd"/>
      <w:r>
        <w:rPr>
          <w:rFonts w:ascii="Book Antiqua" w:eastAsia="Book Antiqua" w:hAnsi="Book Antiqua" w:cs="Book Antiqua"/>
          <w:color w:val="000000"/>
        </w:rPr>
        <w:t>, 107 U/L, normal range, 7–45 U/L; total</w:t>
      </w:r>
      <w:r>
        <w:rPr>
          <w:rFonts w:ascii="Book Antiqua" w:hAnsi="Book Antiqua" w:cs="Book Antiqua" w:hint="eastAsia"/>
          <w:color w:val="000000"/>
          <w:lang w:eastAsia="zh-CN"/>
        </w:rPr>
        <w:t xml:space="preserve"> </w:t>
      </w:r>
      <w:r>
        <w:rPr>
          <w:rFonts w:ascii="Book Antiqua" w:eastAsia="Book Antiqua" w:hAnsi="Book Antiqua" w:cs="Book Antiqua"/>
          <w:color w:val="000000"/>
        </w:rPr>
        <w:t>bilirubin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level, 45.1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normal range, 0.0–21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total biliary acid level, 22.3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normal range, 0.0–10.0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indirect bilirubin level, 33.6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normal range, 3-14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triglyceride</w:t>
      </w:r>
      <w:r>
        <w:rPr>
          <w:rFonts w:ascii="Book Antiqua" w:hAnsi="Book Antiqua" w:cs="Book Antiqua" w:hint="eastAsia"/>
          <w:color w:val="000000"/>
          <w:lang w:eastAsia="zh-CN"/>
        </w:rPr>
        <w:t xml:space="preserve"> </w:t>
      </w:r>
      <w:r>
        <w:rPr>
          <w:rFonts w:ascii="Book Antiqua" w:eastAsia="Book Antiqua" w:hAnsi="Book Antiqua" w:cs="Book Antiqua"/>
          <w:color w:val="000000"/>
        </w:rPr>
        <w:t>level, 2.53</w:t>
      </w:r>
      <w:r>
        <w:rPr>
          <w:rFonts w:ascii="Book Antiqua" w:hAnsi="Book Antiqua" w:cs="Book Antiqua" w:hint="eastAsia"/>
          <w:color w:val="000000"/>
          <w:lang w:eastAsia="zh-CN"/>
        </w:rPr>
        <w:t xml:space="preserve"> </w:t>
      </w:r>
      <w:r>
        <w:rPr>
          <w:rFonts w:ascii="Book Antiqua" w:eastAsia="Book Antiqua" w:hAnsi="Book Antiqua" w:cs="Book Antiqua"/>
          <w:color w:val="000000"/>
        </w:rPr>
        <w:t>mmol/L, normal range, 0.3–1.7</w:t>
      </w:r>
      <w:r>
        <w:rPr>
          <w:rFonts w:ascii="Book Antiqua" w:hAnsi="Book Antiqua" w:cs="Book Antiqua" w:hint="eastAsia"/>
          <w:color w:val="000000"/>
          <w:lang w:eastAsia="zh-CN"/>
        </w:rPr>
        <w:t xml:space="preserve"> </w:t>
      </w:r>
      <w:r>
        <w:rPr>
          <w:rFonts w:ascii="Book Antiqua" w:eastAsia="Book Antiqua" w:hAnsi="Book Antiqua" w:cs="Book Antiqua"/>
          <w:color w:val="000000"/>
        </w:rPr>
        <w:t>mmol/L), abnormal</w:t>
      </w:r>
      <w:r>
        <w:rPr>
          <w:rFonts w:ascii="Book Antiqua" w:hAnsi="Book Antiqua" w:cs="Book Antiqua" w:hint="eastAsia"/>
          <w:color w:val="000000"/>
          <w:lang w:eastAsia="zh-CN"/>
        </w:rPr>
        <w:t xml:space="preserve"> </w:t>
      </w:r>
      <w:r>
        <w:rPr>
          <w:rFonts w:ascii="Book Antiqua" w:eastAsia="Book Antiqua" w:hAnsi="Book Antiqua" w:cs="Book Antiqua"/>
          <w:color w:val="000000"/>
        </w:rPr>
        <w:t>renal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function (creatinine level, 79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normal range, 15–77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and high blood ammonia level (94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normal range, 10–47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The patient had hypopituitarism and multiple pituitary</w:t>
      </w:r>
      <w:r>
        <w:rPr>
          <w:rFonts w:ascii="Book Antiqua" w:hAnsi="Book Antiqua" w:cs="Book Antiqua" w:hint="eastAsia"/>
          <w:color w:val="000000"/>
          <w:lang w:eastAsia="zh-CN"/>
        </w:rPr>
        <w:t xml:space="preserve"> </w:t>
      </w:r>
      <w:r>
        <w:rPr>
          <w:rFonts w:ascii="Book Antiqua" w:eastAsia="Book Antiqua" w:hAnsi="Book Antiqua" w:cs="Book Antiqua"/>
          <w:color w:val="000000"/>
        </w:rPr>
        <w:t>hormone</w:t>
      </w:r>
      <w:r>
        <w:rPr>
          <w:rFonts w:ascii="Book Antiqua" w:hAnsi="Book Antiqua" w:cs="Book Antiqua" w:hint="eastAsia"/>
          <w:color w:val="000000"/>
          <w:lang w:eastAsia="zh-CN"/>
        </w:rPr>
        <w:t xml:space="preserve"> </w:t>
      </w:r>
      <w:r>
        <w:rPr>
          <w:rFonts w:ascii="Book Antiqua" w:eastAsia="Book Antiqua" w:hAnsi="Book Antiqua" w:cs="Book Antiqua"/>
          <w:color w:val="000000"/>
        </w:rPr>
        <w:t>deficiencies (Table 1). However, the coagulation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function, immune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function, and Epstein-Barr virus and cytomegalovirus levels were normal. The hepatitis series, including </w:t>
      </w:r>
      <w:r>
        <w:rPr>
          <w:rFonts w:ascii="Book Antiqua" w:eastAsia="Book Antiqua" w:hAnsi="Book Antiqua" w:cs="Book Antiqua" w:hint="eastAsia"/>
          <w:color w:val="000000"/>
        </w:rPr>
        <w:t>h</w:t>
      </w:r>
      <w:r>
        <w:rPr>
          <w:rFonts w:ascii="Book Antiqua" w:eastAsia="Book Antiqua" w:hAnsi="Book Antiqua" w:cs="Book Antiqua"/>
          <w:color w:val="000000"/>
        </w:rPr>
        <w:t xml:space="preserve">epatitis A virus, </w:t>
      </w:r>
      <w:r>
        <w:rPr>
          <w:rFonts w:ascii="Book Antiqua" w:eastAsia="Book Antiqua" w:hAnsi="Book Antiqua" w:cs="Book Antiqua" w:hint="eastAsia"/>
          <w:color w:val="000000"/>
        </w:rPr>
        <w:t>h</w:t>
      </w:r>
      <w:r>
        <w:rPr>
          <w:rFonts w:ascii="Book Antiqua" w:eastAsia="Book Antiqua" w:hAnsi="Book Antiqua" w:cs="Book Antiqua"/>
          <w:color w:val="000000"/>
        </w:rPr>
        <w:t xml:space="preserve">epatitis </w:t>
      </w:r>
      <w:r>
        <w:rPr>
          <w:rFonts w:ascii="Book Antiqua" w:hAnsi="Book Antiqua" w:cs="Book Antiqua" w:hint="eastAsia"/>
          <w:color w:val="000000"/>
          <w:lang w:eastAsia="zh-CN"/>
        </w:rPr>
        <w:t>B</w:t>
      </w:r>
      <w:r>
        <w:rPr>
          <w:rFonts w:ascii="Book Antiqua" w:eastAsia="Book Antiqua" w:hAnsi="Book Antiqua" w:cs="Book Antiqua"/>
          <w:color w:val="000000"/>
        </w:rPr>
        <w:t xml:space="preserve"> virus, </w:t>
      </w:r>
      <w:r>
        <w:rPr>
          <w:rFonts w:ascii="Book Antiqua" w:eastAsia="Book Antiqua" w:hAnsi="Book Antiqua" w:cs="Book Antiqua" w:hint="eastAsia"/>
          <w:color w:val="000000"/>
        </w:rPr>
        <w:t>h</w:t>
      </w:r>
      <w:r>
        <w:rPr>
          <w:rFonts w:ascii="Book Antiqua" w:eastAsia="Book Antiqua" w:hAnsi="Book Antiqua" w:cs="Book Antiqua"/>
          <w:color w:val="000000"/>
        </w:rPr>
        <w:t xml:space="preserve">epatitis </w:t>
      </w:r>
      <w:r>
        <w:rPr>
          <w:rFonts w:ascii="Book Antiqua" w:hAnsi="Book Antiqua" w:cs="Book Antiqua" w:hint="eastAsia"/>
          <w:color w:val="000000"/>
          <w:lang w:eastAsia="zh-CN"/>
        </w:rPr>
        <w:t>C</w:t>
      </w:r>
      <w:r>
        <w:rPr>
          <w:rFonts w:ascii="Book Antiqua" w:eastAsia="Book Antiqua" w:hAnsi="Book Antiqua" w:cs="Book Antiqua"/>
          <w:color w:val="000000"/>
        </w:rPr>
        <w:t xml:space="preserve"> virus, </w:t>
      </w:r>
      <w:r>
        <w:rPr>
          <w:rFonts w:ascii="Book Antiqua" w:eastAsia="Book Antiqua" w:hAnsi="Book Antiqua" w:cs="Book Antiqua" w:hint="eastAsia"/>
          <w:color w:val="000000"/>
        </w:rPr>
        <w:t>h</w:t>
      </w:r>
      <w:r>
        <w:rPr>
          <w:rFonts w:ascii="Book Antiqua" w:eastAsia="Book Antiqua" w:hAnsi="Book Antiqua" w:cs="Book Antiqua"/>
          <w:color w:val="000000"/>
        </w:rPr>
        <w:t xml:space="preserve">epatitis </w:t>
      </w:r>
      <w:r>
        <w:rPr>
          <w:rFonts w:ascii="Book Antiqua" w:hAnsi="Book Antiqua" w:cs="Book Antiqua" w:hint="eastAsia"/>
          <w:color w:val="000000"/>
          <w:lang w:eastAsia="zh-CN"/>
        </w:rPr>
        <w:t>D</w:t>
      </w:r>
      <w:r>
        <w:rPr>
          <w:rFonts w:ascii="Book Antiqua" w:eastAsia="Book Antiqua" w:hAnsi="Book Antiqua" w:cs="Book Antiqua"/>
          <w:color w:val="000000"/>
        </w:rPr>
        <w:t xml:space="preserve"> virus, and </w:t>
      </w:r>
      <w:r>
        <w:rPr>
          <w:rFonts w:ascii="Book Antiqua" w:eastAsia="Book Antiqua" w:hAnsi="Book Antiqua" w:cs="Book Antiqua" w:hint="eastAsia"/>
          <w:color w:val="000000"/>
        </w:rPr>
        <w:t>h</w:t>
      </w:r>
      <w:r>
        <w:rPr>
          <w:rFonts w:ascii="Book Antiqua" w:eastAsia="Book Antiqua" w:hAnsi="Book Antiqua" w:cs="Book Antiqua"/>
          <w:color w:val="000000"/>
        </w:rPr>
        <w:t xml:space="preserve">epatitis </w:t>
      </w:r>
      <w:r>
        <w:rPr>
          <w:rFonts w:ascii="Book Antiqua" w:hAnsi="Book Antiqua" w:cs="Book Antiqua" w:hint="eastAsia"/>
          <w:color w:val="000000"/>
          <w:lang w:eastAsia="zh-CN"/>
        </w:rPr>
        <w:t>E</w:t>
      </w:r>
      <w:r>
        <w:rPr>
          <w:rFonts w:ascii="Book Antiqua" w:eastAsia="Book Antiqua" w:hAnsi="Book Antiqua" w:cs="Book Antiqua"/>
          <w:color w:val="000000"/>
        </w:rPr>
        <w:t xml:space="preserve"> virus, were normal.</w:t>
      </w:r>
    </w:p>
    <w:p w14:paraId="2361565D" w14:textId="77777777" w:rsidR="009A6634" w:rsidRDefault="009A6634">
      <w:pPr>
        <w:spacing w:line="360" w:lineRule="auto"/>
        <w:jc w:val="both"/>
        <w:rPr>
          <w:rFonts w:ascii="Book Antiqua" w:hAnsi="Book Antiqua"/>
        </w:rPr>
      </w:pPr>
    </w:p>
    <w:p w14:paraId="683B024D" w14:textId="77777777" w:rsidR="009A6634" w:rsidRDefault="00EE2DCC">
      <w:pPr>
        <w:spacing w:line="360" w:lineRule="auto"/>
        <w:jc w:val="both"/>
        <w:rPr>
          <w:rFonts w:ascii="Book Antiqua" w:hAnsi="Book Antiqua"/>
        </w:rPr>
      </w:pPr>
      <w:r>
        <w:rPr>
          <w:rFonts w:ascii="Book Antiqua" w:eastAsia="Book Antiqua" w:hAnsi="Book Antiqua" w:cs="Book Antiqua"/>
          <w:b/>
          <w:i/>
          <w:color w:val="000000"/>
        </w:rPr>
        <w:t>Imaging examinations</w:t>
      </w:r>
    </w:p>
    <w:p w14:paraId="3AD43FFB"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Echocardiography of the right heart revealed a diffuse arteriovenous shunt in the lung (grade III &gt; 100/frame), which was consistent with HPS (Figure 1</w:t>
      </w:r>
      <w:r>
        <w:rPr>
          <w:rFonts w:ascii="Book Antiqua" w:hAnsi="Book Antiqua" w:cs="Book Antiqua"/>
          <w:color w:val="000000"/>
          <w:lang w:eastAsia="zh-CN"/>
        </w:rPr>
        <w:t>A</w:t>
      </w:r>
      <w:r>
        <w:rPr>
          <w:rFonts w:ascii="Book Antiqua" w:eastAsia="Book Antiqua" w:hAnsi="Book Antiqua" w:cs="Book Antiqua"/>
          <w:color w:val="000000"/>
        </w:rPr>
        <w:t xml:space="preserve">). Abdominal ultrasonography revealed bile duct dilatation, cirrhosis, and splenomegaly (Figure </w:t>
      </w:r>
      <w:r>
        <w:rPr>
          <w:rFonts w:ascii="Book Antiqua" w:hAnsi="Book Antiqua" w:cs="Book Antiqua"/>
          <w:color w:val="000000"/>
          <w:lang w:eastAsia="zh-CN"/>
        </w:rPr>
        <w:t>1B</w:t>
      </w:r>
      <w:r>
        <w:rPr>
          <w:rFonts w:ascii="Book Antiqua" w:eastAsia="Book Antiqua" w:hAnsi="Book Antiqua" w:cs="Book Antiqua"/>
          <w:color w:val="000000"/>
        </w:rPr>
        <w:t xml:space="preserve">). Biopsy of the liver parenchyma showed loss of lobular structure, formation of regenerated nodules, swelling of the hepatocytes, mild steatosis (20%), </w:t>
      </w:r>
      <w:proofErr w:type="spellStart"/>
      <w:r>
        <w:rPr>
          <w:rFonts w:ascii="Book Antiqua" w:eastAsia="Book Antiqua" w:hAnsi="Book Antiqua" w:cs="Book Antiqua"/>
          <w:color w:val="000000"/>
        </w:rPr>
        <w:t>fibroseptal</w:t>
      </w:r>
      <w:proofErr w:type="spellEnd"/>
      <w:r>
        <w:rPr>
          <w:rFonts w:ascii="Book Antiqua" w:eastAsia="Book Antiqua" w:hAnsi="Book Antiqua" w:cs="Book Antiqua"/>
          <w:color w:val="000000"/>
        </w:rPr>
        <w:t xml:space="preserve"> bile duct hyperplasia, and fibrous tissue hyperplasia. The diagnostic view showed nodular cirrhosis (considering the origin of NASH) (Figure </w:t>
      </w:r>
      <w:r>
        <w:rPr>
          <w:rFonts w:ascii="Book Antiqua" w:hAnsi="Book Antiqua" w:cs="Book Antiqua"/>
          <w:color w:val="000000"/>
          <w:lang w:eastAsia="zh-CN"/>
        </w:rPr>
        <w:t>2</w:t>
      </w:r>
      <w:r>
        <w:rPr>
          <w:rFonts w:ascii="Book Antiqua" w:eastAsia="Book Antiqua" w:hAnsi="Book Antiqua" w:cs="Book Antiqua"/>
          <w:color w:val="000000"/>
        </w:rPr>
        <w:t xml:space="preserve">). The liver vasculature of computed tomography angiography revealed cirrhotic hepatosplenomegaly and portal hypertension, spongiform changes in the left portal artery, mild varicose veins in the </w:t>
      </w:r>
      <w:r>
        <w:rPr>
          <w:rFonts w:ascii="Book Antiqua" w:eastAsia="Book Antiqua" w:hAnsi="Book Antiqua" w:cs="Book Antiqua"/>
          <w:color w:val="000000"/>
        </w:rPr>
        <w:lastRenderedPageBreak/>
        <w:t xml:space="preserve">lower esophagus, and splenic-renal shunt. Magnetic resonance cholangiopancreatography did not show abnormal changes in the </w:t>
      </w:r>
      <w:bookmarkStart w:id="1" w:name="OLE_LINK1"/>
      <w:r>
        <w:rPr>
          <w:rFonts w:ascii="Book Antiqua" w:eastAsia="Book Antiqua" w:hAnsi="Book Antiqua" w:cs="Book Antiqua" w:hint="eastAsia"/>
          <w:color w:val="000000"/>
        </w:rPr>
        <w:t>pancreatic duct</w:t>
      </w:r>
      <w:r>
        <w:rPr>
          <w:rFonts w:ascii="Book Antiqua" w:eastAsia="SimSun" w:hAnsi="Book Antiqua" w:cs="Book Antiqua" w:hint="eastAsia"/>
          <w:color w:val="000000"/>
          <w:lang w:eastAsia="zh-CN"/>
        </w:rPr>
        <w:t>.</w:t>
      </w:r>
      <w:bookmarkEnd w:id="1"/>
      <w:r>
        <w:rPr>
          <w:rFonts w:ascii="Book Antiqua" w:eastAsia="Book Antiqua" w:hAnsi="Book Antiqua" w:cs="Book Antiqua"/>
          <w:color w:val="000000"/>
        </w:rPr>
        <w:t xml:space="preserve"> The pituitary magnetic resonance imaging that included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conventional plain scan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dynamic contrast-enhanced</w:t>
      </w:r>
      <w:r>
        <w:rPr>
          <w:rFonts w:ascii="Book Antiqua" w:hAnsi="Book Antiqua" w:cs="Book Antiqua" w:hint="eastAsia"/>
          <w:color w:val="000000"/>
          <w:lang w:eastAsia="zh-CN"/>
        </w:rPr>
        <w:t xml:space="preserve"> </w:t>
      </w:r>
      <w:r>
        <w:rPr>
          <w:rFonts w:ascii="Book Antiqua" w:eastAsia="Book Antiqua" w:hAnsi="Book Antiqua" w:cs="Book Antiqua"/>
          <w:color w:val="000000"/>
        </w:rPr>
        <w:t>scan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showed postoperative changes in craniopharyngioma. </w:t>
      </w:r>
    </w:p>
    <w:p w14:paraId="7BA74B42" w14:textId="77777777" w:rsidR="009A6634" w:rsidRDefault="009A6634">
      <w:pPr>
        <w:spacing w:line="360" w:lineRule="auto"/>
        <w:jc w:val="both"/>
        <w:rPr>
          <w:rFonts w:ascii="Book Antiqua" w:hAnsi="Book Antiqua"/>
        </w:rPr>
      </w:pPr>
    </w:p>
    <w:p w14:paraId="5BFF2354" w14:textId="77777777" w:rsidR="009A6634" w:rsidRDefault="00EE2DCC">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65FB2D32"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The final diagnoses were liver cirrhosis, HPS, hypopituitarism, and electrolyte imbalance.</w:t>
      </w:r>
    </w:p>
    <w:p w14:paraId="7001D5A4" w14:textId="77777777" w:rsidR="009A6634" w:rsidRDefault="009A6634">
      <w:pPr>
        <w:spacing w:line="360" w:lineRule="auto"/>
        <w:jc w:val="both"/>
        <w:rPr>
          <w:rFonts w:ascii="Book Antiqua" w:hAnsi="Book Antiqua"/>
        </w:rPr>
      </w:pPr>
    </w:p>
    <w:p w14:paraId="116DE5CC" w14:textId="77777777" w:rsidR="009A6634" w:rsidRDefault="00EE2DCC">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40158845"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The patient received multiple hormone replacement and desmopressin therapies: </w:t>
      </w:r>
      <w:r>
        <w:rPr>
          <w:rFonts w:ascii="Book Antiqua" w:hAnsi="Book Antiqua" w:cs="Book Antiqua" w:hint="eastAsia"/>
          <w:color w:val="000000"/>
          <w:lang w:eastAsia="zh-CN"/>
        </w:rPr>
        <w:t>G</w:t>
      </w:r>
      <w:r>
        <w:rPr>
          <w:rFonts w:ascii="Book Antiqua" w:eastAsia="Book Antiqua" w:hAnsi="Book Antiqua" w:cs="Book Antiqua"/>
          <w:color w:val="000000"/>
        </w:rPr>
        <w:t xml:space="preserve">rowth hormone (GH) (4 IU </w:t>
      </w:r>
      <w:proofErr w:type="spellStart"/>
      <w:r>
        <w:rPr>
          <w:rFonts w:ascii="Book Antiqua" w:eastAsia="Book Antiqua" w:hAnsi="Book Antiqua" w:cs="Book Antiqua"/>
          <w:color w:val="000000"/>
        </w:rPr>
        <w:t>qn</w:t>
      </w:r>
      <w:proofErr w:type="spellEnd"/>
      <w:r>
        <w:rPr>
          <w:rFonts w:ascii="Book Antiqua" w:eastAsia="Book Antiqua" w:hAnsi="Book Antiqua" w:cs="Book Antiqua"/>
          <w:color w:val="000000"/>
        </w:rPr>
        <w:t xml:space="preserve">), thyroid hormone (levothyroxine sodium hydrate, 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/d), corticosteroid (hydrocortisone, 15 mg/d), and desmopressin (</w:t>
      </w:r>
      <w:proofErr w:type="spellStart"/>
      <w:r>
        <w:rPr>
          <w:rFonts w:ascii="Book Antiqua" w:eastAsia="Book Antiqua" w:hAnsi="Book Antiqua" w:cs="Book Antiqua"/>
          <w:color w:val="000000"/>
        </w:rPr>
        <w:t>Minirin</w:t>
      </w:r>
      <w:proofErr w:type="spellEnd"/>
      <w:r>
        <w:rPr>
          <w:rFonts w:ascii="Book Antiqua" w:eastAsia="Book Antiqua" w:hAnsi="Book Antiqua" w:cs="Book Antiqua"/>
          <w:color w:val="000000"/>
        </w:rPr>
        <w:t>, 0.05</w:t>
      </w:r>
      <w:r>
        <w:rPr>
          <w:rFonts w:ascii="Book Antiqua" w:hAnsi="Book Antiqua" w:cs="Book Antiqua" w:hint="eastAsia"/>
          <w:color w:val="000000"/>
          <w:lang w:eastAsia="zh-CN"/>
        </w:rPr>
        <w:t xml:space="preserve"> </w:t>
      </w:r>
      <w:r>
        <w:rPr>
          <w:rFonts w:ascii="Book Antiqua" w:eastAsia="Book Antiqua" w:hAnsi="Book Antiqua" w:cs="Book Antiqua"/>
          <w:color w:val="000000"/>
        </w:rPr>
        <w:t>mg/d). Moreover, the patient received symptomatic oxygen inhalation and calcium and potassium supplementation.</w:t>
      </w:r>
    </w:p>
    <w:p w14:paraId="15198BA5" w14:textId="77777777" w:rsidR="009A6634" w:rsidRDefault="009A6634">
      <w:pPr>
        <w:spacing w:line="360" w:lineRule="auto"/>
        <w:jc w:val="both"/>
        <w:rPr>
          <w:rFonts w:ascii="Book Antiqua" w:hAnsi="Book Antiqua"/>
        </w:rPr>
      </w:pPr>
    </w:p>
    <w:p w14:paraId="100F04D9" w14:textId="77777777" w:rsidR="009A6634" w:rsidRDefault="00EE2DCC">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B39AC62"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Oxygen saturation improved significantly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GH treatment and currently fluctuated at around 92% for low-flow nasal catheter oxygen. Liver function was reduced to the normal range, hypernatremia improved, and total bilirubin, indirect bilirubin, total bile acid, and lipid levels were significantly improved. During regular follow-up, it was found that liver transplantation was not required.</w:t>
      </w:r>
    </w:p>
    <w:p w14:paraId="5E97043D" w14:textId="77777777" w:rsidR="009A6634" w:rsidRDefault="009A6634">
      <w:pPr>
        <w:spacing w:line="360" w:lineRule="auto"/>
        <w:jc w:val="both"/>
        <w:rPr>
          <w:rFonts w:ascii="Book Antiqua" w:hAnsi="Book Antiqua"/>
        </w:rPr>
      </w:pPr>
    </w:p>
    <w:p w14:paraId="628A93CA" w14:textId="77777777" w:rsidR="009A6634" w:rsidRDefault="00EE2DCC">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954A158"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Craniopharyngioma is a rare primary brain tumor that originates from ectopic embryonic remnants of the craniopharyngeal duct or squamous epithelial cells. Its incidence is 0.5–2 cases </w:t>
      </w:r>
      <w:r>
        <w:rPr>
          <w:rFonts w:ascii="Book Antiqua" w:eastAsia="Book Antiqua" w:hAnsi="Book Antiqua" w:cs="Book Antiqua"/>
          <w:i/>
          <w:color w:val="000000"/>
        </w:rPr>
        <w:t>per</w:t>
      </w:r>
      <w:r>
        <w:rPr>
          <w:rFonts w:ascii="Book Antiqua" w:eastAsia="Book Antiqua" w:hAnsi="Book Antiqua" w:cs="Book Antiqua"/>
          <w:color w:val="000000"/>
        </w:rPr>
        <w:t xml:space="preserve"> million persons </w:t>
      </w:r>
      <w:r>
        <w:rPr>
          <w:rFonts w:ascii="Book Antiqua" w:eastAsia="Book Antiqua" w:hAnsi="Book Antiqua" w:cs="Book Antiqua"/>
          <w:i/>
          <w:color w:val="000000"/>
        </w:rPr>
        <w:t>per</w:t>
      </w:r>
      <w:r>
        <w:rPr>
          <w:rFonts w:ascii="Book Antiqua" w:eastAsia="Book Antiqua" w:hAnsi="Book Antiqua" w:cs="Book Antiqua"/>
          <w:color w:val="000000"/>
        </w:rPr>
        <w:t xml:space="preserve"> year, with peaks in childhood/adolescence (8 years) and adulthood (40–50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Although histologically defined as a benign tumor, craniopharyngioma often compresses nearby </w:t>
      </w:r>
      <w:r>
        <w:rPr>
          <w:rFonts w:ascii="Book Antiqua" w:eastAsia="Book Antiqua" w:hAnsi="Book Antiqua" w:cs="Book Antiqua"/>
          <w:color w:val="000000"/>
        </w:rPr>
        <w:lastRenderedPageBreak/>
        <w:t xml:space="preserve">key structures, such as the optic neurohypophysis or </w:t>
      </w:r>
      <w:proofErr w:type="gramStart"/>
      <w:r>
        <w:rPr>
          <w:rFonts w:ascii="Book Antiqua" w:eastAsia="Book Antiqua" w:hAnsi="Book Antiqua" w:cs="Book Antiqua"/>
          <w:color w:val="000000"/>
        </w:rPr>
        <w:t>hypothalamus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Postoperative complications of craniopharyngioma, especially endocrine dysfunction, have a high incidence and mainly manifest as intractable diabetes insipidus hypothalamic-pituitary insufficiency, severe electrolyte disorder, and neuropsychological defects,</w:t>
      </w:r>
      <w:r>
        <w:rPr>
          <w:rFonts w:ascii="Book Antiqua" w:hAnsi="Book Antiqua" w:cs="Book Antiqua" w:hint="eastAsia"/>
          <w:color w:val="000000"/>
          <w:lang w:eastAsia="zh-CN"/>
        </w:rPr>
        <w:t xml:space="preserve"> </w:t>
      </w:r>
      <w:r>
        <w:rPr>
          <w:rFonts w:ascii="Book Antiqua" w:eastAsia="Book Antiqua" w:hAnsi="Book Antiqua" w:cs="Book Antiqua"/>
          <w:color w:val="000000"/>
        </w:rPr>
        <w:t>which seriously affect the quality of life of children.</w:t>
      </w:r>
    </w:p>
    <w:p w14:paraId="3EBE9B90" w14:textId="77777777" w:rsidR="009A6634" w:rsidRDefault="00EE2DCC">
      <w:pPr>
        <w:spacing w:line="360" w:lineRule="auto"/>
        <w:ind w:firstLineChars="200" w:firstLine="480"/>
        <w:jc w:val="both"/>
        <w:rPr>
          <w:rFonts w:ascii="Book Antiqua" w:hAnsi="Book Antiqua"/>
        </w:rPr>
      </w:pPr>
      <w:r>
        <w:rPr>
          <w:rFonts w:ascii="Book Antiqua" w:eastAsia="Book Antiqua" w:hAnsi="Book Antiqua" w:cs="Book Antiqua"/>
          <w:color w:val="000000"/>
        </w:rPr>
        <w:t>NAFLD is a chronic liver disease worldwide, and its incidence is increasing with the prevalence of obesity, diabetes, and metabolic syndrome. Statistically, the global incidence is 25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NAFLD is histologically classified into NAFLD and NASH, cirrhosis, and hepatocellular carcinoma. NAFLD and NASH are associated with hypothalamic hypopituitarism, but their pathogeneses remain unclear, and an increasing number of studies have found that the development of NASH is closely related to endocrine hormone </w:t>
      </w:r>
      <w:proofErr w:type="gramStart"/>
      <w:r>
        <w:rPr>
          <w:rFonts w:ascii="Book Antiqua" w:eastAsia="Book Antiqua" w:hAnsi="Book Antiqua" w:cs="Book Antiqua"/>
          <w:color w:val="000000"/>
        </w:rPr>
        <w:t>abnormalities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children, it is caused by craniopharyngioma or pituitary adenoma and sequelae of treatment, leading to hypothyroidism, adrenal insufficiency, </w:t>
      </w:r>
      <w:proofErr w:type="spellStart"/>
      <w:r>
        <w:rPr>
          <w:rFonts w:ascii="Book Antiqua" w:eastAsia="Book Antiqua" w:hAnsi="Book Antiqua" w:cs="Book Antiqua"/>
          <w:color w:val="000000"/>
        </w:rPr>
        <w:t>hypogonadotropism</w:t>
      </w:r>
      <w:proofErr w:type="spellEnd"/>
      <w:r>
        <w:rPr>
          <w:rFonts w:ascii="Book Antiqua" w:eastAsia="Book Antiqua" w:hAnsi="Book Antiqua" w:cs="Book Antiqua"/>
          <w:color w:val="000000"/>
        </w:rPr>
        <w:t xml:space="preserve">, and GH </w:t>
      </w:r>
      <w:proofErr w:type="gramStart"/>
      <w:r>
        <w:rPr>
          <w:rFonts w:ascii="Book Antiqua" w:eastAsia="Book Antiqua" w:hAnsi="Book Antiqua" w:cs="Book Antiqua"/>
          <w:color w:val="000000"/>
        </w:rPr>
        <w:t>deficiency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Adams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sidR="00F25F64">
        <w:rPr>
          <w:rFonts w:ascii="Book Antiqua" w:eastAsia="Book Antiqua" w:hAnsi="Book Antiqua" w:cs="Book Antiqua"/>
          <w:color w:val="000000"/>
          <w:vertAlign w:val="superscript"/>
        </w:rPr>
        <w:t>[</w:t>
      </w:r>
      <w:proofErr w:type="gramEnd"/>
      <w:r w:rsidR="00F25F64">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reported 21 cases of NAFLD, among which 15 were secondary after brain tumor surgery (approximately 71%), suggesting that brain tumor near the pituitary hypothalamus is an important cause of NAFLD. More than 50% (eight cases) of these tumors were craniopharyngiomas, suggesting the importance of careful diagnosis and exclusion of this type of tumor in the presence of clinically unexplained </w:t>
      </w:r>
      <w:proofErr w:type="gramStart"/>
      <w:r>
        <w:rPr>
          <w:rFonts w:ascii="Book Antiqua" w:eastAsia="Book Antiqua" w:hAnsi="Book Antiqua" w:cs="Book Antiqua"/>
          <w:color w:val="000000"/>
        </w:rPr>
        <w:t>NAFLD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Jung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sidR="00F25F64">
        <w:rPr>
          <w:rFonts w:ascii="Book Antiqua" w:eastAsia="Book Antiqua" w:hAnsi="Book Antiqua" w:cs="Book Antiqua"/>
          <w:color w:val="000000"/>
          <w:vertAlign w:val="superscript"/>
        </w:rPr>
        <w:t>[</w:t>
      </w:r>
      <w:proofErr w:type="gramEnd"/>
      <w:r w:rsidR="00F25F64">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reported the case of a 19-year-old girl diagnosed with craniopharyngioma who developed hypothalamic obesity, NAFLD, and progression to HPS after tumor resection</w:t>
      </w:r>
      <w:r>
        <w:rPr>
          <w:rFonts w:ascii="Book Antiqua" w:eastAsia="Book Antiqua" w:hAnsi="Book Antiqua" w:cs="Book Antiqua"/>
          <w:color w:val="000000"/>
          <w:vertAlign w:val="superscript"/>
        </w:rPr>
        <w:t>[10]</w:t>
      </w:r>
      <w:r>
        <w:rPr>
          <w:rFonts w:ascii="Book Antiqua" w:eastAsia="Book Antiqua" w:hAnsi="Book Antiqua" w:cs="Book Antiqua"/>
          <w:color w:val="000000"/>
        </w:rPr>
        <w:t>. Recently, studies on patients with hypothalamic-pituitary involvement after craniopharyngioma have found that the prevalence of NAFLD in children is approximately 3%–10%, while the incidence of NAFLD caused by hypothalamic-pituitary damage after craniopharyngioma has increased to approximately 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Previously, it was generally believed that the risk factors for NAFLD were excessive fructose intake, insulin resistance, and metabolic syndrome, followed by oxidative stress injury and endoplasmic reticulum stress, adipocytokine, mitochondrial dysfunction, and bisphenol A </w:t>
      </w:r>
      <w:proofErr w:type="gramStart"/>
      <w:r>
        <w:rPr>
          <w:rFonts w:ascii="Book Antiqua" w:eastAsia="Book Antiqua" w:hAnsi="Book Antiqua" w:cs="Book Antiqua"/>
          <w:color w:val="000000"/>
        </w:rPr>
        <w:t>intake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13,14]</w:t>
      </w:r>
      <w:r>
        <w:rPr>
          <w:rFonts w:ascii="Book Antiqua" w:eastAsia="Book Antiqua" w:hAnsi="Book Antiqua" w:cs="Book Antiqua"/>
          <w:color w:val="000000"/>
        </w:rPr>
        <w:t xml:space="preserve">. </w:t>
      </w:r>
    </w:p>
    <w:p w14:paraId="3162C10D" w14:textId="77777777" w:rsidR="009A6634" w:rsidRDefault="00EE2DCC">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In a retrospective study that reported the association between hypopituitarism, hypothalamic dysfunction,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NAFLD, NAFLD was found in 2.3% of patients with hypopituitarism and hypothalamic </w:t>
      </w:r>
      <w:proofErr w:type="gramStart"/>
      <w:r>
        <w:rPr>
          <w:rFonts w:ascii="Book Antiqua" w:eastAsia="Book Antiqua" w:hAnsi="Book Antiqua" w:cs="Book Antiqua"/>
          <w:color w:val="000000"/>
        </w:rPr>
        <w:t>obesity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Moreover, a recent analysis of long-term outcomes after childhood-onset craniopharyngioma found that 1 of 32 patients (3%) died of </w:t>
      </w:r>
      <w:proofErr w:type="gramStart"/>
      <w:r>
        <w:rPr>
          <w:rFonts w:ascii="Book Antiqua" w:eastAsia="Book Antiqua" w:hAnsi="Book Antiqua" w:cs="Book Antiqua"/>
          <w:color w:val="000000"/>
        </w:rPr>
        <w:t>cirrhosis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3494CC1E" w14:textId="77777777" w:rsidR="009A6634" w:rsidRDefault="00EE2DC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risk of progression from childhood simple fatty liver to adult cirrhosis and liver failure is low, and the natural course of NAFLD in patients with hypothalamic and pituitary dysfunction may be more aggressive than that in the general population. Therefore, children with craniopharyngioma should be closely followed postoperatively, especially for liver function and pituitary hormone levels. Some scholars have reported NASH 4 years after pituitary tumor resection, accompanied by dyspnea and hypoxemia, which eventually developed into </w:t>
      </w:r>
      <w:proofErr w:type="gramStart"/>
      <w:r>
        <w:rPr>
          <w:rFonts w:ascii="Book Antiqua" w:eastAsia="Book Antiqua" w:hAnsi="Book Antiqua" w:cs="Book Antiqua"/>
          <w:color w:val="000000"/>
        </w:rPr>
        <w:t>HPS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HPS is a serious complication of chronic liver disease, which includes three main characteristics: Abnormal liver function, pulmonary telangiectasia (shunt), and </w:t>
      </w:r>
      <w:proofErr w:type="gramStart"/>
      <w:r>
        <w:rPr>
          <w:rFonts w:ascii="Book Antiqua" w:eastAsia="Book Antiqua" w:hAnsi="Book Antiqua" w:cs="Book Antiqua"/>
          <w:color w:val="000000"/>
        </w:rPr>
        <w:t>hypoxemia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It is a progressive disease that is a complication of cirrhosis or portal hypertension. The main clinical manifestations are dyspnea and cyanosis. At this point, the exact pathogenesis of HPS is still unclear, and is most likely thought to occur due to vasodilatation caused by nitric oxide</w:t>
      </w:r>
      <w:r>
        <w:rPr>
          <w:rFonts w:ascii="Book Antiqua" w:eastAsia="Book Antiqua" w:hAnsi="Book Antiqua" w:cs="Book Antiqua"/>
          <w:color w:val="000000"/>
          <w:vertAlign w:val="superscript"/>
        </w:rPr>
        <w:t>[19]</w:t>
      </w:r>
      <w:r>
        <w:rPr>
          <w:rFonts w:ascii="Book Antiqua" w:eastAsia="Book Antiqua" w:hAnsi="Book Antiqua" w:cs="Book Antiqua"/>
          <w:color w:val="000000"/>
        </w:rPr>
        <w:t>, which increases pulmonary blood flow and cardiac output, leading to pulmonary ventilation-perfusion mismatch and arteriovenous shallows, ultimately making it difficult for oxygen molecules to bind with hemoglobin, and resulting in hypoxemia</w:t>
      </w:r>
      <w:r>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Currently, liver transplantation is the accepted treatment. Despite successful liver transplantation, NAFLD has a high recurrence rate. Therefore, the prospects for the treatment of NAFLD and HPS secondary to craniopharyngioma are not optimistic, and the need for liver transplantation should be carefully considered. We present the case of a 13-year-old girl with hypopituitarism following surgery for craniopharyngioma; particularly, GH deficiency resulted in slow-progressive NASH, which progressed to cirrhosis, and HPS was eventually diagnosed. After GH replacement therapy, liver biochemical indexes and hypoxemia were significantly improved. Therefore, it is speculated that GH may provide a new approach for the </w:t>
      </w:r>
      <w:r>
        <w:rPr>
          <w:rFonts w:ascii="Book Antiqua" w:eastAsia="Book Antiqua" w:hAnsi="Book Antiqua" w:cs="Book Antiqua"/>
          <w:color w:val="000000"/>
        </w:rPr>
        <w:lastRenderedPageBreak/>
        <w:t>treatment of HPS in the future. An 11-year-old boy from Japan was reported to have developed hypopituitarism after surgical resection of a pituitary tumor and subsequently progressed to NASH and HPS. He underwent living-donor liver transplantation at 15 years of age and developed NAFLD again 1 year after transplantation; GH replacement therapy improved liver function, which stabilized to the normal range during 10 years of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r>
        <w:rPr>
          <w:rFonts w:ascii="Book Antiqua" w:eastAsia="Book Antiqua" w:hAnsi="Book Antiqua" w:cs="Book Antiqua"/>
          <w:bCs/>
          <w:color w:val="000000"/>
        </w:rPr>
        <w:t>Kodama</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and</w:t>
      </w:r>
      <w:r>
        <w:rPr>
          <w:rFonts w:ascii="Book Antiqua" w:eastAsia="Book Antiqua" w:hAnsi="Book Antiqua" w:cs="Book Antiqua"/>
          <w:bCs/>
          <w:color w:val="000000"/>
        </w:rPr>
        <w:t xml:space="preserve"> Torii</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reported that GH replacement therapy improved NASH and HPS</w:t>
      </w:r>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29-year-old man with pituitary stalk interruption syndrome progressed slowly to HPS, and after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with recombinant human GH, the liver function and hypoxemia improved, and liver fibrosis did not </w:t>
      </w:r>
      <w:proofErr w:type="gramStart"/>
      <w:r>
        <w:rPr>
          <w:rFonts w:ascii="Book Antiqua" w:eastAsia="Book Antiqua" w:hAnsi="Book Antiqua" w:cs="Book Antiqua"/>
          <w:color w:val="000000"/>
        </w:rPr>
        <w:t>progress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B675DCF" w14:textId="77777777" w:rsidR="009A6634" w:rsidRDefault="00EE2DC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Recent studies have demonstrated an increased prevalence of NASH in adult patients with GH deficiency and improvement in liver function impairment after GH replacement therapy. Although it is unclear whether GH replacement therapy directly or indirectly reduces oxidative stress in the liver, GH has antioxidant stress effects </w:t>
      </w:r>
      <w:r>
        <w:rPr>
          <w:rFonts w:ascii="Book Antiqua" w:eastAsia="Book Antiqua" w:hAnsi="Book Antiqua" w:cs="Book Antiqua"/>
          <w:i/>
          <w:color w:val="000000"/>
        </w:rPr>
        <w:t>in vivo</w:t>
      </w:r>
      <w:r>
        <w:rPr>
          <w:rFonts w:ascii="Book Antiqua" w:eastAsia="Book Antiqua" w:hAnsi="Book Antiqua" w:cs="Book Antiqua"/>
          <w:color w:val="000000"/>
        </w:rPr>
        <w:t xml:space="preserve">. GH can directly reduce adipogenesis in liver cells and simultaneously regulate the production of IGF1, which can induce cell senescence and inactivate hepatic stellate cells, thus improving liver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786AFE8" w14:textId="77777777" w:rsidR="009A6634" w:rsidRDefault="009A6634">
      <w:pPr>
        <w:spacing w:line="360" w:lineRule="auto"/>
        <w:jc w:val="both"/>
        <w:rPr>
          <w:rFonts w:ascii="Book Antiqua" w:hAnsi="Book Antiqua"/>
        </w:rPr>
      </w:pPr>
    </w:p>
    <w:p w14:paraId="65172BB9" w14:textId="77777777" w:rsidR="009A6634" w:rsidRDefault="00EE2DCC">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4F54D3F"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Craniopharyngioma in children likely damages the pituitary gland and leads to hypopituitarism, regardless of its unique location or treatment with surgery or radiotherapy. Hypopituitarism in children is likely to develop into NASH, cirrhosis, and even HPS. In this study, GH replacement therapy significantly improved liver function, metabolic status, and hypoxemia, providing new clinical support for the early diagnosis and treatment of NASH and HPS in children with hypopituitarism.</w:t>
      </w:r>
    </w:p>
    <w:p w14:paraId="11A13917" w14:textId="77777777" w:rsidR="009A6634" w:rsidRDefault="009A6634">
      <w:pPr>
        <w:spacing w:line="360" w:lineRule="auto"/>
        <w:jc w:val="both"/>
        <w:rPr>
          <w:rFonts w:ascii="Book Antiqua" w:hAnsi="Book Antiqua"/>
        </w:rPr>
      </w:pPr>
    </w:p>
    <w:p w14:paraId="7117DA9B" w14:textId="77777777" w:rsidR="009A6634" w:rsidRDefault="00EE2DCC">
      <w:pPr>
        <w:spacing w:line="360" w:lineRule="auto"/>
        <w:jc w:val="both"/>
        <w:rPr>
          <w:rFonts w:ascii="Book Antiqua" w:hAnsi="Book Antiqua"/>
        </w:rPr>
      </w:pPr>
      <w:r>
        <w:rPr>
          <w:rFonts w:ascii="Book Antiqua" w:eastAsia="Book Antiqua" w:hAnsi="Book Antiqua" w:cs="Book Antiqua"/>
          <w:b/>
          <w:color w:val="000000"/>
        </w:rPr>
        <w:t>REFERENCES</w:t>
      </w:r>
    </w:p>
    <w:p w14:paraId="3B2A4F70"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Marino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Jornayvaz</w:t>
      </w:r>
      <w:proofErr w:type="spellEnd"/>
      <w:r>
        <w:rPr>
          <w:rFonts w:ascii="Book Antiqua" w:eastAsia="Book Antiqua" w:hAnsi="Book Antiqua" w:cs="Book Antiqua"/>
          <w:color w:val="000000"/>
        </w:rPr>
        <w:t xml:space="preserve"> FR. Endocrine causes of nonalcoholic fatty liver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11053-11076 [PMID: 26494962 DOI: 10.3748/wjg.v21.i39.11053]</w:t>
      </w:r>
    </w:p>
    <w:p w14:paraId="61366183"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Lustig RH</w:t>
      </w:r>
      <w:r>
        <w:rPr>
          <w:rFonts w:ascii="Book Antiqua" w:eastAsia="Book Antiqua" w:hAnsi="Book Antiqua" w:cs="Book Antiqua"/>
          <w:color w:val="000000"/>
        </w:rPr>
        <w:t xml:space="preserve">. Hypothalamic obesity after craniopharyngioma: mechanisms, diagnosis, and treatment. </w:t>
      </w:r>
      <w:r>
        <w:rPr>
          <w:rFonts w:ascii="Book Antiqua" w:eastAsia="Book Antiqua" w:hAnsi="Book Antiqua" w:cs="Book Antiqua"/>
          <w:i/>
          <w:iCs/>
          <w:color w:val="000000"/>
        </w:rPr>
        <w:t>Front Endocrinol (Lausanne)</w:t>
      </w:r>
      <w:r>
        <w:rPr>
          <w:rFonts w:ascii="Book Antiqua" w:eastAsia="Book Antiqua" w:hAnsi="Book Antiqua" w:cs="Book Antiqua"/>
          <w:color w:val="000000"/>
        </w:rPr>
        <w:t xml:space="preserve"> 2011; </w:t>
      </w:r>
      <w:r>
        <w:rPr>
          <w:rFonts w:ascii="Book Antiqua" w:eastAsia="Book Antiqua" w:hAnsi="Book Antiqua" w:cs="Book Antiqua"/>
          <w:b/>
          <w:bCs/>
          <w:color w:val="000000"/>
        </w:rPr>
        <w:t>2</w:t>
      </w:r>
      <w:r>
        <w:rPr>
          <w:rFonts w:ascii="Book Antiqua" w:eastAsia="Book Antiqua" w:hAnsi="Book Antiqua" w:cs="Book Antiqua"/>
          <w:color w:val="000000"/>
        </w:rPr>
        <w:t>: 60 [PMID: 22654817 DOI: 10.3389/fendo.2011.00060]</w:t>
      </w:r>
    </w:p>
    <w:p w14:paraId="7E47D905"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Eveslage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Calaminus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Warmuth</w:t>
      </w:r>
      <w:proofErr w:type="spellEnd"/>
      <w:r>
        <w:rPr>
          <w:rFonts w:ascii="Book Antiqua" w:eastAsia="Book Antiqua" w:hAnsi="Book Antiqua" w:cs="Book Antiqua"/>
          <w:color w:val="000000"/>
        </w:rPr>
        <w:t xml:space="preserve">-Metz M, </w:t>
      </w:r>
      <w:proofErr w:type="spellStart"/>
      <w:r>
        <w:rPr>
          <w:rFonts w:ascii="Book Antiqua" w:eastAsia="Book Antiqua" w:hAnsi="Book Antiqua" w:cs="Book Antiqua"/>
          <w:color w:val="000000"/>
        </w:rPr>
        <w:t>Kortmann</w:t>
      </w:r>
      <w:proofErr w:type="spellEnd"/>
      <w:r>
        <w:rPr>
          <w:rFonts w:ascii="Book Antiqua" w:eastAsia="Book Antiqua" w:hAnsi="Book Antiqua" w:cs="Book Antiqua"/>
          <w:color w:val="000000"/>
        </w:rPr>
        <w:t xml:space="preserve"> RD, Pohl F, </w:t>
      </w:r>
      <w:proofErr w:type="spellStart"/>
      <w:r>
        <w:rPr>
          <w:rFonts w:ascii="Book Antiqua" w:eastAsia="Book Antiqua" w:hAnsi="Book Antiqua" w:cs="Book Antiqua"/>
          <w:color w:val="000000"/>
        </w:rPr>
        <w:t>Timmermann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Schuhmann</w:t>
      </w:r>
      <w:proofErr w:type="spellEnd"/>
      <w:r>
        <w:rPr>
          <w:rFonts w:ascii="Book Antiqua" w:eastAsia="Book Antiqua" w:hAnsi="Book Antiqua" w:cs="Book Antiqua"/>
          <w:color w:val="000000"/>
        </w:rPr>
        <w:t xml:space="preserve"> MU, </w:t>
      </w:r>
      <w:proofErr w:type="spellStart"/>
      <w:r>
        <w:rPr>
          <w:rFonts w:ascii="Book Antiqua" w:eastAsia="Book Antiqua" w:hAnsi="Book Antiqua" w:cs="Book Antiqua"/>
          <w:color w:val="000000"/>
        </w:rPr>
        <w:t>Flitsch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Faldum</w:t>
      </w:r>
      <w:proofErr w:type="spellEnd"/>
      <w:r>
        <w:rPr>
          <w:rFonts w:ascii="Book Antiqua" w:eastAsia="Book Antiqua" w:hAnsi="Book Antiqua" w:cs="Book Antiqua"/>
          <w:color w:val="000000"/>
        </w:rPr>
        <w:t xml:space="preserve"> A, Müller HL. The </w:t>
      </w:r>
      <w:proofErr w:type="spellStart"/>
      <w:r>
        <w:rPr>
          <w:rFonts w:ascii="Book Antiqua" w:eastAsia="Book Antiqua" w:hAnsi="Book Antiqua" w:cs="Book Antiqua"/>
          <w:color w:val="000000"/>
        </w:rPr>
        <w:t>Postopera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tive</w:t>
      </w:r>
      <w:proofErr w:type="spellEnd"/>
      <w:r>
        <w:rPr>
          <w:rFonts w:ascii="Book Antiqua" w:eastAsia="Book Antiqua" w:hAnsi="Book Antiqua" w:cs="Book Antiqua"/>
          <w:color w:val="000000"/>
        </w:rPr>
        <w:t xml:space="preserve"> Quality of Life in Children and Adolescents with Craniopharyngioma. </w:t>
      </w:r>
      <w:proofErr w:type="spellStart"/>
      <w:r>
        <w:rPr>
          <w:rFonts w:ascii="Book Antiqua" w:eastAsia="Book Antiqua" w:hAnsi="Book Antiqua" w:cs="Book Antiqua"/>
          <w:i/>
          <w:iCs/>
          <w:color w:val="000000"/>
        </w:rPr>
        <w:t>Dtsch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Arztebl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116</w:t>
      </w:r>
      <w:r>
        <w:rPr>
          <w:rFonts w:ascii="Book Antiqua" w:eastAsia="Book Antiqua" w:hAnsi="Book Antiqua" w:cs="Book Antiqua"/>
          <w:color w:val="000000"/>
        </w:rPr>
        <w:t>: 321-328 [PMID: 31219033 DOI: 10.3238/arztebl.2019.0321]</w:t>
      </w:r>
    </w:p>
    <w:p w14:paraId="255D8D61"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Müller HL</w:t>
      </w:r>
      <w:r>
        <w:rPr>
          <w:rFonts w:ascii="Book Antiqua" w:eastAsia="Book Antiqua" w:hAnsi="Book Antiqua" w:cs="Book Antiqua"/>
          <w:color w:val="000000"/>
        </w:rPr>
        <w:t xml:space="preserve">. Craniopharyngioma.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513-543 [PMID: 24467716 DOI: 10.1210/er.2013-1115]</w:t>
      </w:r>
    </w:p>
    <w:p w14:paraId="11057FC2"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Chen X</w:t>
      </w:r>
      <w:r>
        <w:rPr>
          <w:rFonts w:ascii="Book Antiqua" w:eastAsia="Book Antiqua" w:hAnsi="Book Antiqua" w:cs="Book Antiqua"/>
          <w:color w:val="000000"/>
        </w:rPr>
        <w:t xml:space="preserve">, Tong Y, Shi Z, Chen H, Yang Z, Wang Y, Chen L, Yu J. Noninvasive molecular diagnosis of craniopharyngioma with MRI-based radiomics approach. </w:t>
      </w:r>
      <w:r>
        <w:rPr>
          <w:rFonts w:ascii="Book Antiqua" w:eastAsia="Book Antiqua" w:hAnsi="Book Antiqua" w:cs="Book Antiqua"/>
          <w:i/>
          <w:iCs/>
          <w:color w:val="000000"/>
        </w:rPr>
        <w:t>BMC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6 [PMID: 30616515 DOI: 10.1186/s12883-018-1216-z]</w:t>
      </w:r>
    </w:p>
    <w:p w14:paraId="1B02EDD3"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Kim U</w:t>
      </w:r>
      <w:r>
        <w:rPr>
          <w:rFonts w:ascii="Book Antiqua" w:eastAsia="Book Antiqua" w:hAnsi="Book Antiqua" w:cs="Book Antiqua"/>
          <w:color w:val="000000"/>
        </w:rPr>
        <w:t xml:space="preserve">, Kim N, Shin HY. Modeling Non-Alcoholic Fatty Liver Disease (NAFLD) Using "Good-Fit" Genome-Editing Tools.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33271878 DOI: 10.3390/cells9122572]</w:t>
      </w:r>
    </w:p>
    <w:p w14:paraId="5A6A81E8"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Singeap</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Stanciu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Huiban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Muzica</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Cuciureanu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Girleanu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Chiriac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Zenovia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Nastasa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Sfarti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Cojocariu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Trifan</w:t>
      </w:r>
      <w:proofErr w:type="spellEnd"/>
      <w:r>
        <w:rPr>
          <w:rFonts w:ascii="Book Antiqua" w:eastAsia="Book Antiqua" w:hAnsi="Book Antiqua" w:cs="Book Antiqua"/>
          <w:color w:val="000000"/>
        </w:rPr>
        <w:t xml:space="preserve"> A. Association between Nonalcoholic Fatty Liver Disease and Endocrinopathies: Clinical Implications.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6678142 [PMID: 33505943 DOI: 10.1155/2021/6678142]</w:t>
      </w:r>
    </w:p>
    <w:p w14:paraId="43067B58"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Gilliland T</w:t>
      </w:r>
      <w:r>
        <w:rPr>
          <w:rFonts w:ascii="Book Antiqua" w:eastAsia="Book Antiqua" w:hAnsi="Book Antiqua" w:cs="Book Antiqua"/>
          <w:color w:val="000000"/>
        </w:rPr>
        <w:t xml:space="preserve">, Dufour S, Shulman GI, Petersen KF, Emre SH. Resolution of non-alcoholic steatohepatitis after growth hormone replacement in a pediatric liver transplant patient with panhypopituitarism.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Transplant</w:t>
      </w:r>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1157-1163 [PMID: 27762491 DOI: 10.1111/petr.12819]</w:t>
      </w:r>
    </w:p>
    <w:p w14:paraId="6AB6C58B"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Adams LA</w:t>
      </w:r>
      <w:r>
        <w:rPr>
          <w:rFonts w:ascii="Book Antiqua" w:eastAsia="Book Antiqua" w:hAnsi="Book Antiqua" w:cs="Book Antiqua"/>
          <w:color w:val="000000"/>
        </w:rPr>
        <w:t xml:space="preserve">, Feldstein A, Lindor KD, Angulo P. Nonalcoholic fatty liver disease among patients with hypothalamic and pituitary dysfunction.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909-914 [PMID: 15057893 DOI: 10.1002/hep.20140]</w:t>
      </w:r>
    </w:p>
    <w:p w14:paraId="00C558E4"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Jung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GH, Kim YM, Choi JH,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HW. Hepatopulmonary syndrome caused by hypothalamic obesity and nonalcoholic fatty liver disease after surgery for </w:t>
      </w:r>
      <w:r>
        <w:rPr>
          <w:rFonts w:ascii="Book Antiqua" w:eastAsia="Book Antiqua" w:hAnsi="Book Antiqua" w:cs="Book Antiqua"/>
          <w:color w:val="000000"/>
        </w:rPr>
        <w:lastRenderedPageBreak/>
        <w:t xml:space="preserve">craniopharyngioma: a case report.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51-55 [PMID: 29609450 DOI: 10.6065/apem.2018.23.1.51]</w:t>
      </w:r>
    </w:p>
    <w:p w14:paraId="2DEFCBD1"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Hoffmann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Bootsveld</w:t>
      </w:r>
      <w:proofErr w:type="spellEnd"/>
      <w:r>
        <w:rPr>
          <w:rFonts w:ascii="Book Antiqua" w:eastAsia="Book Antiqua" w:hAnsi="Book Antiqua" w:cs="Book Antiqua"/>
          <w:color w:val="000000"/>
        </w:rPr>
        <w:t xml:space="preserve"> K, Gebhardt U, </w:t>
      </w:r>
      <w:proofErr w:type="spellStart"/>
      <w:r>
        <w:rPr>
          <w:rFonts w:ascii="Book Antiqua" w:eastAsia="Book Antiqua" w:hAnsi="Book Antiqua" w:cs="Book Antiqua"/>
          <w:color w:val="000000"/>
        </w:rPr>
        <w:t>Daubenbüchel</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Sterkenburg</w:t>
      </w:r>
      <w:proofErr w:type="spellEnd"/>
      <w:r>
        <w:rPr>
          <w:rFonts w:ascii="Book Antiqua" w:eastAsia="Book Antiqua" w:hAnsi="Book Antiqua" w:cs="Book Antiqua"/>
          <w:color w:val="000000"/>
        </w:rPr>
        <w:t xml:space="preserve"> AS, Müller HL. Nonalcoholic fatty liver disease and fatigue in long-term survivors of childhood-onset craniopharyngioma.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Endocrinol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173</w:t>
      </w:r>
      <w:r>
        <w:rPr>
          <w:rFonts w:ascii="Book Antiqua" w:eastAsia="Book Antiqua" w:hAnsi="Book Antiqua" w:cs="Book Antiqua"/>
          <w:color w:val="000000"/>
        </w:rPr>
        <w:t>: 389-397 [PMID: 26088821 DOI: 10.1530/EJE-15-0422]</w:t>
      </w:r>
    </w:p>
    <w:p w14:paraId="636AD21D"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Della Corte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Mazzotta</w:t>
      </w:r>
      <w:proofErr w:type="spellEnd"/>
      <w:r>
        <w:rPr>
          <w:rFonts w:ascii="Book Antiqua" w:eastAsia="Book Antiqua" w:hAnsi="Book Antiqua" w:cs="Book Antiqua"/>
          <w:color w:val="000000"/>
        </w:rPr>
        <w:t xml:space="preserve"> AR, Nobili V. Fatty liver disease and obesity in youth.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Endocrinol Diabetes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66-71 [PMID: 26702852 DOI: 10.1097/MED.0000000000000221]</w:t>
      </w:r>
    </w:p>
    <w:p w14:paraId="140B88ED"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Sandlers</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Shah RR, Pearce RW, </w:t>
      </w:r>
      <w:proofErr w:type="spellStart"/>
      <w:r>
        <w:rPr>
          <w:rFonts w:ascii="Book Antiqua" w:eastAsia="Book Antiqua" w:hAnsi="Book Antiqua" w:cs="Book Antiqua"/>
          <w:color w:val="000000"/>
        </w:rPr>
        <w:t>Dasarathy</w:t>
      </w:r>
      <w:proofErr w:type="spellEnd"/>
      <w:r>
        <w:rPr>
          <w:rFonts w:ascii="Book Antiqua" w:eastAsia="Book Antiqua" w:hAnsi="Book Antiqua" w:cs="Book Antiqua"/>
          <w:color w:val="000000"/>
        </w:rPr>
        <w:t xml:space="preserve"> J, McCullough AJ, </w:t>
      </w:r>
      <w:proofErr w:type="spellStart"/>
      <w:r>
        <w:rPr>
          <w:rFonts w:ascii="Book Antiqua" w:eastAsia="Book Antiqua" w:hAnsi="Book Antiqua" w:cs="Book Antiqua"/>
          <w:color w:val="000000"/>
        </w:rPr>
        <w:t>Dasarathy</w:t>
      </w:r>
      <w:proofErr w:type="spellEnd"/>
      <w:r>
        <w:rPr>
          <w:rFonts w:ascii="Book Antiqua" w:eastAsia="Book Antiqua" w:hAnsi="Book Antiqua" w:cs="Book Antiqua"/>
          <w:color w:val="000000"/>
        </w:rPr>
        <w:t xml:space="preserve"> S. Plasma Krebs Cycle Intermediates in Nonalcoholic Fatty Liver Disease.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31979094 DOI: 10.3390/jcm9020314]</w:t>
      </w:r>
    </w:p>
    <w:p w14:paraId="1990BAED"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Paradies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Paradies</w:t>
      </w:r>
      <w:proofErr w:type="spellEnd"/>
      <w:r>
        <w:rPr>
          <w:rFonts w:ascii="Book Antiqua" w:eastAsia="Book Antiqua" w:hAnsi="Book Antiqua" w:cs="Book Antiqua"/>
          <w:color w:val="000000"/>
        </w:rPr>
        <w:t xml:space="preserve"> V, Ruggiero FM, </w:t>
      </w:r>
      <w:proofErr w:type="spellStart"/>
      <w:r>
        <w:rPr>
          <w:rFonts w:ascii="Book Antiqua" w:eastAsia="Book Antiqua" w:hAnsi="Book Antiqua" w:cs="Book Antiqua"/>
          <w:color w:val="000000"/>
        </w:rPr>
        <w:t>Petrosillo</w:t>
      </w:r>
      <w:proofErr w:type="spellEnd"/>
      <w:r>
        <w:rPr>
          <w:rFonts w:ascii="Book Antiqua" w:eastAsia="Book Antiqua" w:hAnsi="Book Antiqua" w:cs="Book Antiqua"/>
          <w:color w:val="000000"/>
        </w:rPr>
        <w:t xml:space="preserve"> G. Oxidative stress, cardiolipin and mitochondrial dysfunction in nonalcoholic fatty liver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14205-14218 [PMID: 25339807 DOI: 10.3748/wjg.v20.i39.14205]</w:t>
      </w:r>
    </w:p>
    <w:p w14:paraId="605FCCDE"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Simoneau</w:t>
      </w:r>
      <w:proofErr w:type="spellEnd"/>
      <w:r>
        <w:rPr>
          <w:rFonts w:ascii="Book Antiqua" w:eastAsia="Book Antiqua" w:hAnsi="Book Antiqua" w:cs="Book Antiqua"/>
          <w:b/>
          <w:bCs/>
          <w:color w:val="000000"/>
        </w:rPr>
        <w:t>-Roy J</w:t>
      </w:r>
      <w:r>
        <w:rPr>
          <w:rFonts w:ascii="Book Antiqua" w:eastAsia="Book Antiqua" w:hAnsi="Book Antiqua" w:cs="Book Antiqua"/>
          <w:color w:val="000000"/>
        </w:rPr>
        <w:t xml:space="preserve">, O'Gorman C, </w:t>
      </w:r>
      <w:proofErr w:type="spellStart"/>
      <w:r>
        <w:rPr>
          <w:rFonts w:ascii="Book Antiqua" w:eastAsia="Book Antiqua" w:hAnsi="Book Antiqua" w:cs="Book Antiqua"/>
          <w:color w:val="000000"/>
        </w:rPr>
        <w:t>Pencharz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Adeli</w:t>
      </w:r>
      <w:proofErr w:type="spellEnd"/>
      <w:r>
        <w:rPr>
          <w:rFonts w:ascii="Book Antiqua" w:eastAsia="Book Antiqua" w:hAnsi="Book Antiqua" w:cs="Book Antiqua"/>
          <w:color w:val="000000"/>
        </w:rPr>
        <w:t xml:space="preserve"> K, Daneman D, Hamilton J. Insulin sensitivity and secretion in children and adolescents with hypothalamic obesity following treatment for craniopharyngioma. </w:t>
      </w:r>
      <w:r>
        <w:rPr>
          <w:rFonts w:ascii="Book Antiqua" w:eastAsia="Book Antiqua" w:hAnsi="Book Antiqua" w:cs="Book Antiqua"/>
          <w:i/>
          <w:iCs/>
          <w:color w:val="000000"/>
        </w:rPr>
        <w:t>Clin Endocrinol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2010; </w:t>
      </w:r>
      <w:r>
        <w:rPr>
          <w:rFonts w:ascii="Book Antiqua" w:eastAsia="Book Antiqua" w:hAnsi="Book Antiqua" w:cs="Book Antiqua"/>
          <w:b/>
          <w:bCs/>
          <w:color w:val="000000"/>
        </w:rPr>
        <w:t>72</w:t>
      </w:r>
      <w:r>
        <w:rPr>
          <w:rFonts w:ascii="Book Antiqua" w:eastAsia="Book Antiqua" w:hAnsi="Book Antiqua" w:cs="Book Antiqua"/>
          <w:color w:val="000000"/>
        </w:rPr>
        <w:t>: 364-370 [PMID: 19486023 DOI: 10.1111/j.1365-2265.2009.03639.x]</w:t>
      </w:r>
    </w:p>
    <w:p w14:paraId="56435862"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Sterkenburg</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Hoffmann A, Gebhardt U, </w:t>
      </w:r>
      <w:proofErr w:type="spellStart"/>
      <w:r>
        <w:rPr>
          <w:rFonts w:ascii="Book Antiqua" w:eastAsia="Book Antiqua" w:hAnsi="Book Antiqua" w:cs="Book Antiqua"/>
          <w:color w:val="000000"/>
        </w:rPr>
        <w:t>Warmuth</w:t>
      </w:r>
      <w:proofErr w:type="spellEnd"/>
      <w:r>
        <w:rPr>
          <w:rFonts w:ascii="Book Antiqua" w:eastAsia="Book Antiqua" w:hAnsi="Book Antiqua" w:cs="Book Antiqua"/>
          <w:color w:val="000000"/>
        </w:rPr>
        <w:t xml:space="preserve">-Metz M, </w:t>
      </w:r>
      <w:proofErr w:type="spellStart"/>
      <w:r>
        <w:rPr>
          <w:rFonts w:ascii="Book Antiqua" w:eastAsia="Book Antiqua" w:hAnsi="Book Antiqua" w:cs="Book Antiqua"/>
          <w:color w:val="000000"/>
        </w:rPr>
        <w:t>Daubenbüchel</w:t>
      </w:r>
      <w:proofErr w:type="spellEnd"/>
      <w:r>
        <w:rPr>
          <w:rFonts w:ascii="Book Antiqua" w:eastAsia="Book Antiqua" w:hAnsi="Book Antiqua" w:cs="Book Antiqua"/>
          <w:color w:val="000000"/>
        </w:rPr>
        <w:t xml:space="preserve"> AM, Müller HL. Survival, hypothalamic obesity, and neuropsychological/psychosocial status after childhood-onset craniopharyngioma: newly reported long-term outcomes. </w:t>
      </w:r>
      <w:r>
        <w:rPr>
          <w:rFonts w:ascii="Book Antiqua" w:eastAsia="Book Antiqua" w:hAnsi="Book Antiqua" w:cs="Book Antiqua"/>
          <w:i/>
          <w:iCs/>
          <w:color w:val="000000"/>
        </w:rPr>
        <w:t>Neuro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1029-1038 [PMID: 25838139 DOI: 10.1093/</w:t>
      </w:r>
      <w:proofErr w:type="spellStart"/>
      <w:r>
        <w:rPr>
          <w:rFonts w:ascii="Book Antiqua" w:eastAsia="Book Antiqua" w:hAnsi="Book Antiqua" w:cs="Book Antiqua"/>
          <w:color w:val="000000"/>
        </w:rPr>
        <w:t>neuonc</w:t>
      </w:r>
      <w:proofErr w:type="spellEnd"/>
      <w:r>
        <w:rPr>
          <w:rFonts w:ascii="Book Antiqua" w:eastAsia="Book Antiqua" w:hAnsi="Book Antiqua" w:cs="Book Antiqua"/>
          <w:color w:val="000000"/>
        </w:rPr>
        <w:t>/nov044]</w:t>
      </w:r>
    </w:p>
    <w:p w14:paraId="70A28B7A"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Fujio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Kawagishi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Echizenya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Tokodai</w:t>
      </w:r>
      <w:proofErr w:type="spellEnd"/>
      <w:r>
        <w:rPr>
          <w:rFonts w:ascii="Book Antiqua" w:eastAsia="Book Antiqua" w:hAnsi="Book Antiqua" w:cs="Book Antiqua"/>
          <w:color w:val="000000"/>
        </w:rPr>
        <w:t xml:space="preserve"> K, Nakanishi C, Miyagi S, Sato K, Fujimori K, Ohuchi N. Long-term survival with growth hormone replacement after liver transplantation of pediatric nonalcoholic steatohepatitis complicating acquired hypopituitarism. </w:t>
      </w:r>
      <w:r>
        <w:rPr>
          <w:rFonts w:ascii="Book Antiqua" w:eastAsia="Book Antiqua" w:hAnsi="Book Antiqua" w:cs="Book Antiqua"/>
          <w:i/>
          <w:iCs/>
          <w:color w:val="000000"/>
        </w:rPr>
        <w:t>Tohoku J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235</w:t>
      </w:r>
      <w:r>
        <w:rPr>
          <w:rFonts w:ascii="Book Antiqua" w:eastAsia="Book Antiqua" w:hAnsi="Book Antiqua" w:cs="Book Antiqua"/>
          <w:color w:val="000000"/>
        </w:rPr>
        <w:t>: 61-67 [PMID: 25744617 DOI: 10.1620/tjem.235.61]</w:t>
      </w:r>
    </w:p>
    <w:p w14:paraId="26CDCC65"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Kim KY</w:t>
      </w:r>
      <w:r>
        <w:rPr>
          <w:rFonts w:ascii="Book Antiqua" w:eastAsia="Book Antiqua" w:hAnsi="Book Antiqua" w:cs="Book Antiqua"/>
          <w:color w:val="000000"/>
        </w:rPr>
        <w:t xml:space="preserve">, Kim TH, Lee JM, Yi NJ, Kim HY, Moon JS, Ko JS. Clinical outcomes and risk factors of hepatopulmonary syndrome in children.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4134 [PMID: 33603173 DOI: 10.1038/s41598-021-83785-x]</w:t>
      </w:r>
    </w:p>
    <w:p w14:paraId="402708F2"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Fallon MB</w:t>
      </w:r>
      <w:r>
        <w:rPr>
          <w:rFonts w:ascii="Book Antiqua" w:eastAsia="Book Antiqua" w:hAnsi="Book Antiqua" w:cs="Book Antiqua"/>
          <w:color w:val="000000"/>
        </w:rPr>
        <w:t xml:space="preserve">. Mechanisms of pulmonary vascular complications of liver disease: hepatopulmonary syndrome.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39</w:t>
      </w:r>
      <w:r>
        <w:rPr>
          <w:rFonts w:ascii="Book Antiqua" w:eastAsia="Book Antiqua" w:hAnsi="Book Antiqua" w:cs="Book Antiqua"/>
          <w:color w:val="000000"/>
        </w:rPr>
        <w:t>: S138-S142 [PMID: 15758649]</w:t>
      </w:r>
    </w:p>
    <w:p w14:paraId="348F05FB"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Fan D. Hepatopulmonary Syndrome.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1914-1923 [PMID: 25732713 DOI: 10.1007/s10620-015-3593-0]</w:t>
      </w:r>
    </w:p>
    <w:p w14:paraId="6DE52E65"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Ikubo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Kasai H, </w:t>
      </w:r>
      <w:proofErr w:type="spellStart"/>
      <w:r>
        <w:rPr>
          <w:rFonts w:ascii="Book Antiqua" w:eastAsia="Book Antiqua" w:hAnsi="Book Antiqua" w:cs="Book Antiqua"/>
          <w:color w:val="000000"/>
        </w:rPr>
        <w:t>Sugiura</w:t>
      </w:r>
      <w:proofErr w:type="spellEnd"/>
      <w:r>
        <w:rPr>
          <w:rFonts w:ascii="Book Antiqua" w:eastAsia="Book Antiqua" w:hAnsi="Book Antiqua" w:cs="Book Antiqua"/>
          <w:color w:val="000000"/>
        </w:rPr>
        <w:t xml:space="preserve"> T, Saito T, Shoji H, </w:t>
      </w:r>
      <w:proofErr w:type="spellStart"/>
      <w:r>
        <w:rPr>
          <w:rFonts w:ascii="Book Antiqua" w:eastAsia="Book Antiqua" w:hAnsi="Book Antiqua" w:cs="Book Antiqua"/>
          <w:color w:val="000000"/>
        </w:rPr>
        <w:t>Sakao</w:t>
      </w:r>
      <w:proofErr w:type="spellEnd"/>
      <w:r>
        <w:rPr>
          <w:rFonts w:ascii="Book Antiqua" w:eastAsia="Book Antiqua" w:hAnsi="Book Antiqua" w:cs="Book Antiqua"/>
          <w:color w:val="000000"/>
        </w:rPr>
        <w:t xml:space="preserve"> S, Kasahara Y, Tanabe N, Tatsumi K. Pulmonary Hypertension that Developed During Treatment for Hepatopulmonary Syndrome and Pulmonary Arteriovenous Malformation.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1765-1769 [PMID: 30799344 DOI: 10.2169/internalmedicine.1993-18]</w:t>
      </w:r>
    </w:p>
    <w:p w14:paraId="0C31CC16"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Kodama K</w:t>
      </w:r>
      <w:r>
        <w:rPr>
          <w:rFonts w:ascii="Book Antiqua" w:eastAsia="Book Antiqua" w:hAnsi="Book Antiqua" w:cs="Book Antiqua"/>
          <w:color w:val="000000"/>
        </w:rPr>
        <w:t xml:space="preserve">, Ichihara A, Seki Y, </w:t>
      </w:r>
      <w:proofErr w:type="spellStart"/>
      <w:r>
        <w:rPr>
          <w:rFonts w:ascii="Book Antiqua" w:eastAsia="Book Antiqua" w:hAnsi="Book Antiqua" w:cs="Book Antiqua"/>
          <w:color w:val="000000"/>
        </w:rPr>
        <w:t>Ikarashi</w:t>
      </w:r>
      <w:proofErr w:type="spellEnd"/>
      <w:r>
        <w:rPr>
          <w:rFonts w:ascii="Book Antiqua" w:eastAsia="Book Antiqua" w:hAnsi="Book Antiqua" w:cs="Book Antiqua"/>
          <w:color w:val="000000"/>
        </w:rPr>
        <w:t xml:space="preserve"> Y, Sagawa T, </w:t>
      </w:r>
      <w:proofErr w:type="spellStart"/>
      <w:r>
        <w:rPr>
          <w:rFonts w:ascii="Book Antiqua" w:eastAsia="Book Antiqua" w:hAnsi="Book Antiqua" w:cs="Book Antiqua"/>
          <w:color w:val="000000"/>
        </w:rPr>
        <w:t>Kogiso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Taniai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Tokushige</w:t>
      </w:r>
      <w:proofErr w:type="spellEnd"/>
      <w:r>
        <w:rPr>
          <w:rFonts w:ascii="Book Antiqua" w:eastAsia="Book Antiqua" w:hAnsi="Book Antiqua" w:cs="Book Antiqua"/>
          <w:color w:val="000000"/>
        </w:rPr>
        <w:t xml:space="preserve"> K. Characteristics of NAFLD Based on Hypopituitarism.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8814435 [PMID: 33102399 DOI: 10.1155/2020/8814435]</w:t>
      </w:r>
    </w:p>
    <w:p w14:paraId="6D6F10FA"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Torii N</w:t>
      </w:r>
      <w:r>
        <w:rPr>
          <w:rFonts w:ascii="Book Antiqua" w:eastAsia="Book Antiqua" w:hAnsi="Book Antiqua" w:cs="Book Antiqua"/>
          <w:color w:val="000000"/>
        </w:rPr>
        <w:t xml:space="preserve">, Ichihara A, Mizuguchi Y, Seki Y, Hashimoto E, </w:t>
      </w:r>
      <w:proofErr w:type="spellStart"/>
      <w:r>
        <w:rPr>
          <w:rFonts w:ascii="Book Antiqua" w:eastAsia="Book Antiqua" w:hAnsi="Book Antiqua" w:cs="Book Antiqua"/>
          <w:color w:val="000000"/>
        </w:rPr>
        <w:t>Tokushige</w:t>
      </w:r>
      <w:proofErr w:type="spellEnd"/>
      <w:r>
        <w:rPr>
          <w:rFonts w:ascii="Book Antiqua" w:eastAsia="Book Antiqua" w:hAnsi="Book Antiqua" w:cs="Book Antiqua"/>
          <w:color w:val="000000"/>
        </w:rPr>
        <w:t xml:space="preserve"> K. Hormone-replacement Therapy for Hepatopulmonary Syndrome and NASH Associated with Hypopituitarism.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1741-1745 [PMID: 29910217 DOI: 10.2169/internalmedicine.0027-17]</w:t>
      </w:r>
    </w:p>
    <w:p w14:paraId="58EB2E5F"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Ji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M, Mao JF, Zhang HB, Wang X, Wu XY. Growth hormone cocktail improves hepatopulmonary syndrome secondary to hypopituitarism: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4852-4858 [PMID: 34222458 DOI: 10.12998/wjcc.v9.i18.4852]</w:t>
      </w:r>
    </w:p>
    <w:p w14:paraId="515ECD8D"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Takahashi Y</w:t>
      </w:r>
      <w:r>
        <w:rPr>
          <w:rFonts w:ascii="Book Antiqua" w:eastAsia="Book Antiqua" w:hAnsi="Book Antiqua" w:cs="Book Antiqua"/>
          <w:color w:val="000000"/>
        </w:rPr>
        <w:t xml:space="preserve">. The Role of Growth Hormone and Insulin-Like Growth Factor-I in the Liver.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28678199 DOI: 10.3390/ijms18071447]</w:t>
      </w:r>
    </w:p>
    <w:p w14:paraId="3D00684C" w14:textId="77777777" w:rsidR="009A6634" w:rsidRDefault="009A6634">
      <w:pPr>
        <w:spacing w:line="360" w:lineRule="auto"/>
        <w:jc w:val="both"/>
        <w:rPr>
          <w:rFonts w:ascii="Book Antiqua" w:hAnsi="Book Antiqua"/>
        </w:rPr>
        <w:sectPr w:rsidR="009A6634">
          <w:pgSz w:w="12240" w:h="15840"/>
          <w:pgMar w:top="1440" w:right="1440" w:bottom="1440" w:left="1440" w:header="720" w:footer="720" w:gutter="0"/>
          <w:cols w:space="720"/>
          <w:docGrid w:linePitch="360"/>
        </w:sectPr>
      </w:pPr>
    </w:p>
    <w:p w14:paraId="53AE0FCA" w14:textId="77777777" w:rsidR="009A6634" w:rsidRDefault="00EE2DCC">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7A08C9A" w14:textId="77777777" w:rsidR="009A6634" w:rsidRDefault="00EE2DCC">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the publication of this report and any accompanying images.</w:t>
      </w:r>
    </w:p>
    <w:p w14:paraId="453ED014" w14:textId="77777777" w:rsidR="009A6634" w:rsidRDefault="009A6634">
      <w:pPr>
        <w:spacing w:line="360" w:lineRule="auto"/>
        <w:jc w:val="both"/>
        <w:rPr>
          <w:rFonts w:ascii="Book Antiqua" w:hAnsi="Book Antiqua"/>
        </w:rPr>
      </w:pPr>
    </w:p>
    <w:p w14:paraId="15C16AD5" w14:textId="77777777" w:rsidR="009A6634" w:rsidRDefault="00EE2DCC">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 related to this manuscript.</w:t>
      </w:r>
    </w:p>
    <w:p w14:paraId="382C1F82" w14:textId="77777777" w:rsidR="009A6634" w:rsidRDefault="009A6634">
      <w:pPr>
        <w:spacing w:line="360" w:lineRule="auto"/>
        <w:jc w:val="both"/>
        <w:rPr>
          <w:rFonts w:ascii="Book Antiqua" w:hAnsi="Book Antiqua"/>
        </w:rPr>
      </w:pPr>
    </w:p>
    <w:p w14:paraId="0FC18590" w14:textId="77777777" w:rsidR="009A6634" w:rsidRDefault="00EE2DCC">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E2D95CB" w14:textId="77777777" w:rsidR="009A6634" w:rsidRDefault="009A6634">
      <w:pPr>
        <w:spacing w:line="360" w:lineRule="auto"/>
        <w:jc w:val="both"/>
        <w:rPr>
          <w:rFonts w:ascii="Book Antiqua" w:hAnsi="Book Antiqua"/>
        </w:rPr>
      </w:pPr>
    </w:p>
    <w:p w14:paraId="05D8543B" w14:textId="77777777" w:rsidR="009A6634" w:rsidRDefault="00EE2DCC">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2419D9" w14:textId="77777777" w:rsidR="009A6634" w:rsidRDefault="009A6634">
      <w:pPr>
        <w:spacing w:line="360" w:lineRule="auto"/>
        <w:jc w:val="both"/>
        <w:rPr>
          <w:rFonts w:ascii="Book Antiqua" w:hAnsi="Book Antiqua"/>
        </w:rPr>
      </w:pPr>
    </w:p>
    <w:p w14:paraId="1F007F70" w14:textId="77777777" w:rsidR="009A6634" w:rsidRDefault="00EE2DC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125AAD9" w14:textId="77777777" w:rsidR="009A6634" w:rsidRDefault="009A6634">
      <w:pPr>
        <w:spacing w:line="360" w:lineRule="auto"/>
        <w:jc w:val="both"/>
        <w:rPr>
          <w:rFonts w:ascii="Book Antiqua" w:hAnsi="Book Antiqua"/>
          <w:lang w:eastAsia="zh-CN"/>
        </w:rPr>
      </w:pPr>
    </w:p>
    <w:p w14:paraId="4D184BC1" w14:textId="77777777" w:rsidR="009A6634" w:rsidRDefault="00EE2DCC">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81F0DF2" w14:textId="77777777" w:rsidR="009A6634" w:rsidRDefault="009A6634">
      <w:pPr>
        <w:spacing w:line="360" w:lineRule="auto"/>
        <w:jc w:val="both"/>
        <w:rPr>
          <w:rFonts w:ascii="Book Antiqua" w:hAnsi="Book Antiqua"/>
        </w:rPr>
      </w:pPr>
    </w:p>
    <w:p w14:paraId="1A66C6CC" w14:textId="77777777" w:rsidR="009A6634" w:rsidRDefault="00EE2DCC">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13, 2021</w:t>
      </w:r>
    </w:p>
    <w:p w14:paraId="73E53754" w14:textId="77777777" w:rsidR="009A6634" w:rsidRDefault="00EE2DCC">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7, 2022</w:t>
      </w:r>
    </w:p>
    <w:p w14:paraId="3B888CB3" w14:textId="77777777" w:rsidR="009A6634" w:rsidRDefault="00EE2DCC">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008A7A2F" w14:textId="77777777" w:rsidR="009A6634" w:rsidRDefault="009A6634">
      <w:pPr>
        <w:spacing w:line="360" w:lineRule="auto"/>
        <w:jc w:val="both"/>
        <w:rPr>
          <w:rFonts w:ascii="Book Antiqua" w:hAnsi="Book Antiqua"/>
        </w:rPr>
      </w:pPr>
    </w:p>
    <w:p w14:paraId="5B7E17AB" w14:textId="77777777" w:rsidR="009A6634" w:rsidRDefault="00EE2DCC">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2" w:name="_Hlk71726650"/>
      <w:bookmarkStart w:id="3" w:name="OLE_LINK2066"/>
      <w:bookmarkStart w:id="4" w:name="OLE_LINK1952"/>
      <w:bookmarkStart w:id="5" w:name="OLE_LINK1953"/>
      <w:r>
        <w:rPr>
          <w:rFonts w:ascii="Book Antiqua" w:eastAsia="Microsoft YaHei" w:hAnsi="Book Antiqua" w:cs="SimSun"/>
        </w:rPr>
        <w:t>Medicine, research and experimenta</w:t>
      </w:r>
      <w:bookmarkEnd w:id="2"/>
      <w:r>
        <w:rPr>
          <w:rFonts w:ascii="Book Antiqua" w:eastAsia="Microsoft YaHei" w:hAnsi="Book Antiqua" w:cs="SimSun"/>
        </w:rPr>
        <w:t>l</w:t>
      </w:r>
      <w:bookmarkEnd w:id="3"/>
      <w:bookmarkEnd w:id="4"/>
      <w:bookmarkEnd w:id="5"/>
    </w:p>
    <w:p w14:paraId="0F5ED69D" w14:textId="77777777" w:rsidR="009A6634" w:rsidRDefault="00EE2DCC">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45BFBA8" w14:textId="77777777" w:rsidR="009A6634" w:rsidRDefault="00EE2DCC">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7D245D5"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lastRenderedPageBreak/>
        <w:t>Grade A (Excellent): 0</w:t>
      </w:r>
    </w:p>
    <w:p w14:paraId="78CDC222"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Grade B (Very good): 0</w:t>
      </w:r>
    </w:p>
    <w:p w14:paraId="089D96AE"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Grade C (Good): C, C, C</w:t>
      </w:r>
    </w:p>
    <w:p w14:paraId="20AA3C4C"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Grade D (Fair): 0</w:t>
      </w:r>
    </w:p>
    <w:p w14:paraId="3DD7F418" w14:textId="77777777" w:rsidR="009A6634" w:rsidRDefault="00EE2DCC">
      <w:pPr>
        <w:spacing w:line="360" w:lineRule="auto"/>
        <w:jc w:val="both"/>
        <w:rPr>
          <w:rFonts w:ascii="Book Antiqua" w:hAnsi="Book Antiqua"/>
        </w:rPr>
      </w:pPr>
      <w:r>
        <w:rPr>
          <w:rFonts w:ascii="Book Antiqua" w:eastAsia="Book Antiqua" w:hAnsi="Book Antiqua" w:cs="Book Antiqua"/>
          <w:color w:val="000000"/>
        </w:rPr>
        <w:t>Grade E (Poor): 0</w:t>
      </w:r>
    </w:p>
    <w:p w14:paraId="20BC174F" w14:textId="77777777" w:rsidR="009A6634" w:rsidRDefault="009A6634">
      <w:pPr>
        <w:spacing w:line="360" w:lineRule="auto"/>
        <w:jc w:val="both"/>
        <w:rPr>
          <w:rFonts w:ascii="Book Antiqua" w:hAnsi="Book Antiqua"/>
        </w:rPr>
      </w:pPr>
    </w:p>
    <w:p w14:paraId="6AD6FC53" w14:textId="77777777" w:rsidR="009A6634" w:rsidRDefault="00EE2DCC">
      <w:pPr>
        <w:pStyle w:val="ab"/>
        <w:spacing w:before="0" w:beforeAutospacing="0" w:after="0" w:afterAutospacing="0" w:line="360" w:lineRule="auto"/>
        <w:jc w:val="both"/>
        <w:rPr>
          <w:rFonts w:ascii="Book Antiqua" w:hAnsi="Book Antiqua"/>
        </w:rPr>
      </w:pPr>
      <w:r>
        <w:rPr>
          <w:rFonts w:ascii="Book Antiqua" w:hAnsi="Book Antiqua"/>
          <w:b/>
          <w:bCs/>
        </w:rPr>
        <w:t xml:space="preserve">P-Reviewer: </w:t>
      </w:r>
      <w:proofErr w:type="spellStart"/>
      <w:r>
        <w:rPr>
          <w:rFonts w:ascii="Book Antiqua" w:hAnsi="Book Antiqua"/>
        </w:rPr>
        <w:t>Aktas</w:t>
      </w:r>
      <w:proofErr w:type="spellEnd"/>
      <w:r>
        <w:rPr>
          <w:rFonts w:ascii="Book Antiqua" w:hAnsi="Book Antiqua"/>
        </w:rPr>
        <w:t xml:space="preserve"> S, Turkey; Govindarajan KK, India; </w:t>
      </w:r>
      <w:proofErr w:type="spellStart"/>
      <w:r>
        <w:rPr>
          <w:rFonts w:ascii="Book Antiqua" w:hAnsi="Book Antiqua"/>
        </w:rPr>
        <w:t>Soresi</w:t>
      </w:r>
      <w:proofErr w:type="spellEnd"/>
      <w:r>
        <w:rPr>
          <w:rFonts w:ascii="Book Antiqua" w:hAnsi="Book Antiqua"/>
        </w:rPr>
        <w:t xml:space="preserve"> M, Italy</w:t>
      </w:r>
      <w:r>
        <w:rPr>
          <w:rFonts w:ascii="Book Antiqua" w:hAnsi="Book Antiqua"/>
          <w:b/>
          <w:bCs/>
        </w:rPr>
        <w:t xml:space="preserve"> S-Editor: </w:t>
      </w:r>
      <w:r>
        <w:rPr>
          <w:rFonts w:ascii="Book Antiqua" w:hAnsi="Book Antiqua"/>
        </w:rPr>
        <w:t>Fan JR</w:t>
      </w:r>
      <w:r>
        <w:rPr>
          <w:rFonts w:ascii="Book Antiqua" w:hAnsi="Book Antiqua"/>
          <w:b/>
          <w:bCs/>
        </w:rPr>
        <w:t xml:space="preserve"> L-Editor: </w:t>
      </w:r>
      <w:r>
        <w:rPr>
          <w:rFonts w:ascii="Book Antiqua" w:hAnsi="Book Antiqua"/>
          <w:bCs/>
        </w:rPr>
        <w:t>Wang TQ</w:t>
      </w:r>
      <w:r>
        <w:rPr>
          <w:rFonts w:ascii="Book Antiqua" w:hAnsi="Book Antiqua"/>
          <w:b/>
          <w:bCs/>
        </w:rPr>
        <w:t xml:space="preserve"> P-Editor: </w:t>
      </w:r>
      <w:r>
        <w:rPr>
          <w:rFonts w:ascii="Book Antiqua" w:hAnsi="Book Antiqua"/>
        </w:rPr>
        <w:t>Fan JR</w:t>
      </w:r>
    </w:p>
    <w:p w14:paraId="549AF90F" w14:textId="77777777" w:rsidR="009A6634" w:rsidRDefault="00EE2DCC">
      <w:pPr>
        <w:pStyle w:val="ab"/>
        <w:spacing w:before="0" w:beforeAutospacing="0" w:after="0" w:afterAutospacing="0" w:line="360" w:lineRule="auto"/>
        <w:jc w:val="both"/>
        <w:rPr>
          <w:rFonts w:ascii="Book Antiqua" w:hAnsi="Book Antiqua"/>
          <w:b/>
        </w:rPr>
      </w:pPr>
      <w:r>
        <w:rPr>
          <w:rFonts w:ascii="Book Antiqua" w:hAnsi="Book Antiqua"/>
        </w:rPr>
        <w:br w:type="page"/>
      </w:r>
      <w:r>
        <w:rPr>
          <w:rFonts w:ascii="Book Antiqua" w:hAnsi="Book Antiqua"/>
          <w:b/>
        </w:rPr>
        <w:lastRenderedPageBreak/>
        <w:t>Figure Legends</w:t>
      </w:r>
    </w:p>
    <w:p w14:paraId="5851867F" w14:textId="77777777" w:rsidR="009A6634" w:rsidRDefault="00EE2DCC">
      <w:pPr>
        <w:pStyle w:val="ab"/>
        <w:spacing w:before="0" w:beforeAutospacing="0" w:after="0" w:afterAutospacing="0" w:line="360" w:lineRule="auto"/>
        <w:jc w:val="both"/>
        <w:rPr>
          <w:rFonts w:ascii="Book Antiqua" w:hAnsi="Book Antiqua"/>
          <w:b/>
        </w:rPr>
      </w:pPr>
      <w:r>
        <w:rPr>
          <w:rFonts w:ascii="Book Antiqua" w:hAnsi="Book Antiqua"/>
          <w:noProof/>
        </w:rPr>
        <w:drawing>
          <wp:inline distT="0" distB="0" distL="0" distR="0" wp14:anchorId="5F498F06" wp14:editId="2400D111">
            <wp:extent cx="5486400" cy="2101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2101850"/>
                    </a:xfrm>
                    <a:prstGeom prst="rect">
                      <a:avLst/>
                    </a:prstGeom>
                  </pic:spPr>
                </pic:pic>
              </a:graphicData>
            </a:graphic>
          </wp:inline>
        </w:drawing>
      </w:r>
    </w:p>
    <w:p w14:paraId="4AA18C01" w14:textId="77777777" w:rsidR="009A6634" w:rsidRDefault="00EE2DCC">
      <w:pPr>
        <w:spacing w:line="360" w:lineRule="auto"/>
        <w:jc w:val="both"/>
        <w:rPr>
          <w:rStyle w:val="q4iawc"/>
          <w:rFonts w:ascii="Book Antiqua" w:hAnsi="Book Antiqua"/>
          <w:lang w:val="en" w:eastAsia="zh-CN"/>
        </w:rPr>
      </w:pPr>
      <w:r>
        <w:rPr>
          <w:rStyle w:val="q4iawc"/>
          <w:rFonts w:ascii="Book Antiqua" w:hAnsi="Book Antiqua"/>
          <w:b/>
          <w:lang w:val="en" w:eastAsia="zh-CN"/>
        </w:rPr>
        <w:t xml:space="preserve">Figure 1 </w:t>
      </w:r>
      <w:r>
        <w:rPr>
          <w:rStyle w:val="q4iawc"/>
          <w:rFonts w:ascii="Book Antiqua" w:hAnsi="Book Antiqua"/>
          <w:b/>
          <w:lang w:val="en"/>
        </w:rPr>
        <w:t>Ultrasonography</w:t>
      </w:r>
      <w:r>
        <w:rPr>
          <w:rStyle w:val="q4iawc"/>
          <w:rFonts w:ascii="Book Antiqua" w:hAnsi="Book Antiqua"/>
          <w:b/>
          <w:lang w:val="en" w:eastAsia="zh-CN"/>
        </w:rPr>
        <w:t>.</w:t>
      </w:r>
      <w:r>
        <w:rPr>
          <w:rStyle w:val="q4iawc"/>
          <w:rFonts w:ascii="Book Antiqua" w:hAnsi="Book Antiqua"/>
          <w:lang w:val="en" w:eastAsia="zh-CN"/>
        </w:rPr>
        <w:t xml:space="preserve"> A: Right echocardiography revealed diffuse arteriovenous shunt in the lung</w:t>
      </w:r>
      <w:r>
        <w:rPr>
          <w:rStyle w:val="q4iawc"/>
          <w:rFonts w:ascii="Book Antiqua" w:hAnsi="Book Antiqua" w:hint="eastAsia"/>
          <w:lang w:val="en" w:eastAsia="zh-CN"/>
        </w:rPr>
        <w:t xml:space="preserve"> </w:t>
      </w:r>
      <w:r>
        <w:rPr>
          <w:rStyle w:val="q4iawc"/>
          <w:rFonts w:ascii="Book Antiqua" w:hAnsi="Book Antiqua"/>
          <w:lang w:val="en" w:eastAsia="zh-CN"/>
        </w:rPr>
        <w:t>(grade III &gt; 100/frame), consistent with hepatopulmonary syndrome; B:</w:t>
      </w:r>
      <w:r>
        <w:rPr>
          <w:rFonts w:ascii="Book Antiqua" w:hAnsi="Book Antiqua"/>
        </w:rPr>
        <w:t xml:space="preserve"> </w:t>
      </w:r>
      <w:r>
        <w:rPr>
          <w:rStyle w:val="q4iawc"/>
          <w:rFonts w:ascii="Book Antiqua" w:hAnsi="Book Antiqua"/>
          <w:lang w:val="en" w:eastAsia="zh-CN"/>
        </w:rPr>
        <w:t>Abdominal ultrasound displayed bile duct dilatation, cirrhosis, and splenomegaly.</w:t>
      </w:r>
      <w:r>
        <w:rPr>
          <w:rStyle w:val="q4iawc"/>
          <w:rFonts w:ascii="Book Antiqua" w:hAnsi="Book Antiqua"/>
          <w:lang w:val="en" w:eastAsia="zh-CN"/>
        </w:rPr>
        <w:cr/>
      </w:r>
      <w:r>
        <w:rPr>
          <w:rStyle w:val="q4iawc"/>
          <w:rFonts w:ascii="Book Antiqua" w:hAnsi="Book Antiqua"/>
          <w:lang w:val="en" w:eastAsia="zh-CN"/>
        </w:rPr>
        <w:br w:type="page"/>
      </w:r>
      <w:r>
        <w:rPr>
          <w:rFonts w:ascii="Book Antiqua" w:hAnsi="Book Antiqua"/>
          <w:noProof/>
          <w:lang w:eastAsia="zh-CN"/>
        </w:rPr>
        <w:lastRenderedPageBreak/>
        <w:drawing>
          <wp:inline distT="0" distB="0" distL="0" distR="0" wp14:anchorId="4E6144A1" wp14:editId="0492AAF6">
            <wp:extent cx="4902200" cy="3549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902452" cy="3549832"/>
                    </a:xfrm>
                    <a:prstGeom prst="rect">
                      <a:avLst/>
                    </a:prstGeom>
                  </pic:spPr>
                </pic:pic>
              </a:graphicData>
            </a:graphic>
          </wp:inline>
        </w:drawing>
      </w:r>
    </w:p>
    <w:p w14:paraId="3284E259" w14:textId="77777777" w:rsidR="009A6634" w:rsidRDefault="00EE2DCC">
      <w:pPr>
        <w:spacing w:line="360" w:lineRule="auto"/>
        <w:jc w:val="both"/>
        <w:rPr>
          <w:rFonts w:ascii="Book Antiqua" w:eastAsia="Microsoft YaHei" w:hAnsi="Book Antiqua"/>
          <w:b/>
          <w:lang w:eastAsia="zh-CN"/>
        </w:rPr>
      </w:pPr>
      <w:r>
        <w:rPr>
          <w:rFonts w:ascii="Book Antiqua" w:hAnsi="Book Antiqua"/>
          <w:b/>
          <w:lang w:eastAsia="zh-CN"/>
        </w:rPr>
        <w:t>Figure 2 Pathological images of liver biopsy.</w:t>
      </w:r>
      <w:r>
        <w:rPr>
          <w:rFonts w:ascii="Book Antiqua" w:hAnsi="Book Antiqua"/>
          <w:lang w:eastAsia="zh-CN"/>
        </w:rPr>
        <w:t xml:space="preserve"> A: </w:t>
      </w:r>
      <w:r w:rsidR="0037080C">
        <w:rPr>
          <w:rFonts w:ascii="Book Antiqua" w:hAnsi="Book Antiqua"/>
          <w:lang w:eastAsia="zh-CN"/>
        </w:rPr>
        <w:t xml:space="preserve">Immunohistochemical staining for </w:t>
      </w:r>
      <w:r>
        <w:rPr>
          <w:rFonts w:ascii="Book Antiqua" w:hAnsi="Book Antiqua"/>
          <w:lang w:eastAsia="zh-CN"/>
        </w:rPr>
        <w:t>CK818</w:t>
      </w:r>
      <w:r w:rsidR="0037080C">
        <w:rPr>
          <w:rFonts w:ascii="Book Antiqua" w:hAnsi="Book Antiqua"/>
          <w:lang w:eastAsia="zh-CN"/>
        </w:rPr>
        <w:t xml:space="preserve"> (× </w:t>
      </w:r>
      <w:r>
        <w:rPr>
          <w:rFonts w:ascii="Book Antiqua" w:hAnsi="Book Antiqua"/>
          <w:lang w:eastAsia="zh-CN"/>
        </w:rPr>
        <w:t>200</w:t>
      </w:r>
      <w:r w:rsidR="0037080C">
        <w:rPr>
          <w:rFonts w:ascii="Book Antiqua" w:hAnsi="Book Antiqua"/>
          <w:lang w:eastAsia="zh-CN"/>
        </w:rPr>
        <w:t>)</w:t>
      </w:r>
      <w:r>
        <w:rPr>
          <w:rFonts w:ascii="Book Antiqua" w:hAnsi="Book Antiqua"/>
          <w:lang w:eastAsia="zh-CN"/>
        </w:rPr>
        <w:t xml:space="preserve">; B: </w:t>
      </w:r>
      <w:proofErr w:type="spellStart"/>
      <w:r>
        <w:rPr>
          <w:rFonts w:ascii="Book Antiqua" w:hAnsi="Book Antiqua"/>
          <w:lang w:eastAsia="zh-CN"/>
        </w:rPr>
        <w:t>dPAS</w:t>
      </w:r>
      <w:proofErr w:type="spellEnd"/>
      <w:r w:rsidR="0037080C">
        <w:rPr>
          <w:rFonts w:ascii="Book Antiqua" w:hAnsi="Book Antiqua"/>
          <w:lang w:eastAsia="zh-CN"/>
        </w:rPr>
        <w:t xml:space="preserve"> </w:t>
      </w:r>
      <w:r w:rsidR="001756DC">
        <w:rPr>
          <w:rFonts w:ascii="Book Antiqua" w:hAnsi="Book Antiqua"/>
          <w:lang w:eastAsia="zh-CN"/>
        </w:rPr>
        <w:t>staining (× 200)</w:t>
      </w:r>
      <w:r>
        <w:rPr>
          <w:rFonts w:ascii="Book Antiqua" w:hAnsi="Book Antiqua"/>
          <w:lang w:eastAsia="zh-CN"/>
        </w:rPr>
        <w:t xml:space="preserve">; C: HE </w:t>
      </w:r>
      <w:r w:rsidR="0037080C">
        <w:rPr>
          <w:rFonts w:ascii="Book Antiqua" w:hAnsi="Book Antiqua"/>
          <w:lang w:eastAsia="zh-CN"/>
        </w:rPr>
        <w:t>staining (</w:t>
      </w:r>
      <w:r>
        <w:rPr>
          <w:rFonts w:ascii="Book Antiqua" w:hAnsi="Book Antiqua"/>
          <w:lang w:eastAsia="zh-CN"/>
        </w:rPr>
        <w:t>× 50</w:t>
      </w:r>
      <w:r w:rsidR="0037080C">
        <w:rPr>
          <w:rFonts w:ascii="Book Antiqua" w:hAnsi="Book Antiqua"/>
          <w:lang w:eastAsia="zh-CN"/>
        </w:rPr>
        <w:t>)</w:t>
      </w:r>
      <w:r>
        <w:rPr>
          <w:rFonts w:ascii="Book Antiqua" w:hAnsi="Book Antiqua"/>
          <w:lang w:eastAsia="zh-CN"/>
        </w:rPr>
        <w:t xml:space="preserve">; D: HE </w:t>
      </w:r>
      <w:r w:rsidR="0037080C">
        <w:rPr>
          <w:rFonts w:ascii="Book Antiqua" w:hAnsi="Book Antiqua"/>
          <w:lang w:eastAsia="zh-CN"/>
        </w:rPr>
        <w:t>staining (</w:t>
      </w:r>
      <w:r>
        <w:rPr>
          <w:rFonts w:ascii="Book Antiqua" w:hAnsi="Book Antiqua"/>
          <w:lang w:eastAsia="zh-CN"/>
        </w:rPr>
        <w:t>× 200</w:t>
      </w:r>
      <w:r w:rsidR="0037080C">
        <w:rPr>
          <w:rFonts w:ascii="Book Antiqua" w:hAnsi="Book Antiqua"/>
          <w:lang w:eastAsia="zh-CN"/>
        </w:rPr>
        <w:t>)</w:t>
      </w:r>
      <w:r>
        <w:rPr>
          <w:rFonts w:ascii="Book Antiqua" w:hAnsi="Book Antiqua"/>
          <w:lang w:eastAsia="zh-CN"/>
        </w:rPr>
        <w:t>. Nodular cirrhosis (consider the origin of nonalcoholic steatohepatitis).</w:t>
      </w:r>
      <w:r>
        <w:rPr>
          <w:rFonts w:ascii="Book Antiqua" w:hAnsi="Book Antiqua"/>
          <w:lang w:eastAsia="zh-CN"/>
        </w:rPr>
        <w:br w:type="page"/>
      </w:r>
      <w:r>
        <w:rPr>
          <w:rFonts w:ascii="Book Antiqua" w:eastAsia="Microsoft YaHei" w:hAnsi="Book Antiqua"/>
          <w:b/>
        </w:rPr>
        <w:lastRenderedPageBreak/>
        <w:t>Table 1 Laboratory examinations results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680"/>
        <w:gridCol w:w="4680"/>
      </w:tblGrid>
      <w:tr w:rsidR="009A6634" w14:paraId="1C1BD93F" w14:textId="77777777">
        <w:trPr>
          <w:trHeight w:val="375"/>
        </w:trPr>
        <w:tc>
          <w:tcPr>
            <w:tcW w:w="2500" w:type="pct"/>
            <w:tcBorders>
              <w:top w:val="single" w:sz="4" w:space="0" w:color="auto"/>
              <w:bottom w:val="single" w:sz="4" w:space="0" w:color="auto"/>
            </w:tcBorders>
            <w:shd w:val="clear" w:color="auto" w:fill="auto"/>
            <w:tcMar>
              <w:top w:w="15" w:type="dxa"/>
              <w:left w:w="108" w:type="dxa"/>
              <w:bottom w:w="0" w:type="dxa"/>
              <w:right w:w="108" w:type="dxa"/>
            </w:tcMar>
          </w:tcPr>
          <w:p w14:paraId="2EEC3DF6" w14:textId="77777777" w:rsidR="009A6634" w:rsidRDefault="00EE2DCC">
            <w:pPr>
              <w:spacing w:line="360" w:lineRule="auto"/>
              <w:jc w:val="both"/>
              <w:rPr>
                <w:rFonts w:ascii="Book Antiqua" w:eastAsia="Microsoft YaHei" w:hAnsi="Book Antiqua"/>
                <w:b/>
              </w:rPr>
            </w:pPr>
            <w:r>
              <w:rPr>
                <w:rFonts w:ascii="Book Antiqua" w:eastAsia="Microsoft YaHei" w:hAnsi="Book Antiqua"/>
                <w:b/>
              </w:rPr>
              <w:t>Variable</w:t>
            </w:r>
          </w:p>
        </w:tc>
        <w:tc>
          <w:tcPr>
            <w:tcW w:w="2500" w:type="pct"/>
            <w:tcBorders>
              <w:top w:val="single" w:sz="4" w:space="0" w:color="auto"/>
              <w:bottom w:val="single" w:sz="4" w:space="0" w:color="auto"/>
            </w:tcBorders>
            <w:shd w:val="clear" w:color="auto" w:fill="auto"/>
            <w:tcMar>
              <w:top w:w="15" w:type="dxa"/>
              <w:left w:w="108" w:type="dxa"/>
              <w:bottom w:w="0" w:type="dxa"/>
              <w:right w:w="108" w:type="dxa"/>
            </w:tcMar>
          </w:tcPr>
          <w:p w14:paraId="3811C0BD" w14:textId="77777777" w:rsidR="009A6634" w:rsidRDefault="00EE2DCC">
            <w:pPr>
              <w:spacing w:line="360" w:lineRule="auto"/>
              <w:jc w:val="both"/>
              <w:rPr>
                <w:rFonts w:ascii="Book Antiqua" w:eastAsia="Microsoft YaHei" w:hAnsi="Book Antiqua"/>
                <w:b/>
              </w:rPr>
            </w:pPr>
            <w:r>
              <w:rPr>
                <w:rFonts w:ascii="Book Antiqua" w:eastAsia="Microsoft YaHei" w:hAnsi="Book Antiqua"/>
                <w:b/>
              </w:rPr>
              <w:t>Value</w:t>
            </w:r>
          </w:p>
        </w:tc>
      </w:tr>
      <w:tr w:rsidR="009A6634" w14:paraId="516055FD" w14:textId="77777777">
        <w:trPr>
          <w:trHeight w:val="375"/>
        </w:trPr>
        <w:tc>
          <w:tcPr>
            <w:tcW w:w="2500" w:type="pct"/>
            <w:tcBorders>
              <w:top w:val="single" w:sz="4" w:space="0" w:color="auto"/>
            </w:tcBorders>
            <w:shd w:val="clear" w:color="auto" w:fill="auto"/>
            <w:tcMar>
              <w:top w:w="15" w:type="dxa"/>
              <w:left w:w="108" w:type="dxa"/>
              <w:bottom w:w="0" w:type="dxa"/>
              <w:right w:w="108" w:type="dxa"/>
            </w:tcMar>
          </w:tcPr>
          <w:p w14:paraId="7369FD68" w14:textId="77777777" w:rsidR="009A6634" w:rsidRDefault="00EE2DCC">
            <w:pPr>
              <w:spacing w:line="360" w:lineRule="auto"/>
              <w:jc w:val="both"/>
              <w:rPr>
                <w:rFonts w:ascii="Book Antiqua" w:eastAsia="Microsoft YaHei" w:hAnsi="Book Antiqua"/>
              </w:rPr>
            </w:pPr>
            <w:r>
              <w:rPr>
                <w:rFonts w:ascii="Book Antiqua" w:eastAsia="Microsoft YaHei" w:hAnsi="Book Antiqua"/>
              </w:rPr>
              <w:t>IGF-1</w:t>
            </w:r>
            <w:r>
              <w:rPr>
                <w:rFonts w:ascii="Book Antiqua" w:eastAsia="Microsoft YaHei" w:hAnsi="Book Antiqua" w:hint="eastAsia"/>
                <w:lang w:eastAsia="zh-CN"/>
              </w:rPr>
              <w:t xml:space="preserve"> </w:t>
            </w:r>
            <w:r>
              <w:rPr>
                <w:rFonts w:ascii="Book Antiqua" w:eastAsia="Microsoft YaHei" w:hAnsi="Book Antiqua"/>
              </w:rPr>
              <w:t>(220.0-972.0</w:t>
            </w:r>
            <w:r>
              <w:rPr>
                <w:rFonts w:ascii="Book Antiqua" w:eastAsia="Microsoft YaHei" w:hAnsi="Book Antiqua" w:hint="eastAsia"/>
                <w:lang w:eastAsia="zh-CN"/>
              </w:rPr>
              <w:t xml:space="preserve"> </w:t>
            </w:r>
            <w:r>
              <w:rPr>
                <w:rFonts w:ascii="Book Antiqua" w:eastAsia="Microsoft YaHei" w:hAnsi="Book Antiqua"/>
              </w:rPr>
              <w:t>ng/mL)</w:t>
            </w:r>
          </w:p>
        </w:tc>
        <w:tc>
          <w:tcPr>
            <w:tcW w:w="2500" w:type="pct"/>
            <w:tcBorders>
              <w:top w:val="single" w:sz="4" w:space="0" w:color="auto"/>
            </w:tcBorders>
            <w:shd w:val="clear" w:color="auto" w:fill="auto"/>
            <w:tcMar>
              <w:top w:w="15" w:type="dxa"/>
              <w:left w:w="108" w:type="dxa"/>
              <w:bottom w:w="0" w:type="dxa"/>
              <w:right w:w="108" w:type="dxa"/>
            </w:tcMar>
          </w:tcPr>
          <w:p w14:paraId="442B6F79" w14:textId="77777777" w:rsidR="009A6634" w:rsidRDefault="00EE2DCC">
            <w:pPr>
              <w:spacing w:line="360" w:lineRule="auto"/>
              <w:jc w:val="both"/>
              <w:rPr>
                <w:rFonts w:ascii="Book Antiqua" w:eastAsia="Microsoft YaHei" w:hAnsi="Book Antiqua"/>
              </w:rPr>
            </w:pPr>
            <w:r>
              <w:rPr>
                <w:rFonts w:ascii="Book Antiqua" w:eastAsia="Microsoft YaHei" w:hAnsi="Book Antiqua"/>
              </w:rPr>
              <w:t>170</w:t>
            </w:r>
          </w:p>
        </w:tc>
      </w:tr>
      <w:tr w:rsidR="009A6634" w14:paraId="6960391F" w14:textId="77777777">
        <w:trPr>
          <w:trHeight w:val="375"/>
        </w:trPr>
        <w:tc>
          <w:tcPr>
            <w:tcW w:w="2500" w:type="pct"/>
            <w:shd w:val="clear" w:color="auto" w:fill="auto"/>
            <w:tcMar>
              <w:top w:w="15" w:type="dxa"/>
              <w:left w:w="108" w:type="dxa"/>
              <w:bottom w:w="0" w:type="dxa"/>
              <w:right w:w="108" w:type="dxa"/>
            </w:tcMar>
          </w:tcPr>
          <w:p w14:paraId="77CFAD5D" w14:textId="77777777" w:rsidR="009A6634" w:rsidRDefault="00EE2DCC">
            <w:pPr>
              <w:spacing w:line="360" w:lineRule="auto"/>
              <w:jc w:val="both"/>
              <w:rPr>
                <w:rFonts w:ascii="Book Antiqua" w:eastAsia="Microsoft YaHei" w:hAnsi="Book Antiqua"/>
              </w:rPr>
            </w:pPr>
            <w:r>
              <w:rPr>
                <w:rFonts w:ascii="Book Antiqua" w:eastAsia="Microsoft YaHei" w:hAnsi="Book Antiqua"/>
              </w:rPr>
              <w:t>TSH</w:t>
            </w:r>
            <w:r>
              <w:rPr>
                <w:rFonts w:ascii="Book Antiqua" w:eastAsia="Microsoft YaHei" w:hAnsi="Book Antiqua" w:hint="eastAsia"/>
                <w:lang w:eastAsia="zh-CN"/>
              </w:rPr>
              <w:t xml:space="preserve"> </w:t>
            </w:r>
            <w:r>
              <w:rPr>
                <w:rFonts w:ascii="Book Antiqua" w:eastAsia="Microsoft YaHei" w:hAnsi="Book Antiqua"/>
              </w:rPr>
              <w:t>(0.35-4.94</w:t>
            </w:r>
            <w:r>
              <w:rPr>
                <w:rFonts w:ascii="Book Antiqua" w:eastAsia="Microsoft YaHei" w:hAnsi="Book Antiqua" w:hint="eastAsia"/>
                <w:lang w:eastAsia="zh-CN"/>
              </w:rPr>
              <w:t xml:space="preserve"> </w:t>
            </w:r>
            <w:proofErr w:type="spellStart"/>
            <w:r>
              <w:rPr>
                <w:rFonts w:ascii="Book Antiqua" w:eastAsia="Microsoft YaHei" w:hAnsi="Book Antiqua"/>
              </w:rPr>
              <w:t>mIU</w:t>
            </w:r>
            <w:proofErr w:type="spellEnd"/>
            <w:r>
              <w:rPr>
                <w:rFonts w:ascii="Book Antiqua" w:eastAsia="Microsoft YaHei" w:hAnsi="Book Antiqua"/>
              </w:rPr>
              <w:t>/L)</w:t>
            </w:r>
          </w:p>
        </w:tc>
        <w:tc>
          <w:tcPr>
            <w:tcW w:w="2500" w:type="pct"/>
            <w:shd w:val="clear" w:color="auto" w:fill="auto"/>
            <w:tcMar>
              <w:top w:w="15" w:type="dxa"/>
              <w:left w:w="108" w:type="dxa"/>
              <w:bottom w:w="0" w:type="dxa"/>
              <w:right w:w="108" w:type="dxa"/>
            </w:tcMar>
          </w:tcPr>
          <w:p w14:paraId="753ABC8C" w14:textId="77777777" w:rsidR="009A6634" w:rsidRDefault="00EE2DCC">
            <w:pPr>
              <w:spacing w:line="360" w:lineRule="auto"/>
              <w:jc w:val="both"/>
              <w:rPr>
                <w:rFonts w:ascii="Book Antiqua" w:eastAsia="Microsoft YaHei" w:hAnsi="Book Antiqua"/>
              </w:rPr>
            </w:pPr>
            <w:r>
              <w:rPr>
                <w:rFonts w:ascii="Book Antiqua" w:eastAsia="Microsoft YaHei" w:hAnsi="Book Antiqua"/>
              </w:rPr>
              <w:t>1.05</w:t>
            </w:r>
          </w:p>
        </w:tc>
      </w:tr>
      <w:tr w:rsidR="009A6634" w14:paraId="77974316" w14:textId="77777777">
        <w:trPr>
          <w:trHeight w:val="375"/>
        </w:trPr>
        <w:tc>
          <w:tcPr>
            <w:tcW w:w="2500" w:type="pct"/>
            <w:shd w:val="clear" w:color="auto" w:fill="auto"/>
            <w:tcMar>
              <w:top w:w="15" w:type="dxa"/>
              <w:left w:w="108" w:type="dxa"/>
              <w:bottom w:w="0" w:type="dxa"/>
              <w:right w:w="108" w:type="dxa"/>
            </w:tcMar>
          </w:tcPr>
          <w:p w14:paraId="2B7C5A9E" w14:textId="77777777" w:rsidR="009A6634" w:rsidRDefault="00EE2DCC">
            <w:pPr>
              <w:spacing w:line="360" w:lineRule="auto"/>
              <w:jc w:val="both"/>
              <w:rPr>
                <w:rFonts w:ascii="Book Antiqua" w:eastAsia="Microsoft YaHei" w:hAnsi="Book Antiqua"/>
              </w:rPr>
            </w:pPr>
            <w:r>
              <w:rPr>
                <w:rFonts w:ascii="Book Antiqua" w:eastAsia="Microsoft YaHei" w:hAnsi="Book Antiqua"/>
              </w:rPr>
              <w:t>FT3</w:t>
            </w:r>
            <w:r>
              <w:rPr>
                <w:rFonts w:ascii="Book Antiqua" w:eastAsia="Microsoft YaHei" w:hAnsi="Book Antiqua" w:hint="eastAsia"/>
                <w:lang w:eastAsia="zh-CN"/>
              </w:rPr>
              <w:t xml:space="preserve"> </w:t>
            </w:r>
            <w:r>
              <w:rPr>
                <w:rFonts w:ascii="Book Antiqua" w:eastAsia="Microsoft YaHei" w:hAnsi="Book Antiqua"/>
              </w:rPr>
              <w:t>(2.43-6.01</w:t>
            </w:r>
            <w:r>
              <w:rPr>
                <w:rFonts w:ascii="Book Antiqua" w:eastAsia="Microsoft YaHei" w:hAnsi="Book Antiqua" w:hint="eastAsia"/>
                <w:lang w:eastAsia="zh-CN"/>
              </w:rPr>
              <w:t xml:space="preserve"> </w:t>
            </w:r>
            <w:proofErr w:type="spellStart"/>
            <w:r>
              <w:rPr>
                <w:rFonts w:ascii="Book Antiqua" w:eastAsia="Microsoft YaHei" w:hAnsi="Book Antiqua"/>
              </w:rPr>
              <w:t>pmol</w:t>
            </w:r>
            <w:proofErr w:type="spellEnd"/>
            <w:r>
              <w:rPr>
                <w:rFonts w:ascii="Book Antiqua" w:eastAsia="Microsoft YaHei" w:hAnsi="Book Antiqua"/>
              </w:rPr>
              <w:t>/L)</w:t>
            </w:r>
          </w:p>
        </w:tc>
        <w:tc>
          <w:tcPr>
            <w:tcW w:w="2500" w:type="pct"/>
            <w:shd w:val="clear" w:color="auto" w:fill="auto"/>
            <w:tcMar>
              <w:top w:w="15" w:type="dxa"/>
              <w:left w:w="108" w:type="dxa"/>
              <w:bottom w:w="0" w:type="dxa"/>
              <w:right w:w="108" w:type="dxa"/>
            </w:tcMar>
          </w:tcPr>
          <w:p w14:paraId="5CAD18A4" w14:textId="77777777" w:rsidR="009A6634" w:rsidRDefault="00EE2DCC">
            <w:pPr>
              <w:spacing w:line="360" w:lineRule="auto"/>
              <w:jc w:val="both"/>
              <w:rPr>
                <w:rFonts w:ascii="Book Antiqua" w:eastAsia="Microsoft YaHei" w:hAnsi="Book Antiqua"/>
              </w:rPr>
            </w:pPr>
            <w:r>
              <w:rPr>
                <w:rFonts w:ascii="Book Antiqua" w:eastAsia="Microsoft YaHei" w:hAnsi="Book Antiqua"/>
              </w:rPr>
              <w:t>3.9</w:t>
            </w:r>
          </w:p>
        </w:tc>
      </w:tr>
      <w:tr w:rsidR="009A6634" w14:paraId="369F5EBB" w14:textId="77777777">
        <w:trPr>
          <w:trHeight w:val="375"/>
        </w:trPr>
        <w:tc>
          <w:tcPr>
            <w:tcW w:w="2500" w:type="pct"/>
            <w:shd w:val="clear" w:color="auto" w:fill="auto"/>
            <w:tcMar>
              <w:top w:w="15" w:type="dxa"/>
              <w:left w:w="108" w:type="dxa"/>
              <w:bottom w:w="0" w:type="dxa"/>
              <w:right w:w="108" w:type="dxa"/>
            </w:tcMar>
          </w:tcPr>
          <w:p w14:paraId="00F59856" w14:textId="77777777" w:rsidR="009A6634" w:rsidRDefault="00EE2DCC">
            <w:pPr>
              <w:spacing w:line="360" w:lineRule="auto"/>
              <w:jc w:val="both"/>
              <w:rPr>
                <w:rFonts w:ascii="Book Antiqua" w:eastAsia="Microsoft YaHei" w:hAnsi="Book Antiqua"/>
                <w:lang w:eastAsia="zh-CN"/>
              </w:rPr>
            </w:pPr>
            <w:r>
              <w:rPr>
                <w:rFonts w:ascii="Book Antiqua" w:eastAsia="Microsoft YaHei" w:hAnsi="Book Antiqua"/>
              </w:rPr>
              <w:t>FT4</w:t>
            </w:r>
            <w:r>
              <w:rPr>
                <w:rFonts w:ascii="Book Antiqua" w:eastAsia="Microsoft YaHei" w:hAnsi="Book Antiqua" w:hint="eastAsia"/>
                <w:lang w:eastAsia="zh-CN"/>
              </w:rPr>
              <w:t xml:space="preserve"> (</w:t>
            </w:r>
            <w:r>
              <w:rPr>
                <w:rFonts w:ascii="Book Antiqua" w:eastAsia="Microsoft YaHei" w:hAnsi="Book Antiqua"/>
              </w:rPr>
              <w:t>9.01-19.05</w:t>
            </w:r>
            <w:r>
              <w:rPr>
                <w:rFonts w:ascii="Book Antiqua" w:eastAsia="Microsoft YaHei" w:hAnsi="Book Antiqua" w:hint="eastAsia"/>
                <w:lang w:eastAsia="zh-CN"/>
              </w:rPr>
              <w:t xml:space="preserve"> </w:t>
            </w:r>
            <w:proofErr w:type="spellStart"/>
            <w:r>
              <w:rPr>
                <w:rFonts w:ascii="Book Antiqua" w:eastAsia="Microsoft YaHei" w:hAnsi="Book Antiqua"/>
              </w:rPr>
              <w:t>pmol</w:t>
            </w:r>
            <w:proofErr w:type="spellEnd"/>
            <w:r>
              <w:rPr>
                <w:rFonts w:ascii="Book Antiqua" w:eastAsia="Microsoft YaHei" w:hAnsi="Book Antiqua"/>
              </w:rPr>
              <w:t>/L</w:t>
            </w:r>
            <w:r>
              <w:rPr>
                <w:rFonts w:ascii="Book Antiqua" w:eastAsia="Microsoft YaHei" w:hAnsi="Book Antiqua" w:hint="eastAsia"/>
                <w:lang w:eastAsia="zh-CN"/>
              </w:rPr>
              <w:t>)</w:t>
            </w:r>
          </w:p>
        </w:tc>
        <w:tc>
          <w:tcPr>
            <w:tcW w:w="2500" w:type="pct"/>
            <w:shd w:val="clear" w:color="auto" w:fill="auto"/>
            <w:tcMar>
              <w:top w:w="15" w:type="dxa"/>
              <w:left w:w="108" w:type="dxa"/>
              <w:bottom w:w="0" w:type="dxa"/>
              <w:right w:w="108" w:type="dxa"/>
            </w:tcMar>
          </w:tcPr>
          <w:p w14:paraId="68E1B9BC" w14:textId="77777777" w:rsidR="009A6634" w:rsidRDefault="00EE2DCC">
            <w:pPr>
              <w:spacing w:line="360" w:lineRule="auto"/>
              <w:jc w:val="both"/>
              <w:rPr>
                <w:rFonts w:ascii="Book Antiqua" w:eastAsia="Microsoft YaHei" w:hAnsi="Book Antiqua"/>
              </w:rPr>
            </w:pPr>
            <w:r>
              <w:rPr>
                <w:rFonts w:ascii="Book Antiqua" w:eastAsia="Microsoft YaHei" w:hAnsi="Book Antiqua"/>
              </w:rPr>
              <w:t>7.94</w:t>
            </w:r>
          </w:p>
        </w:tc>
      </w:tr>
      <w:tr w:rsidR="009A6634" w14:paraId="3603D4DF" w14:textId="77777777">
        <w:trPr>
          <w:trHeight w:val="375"/>
        </w:trPr>
        <w:tc>
          <w:tcPr>
            <w:tcW w:w="2500" w:type="pct"/>
            <w:shd w:val="clear" w:color="auto" w:fill="auto"/>
            <w:tcMar>
              <w:top w:w="15" w:type="dxa"/>
              <w:left w:w="108" w:type="dxa"/>
              <w:bottom w:w="0" w:type="dxa"/>
              <w:right w:w="108" w:type="dxa"/>
            </w:tcMar>
          </w:tcPr>
          <w:p w14:paraId="1B01ED6C" w14:textId="77777777" w:rsidR="009A6634" w:rsidRDefault="00EE2DCC">
            <w:pPr>
              <w:spacing w:line="360" w:lineRule="auto"/>
              <w:jc w:val="both"/>
              <w:rPr>
                <w:rFonts w:ascii="Book Antiqua" w:eastAsia="Microsoft YaHei" w:hAnsi="Book Antiqua"/>
              </w:rPr>
            </w:pPr>
            <w:r>
              <w:rPr>
                <w:rFonts w:ascii="Book Antiqua" w:eastAsia="Microsoft YaHei" w:hAnsi="Book Antiqua"/>
              </w:rPr>
              <w:t>ACTH</w:t>
            </w:r>
            <w:r>
              <w:rPr>
                <w:rFonts w:ascii="Book Antiqua" w:eastAsia="Microsoft YaHei" w:hAnsi="Book Antiqua" w:hint="eastAsia"/>
                <w:lang w:eastAsia="zh-CN"/>
              </w:rPr>
              <w:t xml:space="preserve"> </w:t>
            </w:r>
            <w:r>
              <w:rPr>
                <w:rFonts w:ascii="Book Antiqua" w:eastAsia="Microsoft YaHei" w:hAnsi="Book Antiqua"/>
              </w:rPr>
              <w:t>(8</w:t>
            </w:r>
            <w:r>
              <w:rPr>
                <w:rFonts w:ascii="Book Antiqua" w:eastAsia="Microsoft YaHei" w:hAnsi="Book Antiqua" w:hint="eastAsia"/>
                <w:lang w:eastAsia="zh-CN"/>
              </w:rPr>
              <w:t xml:space="preserve"> </w:t>
            </w:r>
            <w:r>
              <w:rPr>
                <w:rFonts w:ascii="Book Antiqua" w:eastAsia="Microsoft YaHei" w:hAnsi="Book Antiqua"/>
              </w:rPr>
              <w:t>am,</w:t>
            </w:r>
            <w:r>
              <w:rPr>
                <w:rFonts w:ascii="Book Antiqua" w:eastAsia="Microsoft YaHei" w:hAnsi="Book Antiqua" w:hint="eastAsia"/>
                <w:lang w:eastAsia="zh-CN"/>
              </w:rPr>
              <w:t xml:space="preserve"> </w:t>
            </w:r>
            <w:proofErr w:type="spellStart"/>
            <w:r>
              <w:rPr>
                <w:rFonts w:ascii="Book Antiqua" w:eastAsia="Microsoft YaHei" w:hAnsi="Book Antiqua"/>
              </w:rPr>
              <w:t>pg</w:t>
            </w:r>
            <w:proofErr w:type="spellEnd"/>
            <w:r>
              <w:rPr>
                <w:rFonts w:ascii="Book Antiqua" w:eastAsia="Microsoft YaHei" w:hAnsi="Book Antiqua"/>
              </w:rPr>
              <w:t>/mL)</w:t>
            </w:r>
          </w:p>
        </w:tc>
        <w:tc>
          <w:tcPr>
            <w:tcW w:w="2500" w:type="pct"/>
            <w:shd w:val="clear" w:color="auto" w:fill="auto"/>
            <w:tcMar>
              <w:top w:w="15" w:type="dxa"/>
              <w:left w:w="108" w:type="dxa"/>
              <w:bottom w:w="0" w:type="dxa"/>
              <w:right w:w="108" w:type="dxa"/>
            </w:tcMar>
          </w:tcPr>
          <w:p w14:paraId="33FE18A2" w14:textId="77777777" w:rsidR="009A6634" w:rsidRDefault="00EE2DCC">
            <w:pPr>
              <w:spacing w:line="360" w:lineRule="auto"/>
              <w:jc w:val="both"/>
              <w:rPr>
                <w:rFonts w:ascii="Book Antiqua" w:eastAsia="Microsoft YaHei" w:hAnsi="Book Antiqua"/>
              </w:rPr>
            </w:pPr>
            <w:r>
              <w:rPr>
                <w:rFonts w:ascii="Book Antiqua" w:eastAsia="Microsoft YaHei" w:hAnsi="Book Antiqua"/>
              </w:rPr>
              <w:t>&lt;</w:t>
            </w:r>
            <w:r>
              <w:rPr>
                <w:rFonts w:ascii="Book Antiqua" w:eastAsia="Microsoft YaHei" w:hAnsi="Book Antiqua" w:hint="eastAsia"/>
                <w:lang w:eastAsia="zh-CN"/>
              </w:rPr>
              <w:t xml:space="preserve"> </w:t>
            </w:r>
            <w:r>
              <w:rPr>
                <w:rFonts w:ascii="Book Antiqua" w:eastAsia="Microsoft YaHei" w:hAnsi="Book Antiqua"/>
              </w:rPr>
              <w:t>5.00</w:t>
            </w:r>
          </w:p>
        </w:tc>
      </w:tr>
      <w:tr w:rsidR="009A6634" w14:paraId="2339C4B8" w14:textId="77777777">
        <w:trPr>
          <w:trHeight w:val="375"/>
        </w:trPr>
        <w:tc>
          <w:tcPr>
            <w:tcW w:w="2500" w:type="pct"/>
            <w:shd w:val="clear" w:color="auto" w:fill="auto"/>
            <w:tcMar>
              <w:top w:w="15" w:type="dxa"/>
              <w:left w:w="108" w:type="dxa"/>
              <w:bottom w:w="0" w:type="dxa"/>
              <w:right w:w="108" w:type="dxa"/>
            </w:tcMar>
          </w:tcPr>
          <w:p w14:paraId="4C0A3691" w14:textId="77777777" w:rsidR="009A6634" w:rsidRDefault="00EE2DCC">
            <w:pPr>
              <w:spacing w:line="360" w:lineRule="auto"/>
              <w:jc w:val="both"/>
              <w:rPr>
                <w:rFonts w:ascii="Book Antiqua" w:eastAsia="Microsoft YaHei" w:hAnsi="Book Antiqua"/>
              </w:rPr>
            </w:pPr>
            <w:r>
              <w:rPr>
                <w:rFonts w:ascii="Book Antiqua" w:eastAsia="Microsoft YaHei" w:hAnsi="Book Antiqua"/>
              </w:rPr>
              <w:t>Cortisol</w:t>
            </w:r>
            <w:r>
              <w:rPr>
                <w:rFonts w:ascii="Book Antiqua" w:eastAsia="Microsoft YaHei" w:hAnsi="Book Antiqua" w:hint="eastAsia"/>
                <w:lang w:eastAsia="zh-CN"/>
              </w:rPr>
              <w:t xml:space="preserve"> </w:t>
            </w:r>
            <w:r>
              <w:rPr>
                <w:rFonts w:ascii="Book Antiqua" w:eastAsia="Microsoft YaHei" w:hAnsi="Book Antiqua"/>
              </w:rPr>
              <w:t>(8</w:t>
            </w:r>
            <w:r>
              <w:rPr>
                <w:rFonts w:ascii="Book Antiqua" w:eastAsia="Microsoft YaHei" w:hAnsi="Book Antiqua" w:hint="eastAsia"/>
                <w:lang w:eastAsia="zh-CN"/>
              </w:rPr>
              <w:t xml:space="preserve"> </w:t>
            </w:r>
            <w:r>
              <w:rPr>
                <w:rFonts w:ascii="Book Antiqua" w:eastAsia="Microsoft YaHei" w:hAnsi="Book Antiqua"/>
              </w:rPr>
              <w:t>am,</w:t>
            </w:r>
            <w:r>
              <w:rPr>
                <w:rFonts w:ascii="Book Antiqua" w:eastAsia="Microsoft YaHei" w:hAnsi="Book Antiqua" w:hint="eastAsia"/>
                <w:lang w:eastAsia="zh-CN"/>
              </w:rPr>
              <w:t xml:space="preserve"> </w:t>
            </w:r>
            <w:r>
              <w:rPr>
                <w:rFonts w:ascii="Book Antiqua" w:eastAsia="Microsoft YaHei" w:hAnsi="Book Antiqua"/>
              </w:rPr>
              <w:t>5-25</w:t>
            </w:r>
            <w:r>
              <w:rPr>
                <w:rFonts w:ascii="Book Antiqua" w:eastAsia="Microsoft YaHei" w:hAnsi="Book Antiqua" w:hint="eastAsia"/>
                <w:lang w:eastAsia="zh-CN"/>
              </w:rPr>
              <w:t xml:space="preserve"> </w:t>
            </w:r>
            <w:proofErr w:type="spellStart"/>
            <w:r>
              <w:rPr>
                <w:rFonts w:ascii="Book Antiqua" w:eastAsia="Microsoft YaHei" w:hAnsi="Book Antiqua"/>
              </w:rPr>
              <w:t>μg</w:t>
            </w:r>
            <w:proofErr w:type="spellEnd"/>
            <w:r>
              <w:rPr>
                <w:rFonts w:ascii="Book Antiqua" w:eastAsia="Microsoft YaHei" w:hAnsi="Book Antiqua"/>
              </w:rPr>
              <w:t>/dL)</w:t>
            </w:r>
          </w:p>
        </w:tc>
        <w:tc>
          <w:tcPr>
            <w:tcW w:w="2500" w:type="pct"/>
            <w:shd w:val="clear" w:color="auto" w:fill="auto"/>
            <w:tcMar>
              <w:top w:w="15" w:type="dxa"/>
              <w:left w:w="108" w:type="dxa"/>
              <w:bottom w:w="0" w:type="dxa"/>
              <w:right w:w="108" w:type="dxa"/>
            </w:tcMar>
          </w:tcPr>
          <w:p w14:paraId="3EDC446C" w14:textId="77777777" w:rsidR="009A6634" w:rsidRDefault="00EE2DCC">
            <w:pPr>
              <w:spacing w:line="360" w:lineRule="auto"/>
              <w:jc w:val="both"/>
              <w:rPr>
                <w:rFonts w:ascii="Book Antiqua" w:eastAsia="Microsoft YaHei" w:hAnsi="Book Antiqua"/>
              </w:rPr>
            </w:pPr>
            <w:r>
              <w:rPr>
                <w:rFonts w:ascii="Book Antiqua" w:eastAsia="Microsoft YaHei" w:hAnsi="Book Antiqua"/>
              </w:rPr>
              <w:t>&lt;</w:t>
            </w:r>
            <w:r>
              <w:rPr>
                <w:rFonts w:ascii="Book Antiqua" w:eastAsia="Microsoft YaHei" w:hAnsi="Book Antiqua" w:hint="eastAsia"/>
                <w:lang w:eastAsia="zh-CN"/>
              </w:rPr>
              <w:t xml:space="preserve"> </w:t>
            </w:r>
            <w:r>
              <w:rPr>
                <w:rFonts w:ascii="Book Antiqua" w:eastAsia="Microsoft YaHei" w:hAnsi="Book Antiqua"/>
              </w:rPr>
              <w:t>1.00</w:t>
            </w:r>
          </w:p>
        </w:tc>
      </w:tr>
      <w:tr w:rsidR="009A6634" w14:paraId="2D15B9BB" w14:textId="77777777">
        <w:trPr>
          <w:trHeight w:val="375"/>
        </w:trPr>
        <w:tc>
          <w:tcPr>
            <w:tcW w:w="2500" w:type="pct"/>
            <w:shd w:val="clear" w:color="auto" w:fill="auto"/>
            <w:tcMar>
              <w:top w:w="15" w:type="dxa"/>
              <w:left w:w="108" w:type="dxa"/>
              <w:bottom w:w="0" w:type="dxa"/>
              <w:right w:w="108" w:type="dxa"/>
            </w:tcMar>
          </w:tcPr>
          <w:p w14:paraId="7A3C8661" w14:textId="77777777" w:rsidR="009A6634" w:rsidRDefault="00EE2DCC">
            <w:pPr>
              <w:spacing w:line="360" w:lineRule="auto"/>
              <w:jc w:val="both"/>
              <w:rPr>
                <w:rFonts w:ascii="Book Antiqua" w:eastAsia="Microsoft YaHei" w:hAnsi="Book Antiqua"/>
              </w:rPr>
            </w:pPr>
            <w:r>
              <w:rPr>
                <w:rFonts w:ascii="Book Antiqua" w:eastAsia="Microsoft YaHei" w:hAnsi="Book Antiqua"/>
              </w:rPr>
              <w:t>LH</w:t>
            </w:r>
            <w:r>
              <w:rPr>
                <w:rFonts w:ascii="Book Antiqua" w:eastAsia="Microsoft YaHei" w:hAnsi="Book Antiqua" w:hint="eastAsia"/>
                <w:lang w:eastAsia="zh-CN"/>
              </w:rPr>
              <w:t xml:space="preserve"> </w:t>
            </w:r>
            <w:r>
              <w:rPr>
                <w:rFonts w:ascii="Book Antiqua" w:eastAsia="Microsoft YaHei" w:hAnsi="Book Antiqua"/>
              </w:rPr>
              <w:t>(1.8-11.78</w:t>
            </w:r>
            <w:r>
              <w:rPr>
                <w:rFonts w:ascii="Book Antiqua" w:eastAsia="Microsoft YaHei" w:hAnsi="Book Antiqua" w:hint="eastAsia"/>
                <w:lang w:eastAsia="zh-CN"/>
              </w:rPr>
              <w:t xml:space="preserve"> </w:t>
            </w:r>
            <w:proofErr w:type="spellStart"/>
            <w:r>
              <w:rPr>
                <w:rFonts w:ascii="Book Antiqua" w:eastAsia="Microsoft YaHei" w:hAnsi="Book Antiqua"/>
              </w:rPr>
              <w:t>mIU</w:t>
            </w:r>
            <w:proofErr w:type="spellEnd"/>
            <w:r>
              <w:rPr>
                <w:rFonts w:ascii="Book Antiqua" w:eastAsia="Microsoft YaHei" w:hAnsi="Book Antiqua"/>
              </w:rPr>
              <w:t>/mL,)</w:t>
            </w:r>
          </w:p>
        </w:tc>
        <w:tc>
          <w:tcPr>
            <w:tcW w:w="2500" w:type="pct"/>
            <w:shd w:val="clear" w:color="auto" w:fill="auto"/>
            <w:tcMar>
              <w:top w:w="15" w:type="dxa"/>
              <w:left w:w="108" w:type="dxa"/>
              <w:bottom w:w="0" w:type="dxa"/>
              <w:right w:w="108" w:type="dxa"/>
            </w:tcMar>
          </w:tcPr>
          <w:p w14:paraId="7EFC38A3" w14:textId="77777777" w:rsidR="009A6634" w:rsidRDefault="00EE2DCC">
            <w:pPr>
              <w:spacing w:line="360" w:lineRule="auto"/>
              <w:jc w:val="both"/>
              <w:rPr>
                <w:rFonts w:ascii="Book Antiqua" w:eastAsia="Microsoft YaHei" w:hAnsi="Book Antiqua"/>
              </w:rPr>
            </w:pPr>
            <w:r>
              <w:rPr>
                <w:rFonts w:ascii="Book Antiqua" w:eastAsia="Microsoft YaHei" w:hAnsi="Book Antiqua"/>
              </w:rPr>
              <w:t>0.09</w:t>
            </w:r>
          </w:p>
        </w:tc>
      </w:tr>
      <w:tr w:rsidR="009A6634" w14:paraId="60CC38F3" w14:textId="77777777">
        <w:trPr>
          <w:trHeight w:val="375"/>
        </w:trPr>
        <w:tc>
          <w:tcPr>
            <w:tcW w:w="2500" w:type="pct"/>
            <w:shd w:val="clear" w:color="auto" w:fill="auto"/>
            <w:tcMar>
              <w:top w:w="15" w:type="dxa"/>
              <w:left w:w="108" w:type="dxa"/>
              <w:bottom w:w="0" w:type="dxa"/>
              <w:right w:w="108" w:type="dxa"/>
            </w:tcMar>
          </w:tcPr>
          <w:p w14:paraId="3582FFCB" w14:textId="77777777" w:rsidR="009A6634" w:rsidRDefault="00EE2DCC">
            <w:pPr>
              <w:spacing w:line="360" w:lineRule="auto"/>
              <w:jc w:val="both"/>
              <w:rPr>
                <w:rFonts w:ascii="Book Antiqua" w:eastAsia="Microsoft YaHei" w:hAnsi="Book Antiqua"/>
              </w:rPr>
            </w:pPr>
            <w:r>
              <w:rPr>
                <w:rFonts w:ascii="Book Antiqua" w:eastAsia="Microsoft YaHei" w:hAnsi="Book Antiqua"/>
              </w:rPr>
              <w:t>FSH</w:t>
            </w:r>
            <w:r>
              <w:rPr>
                <w:rFonts w:ascii="Book Antiqua" w:eastAsia="Microsoft YaHei" w:hAnsi="Book Antiqua" w:hint="eastAsia"/>
                <w:lang w:eastAsia="zh-CN"/>
              </w:rPr>
              <w:t xml:space="preserve"> </w:t>
            </w:r>
            <w:r>
              <w:rPr>
                <w:rFonts w:ascii="Book Antiqua" w:eastAsia="Microsoft YaHei" w:hAnsi="Book Antiqua"/>
              </w:rPr>
              <w:t>(3.03-8.08</w:t>
            </w:r>
            <w:r>
              <w:rPr>
                <w:rFonts w:ascii="Book Antiqua" w:eastAsia="Microsoft YaHei" w:hAnsi="Book Antiqua" w:hint="eastAsia"/>
                <w:lang w:eastAsia="zh-CN"/>
              </w:rPr>
              <w:t xml:space="preserve"> </w:t>
            </w:r>
            <w:proofErr w:type="spellStart"/>
            <w:r>
              <w:rPr>
                <w:rFonts w:ascii="Book Antiqua" w:eastAsia="Microsoft YaHei" w:hAnsi="Book Antiqua"/>
              </w:rPr>
              <w:t>mIU</w:t>
            </w:r>
            <w:proofErr w:type="spellEnd"/>
            <w:r>
              <w:rPr>
                <w:rFonts w:ascii="Book Antiqua" w:eastAsia="Microsoft YaHei" w:hAnsi="Book Antiqua"/>
              </w:rPr>
              <w:t>/mL)</w:t>
            </w:r>
          </w:p>
        </w:tc>
        <w:tc>
          <w:tcPr>
            <w:tcW w:w="2500" w:type="pct"/>
            <w:shd w:val="clear" w:color="auto" w:fill="auto"/>
            <w:tcMar>
              <w:top w:w="15" w:type="dxa"/>
              <w:left w:w="108" w:type="dxa"/>
              <w:bottom w:w="0" w:type="dxa"/>
              <w:right w:w="108" w:type="dxa"/>
            </w:tcMar>
          </w:tcPr>
          <w:p w14:paraId="7D9BE5CF" w14:textId="77777777" w:rsidR="009A6634" w:rsidRDefault="00EE2DCC">
            <w:pPr>
              <w:spacing w:line="360" w:lineRule="auto"/>
              <w:jc w:val="both"/>
              <w:rPr>
                <w:rFonts w:ascii="Book Antiqua" w:eastAsia="Microsoft YaHei" w:hAnsi="Book Antiqua"/>
              </w:rPr>
            </w:pPr>
            <w:r>
              <w:rPr>
                <w:rFonts w:ascii="Book Antiqua" w:eastAsia="Microsoft YaHei" w:hAnsi="Book Antiqua"/>
              </w:rPr>
              <w:t>&lt;</w:t>
            </w:r>
            <w:r>
              <w:rPr>
                <w:rFonts w:ascii="Book Antiqua" w:eastAsia="Microsoft YaHei" w:hAnsi="Book Antiqua" w:hint="eastAsia"/>
                <w:lang w:eastAsia="zh-CN"/>
              </w:rPr>
              <w:t xml:space="preserve"> </w:t>
            </w:r>
            <w:r>
              <w:rPr>
                <w:rFonts w:ascii="Book Antiqua" w:eastAsia="Microsoft YaHei" w:hAnsi="Book Antiqua"/>
              </w:rPr>
              <w:t>0.05</w:t>
            </w:r>
          </w:p>
        </w:tc>
      </w:tr>
      <w:tr w:rsidR="009A6634" w14:paraId="4DF8D465" w14:textId="77777777">
        <w:trPr>
          <w:trHeight w:val="375"/>
        </w:trPr>
        <w:tc>
          <w:tcPr>
            <w:tcW w:w="2500" w:type="pct"/>
            <w:shd w:val="clear" w:color="auto" w:fill="auto"/>
            <w:tcMar>
              <w:top w:w="15" w:type="dxa"/>
              <w:left w:w="108" w:type="dxa"/>
              <w:bottom w:w="0" w:type="dxa"/>
              <w:right w:w="108" w:type="dxa"/>
            </w:tcMar>
          </w:tcPr>
          <w:p w14:paraId="15B19AC5" w14:textId="77777777" w:rsidR="009A6634" w:rsidRDefault="00EE2DCC">
            <w:pPr>
              <w:spacing w:line="360" w:lineRule="auto"/>
              <w:jc w:val="both"/>
              <w:rPr>
                <w:rFonts w:ascii="Book Antiqua" w:eastAsia="Microsoft YaHei" w:hAnsi="Book Antiqua"/>
              </w:rPr>
            </w:pPr>
            <w:r>
              <w:rPr>
                <w:rFonts w:ascii="Book Antiqua" w:eastAsia="Microsoft YaHei" w:hAnsi="Book Antiqua"/>
              </w:rPr>
              <w:t>Testosterone</w:t>
            </w:r>
            <w:r>
              <w:rPr>
                <w:rFonts w:ascii="Book Antiqua" w:eastAsia="Microsoft YaHei" w:hAnsi="Book Antiqua" w:hint="eastAsia"/>
                <w:lang w:eastAsia="zh-CN"/>
              </w:rPr>
              <w:t xml:space="preserve"> </w:t>
            </w:r>
            <w:r>
              <w:rPr>
                <w:rFonts w:ascii="Book Antiqua" w:eastAsia="Microsoft YaHei" w:hAnsi="Book Antiqua"/>
              </w:rPr>
              <w:t>(10.83-56.94</w:t>
            </w:r>
            <w:r>
              <w:rPr>
                <w:rFonts w:ascii="Book Antiqua" w:eastAsia="Microsoft YaHei" w:hAnsi="Book Antiqua" w:hint="eastAsia"/>
                <w:lang w:eastAsia="zh-CN"/>
              </w:rPr>
              <w:t xml:space="preserve"> </w:t>
            </w:r>
            <w:r>
              <w:rPr>
                <w:rFonts w:ascii="Book Antiqua" w:eastAsia="Microsoft YaHei" w:hAnsi="Book Antiqua"/>
              </w:rPr>
              <w:t>ng/dL)</w:t>
            </w:r>
          </w:p>
        </w:tc>
        <w:tc>
          <w:tcPr>
            <w:tcW w:w="2500" w:type="pct"/>
            <w:shd w:val="clear" w:color="auto" w:fill="auto"/>
            <w:tcMar>
              <w:top w:w="15" w:type="dxa"/>
              <w:left w:w="108" w:type="dxa"/>
              <w:bottom w:w="0" w:type="dxa"/>
              <w:right w:w="108" w:type="dxa"/>
            </w:tcMar>
          </w:tcPr>
          <w:p w14:paraId="598B3EE6" w14:textId="77777777" w:rsidR="009A6634" w:rsidRDefault="00EE2DCC">
            <w:pPr>
              <w:spacing w:line="360" w:lineRule="auto"/>
              <w:jc w:val="both"/>
              <w:rPr>
                <w:rFonts w:ascii="Book Antiqua" w:eastAsia="Microsoft YaHei" w:hAnsi="Book Antiqua"/>
              </w:rPr>
            </w:pPr>
            <w:r>
              <w:rPr>
                <w:rFonts w:ascii="Book Antiqua" w:eastAsia="Microsoft YaHei" w:hAnsi="Book Antiqua"/>
              </w:rPr>
              <w:t>&lt;</w:t>
            </w:r>
            <w:r>
              <w:rPr>
                <w:rFonts w:ascii="Book Antiqua" w:eastAsia="Microsoft YaHei" w:hAnsi="Book Antiqua" w:hint="eastAsia"/>
                <w:lang w:eastAsia="zh-CN"/>
              </w:rPr>
              <w:t xml:space="preserve"> </w:t>
            </w:r>
            <w:r>
              <w:rPr>
                <w:rFonts w:ascii="Book Antiqua" w:eastAsia="Microsoft YaHei" w:hAnsi="Book Antiqua"/>
              </w:rPr>
              <w:t>3.82</w:t>
            </w:r>
          </w:p>
        </w:tc>
      </w:tr>
      <w:tr w:rsidR="009A6634" w14:paraId="04A2D077" w14:textId="77777777">
        <w:trPr>
          <w:trHeight w:val="375"/>
        </w:trPr>
        <w:tc>
          <w:tcPr>
            <w:tcW w:w="2500" w:type="pct"/>
            <w:shd w:val="clear" w:color="auto" w:fill="auto"/>
            <w:tcMar>
              <w:top w:w="15" w:type="dxa"/>
              <w:left w:w="108" w:type="dxa"/>
              <w:bottom w:w="0" w:type="dxa"/>
              <w:right w:w="108" w:type="dxa"/>
            </w:tcMar>
          </w:tcPr>
          <w:p w14:paraId="5DF91489" w14:textId="77777777" w:rsidR="009A6634" w:rsidRDefault="00EE2DCC">
            <w:pPr>
              <w:spacing w:line="360" w:lineRule="auto"/>
              <w:jc w:val="both"/>
              <w:rPr>
                <w:rFonts w:ascii="Book Antiqua" w:eastAsia="Microsoft YaHei" w:hAnsi="Book Antiqua"/>
              </w:rPr>
            </w:pPr>
            <w:r>
              <w:rPr>
                <w:rFonts w:ascii="Book Antiqua" w:eastAsia="Microsoft YaHei" w:hAnsi="Book Antiqua"/>
              </w:rPr>
              <w:t>Estradiol</w:t>
            </w:r>
            <w:r>
              <w:rPr>
                <w:rFonts w:ascii="Book Antiqua" w:eastAsia="Microsoft YaHei" w:hAnsi="Book Antiqua" w:hint="eastAsia"/>
                <w:lang w:eastAsia="zh-CN"/>
              </w:rPr>
              <w:t xml:space="preserve"> </w:t>
            </w:r>
            <w:r>
              <w:rPr>
                <w:rFonts w:ascii="Book Antiqua" w:eastAsia="Microsoft YaHei" w:hAnsi="Book Antiqua"/>
              </w:rPr>
              <w:t>(21-251</w:t>
            </w:r>
            <w:r>
              <w:rPr>
                <w:rFonts w:ascii="Book Antiqua" w:eastAsia="Microsoft YaHei" w:hAnsi="Book Antiqua" w:hint="eastAsia"/>
                <w:lang w:eastAsia="zh-CN"/>
              </w:rPr>
              <w:t xml:space="preserve"> </w:t>
            </w:r>
            <w:proofErr w:type="spellStart"/>
            <w:r>
              <w:rPr>
                <w:rFonts w:ascii="Book Antiqua" w:eastAsia="Microsoft YaHei" w:hAnsi="Book Antiqua"/>
              </w:rPr>
              <w:t>pg</w:t>
            </w:r>
            <w:proofErr w:type="spellEnd"/>
            <w:r>
              <w:rPr>
                <w:rFonts w:ascii="Book Antiqua" w:eastAsia="Microsoft YaHei" w:hAnsi="Book Antiqua"/>
              </w:rPr>
              <w:t>/mL)</w:t>
            </w:r>
          </w:p>
        </w:tc>
        <w:tc>
          <w:tcPr>
            <w:tcW w:w="2500" w:type="pct"/>
            <w:shd w:val="clear" w:color="auto" w:fill="auto"/>
            <w:tcMar>
              <w:top w:w="15" w:type="dxa"/>
              <w:left w:w="108" w:type="dxa"/>
              <w:bottom w:w="0" w:type="dxa"/>
              <w:right w:w="108" w:type="dxa"/>
            </w:tcMar>
          </w:tcPr>
          <w:p w14:paraId="3795B08D" w14:textId="77777777" w:rsidR="009A6634" w:rsidRDefault="00EE2DCC">
            <w:pPr>
              <w:spacing w:line="360" w:lineRule="auto"/>
              <w:jc w:val="both"/>
              <w:rPr>
                <w:rFonts w:ascii="Book Antiqua" w:eastAsia="Microsoft YaHei" w:hAnsi="Book Antiqua"/>
              </w:rPr>
            </w:pPr>
            <w:r>
              <w:rPr>
                <w:rFonts w:ascii="Book Antiqua" w:eastAsia="Microsoft YaHei" w:hAnsi="Book Antiqua"/>
              </w:rPr>
              <w:t>&lt;</w:t>
            </w:r>
            <w:r>
              <w:rPr>
                <w:rFonts w:ascii="Book Antiqua" w:eastAsia="Microsoft YaHei" w:hAnsi="Book Antiqua" w:hint="eastAsia"/>
                <w:lang w:eastAsia="zh-CN"/>
              </w:rPr>
              <w:t xml:space="preserve"> </w:t>
            </w:r>
            <w:r>
              <w:rPr>
                <w:rFonts w:ascii="Book Antiqua" w:eastAsia="Microsoft YaHei" w:hAnsi="Book Antiqua"/>
              </w:rPr>
              <w:t>10.00</w:t>
            </w:r>
          </w:p>
        </w:tc>
      </w:tr>
      <w:tr w:rsidR="009A6634" w14:paraId="205D1B15" w14:textId="77777777">
        <w:trPr>
          <w:trHeight w:val="375"/>
        </w:trPr>
        <w:tc>
          <w:tcPr>
            <w:tcW w:w="2500" w:type="pct"/>
            <w:shd w:val="clear" w:color="auto" w:fill="auto"/>
            <w:tcMar>
              <w:top w:w="15" w:type="dxa"/>
              <w:left w:w="108" w:type="dxa"/>
              <w:bottom w:w="0" w:type="dxa"/>
              <w:right w:w="108" w:type="dxa"/>
            </w:tcMar>
          </w:tcPr>
          <w:p w14:paraId="75242464" w14:textId="77777777" w:rsidR="009A6634" w:rsidRDefault="00EE2DCC">
            <w:pPr>
              <w:spacing w:line="360" w:lineRule="auto"/>
              <w:jc w:val="both"/>
              <w:rPr>
                <w:rFonts w:ascii="Book Antiqua" w:eastAsia="Microsoft YaHei" w:hAnsi="Book Antiqua"/>
              </w:rPr>
            </w:pPr>
            <w:r>
              <w:rPr>
                <w:rFonts w:ascii="Book Antiqua" w:eastAsia="Microsoft YaHei" w:hAnsi="Book Antiqua"/>
              </w:rPr>
              <w:t>Progesterone</w:t>
            </w:r>
            <w:r>
              <w:rPr>
                <w:rFonts w:ascii="Book Antiqua" w:eastAsia="Microsoft YaHei" w:hAnsi="Book Antiqua" w:hint="eastAsia"/>
                <w:lang w:eastAsia="zh-CN"/>
              </w:rPr>
              <w:t xml:space="preserve"> </w:t>
            </w:r>
            <w:r>
              <w:rPr>
                <w:rFonts w:ascii="Book Antiqua" w:eastAsia="Microsoft YaHei" w:hAnsi="Book Antiqua"/>
              </w:rPr>
              <w:t>(0.00-0.30</w:t>
            </w:r>
            <w:r>
              <w:rPr>
                <w:rFonts w:ascii="Book Antiqua" w:eastAsia="Microsoft YaHei" w:hAnsi="Book Antiqua" w:hint="eastAsia"/>
                <w:lang w:eastAsia="zh-CN"/>
              </w:rPr>
              <w:t xml:space="preserve"> </w:t>
            </w:r>
            <w:r>
              <w:rPr>
                <w:rFonts w:ascii="Book Antiqua" w:eastAsia="Microsoft YaHei" w:hAnsi="Book Antiqua"/>
              </w:rPr>
              <w:t>ng/mL)</w:t>
            </w:r>
          </w:p>
        </w:tc>
        <w:tc>
          <w:tcPr>
            <w:tcW w:w="2500" w:type="pct"/>
            <w:shd w:val="clear" w:color="auto" w:fill="auto"/>
            <w:tcMar>
              <w:top w:w="15" w:type="dxa"/>
              <w:left w:w="108" w:type="dxa"/>
              <w:bottom w:w="0" w:type="dxa"/>
              <w:right w:w="108" w:type="dxa"/>
            </w:tcMar>
          </w:tcPr>
          <w:p w14:paraId="06951541" w14:textId="77777777" w:rsidR="009A6634" w:rsidRDefault="00EE2DCC">
            <w:pPr>
              <w:spacing w:line="360" w:lineRule="auto"/>
              <w:jc w:val="both"/>
              <w:rPr>
                <w:rFonts w:ascii="Book Antiqua" w:eastAsia="Microsoft YaHei" w:hAnsi="Book Antiqua"/>
              </w:rPr>
            </w:pPr>
            <w:r>
              <w:rPr>
                <w:rFonts w:ascii="Book Antiqua" w:eastAsia="Microsoft YaHei" w:hAnsi="Book Antiqua"/>
              </w:rPr>
              <w:t>&lt;</w:t>
            </w:r>
            <w:r>
              <w:rPr>
                <w:rFonts w:ascii="Book Antiqua" w:eastAsia="Microsoft YaHei" w:hAnsi="Book Antiqua" w:hint="eastAsia"/>
                <w:lang w:eastAsia="zh-CN"/>
              </w:rPr>
              <w:t xml:space="preserve"> </w:t>
            </w:r>
            <w:r>
              <w:rPr>
                <w:rFonts w:ascii="Book Antiqua" w:eastAsia="Microsoft YaHei" w:hAnsi="Book Antiqua"/>
              </w:rPr>
              <w:t>0.10</w:t>
            </w:r>
          </w:p>
        </w:tc>
      </w:tr>
      <w:tr w:rsidR="009A6634" w14:paraId="36DB2662" w14:textId="77777777">
        <w:trPr>
          <w:trHeight w:val="375"/>
        </w:trPr>
        <w:tc>
          <w:tcPr>
            <w:tcW w:w="2500" w:type="pct"/>
            <w:shd w:val="clear" w:color="auto" w:fill="auto"/>
            <w:tcMar>
              <w:top w:w="15" w:type="dxa"/>
              <w:left w:w="108" w:type="dxa"/>
              <w:bottom w:w="0" w:type="dxa"/>
              <w:right w:w="108" w:type="dxa"/>
            </w:tcMar>
          </w:tcPr>
          <w:p w14:paraId="2EE4BE82" w14:textId="77777777" w:rsidR="009A6634" w:rsidRDefault="00EE2DCC">
            <w:pPr>
              <w:spacing w:line="360" w:lineRule="auto"/>
              <w:jc w:val="both"/>
              <w:rPr>
                <w:rFonts w:ascii="Book Antiqua" w:eastAsia="Microsoft YaHei" w:hAnsi="Book Antiqua"/>
              </w:rPr>
            </w:pPr>
            <w:r>
              <w:rPr>
                <w:rFonts w:ascii="Book Antiqua" w:eastAsia="Microsoft YaHei" w:hAnsi="Book Antiqua"/>
              </w:rPr>
              <w:t>Prolactin</w:t>
            </w:r>
            <w:r>
              <w:rPr>
                <w:rFonts w:ascii="Book Antiqua" w:eastAsia="Microsoft YaHei" w:hAnsi="Book Antiqua" w:hint="eastAsia"/>
                <w:lang w:eastAsia="zh-CN"/>
              </w:rPr>
              <w:t xml:space="preserve"> </w:t>
            </w:r>
            <w:r>
              <w:rPr>
                <w:rFonts w:ascii="Book Antiqua" w:eastAsia="Microsoft YaHei" w:hAnsi="Book Antiqua"/>
              </w:rPr>
              <w:t>(5.18-26.53</w:t>
            </w:r>
            <w:r>
              <w:rPr>
                <w:rFonts w:ascii="Book Antiqua" w:eastAsia="Microsoft YaHei" w:hAnsi="Book Antiqua" w:hint="eastAsia"/>
                <w:lang w:eastAsia="zh-CN"/>
              </w:rPr>
              <w:t xml:space="preserve"> </w:t>
            </w:r>
            <w:r>
              <w:rPr>
                <w:rFonts w:ascii="Book Antiqua" w:eastAsia="Microsoft YaHei" w:hAnsi="Book Antiqua"/>
              </w:rPr>
              <w:t>ng/mL)</w:t>
            </w:r>
          </w:p>
        </w:tc>
        <w:tc>
          <w:tcPr>
            <w:tcW w:w="2500" w:type="pct"/>
            <w:shd w:val="clear" w:color="auto" w:fill="auto"/>
            <w:tcMar>
              <w:top w:w="15" w:type="dxa"/>
              <w:left w:w="108" w:type="dxa"/>
              <w:bottom w:w="0" w:type="dxa"/>
              <w:right w:w="108" w:type="dxa"/>
            </w:tcMar>
          </w:tcPr>
          <w:p w14:paraId="186D5ED1" w14:textId="77777777" w:rsidR="009A6634" w:rsidRDefault="00EE2DCC">
            <w:pPr>
              <w:spacing w:line="360" w:lineRule="auto"/>
              <w:jc w:val="both"/>
              <w:rPr>
                <w:rFonts w:ascii="Book Antiqua" w:eastAsia="Microsoft YaHei" w:hAnsi="Book Antiqua"/>
              </w:rPr>
            </w:pPr>
            <w:r>
              <w:rPr>
                <w:rFonts w:ascii="Book Antiqua" w:eastAsia="Microsoft YaHei" w:hAnsi="Book Antiqua"/>
              </w:rPr>
              <w:t>44.60</w:t>
            </w:r>
          </w:p>
        </w:tc>
      </w:tr>
    </w:tbl>
    <w:p w14:paraId="105C48C2" w14:textId="77777777" w:rsidR="009A6634" w:rsidRDefault="00EE2DCC">
      <w:pPr>
        <w:spacing w:line="360" w:lineRule="auto"/>
        <w:jc w:val="both"/>
        <w:rPr>
          <w:rFonts w:ascii="Book Antiqua" w:eastAsia="Microsoft YaHei" w:hAnsi="Book Antiqua"/>
        </w:rPr>
      </w:pPr>
      <w:r>
        <w:rPr>
          <w:rFonts w:ascii="Book Antiqua" w:eastAsia="Microsoft YaHei" w:hAnsi="Book Antiqua"/>
        </w:rPr>
        <w:t>IGF-1: Insulin-like growth factor-I; TSH: Thyroid stimulating hormone; FT3: Free triiodothyronine; FT4: Free thyroxine; ACTH: Adrenocorticotropic hormone; LH: Luteinizing hormone; FSH: Follicle stimulating hormone.</w:t>
      </w:r>
    </w:p>
    <w:p w14:paraId="3F5FF512" w14:textId="77777777" w:rsidR="009A6634" w:rsidRDefault="009A6634">
      <w:pPr>
        <w:spacing w:line="360" w:lineRule="auto"/>
        <w:jc w:val="both"/>
        <w:rPr>
          <w:rFonts w:ascii="Book Antiqua" w:hAnsi="Book Antiqua"/>
          <w:lang w:eastAsia="zh-CN"/>
        </w:rPr>
      </w:pPr>
    </w:p>
    <w:sectPr w:rsidR="009A66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62FC0" w14:textId="77777777" w:rsidR="00093CC1" w:rsidRDefault="00093CC1">
      <w:r>
        <w:separator/>
      </w:r>
    </w:p>
  </w:endnote>
  <w:endnote w:type="continuationSeparator" w:id="0">
    <w:p w14:paraId="59689296" w14:textId="77777777" w:rsidR="00093CC1" w:rsidRDefault="00093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881896"/>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2438624D" w14:textId="77777777" w:rsidR="009A6634" w:rsidRDefault="00EE2DCC">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112DF0">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112DF0">
              <w:rPr>
                <w:rFonts w:ascii="Book Antiqua" w:hAnsi="Book Antiqua"/>
                <w:b/>
                <w:bCs/>
                <w:noProof/>
                <w:sz w:val="24"/>
                <w:szCs w:val="24"/>
              </w:rPr>
              <w:t>17</w:t>
            </w:r>
            <w:r>
              <w:rPr>
                <w:rFonts w:ascii="Book Antiqua" w:hAnsi="Book Antiqua"/>
                <w:b/>
                <w:bCs/>
                <w:sz w:val="24"/>
                <w:szCs w:val="24"/>
              </w:rPr>
              <w:fldChar w:fldCharType="end"/>
            </w:r>
          </w:p>
        </w:sdtContent>
      </w:sdt>
    </w:sdtContent>
  </w:sdt>
  <w:p w14:paraId="221FE204" w14:textId="77777777" w:rsidR="009A6634" w:rsidRDefault="009A66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1AC62" w14:textId="77777777" w:rsidR="00093CC1" w:rsidRDefault="00093CC1">
      <w:r>
        <w:separator/>
      </w:r>
    </w:p>
  </w:footnote>
  <w:footnote w:type="continuationSeparator" w:id="0">
    <w:p w14:paraId="196299F2" w14:textId="77777777" w:rsidR="00093CC1" w:rsidRDefault="00093CC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E77"/>
    <w:rsid w:val="00075471"/>
    <w:rsid w:val="000868A8"/>
    <w:rsid w:val="00093CC1"/>
    <w:rsid w:val="000D184C"/>
    <w:rsid w:val="00112DF0"/>
    <w:rsid w:val="0013134B"/>
    <w:rsid w:val="00136A39"/>
    <w:rsid w:val="00140A32"/>
    <w:rsid w:val="001453F2"/>
    <w:rsid w:val="00153BD9"/>
    <w:rsid w:val="001672BC"/>
    <w:rsid w:val="001756DC"/>
    <w:rsid w:val="001B2978"/>
    <w:rsid w:val="001B72C3"/>
    <w:rsid w:val="001E2B5A"/>
    <w:rsid w:val="00232CFF"/>
    <w:rsid w:val="00294023"/>
    <w:rsid w:val="00336309"/>
    <w:rsid w:val="0037080C"/>
    <w:rsid w:val="003A4982"/>
    <w:rsid w:val="003D496D"/>
    <w:rsid w:val="00422E16"/>
    <w:rsid w:val="0043555D"/>
    <w:rsid w:val="00453931"/>
    <w:rsid w:val="004C7022"/>
    <w:rsid w:val="004D4227"/>
    <w:rsid w:val="005007F0"/>
    <w:rsid w:val="005C413B"/>
    <w:rsid w:val="005C5DEF"/>
    <w:rsid w:val="005C662C"/>
    <w:rsid w:val="005E4AC1"/>
    <w:rsid w:val="0062525F"/>
    <w:rsid w:val="006376AD"/>
    <w:rsid w:val="006B4E1E"/>
    <w:rsid w:val="006B5D0B"/>
    <w:rsid w:val="006B731D"/>
    <w:rsid w:val="00740455"/>
    <w:rsid w:val="00750F0D"/>
    <w:rsid w:val="00794869"/>
    <w:rsid w:val="007E4DA2"/>
    <w:rsid w:val="00812B5E"/>
    <w:rsid w:val="00812DC0"/>
    <w:rsid w:val="008A6608"/>
    <w:rsid w:val="008E720A"/>
    <w:rsid w:val="009A6634"/>
    <w:rsid w:val="009B1688"/>
    <w:rsid w:val="009D1DF4"/>
    <w:rsid w:val="009F1FE3"/>
    <w:rsid w:val="00A02795"/>
    <w:rsid w:val="00A11E52"/>
    <w:rsid w:val="00A77B3E"/>
    <w:rsid w:val="00AD4484"/>
    <w:rsid w:val="00B044D6"/>
    <w:rsid w:val="00B7016B"/>
    <w:rsid w:val="00B70F56"/>
    <w:rsid w:val="00B72B9C"/>
    <w:rsid w:val="00B84F0C"/>
    <w:rsid w:val="00BB6943"/>
    <w:rsid w:val="00C0138D"/>
    <w:rsid w:val="00C53DA2"/>
    <w:rsid w:val="00C75385"/>
    <w:rsid w:val="00C85CDA"/>
    <w:rsid w:val="00C93984"/>
    <w:rsid w:val="00CA2A55"/>
    <w:rsid w:val="00CD48FE"/>
    <w:rsid w:val="00CE400A"/>
    <w:rsid w:val="00CF6BF6"/>
    <w:rsid w:val="00D15577"/>
    <w:rsid w:val="00D24BF7"/>
    <w:rsid w:val="00DC2FD6"/>
    <w:rsid w:val="00DD4994"/>
    <w:rsid w:val="00DD70A5"/>
    <w:rsid w:val="00DE735B"/>
    <w:rsid w:val="00E1388D"/>
    <w:rsid w:val="00E3646F"/>
    <w:rsid w:val="00E657E7"/>
    <w:rsid w:val="00EB0EE8"/>
    <w:rsid w:val="00EE1E71"/>
    <w:rsid w:val="00EE2DCC"/>
    <w:rsid w:val="00F169FC"/>
    <w:rsid w:val="00F25F64"/>
    <w:rsid w:val="00F7674E"/>
    <w:rsid w:val="00FC1A9E"/>
    <w:rsid w:val="31C5471F"/>
    <w:rsid w:val="4F95017D"/>
    <w:rsid w:val="69A15BD3"/>
    <w:rsid w:val="7F675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9179C"/>
  <w15:docId w15:val="{1AA1D36D-8C5B-4886-9916-358DFE90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SimSun" w:eastAsia="SimSun" w:hAnsi="SimSun" w:cs="SimSun"/>
      <w:lang w:eastAsia="zh-CN"/>
    </w:rPr>
  </w:style>
  <w:style w:type="paragraph" w:styleId="ac">
    <w:name w:val="annotation subject"/>
    <w:basedOn w:val="a3"/>
    <w:next w:val="a3"/>
    <w:link w:val="ad"/>
    <w:semiHidden/>
    <w:unhideWhenUsed/>
    <w:rPr>
      <w:b/>
      <w:bCs/>
    </w:rPr>
  </w:style>
  <w:style w:type="character" w:styleId="ae">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q4iawc">
    <w:name w:val="q4iawc"/>
    <w:basedOn w:val="a0"/>
  </w:style>
  <w:style w:type="character" w:customStyle="1" w:styleId="a6">
    <w:name w:val="批注框文本 字符"/>
    <w:basedOn w:val="a0"/>
    <w:link w:val="a5"/>
    <w:rPr>
      <w:sz w:val="18"/>
      <w:szCs w:val="18"/>
    </w:rPr>
  </w:style>
  <w:style w:type="character" w:customStyle="1" w:styleId="a4">
    <w:name w:val="批注文字 字符"/>
    <w:basedOn w:val="a0"/>
    <w:link w:val="a3"/>
    <w:semiHidden/>
    <w:rPr>
      <w:sz w:val="24"/>
      <w:szCs w:val="24"/>
    </w:rPr>
  </w:style>
  <w:style w:type="character" w:customStyle="1" w:styleId="ad">
    <w:name w:val="批注主题 字符"/>
    <w:basedOn w:val="a4"/>
    <w:link w:val="ac"/>
    <w:semiHidden/>
    <w:qFormat/>
    <w:rPr>
      <w:b/>
      <w:bCs/>
      <w:sz w:val="24"/>
      <w:szCs w:val="24"/>
    </w:rPr>
  </w:style>
  <w:style w:type="paragraph" w:customStyle="1" w:styleId="1">
    <w:name w:val="修订1"/>
    <w:hidden/>
    <w:uiPriority w:val="99"/>
    <w:semiHidden/>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3746</Words>
  <Characters>21358</Characters>
  <Application>Microsoft Office Word</Application>
  <DocSecurity>0</DocSecurity>
  <Lines>177</Lines>
  <Paragraphs>50</Paragraphs>
  <ScaleCrop>false</ScaleCrop>
  <Company/>
  <LinksUpToDate>false</LinksUpToDate>
  <CharactersWithSpaces>25054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2022-04-22T08:04:00Z</dcterms:created>
  <dcterms:modified xsi:type="dcterms:W3CDTF">2022-04-22T08:04:00Z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