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F32D5"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 xml:space="preserve">Name of Journal: </w:t>
      </w:r>
      <w:r w:rsidRPr="00023C89">
        <w:rPr>
          <w:rFonts w:ascii="Book Antiqua" w:eastAsia="Book Antiqua" w:hAnsi="Book Antiqua" w:cs="Book Antiqua"/>
          <w:i/>
          <w:color w:val="000000"/>
        </w:rPr>
        <w:t>World Journal of Cardiology</w:t>
      </w:r>
    </w:p>
    <w:p w14:paraId="6F8DCCF9"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 xml:space="preserve">Manuscript NO: </w:t>
      </w:r>
      <w:r w:rsidRPr="00023C89">
        <w:rPr>
          <w:rFonts w:ascii="Book Antiqua" w:eastAsia="Book Antiqua" w:hAnsi="Book Antiqua" w:cs="Book Antiqua"/>
          <w:color w:val="000000"/>
        </w:rPr>
        <w:t>73324</w:t>
      </w:r>
    </w:p>
    <w:p w14:paraId="2DFD641E"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 xml:space="preserve">Manuscript Type: </w:t>
      </w:r>
      <w:r w:rsidRPr="00023C89">
        <w:rPr>
          <w:rFonts w:ascii="Book Antiqua" w:eastAsia="Book Antiqua" w:hAnsi="Book Antiqua" w:cs="Book Antiqua"/>
          <w:color w:val="000000"/>
        </w:rPr>
        <w:t>ORIGINAL ARTICLE</w:t>
      </w:r>
    </w:p>
    <w:p w14:paraId="6CF6AFE2" w14:textId="77777777" w:rsidR="00A77B3E" w:rsidRPr="00023C89" w:rsidRDefault="00A77B3E" w:rsidP="00D0748F">
      <w:pPr>
        <w:spacing w:line="360" w:lineRule="auto"/>
        <w:jc w:val="both"/>
        <w:rPr>
          <w:rFonts w:ascii="Book Antiqua" w:hAnsi="Book Antiqua"/>
        </w:rPr>
      </w:pPr>
    </w:p>
    <w:p w14:paraId="4EC65AE6"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i/>
          <w:color w:val="000000"/>
        </w:rPr>
        <w:t>Basic Study</w:t>
      </w:r>
    </w:p>
    <w:p w14:paraId="2A9A15AE"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Bioinformatics prediction of potential mechanisms and biomarkers underlying dilated cardiomyopathy</w:t>
      </w:r>
    </w:p>
    <w:p w14:paraId="743E6BCE" w14:textId="77777777" w:rsidR="00A77B3E" w:rsidRPr="00023C89" w:rsidRDefault="00A77B3E" w:rsidP="00D0748F">
      <w:pPr>
        <w:spacing w:line="360" w:lineRule="auto"/>
        <w:jc w:val="both"/>
        <w:rPr>
          <w:rFonts w:ascii="Book Antiqua" w:hAnsi="Book Antiqua"/>
        </w:rPr>
      </w:pPr>
    </w:p>
    <w:p w14:paraId="19BAB580" w14:textId="77777777" w:rsidR="00A77B3E" w:rsidRPr="00023C89" w:rsidRDefault="00806FB9" w:rsidP="00D0748F">
      <w:pPr>
        <w:spacing w:line="360" w:lineRule="auto"/>
        <w:jc w:val="both"/>
        <w:rPr>
          <w:rFonts w:ascii="Book Antiqua" w:hAnsi="Book Antiqua"/>
        </w:rPr>
      </w:pPr>
      <w:r w:rsidRPr="00023C89">
        <w:rPr>
          <w:rFonts w:ascii="Book Antiqua" w:eastAsia="Book Antiqua" w:hAnsi="Book Antiqua" w:cs="Book Antiqua"/>
          <w:color w:val="000000"/>
        </w:rPr>
        <w:t xml:space="preserve">Liu </w:t>
      </w:r>
      <w:r w:rsidRPr="00023C89">
        <w:rPr>
          <w:rFonts w:ascii="Book Antiqua" w:hAnsi="Book Antiqua" w:cs="Book Antiqua"/>
          <w:color w:val="000000"/>
          <w:lang w:eastAsia="zh-CN"/>
        </w:rPr>
        <w:t xml:space="preserve">Z </w:t>
      </w:r>
      <w:r w:rsidRPr="00023C89">
        <w:rPr>
          <w:rFonts w:ascii="Book Antiqua" w:hAnsi="Book Antiqua" w:cs="Book Antiqua"/>
          <w:i/>
          <w:color w:val="000000"/>
          <w:lang w:eastAsia="zh-CN"/>
        </w:rPr>
        <w:t>et al</w:t>
      </w:r>
      <w:r w:rsidRPr="00023C89">
        <w:rPr>
          <w:rFonts w:ascii="Book Antiqua" w:hAnsi="Book Antiqua" w:cs="Book Antiqua"/>
          <w:color w:val="000000"/>
          <w:lang w:eastAsia="zh-CN"/>
        </w:rPr>
        <w:t xml:space="preserve">. </w:t>
      </w:r>
      <w:r w:rsidR="00DE3352" w:rsidRPr="00023C89">
        <w:rPr>
          <w:rFonts w:ascii="Book Antiqua" w:eastAsia="Book Antiqua" w:hAnsi="Book Antiqua" w:cs="Book Antiqua"/>
          <w:color w:val="000000"/>
        </w:rPr>
        <w:t>Potential biomarkers and mechanism in DCM</w:t>
      </w:r>
    </w:p>
    <w:p w14:paraId="2AD1A620" w14:textId="77777777" w:rsidR="00A77B3E" w:rsidRPr="00023C89" w:rsidRDefault="00A77B3E" w:rsidP="00D0748F">
      <w:pPr>
        <w:spacing w:line="360" w:lineRule="auto"/>
        <w:jc w:val="both"/>
        <w:rPr>
          <w:rFonts w:ascii="Book Antiqua" w:hAnsi="Book Antiqua"/>
        </w:rPr>
      </w:pPr>
    </w:p>
    <w:p w14:paraId="47DEDD0F"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Zhou Liu</w:t>
      </w:r>
      <w:r w:rsidR="00A10B7D"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Ying</w:t>
      </w:r>
      <w:r w:rsidR="00A10B7D" w:rsidRPr="00023C89">
        <w:rPr>
          <w:rFonts w:ascii="Book Antiqua" w:eastAsia="Book Antiqua" w:hAnsi="Book Antiqua" w:cs="Book Antiqua"/>
          <w:color w:val="000000"/>
        </w:rPr>
        <w:t xml:space="preserve">-Nan </w:t>
      </w:r>
      <w:r w:rsidRPr="00023C89">
        <w:rPr>
          <w:rFonts w:ascii="Book Antiqua" w:eastAsia="Book Antiqua" w:hAnsi="Book Antiqua" w:cs="Book Antiqua"/>
          <w:color w:val="000000"/>
        </w:rPr>
        <w:t>Song</w:t>
      </w:r>
      <w:r w:rsidR="00A10B7D"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Kai</w:t>
      </w:r>
      <w:r w:rsidR="00A10B7D" w:rsidRPr="00023C89">
        <w:rPr>
          <w:rFonts w:ascii="Book Antiqua" w:eastAsia="Book Antiqua" w:hAnsi="Book Antiqua" w:cs="Book Antiqua"/>
          <w:color w:val="000000"/>
        </w:rPr>
        <w:t xml:space="preserve">-Yuan </w:t>
      </w:r>
      <w:r w:rsidRPr="00023C89">
        <w:rPr>
          <w:rFonts w:ascii="Book Antiqua" w:eastAsia="Book Antiqua" w:hAnsi="Book Antiqua" w:cs="Book Antiqua"/>
          <w:color w:val="000000"/>
        </w:rPr>
        <w:t>Chen</w:t>
      </w:r>
      <w:r w:rsidR="00A10B7D"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Wei</w:t>
      </w:r>
      <w:r w:rsidR="00A10B7D" w:rsidRPr="00023C89">
        <w:rPr>
          <w:rFonts w:ascii="Book Antiqua" w:eastAsia="Book Antiqua" w:hAnsi="Book Antiqua" w:cs="Book Antiqua"/>
          <w:color w:val="000000"/>
        </w:rPr>
        <w:t xml:space="preserve">-Long </w:t>
      </w:r>
      <w:r w:rsidRPr="00023C89">
        <w:rPr>
          <w:rFonts w:ascii="Book Antiqua" w:eastAsia="Book Antiqua" w:hAnsi="Book Antiqua" w:cs="Book Antiqua"/>
          <w:color w:val="000000"/>
        </w:rPr>
        <w:t>Gao</w:t>
      </w:r>
      <w:r w:rsidR="00A10B7D"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Hong</w:t>
      </w:r>
      <w:r w:rsidR="00A10B7D" w:rsidRPr="00023C89">
        <w:rPr>
          <w:rFonts w:ascii="Book Antiqua" w:eastAsia="Book Antiqua" w:hAnsi="Book Antiqua" w:cs="Book Antiqua"/>
          <w:color w:val="000000"/>
        </w:rPr>
        <w:t xml:space="preserve">-Jin </w:t>
      </w:r>
      <w:r w:rsidRPr="00023C89">
        <w:rPr>
          <w:rFonts w:ascii="Book Antiqua" w:eastAsia="Book Antiqua" w:hAnsi="Book Antiqua" w:cs="Book Antiqua"/>
          <w:color w:val="000000"/>
        </w:rPr>
        <w:t>Chen</w:t>
      </w:r>
      <w:r w:rsidR="00A10B7D"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Gui</w:t>
      </w:r>
      <w:r w:rsidR="00A10B7D" w:rsidRPr="00023C89">
        <w:rPr>
          <w:rFonts w:ascii="Book Antiqua" w:eastAsia="Book Antiqua" w:hAnsi="Book Antiqua" w:cs="Book Antiqua"/>
          <w:color w:val="000000"/>
        </w:rPr>
        <w:t xml:space="preserve">-You </w:t>
      </w:r>
      <w:r w:rsidRPr="00023C89">
        <w:rPr>
          <w:rFonts w:ascii="Book Antiqua" w:eastAsia="Book Antiqua" w:hAnsi="Book Antiqua" w:cs="Book Antiqua"/>
          <w:color w:val="000000"/>
        </w:rPr>
        <w:t>Liang</w:t>
      </w:r>
    </w:p>
    <w:p w14:paraId="4BD37492" w14:textId="77777777" w:rsidR="00A77B3E" w:rsidRPr="00023C89" w:rsidRDefault="00A77B3E" w:rsidP="00D0748F">
      <w:pPr>
        <w:spacing w:line="360" w:lineRule="auto"/>
        <w:jc w:val="both"/>
        <w:rPr>
          <w:rFonts w:ascii="Book Antiqua" w:hAnsi="Book Antiqua"/>
        </w:rPr>
      </w:pPr>
    </w:p>
    <w:p w14:paraId="0A2BE301"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bCs/>
          <w:color w:val="000000"/>
        </w:rPr>
        <w:t>Zhou Liu</w:t>
      </w:r>
      <w:r w:rsidR="00A10B7D" w:rsidRPr="00023C89">
        <w:rPr>
          <w:rFonts w:ascii="Book Antiqua" w:eastAsia="Book Antiqua" w:hAnsi="Book Antiqua" w:cs="Book Antiqua"/>
          <w:b/>
          <w:bCs/>
          <w:color w:val="000000"/>
        </w:rPr>
        <w:t xml:space="preserve">, </w:t>
      </w:r>
      <w:r w:rsidRPr="00023C89">
        <w:rPr>
          <w:rFonts w:ascii="Book Antiqua" w:eastAsia="Book Antiqua" w:hAnsi="Book Antiqua" w:cs="Book Antiqua"/>
          <w:b/>
          <w:bCs/>
          <w:color w:val="000000"/>
        </w:rPr>
        <w:t>Gui</w:t>
      </w:r>
      <w:r w:rsidR="00A10B7D" w:rsidRPr="00023C89">
        <w:rPr>
          <w:rFonts w:ascii="Book Antiqua" w:eastAsia="Book Antiqua" w:hAnsi="Book Antiqua" w:cs="Book Antiqua"/>
          <w:b/>
          <w:bCs/>
          <w:color w:val="000000"/>
        </w:rPr>
        <w:t xml:space="preserve">-You </w:t>
      </w:r>
      <w:r w:rsidRPr="00023C89">
        <w:rPr>
          <w:rFonts w:ascii="Book Antiqua" w:eastAsia="Book Antiqua" w:hAnsi="Book Antiqua" w:cs="Book Antiqua"/>
          <w:b/>
          <w:bCs/>
          <w:color w:val="000000"/>
        </w:rPr>
        <w:t>Liang</w:t>
      </w:r>
      <w:r w:rsidR="00A10B7D" w:rsidRPr="00023C89">
        <w:rPr>
          <w:rFonts w:ascii="Book Antiqua" w:eastAsia="Book Antiqua" w:hAnsi="Book Antiqua" w:cs="Book Antiqua"/>
          <w:b/>
          <w:bCs/>
          <w:color w:val="000000"/>
        </w:rPr>
        <w:t>,</w:t>
      </w:r>
      <w:r w:rsidRPr="00023C89">
        <w:rPr>
          <w:rFonts w:ascii="Book Antiqua" w:eastAsia="Book Antiqua" w:hAnsi="Book Antiqua" w:cs="Book Antiqua"/>
          <w:b/>
          <w:bCs/>
          <w:color w:val="000000"/>
        </w:rPr>
        <w:t xml:space="preserve"> </w:t>
      </w:r>
      <w:bookmarkStart w:id="0" w:name="OLE_LINK254"/>
      <w:bookmarkStart w:id="1" w:name="OLE_LINK255"/>
      <w:r w:rsidRPr="00023C89">
        <w:rPr>
          <w:rFonts w:ascii="Book Antiqua" w:eastAsia="Book Antiqua" w:hAnsi="Book Antiqua" w:cs="Book Antiqua"/>
          <w:color w:val="000000"/>
        </w:rPr>
        <w:t>School of Basic Medical Sciences</w:t>
      </w:r>
      <w:bookmarkEnd w:id="0"/>
      <w:bookmarkEnd w:id="1"/>
      <w:r w:rsidRPr="00023C89">
        <w:rPr>
          <w:rFonts w:ascii="Book Antiqua" w:eastAsia="Book Antiqua" w:hAnsi="Book Antiqua" w:cs="Book Antiqua"/>
          <w:color w:val="000000"/>
        </w:rPr>
        <w:t xml:space="preserve">, </w:t>
      </w:r>
      <w:bookmarkStart w:id="2" w:name="OLE_LINK256"/>
      <w:bookmarkStart w:id="3" w:name="OLE_LINK257"/>
      <w:r w:rsidRPr="00023C89">
        <w:rPr>
          <w:rFonts w:ascii="Book Antiqua" w:eastAsia="Book Antiqua" w:hAnsi="Book Antiqua" w:cs="Book Antiqua"/>
          <w:color w:val="000000"/>
        </w:rPr>
        <w:t>Guizhou Medical University</w:t>
      </w:r>
      <w:bookmarkEnd w:id="2"/>
      <w:bookmarkEnd w:id="3"/>
      <w:r w:rsidRPr="00023C89">
        <w:rPr>
          <w:rFonts w:ascii="Book Antiqua" w:eastAsia="Book Antiqua" w:hAnsi="Book Antiqua" w:cs="Book Antiqua"/>
          <w:color w:val="000000"/>
        </w:rPr>
        <w:t xml:space="preserve">, Guiyang 550025, </w:t>
      </w:r>
      <w:r w:rsidR="00806FB9" w:rsidRPr="00023C89">
        <w:rPr>
          <w:rFonts w:ascii="Book Antiqua" w:hAnsi="Book Antiqua" w:cs="Book Antiqua"/>
          <w:color w:val="000000"/>
          <w:lang w:eastAsia="zh-CN"/>
        </w:rPr>
        <w:t xml:space="preserve">Guizhou Province, </w:t>
      </w:r>
      <w:bookmarkStart w:id="4" w:name="OLE_LINK1"/>
      <w:bookmarkStart w:id="5" w:name="OLE_LINK2"/>
      <w:r w:rsidRPr="00023C89">
        <w:rPr>
          <w:rFonts w:ascii="Book Antiqua" w:eastAsia="Book Antiqua" w:hAnsi="Book Antiqua" w:cs="Book Antiqua"/>
          <w:color w:val="000000"/>
        </w:rPr>
        <w:t>China</w:t>
      </w:r>
      <w:bookmarkEnd w:id="4"/>
      <w:bookmarkEnd w:id="5"/>
    </w:p>
    <w:p w14:paraId="50B0484C" w14:textId="77777777" w:rsidR="00A77B3E" w:rsidRPr="00023C89" w:rsidRDefault="00A77B3E" w:rsidP="00D0748F">
      <w:pPr>
        <w:spacing w:line="360" w:lineRule="auto"/>
        <w:jc w:val="both"/>
        <w:rPr>
          <w:rFonts w:ascii="Book Antiqua" w:hAnsi="Book Antiqua"/>
        </w:rPr>
      </w:pPr>
    </w:p>
    <w:p w14:paraId="15D26886"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bCs/>
          <w:color w:val="000000"/>
        </w:rPr>
        <w:t>Zhou Liu</w:t>
      </w:r>
      <w:r w:rsidR="00A10B7D" w:rsidRPr="00023C89">
        <w:rPr>
          <w:rFonts w:ascii="Book Antiqua" w:eastAsia="Book Antiqua" w:hAnsi="Book Antiqua" w:cs="Book Antiqua"/>
          <w:b/>
          <w:bCs/>
          <w:color w:val="000000"/>
        </w:rPr>
        <w:t xml:space="preserve">, </w:t>
      </w:r>
      <w:r w:rsidRPr="00023C89">
        <w:rPr>
          <w:rFonts w:ascii="Book Antiqua" w:eastAsia="Book Antiqua" w:hAnsi="Book Antiqua" w:cs="Book Antiqua"/>
          <w:b/>
          <w:bCs/>
          <w:color w:val="000000"/>
        </w:rPr>
        <w:t>Ying</w:t>
      </w:r>
      <w:r w:rsidR="00A10B7D" w:rsidRPr="00023C89">
        <w:rPr>
          <w:rFonts w:ascii="Book Antiqua" w:eastAsia="Book Antiqua" w:hAnsi="Book Antiqua" w:cs="Book Antiqua"/>
          <w:b/>
          <w:bCs/>
          <w:color w:val="000000"/>
        </w:rPr>
        <w:t xml:space="preserve">-Nan </w:t>
      </w:r>
      <w:r w:rsidRPr="00023C89">
        <w:rPr>
          <w:rFonts w:ascii="Book Antiqua" w:eastAsia="Book Antiqua" w:hAnsi="Book Antiqua" w:cs="Book Antiqua"/>
          <w:b/>
          <w:bCs/>
          <w:color w:val="000000"/>
        </w:rPr>
        <w:t>Song</w:t>
      </w:r>
      <w:r w:rsidR="00A10B7D" w:rsidRPr="00023C89">
        <w:rPr>
          <w:rFonts w:ascii="Book Antiqua" w:eastAsia="Book Antiqua" w:hAnsi="Book Antiqua" w:cs="Book Antiqua"/>
          <w:b/>
          <w:bCs/>
          <w:color w:val="000000"/>
        </w:rPr>
        <w:t xml:space="preserve">, </w:t>
      </w:r>
      <w:r w:rsidRPr="00023C89">
        <w:rPr>
          <w:rFonts w:ascii="Book Antiqua" w:eastAsia="Book Antiqua" w:hAnsi="Book Antiqua" w:cs="Book Antiqua"/>
          <w:b/>
          <w:bCs/>
          <w:color w:val="000000"/>
        </w:rPr>
        <w:t>Kai</w:t>
      </w:r>
      <w:r w:rsidR="00A10B7D" w:rsidRPr="00023C89">
        <w:rPr>
          <w:rFonts w:ascii="Book Antiqua" w:eastAsia="Book Antiqua" w:hAnsi="Book Antiqua" w:cs="Book Antiqua"/>
          <w:b/>
          <w:bCs/>
          <w:color w:val="000000"/>
        </w:rPr>
        <w:t xml:space="preserve">-Yuan </w:t>
      </w:r>
      <w:r w:rsidRPr="00023C89">
        <w:rPr>
          <w:rFonts w:ascii="Book Antiqua" w:eastAsia="Book Antiqua" w:hAnsi="Book Antiqua" w:cs="Book Antiqua"/>
          <w:b/>
          <w:bCs/>
          <w:color w:val="000000"/>
        </w:rPr>
        <w:t>Chen</w:t>
      </w:r>
      <w:r w:rsidR="00A10B7D" w:rsidRPr="00023C89">
        <w:rPr>
          <w:rFonts w:ascii="Book Antiqua" w:eastAsia="Book Antiqua" w:hAnsi="Book Antiqua" w:cs="Book Antiqua"/>
          <w:b/>
          <w:bCs/>
          <w:color w:val="000000"/>
        </w:rPr>
        <w:t xml:space="preserve">, </w:t>
      </w:r>
      <w:r w:rsidRPr="00023C89">
        <w:rPr>
          <w:rFonts w:ascii="Book Antiqua" w:eastAsia="Book Antiqua" w:hAnsi="Book Antiqua" w:cs="Book Antiqua"/>
          <w:b/>
          <w:bCs/>
          <w:color w:val="000000"/>
        </w:rPr>
        <w:t>Wei</w:t>
      </w:r>
      <w:r w:rsidR="00A10B7D" w:rsidRPr="00023C89">
        <w:rPr>
          <w:rFonts w:ascii="Book Antiqua" w:eastAsia="Book Antiqua" w:hAnsi="Book Antiqua" w:cs="Book Antiqua"/>
          <w:b/>
          <w:bCs/>
          <w:color w:val="000000"/>
        </w:rPr>
        <w:t xml:space="preserve">-Long </w:t>
      </w:r>
      <w:r w:rsidRPr="00023C89">
        <w:rPr>
          <w:rFonts w:ascii="Book Antiqua" w:eastAsia="Book Antiqua" w:hAnsi="Book Antiqua" w:cs="Book Antiqua"/>
          <w:b/>
          <w:bCs/>
          <w:color w:val="000000"/>
        </w:rPr>
        <w:t>Gao</w:t>
      </w:r>
      <w:r w:rsidR="00A10B7D" w:rsidRPr="00023C89">
        <w:rPr>
          <w:rFonts w:ascii="Book Antiqua" w:eastAsia="Book Antiqua" w:hAnsi="Book Antiqua" w:cs="Book Antiqua"/>
          <w:b/>
          <w:bCs/>
          <w:color w:val="000000"/>
        </w:rPr>
        <w:t xml:space="preserve">, </w:t>
      </w:r>
      <w:r w:rsidR="004A481C" w:rsidRPr="00023C89">
        <w:rPr>
          <w:rFonts w:ascii="Book Antiqua" w:eastAsia="Book Antiqua" w:hAnsi="Book Antiqua" w:cs="Book Antiqua"/>
          <w:b/>
          <w:bCs/>
          <w:color w:val="000000"/>
        </w:rPr>
        <w:t>H</w:t>
      </w:r>
      <w:r w:rsidR="004A481C" w:rsidRPr="00023C89">
        <w:rPr>
          <w:rFonts w:ascii="Book Antiqua" w:hAnsi="Book Antiqua" w:cs="Book Antiqua"/>
          <w:b/>
          <w:bCs/>
          <w:color w:val="000000"/>
          <w:lang w:eastAsia="zh-CN"/>
        </w:rPr>
        <w:t>ong</w:t>
      </w:r>
      <w:r w:rsidR="004A481C" w:rsidRPr="00023C89">
        <w:rPr>
          <w:rFonts w:ascii="Book Antiqua" w:eastAsia="Book Antiqua" w:hAnsi="Book Antiqua" w:cs="Book Antiqua"/>
          <w:b/>
          <w:bCs/>
          <w:color w:val="000000"/>
        </w:rPr>
        <w:t>-</w:t>
      </w:r>
      <w:r w:rsidR="00FA7E1B" w:rsidRPr="00023C89">
        <w:rPr>
          <w:rFonts w:ascii="Book Antiqua" w:eastAsia="Book Antiqua" w:hAnsi="Book Antiqua" w:cs="Book Antiqua"/>
          <w:b/>
          <w:bCs/>
          <w:color w:val="000000"/>
        </w:rPr>
        <w:t>J</w:t>
      </w:r>
      <w:r w:rsidR="004A481C" w:rsidRPr="00023C89">
        <w:rPr>
          <w:rFonts w:ascii="Book Antiqua" w:eastAsia="Book Antiqua" w:hAnsi="Book Antiqua" w:cs="Book Antiqua"/>
          <w:b/>
          <w:bCs/>
          <w:color w:val="000000"/>
        </w:rPr>
        <w:t xml:space="preserve">in Chen, </w:t>
      </w:r>
      <w:r w:rsidRPr="00023C89">
        <w:rPr>
          <w:rFonts w:ascii="Book Antiqua" w:eastAsia="Book Antiqua" w:hAnsi="Book Antiqua" w:cs="Book Antiqua"/>
          <w:b/>
          <w:bCs/>
          <w:color w:val="000000"/>
        </w:rPr>
        <w:t>Gui</w:t>
      </w:r>
      <w:r w:rsidR="00A10B7D" w:rsidRPr="00023C89">
        <w:rPr>
          <w:rFonts w:ascii="Book Antiqua" w:eastAsia="Book Antiqua" w:hAnsi="Book Antiqua" w:cs="Book Antiqua"/>
          <w:b/>
          <w:bCs/>
          <w:color w:val="000000"/>
        </w:rPr>
        <w:t xml:space="preserve">-You </w:t>
      </w:r>
      <w:r w:rsidRPr="00023C89">
        <w:rPr>
          <w:rFonts w:ascii="Book Antiqua" w:eastAsia="Book Antiqua" w:hAnsi="Book Antiqua" w:cs="Book Antiqua"/>
          <w:b/>
          <w:bCs/>
          <w:color w:val="000000"/>
        </w:rPr>
        <w:t>Liang</w:t>
      </w:r>
      <w:r w:rsidR="00A10B7D" w:rsidRPr="00023C89">
        <w:rPr>
          <w:rFonts w:ascii="Book Antiqua" w:eastAsia="Book Antiqua" w:hAnsi="Book Antiqua" w:cs="Book Antiqua"/>
          <w:b/>
          <w:bCs/>
          <w:color w:val="000000"/>
        </w:rPr>
        <w:t xml:space="preserve">, </w:t>
      </w:r>
      <w:r w:rsidRPr="00023C89">
        <w:rPr>
          <w:rFonts w:ascii="Book Antiqua" w:eastAsia="Book Antiqua" w:hAnsi="Book Antiqua" w:cs="Book Antiqua"/>
          <w:color w:val="000000"/>
        </w:rPr>
        <w:t xml:space="preserve">Translational Medicine Research Center, Guizhou Medical University, Guiyang 550025, </w:t>
      </w:r>
      <w:bookmarkStart w:id="6" w:name="OLE_LINK262"/>
      <w:bookmarkStart w:id="7" w:name="OLE_LINK263"/>
      <w:r w:rsidR="00806FB9" w:rsidRPr="00023C89">
        <w:rPr>
          <w:rFonts w:ascii="Book Antiqua" w:hAnsi="Book Antiqua" w:cs="Book Antiqua"/>
          <w:color w:val="000000"/>
          <w:lang w:eastAsia="zh-CN"/>
        </w:rPr>
        <w:t>Guizhou Province</w:t>
      </w:r>
      <w:bookmarkEnd w:id="6"/>
      <w:bookmarkEnd w:id="7"/>
      <w:r w:rsidR="00806FB9" w:rsidRPr="00023C89">
        <w:rPr>
          <w:rFonts w:ascii="Book Antiqua" w:hAnsi="Book Antiqua" w:cs="Book Antiqua"/>
          <w:color w:val="000000"/>
          <w:lang w:eastAsia="zh-CN"/>
        </w:rPr>
        <w:t xml:space="preserve">, </w:t>
      </w:r>
      <w:r w:rsidRPr="00023C89">
        <w:rPr>
          <w:rFonts w:ascii="Book Antiqua" w:eastAsia="Book Antiqua" w:hAnsi="Book Antiqua" w:cs="Book Antiqua"/>
          <w:color w:val="000000"/>
        </w:rPr>
        <w:t>China</w:t>
      </w:r>
    </w:p>
    <w:p w14:paraId="44009926" w14:textId="77777777" w:rsidR="00A77B3E" w:rsidRPr="00023C89" w:rsidRDefault="00A77B3E" w:rsidP="00D0748F">
      <w:pPr>
        <w:spacing w:line="360" w:lineRule="auto"/>
        <w:jc w:val="both"/>
        <w:rPr>
          <w:rFonts w:ascii="Book Antiqua" w:hAnsi="Book Antiqua"/>
        </w:rPr>
      </w:pPr>
    </w:p>
    <w:p w14:paraId="660010AF" w14:textId="77777777" w:rsidR="00A77B3E" w:rsidRPr="00023C89" w:rsidRDefault="00DE3352" w:rsidP="00D0748F">
      <w:pPr>
        <w:spacing w:line="360" w:lineRule="auto"/>
        <w:jc w:val="both"/>
        <w:rPr>
          <w:rFonts w:ascii="Book Antiqua" w:hAnsi="Book Antiqua"/>
        </w:rPr>
      </w:pPr>
      <w:bookmarkStart w:id="8" w:name="OLE_LINK260"/>
      <w:bookmarkStart w:id="9" w:name="OLE_LINK261"/>
      <w:r w:rsidRPr="00023C89">
        <w:rPr>
          <w:rFonts w:ascii="Book Antiqua" w:eastAsia="Book Antiqua" w:hAnsi="Book Antiqua" w:cs="Book Antiqua"/>
          <w:b/>
          <w:bCs/>
          <w:color w:val="000000"/>
        </w:rPr>
        <w:t>Ying</w:t>
      </w:r>
      <w:r w:rsidR="00A10B7D" w:rsidRPr="00023C89">
        <w:rPr>
          <w:rFonts w:ascii="Book Antiqua" w:eastAsia="Book Antiqua" w:hAnsi="Book Antiqua" w:cs="Book Antiqua"/>
          <w:b/>
          <w:bCs/>
          <w:color w:val="000000"/>
        </w:rPr>
        <w:t>-Nan</w:t>
      </w:r>
      <w:bookmarkEnd w:id="8"/>
      <w:bookmarkEnd w:id="9"/>
      <w:r w:rsidR="00A10B7D" w:rsidRPr="00023C89">
        <w:rPr>
          <w:rFonts w:ascii="Book Antiqua" w:eastAsia="Book Antiqua" w:hAnsi="Book Antiqua" w:cs="Book Antiqua"/>
          <w:b/>
          <w:bCs/>
          <w:color w:val="000000"/>
        </w:rPr>
        <w:t xml:space="preserve"> </w:t>
      </w:r>
      <w:r w:rsidRPr="00023C89">
        <w:rPr>
          <w:rFonts w:ascii="Book Antiqua" w:eastAsia="Book Antiqua" w:hAnsi="Book Antiqua" w:cs="Book Antiqua"/>
          <w:b/>
          <w:bCs/>
          <w:color w:val="000000"/>
        </w:rPr>
        <w:t>Song</w:t>
      </w:r>
      <w:r w:rsidR="00A10B7D" w:rsidRPr="00023C89">
        <w:rPr>
          <w:rFonts w:ascii="Book Antiqua" w:eastAsia="Book Antiqua" w:hAnsi="Book Antiqua" w:cs="Book Antiqua"/>
          <w:b/>
          <w:bCs/>
          <w:color w:val="000000"/>
        </w:rPr>
        <w:t xml:space="preserve">, </w:t>
      </w:r>
      <w:r w:rsidRPr="00023C89">
        <w:rPr>
          <w:rFonts w:ascii="Book Antiqua" w:eastAsia="Book Antiqua" w:hAnsi="Book Antiqua" w:cs="Book Antiqua"/>
          <w:b/>
          <w:bCs/>
          <w:color w:val="000000"/>
        </w:rPr>
        <w:t>Hong</w:t>
      </w:r>
      <w:r w:rsidR="00A10B7D" w:rsidRPr="00023C89">
        <w:rPr>
          <w:rFonts w:ascii="Book Antiqua" w:eastAsia="Book Antiqua" w:hAnsi="Book Antiqua" w:cs="Book Antiqua"/>
          <w:b/>
          <w:bCs/>
          <w:color w:val="000000"/>
        </w:rPr>
        <w:t xml:space="preserve">-Jin </w:t>
      </w:r>
      <w:r w:rsidRPr="00023C89">
        <w:rPr>
          <w:rFonts w:ascii="Book Antiqua" w:eastAsia="Book Antiqua" w:hAnsi="Book Antiqua" w:cs="Book Antiqua"/>
          <w:b/>
          <w:bCs/>
          <w:color w:val="000000"/>
        </w:rPr>
        <w:t>Chen</w:t>
      </w:r>
      <w:r w:rsidR="00A10B7D" w:rsidRPr="00023C89">
        <w:rPr>
          <w:rFonts w:ascii="Book Antiqua" w:eastAsia="Book Antiqua" w:hAnsi="Book Antiqua" w:cs="Book Antiqua"/>
          <w:b/>
          <w:bCs/>
          <w:color w:val="000000"/>
        </w:rPr>
        <w:t xml:space="preserve">, </w:t>
      </w:r>
      <w:r w:rsidRPr="00023C89">
        <w:rPr>
          <w:rFonts w:ascii="Book Antiqua" w:eastAsia="Book Antiqua" w:hAnsi="Book Antiqua" w:cs="Book Antiqua"/>
          <w:b/>
          <w:bCs/>
          <w:color w:val="000000"/>
        </w:rPr>
        <w:t>Gui</w:t>
      </w:r>
      <w:r w:rsidR="00A10B7D" w:rsidRPr="00023C89">
        <w:rPr>
          <w:rFonts w:ascii="Book Antiqua" w:eastAsia="Book Antiqua" w:hAnsi="Book Antiqua" w:cs="Book Antiqua"/>
          <w:b/>
          <w:bCs/>
          <w:color w:val="000000"/>
        </w:rPr>
        <w:t xml:space="preserve">-You </w:t>
      </w:r>
      <w:r w:rsidRPr="00023C89">
        <w:rPr>
          <w:rFonts w:ascii="Book Antiqua" w:eastAsia="Book Antiqua" w:hAnsi="Book Antiqua" w:cs="Book Antiqua"/>
          <w:b/>
          <w:bCs/>
          <w:color w:val="000000"/>
        </w:rPr>
        <w:t>Liang</w:t>
      </w:r>
      <w:r w:rsidR="00A10B7D" w:rsidRPr="00023C89">
        <w:rPr>
          <w:rFonts w:ascii="Book Antiqua" w:eastAsia="Book Antiqua" w:hAnsi="Book Antiqua" w:cs="Book Antiqua"/>
          <w:b/>
          <w:bCs/>
          <w:color w:val="000000"/>
        </w:rPr>
        <w:t>,</w:t>
      </w:r>
      <w:r w:rsidRPr="00023C89">
        <w:rPr>
          <w:rFonts w:ascii="Book Antiqua" w:eastAsia="Book Antiqua" w:hAnsi="Book Antiqua" w:cs="Book Antiqua"/>
          <w:b/>
          <w:bCs/>
          <w:color w:val="000000"/>
        </w:rPr>
        <w:t xml:space="preserve"> </w:t>
      </w:r>
      <w:bookmarkStart w:id="10" w:name="OLE_LINK258"/>
      <w:bookmarkStart w:id="11" w:name="OLE_LINK259"/>
      <w:bookmarkStart w:id="12" w:name="OLE_LINK264"/>
      <w:bookmarkStart w:id="13" w:name="OLE_LINK265"/>
      <w:r w:rsidRPr="00023C89">
        <w:rPr>
          <w:rFonts w:ascii="Book Antiqua" w:eastAsia="Book Antiqua" w:hAnsi="Book Antiqua" w:cs="Book Antiqua"/>
          <w:color w:val="000000"/>
        </w:rPr>
        <w:t xml:space="preserve">Department of </w:t>
      </w:r>
      <w:r w:rsidRPr="00023C89">
        <w:rPr>
          <w:rFonts w:ascii="Book Antiqua" w:eastAsia="Book Antiqua" w:hAnsi="Book Antiqua" w:cs="Book Antiqua"/>
          <w:caps/>
          <w:color w:val="000000"/>
        </w:rPr>
        <w:t>c</w:t>
      </w:r>
      <w:r w:rsidRPr="00023C89">
        <w:rPr>
          <w:rFonts w:ascii="Book Antiqua" w:eastAsia="Book Antiqua" w:hAnsi="Book Antiqua" w:cs="Book Antiqua"/>
          <w:color w:val="000000"/>
        </w:rPr>
        <w:t xml:space="preserve">ardiovascular </w:t>
      </w:r>
      <w:r w:rsidRPr="00023C89">
        <w:rPr>
          <w:rFonts w:ascii="Book Antiqua" w:eastAsia="Book Antiqua" w:hAnsi="Book Antiqua" w:cs="Book Antiqua"/>
          <w:caps/>
          <w:color w:val="000000"/>
        </w:rPr>
        <w:t>s</w:t>
      </w:r>
      <w:r w:rsidRPr="00023C89">
        <w:rPr>
          <w:rFonts w:ascii="Book Antiqua" w:eastAsia="Book Antiqua" w:hAnsi="Book Antiqua" w:cs="Book Antiqua"/>
          <w:color w:val="000000"/>
        </w:rPr>
        <w:t>urgery</w:t>
      </w:r>
      <w:bookmarkEnd w:id="10"/>
      <w:bookmarkEnd w:id="11"/>
      <w:bookmarkEnd w:id="12"/>
      <w:bookmarkEnd w:id="13"/>
      <w:r w:rsidRPr="00023C89">
        <w:rPr>
          <w:rFonts w:ascii="Book Antiqua" w:eastAsia="Book Antiqua" w:hAnsi="Book Antiqua" w:cs="Book Antiqua"/>
          <w:color w:val="000000"/>
        </w:rPr>
        <w:t xml:space="preserve">, the Affiliated Hospital of Guizhou Medical University, Guiyang 510000, </w:t>
      </w:r>
      <w:r w:rsidR="00806FB9" w:rsidRPr="00023C89">
        <w:rPr>
          <w:rFonts w:ascii="Book Antiqua" w:hAnsi="Book Antiqua" w:cs="Book Antiqua"/>
          <w:color w:val="000000"/>
          <w:lang w:eastAsia="zh-CN"/>
        </w:rPr>
        <w:t xml:space="preserve">Guizhou Province, </w:t>
      </w:r>
      <w:r w:rsidRPr="00023C89">
        <w:rPr>
          <w:rFonts w:ascii="Book Antiqua" w:eastAsia="Book Antiqua" w:hAnsi="Book Antiqua" w:cs="Book Antiqua"/>
          <w:color w:val="000000"/>
        </w:rPr>
        <w:t>China</w:t>
      </w:r>
    </w:p>
    <w:p w14:paraId="2B8CE729" w14:textId="77777777" w:rsidR="00A77B3E" w:rsidRPr="00023C89" w:rsidRDefault="00A77B3E" w:rsidP="00D0748F">
      <w:pPr>
        <w:spacing w:line="360" w:lineRule="auto"/>
        <w:jc w:val="both"/>
        <w:rPr>
          <w:rFonts w:ascii="Book Antiqua" w:hAnsi="Book Antiqua"/>
          <w:lang w:eastAsia="zh-CN"/>
        </w:rPr>
      </w:pPr>
    </w:p>
    <w:p w14:paraId="578CE4B6" w14:textId="69EDF674"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bCs/>
          <w:color w:val="000000"/>
        </w:rPr>
        <w:t xml:space="preserve">Author contributions: </w:t>
      </w:r>
      <w:r w:rsidRPr="00023C89">
        <w:rPr>
          <w:rFonts w:ascii="Book Antiqua" w:eastAsia="Book Antiqua" w:hAnsi="Book Antiqua" w:cs="Book Antiqua"/>
          <w:color w:val="000000"/>
        </w:rPr>
        <w:t xml:space="preserve">Liu Z and Song YN designed this study; Chen KY collected </w:t>
      </w:r>
      <w:r w:rsidR="00671C77" w:rsidRPr="00023C89">
        <w:rPr>
          <w:rFonts w:ascii="Book Antiqua" w:eastAsia="Book Antiqua" w:hAnsi="Book Antiqua" w:cs="Book Antiqua"/>
          <w:color w:val="000000"/>
        </w:rPr>
        <w:t xml:space="preserve">the </w:t>
      </w:r>
      <w:r w:rsidRPr="00023C89">
        <w:rPr>
          <w:rFonts w:ascii="Book Antiqua" w:eastAsia="Book Antiqua" w:hAnsi="Book Antiqua" w:cs="Book Antiqua"/>
          <w:color w:val="000000"/>
        </w:rPr>
        <w:t>relevant data; Liu Z analyzed the data; Liu Z and Gao WL drafte</w:t>
      </w:r>
      <w:r w:rsidR="00806FB9" w:rsidRPr="00023C89">
        <w:rPr>
          <w:rFonts w:ascii="Book Antiqua" w:eastAsia="Book Antiqua" w:hAnsi="Book Antiqua" w:cs="Book Antiqua"/>
          <w:color w:val="000000"/>
        </w:rPr>
        <w:t>d the manuscript; Chen HJ</w:t>
      </w:r>
      <w:r w:rsidR="00806FB9" w:rsidRPr="00023C89">
        <w:rPr>
          <w:rFonts w:ascii="Book Antiqua" w:hAnsi="Book Antiqua" w:cs="Book Antiqua"/>
          <w:color w:val="000000"/>
          <w:lang w:eastAsia="zh-CN"/>
        </w:rPr>
        <w:t xml:space="preserve"> and</w:t>
      </w:r>
      <w:r w:rsidRPr="00023C89">
        <w:rPr>
          <w:rFonts w:ascii="Book Antiqua" w:eastAsia="Book Antiqua" w:hAnsi="Book Antiqua" w:cs="Book Antiqua"/>
          <w:color w:val="000000"/>
        </w:rPr>
        <w:t xml:space="preserve"> Liang GY reviewed and supervised this manuscript; </w:t>
      </w:r>
      <w:r w:rsidRPr="00023C89">
        <w:rPr>
          <w:rFonts w:ascii="Book Antiqua" w:eastAsia="Book Antiqua" w:hAnsi="Book Antiqua" w:cs="Book Antiqua"/>
          <w:caps/>
          <w:color w:val="000000"/>
        </w:rPr>
        <w:t>a</w:t>
      </w:r>
      <w:r w:rsidRPr="00023C89">
        <w:rPr>
          <w:rFonts w:ascii="Book Antiqua" w:eastAsia="Book Antiqua" w:hAnsi="Book Antiqua" w:cs="Book Antiqua"/>
          <w:color w:val="000000"/>
        </w:rPr>
        <w:t>ll authors approved the final version of the article.</w:t>
      </w:r>
    </w:p>
    <w:p w14:paraId="532F0BA2" w14:textId="77777777" w:rsidR="00A77B3E" w:rsidRPr="00023C89" w:rsidRDefault="00A77B3E" w:rsidP="00D0748F">
      <w:pPr>
        <w:spacing w:line="360" w:lineRule="auto"/>
        <w:jc w:val="both"/>
        <w:rPr>
          <w:rFonts w:ascii="Book Antiqua" w:hAnsi="Book Antiqua"/>
        </w:rPr>
      </w:pPr>
    </w:p>
    <w:p w14:paraId="4EDE26CF" w14:textId="1557FBAA"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bCs/>
          <w:color w:val="000000"/>
        </w:rPr>
        <w:lastRenderedPageBreak/>
        <w:t xml:space="preserve">Supported by </w:t>
      </w:r>
      <w:r w:rsidRPr="00023C89">
        <w:rPr>
          <w:rFonts w:ascii="Book Antiqua" w:eastAsia="Book Antiqua" w:hAnsi="Book Antiqua" w:cs="Book Antiqua"/>
          <w:color w:val="000000"/>
        </w:rPr>
        <w:t>National Nature Science Foundation of China, No.</w:t>
      </w:r>
      <w:r w:rsidR="00A10B7D" w:rsidRPr="00023C89">
        <w:rPr>
          <w:rFonts w:ascii="Book Antiqua" w:hAnsi="Book Antiqua" w:cs="Book Antiqua"/>
          <w:color w:val="000000"/>
          <w:lang w:eastAsia="zh-CN"/>
        </w:rPr>
        <w:t xml:space="preserve"> </w:t>
      </w:r>
      <w:r w:rsidRPr="00023C89">
        <w:rPr>
          <w:rFonts w:ascii="Book Antiqua" w:eastAsia="Book Antiqua" w:hAnsi="Book Antiqua" w:cs="Book Antiqua"/>
          <w:color w:val="000000"/>
        </w:rPr>
        <w:t>81960051, No. 8217021743</w:t>
      </w:r>
      <w:r w:rsidR="00671C77"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and No. 82160060; Project of High–Level Innovative Talents of Guizhou Province, No.</w:t>
      </w:r>
      <w:r w:rsidR="00806FB9" w:rsidRPr="00023C89">
        <w:rPr>
          <w:rFonts w:ascii="Book Antiqua" w:hAnsi="Book Antiqua" w:cs="Book Antiqua"/>
          <w:color w:val="000000"/>
          <w:lang w:eastAsia="zh-CN"/>
        </w:rPr>
        <w:t xml:space="preserve"> </w:t>
      </w:r>
      <w:r w:rsidRPr="00023C89">
        <w:rPr>
          <w:rFonts w:ascii="Book Antiqua" w:eastAsia="Book Antiqua" w:hAnsi="Book Antiqua" w:cs="Book Antiqua"/>
          <w:color w:val="000000"/>
        </w:rPr>
        <w:t>[2016]4034; and Construction Funding from Characteristic Key Laboratory of Guizhou Province, No.</w:t>
      </w:r>
      <w:r w:rsidR="00806FB9" w:rsidRPr="00023C89">
        <w:rPr>
          <w:rFonts w:ascii="Book Antiqua" w:hAnsi="Book Antiqua" w:cs="Book Antiqua"/>
          <w:color w:val="000000"/>
          <w:lang w:eastAsia="zh-CN"/>
        </w:rPr>
        <w:t xml:space="preserve"> </w:t>
      </w:r>
      <w:bookmarkStart w:id="14" w:name="OLE_LINK5"/>
      <w:bookmarkStart w:id="15" w:name="OLE_LINK6"/>
      <w:r w:rsidRPr="00023C89">
        <w:rPr>
          <w:rFonts w:ascii="Book Antiqua" w:eastAsia="Book Antiqua" w:hAnsi="Book Antiqua" w:cs="Book Antiqua"/>
          <w:color w:val="000000"/>
        </w:rPr>
        <w:t>[2021]313</w:t>
      </w:r>
      <w:bookmarkEnd w:id="14"/>
      <w:bookmarkEnd w:id="15"/>
      <w:r w:rsidRPr="00023C89">
        <w:rPr>
          <w:rFonts w:ascii="Book Antiqua" w:eastAsia="Book Antiqua" w:hAnsi="Book Antiqua" w:cs="Book Antiqua"/>
          <w:color w:val="000000"/>
        </w:rPr>
        <w:t>.</w:t>
      </w:r>
    </w:p>
    <w:p w14:paraId="3B83AEB0" w14:textId="77777777" w:rsidR="00A77B3E" w:rsidRPr="00023C89" w:rsidRDefault="00A77B3E" w:rsidP="00D0748F">
      <w:pPr>
        <w:spacing w:line="360" w:lineRule="auto"/>
        <w:jc w:val="both"/>
        <w:rPr>
          <w:rFonts w:ascii="Book Antiqua" w:hAnsi="Book Antiqua"/>
        </w:rPr>
      </w:pPr>
    </w:p>
    <w:p w14:paraId="45D16776"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bCs/>
          <w:color w:val="000000"/>
        </w:rPr>
        <w:t xml:space="preserve">Corresponding author: </w:t>
      </w:r>
      <w:bookmarkStart w:id="16" w:name="OLE_LINK266"/>
      <w:bookmarkStart w:id="17" w:name="OLE_LINK267"/>
      <w:r w:rsidRPr="00023C89">
        <w:rPr>
          <w:rFonts w:ascii="Book Antiqua" w:eastAsia="Book Antiqua" w:hAnsi="Book Antiqua" w:cs="Book Antiqua"/>
          <w:b/>
          <w:bCs/>
          <w:color w:val="000000"/>
        </w:rPr>
        <w:t>Gui</w:t>
      </w:r>
      <w:r w:rsidR="00806FB9" w:rsidRPr="00023C89">
        <w:rPr>
          <w:rFonts w:ascii="Book Antiqua" w:hAnsi="Book Antiqua" w:cs="Book Antiqua"/>
          <w:b/>
          <w:bCs/>
          <w:color w:val="000000"/>
          <w:lang w:eastAsia="zh-CN"/>
        </w:rPr>
        <w:t>-</w:t>
      </w:r>
      <w:r w:rsidRPr="00023C89">
        <w:rPr>
          <w:rFonts w:ascii="Book Antiqua" w:eastAsia="Book Antiqua" w:hAnsi="Book Antiqua" w:cs="Book Antiqua"/>
          <w:b/>
          <w:bCs/>
          <w:caps/>
          <w:color w:val="000000"/>
        </w:rPr>
        <w:t>y</w:t>
      </w:r>
      <w:r w:rsidRPr="00023C89">
        <w:rPr>
          <w:rFonts w:ascii="Book Antiqua" w:eastAsia="Book Antiqua" w:hAnsi="Book Antiqua" w:cs="Book Antiqua"/>
          <w:b/>
          <w:bCs/>
          <w:color w:val="000000"/>
        </w:rPr>
        <w:t xml:space="preserve">ou Liang, MD, Professor, </w:t>
      </w:r>
      <w:r w:rsidRPr="00023C89">
        <w:rPr>
          <w:rFonts w:ascii="Book Antiqua" w:eastAsia="Book Antiqua" w:hAnsi="Book Antiqua" w:cs="Book Antiqua"/>
          <w:color w:val="000000"/>
        </w:rPr>
        <w:t>School of Basic Medical Sciences, Guizhou Medical University, Dang</w:t>
      </w:r>
      <w:r w:rsidR="00806FB9" w:rsidRPr="00023C89">
        <w:rPr>
          <w:rFonts w:ascii="Book Antiqua" w:eastAsia="Book Antiqua" w:hAnsi="Book Antiqua" w:cs="Book Antiqua"/>
          <w:color w:val="000000"/>
        </w:rPr>
        <w:t>w</w:t>
      </w:r>
      <w:r w:rsidRPr="00023C89">
        <w:rPr>
          <w:rFonts w:ascii="Book Antiqua" w:eastAsia="Book Antiqua" w:hAnsi="Book Antiqua" w:cs="Book Antiqua"/>
          <w:color w:val="000000"/>
        </w:rPr>
        <w:t>u, Gui</w:t>
      </w:r>
      <w:r w:rsidR="00806FB9" w:rsidRPr="00023C89">
        <w:rPr>
          <w:rFonts w:ascii="Book Antiqua" w:eastAsia="Book Antiqua" w:hAnsi="Book Antiqua" w:cs="Book Antiqua"/>
          <w:color w:val="000000"/>
        </w:rPr>
        <w:t>a</w:t>
      </w:r>
      <w:r w:rsidRPr="00023C89">
        <w:rPr>
          <w:rFonts w:ascii="Book Antiqua" w:eastAsia="Book Antiqua" w:hAnsi="Book Antiqua" w:cs="Book Antiqua"/>
          <w:color w:val="000000"/>
        </w:rPr>
        <w:t xml:space="preserve">n District, Guiyang 550025, </w:t>
      </w:r>
      <w:r w:rsidR="00806FB9" w:rsidRPr="00023C89">
        <w:rPr>
          <w:rFonts w:ascii="Book Antiqua" w:hAnsi="Book Antiqua" w:cs="Book Antiqua"/>
          <w:color w:val="000000"/>
          <w:lang w:eastAsia="zh-CN"/>
        </w:rPr>
        <w:t xml:space="preserve">Guizhou Province, </w:t>
      </w:r>
      <w:r w:rsidRPr="00023C89">
        <w:rPr>
          <w:rFonts w:ascii="Book Antiqua" w:eastAsia="Book Antiqua" w:hAnsi="Book Antiqua" w:cs="Book Antiqua"/>
          <w:color w:val="000000"/>
        </w:rPr>
        <w:t>China. guiyou515@163.com</w:t>
      </w:r>
    </w:p>
    <w:bookmarkEnd w:id="16"/>
    <w:bookmarkEnd w:id="17"/>
    <w:p w14:paraId="0D7AE553" w14:textId="77777777" w:rsidR="00A77B3E" w:rsidRPr="00023C89" w:rsidRDefault="00A77B3E" w:rsidP="00D0748F">
      <w:pPr>
        <w:spacing w:line="360" w:lineRule="auto"/>
        <w:jc w:val="both"/>
        <w:rPr>
          <w:rFonts w:ascii="Book Antiqua" w:hAnsi="Book Antiqua"/>
        </w:rPr>
      </w:pPr>
    </w:p>
    <w:p w14:paraId="3EBC5142"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bCs/>
          <w:color w:val="000000"/>
        </w:rPr>
        <w:t xml:space="preserve">Received: </w:t>
      </w:r>
      <w:r w:rsidRPr="00023C89">
        <w:rPr>
          <w:rFonts w:ascii="Book Antiqua" w:eastAsia="Book Antiqua" w:hAnsi="Book Antiqua" w:cs="Book Antiqua"/>
          <w:color w:val="000000"/>
        </w:rPr>
        <w:t>December 14, 2021</w:t>
      </w:r>
    </w:p>
    <w:p w14:paraId="59861BFB" w14:textId="77777777" w:rsidR="00A77B3E" w:rsidRPr="00023C89" w:rsidRDefault="00DE3352" w:rsidP="00D0748F">
      <w:pPr>
        <w:spacing w:line="360" w:lineRule="auto"/>
        <w:jc w:val="both"/>
        <w:rPr>
          <w:rFonts w:ascii="Book Antiqua" w:hAnsi="Book Antiqua"/>
          <w:lang w:eastAsia="zh-CN"/>
        </w:rPr>
      </w:pPr>
      <w:r w:rsidRPr="00023C89">
        <w:rPr>
          <w:rFonts w:ascii="Book Antiqua" w:eastAsia="Book Antiqua" w:hAnsi="Book Antiqua" w:cs="Book Antiqua"/>
          <w:b/>
          <w:bCs/>
          <w:color w:val="000000"/>
        </w:rPr>
        <w:t xml:space="preserve">Revised: </w:t>
      </w:r>
      <w:bookmarkStart w:id="18" w:name="OLE_LINK28"/>
      <w:bookmarkStart w:id="19" w:name="OLE_LINK29"/>
      <w:bookmarkStart w:id="20" w:name="OLE_LINK65"/>
      <w:r w:rsidR="00B52847" w:rsidRPr="00023C89">
        <w:rPr>
          <w:rFonts w:ascii="Book Antiqua" w:hAnsi="Book Antiqua"/>
        </w:rPr>
        <w:t>February</w:t>
      </w:r>
      <w:bookmarkEnd w:id="18"/>
      <w:bookmarkEnd w:id="19"/>
      <w:bookmarkEnd w:id="20"/>
      <w:r w:rsidR="00B52847" w:rsidRPr="00023C89">
        <w:rPr>
          <w:rFonts w:ascii="Book Antiqua" w:hAnsi="Book Antiqua"/>
          <w:lang w:eastAsia="zh-CN"/>
        </w:rPr>
        <w:t xml:space="preserve"> 19, 2022</w:t>
      </w:r>
    </w:p>
    <w:p w14:paraId="08EC3F35" w14:textId="5C6ED0C8" w:rsidR="00A77B3E" w:rsidRPr="00023C89" w:rsidRDefault="00DE3352" w:rsidP="00D0748F">
      <w:pPr>
        <w:spacing w:line="360" w:lineRule="auto"/>
        <w:jc w:val="both"/>
        <w:rPr>
          <w:rFonts w:ascii="Book Antiqua" w:hAnsi="Book Antiqua"/>
          <w:lang w:eastAsia="zh-CN"/>
        </w:rPr>
      </w:pPr>
      <w:r w:rsidRPr="00023C89">
        <w:rPr>
          <w:rFonts w:ascii="Book Antiqua" w:eastAsia="Book Antiqua" w:hAnsi="Book Antiqua" w:cs="Book Antiqua"/>
          <w:b/>
          <w:bCs/>
          <w:color w:val="000000"/>
        </w:rPr>
        <w:t>Accepted:</w:t>
      </w:r>
      <w:r w:rsidR="00B1371F" w:rsidRPr="00023C89">
        <w:rPr>
          <w:rFonts w:ascii="Book Antiqua" w:eastAsia="Book Antiqua" w:hAnsi="Book Antiqua" w:cs="Book Antiqua"/>
          <w:b/>
          <w:bCs/>
          <w:color w:val="000000"/>
        </w:rPr>
        <w:t xml:space="preserve"> </w:t>
      </w:r>
      <w:r w:rsidR="00B1371F" w:rsidRPr="00023C89">
        <w:rPr>
          <w:rFonts w:ascii="Book Antiqua" w:eastAsia="Book Antiqua" w:hAnsi="Book Antiqua" w:cs="Book Antiqua"/>
          <w:color w:val="000000"/>
          <w:lang w:eastAsia="zh-CN"/>
        </w:rPr>
        <w:t>April 26, 2022</w:t>
      </w:r>
    </w:p>
    <w:p w14:paraId="6A41919E" w14:textId="71155509"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bCs/>
          <w:color w:val="000000"/>
        </w:rPr>
        <w:t>Published online:</w:t>
      </w:r>
      <w:r w:rsidR="007E093B" w:rsidRPr="00023C89">
        <w:rPr>
          <w:rFonts w:ascii="Book Antiqua" w:hAnsi="Book Antiqua"/>
          <w:color w:val="000000"/>
          <w:shd w:val="clear" w:color="auto" w:fill="FFFFFF"/>
        </w:rPr>
        <w:t xml:space="preserve"> May</w:t>
      </w:r>
      <w:r w:rsidR="007E093B" w:rsidRPr="00023C89">
        <w:rPr>
          <w:rFonts w:ascii="Book Antiqua" w:eastAsia="Microsoft YaHei UI" w:hAnsi="Book Antiqua"/>
          <w:color w:val="000000"/>
        </w:rPr>
        <w:t xml:space="preserve"> </w:t>
      </w:r>
      <w:r w:rsidR="007E093B" w:rsidRPr="00023C89">
        <w:rPr>
          <w:rFonts w:ascii="Book Antiqua" w:eastAsia="Microsoft YaHei UI" w:hAnsi="Book Antiqua" w:hint="eastAsia"/>
          <w:color w:val="000000"/>
        </w:rPr>
        <w:t>26, 2022</w:t>
      </w:r>
    </w:p>
    <w:p w14:paraId="707C5188" w14:textId="77777777" w:rsidR="00A77B3E" w:rsidRPr="00023C89" w:rsidRDefault="00A77B3E" w:rsidP="00D0748F">
      <w:pPr>
        <w:spacing w:line="360" w:lineRule="auto"/>
        <w:jc w:val="both"/>
        <w:rPr>
          <w:rFonts w:ascii="Book Antiqua" w:hAnsi="Book Antiqua"/>
        </w:rPr>
        <w:sectPr w:rsidR="00A77B3E" w:rsidRPr="00023C89">
          <w:footerReference w:type="default" r:id="rId6"/>
          <w:pgSz w:w="12240" w:h="15840"/>
          <w:pgMar w:top="1440" w:right="1440" w:bottom="1440" w:left="1440" w:header="720" w:footer="720" w:gutter="0"/>
          <w:cols w:space="720"/>
          <w:docGrid w:linePitch="360"/>
        </w:sectPr>
      </w:pPr>
    </w:p>
    <w:p w14:paraId="6C50C743"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lastRenderedPageBreak/>
        <w:t>Abstract</w:t>
      </w:r>
    </w:p>
    <w:p w14:paraId="71F95517"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BACKGROUND</w:t>
      </w:r>
    </w:p>
    <w:p w14:paraId="05424806"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Heart failure is a health burden responsible for high morbidity and mortality worldwide, and dilated cardiomyopathy (DCM) is one of the most common causes of heart failure. DCM is a disease of the heart muscle and is characterized by enlargement and dilation of at least one ventricle alongside impaired contractility with left ventricular ejection fraction &lt; 40%. It is also associated with abnormalities in cytoskeletal proteins, mitochondrial ATP transporter, microvasculature, and fibrosis. However, the pathogenesis and potential biomarkers of DCM remain to be investigated.</w:t>
      </w:r>
    </w:p>
    <w:p w14:paraId="5AD1BA9C" w14:textId="77777777" w:rsidR="00A77B3E" w:rsidRPr="00023C89" w:rsidRDefault="00A77B3E" w:rsidP="00D0748F">
      <w:pPr>
        <w:spacing w:line="360" w:lineRule="auto"/>
        <w:jc w:val="both"/>
        <w:rPr>
          <w:rFonts w:ascii="Book Antiqua" w:hAnsi="Book Antiqua"/>
        </w:rPr>
      </w:pPr>
    </w:p>
    <w:p w14:paraId="3AF0E7DC"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AIM</w:t>
      </w:r>
    </w:p>
    <w:p w14:paraId="46FBC00F"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To investigate the candidate genes and pathways involved in DCM patients.</w:t>
      </w:r>
    </w:p>
    <w:p w14:paraId="4303D0D2" w14:textId="77777777" w:rsidR="00A77B3E" w:rsidRPr="00023C89" w:rsidRDefault="00A77B3E" w:rsidP="00D0748F">
      <w:pPr>
        <w:spacing w:line="360" w:lineRule="auto"/>
        <w:jc w:val="both"/>
        <w:rPr>
          <w:rFonts w:ascii="Book Antiqua" w:hAnsi="Book Antiqua"/>
        </w:rPr>
      </w:pPr>
    </w:p>
    <w:p w14:paraId="046EEC2C"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METHODS</w:t>
      </w:r>
    </w:p>
    <w:p w14:paraId="2E670C55" w14:textId="26A2436B" w:rsidR="00A77B3E" w:rsidRPr="00023C89" w:rsidRDefault="00DE3352" w:rsidP="00D0748F">
      <w:pPr>
        <w:spacing w:line="360" w:lineRule="auto"/>
        <w:jc w:val="both"/>
        <w:rPr>
          <w:rFonts w:ascii="Book Antiqua" w:eastAsia="Book Antiqua" w:hAnsi="Book Antiqua" w:cs="Book Antiqua"/>
          <w:color w:val="000000"/>
        </w:rPr>
      </w:pPr>
      <w:r w:rsidRPr="00023C89">
        <w:rPr>
          <w:rFonts w:ascii="Book Antiqua" w:eastAsia="Book Antiqua" w:hAnsi="Book Antiqua" w:cs="Book Antiqua"/>
          <w:color w:val="000000"/>
        </w:rPr>
        <w:t xml:space="preserve">Two expression datasets (GSE3585 and GSE5406) were downloaded from the Gene Expression Omnibus database. The differentially expressed genes (DEGs) between the DCM patients and healthy individuals were identified using the R package “linear models for microarray data.” The pathways with common DEGs were analyzed </w:t>
      </w:r>
      <w:r w:rsidRPr="00023C89">
        <w:rPr>
          <w:rFonts w:ascii="Book Antiqua" w:eastAsia="Book Antiqua" w:hAnsi="Book Antiqua" w:cs="Book Antiqua"/>
          <w:i/>
          <w:iCs/>
          <w:color w:val="000000"/>
        </w:rPr>
        <w:t>via</w:t>
      </w:r>
      <w:r w:rsidRPr="00023C89">
        <w:rPr>
          <w:rFonts w:ascii="Book Antiqua" w:eastAsia="Book Antiqua" w:hAnsi="Book Antiqua" w:cs="Book Antiqua"/>
          <w:color w:val="000000"/>
        </w:rPr>
        <w:t xml:space="preserve"> Gene Ontology (GO), Kyoto Encyclopedia of Genes and Genomes (KEGG), and gene set enrichment analyses. Moreover, a protein-protein interaction network (PPI) was constructed to identify the hub genes and modules. The </w:t>
      </w:r>
      <w:r w:rsidR="00671C77" w:rsidRPr="00023C89">
        <w:rPr>
          <w:rFonts w:ascii="Book Antiqua" w:eastAsia="Book Antiqua" w:hAnsi="Book Antiqua" w:cs="Book Antiqua"/>
          <w:color w:val="000000"/>
        </w:rPr>
        <w:t xml:space="preserve">MicroRNA Database </w:t>
      </w:r>
      <w:r w:rsidRPr="00023C89">
        <w:rPr>
          <w:rFonts w:ascii="Book Antiqua" w:eastAsia="Book Antiqua" w:hAnsi="Book Antiqua" w:cs="Book Antiqua"/>
          <w:color w:val="000000"/>
        </w:rPr>
        <w:t>was applied to predict the microRNAs (miRNAs) targeting the hub genes. Additionally, immune</w:t>
      </w:r>
      <w:r w:rsidR="00671C77"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cell infiltration in DCM was analyzed using CIBERSORT.</w:t>
      </w:r>
    </w:p>
    <w:p w14:paraId="4250E322" w14:textId="77777777" w:rsidR="00A77B3E" w:rsidRPr="00023C89" w:rsidRDefault="00A77B3E" w:rsidP="00D0748F">
      <w:pPr>
        <w:spacing w:line="360" w:lineRule="auto"/>
        <w:jc w:val="both"/>
        <w:rPr>
          <w:rFonts w:ascii="Book Antiqua" w:hAnsi="Book Antiqua"/>
        </w:rPr>
      </w:pPr>
    </w:p>
    <w:p w14:paraId="3426696B"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RESULTS</w:t>
      </w:r>
    </w:p>
    <w:p w14:paraId="40A6EE16" w14:textId="6A73DC36"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 xml:space="preserve">In total, 97 DEGs (47 upregulated and 50 downregulated) were identified. GO analysis showed that the DEGs were mainly enriched in </w:t>
      </w:r>
      <w:r w:rsidR="00671C77" w:rsidRPr="00023C89">
        <w:rPr>
          <w:rFonts w:ascii="Book Antiqua" w:eastAsia="Book Antiqua" w:hAnsi="Book Antiqua" w:cs="Book Antiqua"/>
          <w:color w:val="000000"/>
        </w:rPr>
        <w:t>“</w:t>
      </w:r>
      <w:r w:rsidRPr="00023C89">
        <w:rPr>
          <w:rFonts w:ascii="Book Antiqua" w:eastAsia="Book Antiqua" w:hAnsi="Book Antiqua" w:cs="Book Antiqua"/>
          <w:color w:val="000000"/>
        </w:rPr>
        <w:t>response to growth factor,</w:t>
      </w:r>
      <w:r w:rsidR="00671C77"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671C77" w:rsidRPr="00023C89">
        <w:rPr>
          <w:rFonts w:ascii="Book Antiqua" w:eastAsia="Book Antiqua" w:hAnsi="Book Antiqua" w:cs="Book Antiqua"/>
          <w:color w:val="000000"/>
        </w:rPr>
        <w:t>“</w:t>
      </w:r>
      <w:r w:rsidRPr="00023C89">
        <w:rPr>
          <w:rFonts w:ascii="Book Antiqua" w:eastAsia="Book Antiqua" w:hAnsi="Book Antiqua" w:cs="Book Antiqua"/>
          <w:color w:val="000000"/>
        </w:rPr>
        <w:t>extracellular matrix,</w:t>
      </w:r>
      <w:r w:rsidR="00671C77"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and </w:t>
      </w:r>
      <w:r w:rsidR="00671C77" w:rsidRPr="00023C89">
        <w:rPr>
          <w:rFonts w:ascii="Book Antiqua" w:eastAsia="Book Antiqua" w:hAnsi="Book Antiqua" w:cs="Book Antiqua"/>
          <w:color w:val="000000"/>
        </w:rPr>
        <w:t>“</w:t>
      </w:r>
      <w:r w:rsidRPr="00023C89">
        <w:rPr>
          <w:rFonts w:ascii="Book Antiqua" w:eastAsia="Book Antiqua" w:hAnsi="Book Antiqua" w:cs="Book Antiqua"/>
          <w:color w:val="000000"/>
        </w:rPr>
        <w:t>extracellular matrix structural constituent.</w:t>
      </w:r>
      <w:r w:rsidR="00671C77"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KEGG pathway analysis indicated that the DEGs were mainly enriched in </w:t>
      </w:r>
      <w:r w:rsidR="00671C77"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protein digestion and </w:t>
      </w:r>
      <w:r w:rsidRPr="00023C89">
        <w:rPr>
          <w:rFonts w:ascii="Book Antiqua" w:eastAsia="Book Antiqua" w:hAnsi="Book Antiqua" w:cs="Book Antiqua"/>
          <w:color w:val="000000"/>
        </w:rPr>
        <w:lastRenderedPageBreak/>
        <w:t>absorption</w:t>
      </w:r>
      <w:r w:rsidR="00671C77"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and </w:t>
      </w:r>
      <w:r w:rsidR="00671C77" w:rsidRPr="00023C89">
        <w:rPr>
          <w:rFonts w:ascii="Book Antiqua" w:eastAsia="Book Antiqua" w:hAnsi="Book Antiqua" w:cs="Book Antiqua"/>
          <w:color w:val="000000"/>
        </w:rPr>
        <w:t>“interleukin 17 (</w:t>
      </w:r>
      <w:r w:rsidRPr="00023C89">
        <w:rPr>
          <w:rFonts w:ascii="Book Antiqua" w:eastAsia="Book Antiqua" w:hAnsi="Book Antiqua" w:cs="Book Antiqua"/>
          <w:color w:val="000000"/>
        </w:rPr>
        <w:t>IL-17</w:t>
      </w:r>
      <w:r w:rsidR="00671C77"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signaling pathway.</w:t>
      </w:r>
      <w:r w:rsidR="00671C77"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The PPI network suggested that collagen type III alpha 1 chain (COL3A1) and COL1A2 contribute to the pathogenesis of DCM. Additionally, visualization of the interactions between miRNAs and the hub genes revealed that hsa-miR-5682 and hsa-miR-4500 interacted with both COL3A1 and COL1A2, and thus these miRNAs might play roles in DCM. Immune</w:t>
      </w:r>
      <w:r w:rsidR="00671C77"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cell infiltration analysis revealed that DCM patients had more infiltrated plasma cells and fewer infiltrated B memory cells, T follicular helper cells, and resting dendritic cells.</w:t>
      </w:r>
    </w:p>
    <w:p w14:paraId="5F088F04" w14:textId="77777777" w:rsidR="00A77B3E" w:rsidRPr="00023C89" w:rsidRDefault="00A77B3E" w:rsidP="00D0748F">
      <w:pPr>
        <w:spacing w:line="360" w:lineRule="auto"/>
        <w:jc w:val="both"/>
        <w:rPr>
          <w:rFonts w:ascii="Book Antiqua" w:hAnsi="Book Antiqua"/>
        </w:rPr>
      </w:pPr>
    </w:p>
    <w:p w14:paraId="6663822A"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CONCLUSION</w:t>
      </w:r>
    </w:p>
    <w:p w14:paraId="12856CD0" w14:textId="77FCC9DF"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 xml:space="preserve">COL1A2 and COL3A1 and their targeting miRNAs, hsa-miR-5682 and hsa-miR-4500, may play critical roles in the pathogenesis of DCM, which </w:t>
      </w:r>
      <w:r w:rsidR="00887C38" w:rsidRPr="00023C89">
        <w:rPr>
          <w:rFonts w:ascii="Book Antiqua" w:eastAsia="Book Antiqua" w:hAnsi="Book Antiqua" w:cs="Book Antiqua"/>
          <w:color w:val="000000"/>
        </w:rPr>
        <w:t xml:space="preserve">are </w:t>
      </w:r>
      <w:r w:rsidRPr="00023C89">
        <w:rPr>
          <w:rFonts w:ascii="Book Antiqua" w:eastAsia="Book Antiqua" w:hAnsi="Book Antiqua" w:cs="Book Antiqua"/>
          <w:color w:val="000000"/>
        </w:rPr>
        <w:t xml:space="preserve">closely </w:t>
      </w:r>
      <w:r w:rsidR="00FA7E1B" w:rsidRPr="00023C89">
        <w:rPr>
          <w:rFonts w:ascii="Book Antiqua" w:hAnsi="Book Antiqua" w:cs="Book Antiqua"/>
          <w:color w:val="000000"/>
          <w:lang w:eastAsia="zh-CN"/>
        </w:rPr>
        <w:t>related</w:t>
      </w:r>
      <w:r w:rsidRPr="00023C89">
        <w:rPr>
          <w:rFonts w:ascii="Book Antiqua" w:eastAsia="Book Antiqua" w:hAnsi="Book Antiqua" w:cs="Book Antiqua"/>
          <w:color w:val="000000"/>
        </w:rPr>
        <w:t xml:space="preserve"> to the IL-17 signaling pathway and acute inflammatory response. These results may provide useful clues for the diagnosis and treatment of DCM.</w:t>
      </w:r>
    </w:p>
    <w:p w14:paraId="23AC1C17" w14:textId="77777777" w:rsidR="00A77B3E" w:rsidRPr="00023C89" w:rsidRDefault="00A77B3E" w:rsidP="00D0748F">
      <w:pPr>
        <w:spacing w:line="360" w:lineRule="auto"/>
        <w:jc w:val="both"/>
        <w:rPr>
          <w:rFonts w:ascii="Book Antiqua" w:hAnsi="Book Antiqua"/>
        </w:rPr>
      </w:pPr>
    </w:p>
    <w:p w14:paraId="1CBE5E7F" w14:textId="77777777" w:rsidR="00A77B3E" w:rsidRPr="00023C89" w:rsidRDefault="00DE3352" w:rsidP="00D0748F">
      <w:pPr>
        <w:spacing w:line="360" w:lineRule="auto"/>
        <w:jc w:val="both"/>
        <w:rPr>
          <w:rFonts w:ascii="Book Antiqua" w:hAnsi="Book Antiqua"/>
          <w:lang w:eastAsia="zh-CN"/>
        </w:rPr>
      </w:pPr>
      <w:r w:rsidRPr="00023C89">
        <w:rPr>
          <w:rFonts w:ascii="Book Antiqua" w:eastAsia="Book Antiqua" w:hAnsi="Book Antiqua" w:cs="Book Antiqua"/>
          <w:b/>
          <w:bCs/>
          <w:color w:val="000000"/>
        </w:rPr>
        <w:t xml:space="preserve">Key Words: </w:t>
      </w:r>
      <w:r w:rsidRPr="00023C89">
        <w:rPr>
          <w:rFonts w:ascii="Book Antiqua" w:eastAsia="Book Antiqua" w:hAnsi="Book Antiqua" w:cs="Book Antiqua"/>
          <w:color w:val="000000"/>
        </w:rPr>
        <w:t>Dilated cardiomyopathy; Bioinformatics; Differentially expressed genes; Function enrichment analysis; Protein-protein interaction network; Immune cell infiltration</w:t>
      </w:r>
    </w:p>
    <w:p w14:paraId="4E3BF432" w14:textId="77777777" w:rsidR="00A77B3E" w:rsidRPr="00023C89" w:rsidRDefault="00A77B3E" w:rsidP="00D0748F">
      <w:pPr>
        <w:spacing w:line="360" w:lineRule="auto"/>
        <w:jc w:val="both"/>
        <w:rPr>
          <w:rFonts w:ascii="Book Antiqua" w:hAnsi="Book Antiqua"/>
        </w:rPr>
      </w:pPr>
    </w:p>
    <w:p w14:paraId="18F83F43" w14:textId="77777777" w:rsidR="00410937" w:rsidRPr="00E61B50" w:rsidRDefault="00410937" w:rsidP="00410937">
      <w:pPr>
        <w:spacing w:line="360" w:lineRule="auto"/>
        <w:jc w:val="both"/>
        <w:rPr>
          <w:rFonts w:ascii="Book Antiqua" w:eastAsia="Book Antiqua" w:hAnsi="Book Antiqua" w:cs="Book Antiqua"/>
          <w:color w:val="000000"/>
        </w:rPr>
      </w:pPr>
      <w:bookmarkStart w:id="21" w:name="_Hlk88512344"/>
      <w:bookmarkStart w:id="22" w:name="_Hlk88512883"/>
      <w:bookmarkStart w:id="23" w:name="_Hlk88513225"/>
      <w:bookmarkStart w:id="24"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21"/>
      <w:r w:rsidRPr="00E61B50">
        <w:rPr>
          <w:rFonts w:ascii="Book Antiqua" w:eastAsia="Book Antiqua" w:hAnsi="Book Antiqua" w:cs="Book Antiqua"/>
          <w:color w:val="000000"/>
        </w:rPr>
        <w:t xml:space="preserve"> </w:t>
      </w:r>
    </w:p>
    <w:bookmarkEnd w:id="22"/>
    <w:p w14:paraId="069FA4F1" w14:textId="77777777" w:rsidR="00410937" w:rsidRPr="00E61B50" w:rsidRDefault="00410937" w:rsidP="00410937">
      <w:pPr>
        <w:spacing w:line="360" w:lineRule="auto"/>
        <w:jc w:val="both"/>
        <w:rPr>
          <w:lang w:eastAsia="zh-CN"/>
        </w:rPr>
      </w:pPr>
    </w:p>
    <w:p w14:paraId="33F91E22" w14:textId="6B092327" w:rsidR="00410937" w:rsidRDefault="00410937" w:rsidP="00410937">
      <w:pPr>
        <w:spacing w:line="360" w:lineRule="auto"/>
        <w:jc w:val="both"/>
        <w:rPr>
          <w:rFonts w:ascii="Book Antiqua" w:eastAsia="Book Antiqua" w:hAnsi="Book Antiqua" w:cs="Book Antiqua"/>
          <w:color w:val="000000"/>
        </w:rPr>
      </w:pPr>
      <w:bookmarkStart w:id="25" w:name="_Hlk88512899"/>
      <w:bookmarkStart w:id="26" w:name="_Hlk88512352"/>
      <w:bookmarkEnd w:id="23"/>
      <w:r w:rsidRPr="00E61B50">
        <w:rPr>
          <w:rFonts w:ascii="Book Antiqua" w:hAnsi="Book Antiqua" w:cs="Book Antiqua" w:hint="eastAsia"/>
          <w:b/>
          <w:color w:val="000000"/>
          <w:lang w:eastAsia="zh-CN"/>
        </w:rPr>
        <w:t>Citation:</w:t>
      </w:r>
      <w:bookmarkEnd w:id="24"/>
      <w:bookmarkEnd w:id="25"/>
      <w:r w:rsidRPr="00E61B50">
        <w:rPr>
          <w:rFonts w:ascii="Book Antiqua" w:hAnsi="Book Antiqua" w:cs="Book Antiqua" w:hint="eastAsia"/>
          <w:color w:val="000000"/>
          <w:lang w:eastAsia="zh-CN"/>
        </w:rPr>
        <w:t xml:space="preserve"> </w:t>
      </w:r>
      <w:bookmarkEnd w:id="26"/>
      <w:r w:rsidR="00DE3352" w:rsidRPr="00023C89">
        <w:rPr>
          <w:rFonts w:ascii="Book Antiqua" w:eastAsia="Book Antiqua" w:hAnsi="Book Antiqua" w:cs="Book Antiqua"/>
          <w:color w:val="000000"/>
        </w:rPr>
        <w:t xml:space="preserve">Liu Z, Song YN, Chen KY, Gao WL, Chen HJ, Liang GY. Bioinformatics prediction of potential mechanisms and biomarkers underlying dilated cardiomyopathy. </w:t>
      </w:r>
      <w:r w:rsidR="00DE3352" w:rsidRPr="00023C89">
        <w:rPr>
          <w:rFonts w:ascii="Book Antiqua" w:eastAsia="Book Antiqua" w:hAnsi="Book Antiqua" w:cs="Book Antiqua"/>
          <w:i/>
          <w:iCs/>
          <w:color w:val="000000"/>
        </w:rPr>
        <w:t>World J Cardiol</w:t>
      </w:r>
      <w:r w:rsidR="00DE3352" w:rsidRPr="00023C89">
        <w:rPr>
          <w:rFonts w:ascii="Book Antiqua" w:eastAsia="Book Antiqua" w:hAnsi="Book Antiqua" w:cs="Book Antiqua"/>
          <w:color w:val="000000"/>
        </w:rPr>
        <w:t xml:space="preserve"> 2022; </w:t>
      </w:r>
      <w:r w:rsidR="007E093B" w:rsidRPr="00023C89">
        <w:rPr>
          <w:rFonts w:ascii="Book Antiqua" w:eastAsia="Book Antiqua" w:hAnsi="Book Antiqua" w:cs="Book Antiqua"/>
          <w:color w:val="000000"/>
        </w:rPr>
        <w:t xml:space="preserve">14(5): </w:t>
      </w:r>
      <w:r>
        <w:rPr>
          <w:rFonts w:ascii="Book Antiqua" w:eastAsia="Book Antiqua" w:hAnsi="Book Antiqua" w:cs="Book Antiqua"/>
          <w:color w:val="000000"/>
        </w:rPr>
        <w:t>282</w:t>
      </w:r>
      <w:r w:rsidR="007E093B" w:rsidRPr="00023C89">
        <w:rPr>
          <w:rFonts w:ascii="Book Antiqua" w:eastAsia="Book Antiqua" w:hAnsi="Book Antiqua" w:cs="Book Antiqua"/>
          <w:color w:val="000000"/>
        </w:rPr>
        <w:t>-</w:t>
      </w:r>
      <w:r>
        <w:rPr>
          <w:rFonts w:ascii="Book Antiqua" w:eastAsia="Book Antiqua" w:hAnsi="Book Antiqua" w:cs="Book Antiqua"/>
          <w:color w:val="000000"/>
        </w:rPr>
        <w:t>29</w:t>
      </w:r>
      <w:r w:rsidR="007731C3">
        <w:rPr>
          <w:rFonts w:ascii="Book Antiqua" w:eastAsia="Book Antiqua" w:hAnsi="Book Antiqua" w:cs="Book Antiqua"/>
          <w:color w:val="000000"/>
        </w:rPr>
        <w:t>6</w:t>
      </w:r>
    </w:p>
    <w:p w14:paraId="3E7389EE" w14:textId="3C11300B" w:rsidR="00410937" w:rsidRDefault="007E093B" w:rsidP="00410937">
      <w:pPr>
        <w:spacing w:line="360" w:lineRule="auto"/>
        <w:jc w:val="both"/>
        <w:rPr>
          <w:rFonts w:ascii="Book Antiqua" w:eastAsia="Book Antiqua" w:hAnsi="Book Antiqua" w:cs="Book Antiqua"/>
          <w:color w:val="000000"/>
        </w:rPr>
      </w:pPr>
      <w:r w:rsidRPr="00410937">
        <w:rPr>
          <w:rFonts w:ascii="Book Antiqua" w:eastAsia="Book Antiqua" w:hAnsi="Book Antiqua" w:cs="Book Antiqua"/>
          <w:b/>
          <w:bCs/>
          <w:color w:val="000000"/>
        </w:rPr>
        <w:t>URL:</w:t>
      </w:r>
      <w:r w:rsidRPr="00023C89">
        <w:rPr>
          <w:rFonts w:ascii="Book Antiqua" w:eastAsia="Book Antiqua" w:hAnsi="Book Antiqua" w:cs="Book Antiqua"/>
          <w:color w:val="000000"/>
        </w:rPr>
        <w:t xml:space="preserve"> </w:t>
      </w:r>
      <w:hyperlink r:id="rId7" w:history="1">
        <w:r w:rsidR="00410937" w:rsidRPr="00680CDB">
          <w:rPr>
            <w:rStyle w:val="ab"/>
            <w:rFonts w:ascii="Book Antiqua" w:eastAsia="Book Antiqua" w:hAnsi="Book Antiqua" w:cs="Book Antiqua"/>
          </w:rPr>
          <w:t>https://www.wjgnet.com/1949-8462/full/v14/i5/282.htm</w:t>
        </w:r>
      </w:hyperlink>
    </w:p>
    <w:p w14:paraId="3F3332AA" w14:textId="587979AE" w:rsidR="007E093B" w:rsidRPr="00023C89" w:rsidRDefault="007E093B" w:rsidP="00410937">
      <w:pPr>
        <w:spacing w:line="360" w:lineRule="auto"/>
        <w:jc w:val="both"/>
        <w:rPr>
          <w:rFonts w:ascii="Book Antiqua" w:hAnsi="Book Antiqua"/>
        </w:rPr>
      </w:pPr>
      <w:r w:rsidRPr="00410937">
        <w:rPr>
          <w:rFonts w:ascii="Book Antiqua" w:eastAsia="Book Antiqua" w:hAnsi="Book Antiqua" w:cs="Book Antiqua"/>
          <w:b/>
          <w:bCs/>
          <w:color w:val="000000"/>
        </w:rPr>
        <w:t xml:space="preserve">DOI: </w:t>
      </w:r>
      <w:r w:rsidRPr="00023C89">
        <w:rPr>
          <w:rFonts w:ascii="Book Antiqua" w:eastAsia="Book Antiqua" w:hAnsi="Book Antiqua" w:cs="Book Antiqua"/>
          <w:color w:val="000000"/>
        </w:rPr>
        <w:t>https://dx.doi.org/10.4330/wjc.v14.i5.</w:t>
      </w:r>
      <w:r w:rsidR="00410937">
        <w:rPr>
          <w:rFonts w:ascii="Book Antiqua" w:eastAsia="Book Antiqua" w:hAnsi="Book Antiqua" w:cs="Book Antiqua"/>
          <w:color w:val="000000"/>
        </w:rPr>
        <w:t>282</w:t>
      </w:r>
    </w:p>
    <w:p w14:paraId="6D13F5A2" w14:textId="2A2B749B" w:rsidR="00A77B3E" w:rsidRPr="00023C89" w:rsidRDefault="00A77B3E" w:rsidP="00D0748F">
      <w:pPr>
        <w:spacing w:line="360" w:lineRule="auto"/>
        <w:jc w:val="both"/>
        <w:rPr>
          <w:rFonts w:ascii="Book Antiqua" w:hAnsi="Book Antiqua"/>
        </w:rPr>
      </w:pPr>
    </w:p>
    <w:p w14:paraId="31C32F07" w14:textId="77777777" w:rsidR="00A77B3E" w:rsidRPr="00023C89" w:rsidRDefault="00A77B3E" w:rsidP="00D0748F">
      <w:pPr>
        <w:spacing w:line="360" w:lineRule="auto"/>
        <w:jc w:val="both"/>
        <w:rPr>
          <w:rFonts w:ascii="Book Antiqua" w:hAnsi="Book Antiqua"/>
        </w:rPr>
      </w:pPr>
    </w:p>
    <w:p w14:paraId="27EFFE08" w14:textId="5B5E6ABC"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bCs/>
          <w:color w:val="000000"/>
        </w:rPr>
        <w:t xml:space="preserve">Core Tip: </w:t>
      </w:r>
      <w:bookmarkStart w:id="27" w:name="OLE_LINK7"/>
      <w:bookmarkStart w:id="28" w:name="OLE_LINK8"/>
      <w:r w:rsidRPr="00023C89">
        <w:rPr>
          <w:rFonts w:ascii="Book Antiqua" w:eastAsia="Book Antiqua" w:hAnsi="Book Antiqua" w:cs="Book Antiqua"/>
          <w:color w:val="000000"/>
        </w:rPr>
        <w:t xml:space="preserve">As </w:t>
      </w:r>
      <w:r w:rsidR="00887C38" w:rsidRPr="00023C89">
        <w:rPr>
          <w:rFonts w:ascii="Book Antiqua" w:eastAsia="Book Antiqua" w:hAnsi="Book Antiqua" w:cs="Book Antiqua"/>
          <w:color w:val="000000"/>
        </w:rPr>
        <w:t xml:space="preserve">the most </w:t>
      </w:r>
      <w:r w:rsidRPr="00023C89">
        <w:rPr>
          <w:rFonts w:ascii="Book Antiqua" w:eastAsia="Book Antiqua" w:hAnsi="Book Antiqua" w:cs="Book Antiqua"/>
          <w:color w:val="000000"/>
        </w:rPr>
        <w:t xml:space="preserve">common cause of heart failure, the diagnosis and therapy for dilated cardiomyopathy (DCM) </w:t>
      </w:r>
      <w:r w:rsidR="00887C38" w:rsidRPr="00023C89">
        <w:rPr>
          <w:rFonts w:ascii="Book Antiqua" w:eastAsia="Book Antiqua" w:hAnsi="Book Antiqua" w:cs="Book Antiqua"/>
          <w:color w:val="000000"/>
        </w:rPr>
        <w:t xml:space="preserve">are </w:t>
      </w:r>
      <w:r w:rsidRPr="00023C89">
        <w:rPr>
          <w:rFonts w:ascii="Book Antiqua" w:eastAsia="Book Antiqua" w:hAnsi="Book Antiqua" w:cs="Book Antiqua"/>
          <w:color w:val="000000"/>
        </w:rPr>
        <w:t xml:space="preserve">still unsatisfactory because of its indistinct </w:t>
      </w:r>
      <w:r w:rsidRPr="00023C89">
        <w:rPr>
          <w:rFonts w:ascii="Book Antiqua" w:eastAsia="Book Antiqua" w:hAnsi="Book Antiqua" w:cs="Book Antiqua"/>
          <w:color w:val="000000"/>
        </w:rPr>
        <w:lastRenderedPageBreak/>
        <w:t xml:space="preserve">pathogenesis and specific biomarkers. Thus, we comprehensively utilized the microarray data from </w:t>
      </w:r>
      <w:r w:rsidR="00887C38" w:rsidRPr="00023C89">
        <w:rPr>
          <w:rFonts w:ascii="Book Antiqua" w:eastAsia="Book Antiqua" w:hAnsi="Book Antiqua" w:cs="Book Antiqua"/>
          <w:color w:val="000000"/>
        </w:rPr>
        <w:t xml:space="preserve">the </w:t>
      </w:r>
      <w:r w:rsidRPr="00023C89">
        <w:rPr>
          <w:rFonts w:ascii="Book Antiqua" w:eastAsia="Book Antiqua" w:hAnsi="Book Antiqua" w:cs="Book Antiqua"/>
          <w:color w:val="000000"/>
        </w:rPr>
        <w:t>Gene Expression Omnibus database to uncover the biomarker and mechanism</w:t>
      </w:r>
      <w:r w:rsidR="00887C38" w:rsidRPr="00023C89">
        <w:rPr>
          <w:rFonts w:ascii="Book Antiqua" w:eastAsia="Book Antiqua" w:hAnsi="Book Antiqua" w:cs="Book Antiqua"/>
          <w:color w:val="000000"/>
        </w:rPr>
        <w:t>s</w:t>
      </w:r>
      <w:r w:rsidRPr="00023C89">
        <w:rPr>
          <w:rFonts w:ascii="Book Antiqua" w:eastAsia="Book Antiqua" w:hAnsi="Book Antiqua" w:cs="Book Antiqua"/>
          <w:color w:val="000000"/>
        </w:rPr>
        <w:t xml:space="preserve"> underlying DCM development. </w:t>
      </w:r>
      <w:r w:rsidR="00887C38" w:rsidRPr="00023C89">
        <w:rPr>
          <w:rFonts w:ascii="Book Antiqua" w:eastAsia="Book Antiqua" w:hAnsi="Book Antiqua" w:cs="Book Antiqua"/>
          <w:color w:val="000000"/>
        </w:rPr>
        <w:t>C</w:t>
      </w:r>
      <w:r w:rsidRPr="00023C89">
        <w:rPr>
          <w:rFonts w:ascii="Book Antiqua" w:eastAsia="Book Antiqua" w:hAnsi="Book Antiqua" w:cs="Book Antiqua"/>
          <w:color w:val="000000"/>
        </w:rPr>
        <w:t xml:space="preserve">ollagen type III alpha 1 chain and collagen type I alpha 2 chain, which </w:t>
      </w:r>
      <w:r w:rsidR="00887C38" w:rsidRPr="00023C89">
        <w:rPr>
          <w:rFonts w:ascii="Book Antiqua" w:eastAsia="Book Antiqua" w:hAnsi="Book Antiqua" w:cs="Book Antiqua"/>
          <w:color w:val="000000"/>
        </w:rPr>
        <w:t xml:space="preserve">are </w:t>
      </w:r>
      <w:r w:rsidRPr="00023C89">
        <w:rPr>
          <w:rFonts w:ascii="Book Antiqua" w:eastAsia="Book Antiqua" w:hAnsi="Book Antiqua" w:cs="Book Antiqua"/>
          <w:color w:val="000000"/>
        </w:rPr>
        <w:t xml:space="preserve">regulated by hsa-miR-5682 and hsa-miR-4500, may play critical roles in the pathogenesis of DCM through </w:t>
      </w:r>
      <w:r w:rsidR="00887C38" w:rsidRPr="00023C89">
        <w:rPr>
          <w:rFonts w:ascii="Book Antiqua" w:eastAsia="Book Antiqua" w:hAnsi="Book Antiqua" w:cs="Book Antiqua"/>
          <w:color w:val="000000"/>
        </w:rPr>
        <w:t xml:space="preserve">the </w:t>
      </w:r>
      <w:r w:rsidRPr="00023C89">
        <w:rPr>
          <w:rFonts w:ascii="Book Antiqua" w:eastAsia="Book Antiqua" w:hAnsi="Book Antiqua" w:cs="Book Antiqua"/>
          <w:color w:val="000000"/>
        </w:rPr>
        <w:t xml:space="preserve">acute inflammatory response and </w:t>
      </w:r>
      <w:r w:rsidR="00887C38" w:rsidRPr="00023C89">
        <w:rPr>
          <w:rFonts w:ascii="Book Antiqua" w:eastAsia="Book Antiqua" w:hAnsi="Book Antiqua" w:cs="Book Antiqua"/>
          <w:color w:val="000000"/>
        </w:rPr>
        <w:t>interleukin 17</w:t>
      </w:r>
      <w:r w:rsidRPr="00023C89">
        <w:rPr>
          <w:rFonts w:ascii="Book Antiqua" w:eastAsia="Book Antiqua" w:hAnsi="Book Antiqua" w:cs="Book Antiqua"/>
          <w:color w:val="000000"/>
        </w:rPr>
        <w:t xml:space="preserve"> signaling pathway. These biomarkers and mechanism</w:t>
      </w:r>
      <w:r w:rsidR="00887C38" w:rsidRPr="00023C89">
        <w:rPr>
          <w:rFonts w:ascii="Book Antiqua" w:eastAsia="Book Antiqua" w:hAnsi="Book Antiqua" w:cs="Book Antiqua"/>
          <w:color w:val="000000"/>
        </w:rPr>
        <w:t>s</w:t>
      </w:r>
      <w:r w:rsidRPr="00023C89">
        <w:rPr>
          <w:rFonts w:ascii="Book Antiqua" w:eastAsia="Book Antiqua" w:hAnsi="Book Antiqua" w:cs="Book Antiqua"/>
          <w:color w:val="000000"/>
        </w:rPr>
        <w:t xml:space="preserve"> need to be further studied.</w:t>
      </w:r>
    </w:p>
    <w:bookmarkEnd w:id="27"/>
    <w:bookmarkEnd w:id="28"/>
    <w:p w14:paraId="3CF12E41" w14:textId="77777777" w:rsidR="00A77B3E" w:rsidRPr="00023C89" w:rsidRDefault="00DE3352" w:rsidP="00D0748F">
      <w:pPr>
        <w:spacing w:line="360" w:lineRule="auto"/>
        <w:jc w:val="both"/>
        <w:rPr>
          <w:rFonts w:ascii="Book Antiqua" w:hAnsi="Book Antiqua"/>
        </w:rPr>
      </w:pPr>
      <w:r w:rsidRPr="00023C89">
        <w:rPr>
          <w:rFonts w:ascii="Book Antiqua" w:hAnsi="Book Antiqua"/>
        </w:rPr>
        <w:br w:type="page"/>
      </w:r>
      <w:r w:rsidRPr="00023C89">
        <w:rPr>
          <w:rFonts w:ascii="Book Antiqua" w:eastAsia="Book Antiqua" w:hAnsi="Book Antiqua" w:cs="Book Antiqua"/>
          <w:b/>
          <w:caps/>
          <w:color w:val="000000"/>
          <w:u w:val="single"/>
        </w:rPr>
        <w:lastRenderedPageBreak/>
        <w:t>INTRODUCTION</w:t>
      </w:r>
    </w:p>
    <w:p w14:paraId="0B885A0B" w14:textId="67E4EAEE"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Dilated cardiomyopathy (DCM) is a progressive myocardial disease. It accounts for 30</w:t>
      </w:r>
      <w:r w:rsidR="00B52847" w:rsidRPr="00023C89">
        <w:rPr>
          <w:rFonts w:ascii="Book Antiqua" w:hAnsi="Book Antiqua" w:cs="Book Antiqua"/>
          <w:color w:val="000000"/>
          <w:lang w:eastAsia="zh-CN"/>
        </w:rPr>
        <w:t>%</w:t>
      </w:r>
      <w:r w:rsidRPr="00023C89">
        <w:rPr>
          <w:rFonts w:ascii="Book Antiqua" w:eastAsia="Book Antiqua" w:hAnsi="Book Antiqua" w:cs="Book Antiqua"/>
          <w:color w:val="000000"/>
        </w:rPr>
        <w:t>–40% of heart</w:t>
      </w:r>
      <w:r w:rsidR="00887C38"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failure cases and leads to high mortality worldwide</w:t>
      </w:r>
      <w:r w:rsidRPr="00023C89">
        <w:rPr>
          <w:rFonts w:ascii="Book Antiqua" w:eastAsia="Book Antiqua" w:hAnsi="Book Antiqua" w:cs="Book Antiqua"/>
          <w:color w:val="000000"/>
          <w:vertAlign w:val="superscript"/>
        </w:rPr>
        <w:t>[1]</w:t>
      </w:r>
      <w:r w:rsidRPr="00023C89">
        <w:rPr>
          <w:rFonts w:ascii="Book Antiqua" w:eastAsia="Book Antiqua" w:hAnsi="Book Antiqua" w:cs="Book Antiqua"/>
          <w:color w:val="000000"/>
        </w:rPr>
        <w:t>. DCM is characterized by biventricular dilatation, cardiac systolic dysfunction, and ventricular remodeling</w:t>
      </w:r>
      <w:r w:rsidRPr="00023C89">
        <w:rPr>
          <w:rFonts w:ascii="Book Antiqua" w:eastAsia="Book Antiqua" w:hAnsi="Book Antiqua" w:cs="Book Antiqua"/>
          <w:color w:val="000000"/>
          <w:vertAlign w:val="superscript"/>
        </w:rPr>
        <w:t>[2]</w:t>
      </w:r>
      <w:r w:rsidRPr="00023C89">
        <w:rPr>
          <w:rFonts w:ascii="Book Antiqua" w:eastAsia="Book Antiqua" w:hAnsi="Book Antiqua" w:cs="Book Antiqua"/>
          <w:color w:val="000000"/>
        </w:rPr>
        <w:t>. Recently, several studies have reported that mutations, myocarditis, hypertension, and ischemia are the induction factors of DCM</w:t>
      </w:r>
      <w:r w:rsidR="00B52847" w:rsidRPr="00023C89">
        <w:rPr>
          <w:rFonts w:ascii="Book Antiqua" w:eastAsia="Book Antiqua" w:hAnsi="Book Antiqua" w:cs="Book Antiqua"/>
          <w:color w:val="000000"/>
          <w:vertAlign w:val="superscript"/>
        </w:rPr>
        <w:t>[3,</w:t>
      </w:r>
      <w:r w:rsidRPr="00023C89">
        <w:rPr>
          <w:rFonts w:ascii="Book Antiqua" w:eastAsia="Book Antiqua" w:hAnsi="Book Antiqua" w:cs="Book Antiqua"/>
          <w:color w:val="000000"/>
          <w:vertAlign w:val="superscript"/>
        </w:rPr>
        <w:t>4]</w:t>
      </w:r>
      <w:r w:rsidRPr="00023C89">
        <w:rPr>
          <w:rFonts w:ascii="Book Antiqua" w:eastAsia="Book Antiqua" w:hAnsi="Book Antiqua" w:cs="Book Antiqua"/>
          <w:color w:val="000000"/>
        </w:rPr>
        <w:t>. Increasing evidence shows that various gene mutations and biomarkers are associated with DCM</w:t>
      </w:r>
      <w:r w:rsidRPr="00023C89">
        <w:rPr>
          <w:rFonts w:ascii="Book Antiqua" w:eastAsia="Book Antiqua" w:hAnsi="Book Antiqua" w:cs="Book Antiqua"/>
          <w:color w:val="000000"/>
          <w:vertAlign w:val="superscript"/>
        </w:rPr>
        <w:t>[5-7]</w:t>
      </w:r>
      <w:r w:rsidRPr="00023C89">
        <w:rPr>
          <w:rFonts w:ascii="Book Antiqua" w:eastAsia="Book Antiqua" w:hAnsi="Book Antiqua" w:cs="Book Antiqua"/>
          <w:color w:val="000000"/>
        </w:rPr>
        <w:t>. Mutations in cytoskeletal proteins, including dystrophin</w:t>
      </w:r>
      <w:r w:rsidRPr="00023C89">
        <w:rPr>
          <w:rFonts w:ascii="Book Antiqua" w:eastAsia="Book Antiqua" w:hAnsi="Book Antiqua" w:cs="Book Antiqua"/>
          <w:color w:val="000000"/>
          <w:vertAlign w:val="superscript"/>
        </w:rPr>
        <w:t>[8]</w:t>
      </w:r>
      <w:r w:rsidRPr="00023C89">
        <w:rPr>
          <w:rFonts w:ascii="Book Antiqua" w:eastAsia="Book Antiqua" w:hAnsi="Book Antiqua" w:cs="Book Antiqua"/>
          <w:color w:val="000000"/>
        </w:rPr>
        <w:t xml:space="preserve"> and desmin</w:t>
      </w:r>
      <w:r w:rsidRPr="00023C89">
        <w:rPr>
          <w:rFonts w:ascii="Book Antiqua" w:eastAsia="Book Antiqua" w:hAnsi="Book Antiqua" w:cs="Book Antiqua"/>
          <w:color w:val="000000"/>
          <w:vertAlign w:val="superscript"/>
        </w:rPr>
        <w:t>[9]</w:t>
      </w:r>
      <w:r w:rsidRPr="00023C89">
        <w:rPr>
          <w:rFonts w:ascii="Book Antiqua" w:eastAsia="Book Antiqua" w:hAnsi="Book Antiqua" w:cs="Book Antiqua"/>
          <w:color w:val="000000"/>
        </w:rPr>
        <w:t>, impair muscular force transmission and thereby contribute to the development of DCM. Mutations in lamin A/C, a nuclear membrane protein, usually cause DCM with atrioventricular block and atrial fibrillation</w:t>
      </w:r>
      <w:r w:rsidRPr="00023C89">
        <w:rPr>
          <w:rFonts w:ascii="Book Antiqua" w:eastAsia="Book Antiqua" w:hAnsi="Book Antiqua" w:cs="Book Antiqua"/>
          <w:color w:val="000000"/>
          <w:vertAlign w:val="superscript"/>
        </w:rPr>
        <w:t>[10]</w:t>
      </w:r>
      <w:r w:rsidRPr="00023C89">
        <w:rPr>
          <w:rFonts w:ascii="Book Antiqua" w:eastAsia="Book Antiqua" w:hAnsi="Book Antiqua" w:cs="Book Antiqua"/>
          <w:color w:val="000000"/>
        </w:rPr>
        <w:t xml:space="preserve">. Li </w:t>
      </w:r>
      <w:r w:rsidRPr="00023C89">
        <w:rPr>
          <w:rFonts w:ascii="Book Antiqua" w:eastAsia="Book Antiqua" w:hAnsi="Book Antiqua" w:cs="Book Antiqua"/>
          <w:i/>
          <w:iCs/>
          <w:color w:val="000000"/>
        </w:rPr>
        <w:t>et al</w:t>
      </w:r>
      <w:r w:rsidR="00B52847" w:rsidRPr="00023C89">
        <w:rPr>
          <w:rFonts w:ascii="Book Antiqua" w:eastAsia="Book Antiqua" w:hAnsi="Book Antiqua" w:cs="Book Antiqua"/>
          <w:color w:val="000000"/>
          <w:vertAlign w:val="superscript"/>
        </w:rPr>
        <w:t>[11]</w:t>
      </w:r>
      <w:r w:rsidRPr="00023C89">
        <w:rPr>
          <w:rFonts w:ascii="Book Antiqua" w:eastAsia="Book Antiqua" w:hAnsi="Book Antiqua" w:cs="Book Antiqua"/>
          <w:color w:val="000000"/>
        </w:rPr>
        <w:t xml:space="preserve"> reported that mutation of aryl hydrocarbon receptor nuclear translocator-like protein</w:t>
      </w:r>
      <w:r w:rsidR="00887C38"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 xml:space="preserve">1 (known as BMAL1) plays a critical role in the development of DCM through </w:t>
      </w:r>
      <w:r w:rsidR="00887C38" w:rsidRPr="00023C89">
        <w:rPr>
          <w:rFonts w:ascii="Book Antiqua" w:eastAsia="Book Antiqua" w:hAnsi="Book Antiqua" w:cs="Book Antiqua"/>
          <w:color w:val="000000"/>
        </w:rPr>
        <w:t xml:space="preserve">the </w:t>
      </w:r>
      <w:r w:rsidRPr="00023C89">
        <w:rPr>
          <w:rFonts w:ascii="Book Antiqua" w:eastAsia="Book Antiqua" w:hAnsi="Book Antiqua" w:cs="Book Antiqua"/>
          <w:color w:val="000000"/>
        </w:rPr>
        <w:t xml:space="preserve">regulation of mitochondrial fission and mitophagy </w:t>
      </w:r>
      <w:r w:rsidRPr="00023C89">
        <w:rPr>
          <w:rFonts w:ascii="Book Antiqua" w:eastAsia="Book Antiqua" w:hAnsi="Book Antiqua" w:cs="Book Antiqua"/>
          <w:i/>
          <w:iCs/>
          <w:color w:val="000000"/>
        </w:rPr>
        <w:t>via</w:t>
      </w:r>
      <w:r w:rsidRPr="00023C89">
        <w:rPr>
          <w:rFonts w:ascii="Book Antiqua" w:eastAsia="Book Antiqua" w:hAnsi="Book Antiqua" w:cs="Book Antiqua"/>
          <w:color w:val="000000"/>
        </w:rPr>
        <w:t xml:space="preserve"> mitochondrial protein B cell leukemia/</w:t>
      </w:r>
      <w:r w:rsidR="00887C38" w:rsidRPr="00023C89">
        <w:rPr>
          <w:rFonts w:ascii="Book Antiqua" w:eastAsia="Book Antiqua" w:hAnsi="Book Antiqua" w:cs="Book Antiqua"/>
          <w:color w:val="000000"/>
        </w:rPr>
        <w:t>l</w:t>
      </w:r>
      <w:r w:rsidRPr="00023C89">
        <w:rPr>
          <w:rFonts w:ascii="Book Antiqua" w:eastAsia="Book Antiqua" w:hAnsi="Book Antiqua" w:cs="Book Antiqua"/>
          <w:color w:val="000000"/>
        </w:rPr>
        <w:t>ymphoma 2 interacting protein 3. Mutations in thin</w:t>
      </w:r>
      <w:r w:rsidR="00887C38"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 xml:space="preserve">filament regulatory proteins including cardiac troponin T, cardiac troponin I, and α-tropomyosin can cause DCM with systolic dysfunction by reducing fractional shortening and systolic </w:t>
      </w:r>
      <w:r w:rsidR="00887C38" w:rsidRPr="00023C89">
        <w:rPr>
          <w:rFonts w:ascii="Book Antiqua" w:eastAsia="Book Antiqua" w:hAnsi="Book Antiqua" w:cs="Book Antiqua"/>
          <w:color w:val="000000"/>
        </w:rPr>
        <w:t>calcium</w:t>
      </w:r>
      <w:r w:rsidRPr="00023C89">
        <w:rPr>
          <w:rFonts w:ascii="Book Antiqua" w:eastAsia="Book Antiqua" w:hAnsi="Book Antiqua" w:cs="Book Antiqua"/>
          <w:color w:val="000000"/>
        </w:rPr>
        <w:t xml:space="preserve"> level</w:t>
      </w:r>
      <w:r w:rsidRPr="00023C89">
        <w:rPr>
          <w:rFonts w:ascii="Book Antiqua" w:eastAsia="Book Antiqua" w:hAnsi="Book Antiqua" w:cs="Book Antiqua"/>
          <w:color w:val="000000"/>
          <w:vertAlign w:val="superscript"/>
        </w:rPr>
        <w:t>[12]</w:t>
      </w:r>
      <w:r w:rsidRPr="00023C89">
        <w:rPr>
          <w:rFonts w:ascii="Book Antiqua" w:eastAsia="Book Antiqua" w:hAnsi="Book Antiqua" w:cs="Book Antiqua"/>
          <w:color w:val="000000"/>
        </w:rPr>
        <w:t xml:space="preserve">. Moreover, some biomarkers associated with the development of DCM have been reported. For example, syndecan-1 and </w:t>
      </w:r>
      <w:r w:rsidR="00887C38" w:rsidRPr="00023C89">
        <w:rPr>
          <w:rFonts w:ascii="Book Antiqua" w:eastAsia="Book Antiqua" w:hAnsi="Book Antiqua" w:cs="Book Antiqua"/>
          <w:color w:val="000000"/>
        </w:rPr>
        <w:t>syndecan-</w:t>
      </w:r>
      <w:r w:rsidRPr="00023C89">
        <w:rPr>
          <w:rFonts w:ascii="Book Antiqua" w:eastAsia="Book Antiqua" w:hAnsi="Book Antiqua" w:cs="Book Antiqua"/>
          <w:color w:val="000000"/>
        </w:rPr>
        <w:t>4 may serve as useful biomarkers for predicting adverse cardiovascular events in DCM patients</w:t>
      </w:r>
      <w:r w:rsidRPr="00023C89">
        <w:rPr>
          <w:rFonts w:ascii="Book Antiqua" w:eastAsia="Book Antiqua" w:hAnsi="Book Antiqua" w:cs="Book Antiqua"/>
          <w:color w:val="000000"/>
          <w:vertAlign w:val="superscript"/>
        </w:rPr>
        <w:t>[13,14]</w:t>
      </w:r>
      <w:r w:rsidRPr="00023C89">
        <w:rPr>
          <w:rFonts w:ascii="Book Antiqua" w:eastAsia="Book Antiqua" w:hAnsi="Book Antiqua" w:cs="Book Antiqua"/>
          <w:color w:val="000000"/>
        </w:rPr>
        <w:t xml:space="preserve">. Carbonic anhydrase 2 and 3 </w:t>
      </w:r>
      <w:r w:rsidR="00887C38" w:rsidRPr="00023C89">
        <w:rPr>
          <w:rFonts w:ascii="Book Antiqua" w:eastAsia="Book Antiqua" w:hAnsi="Book Antiqua" w:cs="Book Antiqua"/>
          <w:color w:val="000000"/>
        </w:rPr>
        <w:t>are</w:t>
      </w:r>
      <w:r w:rsidRPr="00023C89">
        <w:rPr>
          <w:rFonts w:ascii="Book Antiqua" w:eastAsia="Book Antiqua" w:hAnsi="Book Antiqua" w:cs="Book Antiqua"/>
          <w:color w:val="000000"/>
        </w:rPr>
        <w:t xml:space="preserve"> associated with heart failure and are potential risk biomarkers for DCM</w:t>
      </w:r>
      <w:r w:rsidRPr="00023C89">
        <w:rPr>
          <w:rFonts w:ascii="Book Antiqua" w:eastAsia="Book Antiqua" w:hAnsi="Book Antiqua" w:cs="Book Antiqua"/>
          <w:color w:val="000000"/>
          <w:vertAlign w:val="superscript"/>
        </w:rPr>
        <w:t>[15]</w:t>
      </w:r>
      <w:r w:rsidRPr="00023C89">
        <w:rPr>
          <w:rFonts w:ascii="Book Antiqua" w:eastAsia="Book Antiqua" w:hAnsi="Book Antiqua" w:cs="Book Antiqua"/>
          <w:color w:val="000000"/>
        </w:rPr>
        <w:t xml:space="preserve">, and serum fibroblast growth factor 21 </w:t>
      </w:r>
      <w:r w:rsidR="00887C38" w:rsidRPr="00023C89">
        <w:rPr>
          <w:rFonts w:ascii="Book Antiqua" w:eastAsia="Book Antiqua" w:hAnsi="Book Antiqua" w:cs="Book Antiqua"/>
          <w:color w:val="000000"/>
        </w:rPr>
        <w:t>l</w:t>
      </w:r>
      <w:r w:rsidRPr="00023C89">
        <w:rPr>
          <w:rFonts w:ascii="Book Antiqua" w:eastAsia="Book Antiqua" w:hAnsi="Book Antiqua" w:cs="Book Antiqua"/>
          <w:color w:val="000000"/>
        </w:rPr>
        <w:t>evel is linked to the prognosis of DCM</w:t>
      </w:r>
      <w:r w:rsidRPr="00023C89">
        <w:rPr>
          <w:rFonts w:ascii="Book Antiqua" w:eastAsia="Book Antiqua" w:hAnsi="Book Antiqua" w:cs="Book Antiqua"/>
          <w:color w:val="000000"/>
          <w:vertAlign w:val="superscript"/>
        </w:rPr>
        <w:t>[16]</w:t>
      </w:r>
      <w:r w:rsidRPr="00023C89">
        <w:rPr>
          <w:rFonts w:ascii="Book Antiqua" w:eastAsia="Book Antiqua" w:hAnsi="Book Antiqua" w:cs="Book Antiqua"/>
          <w:color w:val="000000"/>
        </w:rPr>
        <w:t>.</w:t>
      </w:r>
    </w:p>
    <w:p w14:paraId="08F31717" w14:textId="16CAD504" w:rsidR="00A77B3E" w:rsidRPr="00023C89" w:rsidRDefault="00DE3352" w:rsidP="000206A8">
      <w:pPr>
        <w:spacing w:line="360" w:lineRule="auto"/>
        <w:ind w:firstLine="270"/>
        <w:jc w:val="both"/>
        <w:rPr>
          <w:rFonts w:ascii="Book Antiqua" w:eastAsia="Book Antiqua" w:hAnsi="Book Antiqua" w:cs="Book Antiqua"/>
          <w:color w:val="000000"/>
        </w:rPr>
      </w:pPr>
      <w:r w:rsidRPr="00023C89">
        <w:rPr>
          <w:rFonts w:ascii="Book Antiqua" w:eastAsia="Book Antiqua" w:hAnsi="Book Antiqua" w:cs="Book Antiqua"/>
          <w:color w:val="000000"/>
        </w:rPr>
        <w:t xml:space="preserve">Several studies have sought DCM-related genes and mechanisms </w:t>
      </w:r>
      <w:r w:rsidRPr="00023C89">
        <w:rPr>
          <w:rFonts w:ascii="Book Antiqua" w:eastAsia="Book Antiqua" w:hAnsi="Book Antiqua" w:cs="Book Antiqua"/>
          <w:i/>
          <w:iCs/>
          <w:color w:val="000000"/>
        </w:rPr>
        <w:t>via</w:t>
      </w:r>
      <w:r w:rsidRPr="00023C89">
        <w:rPr>
          <w:rFonts w:ascii="Book Antiqua" w:eastAsia="Book Antiqua" w:hAnsi="Book Antiqua" w:cs="Book Antiqua"/>
          <w:color w:val="000000"/>
        </w:rPr>
        <w:t xml:space="preserve"> bioinformatic methods and found some meaningful results. Huang </w:t>
      </w:r>
      <w:r w:rsidRPr="00023C89">
        <w:rPr>
          <w:rFonts w:ascii="Book Antiqua" w:eastAsia="Book Antiqua" w:hAnsi="Book Antiqua" w:cs="Book Antiqua"/>
          <w:i/>
          <w:iCs/>
          <w:color w:val="000000"/>
        </w:rPr>
        <w:t>et al</w:t>
      </w:r>
      <w:r w:rsidR="00B52847" w:rsidRPr="00023C89">
        <w:rPr>
          <w:rFonts w:ascii="Book Antiqua" w:eastAsia="Book Antiqua" w:hAnsi="Book Antiqua" w:cs="Book Antiqua"/>
          <w:color w:val="000000"/>
          <w:vertAlign w:val="superscript"/>
        </w:rPr>
        <w:t>[17]</w:t>
      </w:r>
      <w:r w:rsidRPr="00023C89">
        <w:rPr>
          <w:rFonts w:ascii="Book Antiqua" w:eastAsia="Book Antiqua" w:hAnsi="Book Antiqua" w:cs="Book Antiqua"/>
          <w:color w:val="000000"/>
        </w:rPr>
        <w:t xml:space="preserve"> found that Fos proto-oncogene, AP-1 transcription factor subunit, </w:t>
      </w:r>
      <w:r w:rsidR="00342D4D" w:rsidRPr="00023C89">
        <w:rPr>
          <w:rFonts w:ascii="Book Antiqua" w:eastAsia="Book Antiqua" w:hAnsi="Book Antiqua" w:cs="Book Antiqua"/>
          <w:color w:val="000000"/>
        </w:rPr>
        <w:t>tissue inhibitor of metalloprotease-1</w:t>
      </w:r>
      <w:r w:rsidRPr="00023C89">
        <w:rPr>
          <w:rFonts w:ascii="Book Antiqua" w:eastAsia="Book Antiqua" w:hAnsi="Book Antiqua" w:cs="Book Antiqua"/>
          <w:color w:val="000000"/>
        </w:rPr>
        <w:t>, and serpin family E member 1 may serve as therapeutic targets in DCM</w:t>
      </w:r>
      <w:r w:rsidR="00887C38"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Zhao </w:t>
      </w:r>
      <w:r w:rsidRPr="00023C89">
        <w:rPr>
          <w:rFonts w:ascii="Book Antiqua" w:eastAsia="Book Antiqua" w:hAnsi="Book Antiqua" w:cs="Book Antiqua"/>
          <w:i/>
          <w:iCs/>
          <w:color w:val="000000"/>
        </w:rPr>
        <w:t>et al</w:t>
      </w:r>
      <w:r w:rsidR="00B52847" w:rsidRPr="00023C89">
        <w:rPr>
          <w:rFonts w:ascii="Book Antiqua" w:eastAsia="Book Antiqua" w:hAnsi="Book Antiqua" w:cs="Book Antiqua"/>
          <w:color w:val="000000"/>
          <w:vertAlign w:val="superscript"/>
        </w:rPr>
        <w:t>[18]</w:t>
      </w:r>
      <w:r w:rsidRPr="00023C89">
        <w:rPr>
          <w:rFonts w:ascii="Book Antiqua" w:eastAsia="Book Antiqua" w:hAnsi="Book Antiqua" w:cs="Book Antiqua"/>
          <w:color w:val="000000"/>
        </w:rPr>
        <w:t xml:space="preserve"> identified 89 differentially expressed genes (DEGs), mainly enriched in the extracellular matrix and biological adhesion signaling pathways, </w:t>
      </w:r>
      <w:r w:rsidR="00342D4D" w:rsidRPr="00023C89">
        <w:rPr>
          <w:rFonts w:ascii="Book Antiqua" w:eastAsia="Book Antiqua" w:hAnsi="Book Antiqua" w:cs="Book Antiqua"/>
          <w:color w:val="000000"/>
        </w:rPr>
        <w:t xml:space="preserve">which </w:t>
      </w:r>
      <w:r w:rsidRPr="00023C89">
        <w:rPr>
          <w:rFonts w:ascii="Book Antiqua" w:eastAsia="Book Antiqua" w:hAnsi="Book Antiqua" w:cs="Book Antiqua"/>
          <w:color w:val="000000"/>
        </w:rPr>
        <w:t xml:space="preserve">may play significant roles in the development of DCM. However, the main cause(s) and pathogenic mechanism(s) underlying DCM are still </w:t>
      </w:r>
      <w:r w:rsidR="00342D4D" w:rsidRPr="00023C89">
        <w:rPr>
          <w:rFonts w:ascii="Book Antiqua" w:eastAsia="Book Antiqua" w:hAnsi="Book Antiqua" w:cs="Book Antiqua"/>
          <w:color w:val="000000"/>
        </w:rPr>
        <w:t>unknown;</w:t>
      </w:r>
      <w:r w:rsidRPr="00023C89">
        <w:rPr>
          <w:rFonts w:ascii="Book Antiqua" w:eastAsia="Book Antiqua" w:hAnsi="Book Antiqua" w:cs="Book Antiqua"/>
          <w:color w:val="000000"/>
        </w:rPr>
        <w:t xml:space="preserve"> thus</w:t>
      </w:r>
      <w:r w:rsidR="00342D4D"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DCM is mostly diagnosed late, which causes </w:t>
      </w:r>
      <w:r w:rsidR="00342D4D" w:rsidRPr="00023C89">
        <w:rPr>
          <w:rFonts w:ascii="Book Antiqua" w:eastAsia="Book Antiqua" w:hAnsi="Book Antiqua" w:cs="Book Antiqua"/>
          <w:color w:val="000000"/>
        </w:rPr>
        <w:t xml:space="preserve">a </w:t>
      </w:r>
      <w:r w:rsidRPr="00023C89">
        <w:rPr>
          <w:rFonts w:ascii="Book Antiqua" w:eastAsia="Book Antiqua" w:hAnsi="Book Antiqua" w:cs="Book Antiqua"/>
          <w:color w:val="000000"/>
        </w:rPr>
        <w:lastRenderedPageBreak/>
        <w:t xml:space="preserve">poor prognosis in turn. More studies are urgently needed to improve the diagnostic and therapeutic efficiency in DCM. The Gene Expression Omnibus (GEO) database includes many DCM-related microarray data, which have not been fully utilized. These data can be used to identify additional candidate biomarkers and pathways to further explore the cause(s) of DCM. </w:t>
      </w:r>
      <w:r w:rsidR="0014312C" w:rsidRPr="00023C89">
        <w:rPr>
          <w:rFonts w:ascii="Book Antiqua" w:eastAsia="Book Antiqua" w:hAnsi="Book Antiqua" w:cs="Book Antiqua"/>
          <w:color w:val="000000"/>
        </w:rPr>
        <w:t>To</w:t>
      </w:r>
      <w:r w:rsidRPr="00023C89">
        <w:rPr>
          <w:rFonts w:ascii="Book Antiqua" w:eastAsia="Book Antiqua" w:hAnsi="Book Antiqua" w:cs="Book Antiqua"/>
          <w:color w:val="000000"/>
        </w:rPr>
        <w:t xml:space="preserve"> investigate the candidate genes and pathways involved in DCM patients, we analyzed the two gene expression data sets GSE3585 and GSE5406. Using the “linear models for microarray data” (limma) method, we identified 97 DEGs between healthy individuals and DCM patients. In addition, we </w:t>
      </w:r>
      <w:r w:rsidR="0014312C" w:rsidRPr="00023C89">
        <w:rPr>
          <w:rFonts w:ascii="Book Antiqua" w:eastAsia="Book Antiqua" w:hAnsi="Book Antiqua" w:cs="Book Antiqua"/>
          <w:color w:val="000000"/>
        </w:rPr>
        <w:t xml:space="preserve">identified </w:t>
      </w:r>
      <w:r w:rsidRPr="00023C89">
        <w:rPr>
          <w:rFonts w:ascii="Book Antiqua" w:eastAsia="Book Antiqua" w:hAnsi="Book Antiqua" w:cs="Book Antiqua"/>
          <w:color w:val="000000"/>
        </w:rPr>
        <w:t xml:space="preserve">the mechanisms commonly regulated by the DEGs </w:t>
      </w:r>
      <w:r w:rsidRPr="00023C89">
        <w:rPr>
          <w:rFonts w:ascii="Book Antiqua" w:eastAsia="Book Antiqua" w:hAnsi="Book Antiqua" w:cs="Book Antiqua"/>
          <w:i/>
          <w:iCs/>
          <w:color w:val="000000"/>
        </w:rPr>
        <w:t>via</w:t>
      </w:r>
      <w:r w:rsidRPr="00023C89">
        <w:rPr>
          <w:rFonts w:ascii="Book Antiqua" w:eastAsia="Book Antiqua" w:hAnsi="Book Antiqua" w:cs="Book Antiqua"/>
          <w:color w:val="000000"/>
        </w:rPr>
        <w:t xml:space="preserve"> Gene Ontology (GO), Kyoto Encyclopedia of Genes and Genomes (KEGG) analyses</w:t>
      </w:r>
      <w:r w:rsidR="0014312C"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and gene set enrichment analyses (GSEA). Moreover, a protein-protein interaction network (PPI) network was applied to identify the hub genes that may contribute to the pathogenesis of DCM and predict the </w:t>
      </w:r>
      <w:r w:rsidR="005E63F8" w:rsidRPr="00023C89">
        <w:rPr>
          <w:rFonts w:ascii="Book Antiqua" w:eastAsia="Book Antiqua" w:hAnsi="Book Antiqua" w:cs="Book Antiqua"/>
          <w:color w:val="000000"/>
        </w:rPr>
        <w:t>microRNAs (</w:t>
      </w:r>
      <w:r w:rsidRPr="00023C89">
        <w:rPr>
          <w:rFonts w:ascii="Book Antiqua" w:eastAsia="Book Antiqua" w:hAnsi="Book Antiqua" w:cs="Book Antiqua"/>
          <w:color w:val="000000"/>
        </w:rPr>
        <w:t>miRNAs</w:t>
      </w:r>
      <w:r w:rsidR="005E63F8"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targeting the hub genes. Furthermore, we investigated the pattern of immune</w:t>
      </w:r>
      <w:r w:rsidR="0014312C"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cell infiltration in DCM.</w:t>
      </w:r>
    </w:p>
    <w:p w14:paraId="70C97E95" w14:textId="77777777" w:rsidR="00A77B3E" w:rsidRPr="00023C89" w:rsidRDefault="00A77B3E" w:rsidP="00D0748F">
      <w:pPr>
        <w:spacing w:line="360" w:lineRule="auto"/>
        <w:ind w:firstLine="480"/>
        <w:jc w:val="both"/>
        <w:rPr>
          <w:rFonts w:ascii="Book Antiqua" w:hAnsi="Book Antiqua"/>
        </w:rPr>
      </w:pPr>
    </w:p>
    <w:p w14:paraId="7D0A00ED"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aps/>
          <w:color w:val="000000"/>
          <w:u w:val="single"/>
        </w:rPr>
        <w:t>MATERIALS AND METHODS</w:t>
      </w:r>
    </w:p>
    <w:p w14:paraId="03D28C65" w14:textId="77777777" w:rsidR="00A77B3E" w:rsidRPr="00023C89" w:rsidRDefault="00DE3352" w:rsidP="00D0748F">
      <w:pPr>
        <w:spacing w:line="360" w:lineRule="auto"/>
        <w:jc w:val="both"/>
        <w:rPr>
          <w:rFonts w:ascii="Book Antiqua" w:hAnsi="Book Antiqua"/>
          <w:b/>
          <w:i/>
        </w:rPr>
      </w:pPr>
      <w:r w:rsidRPr="00023C89">
        <w:rPr>
          <w:rFonts w:ascii="Book Antiqua" w:eastAsia="Book Antiqua" w:hAnsi="Book Antiqua" w:cs="Book Antiqua"/>
          <w:b/>
          <w:i/>
          <w:color w:val="000000"/>
        </w:rPr>
        <w:t xml:space="preserve">Microarray data extraction from the GEO database </w:t>
      </w:r>
    </w:p>
    <w:p w14:paraId="3F60C1C1"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 xml:space="preserve">The mRNA expression profiles GSE3585 and GSE5406 in the GEO database (http://www.ncbi.nlm.nih.gov/geo/), which is a shared platform in which researchers deposit their microarray data related to various diseases, were downloaded. The GSE3585 dataset, generated by Barth </w:t>
      </w:r>
      <w:r w:rsidRPr="00023C89">
        <w:rPr>
          <w:rFonts w:ascii="Book Antiqua" w:eastAsia="Book Antiqua" w:hAnsi="Book Antiqua" w:cs="Book Antiqua"/>
          <w:i/>
          <w:iCs/>
          <w:color w:val="000000"/>
        </w:rPr>
        <w:t>et al</w:t>
      </w:r>
      <w:r w:rsidRPr="00023C89">
        <w:rPr>
          <w:rFonts w:ascii="Book Antiqua" w:eastAsia="Book Antiqua" w:hAnsi="Book Antiqua" w:cs="Book Antiqua"/>
          <w:color w:val="000000"/>
          <w:vertAlign w:val="superscript"/>
        </w:rPr>
        <w:t>[19]</w:t>
      </w:r>
      <w:r w:rsidRPr="00023C89">
        <w:rPr>
          <w:rFonts w:ascii="Book Antiqua" w:eastAsia="Book Antiqua" w:hAnsi="Book Antiqua" w:cs="Book Antiqua"/>
          <w:color w:val="000000"/>
        </w:rPr>
        <w:t xml:space="preserve">, and the GSE5406 dataset, generated by Hannenhalli </w:t>
      </w:r>
      <w:r w:rsidRPr="00023C89">
        <w:rPr>
          <w:rFonts w:ascii="Book Antiqua" w:eastAsia="Book Antiqua" w:hAnsi="Book Antiqua" w:cs="Book Antiqua"/>
          <w:i/>
          <w:iCs/>
          <w:color w:val="000000"/>
        </w:rPr>
        <w:t>et al</w:t>
      </w:r>
      <w:r w:rsidRPr="00023C89">
        <w:rPr>
          <w:rFonts w:ascii="Book Antiqua" w:eastAsia="Book Antiqua" w:hAnsi="Book Antiqua" w:cs="Book Antiqua"/>
          <w:color w:val="000000"/>
          <w:vertAlign w:val="superscript"/>
        </w:rPr>
        <w:t>[20]</w:t>
      </w:r>
      <w:r w:rsidRPr="00023C89">
        <w:rPr>
          <w:rFonts w:ascii="Book Antiqua" w:eastAsia="Book Antiqua" w:hAnsi="Book Antiqua" w:cs="Book Antiqua"/>
          <w:color w:val="000000"/>
        </w:rPr>
        <w:t>, consisted of 7 DCM patients and 5 healthy individuals, and 86 DCM patients and 16 healthy individuals, respectively. In total, 114 samples of the left ventricular myocardium, consisting of 93 DCM and 21 healthy samples (control group), were included in this study.</w:t>
      </w:r>
    </w:p>
    <w:p w14:paraId="7DF5D264" w14:textId="77777777" w:rsidR="00A77B3E" w:rsidRPr="00023C89" w:rsidRDefault="00A77B3E" w:rsidP="00D0748F">
      <w:pPr>
        <w:spacing w:line="360" w:lineRule="auto"/>
        <w:ind w:firstLine="480"/>
        <w:jc w:val="both"/>
        <w:rPr>
          <w:rFonts w:ascii="Book Antiqua" w:hAnsi="Book Antiqua"/>
        </w:rPr>
      </w:pPr>
    </w:p>
    <w:p w14:paraId="5A9538E4" w14:textId="77777777" w:rsidR="00A77B3E" w:rsidRPr="00023C89" w:rsidRDefault="00DE3352" w:rsidP="00D0748F">
      <w:pPr>
        <w:spacing w:line="360" w:lineRule="auto"/>
        <w:jc w:val="both"/>
        <w:rPr>
          <w:rFonts w:ascii="Book Antiqua" w:hAnsi="Book Antiqua"/>
          <w:b/>
          <w:i/>
        </w:rPr>
      </w:pPr>
      <w:r w:rsidRPr="00023C89">
        <w:rPr>
          <w:rFonts w:ascii="Book Antiqua" w:eastAsia="Book Antiqua" w:hAnsi="Book Antiqua" w:cs="Book Antiqua"/>
          <w:b/>
          <w:i/>
          <w:color w:val="000000"/>
        </w:rPr>
        <w:t xml:space="preserve">Data processing and DEGs identification </w:t>
      </w:r>
    </w:p>
    <w:p w14:paraId="29B478B1" w14:textId="6AA0C2A3" w:rsidR="00A77B3E" w:rsidRPr="00023C89" w:rsidRDefault="00DE3352" w:rsidP="00D0748F">
      <w:pPr>
        <w:spacing w:line="360" w:lineRule="auto"/>
        <w:jc w:val="both"/>
        <w:rPr>
          <w:rFonts w:ascii="Book Antiqua" w:hAnsi="Book Antiqua"/>
          <w:lang w:eastAsia="zh-CN"/>
        </w:rPr>
      </w:pPr>
      <w:r w:rsidRPr="00023C89">
        <w:rPr>
          <w:rFonts w:ascii="Book Antiqua" w:eastAsia="Book Antiqua" w:hAnsi="Book Antiqua" w:cs="Book Antiqua"/>
          <w:color w:val="000000"/>
        </w:rPr>
        <w:t xml:space="preserve">The two datasets GSE3585 and GSE5406 were loaded onto the GPL96 platform </w:t>
      </w:r>
      <w:r w:rsidR="0014312C" w:rsidRPr="00023C89">
        <w:rPr>
          <w:rFonts w:ascii="Book Antiqua" w:hAnsi="Book Antiqua" w:cs="Book Antiqua"/>
          <w:color w:val="000000"/>
          <w:lang w:eastAsia="zh-CN"/>
        </w:rPr>
        <w:t>(</w:t>
      </w:r>
      <w:r w:rsidRPr="00023C89">
        <w:rPr>
          <w:rFonts w:ascii="Book Antiqua" w:eastAsia="Book Antiqua" w:hAnsi="Book Antiqua" w:cs="Book Antiqua"/>
          <w:color w:val="000000"/>
        </w:rPr>
        <w:t xml:space="preserve">Affymetrix Human Genome U133A Array </w:t>
      </w:r>
      <w:r w:rsidR="0014312C" w:rsidRPr="00023C89">
        <w:rPr>
          <w:rFonts w:ascii="Book Antiqua" w:hAnsi="Book Antiqua" w:cs="Book Antiqua"/>
          <w:color w:val="000000"/>
          <w:lang w:eastAsia="zh-CN"/>
        </w:rPr>
        <w:t>[</w:t>
      </w:r>
      <w:r w:rsidRPr="00023C89">
        <w:rPr>
          <w:rFonts w:ascii="Book Antiqua" w:eastAsia="Book Antiqua" w:hAnsi="Book Antiqua" w:cs="Book Antiqua"/>
          <w:color w:val="000000"/>
        </w:rPr>
        <w:t>HG-U133A</w:t>
      </w:r>
      <w:r w:rsidRPr="00023C89">
        <w:rPr>
          <w:rFonts w:ascii="Book Antiqua" w:hAnsi="Book Antiqua" w:cs="Book Antiqua"/>
          <w:color w:val="000000"/>
          <w:lang w:eastAsia="zh-CN"/>
        </w:rPr>
        <w:t>]</w:t>
      </w:r>
      <w:r w:rsidR="0014312C" w:rsidRPr="00023C89">
        <w:rPr>
          <w:rFonts w:ascii="Book Antiqua" w:hAnsi="Book Antiqua" w:cs="Book Antiqua"/>
          <w:color w:val="000000"/>
          <w:lang w:eastAsia="zh-CN"/>
        </w:rPr>
        <w:t>)</w:t>
      </w:r>
      <w:r w:rsidRPr="00023C89">
        <w:rPr>
          <w:rFonts w:ascii="Book Antiqua" w:eastAsia="Book Antiqua" w:hAnsi="Book Antiqua" w:cs="Book Antiqua"/>
          <w:color w:val="000000"/>
        </w:rPr>
        <w:t xml:space="preserve">. Additionally, the series matrix </w:t>
      </w:r>
      <w:r w:rsidRPr="00023C89">
        <w:rPr>
          <w:rFonts w:ascii="Book Antiqua" w:eastAsia="Book Antiqua" w:hAnsi="Book Antiqua" w:cs="Book Antiqua"/>
          <w:color w:val="000000"/>
        </w:rPr>
        <w:lastRenderedPageBreak/>
        <w:t xml:space="preserve">and platform annotation for the two databases were downloaded from the GEO database. The probe </w:t>
      </w:r>
      <w:r w:rsidR="0014312C" w:rsidRPr="00023C89">
        <w:rPr>
          <w:rFonts w:ascii="Book Antiqua" w:eastAsia="Book Antiqua" w:hAnsi="Book Antiqua" w:cs="Book Antiqua"/>
          <w:color w:val="000000"/>
        </w:rPr>
        <w:t>identity documents</w:t>
      </w:r>
      <w:r w:rsidRPr="00023C89">
        <w:rPr>
          <w:rFonts w:ascii="Book Antiqua" w:eastAsia="Book Antiqua" w:hAnsi="Book Antiqua" w:cs="Book Antiqua"/>
          <w:color w:val="000000"/>
        </w:rPr>
        <w:t xml:space="preserve"> were transformed into gene symbols. Then, </w:t>
      </w:r>
      <w:r w:rsidRPr="00023C89">
        <w:rPr>
          <w:rFonts w:ascii="Book Antiqua" w:eastAsia="Book Antiqua" w:hAnsi="Book Antiqua" w:cs="Book Antiqua"/>
          <w:i/>
          <w:iCs/>
          <w:color w:val="000000"/>
        </w:rPr>
        <w:t>via</w:t>
      </w:r>
      <w:r w:rsidRPr="00023C89">
        <w:rPr>
          <w:rFonts w:ascii="Book Antiqua" w:eastAsia="Book Antiqua" w:hAnsi="Book Antiqua" w:cs="Book Antiqua"/>
          <w:color w:val="000000"/>
        </w:rPr>
        <w:t xml:space="preserve"> the R package “Surrogate Variable Analysis</w:t>
      </w:r>
      <w:r w:rsidR="005E63F8" w:rsidRPr="00023C89">
        <w:rPr>
          <w:rFonts w:ascii="Book Antiqua" w:eastAsia="Book Antiqua" w:hAnsi="Book Antiqua" w:cs="Book Antiqua"/>
          <w:color w:val="000000"/>
        </w:rPr>
        <w:t>,</w:t>
      </w:r>
      <w:r w:rsidRPr="00023C89">
        <w:rPr>
          <w:rFonts w:ascii="Book Antiqua" w:eastAsia="Book Antiqua" w:hAnsi="Book Antiqua" w:cs="Book Antiqua"/>
          <w:color w:val="000000"/>
        </w:rPr>
        <w:t>” the two databases were merged, and any batch effect was removed using the “Empirical Bayes” method</w:t>
      </w:r>
      <w:r w:rsidRPr="00023C89">
        <w:rPr>
          <w:rFonts w:ascii="Book Antiqua" w:eastAsia="Book Antiqua" w:hAnsi="Book Antiqua" w:cs="Book Antiqua"/>
          <w:color w:val="000000"/>
          <w:vertAlign w:val="superscript"/>
        </w:rPr>
        <w:t>[21]</w:t>
      </w:r>
      <w:r w:rsidRPr="00023C89">
        <w:rPr>
          <w:rFonts w:ascii="Book Antiqua" w:eastAsia="Book Antiqua" w:hAnsi="Book Antiqua" w:cs="Book Antiqua"/>
          <w:color w:val="000000"/>
        </w:rPr>
        <w:t>.</w:t>
      </w:r>
      <w:r w:rsidRPr="00023C89">
        <w:rPr>
          <w:rFonts w:ascii="Book Antiqua" w:eastAsia="Book Antiqua" w:hAnsi="Book Antiqua" w:cs="Book Antiqua"/>
          <w:b/>
          <w:bCs/>
          <w:color w:val="000000"/>
        </w:rPr>
        <w:t xml:space="preserve"> </w:t>
      </w:r>
      <w:r w:rsidRPr="00023C89">
        <w:rPr>
          <w:rFonts w:ascii="Book Antiqua" w:eastAsia="Book Antiqua" w:hAnsi="Book Antiqua" w:cs="Book Antiqua"/>
          <w:color w:val="000000"/>
        </w:rPr>
        <w:t>The R package “limma” was applied to identify the DEGs between the DCM and healthy myocardium tissues</w:t>
      </w:r>
      <w:r w:rsidRPr="00023C89">
        <w:rPr>
          <w:rFonts w:ascii="Book Antiqua" w:eastAsia="Book Antiqua" w:hAnsi="Book Antiqua" w:cs="Book Antiqua"/>
          <w:color w:val="000000"/>
          <w:vertAlign w:val="superscript"/>
        </w:rPr>
        <w:t>[22]</w:t>
      </w:r>
      <w:r w:rsidRPr="00023C89">
        <w:rPr>
          <w:rFonts w:ascii="Book Antiqua" w:eastAsia="Book Antiqua" w:hAnsi="Book Antiqua" w:cs="Book Antiqua"/>
          <w:color w:val="000000"/>
        </w:rPr>
        <w:t xml:space="preserve">. The screening criteria were set as </w:t>
      </w:r>
      <w:r w:rsidRPr="00023C89">
        <w:rPr>
          <w:rFonts w:ascii="Book Antiqua" w:eastAsia="Book Antiqua" w:hAnsi="Book Antiqua" w:cs="Book Antiqua"/>
          <w:i/>
          <w:iCs/>
          <w:color w:val="000000"/>
        </w:rPr>
        <w:t xml:space="preserve">P </w:t>
      </w:r>
      <w:r w:rsidRPr="00023C89">
        <w:rPr>
          <w:rFonts w:ascii="Book Antiqua" w:eastAsia="Book Antiqua" w:hAnsi="Book Antiqua" w:cs="Book Antiqua"/>
          <w:color w:val="000000"/>
        </w:rPr>
        <w:t>&lt; 0.05 and |log fold</w:t>
      </w:r>
      <w:r w:rsidR="005E63F8"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change (FC)| &gt;</w:t>
      </w:r>
      <w:r w:rsidR="00B52847" w:rsidRPr="00023C89">
        <w:rPr>
          <w:rFonts w:ascii="Book Antiqua" w:hAnsi="Book Antiqua" w:cs="Book Antiqua"/>
          <w:color w:val="000000"/>
          <w:lang w:eastAsia="zh-CN"/>
        </w:rPr>
        <w:t xml:space="preserve"> </w:t>
      </w:r>
      <w:r w:rsidRPr="00023C89">
        <w:rPr>
          <w:rFonts w:ascii="Book Antiqua" w:eastAsia="Book Antiqua" w:hAnsi="Book Antiqua" w:cs="Book Antiqua"/>
          <w:color w:val="000000"/>
        </w:rPr>
        <w:t>0.589 (FC &gt; 1.5). Volcano and heat maps were generated using R software.</w:t>
      </w:r>
    </w:p>
    <w:p w14:paraId="0B86ED6E" w14:textId="77777777" w:rsidR="00A77B3E" w:rsidRPr="00023C89" w:rsidRDefault="00A77B3E" w:rsidP="00D0748F">
      <w:pPr>
        <w:spacing w:line="360" w:lineRule="auto"/>
        <w:ind w:firstLine="480"/>
        <w:jc w:val="both"/>
        <w:rPr>
          <w:rFonts w:ascii="Book Antiqua" w:hAnsi="Book Antiqua"/>
        </w:rPr>
      </w:pPr>
    </w:p>
    <w:p w14:paraId="524F413E" w14:textId="77777777" w:rsidR="00A77B3E" w:rsidRPr="00023C89" w:rsidRDefault="00DE3352" w:rsidP="00D0748F">
      <w:pPr>
        <w:spacing w:line="360" w:lineRule="auto"/>
        <w:jc w:val="both"/>
        <w:rPr>
          <w:rFonts w:ascii="Book Antiqua" w:hAnsi="Book Antiqua"/>
          <w:b/>
          <w:i/>
          <w:lang w:eastAsia="zh-CN"/>
        </w:rPr>
      </w:pPr>
      <w:r w:rsidRPr="00023C89">
        <w:rPr>
          <w:rFonts w:ascii="Book Antiqua" w:eastAsia="Book Antiqua" w:hAnsi="Book Antiqua" w:cs="Book Antiqua"/>
          <w:b/>
          <w:i/>
          <w:color w:val="000000"/>
        </w:rPr>
        <w:t>Gene expression enrichment analysis</w:t>
      </w:r>
    </w:p>
    <w:p w14:paraId="4586CEC6" w14:textId="17F00A7C"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The gene expression enrichment analysis in this study included GO analysis (https://www.geneontology.org)</w:t>
      </w:r>
      <w:r w:rsidRPr="00023C89">
        <w:rPr>
          <w:rFonts w:ascii="Book Antiqua" w:eastAsia="Book Antiqua" w:hAnsi="Book Antiqua" w:cs="Book Antiqua"/>
          <w:color w:val="000000"/>
          <w:vertAlign w:val="superscript"/>
        </w:rPr>
        <w:t>[23]</w:t>
      </w:r>
      <w:r w:rsidRPr="00023C89">
        <w:rPr>
          <w:rFonts w:ascii="Book Antiqua" w:eastAsia="Book Antiqua" w:hAnsi="Book Antiqua" w:cs="Book Antiqua"/>
          <w:color w:val="000000"/>
        </w:rPr>
        <w:t>, KEGG (https://www.genome.jp/kegg)</w:t>
      </w:r>
      <w:r w:rsidRPr="00023C89">
        <w:rPr>
          <w:rFonts w:ascii="Book Antiqua" w:eastAsia="Book Antiqua" w:hAnsi="Book Antiqua" w:cs="Book Antiqua"/>
          <w:color w:val="000000"/>
          <w:vertAlign w:val="superscript"/>
        </w:rPr>
        <w:t>[24]</w:t>
      </w:r>
      <w:r w:rsidRPr="00023C89">
        <w:rPr>
          <w:rFonts w:ascii="Book Antiqua" w:eastAsia="Book Antiqua" w:hAnsi="Book Antiqua" w:cs="Book Antiqua"/>
          <w:color w:val="000000"/>
        </w:rPr>
        <w:t xml:space="preserve"> pathway analysis, and GSEA (https://www.gsea-msigdb.org/gsea) analysis</w:t>
      </w:r>
      <w:r w:rsidRPr="00023C89">
        <w:rPr>
          <w:rFonts w:ascii="Book Antiqua" w:eastAsia="Book Antiqua" w:hAnsi="Book Antiqua" w:cs="Book Antiqua"/>
          <w:color w:val="000000"/>
          <w:vertAlign w:val="superscript"/>
        </w:rPr>
        <w:t>[25]</w:t>
      </w:r>
      <w:r w:rsidRPr="00023C89">
        <w:rPr>
          <w:rFonts w:ascii="Book Antiqua" w:eastAsia="Book Antiqua" w:hAnsi="Book Antiqua" w:cs="Book Antiqua"/>
          <w:color w:val="000000"/>
        </w:rPr>
        <w:t>. The DEGs were inputted into Metascape (https://metascape.org)</w:t>
      </w:r>
      <w:r w:rsidRPr="00023C89">
        <w:rPr>
          <w:rFonts w:ascii="Book Antiqua" w:eastAsia="Book Antiqua" w:hAnsi="Book Antiqua" w:cs="Book Antiqua"/>
          <w:color w:val="000000"/>
          <w:vertAlign w:val="superscript"/>
        </w:rPr>
        <w:t>[26]</w:t>
      </w:r>
      <w:r w:rsidR="005E63F8"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5E63F8" w:rsidRPr="00023C89">
        <w:rPr>
          <w:rFonts w:ascii="Book Antiqua" w:eastAsia="Book Antiqua" w:hAnsi="Book Antiqua" w:cs="Book Antiqua"/>
          <w:caps/>
          <w:color w:val="000000"/>
        </w:rPr>
        <w:t>t</w:t>
      </w:r>
      <w:r w:rsidRPr="00023C89">
        <w:rPr>
          <w:rFonts w:ascii="Book Antiqua" w:eastAsia="Book Antiqua" w:hAnsi="Book Antiqua" w:cs="Book Antiqua"/>
          <w:color w:val="000000"/>
        </w:rPr>
        <w:t xml:space="preserve">he species was selected as </w:t>
      </w:r>
      <w:r w:rsidRPr="00023C89">
        <w:rPr>
          <w:rFonts w:ascii="Book Antiqua" w:eastAsia="Book Antiqua" w:hAnsi="Book Antiqua" w:cs="Book Antiqua"/>
          <w:i/>
          <w:iCs/>
          <w:color w:val="000000"/>
        </w:rPr>
        <w:t>Homo sapiens</w:t>
      </w:r>
      <w:r w:rsidR="00B52847" w:rsidRPr="00023C89">
        <w:rPr>
          <w:rFonts w:ascii="Book Antiqua" w:hAnsi="Book Antiqua" w:cs="Book Antiqua"/>
          <w:color w:val="000000"/>
          <w:lang w:eastAsia="zh-CN"/>
        </w:rPr>
        <w:t>;</w:t>
      </w:r>
      <w:r w:rsidRPr="00023C89">
        <w:rPr>
          <w:rFonts w:ascii="Book Antiqua" w:eastAsia="Book Antiqua" w:hAnsi="Book Antiqua" w:cs="Book Antiqua"/>
          <w:color w:val="000000"/>
        </w:rPr>
        <w:t xml:space="preserve"> </w:t>
      </w:r>
      <w:r w:rsidR="005E63F8" w:rsidRPr="00023C89">
        <w:rPr>
          <w:rFonts w:ascii="Book Antiqua" w:eastAsia="Book Antiqua" w:hAnsi="Book Antiqua" w:cs="Book Antiqua"/>
          <w:caps/>
          <w:color w:val="000000"/>
        </w:rPr>
        <w:t>t</w:t>
      </w:r>
      <w:r w:rsidRPr="00023C89">
        <w:rPr>
          <w:rFonts w:ascii="Book Antiqua" w:eastAsia="Book Antiqua" w:hAnsi="Book Antiqua" w:cs="Book Antiqua"/>
          <w:color w:val="000000"/>
        </w:rPr>
        <w:t xml:space="preserve">he screening standard was set as </w:t>
      </w:r>
      <w:r w:rsidRPr="00023C89">
        <w:rPr>
          <w:rFonts w:ascii="Book Antiqua" w:eastAsia="Book Antiqua" w:hAnsi="Book Antiqua" w:cs="Book Antiqua"/>
          <w:i/>
          <w:iCs/>
          <w:color w:val="000000"/>
        </w:rPr>
        <w:t xml:space="preserve">P </w:t>
      </w:r>
      <w:r w:rsidRPr="00023C89">
        <w:rPr>
          <w:rFonts w:ascii="Book Antiqua" w:eastAsia="Book Antiqua" w:hAnsi="Book Antiqua" w:cs="Book Antiqua"/>
          <w:color w:val="000000"/>
        </w:rPr>
        <w:t>&lt; 0.05</w:t>
      </w:r>
      <w:r w:rsidR="00B52847" w:rsidRPr="00023C89">
        <w:rPr>
          <w:rFonts w:ascii="Book Antiqua" w:hAnsi="Book Antiqua" w:cs="Book Antiqua"/>
          <w:color w:val="000000"/>
          <w:lang w:eastAsia="zh-CN"/>
        </w:rPr>
        <w:t>;</w:t>
      </w:r>
      <w:r w:rsidRPr="00023C89">
        <w:rPr>
          <w:rFonts w:ascii="Book Antiqua" w:eastAsia="Book Antiqua" w:hAnsi="Book Antiqua" w:cs="Book Antiqua"/>
          <w:color w:val="000000"/>
        </w:rPr>
        <w:t xml:space="preserve"> </w:t>
      </w:r>
      <w:r w:rsidR="00B52847" w:rsidRPr="00023C89">
        <w:rPr>
          <w:rFonts w:ascii="Book Antiqua" w:hAnsi="Book Antiqua" w:cs="Book Antiqua"/>
          <w:color w:val="000000"/>
          <w:lang w:eastAsia="zh-CN"/>
        </w:rPr>
        <w:t xml:space="preserve">and </w:t>
      </w:r>
      <w:r w:rsidR="005E63F8" w:rsidRPr="00023C89">
        <w:rPr>
          <w:rFonts w:ascii="Book Antiqua" w:eastAsia="Book Antiqua" w:hAnsi="Book Antiqua" w:cs="Book Antiqua"/>
          <w:caps/>
          <w:color w:val="000000"/>
        </w:rPr>
        <w:t>t</w:t>
      </w:r>
      <w:r w:rsidRPr="00023C89">
        <w:rPr>
          <w:rFonts w:ascii="Book Antiqua" w:eastAsia="Book Antiqua" w:hAnsi="Book Antiqua" w:cs="Book Antiqua"/>
          <w:color w:val="000000"/>
        </w:rPr>
        <w:t>he GO terms of biological process (BP), cellular component (CC)</w:t>
      </w:r>
      <w:r w:rsidR="005E63F8"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and molecular function (MF) were analyzed and KEGG pathway analysis was performed with the criteria of </w:t>
      </w:r>
      <w:r w:rsidRPr="00023C89">
        <w:rPr>
          <w:rFonts w:ascii="Book Antiqua" w:eastAsia="Book Antiqua" w:hAnsi="Book Antiqua" w:cs="Book Antiqua"/>
          <w:i/>
          <w:iCs/>
          <w:color w:val="000000"/>
        </w:rPr>
        <w:t xml:space="preserve">P </w:t>
      </w:r>
      <w:r w:rsidRPr="00023C89">
        <w:rPr>
          <w:rFonts w:ascii="Book Antiqua" w:eastAsia="Book Antiqua" w:hAnsi="Book Antiqua" w:cs="Book Antiqua"/>
          <w:color w:val="000000"/>
        </w:rPr>
        <w:t xml:space="preserve">&lt; 0.05. GSEA interprets the biological function of </w:t>
      </w:r>
      <w:r w:rsidR="005E63F8" w:rsidRPr="00023C89">
        <w:rPr>
          <w:rFonts w:ascii="Book Antiqua" w:eastAsia="Book Antiqua" w:hAnsi="Book Antiqua" w:cs="Book Antiqua"/>
          <w:color w:val="000000"/>
        </w:rPr>
        <w:t xml:space="preserve">the </w:t>
      </w:r>
      <w:r w:rsidRPr="00023C89">
        <w:rPr>
          <w:rFonts w:ascii="Book Antiqua" w:eastAsia="Book Antiqua" w:hAnsi="Book Antiqua" w:cs="Book Antiqua"/>
          <w:color w:val="000000"/>
        </w:rPr>
        <w:t xml:space="preserve">expression dataset. The expression dataset in the DCM cases </w:t>
      </w:r>
      <w:r w:rsidRPr="00023C89">
        <w:rPr>
          <w:rFonts w:ascii="Book Antiqua" w:eastAsia="Book Antiqua" w:hAnsi="Book Antiqua" w:cs="Book Antiqua"/>
          <w:i/>
          <w:iCs/>
          <w:color w:val="000000"/>
        </w:rPr>
        <w:t>vs</w:t>
      </w:r>
      <w:r w:rsidRPr="00023C89">
        <w:rPr>
          <w:rFonts w:ascii="Book Antiqua" w:eastAsia="Book Antiqua" w:hAnsi="Book Antiqua" w:cs="Book Antiqua"/>
          <w:color w:val="000000"/>
        </w:rPr>
        <w:t xml:space="preserve"> healthy tissues was loaded into GSEA 4.0.3 software, set gene sets database as GO gene set (c5.all.v7.1.symbols.gmt), set number of permutations as 1000, set phenotype labels as control </w:t>
      </w:r>
      <w:r w:rsidRPr="00023C89">
        <w:rPr>
          <w:rFonts w:ascii="Book Antiqua" w:eastAsia="Book Antiqua" w:hAnsi="Book Antiqua" w:cs="Book Antiqua"/>
          <w:i/>
          <w:iCs/>
          <w:color w:val="000000"/>
        </w:rPr>
        <w:t>vs</w:t>
      </w:r>
      <w:r w:rsidRPr="00023C89">
        <w:rPr>
          <w:rFonts w:ascii="Book Antiqua" w:eastAsia="Book Antiqua" w:hAnsi="Book Antiqua" w:cs="Book Antiqua"/>
          <w:color w:val="000000"/>
        </w:rPr>
        <w:t xml:space="preserve"> DCM, set collapse/remap to gene symbols as</w:t>
      </w:r>
      <w:r w:rsidR="00FA7E1B" w:rsidRPr="00023C89">
        <w:rPr>
          <w:rFonts w:ascii="Book Antiqua" w:eastAsia="Book Antiqua" w:hAnsi="Book Antiqua" w:cs="Book Antiqua"/>
          <w:color w:val="000000"/>
        </w:rPr>
        <w:t xml:space="preserve"> no</w:t>
      </w:r>
      <w:r w:rsidRPr="00023C89">
        <w:rPr>
          <w:rFonts w:ascii="Book Antiqua" w:eastAsia="Book Antiqua" w:hAnsi="Book Antiqua" w:cs="Book Antiqua"/>
          <w:color w:val="000000"/>
        </w:rPr>
        <w:t xml:space="preserve"> collapse, set permutation type as phenotype, and the other parameters were set at default parameters. Then the GSEA software was used to obtain the enrichment results. The enriched terms were defined as significant with nominal </w:t>
      </w:r>
      <w:r w:rsidRPr="00023C89">
        <w:rPr>
          <w:rFonts w:ascii="Book Antiqua" w:eastAsia="Book Antiqua" w:hAnsi="Book Antiqua" w:cs="Book Antiqua"/>
          <w:i/>
          <w:iCs/>
          <w:color w:val="000000"/>
        </w:rPr>
        <w:t xml:space="preserve">P </w:t>
      </w:r>
      <w:r w:rsidRPr="00023C89">
        <w:rPr>
          <w:rFonts w:ascii="Book Antiqua" w:eastAsia="Book Antiqua" w:hAnsi="Book Antiqua" w:cs="Book Antiqua"/>
          <w:color w:val="000000"/>
        </w:rPr>
        <w:t>&lt; 0.05.</w:t>
      </w:r>
    </w:p>
    <w:p w14:paraId="5FB7674E" w14:textId="77777777" w:rsidR="00A77B3E" w:rsidRPr="00023C89" w:rsidRDefault="00A77B3E" w:rsidP="00D0748F">
      <w:pPr>
        <w:spacing w:line="360" w:lineRule="auto"/>
        <w:ind w:firstLine="480"/>
        <w:jc w:val="both"/>
        <w:rPr>
          <w:rFonts w:ascii="Book Antiqua" w:hAnsi="Book Antiqua"/>
        </w:rPr>
      </w:pPr>
    </w:p>
    <w:p w14:paraId="1A031253" w14:textId="6ECEEA5F" w:rsidR="00A77B3E" w:rsidRPr="00023C89" w:rsidRDefault="00DE3352" w:rsidP="00D0748F">
      <w:pPr>
        <w:spacing w:line="360" w:lineRule="auto"/>
        <w:jc w:val="both"/>
        <w:rPr>
          <w:rFonts w:ascii="Book Antiqua" w:hAnsi="Book Antiqua"/>
          <w:b/>
          <w:i/>
        </w:rPr>
      </w:pPr>
      <w:r w:rsidRPr="00023C89">
        <w:rPr>
          <w:rFonts w:ascii="Book Antiqua" w:eastAsia="Book Antiqua" w:hAnsi="Book Antiqua" w:cs="Book Antiqua"/>
          <w:b/>
          <w:i/>
          <w:color w:val="000000"/>
        </w:rPr>
        <w:t>PPI network construction and hub</w:t>
      </w:r>
      <w:r w:rsidR="005E63F8" w:rsidRPr="00023C89">
        <w:rPr>
          <w:rFonts w:ascii="Book Antiqua" w:eastAsia="Book Antiqua" w:hAnsi="Book Antiqua" w:cs="Book Antiqua"/>
          <w:b/>
          <w:i/>
          <w:color w:val="000000"/>
        </w:rPr>
        <w:t xml:space="preserve"> </w:t>
      </w:r>
      <w:r w:rsidRPr="00023C89">
        <w:rPr>
          <w:rFonts w:ascii="Book Antiqua" w:eastAsia="Book Antiqua" w:hAnsi="Book Antiqua" w:cs="Book Antiqua"/>
          <w:b/>
          <w:i/>
          <w:color w:val="000000"/>
        </w:rPr>
        <w:t>gene identification</w:t>
      </w:r>
    </w:p>
    <w:p w14:paraId="02E2BEB7" w14:textId="3549DFD0" w:rsidR="00A77B3E" w:rsidRPr="00023C89" w:rsidRDefault="00E339BA" w:rsidP="00D0748F">
      <w:pPr>
        <w:spacing w:line="360" w:lineRule="auto"/>
        <w:jc w:val="both"/>
        <w:rPr>
          <w:rFonts w:ascii="Book Antiqua" w:eastAsia="Book Antiqua" w:hAnsi="Book Antiqua" w:cs="Book Antiqua"/>
          <w:color w:val="000000"/>
        </w:rPr>
      </w:pPr>
      <w:r w:rsidRPr="00023C89">
        <w:rPr>
          <w:rFonts w:ascii="Book Antiqua" w:eastAsia="Book Antiqua" w:hAnsi="Book Antiqua" w:cs="Book Antiqua"/>
          <w:color w:val="000000"/>
        </w:rPr>
        <w:t xml:space="preserve">The </w:t>
      </w:r>
      <w:r w:rsidR="00DE3352" w:rsidRPr="00023C89">
        <w:rPr>
          <w:rFonts w:ascii="Book Antiqua" w:eastAsia="Book Antiqua" w:hAnsi="Book Antiqua" w:cs="Book Antiqua"/>
          <w:color w:val="000000"/>
        </w:rPr>
        <w:t xml:space="preserve">PPI network </w:t>
      </w:r>
      <w:r w:rsidRPr="00023C89">
        <w:rPr>
          <w:rFonts w:ascii="Book Antiqua" w:eastAsia="Book Antiqua" w:hAnsi="Book Antiqua" w:cs="Book Antiqua"/>
          <w:color w:val="000000"/>
        </w:rPr>
        <w:t xml:space="preserve">was </w:t>
      </w:r>
      <w:r w:rsidR="00DE3352" w:rsidRPr="00023C89">
        <w:rPr>
          <w:rFonts w:ascii="Book Antiqua" w:eastAsia="Book Antiqua" w:hAnsi="Book Antiqua" w:cs="Book Antiqua"/>
          <w:color w:val="000000"/>
        </w:rPr>
        <w:t xml:space="preserve">constructed </w:t>
      </w:r>
      <w:r w:rsidRPr="00023C89">
        <w:rPr>
          <w:rFonts w:ascii="Book Antiqua" w:eastAsia="Book Antiqua" w:hAnsi="Book Antiqua" w:cs="Book Antiqua"/>
          <w:color w:val="000000"/>
        </w:rPr>
        <w:t>with the</w:t>
      </w:r>
      <w:r w:rsidR="00DE3352" w:rsidRPr="00023C89">
        <w:rPr>
          <w:rFonts w:ascii="Book Antiqua" w:eastAsia="Book Antiqua" w:hAnsi="Book Antiqua" w:cs="Book Antiqua"/>
          <w:color w:val="000000"/>
        </w:rPr>
        <w:t xml:space="preserve"> online website </w:t>
      </w:r>
      <w:r w:rsidRPr="00023C89">
        <w:rPr>
          <w:rFonts w:ascii="Book Antiqua" w:eastAsia="Book Antiqua" w:hAnsi="Book Antiqua" w:cs="Book Antiqua"/>
          <w:color w:val="000000"/>
        </w:rPr>
        <w:t>Search Tool for the Retrieval of Interacting Genes/Proteins (</w:t>
      </w:r>
      <w:r w:rsidR="00DE3352" w:rsidRPr="00023C89">
        <w:rPr>
          <w:rFonts w:ascii="Book Antiqua" w:eastAsia="Book Antiqua" w:hAnsi="Book Antiqua" w:cs="Book Antiqua"/>
          <w:color w:val="000000"/>
        </w:rPr>
        <w:t>STRING</w:t>
      </w:r>
      <w:r w:rsidRPr="00023C89">
        <w:rPr>
          <w:rFonts w:ascii="Book Antiqua" w:eastAsia="Book Antiqua" w:hAnsi="Book Antiqua" w:cs="Book Antiqua"/>
          <w:color w:val="000000"/>
        </w:rPr>
        <w:t xml:space="preserve">, </w:t>
      </w:r>
      <w:r w:rsidR="00DE3352" w:rsidRPr="00023C89">
        <w:rPr>
          <w:rFonts w:ascii="Book Antiqua" w:eastAsia="Book Antiqua" w:hAnsi="Book Antiqua" w:cs="Book Antiqua"/>
          <w:color w:val="000000"/>
        </w:rPr>
        <w:t>https://string</w:t>
      </w:r>
      <w:r w:rsidR="00DE3352" w:rsidRPr="00023C89">
        <w:rPr>
          <w:rFonts w:ascii="Book Antiqua" w:eastAsia="Book Antiqua" w:hAnsi="Book Antiqua" w:cs="Book Antiqua"/>
          <w:color w:val="000000"/>
        </w:rPr>
        <w:noBreakHyphen/>
        <w:t>db.org/cgi/input.pl)</w:t>
      </w:r>
      <w:r w:rsidR="00DE3352" w:rsidRPr="00023C89">
        <w:rPr>
          <w:rFonts w:ascii="Book Antiqua" w:eastAsia="Book Antiqua" w:hAnsi="Book Antiqua" w:cs="Book Antiqua"/>
          <w:color w:val="000000"/>
          <w:vertAlign w:val="superscript"/>
        </w:rPr>
        <w:t>[27]</w:t>
      </w:r>
      <w:r w:rsidR="00DE3352"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 xml:space="preserve">to </w:t>
      </w:r>
      <w:r w:rsidR="00DE3352" w:rsidRPr="00023C89">
        <w:rPr>
          <w:rFonts w:ascii="Book Antiqua" w:eastAsia="Book Antiqua" w:hAnsi="Book Antiqua" w:cs="Book Antiqua"/>
          <w:color w:val="000000"/>
        </w:rPr>
        <w:t xml:space="preserve">contribute to the understanding of the interactive relationship among DEGs. The DEGs were inputted into this website, species of </w:t>
      </w:r>
      <w:r w:rsidR="00DE3352" w:rsidRPr="00023C89">
        <w:rPr>
          <w:rFonts w:ascii="Book Antiqua" w:eastAsia="Book Antiqua" w:hAnsi="Book Antiqua" w:cs="Book Antiqua"/>
          <w:i/>
          <w:iCs/>
          <w:color w:val="000000"/>
        </w:rPr>
        <w:t>Homo sapiens</w:t>
      </w:r>
      <w:r w:rsidR="00DE3352" w:rsidRPr="00023C89">
        <w:rPr>
          <w:rFonts w:ascii="Book Antiqua" w:eastAsia="Book Antiqua" w:hAnsi="Book Antiqua" w:cs="Book Antiqua"/>
          <w:color w:val="000000"/>
        </w:rPr>
        <w:t xml:space="preserve"> was selected, and the </w:t>
      </w:r>
      <w:r w:rsidR="00DE3352" w:rsidRPr="00023C89">
        <w:rPr>
          <w:rFonts w:ascii="Book Antiqua" w:eastAsia="Book Antiqua" w:hAnsi="Book Antiqua" w:cs="Book Antiqua"/>
          <w:color w:val="000000"/>
        </w:rPr>
        <w:lastRenderedPageBreak/>
        <w:t>identification criterion was set as combined score &gt; 0.4 (medium confidence). Then the profile of interacting node pairs was imported into Cytoscape (https://cytoscape.org)</w:t>
      </w:r>
      <w:r w:rsidR="00DE3352" w:rsidRPr="00023C89">
        <w:rPr>
          <w:rFonts w:ascii="Book Antiqua" w:eastAsia="Book Antiqua" w:hAnsi="Book Antiqua" w:cs="Book Antiqua"/>
          <w:color w:val="000000"/>
          <w:vertAlign w:val="superscript"/>
        </w:rPr>
        <w:t>[28]</w:t>
      </w:r>
      <w:r w:rsidR="00DE3352" w:rsidRPr="00023C89">
        <w:rPr>
          <w:rFonts w:ascii="Book Antiqua" w:eastAsia="Book Antiqua" w:hAnsi="Book Antiqua" w:cs="Book Antiqua"/>
          <w:color w:val="000000"/>
        </w:rPr>
        <w:t xml:space="preserve"> to visualize the PPI network. The top 10 hub genes were identified with the standard of connectivity degree by using the CytoHubba plugin. The plugin Molecular Complex Detection (MCODE) was applied to identify the essential module within the PPI network in Cytoscape with the default parameters (degree cutoff, 2; node score cutoff, 0.2; k</w:t>
      </w:r>
      <w:r w:rsidR="00DE3352" w:rsidRPr="00023C89">
        <w:rPr>
          <w:rFonts w:ascii="Book Antiqua" w:eastAsia="Book Antiqua" w:hAnsi="Book Antiqua" w:cs="Book Antiqua"/>
          <w:color w:val="000000"/>
        </w:rPr>
        <w:noBreakHyphen/>
        <w:t>core, 2; and maximum depth, 100).</w:t>
      </w:r>
    </w:p>
    <w:p w14:paraId="4FBB2DAC" w14:textId="77777777" w:rsidR="00A77B3E" w:rsidRPr="00023C89" w:rsidRDefault="00A77B3E" w:rsidP="00D0748F">
      <w:pPr>
        <w:spacing w:line="360" w:lineRule="auto"/>
        <w:ind w:firstLine="480"/>
        <w:jc w:val="both"/>
        <w:rPr>
          <w:rFonts w:ascii="Book Antiqua" w:hAnsi="Book Antiqua"/>
        </w:rPr>
      </w:pPr>
    </w:p>
    <w:p w14:paraId="5AD40C5B" w14:textId="77777777" w:rsidR="00A77B3E" w:rsidRPr="00023C89" w:rsidRDefault="00DE3352" w:rsidP="00D0748F">
      <w:pPr>
        <w:spacing w:line="360" w:lineRule="auto"/>
        <w:jc w:val="both"/>
        <w:rPr>
          <w:rFonts w:ascii="Book Antiqua" w:hAnsi="Book Antiqua"/>
          <w:b/>
          <w:i/>
        </w:rPr>
      </w:pPr>
      <w:r w:rsidRPr="00023C89">
        <w:rPr>
          <w:rFonts w:ascii="Book Antiqua" w:eastAsia="Book Antiqua" w:hAnsi="Book Antiqua" w:cs="Book Antiqua"/>
          <w:b/>
          <w:i/>
          <w:color w:val="000000"/>
        </w:rPr>
        <w:t xml:space="preserve">Construction of the miRNA-mRNA interaction network </w:t>
      </w:r>
    </w:p>
    <w:p w14:paraId="13EAECFB" w14:textId="46094F06"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miRNAs, a class of small non-coding RNAs, regulate the expression of various genes by binding to their transcripts and play critical roles in DCM progression</w:t>
      </w:r>
      <w:r w:rsidRPr="00023C89">
        <w:rPr>
          <w:rFonts w:ascii="Book Antiqua" w:eastAsia="Book Antiqua" w:hAnsi="Book Antiqua" w:cs="Book Antiqua"/>
          <w:color w:val="000000"/>
          <w:vertAlign w:val="superscript"/>
        </w:rPr>
        <w:t>[29]</w:t>
      </w:r>
      <w:r w:rsidRPr="00023C89">
        <w:rPr>
          <w:rFonts w:ascii="Book Antiqua" w:eastAsia="Book Antiqua" w:hAnsi="Book Antiqua" w:cs="Book Antiqua"/>
          <w:color w:val="000000"/>
        </w:rPr>
        <w:t xml:space="preserve">. By using the </w:t>
      </w:r>
      <w:r w:rsidR="00E339BA" w:rsidRPr="00023C89">
        <w:rPr>
          <w:rFonts w:ascii="Book Antiqua" w:eastAsia="Book Antiqua" w:hAnsi="Book Antiqua" w:cs="Book Antiqua"/>
          <w:color w:val="000000"/>
        </w:rPr>
        <w:t>MicroRNA Database (</w:t>
      </w:r>
      <w:r w:rsidRPr="00023C89">
        <w:rPr>
          <w:rFonts w:ascii="Book Antiqua" w:eastAsia="Book Antiqua" w:hAnsi="Book Antiqua" w:cs="Book Antiqua"/>
          <w:color w:val="000000"/>
        </w:rPr>
        <w:t>miRDB</w:t>
      </w:r>
      <w:r w:rsidR="00E339BA" w:rsidRPr="00023C89">
        <w:rPr>
          <w:rFonts w:ascii="Book Antiqua" w:eastAsia="Book Antiqua" w:hAnsi="Book Antiqua" w:cs="Book Antiqua"/>
          <w:color w:val="000000"/>
        </w:rPr>
        <w:t>)</w:t>
      </w:r>
      <w:r w:rsidRPr="00023C89">
        <w:rPr>
          <w:rFonts w:ascii="Book Antiqua" w:eastAsia="Book Antiqua" w:hAnsi="Book Antiqua" w:cs="Book Antiqua"/>
          <w:color w:val="000000"/>
          <w:vertAlign w:val="superscript"/>
        </w:rPr>
        <w:t>[30]</w:t>
      </w:r>
      <w:r w:rsidRPr="00023C89">
        <w:rPr>
          <w:rFonts w:ascii="Book Antiqua" w:eastAsia="Book Antiqua" w:hAnsi="Book Antiqua" w:cs="Book Antiqua"/>
          <w:color w:val="000000"/>
        </w:rPr>
        <w:t xml:space="preserve"> (</w:t>
      </w:r>
      <w:hyperlink r:id="rId8" w:history="1">
        <w:r w:rsidR="00687F2B" w:rsidRPr="00023C89">
          <w:rPr>
            <w:rStyle w:val="ab"/>
            <w:rFonts w:ascii="Book Antiqua" w:eastAsia="Book Antiqua" w:hAnsi="Book Antiqua" w:cs="Book Antiqua"/>
          </w:rPr>
          <w:t>http://mirdb.org/</w:t>
        </w:r>
      </w:hyperlink>
      <w:r w:rsidRPr="00023C89">
        <w:rPr>
          <w:rFonts w:ascii="Book Antiqua" w:eastAsia="Book Antiqua" w:hAnsi="Book Antiqua" w:cs="Book Antiqua"/>
          <w:color w:val="000000"/>
        </w:rPr>
        <w:t>)</w:t>
      </w:r>
      <w:r w:rsidR="00687F2B"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 xml:space="preserve">we predicted miRNAs targeting any of the top 10 hub genes. </w:t>
      </w:r>
      <w:r w:rsidR="00E339BA" w:rsidRPr="00023C89">
        <w:rPr>
          <w:rFonts w:ascii="Book Antiqua" w:eastAsia="Book Antiqua" w:hAnsi="Book Antiqua" w:cs="Book Antiqua"/>
          <w:color w:val="000000"/>
        </w:rPr>
        <w:t>Then</w:t>
      </w:r>
      <w:r w:rsidR="00717416" w:rsidRPr="00023C89">
        <w:rPr>
          <w:rFonts w:ascii="Book Antiqua" w:eastAsia="Book Antiqua" w:hAnsi="Book Antiqua" w:cs="Book Antiqua"/>
          <w:color w:val="000000"/>
        </w:rPr>
        <w:t>,</w:t>
      </w:r>
      <w:r w:rsidR="00E339BA" w:rsidRPr="00023C89">
        <w:rPr>
          <w:rFonts w:ascii="Book Antiqua" w:eastAsia="Book Antiqua" w:hAnsi="Book Antiqua" w:cs="Book Antiqua"/>
          <w:color w:val="000000"/>
        </w:rPr>
        <w:t xml:space="preserve"> we </w:t>
      </w:r>
      <w:r w:rsidRPr="00023C89">
        <w:rPr>
          <w:rFonts w:ascii="Book Antiqua" w:eastAsia="Book Antiqua" w:hAnsi="Book Antiqua" w:cs="Book Antiqua"/>
          <w:color w:val="000000"/>
        </w:rPr>
        <w:t xml:space="preserve">sorted these miRNAs according to their prediction scores and selected the top 10 miRNAs. </w:t>
      </w:r>
      <w:r w:rsidR="00E339BA" w:rsidRPr="00023C89">
        <w:rPr>
          <w:rFonts w:ascii="Book Antiqua" w:eastAsia="Book Antiqua" w:hAnsi="Book Antiqua" w:cs="Book Antiqua"/>
          <w:color w:val="000000"/>
        </w:rPr>
        <w:t>T</w:t>
      </w:r>
      <w:r w:rsidRPr="00023C89">
        <w:rPr>
          <w:rFonts w:ascii="Book Antiqua" w:eastAsia="Book Antiqua" w:hAnsi="Book Antiqua" w:cs="Book Antiqua"/>
          <w:color w:val="000000"/>
        </w:rPr>
        <w:t>he mRNA-miRNA pairs were imported into Cytoscape to visualize the miRNA-mRNA network.</w:t>
      </w:r>
    </w:p>
    <w:p w14:paraId="36921E91" w14:textId="77777777" w:rsidR="00A77B3E" w:rsidRPr="00023C89" w:rsidRDefault="00A77B3E" w:rsidP="00D0748F">
      <w:pPr>
        <w:spacing w:line="360" w:lineRule="auto"/>
        <w:ind w:firstLine="480"/>
        <w:jc w:val="both"/>
        <w:rPr>
          <w:rFonts w:ascii="Book Antiqua" w:hAnsi="Book Antiqua"/>
        </w:rPr>
      </w:pPr>
    </w:p>
    <w:p w14:paraId="1EAB8229" w14:textId="6E296A8D" w:rsidR="00A77B3E" w:rsidRPr="00023C89" w:rsidRDefault="00DE3352" w:rsidP="00D0748F">
      <w:pPr>
        <w:spacing w:line="360" w:lineRule="auto"/>
        <w:jc w:val="both"/>
        <w:rPr>
          <w:rFonts w:ascii="Book Antiqua" w:hAnsi="Book Antiqua"/>
          <w:b/>
          <w:i/>
        </w:rPr>
      </w:pPr>
      <w:r w:rsidRPr="00023C89">
        <w:rPr>
          <w:rFonts w:ascii="Book Antiqua" w:eastAsia="Book Antiqua" w:hAnsi="Book Antiqua" w:cs="Book Antiqua"/>
          <w:b/>
          <w:i/>
          <w:color w:val="000000"/>
        </w:rPr>
        <w:t>Immune cell infiltration analysis</w:t>
      </w:r>
    </w:p>
    <w:p w14:paraId="34AD1E6F" w14:textId="4AC1E47C"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The CIBERSORT (cibersort.stanford.edu) algorithm was applied to analyze the normalized gene expression data, and the proportions of 22 types of immune cells in each sample were analyzed</w:t>
      </w:r>
      <w:r w:rsidRPr="00023C89">
        <w:rPr>
          <w:rFonts w:ascii="Book Antiqua" w:eastAsia="Book Antiqua" w:hAnsi="Book Antiqua" w:cs="Book Antiqua"/>
          <w:color w:val="000000"/>
          <w:vertAlign w:val="superscript"/>
        </w:rPr>
        <w:t>[31]</w:t>
      </w:r>
      <w:r w:rsidRPr="00023C89">
        <w:rPr>
          <w:rFonts w:ascii="Book Antiqua" w:eastAsia="Book Antiqua" w:hAnsi="Book Antiqua" w:cs="Book Antiqua"/>
          <w:color w:val="000000"/>
        </w:rPr>
        <w:t xml:space="preserve">. The gene expression data were normalized </w:t>
      </w:r>
      <w:r w:rsidRPr="00023C89">
        <w:rPr>
          <w:rFonts w:ascii="Book Antiqua" w:eastAsia="Book Antiqua" w:hAnsi="Book Antiqua" w:cs="Book Antiqua"/>
          <w:i/>
          <w:iCs/>
          <w:color w:val="000000"/>
        </w:rPr>
        <w:t>via</w:t>
      </w:r>
      <w:r w:rsidRPr="00023C89">
        <w:rPr>
          <w:rFonts w:ascii="Book Antiqua" w:eastAsia="Book Antiqua" w:hAnsi="Book Antiqua" w:cs="Book Antiqua"/>
          <w:color w:val="000000"/>
        </w:rPr>
        <w:t xml:space="preserve"> “limma” and transformed into the 22 types of immune</w:t>
      </w:r>
      <w:r w:rsidR="005E63F8"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cell expression data through the source of CIBERSORT</w:t>
      </w:r>
      <w:r w:rsidRPr="00023C89">
        <w:rPr>
          <w:rFonts w:ascii="Book Antiqua" w:eastAsia="Book Antiqua" w:hAnsi="Book Antiqua" w:cs="Book Antiqua"/>
          <w:color w:val="000000"/>
          <w:vertAlign w:val="superscript"/>
        </w:rPr>
        <w:t>[32]</w:t>
      </w:r>
      <w:r w:rsidRPr="00023C89">
        <w:rPr>
          <w:rFonts w:ascii="Book Antiqua" w:eastAsia="Book Antiqua" w:hAnsi="Book Antiqua" w:cs="Book Antiqua"/>
          <w:color w:val="000000"/>
        </w:rPr>
        <w:t xml:space="preserve"> </w:t>
      </w:r>
      <w:r w:rsidRPr="00023C89">
        <w:rPr>
          <w:rFonts w:ascii="Book Antiqua" w:eastAsia="Book Antiqua" w:hAnsi="Book Antiqua" w:cs="Book Antiqua"/>
          <w:i/>
          <w:iCs/>
          <w:color w:val="000000"/>
        </w:rPr>
        <w:t>via</w:t>
      </w:r>
      <w:r w:rsidRPr="00023C89">
        <w:rPr>
          <w:rFonts w:ascii="Book Antiqua" w:eastAsia="Book Antiqua" w:hAnsi="Book Antiqua" w:cs="Book Antiqua"/>
          <w:color w:val="000000"/>
        </w:rPr>
        <w:t xml:space="preserve"> R. Then the results were filtered out </w:t>
      </w:r>
      <w:r w:rsidRPr="00023C89">
        <w:rPr>
          <w:rFonts w:ascii="Book Antiqua" w:eastAsia="Book Antiqua" w:hAnsi="Book Antiqua" w:cs="Book Antiqua"/>
          <w:i/>
          <w:iCs/>
          <w:color w:val="000000"/>
        </w:rPr>
        <w:t>via</w:t>
      </w:r>
      <w:r w:rsidRPr="00023C89">
        <w:rPr>
          <w:rFonts w:ascii="Book Antiqua" w:eastAsia="Book Antiqua" w:hAnsi="Book Antiqua" w:cs="Book Antiqua"/>
          <w:color w:val="000000"/>
        </w:rPr>
        <w:t xml:space="preserve"> Perl (https://www.perl.org) with </w:t>
      </w:r>
      <w:r w:rsidRPr="00023C89">
        <w:rPr>
          <w:rFonts w:ascii="Book Antiqua" w:eastAsia="Book Antiqua" w:hAnsi="Book Antiqua" w:cs="Book Antiqua"/>
          <w:i/>
          <w:iCs/>
          <w:color w:val="000000"/>
        </w:rPr>
        <w:t xml:space="preserve">P </w:t>
      </w:r>
      <w:r w:rsidRPr="00023C89">
        <w:rPr>
          <w:rFonts w:ascii="Book Antiqua" w:eastAsia="Book Antiqua" w:hAnsi="Book Antiqua" w:cs="Book Antiqua"/>
          <w:color w:val="000000"/>
        </w:rPr>
        <w:t>&lt; 0.05, and the immune</w:t>
      </w:r>
      <w:r w:rsidR="005E63F8"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cell infiltration matrix was obtained. Next, the “vioplot” package was used to draw violin diagrams to visualize the difference in immune</w:t>
      </w:r>
      <w:r w:rsidR="00E339BA"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cell infiltration between the DCM and healthy groups in detail. The “ggplot2”</w:t>
      </w:r>
      <w:r w:rsidRPr="00023C89">
        <w:rPr>
          <w:rFonts w:ascii="Book Antiqua" w:eastAsia="Book Antiqua" w:hAnsi="Book Antiqua" w:cs="Book Antiqua"/>
          <w:color w:val="000000"/>
          <w:vertAlign w:val="superscript"/>
        </w:rPr>
        <w:t>[33]</w:t>
      </w:r>
      <w:r w:rsidRPr="00023C89">
        <w:rPr>
          <w:rFonts w:ascii="Book Antiqua" w:eastAsia="Book Antiqua" w:hAnsi="Book Antiqua" w:cs="Book Antiqua"/>
          <w:color w:val="000000"/>
        </w:rPr>
        <w:t xml:space="preserve"> package was applied to perform principal component analysis (PCA) and draw a PCA clustering map. The “corrplot” package was used to analyze the correlation among immune</w:t>
      </w:r>
      <w:r w:rsidR="00E339BA"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cell infiltration and draw a correlation heatmap.</w:t>
      </w:r>
    </w:p>
    <w:p w14:paraId="7075635C" w14:textId="77777777" w:rsidR="00A77B3E" w:rsidRPr="00023C89" w:rsidRDefault="00A77B3E" w:rsidP="00D0748F">
      <w:pPr>
        <w:spacing w:line="360" w:lineRule="auto"/>
        <w:ind w:firstLine="480"/>
        <w:jc w:val="both"/>
        <w:rPr>
          <w:rFonts w:ascii="Book Antiqua" w:hAnsi="Book Antiqua"/>
        </w:rPr>
      </w:pPr>
    </w:p>
    <w:p w14:paraId="6271B4DC"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aps/>
          <w:color w:val="000000"/>
          <w:u w:val="single"/>
        </w:rPr>
        <w:lastRenderedPageBreak/>
        <w:t>RESULTS</w:t>
      </w:r>
    </w:p>
    <w:p w14:paraId="3F344040" w14:textId="77777777" w:rsidR="00A77B3E" w:rsidRPr="00023C89" w:rsidRDefault="00DE3352" w:rsidP="00D0748F">
      <w:pPr>
        <w:spacing w:line="360" w:lineRule="auto"/>
        <w:jc w:val="both"/>
        <w:rPr>
          <w:rFonts w:ascii="Book Antiqua" w:hAnsi="Book Antiqua"/>
          <w:i/>
          <w:lang w:eastAsia="zh-CN"/>
        </w:rPr>
      </w:pPr>
      <w:r w:rsidRPr="00023C89">
        <w:rPr>
          <w:rFonts w:ascii="Book Antiqua" w:eastAsia="Book Antiqua" w:hAnsi="Book Antiqua" w:cs="Book Antiqua"/>
          <w:b/>
          <w:bCs/>
          <w:i/>
          <w:color w:val="000000"/>
        </w:rPr>
        <w:t>Identification of DEGs</w:t>
      </w:r>
    </w:p>
    <w:p w14:paraId="5291B968"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After merging the two datasets, 97 DEGs, including 47 upregulated and 50 downregulated genes, were obtained in the DCM group compared with the control group. Figure 1 shows the volcano map and heatmap of the 97 DEGs. The details of the top 10 upregulated or downregulated genes are shown in Table 1.</w:t>
      </w:r>
    </w:p>
    <w:p w14:paraId="3B82A2AC" w14:textId="77777777" w:rsidR="00A77B3E" w:rsidRPr="00023C89" w:rsidRDefault="00A77B3E" w:rsidP="00D0748F">
      <w:pPr>
        <w:spacing w:line="360" w:lineRule="auto"/>
        <w:jc w:val="both"/>
        <w:rPr>
          <w:rFonts w:ascii="Book Antiqua" w:hAnsi="Book Antiqua"/>
        </w:rPr>
      </w:pPr>
    </w:p>
    <w:p w14:paraId="1DA77CCC" w14:textId="0B673986" w:rsidR="00A77B3E" w:rsidRPr="00023C89" w:rsidRDefault="00DE3352" w:rsidP="00D0748F">
      <w:pPr>
        <w:spacing w:line="360" w:lineRule="auto"/>
        <w:jc w:val="both"/>
        <w:rPr>
          <w:rFonts w:ascii="Book Antiqua" w:hAnsi="Book Antiqua"/>
          <w:b/>
          <w:i/>
        </w:rPr>
      </w:pPr>
      <w:r w:rsidRPr="00023C89">
        <w:rPr>
          <w:rFonts w:ascii="Book Antiqua" w:eastAsia="Book Antiqua" w:hAnsi="Book Antiqua" w:cs="Book Antiqua"/>
          <w:b/>
          <w:bCs/>
          <w:i/>
          <w:color w:val="000000"/>
        </w:rPr>
        <w:t>GO and KEGG enrichment analys</w:t>
      </w:r>
      <w:r w:rsidR="00745CE9" w:rsidRPr="00023C89">
        <w:rPr>
          <w:rFonts w:ascii="Book Antiqua" w:eastAsia="Book Antiqua" w:hAnsi="Book Antiqua" w:cs="Book Antiqua"/>
          <w:b/>
          <w:bCs/>
          <w:i/>
          <w:color w:val="000000"/>
        </w:rPr>
        <w:t>e</w:t>
      </w:r>
      <w:r w:rsidRPr="00023C89">
        <w:rPr>
          <w:rFonts w:ascii="Book Antiqua" w:eastAsia="Book Antiqua" w:hAnsi="Book Antiqua" w:cs="Book Antiqua"/>
          <w:b/>
          <w:bCs/>
          <w:i/>
          <w:color w:val="000000"/>
        </w:rPr>
        <w:t>s</w:t>
      </w:r>
    </w:p>
    <w:p w14:paraId="3D6B6F8F" w14:textId="51EFB82B" w:rsidR="00A77B3E" w:rsidRPr="00023C89" w:rsidRDefault="00DE3352" w:rsidP="00D0748F">
      <w:pPr>
        <w:spacing w:line="360" w:lineRule="auto"/>
        <w:jc w:val="both"/>
        <w:rPr>
          <w:rFonts w:ascii="Book Antiqua" w:eastAsia="Book Antiqua" w:hAnsi="Book Antiqua" w:cs="Book Antiqua"/>
          <w:color w:val="000000"/>
        </w:rPr>
      </w:pPr>
      <w:r w:rsidRPr="00023C89">
        <w:rPr>
          <w:rFonts w:ascii="Book Antiqua" w:eastAsia="Book Antiqua" w:hAnsi="Book Antiqua" w:cs="Book Antiqua"/>
          <w:color w:val="000000"/>
        </w:rPr>
        <w:t>Next, the DEGs were used to perform enrichment analysis for BP, CC, MF, and KEGG pathways. By using the Metascape website, the BP of GO was found</w:t>
      </w:r>
      <w:r w:rsidR="00745CE9" w:rsidRPr="00023C89">
        <w:rPr>
          <w:rFonts w:ascii="Book Antiqua" w:eastAsia="Book Antiqua" w:hAnsi="Book Antiqua" w:cs="Book Antiqua"/>
          <w:color w:val="000000"/>
        </w:rPr>
        <w:t xml:space="preserve"> to be</w:t>
      </w:r>
      <w:r w:rsidRPr="00023C89">
        <w:rPr>
          <w:rFonts w:ascii="Book Antiqua" w:eastAsia="Book Antiqua" w:hAnsi="Book Antiqua" w:cs="Book Antiqua"/>
          <w:color w:val="000000"/>
        </w:rPr>
        <w:t xml:space="preserve"> significantly enriched in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response to growth factor</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blood vessel development</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regulation of smooth muscle cell proliferation</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muscle tissue development</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and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acute inflammatory response</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(Figure 2A). The DEGs in CC were mainly enriched in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extracellular matrix</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cytoplasmic vesicle lumen</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collagen trimer</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and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sarcoplasm</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(Figure 2B). Regarding MF, the DEGs were mainly enriched in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extracellular matrix structural constituent</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growth factor binding</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alpha-actinin binding</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and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calcium ion binding</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(Figure 2C). KEGG pathway analysis revealed significant pathway enrichment of DEGs in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protein digestion and absorption</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006C0537" w:rsidRPr="00023C89">
        <w:rPr>
          <w:rFonts w:ascii="Book Antiqua" w:eastAsia="Book Antiqua" w:hAnsi="Book Antiqua" w:cs="Book Antiqua"/>
          <w:color w:val="000000"/>
        </w:rPr>
        <w:t>interleukin 17 (</w:t>
      </w:r>
      <w:r w:rsidRPr="00023C89">
        <w:rPr>
          <w:rFonts w:ascii="Book Antiqua" w:eastAsia="Book Antiqua" w:hAnsi="Book Antiqua" w:cs="Book Antiqua"/>
          <w:color w:val="000000"/>
        </w:rPr>
        <w:t>IL-17</w:t>
      </w:r>
      <w:r w:rsidR="006C0537"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signaling pathway</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“advanced glycation end products-</w:t>
      </w:r>
      <w:r w:rsidR="00745CE9" w:rsidRPr="00023C89">
        <w:rPr>
          <w:rFonts w:eastAsia="Times New Roman"/>
        </w:rPr>
        <w:t>r</w:t>
      </w:r>
      <w:r w:rsidR="00745CE9" w:rsidRPr="00023C89">
        <w:rPr>
          <w:rFonts w:ascii="Book Antiqua" w:eastAsia="Book Antiqua" w:hAnsi="Book Antiqua" w:cs="Book Antiqua"/>
          <w:color w:val="000000"/>
        </w:rPr>
        <w:t xml:space="preserve">eceptor for advanced glycation end products </w:t>
      </w:r>
      <w:r w:rsidRPr="00023C89">
        <w:rPr>
          <w:rFonts w:ascii="Book Antiqua" w:eastAsia="Book Antiqua" w:hAnsi="Book Antiqua" w:cs="Book Antiqua"/>
          <w:color w:val="000000"/>
        </w:rPr>
        <w:t>signaling pathway in diabetic complications</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complement</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and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coagulation cascades</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(Figure 2D).</w:t>
      </w:r>
    </w:p>
    <w:p w14:paraId="5DA3856F" w14:textId="77777777" w:rsidR="00A77B3E" w:rsidRPr="00023C89" w:rsidRDefault="00A77B3E" w:rsidP="00D0748F">
      <w:pPr>
        <w:spacing w:line="360" w:lineRule="auto"/>
        <w:jc w:val="both"/>
        <w:rPr>
          <w:rFonts w:ascii="Book Antiqua" w:hAnsi="Book Antiqua"/>
        </w:rPr>
      </w:pPr>
    </w:p>
    <w:p w14:paraId="6542CDE9" w14:textId="77777777" w:rsidR="00A77B3E" w:rsidRPr="00023C89" w:rsidRDefault="00DE3352" w:rsidP="00D0748F">
      <w:pPr>
        <w:spacing w:line="360" w:lineRule="auto"/>
        <w:jc w:val="both"/>
        <w:rPr>
          <w:rFonts w:ascii="Book Antiqua" w:hAnsi="Book Antiqua"/>
          <w:i/>
        </w:rPr>
      </w:pPr>
      <w:r w:rsidRPr="00023C89">
        <w:rPr>
          <w:rFonts w:ascii="Book Antiqua" w:eastAsia="Book Antiqua" w:hAnsi="Book Antiqua" w:cs="Book Antiqua"/>
          <w:b/>
          <w:bCs/>
          <w:i/>
          <w:color w:val="000000"/>
        </w:rPr>
        <w:t>GSEA analysis</w:t>
      </w:r>
    </w:p>
    <w:p w14:paraId="4EE254A3" w14:textId="2F6E2204"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 xml:space="preserve">GSEA analysis results revealed that, compared with the control group, the DCM group was significantly enriched in GO terms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heart development</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response to ischemia</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vascular smooth muscle cell differentiation</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response to transforming growth factor beta</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stem cell proliferation</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and </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regulation of mitochondrial fission</w:t>
      </w:r>
      <w:r w:rsidR="00745CE9"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(Figure 3).</w:t>
      </w:r>
    </w:p>
    <w:p w14:paraId="5BD5C7C1" w14:textId="77777777" w:rsidR="00A77B3E" w:rsidRPr="00023C89" w:rsidRDefault="00A77B3E" w:rsidP="00D0748F">
      <w:pPr>
        <w:spacing w:line="360" w:lineRule="auto"/>
        <w:jc w:val="both"/>
        <w:rPr>
          <w:rFonts w:ascii="Book Antiqua" w:hAnsi="Book Antiqua"/>
        </w:rPr>
      </w:pPr>
    </w:p>
    <w:p w14:paraId="335D2F73" w14:textId="77777777" w:rsidR="00A77B3E" w:rsidRPr="00023C89" w:rsidRDefault="00DE3352" w:rsidP="00D0748F">
      <w:pPr>
        <w:spacing w:line="360" w:lineRule="auto"/>
        <w:jc w:val="both"/>
        <w:rPr>
          <w:rFonts w:ascii="Book Antiqua" w:hAnsi="Book Antiqua"/>
          <w:i/>
        </w:rPr>
      </w:pPr>
      <w:r w:rsidRPr="00023C89">
        <w:rPr>
          <w:rFonts w:ascii="Book Antiqua" w:eastAsia="Book Antiqua" w:hAnsi="Book Antiqua" w:cs="Book Antiqua"/>
          <w:b/>
          <w:bCs/>
          <w:i/>
          <w:color w:val="000000"/>
        </w:rPr>
        <w:t>PPI network and identification of hub genes</w:t>
      </w:r>
    </w:p>
    <w:p w14:paraId="18F21DAE" w14:textId="2CEA6D48"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lastRenderedPageBreak/>
        <w:t>To further explore the relationship among the DEGs at the protein level, the PPI network of the 97 DEGs was constructed using STRING with the criterion of combined score &gt; 0.4 and visualized using Cytoscape. The PPI network consisted of 77 nodes and 145 edges (Figure 4A). The top 10 hub genes included collagen type III alpha 1 chain (COL3A1), COL1A2, signal transducer and activator of transcription 3 (STAT3), C-C motif chemokine ligand 2 (CCL2), fibromodulin (FMOD), asporin (ASPN), C-X-C motif chemokine ligand 12 (CXCL12), lumican (LUM), heat shock protein 90 alpha family class A member 1 (HSP90AA1), and osteoglycin (OGN) (Figure 4B). The detailed information of these hub genes is provided in Table 2</w:t>
      </w:r>
      <w:r w:rsidRPr="00023C89">
        <w:rPr>
          <w:rFonts w:ascii="Book Antiqua" w:eastAsia="Book Antiqua" w:hAnsi="Book Antiqua" w:cs="Book Antiqua"/>
          <w:b/>
          <w:bCs/>
          <w:color w:val="000000"/>
        </w:rPr>
        <w:t>.</w:t>
      </w:r>
      <w:r w:rsidRPr="00023C89">
        <w:rPr>
          <w:rFonts w:ascii="Book Antiqua" w:eastAsia="Book Antiqua" w:hAnsi="Book Antiqua" w:cs="Book Antiqua"/>
          <w:color w:val="000000"/>
        </w:rPr>
        <w:t xml:space="preserve"> MCODE analysis identified five essential modules, and COL3A1, myosin heavy chain 6, activating transcription factor 3, B cell leukemia/</w:t>
      </w:r>
      <w:r w:rsidR="005F6CB5" w:rsidRPr="00023C89">
        <w:rPr>
          <w:rFonts w:ascii="Book Antiqua" w:eastAsia="Book Antiqua" w:hAnsi="Book Antiqua" w:cs="Book Antiqua"/>
          <w:color w:val="000000"/>
        </w:rPr>
        <w:t>l</w:t>
      </w:r>
      <w:r w:rsidRPr="00023C89">
        <w:rPr>
          <w:rFonts w:ascii="Book Antiqua" w:eastAsia="Book Antiqua" w:hAnsi="Book Antiqua" w:cs="Book Antiqua"/>
          <w:color w:val="000000"/>
        </w:rPr>
        <w:t>ymphoma 6 transcription repressor, and pentraxin 3 were the seeds of clusters 1, 2, 3, 4, and 5, respectively (Figure 4C–G).</w:t>
      </w:r>
    </w:p>
    <w:p w14:paraId="1B6959F4" w14:textId="77777777" w:rsidR="00A77B3E" w:rsidRPr="00023C89" w:rsidRDefault="00A77B3E" w:rsidP="00D0748F">
      <w:pPr>
        <w:spacing w:line="360" w:lineRule="auto"/>
        <w:jc w:val="both"/>
        <w:rPr>
          <w:rFonts w:ascii="Book Antiqua" w:hAnsi="Book Antiqua"/>
        </w:rPr>
      </w:pPr>
    </w:p>
    <w:p w14:paraId="33ACB2E5" w14:textId="77777777" w:rsidR="00A77B3E" w:rsidRPr="00023C89" w:rsidRDefault="00DE3352" w:rsidP="00D0748F">
      <w:pPr>
        <w:spacing w:line="360" w:lineRule="auto"/>
        <w:jc w:val="both"/>
        <w:rPr>
          <w:rFonts w:ascii="Book Antiqua" w:hAnsi="Book Antiqua"/>
          <w:i/>
          <w:lang w:eastAsia="zh-CN"/>
        </w:rPr>
      </w:pPr>
      <w:r w:rsidRPr="00023C89">
        <w:rPr>
          <w:rFonts w:ascii="Book Antiqua" w:eastAsia="Book Antiqua" w:hAnsi="Book Antiqua" w:cs="Book Antiqua"/>
          <w:b/>
          <w:bCs/>
          <w:i/>
          <w:color w:val="000000"/>
        </w:rPr>
        <w:t>miRNA–mRNA interaction network</w:t>
      </w:r>
    </w:p>
    <w:p w14:paraId="0357B916" w14:textId="386F3F52"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 xml:space="preserve">Increasing evidence shows that miRNAs play important roles in the development and progression of DCM. By using the miRDB database, we predicted miRNAs targeting any of the top 10 hub genes. </w:t>
      </w:r>
      <w:r w:rsidR="005F6CB5" w:rsidRPr="00023C89">
        <w:rPr>
          <w:rFonts w:ascii="Book Antiqua" w:eastAsia="Book Antiqua" w:hAnsi="Book Antiqua" w:cs="Book Antiqua"/>
          <w:color w:val="000000"/>
        </w:rPr>
        <w:t xml:space="preserve">Then we </w:t>
      </w:r>
      <w:r w:rsidRPr="00023C89">
        <w:rPr>
          <w:rFonts w:ascii="Book Antiqua" w:eastAsia="Book Antiqua" w:hAnsi="Book Antiqua" w:cs="Book Antiqua"/>
          <w:color w:val="000000"/>
        </w:rPr>
        <w:t>sorted these miRNAs according to their prediction scores and selected the top 10 miRNAs. Additionally, the top 100 miRNA–mRNA pairs were visualized using Cytoscape (Figure 5). Consequently, hsa-miR-5682, hsa-miR-4500, hsa-miR-32-3p, and hsa-miR-374a-3p were each found to target ≥ 2 hub genes.</w:t>
      </w:r>
    </w:p>
    <w:p w14:paraId="576435D1" w14:textId="77777777" w:rsidR="00A77B3E" w:rsidRPr="00023C89" w:rsidRDefault="00A77B3E" w:rsidP="00D0748F">
      <w:pPr>
        <w:spacing w:line="360" w:lineRule="auto"/>
        <w:jc w:val="both"/>
        <w:rPr>
          <w:rFonts w:ascii="Book Antiqua" w:hAnsi="Book Antiqua"/>
        </w:rPr>
      </w:pPr>
    </w:p>
    <w:p w14:paraId="3A716EF0" w14:textId="1EDCF04D" w:rsidR="00A77B3E" w:rsidRPr="00023C89" w:rsidRDefault="00DE3352" w:rsidP="00D0748F">
      <w:pPr>
        <w:spacing w:line="360" w:lineRule="auto"/>
        <w:jc w:val="both"/>
        <w:rPr>
          <w:rFonts w:ascii="Book Antiqua" w:hAnsi="Book Antiqua"/>
          <w:i/>
        </w:rPr>
      </w:pPr>
      <w:r w:rsidRPr="00023C89">
        <w:rPr>
          <w:rFonts w:ascii="Book Antiqua" w:eastAsia="Book Antiqua" w:hAnsi="Book Antiqua" w:cs="Book Antiqua"/>
          <w:b/>
          <w:bCs/>
          <w:i/>
          <w:color w:val="000000"/>
        </w:rPr>
        <w:t>Immune</w:t>
      </w:r>
      <w:r w:rsidR="005F6CB5" w:rsidRPr="00023C89">
        <w:rPr>
          <w:rFonts w:ascii="Book Antiqua" w:eastAsia="Book Antiqua" w:hAnsi="Book Antiqua" w:cs="Book Antiqua"/>
          <w:b/>
          <w:bCs/>
          <w:i/>
          <w:color w:val="000000"/>
        </w:rPr>
        <w:t xml:space="preserve"> </w:t>
      </w:r>
      <w:r w:rsidRPr="00023C89">
        <w:rPr>
          <w:rFonts w:ascii="Book Antiqua" w:eastAsia="Book Antiqua" w:hAnsi="Book Antiqua" w:cs="Book Antiqua"/>
          <w:b/>
          <w:bCs/>
          <w:i/>
          <w:color w:val="000000"/>
        </w:rPr>
        <w:t>cell infiltration in DCM</w:t>
      </w:r>
    </w:p>
    <w:p w14:paraId="2CB9C920" w14:textId="18D5A3B9"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Immune cells infiltrate into the myocardium upon myocardial injury</w:t>
      </w:r>
      <w:r w:rsidRPr="00023C89">
        <w:rPr>
          <w:rFonts w:ascii="Book Antiqua" w:eastAsia="Book Antiqua" w:hAnsi="Book Antiqua" w:cs="Book Antiqua"/>
          <w:color w:val="000000"/>
          <w:vertAlign w:val="superscript"/>
        </w:rPr>
        <w:t>[28]</w:t>
      </w:r>
      <w:r w:rsidRPr="00023C89">
        <w:rPr>
          <w:rFonts w:ascii="Book Antiqua" w:eastAsia="Book Antiqua" w:hAnsi="Book Antiqua" w:cs="Book Antiqua"/>
          <w:color w:val="000000"/>
        </w:rPr>
        <w:t>. Thus, a violin plot was constructed to investigate the difference in immune-cell infiltration between the DCM and control groups (Figure 6A). Compared with the control group, the DCM group had more infiltrated plasma cells and fewer infiltrated B memory cells, T follicular helper cells, and resting dendritic cells</w:t>
      </w:r>
      <w:r w:rsidR="008E048B" w:rsidRPr="00023C89">
        <w:rPr>
          <w:rFonts w:ascii="Book Antiqua" w:eastAsia="Book Antiqua" w:hAnsi="Book Antiqua" w:cs="Book Antiqua"/>
          <w:color w:val="000000"/>
        </w:rPr>
        <w:t xml:space="preserve"> (DCs)</w:t>
      </w:r>
      <w:r w:rsidRPr="00023C89">
        <w:rPr>
          <w:rFonts w:ascii="Book Antiqua" w:eastAsia="Book Antiqua" w:hAnsi="Book Antiqua" w:cs="Book Antiqua"/>
          <w:color w:val="000000"/>
        </w:rPr>
        <w:t xml:space="preserve">, whereas there was no significant difference in the remaining 18 types of immune cells. However, </w:t>
      </w:r>
      <w:r w:rsidR="0082672F" w:rsidRPr="00023C89">
        <w:rPr>
          <w:rFonts w:ascii="Book Antiqua" w:eastAsia="Book Antiqua" w:hAnsi="Book Antiqua" w:cs="Book Antiqua"/>
          <w:color w:val="000000"/>
        </w:rPr>
        <w:t xml:space="preserve">the </w:t>
      </w:r>
      <w:r w:rsidRPr="00023C89">
        <w:rPr>
          <w:rFonts w:ascii="Book Antiqua" w:eastAsia="Book Antiqua" w:hAnsi="Book Antiqua" w:cs="Book Antiqua"/>
          <w:color w:val="000000"/>
        </w:rPr>
        <w:t xml:space="preserve">PCA results showed that the control and DCM groups could not be well distinguished according to the infiltration patterns of </w:t>
      </w:r>
      <w:r w:rsidRPr="00023C89">
        <w:rPr>
          <w:rFonts w:ascii="Book Antiqua" w:eastAsia="Book Antiqua" w:hAnsi="Book Antiqua" w:cs="Book Antiqua"/>
          <w:color w:val="000000"/>
        </w:rPr>
        <w:lastRenderedPageBreak/>
        <w:t xml:space="preserve">the 22 types of immune cells (Figure 6B). We generated a correlation heatmap to assess the correlation among the 19 immune cells that were found infiltrated in the DCM or control group. As shown in Figure 6C, the number of infiltrated B memory cells </w:t>
      </w:r>
      <w:r w:rsidR="008E048B" w:rsidRPr="00023C89">
        <w:rPr>
          <w:rFonts w:ascii="Book Antiqua" w:eastAsia="Book Antiqua" w:hAnsi="Book Antiqua" w:cs="Book Antiqua"/>
          <w:color w:val="000000"/>
        </w:rPr>
        <w:t xml:space="preserve">was </w:t>
      </w:r>
      <w:r w:rsidRPr="00023C89">
        <w:rPr>
          <w:rFonts w:ascii="Book Antiqua" w:eastAsia="Book Antiqua" w:hAnsi="Book Antiqua" w:cs="Book Antiqua"/>
          <w:color w:val="000000"/>
        </w:rPr>
        <w:t xml:space="preserve">positively correlated with that of the infiltrated resting </w:t>
      </w:r>
      <w:r w:rsidR="008E048B" w:rsidRPr="00023C89">
        <w:rPr>
          <w:rFonts w:ascii="Book Antiqua" w:eastAsia="Book Antiqua" w:hAnsi="Book Antiqua" w:cs="Book Antiqua"/>
          <w:color w:val="000000"/>
        </w:rPr>
        <w:t>DCs</w:t>
      </w:r>
      <w:r w:rsidRPr="00023C89">
        <w:rPr>
          <w:rFonts w:ascii="Book Antiqua" w:eastAsia="Book Antiqua" w:hAnsi="Book Antiqua" w:cs="Book Antiqua"/>
          <w:color w:val="000000"/>
        </w:rPr>
        <w:t>, activated natural killer (NK) cells and T follicular helper cells</w:t>
      </w:r>
      <w:r w:rsidR="006C0537"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the number of infiltrated activated NK cells was negatively correlated with that of infiltrated resting NK cells</w:t>
      </w:r>
      <w:r w:rsidR="006C0537"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and the number of infiltrated resting memory CD4 T cells was negatively associated with that of infiltrated B memory cells and regulatory T cells.</w:t>
      </w:r>
    </w:p>
    <w:p w14:paraId="6E65A597" w14:textId="77777777" w:rsidR="00A77B3E" w:rsidRPr="00023C89" w:rsidRDefault="00A77B3E" w:rsidP="00D0748F">
      <w:pPr>
        <w:spacing w:line="360" w:lineRule="auto"/>
        <w:jc w:val="both"/>
        <w:rPr>
          <w:rFonts w:ascii="Book Antiqua" w:hAnsi="Book Antiqua"/>
        </w:rPr>
      </w:pPr>
    </w:p>
    <w:p w14:paraId="4C8E914F"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aps/>
          <w:color w:val="000000"/>
          <w:u w:val="single"/>
        </w:rPr>
        <w:t>DISCUSSION</w:t>
      </w:r>
    </w:p>
    <w:p w14:paraId="14695C7E" w14:textId="56F6BCEF"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DCM is one of the main reasons of sudden cardiac death and heart failure. It is a heterogeneous disease caused by various types of pathogenic factors including genetic, infectious, hormonal, and environmental factors</w:t>
      </w:r>
      <w:r w:rsidRPr="00023C89">
        <w:rPr>
          <w:rFonts w:ascii="Book Antiqua" w:eastAsia="Book Antiqua" w:hAnsi="Book Antiqua" w:cs="Book Antiqua"/>
          <w:color w:val="000000"/>
          <w:vertAlign w:val="superscript"/>
        </w:rPr>
        <w:t>[34]</w:t>
      </w:r>
      <w:r w:rsidRPr="00023C89">
        <w:rPr>
          <w:rFonts w:ascii="Book Antiqua" w:eastAsia="Book Antiqua" w:hAnsi="Book Antiqua" w:cs="Book Antiqua"/>
          <w:color w:val="000000"/>
        </w:rPr>
        <w:t>. The causes of DCM should be explored in depth to improve the diagnosis, treatment, and prognosis of DCM patients. Therefore, it is of great significance to elucidate the genetic mechanisms involved in DCM.</w:t>
      </w:r>
    </w:p>
    <w:p w14:paraId="74FF8615" w14:textId="7E76157C" w:rsidR="006C0537" w:rsidRPr="00023C89" w:rsidRDefault="00DE3352" w:rsidP="000206A8">
      <w:pPr>
        <w:spacing w:line="360" w:lineRule="auto"/>
        <w:ind w:firstLine="270"/>
        <w:jc w:val="both"/>
        <w:rPr>
          <w:rFonts w:ascii="Book Antiqua" w:hAnsi="Book Antiqua"/>
        </w:rPr>
      </w:pPr>
      <w:r w:rsidRPr="00023C89">
        <w:rPr>
          <w:rFonts w:ascii="Book Antiqua" w:eastAsia="Book Antiqua" w:hAnsi="Book Antiqua" w:cs="Book Antiqua"/>
          <w:color w:val="000000"/>
        </w:rPr>
        <w:t xml:space="preserve">In this study, 97 DEGs, consisting of 47 upregulated and 50 downregulated genes, were identified between the DCM and control groups. GO of BP and GSEA analysis revealed that the DEGs were not only enriched in the development of the cardiovascular system, such as in the development of the muscle tissue, heart, and blood vessels, but also in the etiology of DCM, such as in acute inflammatory response and mitochondrial fission (Figures 2 and 3). Growing evidence shows that infiltration of inflammatory cells is associated with </w:t>
      </w:r>
      <w:r w:rsidR="006C0537" w:rsidRPr="00023C89">
        <w:rPr>
          <w:rFonts w:ascii="Book Antiqua" w:eastAsia="Book Antiqua" w:hAnsi="Book Antiqua" w:cs="Book Antiqua"/>
          <w:color w:val="000000"/>
        </w:rPr>
        <w:t xml:space="preserve">the </w:t>
      </w:r>
      <w:r w:rsidRPr="00023C89">
        <w:rPr>
          <w:rFonts w:ascii="Book Antiqua" w:eastAsia="Book Antiqua" w:hAnsi="Book Antiqua" w:cs="Book Antiqua"/>
          <w:color w:val="000000"/>
        </w:rPr>
        <w:t>pathogenesis of DCM</w:t>
      </w:r>
      <w:r w:rsidRPr="00023C89">
        <w:rPr>
          <w:rFonts w:ascii="Book Antiqua" w:eastAsia="Book Antiqua" w:hAnsi="Book Antiqua" w:cs="Book Antiqua"/>
          <w:color w:val="000000"/>
          <w:vertAlign w:val="superscript"/>
        </w:rPr>
        <w:t>[35-37]</w:t>
      </w:r>
      <w:r w:rsidRPr="00023C89">
        <w:rPr>
          <w:rFonts w:ascii="Book Antiqua" w:eastAsia="Book Antiqua" w:hAnsi="Book Antiqua" w:cs="Book Antiqua"/>
          <w:color w:val="000000"/>
        </w:rPr>
        <w:t>, and prelamin A accumulation</w:t>
      </w:r>
      <w:r w:rsidRPr="00023C89">
        <w:rPr>
          <w:rFonts w:ascii="Book Antiqua" w:eastAsia="Book Antiqua" w:hAnsi="Book Antiqua" w:cs="Book Antiqua"/>
          <w:color w:val="000000"/>
          <w:vertAlign w:val="superscript"/>
        </w:rPr>
        <w:t>[38]</w:t>
      </w:r>
      <w:r w:rsidRPr="00023C89">
        <w:rPr>
          <w:rFonts w:ascii="Book Antiqua" w:eastAsia="Book Antiqua" w:hAnsi="Book Antiqua" w:cs="Book Antiqua"/>
          <w:color w:val="000000"/>
        </w:rPr>
        <w:t xml:space="preserve"> and </w:t>
      </w:r>
      <w:r w:rsidR="006C0537" w:rsidRPr="00023C89">
        <w:rPr>
          <w:rFonts w:ascii="Book Antiqua" w:eastAsia="Book Antiqua" w:hAnsi="Book Antiqua" w:cs="Book Antiqua"/>
          <w:color w:val="000000"/>
        </w:rPr>
        <w:t>m</w:t>
      </w:r>
      <w:r w:rsidRPr="00023C89">
        <w:rPr>
          <w:rFonts w:ascii="Book Antiqua" w:eastAsia="Book Antiqua" w:hAnsi="Book Antiqua" w:cs="Book Antiqua"/>
          <w:color w:val="000000"/>
        </w:rPr>
        <w:t xml:space="preserve">yosin </w:t>
      </w:r>
      <w:r w:rsidR="006C0537" w:rsidRPr="00023C89">
        <w:rPr>
          <w:rFonts w:ascii="Book Antiqua" w:eastAsia="Book Antiqua" w:hAnsi="Book Antiqua" w:cs="Book Antiqua"/>
          <w:color w:val="000000"/>
        </w:rPr>
        <w:t>b</w:t>
      </w:r>
      <w:r w:rsidRPr="00023C89">
        <w:rPr>
          <w:rFonts w:ascii="Book Antiqua" w:eastAsia="Book Antiqua" w:hAnsi="Book Antiqua" w:cs="Book Antiqua"/>
          <w:color w:val="000000"/>
        </w:rPr>
        <w:t xml:space="preserve">inding </w:t>
      </w:r>
      <w:r w:rsidR="006C0537" w:rsidRPr="00023C89">
        <w:rPr>
          <w:rFonts w:ascii="Book Antiqua" w:eastAsia="Book Antiqua" w:hAnsi="Book Antiqua" w:cs="Book Antiqua"/>
          <w:color w:val="000000"/>
        </w:rPr>
        <w:t>p</w:t>
      </w:r>
      <w:r w:rsidRPr="00023C89">
        <w:rPr>
          <w:rFonts w:ascii="Book Antiqua" w:eastAsia="Book Antiqua" w:hAnsi="Book Antiqua" w:cs="Book Antiqua"/>
          <w:color w:val="000000"/>
        </w:rPr>
        <w:t>rotein C3 mutation</w:t>
      </w:r>
      <w:r w:rsidRPr="00023C89">
        <w:rPr>
          <w:rFonts w:ascii="Book Antiqua" w:eastAsia="Book Antiqua" w:hAnsi="Book Antiqua" w:cs="Book Antiqua"/>
          <w:color w:val="000000"/>
          <w:vertAlign w:val="superscript"/>
        </w:rPr>
        <w:t>[39]</w:t>
      </w:r>
      <w:r w:rsidRPr="00023C89">
        <w:rPr>
          <w:rFonts w:ascii="Book Antiqua" w:eastAsia="Book Antiqua" w:hAnsi="Book Antiqua" w:cs="Book Antiqua"/>
          <w:color w:val="000000"/>
        </w:rPr>
        <w:t xml:space="preserve"> can promote DCM pathogenesis </w:t>
      </w:r>
      <w:r w:rsidRPr="00023C89">
        <w:rPr>
          <w:rFonts w:ascii="Book Antiqua" w:eastAsia="Book Antiqua" w:hAnsi="Book Antiqua" w:cs="Book Antiqua"/>
          <w:i/>
          <w:iCs/>
          <w:color w:val="000000"/>
        </w:rPr>
        <w:t>via</w:t>
      </w:r>
      <w:r w:rsidRPr="00023C89">
        <w:rPr>
          <w:rFonts w:ascii="Book Antiqua" w:eastAsia="Book Antiqua" w:hAnsi="Book Antiqua" w:cs="Book Antiqua"/>
          <w:color w:val="000000"/>
        </w:rPr>
        <w:t xml:space="preserve"> regulation of inflammation. Xia </w:t>
      </w:r>
      <w:r w:rsidRPr="00023C89">
        <w:rPr>
          <w:rFonts w:ascii="Book Antiqua" w:eastAsia="Book Antiqua" w:hAnsi="Book Antiqua" w:cs="Book Antiqua"/>
          <w:i/>
          <w:iCs/>
          <w:color w:val="000000"/>
        </w:rPr>
        <w:t>et al</w:t>
      </w:r>
      <w:r w:rsidR="00B52847" w:rsidRPr="00023C89">
        <w:rPr>
          <w:rFonts w:ascii="Book Antiqua" w:eastAsia="Book Antiqua" w:hAnsi="Book Antiqua" w:cs="Book Antiqua"/>
          <w:color w:val="000000"/>
          <w:vertAlign w:val="superscript"/>
        </w:rPr>
        <w:t>[40]</w:t>
      </w:r>
      <w:r w:rsidRPr="00023C89">
        <w:rPr>
          <w:rFonts w:ascii="Book Antiqua" w:eastAsia="Book Antiqua" w:hAnsi="Book Antiqua" w:cs="Book Antiqua"/>
          <w:color w:val="000000"/>
        </w:rPr>
        <w:t xml:space="preserve"> reported that dynamin-related protein 1 (Drp1, myocardial fission protein) is significantly upregulated in DCM patients. Moreover, Sacubitril (known as LCZ696), a novel inhibitor of the angiotensin receptor neprilysin, can alleviate the cardiac dysfunction in doxorubicin-induced DCM and reduce apoptosis by inhibiting mitochondrial fission </w:t>
      </w:r>
      <w:r w:rsidRPr="00023C89">
        <w:rPr>
          <w:rFonts w:ascii="Book Antiqua" w:eastAsia="Book Antiqua" w:hAnsi="Book Antiqua" w:cs="Book Antiqua"/>
          <w:i/>
          <w:iCs/>
          <w:color w:val="000000"/>
        </w:rPr>
        <w:t>via</w:t>
      </w:r>
      <w:r w:rsidRPr="00023C89">
        <w:rPr>
          <w:rFonts w:ascii="Book Antiqua" w:eastAsia="Book Antiqua" w:hAnsi="Book Antiqua" w:cs="Book Antiqua"/>
          <w:color w:val="000000"/>
        </w:rPr>
        <w:t xml:space="preserve"> the Drp1-mediated pathway.</w:t>
      </w:r>
    </w:p>
    <w:p w14:paraId="3298EC74" w14:textId="0F445618" w:rsidR="006C0537" w:rsidRPr="00023C89" w:rsidRDefault="00DE3352" w:rsidP="000206A8">
      <w:pPr>
        <w:spacing w:line="360" w:lineRule="auto"/>
        <w:ind w:firstLine="270"/>
        <w:jc w:val="both"/>
        <w:rPr>
          <w:rFonts w:ascii="Book Antiqua" w:hAnsi="Book Antiqua"/>
        </w:rPr>
      </w:pPr>
      <w:r w:rsidRPr="00023C89">
        <w:rPr>
          <w:rFonts w:ascii="Book Antiqua" w:eastAsia="Book Antiqua" w:hAnsi="Book Antiqua" w:cs="Book Antiqua"/>
          <w:color w:val="000000"/>
        </w:rPr>
        <w:lastRenderedPageBreak/>
        <w:t>Regarding CC, the DEGs were enriched in sarcoplasm. Previous studies have reported that mutations in phospholamban (related to abnormal contractility)</w:t>
      </w:r>
      <w:r w:rsidRPr="00023C89">
        <w:rPr>
          <w:rFonts w:ascii="Book Antiqua" w:eastAsia="Book Antiqua" w:hAnsi="Book Antiqua" w:cs="Book Antiqua"/>
          <w:color w:val="000000"/>
          <w:vertAlign w:val="superscript"/>
        </w:rPr>
        <w:t>[41]</w:t>
      </w:r>
      <w:r w:rsidRPr="00023C89">
        <w:rPr>
          <w:rFonts w:ascii="Book Antiqua" w:eastAsia="Book Antiqua" w:hAnsi="Book Antiqua" w:cs="Book Antiqua"/>
          <w:color w:val="000000"/>
        </w:rPr>
        <w:t xml:space="preserve"> and B</w:t>
      </w:r>
      <w:r w:rsidR="006C0537" w:rsidRPr="00023C89">
        <w:rPr>
          <w:rFonts w:ascii="Book Antiqua" w:eastAsia="Book Antiqua" w:hAnsi="Book Antiqua" w:cs="Book Antiqua"/>
          <w:color w:val="000000"/>
        </w:rPr>
        <w:t>-cell lymphoma 2</w:t>
      </w:r>
      <w:r w:rsidRPr="00023C89">
        <w:rPr>
          <w:rFonts w:ascii="Book Antiqua" w:eastAsia="Book Antiqua" w:hAnsi="Book Antiqua" w:cs="Book Antiqua"/>
          <w:color w:val="000000"/>
        </w:rPr>
        <w:t>-associated athanogene 3 (alter the cardiac response)</w:t>
      </w:r>
      <w:r w:rsidRPr="00023C89">
        <w:rPr>
          <w:rFonts w:ascii="Book Antiqua" w:eastAsia="Book Antiqua" w:hAnsi="Book Antiqua" w:cs="Book Antiqua"/>
          <w:color w:val="000000"/>
          <w:vertAlign w:val="superscript"/>
        </w:rPr>
        <w:t>[42]</w:t>
      </w:r>
      <w:r w:rsidRPr="00023C89">
        <w:rPr>
          <w:rFonts w:ascii="Book Antiqua" w:eastAsia="Book Antiqua" w:hAnsi="Book Antiqua" w:cs="Book Antiqua"/>
          <w:color w:val="000000"/>
        </w:rPr>
        <w:t xml:space="preserve"> are closely associated with DCM in the sarcoplasmic reticulum. GO analysis of MF indicated that the DEGs were enriched in alpha-actinin binding and calcium ion binding. Alpha-actinin and calcium ion are critical for myocardial contraction</w:t>
      </w:r>
      <w:r w:rsidR="00B52847" w:rsidRPr="00023C89">
        <w:rPr>
          <w:rFonts w:ascii="Book Antiqua" w:eastAsia="Book Antiqua" w:hAnsi="Book Antiqua" w:cs="Book Antiqua"/>
          <w:color w:val="000000"/>
          <w:vertAlign w:val="superscript"/>
        </w:rPr>
        <w:t>[43,</w:t>
      </w:r>
      <w:r w:rsidRPr="00023C89">
        <w:rPr>
          <w:rFonts w:ascii="Book Antiqua" w:eastAsia="Book Antiqua" w:hAnsi="Book Antiqua" w:cs="Book Antiqua"/>
          <w:color w:val="000000"/>
          <w:vertAlign w:val="superscript"/>
        </w:rPr>
        <w:t>44]</w:t>
      </w:r>
      <w:r w:rsidRPr="00023C89">
        <w:rPr>
          <w:rFonts w:ascii="Book Antiqua" w:eastAsia="Book Antiqua" w:hAnsi="Book Antiqua" w:cs="Book Antiqua"/>
          <w:color w:val="000000"/>
        </w:rPr>
        <w:t>. Other studies have demonstrated that most DCM patients exhibit abnormalities related to calcium ion and α-actinin, which cause decreased heart contractility</w:t>
      </w:r>
      <w:r w:rsidRPr="00023C89">
        <w:rPr>
          <w:rFonts w:ascii="Book Antiqua" w:eastAsia="Book Antiqua" w:hAnsi="Book Antiqua" w:cs="Book Antiqua"/>
          <w:color w:val="000000"/>
          <w:vertAlign w:val="superscript"/>
        </w:rPr>
        <w:t>[45-47]</w:t>
      </w:r>
      <w:r w:rsidRPr="00023C89">
        <w:rPr>
          <w:rFonts w:ascii="Book Antiqua" w:eastAsia="Book Antiqua" w:hAnsi="Book Antiqua" w:cs="Book Antiqua"/>
          <w:color w:val="000000"/>
        </w:rPr>
        <w:t>. Cardiac troponin contributes to myocardial contraction</w:t>
      </w:r>
      <w:r w:rsidRPr="00023C89">
        <w:rPr>
          <w:rFonts w:ascii="Book Antiqua" w:eastAsia="Book Antiqua" w:hAnsi="Book Antiqua" w:cs="Book Antiqua"/>
          <w:color w:val="000000"/>
          <w:vertAlign w:val="superscript"/>
        </w:rPr>
        <w:t>[48]</w:t>
      </w:r>
      <w:r w:rsidRPr="00023C89">
        <w:rPr>
          <w:rFonts w:ascii="Book Antiqua" w:eastAsia="Book Antiqua" w:hAnsi="Book Antiqua" w:cs="Book Antiqua"/>
          <w:color w:val="000000"/>
        </w:rPr>
        <w:t>. Mutations in cardiac troponin T, troponin C</w:t>
      </w:r>
      <w:r w:rsidR="006C0537"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and troponin I are mainly related to DCM pathogenesis</w:t>
      </w:r>
      <w:r w:rsidR="00B52847" w:rsidRPr="00023C89">
        <w:rPr>
          <w:rFonts w:ascii="Book Antiqua" w:eastAsia="Book Antiqua" w:hAnsi="Book Antiqua" w:cs="Book Antiqua"/>
          <w:color w:val="000000"/>
          <w:vertAlign w:val="superscript"/>
        </w:rPr>
        <w:t>[49,</w:t>
      </w:r>
      <w:r w:rsidRPr="00023C89">
        <w:rPr>
          <w:rFonts w:ascii="Book Antiqua" w:eastAsia="Book Antiqua" w:hAnsi="Book Antiqua" w:cs="Book Antiqua"/>
          <w:color w:val="000000"/>
          <w:vertAlign w:val="superscript"/>
        </w:rPr>
        <w:t>50]</w:t>
      </w:r>
      <w:r w:rsidRPr="00023C89">
        <w:rPr>
          <w:rFonts w:ascii="Book Antiqua" w:eastAsia="Book Antiqua" w:hAnsi="Book Antiqua" w:cs="Book Antiqua"/>
          <w:color w:val="000000"/>
        </w:rPr>
        <w:t xml:space="preserve"> </w:t>
      </w:r>
    </w:p>
    <w:p w14:paraId="68314943" w14:textId="5A4A7D99" w:rsidR="006C0537" w:rsidRPr="00023C89" w:rsidRDefault="00DE3352" w:rsidP="000206A8">
      <w:pPr>
        <w:spacing w:line="360" w:lineRule="auto"/>
        <w:ind w:firstLine="270"/>
        <w:jc w:val="both"/>
        <w:rPr>
          <w:rFonts w:ascii="Book Antiqua" w:hAnsi="Book Antiqua"/>
        </w:rPr>
      </w:pPr>
      <w:r w:rsidRPr="00023C89">
        <w:rPr>
          <w:rFonts w:ascii="Book Antiqua" w:eastAsia="Book Antiqua" w:hAnsi="Book Antiqua" w:cs="Book Antiqua"/>
          <w:color w:val="000000"/>
        </w:rPr>
        <w:t xml:space="preserve">KEGG pathway analysis showed that the DEGs were significantly enriched in the IL-17 signaling pathway. DCM </w:t>
      </w:r>
      <w:r w:rsidR="006C0537" w:rsidRPr="00023C89">
        <w:rPr>
          <w:rFonts w:ascii="Book Antiqua" w:eastAsia="Book Antiqua" w:hAnsi="Book Antiqua" w:cs="Book Antiqua"/>
          <w:color w:val="000000"/>
        </w:rPr>
        <w:t xml:space="preserve">is </w:t>
      </w:r>
      <w:r w:rsidRPr="00023C89">
        <w:rPr>
          <w:rFonts w:ascii="Book Antiqua" w:eastAsia="Book Antiqua" w:hAnsi="Book Antiqua" w:cs="Book Antiqua"/>
          <w:color w:val="000000"/>
        </w:rPr>
        <w:t>induced by viral myocarditis, accompanying autoimmune dysfunction, affect</w:t>
      </w:r>
      <w:r w:rsidR="006C0537" w:rsidRPr="00023C89">
        <w:rPr>
          <w:rFonts w:ascii="Book Antiqua" w:eastAsia="Book Antiqua" w:hAnsi="Book Antiqua" w:cs="Book Antiqua"/>
          <w:color w:val="000000"/>
        </w:rPr>
        <w:t>ing the</w:t>
      </w:r>
      <w:r w:rsidRPr="00023C89">
        <w:rPr>
          <w:rFonts w:ascii="Book Antiqua" w:eastAsia="Book Antiqua" w:hAnsi="Book Antiqua" w:cs="Book Antiqua"/>
          <w:color w:val="000000"/>
        </w:rPr>
        <w:t xml:space="preserve"> secretion of IL-17 cytokine by </w:t>
      </w:r>
      <w:r w:rsidR="006C0537" w:rsidRPr="00023C89">
        <w:rPr>
          <w:rFonts w:ascii="Book Antiqua" w:eastAsia="Book Antiqua" w:hAnsi="Book Antiqua" w:cs="Book Antiqua"/>
          <w:color w:val="000000"/>
        </w:rPr>
        <w:t xml:space="preserve">T helper 17 </w:t>
      </w:r>
      <w:r w:rsidRPr="00023C89">
        <w:rPr>
          <w:rFonts w:ascii="Book Antiqua" w:eastAsia="Book Antiqua" w:hAnsi="Book Antiqua" w:cs="Book Antiqua"/>
          <w:color w:val="000000"/>
        </w:rPr>
        <w:t>cells, and IL-17 itself promotes myocardial cell injury</w:t>
      </w:r>
      <w:r w:rsidRPr="00023C89">
        <w:rPr>
          <w:rFonts w:ascii="Book Antiqua" w:eastAsia="Book Antiqua" w:hAnsi="Book Antiqua" w:cs="Book Antiqua"/>
          <w:color w:val="000000"/>
          <w:vertAlign w:val="superscript"/>
        </w:rPr>
        <w:t>[51]</w:t>
      </w:r>
      <w:r w:rsidRPr="00023C89">
        <w:rPr>
          <w:rFonts w:ascii="Book Antiqua" w:eastAsia="Book Antiqua" w:hAnsi="Book Antiqua" w:cs="Book Antiqua"/>
          <w:color w:val="000000"/>
        </w:rPr>
        <w:t xml:space="preserve">. Wang </w:t>
      </w:r>
      <w:r w:rsidRPr="00023C89">
        <w:rPr>
          <w:rFonts w:ascii="Book Antiqua" w:eastAsia="Book Antiqua" w:hAnsi="Book Antiqua" w:cs="Book Antiqua"/>
          <w:i/>
          <w:iCs/>
          <w:color w:val="000000"/>
        </w:rPr>
        <w:t>et al</w:t>
      </w:r>
      <w:r w:rsidR="00B52847" w:rsidRPr="00023C89">
        <w:rPr>
          <w:rFonts w:ascii="Book Antiqua" w:eastAsia="Book Antiqua" w:hAnsi="Book Antiqua" w:cs="Book Antiqua"/>
          <w:color w:val="000000"/>
          <w:vertAlign w:val="superscript"/>
        </w:rPr>
        <w:t>[52]</w:t>
      </w:r>
      <w:r w:rsidRPr="00023C89">
        <w:rPr>
          <w:rFonts w:ascii="Book Antiqua" w:eastAsia="Book Antiqua" w:hAnsi="Book Antiqua" w:cs="Book Antiqua"/>
          <w:color w:val="000000"/>
        </w:rPr>
        <w:t xml:space="preserve"> reported that elevated IL-17 </w:t>
      </w:r>
      <w:r w:rsidR="008C4FAB" w:rsidRPr="00023C89">
        <w:rPr>
          <w:rFonts w:ascii="Book Antiqua" w:eastAsia="Book Antiqua" w:hAnsi="Book Antiqua" w:cs="Book Antiqua"/>
          <w:color w:val="000000"/>
        </w:rPr>
        <w:t>l</w:t>
      </w:r>
      <w:r w:rsidRPr="00023C89">
        <w:rPr>
          <w:rFonts w:ascii="Book Antiqua" w:eastAsia="Book Antiqua" w:hAnsi="Book Antiqua" w:cs="Book Antiqua"/>
          <w:color w:val="000000"/>
        </w:rPr>
        <w:t xml:space="preserve">evels are significantly associated with DCM incidence and progression. Additionally, the serum levels of other inflammatory factors such as </w:t>
      </w:r>
      <w:r w:rsidR="006C0537" w:rsidRPr="00023C89">
        <w:rPr>
          <w:rFonts w:ascii="Book Antiqua" w:eastAsia="Book Antiqua" w:hAnsi="Book Antiqua" w:cs="Book Antiqua"/>
          <w:color w:val="000000"/>
        </w:rPr>
        <w:t>IL-6</w:t>
      </w:r>
      <w:r w:rsidRPr="00023C89">
        <w:rPr>
          <w:rFonts w:ascii="Book Antiqua" w:eastAsia="Book Antiqua" w:hAnsi="Book Antiqua" w:cs="Book Antiqua"/>
          <w:color w:val="000000"/>
        </w:rPr>
        <w:t>, tumor necrosis factor-α, and IL-21 are significantly increased in DCM patients</w:t>
      </w:r>
      <w:r w:rsidRPr="00023C89">
        <w:rPr>
          <w:rFonts w:ascii="Book Antiqua" w:eastAsia="Book Antiqua" w:hAnsi="Book Antiqua" w:cs="Book Antiqua"/>
          <w:color w:val="000000"/>
          <w:vertAlign w:val="superscript"/>
        </w:rPr>
        <w:t>[53]</w:t>
      </w:r>
      <w:r w:rsidRPr="00023C89">
        <w:rPr>
          <w:rFonts w:ascii="Book Antiqua" w:eastAsia="Book Antiqua" w:hAnsi="Book Antiqua" w:cs="Book Antiqua"/>
          <w:color w:val="000000"/>
        </w:rPr>
        <w:t>. Thus, the IL-17 signaling pathway may be one of the major signaling pathways involved in the development of DCM.</w:t>
      </w:r>
    </w:p>
    <w:p w14:paraId="0B05D8B8" w14:textId="4D75FF11" w:rsidR="008C4FAB" w:rsidRPr="00023C89" w:rsidRDefault="00DE3352" w:rsidP="000206A8">
      <w:pPr>
        <w:spacing w:line="360" w:lineRule="auto"/>
        <w:ind w:firstLine="270"/>
        <w:jc w:val="both"/>
        <w:rPr>
          <w:rFonts w:ascii="Book Antiqua" w:hAnsi="Book Antiqua"/>
        </w:rPr>
      </w:pPr>
      <w:r w:rsidRPr="00023C89">
        <w:rPr>
          <w:rFonts w:ascii="Book Antiqua" w:eastAsia="Book Antiqua" w:hAnsi="Book Antiqua" w:cs="Book Antiqua"/>
          <w:color w:val="000000"/>
        </w:rPr>
        <w:t>Through construction of PPI and miRNA</w:t>
      </w:r>
      <w:r w:rsidR="006C0537" w:rsidRPr="00023C89">
        <w:rPr>
          <w:rFonts w:ascii="Book Antiqua" w:eastAsia="Book Antiqua" w:hAnsi="Book Antiqua" w:cs="Book Antiqua"/>
          <w:color w:val="000000"/>
        </w:rPr>
        <w:t>-</w:t>
      </w:r>
      <w:r w:rsidRPr="00023C89">
        <w:rPr>
          <w:rFonts w:ascii="Book Antiqua" w:eastAsia="Book Antiqua" w:hAnsi="Book Antiqua" w:cs="Book Antiqua"/>
          <w:color w:val="000000"/>
        </w:rPr>
        <w:t>mRNA interaction networks, we identified the hub genes and the miRNAs targeting them. The hub genes, COL1A2 and COL3A1, encode the pro-alpha2/1 chains of type I and III collagens, respectively. Collagens I and III, the main collagens of cardiac extracellular matrix, are classical biomarkers of cardiac fibrosis in DCM</w:t>
      </w:r>
      <w:r w:rsidRPr="00023C89">
        <w:rPr>
          <w:rFonts w:ascii="Book Antiqua" w:eastAsia="Book Antiqua" w:hAnsi="Book Antiqua" w:cs="Book Antiqua"/>
          <w:color w:val="000000"/>
          <w:vertAlign w:val="superscript"/>
        </w:rPr>
        <w:t>[54]</w:t>
      </w:r>
      <w:r w:rsidRPr="00023C89">
        <w:rPr>
          <w:rFonts w:ascii="Book Antiqua" w:eastAsia="Book Antiqua" w:hAnsi="Book Antiqua" w:cs="Book Antiqua"/>
          <w:color w:val="000000"/>
        </w:rPr>
        <w:t xml:space="preserve">. Mihailovici </w:t>
      </w:r>
      <w:r w:rsidRPr="00023C89">
        <w:rPr>
          <w:rFonts w:ascii="Book Antiqua" w:eastAsia="Book Antiqua" w:hAnsi="Book Antiqua" w:cs="Book Antiqua"/>
          <w:i/>
          <w:iCs/>
          <w:color w:val="000000"/>
        </w:rPr>
        <w:t>et al</w:t>
      </w:r>
      <w:r w:rsidR="00B52847" w:rsidRPr="00023C89">
        <w:rPr>
          <w:rFonts w:ascii="Book Antiqua" w:eastAsia="Book Antiqua" w:hAnsi="Book Antiqua" w:cs="Book Antiqua"/>
          <w:color w:val="000000"/>
          <w:vertAlign w:val="superscript"/>
        </w:rPr>
        <w:t>[55]</w:t>
      </w:r>
      <w:r w:rsidRPr="00023C89">
        <w:rPr>
          <w:rFonts w:ascii="Book Antiqua" w:eastAsia="Book Antiqua" w:hAnsi="Book Antiqua" w:cs="Book Antiqua"/>
          <w:color w:val="000000"/>
        </w:rPr>
        <w:t xml:space="preserve"> reported that collagens I and III are upregulated in DCM patients compared with matched healthy controls. Additionally, Zhao </w:t>
      </w:r>
      <w:r w:rsidRPr="00023C89">
        <w:rPr>
          <w:rFonts w:ascii="Book Antiqua" w:eastAsia="Book Antiqua" w:hAnsi="Book Antiqua" w:cs="Book Antiqua"/>
          <w:i/>
          <w:iCs/>
          <w:color w:val="000000"/>
        </w:rPr>
        <w:t>et al</w:t>
      </w:r>
      <w:r w:rsidR="00B52847" w:rsidRPr="00023C89">
        <w:rPr>
          <w:rFonts w:ascii="Book Antiqua" w:eastAsia="Book Antiqua" w:hAnsi="Book Antiqua" w:cs="Book Antiqua"/>
          <w:color w:val="000000"/>
          <w:vertAlign w:val="superscript"/>
        </w:rPr>
        <w:t>[18</w:t>
      </w:r>
      <w:r w:rsidR="00B52847" w:rsidRPr="00023C89">
        <w:rPr>
          <w:rFonts w:ascii="Book Antiqua" w:hAnsi="Book Antiqua" w:cs="Book Antiqua"/>
          <w:color w:val="000000"/>
          <w:vertAlign w:val="superscript"/>
          <w:lang w:eastAsia="zh-CN"/>
        </w:rPr>
        <w:t>]</w:t>
      </w:r>
      <w:r w:rsidRPr="00023C89">
        <w:rPr>
          <w:rFonts w:ascii="Book Antiqua" w:eastAsia="Book Antiqua" w:hAnsi="Book Antiqua" w:cs="Book Antiqua"/>
          <w:color w:val="000000"/>
        </w:rPr>
        <w:t xml:space="preserve"> reported that COL1A2 may participate in DCM pathogenesis by regulating the cardiac remodeling characterized by collagen deposition in the extracellular matrix</w:t>
      </w:r>
      <w:r w:rsidRPr="00023C89">
        <w:rPr>
          <w:rFonts w:ascii="Book Antiqua" w:eastAsia="Book Antiqua" w:hAnsi="Book Antiqua" w:cs="Book Antiqua"/>
          <w:color w:val="000000"/>
          <w:vertAlign w:val="superscript"/>
        </w:rPr>
        <w:t>[56]</w:t>
      </w:r>
      <w:r w:rsidRPr="00023C89">
        <w:rPr>
          <w:rFonts w:ascii="Book Antiqua" w:eastAsia="Book Antiqua" w:hAnsi="Book Antiqua" w:cs="Book Antiqua"/>
          <w:color w:val="000000"/>
        </w:rPr>
        <w:t xml:space="preserve">. Consistent with our results, </w:t>
      </w:r>
      <w:r w:rsidR="00B52847" w:rsidRPr="00023C89">
        <w:rPr>
          <w:rFonts w:ascii="Book Antiqua" w:hAnsi="Book Antiqua" w:cs="Book Antiqua"/>
          <w:color w:val="000000"/>
          <w:lang w:eastAsia="zh-CN"/>
        </w:rPr>
        <w:t>Liu</w:t>
      </w:r>
      <w:r w:rsidRPr="00023C89">
        <w:rPr>
          <w:rFonts w:ascii="Book Antiqua" w:eastAsia="Book Antiqua" w:hAnsi="Book Antiqua" w:cs="Book Antiqua"/>
          <w:color w:val="000000"/>
        </w:rPr>
        <w:t xml:space="preserve"> </w:t>
      </w:r>
      <w:r w:rsidRPr="00023C89">
        <w:rPr>
          <w:rFonts w:ascii="Book Antiqua" w:eastAsia="Book Antiqua" w:hAnsi="Book Antiqua" w:cs="Book Antiqua"/>
          <w:i/>
          <w:iCs/>
          <w:color w:val="000000"/>
        </w:rPr>
        <w:t>et al</w:t>
      </w:r>
      <w:r w:rsidR="00B52847" w:rsidRPr="00023C89">
        <w:rPr>
          <w:rFonts w:ascii="Book Antiqua" w:hAnsi="Book Antiqua" w:cs="Book Antiqua"/>
          <w:iCs/>
          <w:color w:val="000000"/>
          <w:vertAlign w:val="superscript"/>
          <w:lang w:eastAsia="zh-CN"/>
        </w:rPr>
        <w:t>[53]</w:t>
      </w:r>
      <w:r w:rsidRPr="00023C89">
        <w:rPr>
          <w:rFonts w:ascii="Book Antiqua" w:eastAsia="Book Antiqua" w:hAnsi="Book Antiqua" w:cs="Book Antiqua"/>
          <w:color w:val="000000"/>
        </w:rPr>
        <w:t xml:space="preserve"> identified STAT3 as a hub gene in DCM </w:t>
      </w:r>
      <w:r w:rsidRPr="00023C89">
        <w:rPr>
          <w:rFonts w:ascii="Book Antiqua" w:eastAsia="Book Antiqua" w:hAnsi="Book Antiqua" w:cs="Book Antiqua"/>
          <w:i/>
          <w:iCs/>
          <w:color w:val="000000"/>
        </w:rPr>
        <w:t>via</w:t>
      </w:r>
      <w:r w:rsidRPr="00023C89">
        <w:rPr>
          <w:rFonts w:ascii="Book Antiqua" w:eastAsia="Book Antiqua" w:hAnsi="Book Antiqua" w:cs="Book Antiqua"/>
          <w:color w:val="000000"/>
        </w:rPr>
        <w:t xml:space="preserve"> bioinformatic analysis. Other studies </w:t>
      </w:r>
      <w:r w:rsidR="008C4FAB" w:rsidRPr="00023C89">
        <w:rPr>
          <w:rFonts w:ascii="Book Antiqua" w:eastAsia="Book Antiqua" w:hAnsi="Book Antiqua" w:cs="Book Antiqua"/>
          <w:color w:val="000000"/>
        </w:rPr>
        <w:t xml:space="preserve">have </w:t>
      </w:r>
      <w:r w:rsidRPr="00023C89">
        <w:rPr>
          <w:rFonts w:ascii="Book Antiqua" w:eastAsia="Book Antiqua" w:hAnsi="Book Antiqua" w:cs="Book Antiqua"/>
          <w:color w:val="000000"/>
        </w:rPr>
        <w:t>also indicate</w:t>
      </w:r>
      <w:r w:rsidR="008C4FAB" w:rsidRPr="00023C89">
        <w:rPr>
          <w:rFonts w:ascii="Book Antiqua" w:eastAsia="Book Antiqua" w:hAnsi="Book Antiqua" w:cs="Book Antiqua"/>
          <w:color w:val="000000"/>
        </w:rPr>
        <w:t>d</w:t>
      </w:r>
      <w:r w:rsidRPr="00023C89">
        <w:rPr>
          <w:rFonts w:ascii="Book Antiqua" w:eastAsia="Book Antiqua" w:hAnsi="Book Antiqua" w:cs="Book Antiqua"/>
          <w:color w:val="000000"/>
        </w:rPr>
        <w:t xml:space="preserve"> a role of STAT3 in DCM. Podewski </w:t>
      </w:r>
      <w:r w:rsidRPr="00023C89">
        <w:rPr>
          <w:rFonts w:ascii="Book Antiqua" w:eastAsia="Book Antiqua" w:hAnsi="Book Antiqua" w:cs="Book Antiqua"/>
          <w:i/>
          <w:iCs/>
          <w:color w:val="000000"/>
        </w:rPr>
        <w:t>et al</w:t>
      </w:r>
      <w:r w:rsidR="00B52847" w:rsidRPr="00023C89">
        <w:rPr>
          <w:rFonts w:ascii="Book Antiqua" w:eastAsia="Book Antiqua" w:hAnsi="Book Antiqua" w:cs="Book Antiqua"/>
          <w:color w:val="000000"/>
          <w:vertAlign w:val="superscript"/>
        </w:rPr>
        <w:t>[57]</w:t>
      </w:r>
      <w:r w:rsidRPr="00023C89">
        <w:rPr>
          <w:rFonts w:ascii="Book Antiqua" w:eastAsia="Book Antiqua" w:hAnsi="Book Antiqua" w:cs="Book Antiqua"/>
          <w:color w:val="000000"/>
        </w:rPr>
        <w:t xml:space="preserve"> </w:t>
      </w:r>
      <w:r w:rsidR="008C4FAB" w:rsidRPr="00023C89">
        <w:rPr>
          <w:rFonts w:ascii="Book Antiqua" w:eastAsia="Book Antiqua" w:hAnsi="Book Antiqua" w:cs="Book Antiqua"/>
          <w:color w:val="000000"/>
        </w:rPr>
        <w:t>showed</w:t>
      </w:r>
      <w:r w:rsidRPr="00023C89">
        <w:rPr>
          <w:rFonts w:ascii="Book Antiqua" w:eastAsia="Book Antiqua" w:hAnsi="Book Antiqua" w:cs="Book Antiqua"/>
          <w:color w:val="000000"/>
        </w:rPr>
        <w:t xml:space="preserve"> that STAT3 protein level is significantly decreased in the cardiomyocytes of </w:t>
      </w:r>
      <w:r w:rsidRPr="00023C89">
        <w:rPr>
          <w:rFonts w:ascii="Book Antiqua" w:eastAsia="Book Antiqua" w:hAnsi="Book Antiqua" w:cs="Book Antiqua"/>
          <w:color w:val="000000"/>
        </w:rPr>
        <w:lastRenderedPageBreak/>
        <w:t>patients with end-stage DCM. Moreover, inhibition of the IL-6–mediated STAT3 signaling pathway can improve myocardial remodeling through reducing myocardial apoptosis in a mouse model of DCM</w:t>
      </w:r>
      <w:r w:rsidRPr="00023C89">
        <w:rPr>
          <w:rFonts w:ascii="Book Antiqua" w:eastAsia="Book Antiqua" w:hAnsi="Book Antiqua" w:cs="Book Antiqua"/>
          <w:color w:val="000000"/>
          <w:vertAlign w:val="superscript"/>
        </w:rPr>
        <w:t>[58]</w:t>
      </w:r>
      <w:r w:rsidRPr="00023C89">
        <w:rPr>
          <w:rFonts w:ascii="Book Antiqua" w:eastAsia="Book Antiqua" w:hAnsi="Book Antiqua" w:cs="Book Antiqua"/>
          <w:color w:val="000000"/>
        </w:rPr>
        <w:t>. Thus, the roles of COL1A2, COL3A1, and STAT3 in DCM should be further investigated. Moreover, the identified miRNAs hsa-miR-5682, hsa-miR-4500, hsa-miR-32-3p, and hsa-miR-374a-3p may participate in DCM pathogenesis through their interaction with ≥ two hub genes. Previous studies have also suggested that miRNAs play significant roles in DCM. It has been found that miR-21, miR-29a, and miR-133b are differentially expressed in DCM patients</w:t>
      </w:r>
      <w:r w:rsidRPr="00023C89">
        <w:rPr>
          <w:rFonts w:ascii="Book Antiqua" w:eastAsia="Book Antiqua" w:hAnsi="Book Antiqua" w:cs="Book Antiqua"/>
          <w:color w:val="000000"/>
          <w:vertAlign w:val="superscript"/>
        </w:rPr>
        <w:t>[59]</w:t>
      </w:r>
      <w:r w:rsidRPr="00023C89">
        <w:rPr>
          <w:rFonts w:ascii="Book Antiqua" w:eastAsia="Book Antiqua" w:hAnsi="Book Antiqua" w:cs="Book Antiqua"/>
          <w:color w:val="000000"/>
        </w:rPr>
        <w:t xml:space="preserve">. miR-133a expression is associated with fibrosis, myocyte necrosis, </w:t>
      </w:r>
      <w:r w:rsidR="008C4FAB" w:rsidRPr="00023C89">
        <w:rPr>
          <w:rFonts w:ascii="Book Antiqua" w:eastAsia="Book Antiqua" w:hAnsi="Book Antiqua" w:cs="Book Antiqua"/>
          <w:color w:val="000000"/>
        </w:rPr>
        <w:t xml:space="preserve">left ventricular </w:t>
      </w:r>
      <w:r w:rsidRPr="00023C89">
        <w:rPr>
          <w:rFonts w:ascii="Book Antiqua" w:eastAsia="Book Antiqua" w:hAnsi="Book Antiqua" w:cs="Book Antiqua"/>
          <w:color w:val="000000"/>
        </w:rPr>
        <w:t>function, and clinical outcome in patients with inflammatory DCM</w:t>
      </w:r>
      <w:r w:rsidRPr="00023C89">
        <w:rPr>
          <w:rFonts w:ascii="Book Antiqua" w:eastAsia="Book Antiqua" w:hAnsi="Book Antiqua" w:cs="Book Antiqua"/>
          <w:color w:val="000000"/>
          <w:vertAlign w:val="superscript"/>
        </w:rPr>
        <w:t>[60]</w:t>
      </w:r>
      <w:r w:rsidRPr="00023C89">
        <w:rPr>
          <w:rFonts w:ascii="Book Antiqua" w:eastAsia="Book Antiqua" w:hAnsi="Book Antiqua" w:cs="Book Antiqua"/>
          <w:color w:val="000000"/>
        </w:rPr>
        <w:t xml:space="preserve">. Moreover, Satoh </w:t>
      </w:r>
      <w:r w:rsidRPr="00023C89">
        <w:rPr>
          <w:rFonts w:ascii="Book Antiqua" w:eastAsia="Book Antiqua" w:hAnsi="Book Antiqua" w:cs="Book Antiqua"/>
          <w:i/>
          <w:iCs/>
          <w:color w:val="000000"/>
        </w:rPr>
        <w:t>et al</w:t>
      </w:r>
      <w:r w:rsidR="00B52847" w:rsidRPr="00023C89">
        <w:rPr>
          <w:rFonts w:ascii="Book Antiqua" w:eastAsia="Book Antiqua" w:hAnsi="Book Antiqua" w:cs="Book Antiqua"/>
          <w:color w:val="000000"/>
          <w:vertAlign w:val="superscript"/>
        </w:rPr>
        <w:t>[61]</w:t>
      </w:r>
      <w:r w:rsidRPr="00023C89">
        <w:rPr>
          <w:rFonts w:ascii="Book Antiqua" w:eastAsia="Book Antiqua" w:hAnsi="Book Antiqua" w:cs="Book Antiqua"/>
          <w:color w:val="000000"/>
        </w:rPr>
        <w:t xml:space="preserve"> </w:t>
      </w:r>
      <w:r w:rsidR="008C4FAB" w:rsidRPr="00023C89">
        <w:rPr>
          <w:rFonts w:ascii="Book Antiqua" w:eastAsia="Book Antiqua" w:hAnsi="Book Antiqua" w:cs="Book Antiqua"/>
          <w:color w:val="000000"/>
        </w:rPr>
        <w:t>showed</w:t>
      </w:r>
      <w:r w:rsidRPr="00023C89">
        <w:rPr>
          <w:rFonts w:ascii="Book Antiqua" w:eastAsia="Book Antiqua" w:hAnsi="Book Antiqua" w:cs="Book Antiqua"/>
          <w:color w:val="000000"/>
        </w:rPr>
        <w:t xml:space="preserve"> that a low let-7i level can serve as an independent predictor of cardiac death and </w:t>
      </w:r>
      <w:r w:rsidR="008C4FAB" w:rsidRPr="00023C89">
        <w:rPr>
          <w:rFonts w:ascii="Book Antiqua" w:eastAsia="Book Antiqua" w:hAnsi="Book Antiqua" w:cs="Book Antiqua"/>
          <w:color w:val="000000"/>
        </w:rPr>
        <w:t xml:space="preserve">heart failure </w:t>
      </w:r>
      <w:r w:rsidRPr="00023C89">
        <w:rPr>
          <w:rFonts w:ascii="Book Antiqua" w:eastAsia="Book Antiqua" w:hAnsi="Book Antiqua" w:cs="Book Antiqua"/>
          <w:color w:val="000000"/>
        </w:rPr>
        <w:t>(relative risk = 3.76).</w:t>
      </w:r>
    </w:p>
    <w:p w14:paraId="24B91518" w14:textId="27BB0FD5" w:rsidR="008C4FAB" w:rsidRPr="00023C89" w:rsidRDefault="00DE3352" w:rsidP="000206A8">
      <w:pPr>
        <w:spacing w:line="360" w:lineRule="auto"/>
        <w:ind w:firstLine="270"/>
        <w:jc w:val="both"/>
        <w:rPr>
          <w:rFonts w:ascii="Book Antiqua" w:hAnsi="Book Antiqua"/>
        </w:rPr>
      </w:pPr>
      <w:r w:rsidRPr="00023C89">
        <w:rPr>
          <w:rFonts w:ascii="Book Antiqua" w:eastAsia="Book Antiqua" w:hAnsi="Book Antiqua" w:cs="Book Antiqua"/>
          <w:color w:val="000000"/>
        </w:rPr>
        <w:t>Immune cells commonly infiltrate into the myocardium upon various types of cardiac damage</w:t>
      </w:r>
      <w:r w:rsidR="00B52847" w:rsidRPr="00023C89">
        <w:rPr>
          <w:rFonts w:ascii="Book Antiqua" w:eastAsia="Book Antiqua" w:hAnsi="Book Antiqua" w:cs="Book Antiqua"/>
          <w:color w:val="000000"/>
          <w:vertAlign w:val="superscript"/>
        </w:rPr>
        <w:t>[49,</w:t>
      </w:r>
      <w:r w:rsidRPr="00023C89">
        <w:rPr>
          <w:rFonts w:ascii="Book Antiqua" w:eastAsia="Book Antiqua" w:hAnsi="Book Antiqua" w:cs="Book Antiqua"/>
          <w:color w:val="000000"/>
          <w:vertAlign w:val="superscript"/>
        </w:rPr>
        <w:t>62]</w:t>
      </w:r>
      <w:r w:rsidRPr="00023C89">
        <w:rPr>
          <w:rFonts w:ascii="Book Antiqua" w:eastAsia="Book Antiqua" w:hAnsi="Book Antiqua" w:cs="Book Antiqua"/>
          <w:color w:val="000000"/>
        </w:rPr>
        <w:t>. Overactivati</w:t>
      </w:r>
      <w:r w:rsidR="008C4FAB" w:rsidRPr="00023C89">
        <w:rPr>
          <w:rFonts w:ascii="Book Antiqua" w:eastAsia="Book Antiqua" w:hAnsi="Book Antiqua" w:cs="Book Antiqua"/>
          <w:color w:val="000000"/>
        </w:rPr>
        <w:t>on</w:t>
      </w:r>
      <w:r w:rsidRPr="00023C89">
        <w:rPr>
          <w:rFonts w:ascii="Book Antiqua" w:eastAsia="Book Antiqua" w:hAnsi="Book Antiqua" w:cs="Book Antiqua"/>
          <w:color w:val="000000"/>
        </w:rPr>
        <w:t xml:space="preserve"> of immune cell</w:t>
      </w:r>
      <w:r w:rsidR="008C4FAB" w:rsidRPr="00023C89">
        <w:rPr>
          <w:rFonts w:ascii="Book Antiqua" w:eastAsia="Book Antiqua" w:hAnsi="Book Antiqua" w:cs="Book Antiqua"/>
          <w:color w:val="000000"/>
        </w:rPr>
        <w:t>s</w:t>
      </w:r>
      <w:r w:rsidRPr="00023C89">
        <w:rPr>
          <w:rFonts w:ascii="Book Antiqua" w:eastAsia="Book Antiqua" w:hAnsi="Book Antiqua" w:cs="Book Antiqua"/>
          <w:color w:val="000000"/>
        </w:rPr>
        <w:t xml:space="preserve"> could be investigated in pathological examination about cardiac biopsy specimens in DCM patients. Noutsias </w:t>
      </w:r>
      <w:r w:rsidRPr="00023C89">
        <w:rPr>
          <w:rFonts w:ascii="Book Antiqua" w:eastAsia="Book Antiqua" w:hAnsi="Book Antiqua" w:cs="Book Antiqua"/>
          <w:i/>
          <w:iCs/>
          <w:color w:val="000000"/>
        </w:rPr>
        <w:t>et al</w:t>
      </w:r>
      <w:r w:rsidR="00B52847" w:rsidRPr="00023C89">
        <w:rPr>
          <w:rFonts w:ascii="Book Antiqua" w:eastAsia="Book Antiqua" w:hAnsi="Book Antiqua" w:cs="Book Antiqua"/>
          <w:color w:val="000000"/>
          <w:vertAlign w:val="superscript"/>
        </w:rPr>
        <w:t>[63]</w:t>
      </w:r>
      <w:r w:rsidRPr="00023C89">
        <w:rPr>
          <w:rFonts w:ascii="Book Antiqua" w:eastAsia="Book Antiqua" w:hAnsi="Book Antiqua" w:cs="Book Antiqua"/>
          <w:color w:val="000000"/>
        </w:rPr>
        <w:t xml:space="preserve"> reported that </w:t>
      </w:r>
      <w:r w:rsidR="008C4FAB" w:rsidRPr="00023C89">
        <w:rPr>
          <w:rFonts w:ascii="Book Antiqua" w:eastAsia="Book Antiqua" w:hAnsi="Book Antiqua" w:cs="Book Antiqua"/>
          <w:color w:val="000000"/>
        </w:rPr>
        <w:t xml:space="preserve">the </w:t>
      </w:r>
      <w:r w:rsidRPr="00023C89">
        <w:rPr>
          <w:rFonts w:ascii="Book Antiqua" w:eastAsia="Book Antiqua" w:hAnsi="Book Antiqua" w:cs="Book Antiqua"/>
          <w:color w:val="000000"/>
        </w:rPr>
        <w:t>upregulation of genes associated with T cells exacerbates DCM progression. Therefore, our study also assessed the correlation between DEGs and immune</w:t>
      </w:r>
      <w:r w:rsidR="008C4FAB"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 xml:space="preserve">cell infiltration. The results indicated infiltration of 19 types of immune cells in DCM pathogenesis. Notably, compared with the control group, the DCM group had more infiltrated plasma cells and fewer infiltrated B memory cells, T follicular helper cells, and resting </w:t>
      </w:r>
      <w:r w:rsidR="008E048B" w:rsidRPr="00023C89">
        <w:rPr>
          <w:rFonts w:ascii="Book Antiqua" w:eastAsia="Book Antiqua" w:hAnsi="Book Antiqua" w:cs="Book Antiqua"/>
          <w:color w:val="000000"/>
        </w:rPr>
        <w:t>DCs</w:t>
      </w:r>
      <w:r w:rsidRPr="00023C89">
        <w:rPr>
          <w:rFonts w:ascii="Book Antiqua" w:eastAsia="Book Antiqua" w:hAnsi="Book Antiqua" w:cs="Book Antiqua"/>
          <w:color w:val="000000"/>
        </w:rPr>
        <w:t xml:space="preserve">. However, Liu </w:t>
      </w:r>
      <w:r w:rsidRPr="00023C89">
        <w:rPr>
          <w:rFonts w:ascii="Book Antiqua" w:eastAsia="Book Antiqua" w:hAnsi="Book Antiqua" w:cs="Book Antiqua"/>
          <w:i/>
          <w:iCs/>
          <w:color w:val="000000"/>
        </w:rPr>
        <w:t>et al</w:t>
      </w:r>
      <w:r w:rsidR="00B52847" w:rsidRPr="00023C89">
        <w:rPr>
          <w:rFonts w:ascii="Book Antiqua" w:eastAsia="Book Antiqua" w:hAnsi="Book Antiqua" w:cs="Book Antiqua"/>
          <w:color w:val="000000"/>
          <w:vertAlign w:val="superscript"/>
        </w:rPr>
        <w:t>[53]</w:t>
      </w:r>
      <w:r w:rsidRPr="00023C89">
        <w:rPr>
          <w:rFonts w:ascii="Book Antiqua" w:eastAsia="Book Antiqua" w:hAnsi="Book Antiqua" w:cs="Book Antiqua"/>
          <w:color w:val="000000"/>
        </w:rPr>
        <w:t xml:space="preserve"> have demonstrated that, compared with healthy controls, DCM patients have more infiltrated T follicular helper cells and fewer T follicular regulatory cells, and infiltration of T follicular regulatory cells is positively correlated with left ventricular ejection fraction.</w:t>
      </w:r>
    </w:p>
    <w:p w14:paraId="1BAFA86F" w14:textId="1A49A7E2" w:rsidR="00A77B3E" w:rsidRPr="00023C89" w:rsidRDefault="00DE3352" w:rsidP="000206A8">
      <w:pPr>
        <w:spacing w:line="360" w:lineRule="auto"/>
        <w:ind w:firstLine="270"/>
        <w:jc w:val="both"/>
        <w:rPr>
          <w:rFonts w:ascii="Book Antiqua" w:hAnsi="Book Antiqua"/>
        </w:rPr>
      </w:pPr>
      <w:r w:rsidRPr="00023C89">
        <w:rPr>
          <w:rFonts w:ascii="Book Antiqua" w:eastAsia="Book Antiqua" w:hAnsi="Book Antiqua" w:cs="Book Antiqua"/>
          <w:color w:val="000000"/>
        </w:rPr>
        <w:t>Our study ha</w:t>
      </w:r>
      <w:r w:rsidR="008C4FAB" w:rsidRPr="00023C89">
        <w:rPr>
          <w:rFonts w:ascii="Book Antiqua" w:eastAsia="Book Antiqua" w:hAnsi="Book Antiqua" w:cs="Book Antiqua"/>
          <w:color w:val="000000"/>
        </w:rPr>
        <w:t>d</w:t>
      </w:r>
      <w:r w:rsidRPr="00023C89">
        <w:rPr>
          <w:rFonts w:ascii="Book Antiqua" w:eastAsia="Book Antiqua" w:hAnsi="Book Antiqua" w:cs="Book Antiqua"/>
          <w:color w:val="000000"/>
        </w:rPr>
        <w:t xml:space="preserve"> some limitations. First, the gene expression data were acquired from a public database. Moreover, we did not experimentally verify the relevance of the identified DEGs with DCM and their enriched functions or hub genes. Likewise, we did not verify the predicted miRNA</w:t>
      </w:r>
      <w:r w:rsidR="008C4FAB" w:rsidRPr="00023C89">
        <w:rPr>
          <w:rFonts w:ascii="Book Antiqua" w:eastAsia="Book Antiqua" w:hAnsi="Book Antiqua" w:cs="Book Antiqua"/>
          <w:color w:val="000000"/>
        </w:rPr>
        <w:t>-</w:t>
      </w:r>
      <w:r w:rsidRPr="00023C89">
        <w:rPr>
          <w:rFonts w:ascii="Book Antiqua" w:eastAsia="Book Antiqua" w:hAnsi="Book Antiqua" w:cs="Book Antiqua"/>
          <w:color w:val="000000"/>
        </w:rPr>
        <w:t>mRNA interactions and their relevance.</w:t>
      </w:r>
    </w:p>
    <w:p w14:paraId="3CDD64B2" w14:textId="77777777" w:rsidR="00A77B3E" w:rsidRPr="00023C89" w:rsidRDefault="00A77B3E" w:rsidP="00D0748F">
      <w:pPr>
        <w:spacing w:line="360" w:lineRule="auto"/>
        <w:ind w:firstLine="480"/>
        <w:jc w:val="both"/>
        <w:rPr>
          <w:rFonts w:ascii="Book Antiqua" w:hAnsi="Book Antiqua"/>
        </w:rPr>
      </w:pPr>
    </w:p>
    <w:p w14:paraId="146CC740"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aps/>
          <w:color w:val="000000"/>
          <w:u w:val="single"/>
        </w:rPr>
        <w:lastRenderedPageBreak/>
        <w:t>CONCLUSION</w:t>
      </w:r>
    </w:p>
    <w:p w14:paraId="2C2499C6" w14:textId="16BA4EB6"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In summary, we first identified that COL1A2 and COL3A1 may be both presumably regulated by hsa-miR-5682 and hsa-miR-4500, and play significant roles in the pathogenesis of DCM through acute inflammatory response and IL-17 signaling pathway. These results may provide useful biomarkers for the diagnosis and treatment of DCM, but further research is needed to clarify the roles of the predicted genes and pathways.</w:t>
      </w:r>
    </w:p>
    <w:p w14:paraId="132C0B43" w14:textId="77777777" w:rsidR="00A77B3E" w:rsidRPr="00023C89" w:rsidRDefault="00A77B3E" w:rsidP="00D0748F">
      <w:pPr>
        <w:spacing w:line="360" w:lineRule="auto"/>
        <w:jc w:val="both"/>
        <w:rPr>
          <w:rFonts w:ascii="Book Antiqua" w:hAnsi="Book Antiqua"/>
        </w:rPr>
      </w:pPr>
    </w:p>
    <w:p w14:paraId="1BB8C403"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aps/>
          <w:color w:val="000000"/>
          <w:u w:val="single"/>
        </w:rPr>
        <w:t>ARTICLE HIGHLIGHTS</w:t>
      </w:r>
    </w:p>
    <w:p w14:paraId="1A44632F"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i/>
          <w:color w:val="000000"/>
        </w:rPr>
        <w:t>Research background</w:t>
      </w:r>
    </w:p>
    <w:p w14:paraId="4C9DCF7A"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Dilated cardiomyopathy (DCM), a disease of the heart muscle, is one of the most common causes of heart failure. However, the original cause and pathogenesis in development of DCM are still remain elusive.</w:t>
      </w:r>
    </w:p>
    <w:p w14:paraId="5D2D4725" w14:textId="77777777" w:rsidR="00A77B3E" w:rsidRPr="00023C89" w:rsidRDefault="00A77B3E" w:rsidP="00D0748F">
      <w:pPr>
        <w:spacing w:line="360" w:lineRule="auto"/>
        <w:jc w:val="both"/>
        <w:rPr>
          <w:rFonts w:ascii="Book Antiqua" w:hAnsi="Book Antiqua"/>
        </w:rPr>
      </w:pPr>
    </w:p>
    <w:p w14:paraId="2D0F4FC0"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i/>
          <w:color w:val="000000"/>
        </w:rPr>
        <w:t>Research motivation</w:t>
      </w:r>
    </w:p>
    <w:p w14:paraId="3F735583"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 xml:space="preserve">The early diagnosis and prognosis of DCM patients are unsatisfactory because of DCM main cause and </w:t>
      </w:r>
      <w:r w:rsidR="00FA7E1B" w:rsidRPr="00023C89">
        <w:rPr>
          <w:rFonts w:ascii="Book Antiqua" w:hAnsi="Book Antiqua"/>
          <w:lang w:eastAsia="zh-CN"/>
        </w:rPr>
        <w:t>pathogenesis</w:t>
      </w:r>
      <w:r w:rsidRPr="00023C89">
        <w:rPr>
          <w:rFonts w:ascii="Book Antiqua" w:eastAsia="Book Antiqua" w:hAnsi="Book Antiqua" w:cs="Book Antiqua"/>
          <w:color w:val="000000"/>
        </w:rPr>
        <w:t xml:space="preserve"> are still unclear. Increasing DCM datasets were provided online but little w</w:t>
      </w:r>
      <w:r w:rsidR="00B52847" w:rsidRPr="00023C89">
        <w:rPr>
          <w:rFonts w:ascii="Book Antiqua" w:hAnsi="Book Antiqua" w:cs="Book Antiqua"/>
          <w:color w:val="000000"/>
          <w:lang w:eastAsia="zh-CN"/>
        </w:rPr>
        <w:t>as</w:t>
      </w:r>
      <w:r w:rsidRPr="00023C89">
        <w:rPr>
          <w:rFonts w:ascii="Book Antiqua" w:eastAsia="Book Antiqua" w:hAnsi="Book Antiqua" w:cs="Book Antiqua"/>
          <w:color w:val="000000"/>
        </w:rPr>
        <w:t xml:space="preserve"> been explored. Bioinformatics could further investigate the DCM mechanism and biomarkers for improving the diagnostic and therapeutic efficiency.</w:t>
      </w:r>
    </w:p>
    <w:p w14:paraId="46A4577C" w14:textId="77777777" w:rsidR="00A77B3E" w:rsidRPr="00023C89" w:rsidRDefault="00A77B3E" w:rsidP="00D0748F">
      <w:pPr>
        <w:spacing w:line="360" w:lineRule="auto"/>
        <w:jc w:val="both"/>
        <w:rPr>
          <w:rFonts w:ascii="Book Antiqua" w:hAnsi="Book Antiqua"/>
        </w:rPr>
      </w:pPr>
    </w:p>
    <w:p w14:paraId="29BD022C"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i/>
          <w:color w:val="000000"/>
        </w:rPr>
        <w:t>Research objectives</w:t>
      </w:r>
    </w:p>
    <w:p w14:paraId="53090875" w14:textId="046A6C25"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This study investigate</w:t>
      </w:r>
      <w:r w:rsidR="008C4FAB" w:rsidRPr="00023C89">
        <w:rPr>
          <w:rFonts w:ascii="Book Antiqua" w:eastAsia="Book Antiqua" w:hAnsi="Book Antiqua" w:cs="Book Antiqua"/>
          <w:color w:val="000000"/>
        </w:rPr>
        <w:t>d</w:t>
      </w:r>
      <w:r w:rsidRPr="00023C89">
        <w:rPr>
          <w:rFonts w:ascii="Book Antiqua" w:eastAsia="Book Antiqua" w:hAnsi="Book Antiqua" w:cs="Book Antiqua"/>
          <w:color w:val="000000"/>
        </w:rPr>
        <w:t xml:space="preserve"> the candidate genes and pathways involved in DCM patients. </w:t>
      </w:r>
    </w:p>
    <w:p w14:paraId="1C964C5E" w14:textId="77777777" w:rsidR="00A77B3E" w:rsidRPr="00023C89" w:rsidRDefault="00A77B3E" w:rsidP="00D0748F">
      <w:pPr>
        <w:spacing w:line="360" w:lineRule="auto"/>
        <w:jc w:val="both"/>
        <w:rPr>
          <w:rFonts w:ascii="Book Antiqua" w:hAnsi="Book Antiqua"/>
        </w:rPr>
      </w:pPr>
    </w:p>
    <w:p w14:paraId="4CFC8026"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i/>
          <w:color w:val="000000"/>
        </w:rPr>
        <w:t>Research methods</w:t>
      </w:r>
    </w:p>
    <w:p w14:paraId="0DCD0F05" w14:textId="7B2F505F"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 xml:space="preserve">Expression datasets were downloaded from the Gene Expression Omnibus database. Gene Ontology, Kyoto Encyclopedia of Genes and Genomes, and gene set enrichment analyses investigated the key pathway in differentially expressed genes (DEGs) between the DCM patients and healthy individuals. Protein-protein interaction network identified the hub genes and modules in DCM. </w:t>
      </w:r>
      <w:r w:rsidR="008C4FAB" w:rsidRPr="00023C89">
        <w:rPr>
          <w:rFonts w:ascii="Book Antiqua" w:eastAsia="Book Antiqua" w:hAnsi="Book Antiqua" w:cs="Book Antiqua"/>
          <w:color w:val="000000"/>
        </w:rPr>
        <w:t>MicroRNA Database</w:t>
      </w:r>
      <w:r w:rsidRPr="00023C89">
        <w:rPr>
          <w:rFonts w:ascii="Book Antiqua" w:eastAsia="Book Antiqua" w:hAnsi="Book Antiqua" w:cs="Book Antiqua"/>
          <w:color w:val="000000"/>
        </w:rPr>
        <w:t xml:space="preserve"> predicted the microRNAs which targeting the hub genes. CIBERSORT analyzed the immune-</w:t>
      </w:r>
      <w:r w:rsidR="008C4FAB"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 xml:space="preserve">ell infiltration in DCM. </w:t>
      </w:r>
    </w:p>
    <w:p w14:paraId="0EC5E4CC" w14:textId="77777777" w:rsidR="00A77B3E" w:rsidRPr="00023C89" w:rsidRDefault="00A77B3E" w:rsidP="00D0748F">
      <w:pPr>
        <w:spacing w:line="360" w:lineRule="auto"/>
        <w:jc w:val="both"/>
        <w:rPr>
          <w:rFonts w:ascii="Book Antiqua" w:hAnsi="Book Antiqua"/>
        </w:rPr>
      </w:pPr>
    </w:p>
    <w:p w14:paraId="58E71F81"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i/>
          <w:color w:val="000000"/>
        </w:rPr>
        <w:t>Research results</w:t>
      </w:r>
    </w:p>
    <w:p w14:paraId="35B076F3" w14:textId="244CB047" w:rsidR="00A77B3E" w:rsidRPr="00023C89" w:rsidRDefault="00B52847" w:rsidP="00D0748F">
      <w:pPr>
        <w:spacing w:line="360" w:lineRule="auto"/>
        <w:jc w:val="both"/>
        <w:rPr>
          <w:rFonts w:ascii="Book Antiqua" w:hAnsi="Book Antiqua"/>
        </w:rPr>
      </w:pPr>
      <w:r w:rsidRPr="00023C89">
        <w:rPr>
          <w:rFonts w:ascii="Book Antiqua" w:hAnsi="Book Antiqua" w:cs="Book Antiqua"/>
          <w:color w:val="000000"/>
          <w:lang w:eastAsia="zh-CN"/>
        </w:rPr>
        <w:t>Ninety-seven</w:t>
      </w:r>
      <w:r w:rsidR="00DE3352" w:rsidRPr="00023C89">
        <w:rPr>
          <w:rFonts w:ascii="Book Antiqua" w:eastAsia="Book Antiqua" w:hAnsi="Book Antiqua" w:cs="Book Antiqua"/>
          <w:color w:val="000000"/>
        </w:rPr>
        <w:t xml:space="preserve"> DEGs mainly enriched in </w:t>
      </w:r>
      <w:r w:rsidR="008C4FAB" w:rsidRPr="00023C89">
        <w:rPr>
          <w:rFonts w:ascii="Book Antiqua" w:eastAsia="Book Antiqua" w:hAnsi="Book Antiqua" w:cs="Book Antiqua"/>
          <w:color w:val="000000"/>
        </w:rPr>
        <w:t>“</w:t>
      </w:r>
      <w:r w:rsidR="00DE3352" w:rsidRPr="00023C89">
        <w:rPr>
          <w:rFonts w:ascii="Book Antiqua" w:eastAsia="Book Antiqua" w:hAnsi="Book Antiqua" w:cs="Book Antiqua"/>
          <w:color w:val="000000"/>
        </w:rPr>
        <w:t>response to growth factor</w:t>
      </w:r>
      <w:r w:rsidR="008C4FAB" w:rsidRPr="00023C89">
        <w:rPr>
          <w:rFonts w:ascii="Book Antiqua" w:eastAsia="Book Antiqua" w:hAnsi="Book Antiqua" w:cs="Book Antiqua"/>
          <w:color w:val="000000"/>
        </w:rPr>
        <w:t>,”</w:t>
      </w:r>
      <w:r w:rsidR="00DE3352" w:rsidRPr="00023C89">
        <w:rPr>
          <w:rFonts w:ascii="Book Antiqua" w:eastAsia="Book Antiqua" w:hAnsi="Book Antiqua" w:cs="Book Antiqua"/>
          <w:color w:val="000000"/>
        </w:rPr>
        <w:t xml:space="preserve"> </w:t>
      </w:r>
      <w:r w:rsidR="008C4FAB" w:rsidRPr="00023C89">
        <w:rPr>
          <w:rFonts w:ascii="Book Antiqua" w:eastAsia="Book Antiqua" w:hAnsi="Book Antiqua" w:cs="Book Antiqua"/>
          <w:color w:val="000000"/>
        </w:rPr>
        <w:t>“</w:t>
      </w:r>
      <w:r w:rsidR="00DE3352" w:rsidRPr="00023C89">
        <w:rPr>
          <w:rFonts w:ascii="Book Antiqua" w:eastAsia="Book Antiqua" w:hAnsi="Book Antiqua" w:cs="Book Antiqua"/>
          <w:color w:val="000000"/>
        </w:rPr>
        <w:t>extracellular matrix</w:t>
      </w:r>
      <w:r w:rsidR="008C4FAB" w:rsidRPr="00023C89">
        <w:rPr>
          <w:rFonts w:ascii="Book Antiqua" w:eastAsia="Book Antiqua" w:hAnsi="Book Antiqua" w:cs="Book Antiqua"/>
          <w:color w:val="000000"/>
        </w:rPr>
        <w:t>,”</w:t>
      </w:r>
      <w:r w:rsidR="00DE3352" w:rsidRPr="00023C89">
        <w:rPr>
          <w:rFonts w:ascii="Book Antiqua" w:eastAsia="Book Antiqua" w:hAnsi="Book Antiqua" w:cs="Book Antiqua"/>
          <w:color w:val="000000"/>
        </w:rPr>
        <w:t xml:space="preserve"> and </w:t>
      </w:r>
      <w:r w:rsidR="008C4FAB" w:rsidRPr="00023C89">
        <w:rPr>
          <w:rFonts w:ascii="Book Antiqua" w:eastAsia="Book Antiqua" w:hAnsi="Book Antiqua" w:cs="Book Antiqua"/>
          <w:color w:val="000000"/>
        </w:rPr>
        <w:t>“</w:t>
      </w:r>
      <w:r w:rsidR="00DE3352" w:rsidRPr="00023C89">
        <w:rPr>
          <w:rFonts w:ascii="Book Antiqua" w:eastAsia="Book Antiqua" w:hAnsi="Book Antiqua" w:cs="Book Antiqua"/>
          <w:color w:val="000000"/>
        </w:rPr>
        <w:t>extracellular matrix structural constituent</w:t>
      </w:r>
      <w:r w:rsidR="008C4FAB" w:rsidRPr="00023C89">
        <w:rPr>
          <w:rFonts w:ascii="Book Antiqua" w:eastAsia="Book Antiqua" w:hAnsi="Book Antiqua" w:cs="Book Antiqua"/>
          <w:color w:val="000000"/>
        </w:rPr>
        <w:t>.”</w:t>
      </w:r>
      <w:r w:rsidR="00DE3352" w:rsidRPr="00023C89">
        <w:rPr>
          <w:rFonts w:ascii="Book Antiqua" w:eastAsia="Book Antiqua" w:hAnsi="Book Antiqua" w:cs="Book Antiqua"/>
          <w:color w:val="000000"/>
        </w:rPr>
        <w:t xml:space="preserve"> Moreover, the top two pathways were </w:t>
      </w:r>
      <w:r w:rsidR="008C4FAB" w:rsidRPr="00023C89">
        <w:rPr>
          <w:rFonts w:ascii="Book Antiqua" w:eastAsia="Book Antiqua" w:hAnsi="Book Antiqua" w:cs="Book Antiqua"/>
          <w:color w:val="000000"/>
        </w:rPr>
        <w:t>“</w:t>
      </w:r>
      <w:r w:rsidR="00DE3352" w:rsidRPr="00023C89">
        <w:rPr>
          <w:rFonts w:ascii="Book Antiqua" w:eastAsia="Book Antiqua" w:hAnsi="Book Antiqua" w:cs="Book Antiqua"/>
          <w:color w:val="000000"/>
        </w:rPr>
        <w:t>protein digestion and absorption</w:t>
      </w:r>
      <w:r w:rsidR="008C4FAB" w:rsidRPr="00023C89">
        <w:rPr>
          <w:rFonts w:ascii="Book Antiqua" w:eastAsia="Book Antiqua" w:hAnsi="Book Antiqua" w:cs="Book Antiqua"/>
          <w:color w:val="000000"/>
        </w:rPr>
        <w:t>”</w:t>
      </w:r>
      <w:r w:rsidR="00DE3352" w:rsidRPr="00023C89">
        <w:rPr>
          <w:rFonts w:ascii="Book Antiqua" w:eastAsia="Book Antiqua" w:hAnsi="Book Antiqua" w:cs="Book Antiqua"/>
          <w:color w:val="000000"/>
        </w:rPr>
        <w:t xml:space="preserve"> and </w:t>
      </w:r>
      <w:r w:rsidR="008C4FAB" w:rsidRPr="00023C89">
        <w:rPr>
          <w:rFonts w:ascii="Book Antiqua" w:eastAsia="Book Antiqua" w:hAnsi="Book Antiqua" w:cs="Book Antiqua"/>
          <w:color w:val="000000"/>
        </w:rPr>
        <w:t>“interleukin 17</w:t>
      </w:r>
      <w:r w:rsidR="00DE3352" w:rsidRPr="00023C89">
        <w:rPr>
          <w:rFonts w:ascii="Book Antiqua" w:eastAsia="Book Antiqua" w:hAnsi="Book Antiqua" w:cs="Book Antiqua"/>
          <w:color w:val="000000"/>
        </w:rPr>
        <w:t xml:space="preserve"> signaling pathway</w:t>
      </w:r>
      <w:r w:rsidR="008C4FAB" w:rsidRPr="00023C89">
        <w:rPr>
          <w:rFonts w:ascii="Book Antiqua" w:eastAsia="Book Antiqua" w:hAnsi="Book Antiqua" w:cs="Book Antiqua"/>
          <w:color w:val="000000"/>
        </w:rPr>
        <w:t>.”</w:t>
      </w:r>
      <w:r w:rsidR="00DE3352" w:rsidRPr="00023C89">
        <w:rPr>
          <w:rFonts w:ascii="Book Antiqua" w:eastAsia="Book Antiqua" w:hAnsi="Book Antiqua" w:cs="Book Antiqua"/>
          <w:color w:val="000000"/>
        </w:rPr>
        <w:t xml:space="preserve"> Collagen type III alpha 1 chain (COL3A1) and COL1A2, whose were regulated by hsa-miR-5682 and hsa-miR-4500, mainly contributed to the pathogenesis of DCM. Compared with the control group, DCM patients </w:t>
      </w:r>
      <w:r w:rsidR="008C4FAB" w:rsidRPr="00023C89">
        <w:rPr>
          <w:rFonts w:ascii="Book Antiqua" w:eastAsia="Book Antiqua" w:hAnsi="Book Antiqua" w:cs="Book Antiqua"/>
          <w:color w:val="000000"/>
        </w:rPr>
        <w:t xml:space="preserve">had </w:t>
      </w:r>
      <w:r w:rsidR="00DE3352" w:rsidRPr="00023C89">
        <w:rPr>
          <w:rFonts w:ascii="Book Antiqua" w:eastAsia="Book Antiqua" w:hAnsi="Book Antiqua" w:cs="Book Antiqua"/>
          <w:color w:val="000000"/>
        </w:rPr>
        <w:t>more infiltrated plasma cells and fewer infiltrated B memory cells, T follicular helper cells, and resting dendritic cells.</w:t>
      </w:r>
    </w:p>
    <w:p w14:paraId="4DD00F02" w14:textId="77777777" w:rsidR="00A77B3E" w:rsidRPr="00023C89" w:rsidRDefault="00A77B3E" w:rsidP="00D0748F">
      <w:pPr>
        <w:spacing w:line="360" w:lineRule="auto"/>
        <w:jc w:val="both"/>
        <w:rPr>
          <w:rFonts w:ascii="Book Antiqua" w:hAnsi="Book Antiqua"/>
        </w:rPr>
      </w:pPr>
    </w:p>
    <w:p w14:paraId="41DCAB8C"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i/>
          <w:color w:val="000000"/>
        </w:rPr>
        <w:t>Research conclusions</w:t>
      </w:r>
    </w:p>
    <w:p w14:paraId="49AE024F" w14:textId="2D136025"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DCM progression closely related to IL-17 signaling pathway and acute inflammatory response. COL1A2 and COL3A1 and their targeting miRNAs, hsa-miR-5682 and hsa-miR-4500</w:t>
      </w:r>
      <w:r w:rsidR="008C4FAB"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8C4FAB" w:rsidRPr="00023C89">
        <w:rPr>
          <w:rFonts w:ascii="Book Antiqua" w:eastAsia="Book Antiqua" w:hAnsi="Book Antiqua" w:cs="Book Antiqua"/>
          <w:color w:val="000000"/>
        </w:rPr>
        <w:t xml:space="preserve">are </w:t>
      </w:r>
      <w:r w:rsidRPr="00023C89">
        <w:rPr>
          <w:rFonts w:ascii="Book Antiqua" w:eastAsia="Book Antiqua" w:hAnsi="Book Antiqua" w:cs="Book Antiqua"/>
          <w:color w:val="000000"/>
        </w:rPr>
        <w:t>the potential biomarkers of DCM.</w:t>
      </w:r>
    </w:p>
    <w:p w14:paraId="339B727B" w14:textId="77777777" w:rsidR="00A77B3E" w:rsidRPr="00023C89" w:rsidRDefault="00A77B3E" w:rsidP="00D0748F">
      <w:pPr>
        <w:spacing w:line="360" w:lineRule="auto"/>
        <w:jc w:val="both"/>
        <w:rPr>
          <w:rFonts w:ascii="Book Antiqua" w:hAnsi="Book Antiqua"/>
        </w:rPr>
      </w:pPr>
    </w:p>
    <w:p w14:paraId="6D83B418"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i/>
          <w:color w:val="000000"/>
        </w:rPr>
        <w:t>Research perspectives</w:t>
      </w:r>
    </w:p>
    <w:p w14:paraId="70A0EDA2" w14:textId="0757938A"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 xml:space="preserve">This study may provide valuable pathways and biomarkers for </w:t>
      </w:r>
      <w:r w:rsidR="00741D11" w:rsidRPr="00023C89">
        <w:rPr>
          <w:rFonts w:ascii="Book Antiqua" w:eastAsia="Book Antiqua" w:hAnsi="Book Antiqua" w:cs="Book Antiqua"/>
          <w:color w:val="000000"/>
        </w:rPr>
        <w:t xml:space="preserve">the </w:t>
      </w:r>
      <w:r w:rsidRPr="00023C89">
        <w:rPr>
          <w:rFonts w:ascii="Book Antiqua" w:eastAsia="Book Antiqua" w:hAnsi="Book Antiqua" w:cs="Book Antiqua"/>
          <w:color w:val="000000"/>
        </w:rPr>
        <w:t>diagnosis or treatment of DCM</w:t>
      </w:r>
      <w:r w:rsidR="00741D11" w:rsidRPr="00023C89">
        <w:rPr>
          <w:rFonts w:ascii="Book Antiqua" w:eastAsia="Book Antiqua" w:hAnsi="Book Antiqua" w:cs="Book Antiqua"/>
          <w:color w:val="000000"/>
        </w:rPr>
        <w:t>.</w:t>
      </w:r>
      <w:r w:rsidRPr="00023C89">
        <w:rPr>
          <w:rFonts w:ascii="Book Antiqua" w:eastAsia="Book Antiqua" w:hAnsi="Book Antiqua" w:cs="Book Antiqua"/>
          <w:color w:val="000000"/>
        </w:rPr>
        <w:t xml:space="preserve"> </w:t>
      </w:r>
      <w:r w:rsidR="00741D11" w:rsidRPr="00023C89">
        <w:rPr>
          <w:rFonts w:ascii="Book Antiqua" w:eastAsia="Book Antiqua" w:hAnsi="Book Antiqua" w:cs="Book Antiqua"/>
          <w:color w:val="000000"/>
        </w:rPr>
        <w:t>F</w:t>
      </w:r>
      <w:r w:rsidRPr="00023C89">
        <w:rPr>
          <w:rFonts w:ascii="Book Antiqua" w:eastAsia="Book Antiqua" w:hAnsi="Book Antiqua" w:cs="Book Antiqua"/>
          <w:color w:val="000000"/>
        </w:rPr>
        <w:t xml:space="preserve">urther </w:t>
      </w:r>
      <w:r w:rsidR="00741D11" w:rsidRPr="00023C89">
        <w:rPr>
          <w:rFonts w:ascii="Book Antiqua" w:eastAsia="Book Antiqua" w:hAnsi="Book Antiqua" w:cs="Book Antiqua"/>
          <w:color w:val="000000"/>
        </w:rPr>
        <w:t xml:space="preserve">studies </w:t>
      </w:r>
      <w:r w:rsidRPr="00023C89">
        <w:rPr>
          <w:rFonts w:ascii="Book Antiqua" w:eastAsia="Book Antiqua" w:hAnsi="Book Antiqua" w:cs="Book Antiqua"/>
          <w:color w:val="000000"/>
        </w:rPr>
        <w:t>should investigate</w:t>
      </w:r>
      <w:r w:rsidR="00FA7E1B"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 xml:space="preserve">the functions of the predicted genes and pathways. </w:t>
      </w:r>
    </w:p>
    <w:p w14:paraId="68C955DD" w14:textId="77777777" w:rsidR="00A77B3E" w:rsidRPr="00023C89" w:rsidRDefault="00A77B3E" w:rsidP="00AC103C">
      <w:pPr>
        <w:spacing w:line="360" w:lineRule="auto"/>
        <w:jc w:val="right"/>
        <w:rPr>
          <w:rFonts w:ascii="Book Antiqua" w:hAnsi="Book Antiqua"/>
        </w:rPr>
      </w:pPr>
    </w:p>
    <w:p w14:paraId="0EEFDC6D" w14:textId="77777777" w:rsidR="00B52847" w:rsidRPr="00023C89" w:rsidRDefault="00DE3352" w:rsidP="00D0748F">
      <w:pPr>
        <w:spacing w:line="360" w:lineRule="auto"/>
        <w:jc w:val="both"/>
        <w:rPr>
          <w:rFonts w:ascii="Book Antiqua" w:hAnsi="Book Antiqua" w:cs="Book Antiqua"/>
          <w:b/>
          <w:color w:val="000000"/>
          <w:lang w:eastAsia="zh-CN"/>
        </w:rPr>
      </w:pPr>
      <w:r w:rsidRPr="00023C89">
        <w:rPr>
          <w:rFonts w:ascii="Book Antiqua" w:eastAsia="Book Antiqua" w:hAnsi="Book Antiqua" w:cs="Book Antiqua"/>
          <w:b/>
          <w:color w:val="000000"/>
        </w:rPr>
        <w:t>REFERENCES</w:t>
      </w:r>
    </w:p>
    <w:p w14:paraId="22E7EC9C"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1 </w:t>
      </w:r>
      <w:r w:rsidRPr="00023C89">
        <w:rPr>
          <w:rFonts w:ascii="Book Antiqua" w:hAnsi="Book Antiqua"/>
          <w:b/>
          <w:bCs/>
        </w:rPr>
        <w:t>Papadakis M</w:t>
      </w:r>
      <w:r w:rsidRPr="00023C89">
        <w:rPr>
          <w:rFonts w:ascii="Book Antiqua" w:hAnsi="Book Antiqua"/>
        </w:rPr>
        <w:t xml:space="preserve">, Sharma S, Cox S, Sheppard MN, Panoulas VF, Behr ER. The magnitude of sudden cardiac death in the young: a death certificate-based review in England and Wales. </w:t>
      </w:r>
      <w:r w:rsidRPr="00023C89">
        <w:rPr>
          <w:rFonts w:ascii="Book Antiqua" w:hAnsi="Book Antiqua"/>
          <w:i/>
          <w:iCs/>
        </w:rPr>
        <w:t>Europace</w:t>
      </w:r>
      <w:r w:rsidRPr="00023C89">
        <w:rPr>
          <w:rFonts w:ascii="Book Antiqua" w:hAnsi="Book Antiqua"/>
        </w:rPr>
        <w:t xml:space="preserve"> 2009; </w:t>
      </w:r>
      <w:r w:rsidRPr="00023C89">
        <w:rPr>
          <w:rFonts w:ascii="Book Antiqua" w:hAnsi="Book Antiqua"/>
          <w:b/>
          <w:bCs/>
        </w:rPr>
        <w:t>11</w:t>
      </w:r>
      <w:r w:rsidRPr="00023C89">
        <w:rPr>
          <w:rFonts w:ascii="Book Antiqua" w:hAnsi="Book Antiqua"/>
        </w:rPr>
        <w:t>: 1353-1358 [PMID: 19700472 DOI: 10.1093/europace/eup229]</w:t>
      </w:r>
    </w:p>
    <w:p w14:paraId="366CDA30"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2 </w:t>
      </w:r>
      <w:r w:rsidRPr="00023C89">
        <w:rPr>
          <w:rFonts w:ascii="Book Antiqua" w:hAnsi="Book Antiqua"/>
          <w:b/>
          <w:bCs/>
        </w:rPr>
        <w:t>Haas J</w:t>
      </w:r>
      <w:r w:rsidRPr="00023C89">
        <w:rPr>
          <w:rFonts w:ascii="Book Antiqua" w:hAnsi="Book Antiqua"/>
        </w:rPr>
        <w:t xml:space="preserve">, Frese KS, Peil B, Kloos W, Keller A, Nietsch R, Feng Z, Müller S, Kayvanpour E, Vogel B, Sedaghat-Hamedani F, Lim WK, Zhao X, Fradkin D, Köhler D, Fischer S, Franke J, Marquart S, Barb I, Li DT, Amr A, Ehlermann P, Mereles D, Weis T, Hassel S, Kremer A, King V, Wirsz E, Isnard R, Komajda M, Serio A, Grasso M, Syrris P, Wicks E, Plagnol V, Lopes L, Gadgaard T, Eiskjær H, Jørgensen M, Garcia-Giustiniani D, Ortiz-Genga M, </w:t>
      </w:r>
      <w:r w:rsidRPr="00023C89">
        <w:rPr>
          <w:rFonts w:ascii="Book Antiqua" w:hAnsi="Book Antiqua"/>
        </w:rPr>
        <w:lastRenderedPageBreak/>
        <w:t xml:space="preserve">Crespo-Leiro MG, Deprez RH, Christiaans I, van Rijsingen IA, Wilde AA, Waldenstrom A, Bolognesi M, Bellazzi R, Mörner S, Bermejo JL, Monserrat L, Villard E, Mogensen J, Pinto YM, Charron P, Elliott P, Arbustini E, Katus HA, Meder B. Atlas of the clinical genetics of human dilated cardiomyopathy. </w:t>
      </w:r>
      <w:r w:rsidRPr="00023C89">
        <w:rPr>
          <w:rFonts w:ascii="Book Antiqua" w:hAnsi="Book Antiqua"/>
          <w:i/>
          <w:iCs/>
        </w:rPr>
        <w:t>Eur Heart J</w:t>
      </w:r>
      <w:r w:rsidRPr="00023C89">
        <w:rPr>
          <w:rFonts w:ascii="Book Antiqua" w:hAnsi="Book Antiqua"/>
        </w:rPr>
        <w:t xml:space="preserve"> 2015; </w:t>
      </w:r>
      <w:r w:rsidRPr="00023C89">
        <w:rPr>
          <w:rFonts w:ascii="Book Antiqua" w:hAnsi="Book Antiqua"/>
          <w:b/>
          <w:bCs/>
        </w:rPr>
        <w:t>36</w:t>
      </w:r>
      <w:r w:rsidRPr="00023C89">
        <w:rPr>
          <w:rFonts w:ascii="Book Antiqua" w:hAnsi="Book Antiqua"/>
        </w:rPr>
        <w:t>: 1123-135a [PMID: 25163546 DOI: 10.1093/eurheartj/ehu301]</w:t>
      </w:r>
    </w:p>
    <w:p w14:paraId="08FB4227"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3 </w:t>
      </w:r>
      <w:r w:rsidRPr="00023C89">
        <w:rPr>
          <w:rFonts w:ascii="Book Antiqua" w:hAnsi="Book Antiqua"/>
          <w:b/>
          <w:bCs/>
        </w:rPr>
        <w:t>Bozkurt B</w:t>
      </w:r>
      <w:r w:rsidRPr="00023C89">
        <w:rPr>
          <w:rFonts w:ascii="Book Antiqua" w:hAnsi="Book Antiqua"/>
        </w:rPr>
        <w:t xml:space="preserve">, Colvin M, Cook J, Cooper LT, Deswal A, Fonarow GC, Francis GS, Lenihan D, Lewis EF, McNamara DM, Pahl E, Vasan RS, Ramasubbu K, Rasmusson K, Towbin JA, Yancy C; American Heart Association Committee on Heart Failure and Transplantation of the Council on Clinical Cardiology; Council on Cardiovascular Disease in the Young; Council on Cardiovascular and Stroke Nursing; Council on Epidemiology and Prevention; and Council on Quality of Care and Outcomes Research. Current Diagnostic and Treatment Strategies for Specific Dilated Cardiomyopathies: A Scientific Statement From the American Heart Association. </w:t>
      </w:r>
      <w:r w:rsidRPr="00023C89">
        <w:rPr>
          <w:rFonts w:ascii="Book Antiqua" w:hAnsi="Book Antiqua"/>
          <w:i/>
          <w:iCs/>
        </w:rPr>
        <w:t>Circulation</w:t>
      </w:r>
      <w:r w:rsidRPr="00023C89">
        <w:rPr>
          <w:rFonts w:ascii="Book Antiqua" w:hAnsi="Book Antiqua"/>
        </w:rPr>
        <w:t xml:space="preserve"> 2016; </w:t>
      </w:r>
      <w:r w:rsidRPr="00023C89">
        <w:rPr>
          <w:rFonts w:ascii="Book Antiqua" w:hAnsi="Book Antiqua"/>
          <w:b/>
          <w:bCs/>
        </w:rPr>
        <w:t>134</w:t>
      </w:r>
      <w:r w:rsidRPr="00023C89">
        <w:rPr>
          <w:rFonts w:ascii="Book Antiqua" w:hAnsi="Book Antiqua"/>
        </w:rPr>
        <w:t>: e579-e646 [PMID: 27832612 DOI: 10.1161/CIR.0000000000000455]</w:t>
      </w:r>
    </w:p>
    <w:p w14:paraId="2A25760F"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4 </w:t>
      </w:r>
      <w:r w:rsidRPr="00023C89">
        <w:rPr>
          <w:rFonts w:ascii="Book Antiqua" w:hAnsi="Book Antiqua"/>
          <w:b/>
          <w:bCs/>
        </w:rPr>
        <w:t>Vikhorev PG</w:t>
      </w:r>
      <w:r w:rsidRPr="00023C89">
        <w:rPr>
          <w:rFonts w:ascii="Book Antiqua" w:hAnsi="Book Antiqua"/>
        </w:rPr>
        <w:t xml:space="preserve">, Vikhoreva NN. Cardiomyopathies and Related Changes in Contractility of Human Heart Muscle. </w:t>
      </w:r>
      <w:r w:rsidRPr="00023C89">
        <w:rPr>
          <w:rFonts w:ascii="Book Antiqua" w:hAnsi="Book Antiqua"/>
          <w:i/>
          <w:iCs/>
        </w:rPr>
        <w:t>Int J Mol Sci</w:t>
      </w:r>
      <w:r w:rsidRPr="00023C89">
        <w:rPr>
          <w:rFonts w:ascii="Book Antiqua" w:hAnsi="Book Antiqua"/>
        </w:rPr>
        <w:t xml:space="preserve"> 2018; </w:t>
      </w:r>
      <w:r w:rsidRPr="00023C89">
        <w:rPr>
          <w:rFonts w:ascii="Book Antiqua" w:hAnsi="Book Antiqua"/>
          <w:b/>
          <w:bCs/>
        </w:rPr>
        <w:t>19</w:t>
      </w:r>
      <w:r w:rsidR="00FA7E1B" w:rsidRPr="00023C89">
        <w:rPr>
          <w:rFonts w:ascii="Book Antiqua" w:hAnsi="Book Antiqua"/>
          <w:b/>
          <w:bCs/>
        </w:rPr>
        <w:t xml:space="preserve">: </w:t>
      </w:r>
      <w:r w:rsidR="00FA7E1B" w:rsidRPr="00023C89">
        <w:rPr>
          <w:rFonts w:ascii="Book Antiqua" w:hAnsi="Book Antiqua"/>
          <w:bCs/>
        </w:rPr>
        <w:t>2234</w:t>
      </w:r>
      <w:r w:rsidRPr="00023C89">
        <w:rPr>
          <w:rFonts w:ascii="Book Antiqua" w:hAnsi="Book Antiqua"/>
        </w:rPr>
        <w:t xml:space="preserve"> [PMID: 30065175 DOI: 10.3390/ijms19082234]</w:t>
      </w:r>
    </w:p>
    <w:p w14:paraId="7A2EF783"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5 </w:t>
      </w:r>
      <w:r w:rsidRPr="00023C89">
        <w:rPr>
          <w:rFonts w:ascii="Book Antiqua" w:hAnsi="Book Antiqua"/>
          <w:b/>
          <w:bCs/>
        </w:rPr>
        <w:t>Weintraub RG</w:t>
      </w:r>
      <w:r w:rsidRPr="00023C89">
        <w:rPr>
          <w:rFonts w:ascii="Book Antiqua" w:hAnsi="Book Antiqua"/>
        </w:rPr>
        <w:t xml:space="preserve">, Semsarian C, Macdonald P. Dilated cardiomyopathy. </w:t>
      </w:r>
      <w:r w:rsidRPr="00023C89">
        <w:rPr>
          <w:rFonts w:ascii="Book Antiqua" w:hAnsi="Book Antiqua"/>
          <w:i/>
          <w:iCs/>
        </w:rPr>
        <w:t>Lancet</w:t>
      </w:r>
      <w:r w:rsidRPr="00023C89">
        <w:rPr>
          <w:rFonts w:ascii="Book Antiqua" w:hAnsi="Book Antiqua"/>
        </w:rPr>
        <w:t xml:space="preserve"> 2017; </w:t>
      </w:r>
      <w:r w:rsidRPr="00023C89">
        <w:rPr>
          <w:rFonts w:ascii="Book Antiqua" w:hAnsi="Book Antiqua"/>
          <w:b/>
          <w:bCs/>
        </w:rPr>
        <w:t>390</w:t>
      </w:r>
      <w:r w:rsidRPr="00023C89">
        <w:rPr>
          <w:rFonts w:ascii="Book Antiqua" w:hAnsi="Book Antiqua"/>
        </w:rPr>
        <w:t>: 400-414 [PMID: 28190577 DOI: 10.1016/S0140-6736(16)31713-5]</w:t>
      </w:r>
    </w:p>
    <w:p w14:paraId="76DA432A"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6 </w:t>
      </w:r>
      <w:r w:rsidRPr="00023C89">
        <w:rPr>
          <w:rFonts w:ascii="Book Antiqua" w:hAnsi="Book Antiqua"/>
          <w:b/>
          <w:bCs/>
        </w:rPr>
        <w:t>Willott RH</w:t>
      </w:r>
      <w:r w:rsidRPr="00023C89">
        <w:rPr>
          <w:rFonts w:ascii="Book Antiqua" w:hAnsi="Book Antiqua"/>
        </w:rPr>
        <w:t xml:space="preserve">, Gomes AV, Chang AN, Parvatiyar MS, Pinto JR, Potter JD. Mutations in Troponin that cause HCM, DCM AND RCM: what can we learn about thin filament function? </w:t>
      </w:r>
      <w:r w:rsidRPr="00023C89">
        <w:rPr>
          <w:rFonts w:ascii="Book Antiqua" w:hAnsi="Book Antiqua"/>
          <w:i/>
          <w:iCs/>
        </w:rPr>
        <w:t>J Mol Cell Cardiol</w:t>
      </w:r>
      <w:r w:rsidRPr="00023C89">
        <w:rPr>
          <w:rFonts w:ascii="Book Antiqua" w:hAnsi="Book Antiqua"/>
        </w:rPr>
        <w:t xml:space="preserve"> 2010; </w:t>
      </w:r>
      <w:r w:rsidRPr="00023C89">
        <w:rPr>
          <w:rFonts w:ascii="Book Antiqua" w:hAnsi="Book Antiqua"/>
          <w:b/>
          <w:bCs/>
        </w:rPr>
        <w:t>48</w:t>
      </w:r>
      <w:r w:rsidRPr="00023C89">
        <w:rPr>
          <w:rFonts w:ascii="Book Antiqua" w:hAnsi="Book Antiqua"/>
        </w:rPr>
        <w:t>: 882-892 [PMID: 19914256 DOI: 10.1016/j.yjmcc.2009.10.031]</w:t>
      </w:r>
    </w:p>
    <w:p w14:paraId="2E4F95B9"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7 </w:t>
      </w:r>
      <w:r w:rsidRPr="00023C89">
        <w:rPr>
          <w:rFonts w:ascii="Book Antiqua" w:hAnsi="Book Antiqua"/>
          <w:b/>
          <w:bCs/>
        </w:rPr>
        <w:t>Pyun JH</w:t>
      </w:r>
      <w:r w:rsidRPr="00023C89">
        <w:rPr>
          <w:rFonts w:ascii="Book Antiqua" w:hAnsi="Book Antiqua"/>
        </w:rPr>
        <w:t xml:space="preserve">, Kim HJ, Jeong MH, Ahn BY, Vuong TA, Lee DI, Choi S, Koo SH, Cho H, Kang JS. Cardiac specific PRMT1 ablation causes heart failure through CaMKII dysregulation. </w:t>
      </w:r>
      <w:r w:rsidRPr="00023C89">
        <w:rPr>
          <w:rFonts w:ascii="Book Antiqua" w:hAnsi="Book Antiqua"/>
          <w:i/>
          <w:iCs/>
        </w:rPr>
        <w:t>Nat Commun</w:t>
      </w:r>
      <w:r w:rsidRPr="00023C89">
        <w:rPr>
          <w:rFonts w:ascii="Book Antiqua" w:hAnsi="Book Antiqua"/>
        </w:rPr>
        <w:t xml:space="preserve"> 2018; </w:t>
      </w:r>
      <w:r w:rsidRPr="00023C89">
        <w:rPr>
          <w:rFonts w:ascii="Book Antiqua" w:hAnsi="Book Antiqua"/>
          <w:b/>
          <w:bCs/>
        </w:rPr>
        <w:t>9</w:t>
      </w:r>
      <w:r w:rsidRPr="00023C89">
        <w:rPr>
          <w:rFonts w:ascii="Book Antiqua" w:hAnsi="Book Antiqua"/>
        </w:rPr>
        <w:t>: 5107 [PMID: 30504773 DOI: 10.1038/s41467-018-07606-y]</w:t>
      </w:r>
    </w:p>
    <w:p w14:paraId="3E2FB09A"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8 </w:t>
      </w:r>
      <w:r w:rsidRPr="00023C89">
        <w:rPr>
          <w:rFonts w:ascii="Book Antiqua" w:hAnsi="Book Antiqua"/>
          <w:b/>
          <w:bCs/>
        </w:rPr>
        <w:t>Restrepo-Cordoba MA</w:t>
      </w:r>
      <w:r w:rsidRPr="00023C89">
        <w:rPr>
          <w:rFonts w:ascii="Book Antiqua" w:hAnsi="Book Antiqua"/>
        </w:rPr>
        <w:t>, Wahbi K, Florian AR, Jiménez-Jáimez J, Politano L, Arad M, Climent-Paya V, Garcia-Alvarez A, Hansen RB, Larrañaga-Moreira JM, Kubanek M, Lopes LR, Ros A, Jurcut R, Rasmussen TB, Ruiz-Guerrero L, Pribe-Wolferts R, Palomino-</w:t>
      </w:r>
      <w:r w:rsidRPr="00023C89">
        <w:rPr>
          <w:rFonts w:ascii="Book Antiqua" w:hAnsi="Book Antiqua"/>
        </w:rPr>
        <w:lastRenderedPageBreak/>
        <w:t xml:space="preserve">Doza J, Bilinska Z, Rodríguez-Palomares JF, Van Loon RLE, Basurte Elorz MT, Quarta G, Robledo Iñarritu M, Verdonschot JAJ, Stojkovic T, Shomanova Z, Bermudez-Jimenez F, Palladino A, Freimark D, García-Álvarez MI, Jorda P, Dominguez F, Ochoa JP, Girolami F, Brugada R, Meder B, Barriales-Villa R, Mogensen J, Laforêt P, Yilmaz A, Elliott P, Garcia-Pavia P; European Genetic Cardiomyopathies Initiative Investigators (see online supplementary Appendix S1). Prevalence and clinical outcomes of dystrophin-associated dilated cardiomyopathy without severe skeletal myopathy. </w:t>
      </w:r>
      <w:r w:rsidRPr="00023C89">
        <w:rPr>
          <w:rFonts w:ascii="Book Antiqua" w:hAnsi="Book Antiqua"/>
          <w:i/>
          <w:iCs/>
        </w:rPr>
        <w:t>Eur J Heart Fail</w:t>
      </w:r>
      <w:r w:rsidRPr="00023C89">
        <w:rPr>
          <w:rFonts w:ascii="Book Antiqua" w:hAnsi="Book Antiqua"/>
        </w:rPr>
        <w:t xml:space="preserve"> 2021; </w:t>
      </w:r>
      <w:r w:rsidRPr="00023C89">
        <w:rPr>
          <w:rFonts w:ascii="Book Antiqua" w:hAnsi="Book Antiqua"/>
          <w:b/>
          <w:bCs/>
        </w:rPr>
        <w:t>23</w:t>
      </w:r>
      <w:r w:rsidRPr="00023C89">
        <w:rPr>
          <w:rFonts w:ascii="Book Antiqua" w:hAnsi="Book Antiqua"/>
        </w:rPr>
        <w:t>: 1276-1286 [PMID: 34050592 DOI: 10.1002/ejhf.2250]</w:t>
      </w:r>
    </w:p>
    <w:p w14:paraId="4696C7FB"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9 </w:t>
      </w:r>
      <w:r w:rsidRPr="00023C89">
        <w:rPr>
          <w:rFonts w:ascii="Book Antiqua" w:hAnsi="Book Antiqua"/>
          <w:b/>
          <w:bCs/>
        </w:rPr>
        <w:t>Pawlak A</w:t>
      </w:r>
      <w:r w:rsidRPr="00023C89">
        <w:rPr>
          <w:rFonts w:ascii="Book Antiqua" w:hAnsi="Book Antiqua"/>
        </w:rPr>
        <w:t xml:space="preserve">, Rejmak-Kozicka E, Gil KE, Ziemba A, Kaczmarek L, Gil RJ. Patterns of desmin expression in idiopathic dilated cardiomyopathy are related to the desmin mRNA and ubiquitin expression. </w:t>
      </w:r>
      <w:r w:rsidRPr="00023C89">
        <w:rPr>
          <w:rFonts w:ascii="Book Antiqua" w:hAnsi="Book Antiqua"/>
          <w:i/>
          <w:iCs/>
        </w:rPr>
        <w:t>J Investig Med</w:t>
      </w:r>
      <w:r w:rsidRPr="00023C89">
        <w:rPr>
          <w:rFonts w:ascii="Book Antiqua" w:hAnsi="Book Antiqua"/>
        </w:rPr>
        <w:t xml:space="preserve"> 2019; </w:t>
      </w:r>
      <w:r w:rsidRPr="00023C89">
        <w:rPr>
          <w:rFonts w:ascii="Book Antiqua" w:hAnsi="Book Antiqua"/>
          <w:b/>
          <w:bCs/>
        </w:rPr>
        <w:t>67</w:t>
      </w:r>
      <w:r w:rsidRPr="00023C89">
        <w:rPr>
          <w:rFonts w:ascii="Book Antiqua" w:hAnsi="Book Antiqua"/>
        </w:rPr>
        <w:t>: 11-19 [PMID: 30097466 DOI: 10.1136/jim-2017-000707]</w:t>
      </w:r>
    </w:p>
    <w:p w14:paraId="2182BF54"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10 </w:t>
      </w:r>
      <w:r w:rsidRPr="00023C89">
        <w:rPr>
          <w:rFonts w:ascii="Book Antiqua" w:hAnsi="Book Antiqua"/>
          <w:b/>
          <w:bCs/>
        </w:rPr>
        <w:t>Parks SB</w:t>
      </w:r>
      <w:r w:rsidRPr="00023C89">
        <w:rPr>
          <w:rFonts w:ascii="Book Antiqua" w:hAnsi="Book Antiqua"/>
        </w:rPr>
        <w:t xml:space="preserve">, Kushner JD, Nauman D, Burgess D, Ludwigsen S, Peterson A, Li D, Jakobs P, Litt M, Porter CB, Rahko PS, Hershberger RE. Lamin A/C mutation analysis in a cohort of 324 unrelated patients with idiopathic or familial dilated cardiomyopathy. </w:t>
      </w:r>
      <w:r w:rsidRPr="00023C89">
        <w:rPr>
          <w:rFonts w:ascii="Book Antiqua" w:hAnsi="Book Antiqua"/>
          <w:i/>
          <w:iCs/>
        </w:rPr>
        <w:t>Am Heart J</w:t>
      </w:r>
      <w:r w:rsidRPr="00023C89">
        <w:rPr>
          <w:rFonts w:ascii="Book Antiqua" w:hAnsi="Book Antiqua"/>
        </w:rPr>
        <w:t xml:space="preserve"> 2008; </w:t>
      </w:r>
      <w:r w:rsidRPr="00023C89">
        <w:rPr>
          <w:rFonts w:ascii="Book Antiqua" w:hAnsi="Book Antiqua"/>
          <w:b/>
          <w:bCs/>
        </w:rPr>
        <w:t>156</w:t>
      </w:r>
      <w:r w:rsidRPr="00023C89">
        <w:rPr>
          <w:rFonts w:ascii="Book Antiqua" w:hAnsi="Book Antiqua"/>
        </w:rPr>
        <w:t>: 161-169 [PMID: 18585512 DOI: 10.1016/j.ahj.2008.01.026]</w:t>
      </w:r>
    </w:p>
    <w:p w14:paraId="2FF2B682"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11 </w:t>
      </w:r>
      <w:r w:rsidRPr="00023C89">
        <w:rPr>
          <w:rFonts w:ascii="Book Antiqua" w:hAnsi="Book Antiqua"/>
          <w:b/>
          <w:bCs/>
        </w:rPr>
        <w:t>Li E</w:t>
      </w:r>
      <w:r w:rsidRPr="00023C89">
        <w:rPr>
          <w:rFonts w:ascii="Book Antiqua" w:hAnsi="Book Antiqua"/>
        </w:rPr>
        <w:t xml:space="preserve">, Li X, Huang J, Xu C, Liang Q, Ren K, Bai A, Lu C, Qian R, Sun N. BMAL1 regulates mitochondrial fission and mitophagy through mitochondrial protein BNIP3 and is critical in the development of dilated cardiomyopathy. </w:t>
      </w:r>
      <w:r w:rsidRPr="00023C89">
        <w:rPr>
          <w:rFonts w:ascii="Book Antiqua" w:hAnsi="Book Antiqua"/>
          <w:i/>
          <w:iCs/>
        </w:rPr>
        <w:t>Protein Cell</w:t>
      </w:r>
      <w:r w:rsidRPr="00023C89">
        <w:rPr>
          <w:rFonts w:ascii="Book Antiqua" w:hAnsi="Book Antiqua"/>
        </w:rPr>
        <w:t xml:space="preserve"> 2020; </w:t>
      </w:r>
      <w:r w:rsidRPr="00023C89">
        <w:rPr>
          <w:rFonts w:ascii="Book Antiqua" w:hAnsi="Book Antiqua"/>
          <w:b/>
          <w:bCs/>
        </w:rPr>
        <w:t>11</w:t>
      </w:r>
      <w:r w:rsidRPr="00023C89">
        <w:rPr>
          <w:rFonts w:ascii="Book Antiqua" w:hAnsi="Book Antiqua"/>
        </w:rPr>
        <w:t>: 661-679 [PMID: 32277346 DOI: 10.1007/s13238-020-00713-x]</w:t>
      </w:r>
    </w:p>
    <w:p w14:paraId="0D506D86"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12 </w:t>
      </w:r>
      <w:r w:rsidRPr="00023C89">
        <w:rPr>
          <w:rFonts w:ascii="Book Antiqua" w:hAnsi="Book Antiqua"/>
          <w:b/>
          <w:bCs/>
        </w:rPr>
        <w:t>Robinson P</w:t>
      </w:r>
      <w:r w:rsidRPr="00023C89">
        <w:rPr>
          <w:rFonts w:ascii="Book Antiqua" w:hAnsi="Book Antiqua"/>
        </w:rPr>
        <w:t>, Sparrow AJ, Patel S, Malinowska M, Reilly SN, Zhang YH, Casadei B, Watkins H, Redwood C. Dilated cardiomyopathy mutations in thin-filament regulatory proteins reduce contractility, suppress systolic Ca</w:t>
      </w:r>
      <w:r w:rsidRPr="00023C89">
        <w:rPr>
          <w:rFonts w:ascii="Book Antiqua" w:hAnsi="Book Antiqua"/>
          <w:vertAlign w:val="superscript"/>
        </w:rPr>
        <w:t>2+</w:t>
      </w:r>
      <w:r w:rsidRPr="00023C89">
        <w:rPr>
          <w:rFonts w:ascii="Book Antiqua" w:hAnsi="Book Antiqua"/>
        </w:rPr>
        <w:t xml:space="preserve">, and activate NFAT and Akt signaling. </w:t>
      </w:r>
      <w:r w:rsidRPr="00023C89">
        <w:rPr>
          <w:rFonts w:ascii="Book Antiqua" w:hAnsi="Book Antiqua"/>
          <w:i/>
          <w:iCs/>
        </w:rPr>
        <w:t>Am J Physiol Heart Circ Physiol</w:t>
      </w:r>
      <w:r w:rsidRPr="00023C89">
        <w:rPr>
          <w:rFonts w:ascii="Book Antiqua" w:hAnsi="Book Antiqua"/>
        </w:rPr>
        <w:t xml:space="preserve"> 2020; </w:t>
      </w:r>
      <w:r w:rsidRPr="00023C89">
        <w:rPr>
          <w:rFonts w:ascii="Book Antiqua" w:hAnsi="Book Antiqua"/>
          <w:b/>
          <w:bCs/>
        </w:rPr>
        <w:t>319</w:t>
      </w:r>
      <w:r w:rsidRPr="00023C89">
        <w:rPr>
          <w:rFonts w:ascii="Book Antiqua" w:hAnsi="Book Antiqua"/>
        </w:rPr>
        <w:t>: H306-H319 [PMID: 32618513 DOI: 10.1152/ajpheart.00272.2020]</w:t>
      </w:r>
    </w:p>
    <w:p w14:paraId="61866E6A"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13 </w:t>
      </w:r>
      <w:r w:rsidRPr="00023C89">
        <w:rPr>
          <w:rFonts w:ascii="Book Antiqua" w:hAnsi="Book Antiqua"/>
          <w:b/>
          <w:bCs/>
        </w:rPr>
        <w:t>Liu W</w:t>
      </w:r>
      <w:r w:rsidRPr="00023C89">
        <w:rPr>
          <w:rFonts w:ascii="Book Antiqua" w:hAnsi="Book Antiqua"/>
        </w:rPr>
        <w:t xml:space="preserve">, Wang Y, Zheng J, Song D, Zheng S, Ren L, Wang Y, Yao Y, Wang Y, Liu Y, Bai R, Dong J, Liu T. Syndecan-1 as an independent risk factor for the incidence of adverse cardiovascular events in patients having stage C and D heart failure with non-ischemic </w:t>
      </w:r>
      <w:r w:rsidRPr="00023C89">
        <w:rPr>
          <w:rFonts w:ascii="Book Antiqua" w:hAnsi="Book Antiqua"/>
        </w:rPr>
        <w:lastRenderedPageBreak/>
        <w:t xml:space="preserve">dilated cardiomyopathy. </w:t>
      </w:r>
      <w:r w:rsidRPr="00023C89">
        <w:rPr>
          <w:rFonts w:ascii="Book Antiqua" w:hAnsi="Book Antiqua"/>
          <w:i/>
          <w:iCs/>
        </w:rPr>
        <w:t>Clin Chim Acta</w:t>
      </w:r>
      <w:r w:rsidRPr="00023C89">
        <w:rPr>
          <w:rFonts w:ascii="Book Antiqua" w:hAnsi="Book Antiqua"/>
        </w:rPr>
        <w:t xml:space="preserve"> 2019; </w:t>
      </w:r>
      <w:r w:rsidRPr="00023C89">
        <w:rPr>
          <w:rFonts w:ascii="Book Antiqua" w:hAnsi="Book Antiqua"/>
          <w:b/>
          <w:bCs/>
        </w:rPr>
        <w:t>490</w:t>
      </w:r>
      <w:r w:rsidRPr="00023C89">
        <w:rPr>
          <w:rFonts w:ascii="Book Antiqua" w:hAnsi="Book Antiqua"/>
        </w:rPr>
        <w:t>: 63-68 [PMID: 30578753 DOI: 10.1016/j.cca.2018.12.022]</w:t>
      </w:r>
    </w:p>
    <w:p w14:paraId="7D46D64F"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14 </w:t>
      </w:r>
      <w:r w:rsidRPr="00023C89">
        <w:rPr>
          <w:rFonts w:ascii="Book Antiqua" w:hAnsi="Book Antiqua"/>
          <w:b/>
          <w:bCs/>
        </w:rPr>
        <w:t>Bielecka-Dabrowa A</w:t>
      </w:r>
      <w:r w:rsidRPr="00023C89">
        <w:rPr>
          <w:rFonts w:ascii="Book Antiqua" w:hAnsi="Book Antiqua"/>
        </w:rPr>
        <w:t xml:space="preserve">, Sakowicz A, Misztal M, von Haehling S, Ahmed A, Pietrucha T, Rysz J, Banach M. Differences in biochemical and genetic biomarkers in patients with heart failure of various etiologies. </w:t>
      </w:r>
      <w:r w:rsidRPr="00023C89">
        <w:rPr>
          <w:rFonts w:ascii="Book Antiqua" w:hAnsi="Book Antiqua"/>
          <w:i/>
          <w:iCs/>
        </w:rPr>
        <w:t>Int J Cardiol</w:t>
      </w:r>
      <w:r w:rsidRPr="00023C89">
        <w:rPr>
          <w:rFonts w:ascii="Book Antiqua" w:hAnsi="Book Antiqua"/>
        </w:rPr>
        <w:t xml:space="preserve"> 2016; </w:t>
      </w:r>
      <w:r w:rsidRPr="00023C89">
        <w:rPr>
          <w:rFonts w:ascii="Book Antiqua" w:hAnsi="Book Antiqua"/>
          <w:b/>
          <w:bCs/>
        </w:rPr>
        <w:t>221</w:t>
      </w:r>
      <w:r w:rsidRPr="00023C89">
        <w:rPr>
          <w:rFonts w:ascii="Book Antiqua" w:hAnsi="Book Antiqua"/>
        </w:rPr>
        <w:t>: 1073-1080 [PMID: 27448535 DOI: 10.1016/j.ijcard.2016.07.150]</w:t>
      </w:r>
    </w:p>
    <w:p w14:paraId="219893EE"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15 </w:t>
      </w:r>
      <w:r w:rsidRPr="00023C89">
        <w:rPr>
          <w:rFonts w:ascii="Book Antiqua" w:hAnsi="Book Antiqua"/>
          <w:b/>
          <w:bCs/>
        </w:rPr>
        <w:t>Su H</w:t>
      </w:r>
      <w:r w:rsidRPr="00023C89">
        <w:rPr>
          <w:rFonts w:ascii="Book Antiqua" w:hAnsi="Book Antiqua"/>
        </w:rPr>
        <w:t xml:space="preserve">, Hu K, Liu Z, Chen K, Xu J. Carbonic anhydrase 2 and 3 as risk biomarkers for dilated cardiomyopathy associated heart failure. </w:t>
      </w:r>
      <w:r w:rsidRPr="00023C89">
        <w:rPr>
          <w:rFonts w:ascii="Book Antiqua" w:hAnsi="Book Antiqua"/>
          <w:i/>
          <w:iCs/>
        </w:rPr>
        <w:t>Ann Palliat Med</w:t>
      </w:r>
      <w:r w:rsidRPr="00023C89">
        <w:rPr>
          <w:rFonts w:ascii="Book Antiqua" w:hAnsi="Book Antiqua"/>
        </w:rPr>
        <w:t xml:space="preserve"> 2021; </w:t>
      </w:r>
      <w:r w:rsidRPr="00023C89">
        <w:rPr>
          <w:rFonts w:ascii="Book Antiqua" w:hAnsi="Book Antiqua"/>
          <w:b/>
          <w:bCs/>
        </w:rPr>
        <w:t>10</w:t>
      </w:r>
      <w:r w:rsidRPr="00023C89">
        <w:rPr>
          <w:rFonts w:ascii="Book Antiqua" w:hAnsi="Book Antiqua"/>
        </w:rPr>
        <w:t>: 12554-12565 [PMID: 35016406 DOI: 10.21037/apm-21-3561]</w:t>
      </w:r>
    </w:p>
    <w:p w14:paraId="756FD56B"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16 </w:t>
      </w:r>
      <w:r w:rsidRPr="00023C89">
        <w:rPr>
          <w:rFonts w:ascii="Book Antiqua" w:hAnsi="Book Antiqua"/>
          <w:b/>
          <w:bCs/>
        </w:rPr>
        <w:t>Gu L</w:t>
      </w:r>
      <w:r w:rsidRPr="00023C89">
        <w:rPr>
          <w:rFonts w:ascii="Book Antiqua" w:hAnsi="Book Antiqua"/>
        </w:rPr>
        <w:t xml:space="preserve">, Jiang W, Zheng R, Yao Y, Ma G. Fibroblast Growth Factor 21 Correlates with the Prognosis of Dilated Cardiomyopathy. </w:t>
      </w:r>
      <w:r w:rsidRPr="00023C89">
        <w:rPr>
          <w:rFonts w:ascii="Book Antiqua" w:hAnsi="Book Antiqua"/>
          <w:i/>
          <w:iCs/>
        </w:rPr>
        <w:t>Cardiology</w:t>
      </w:r>
      <w:r w:rsidRPr="00023C89">
        <w:rPr>
          <w:rFonts w:ascii="Book Antiqua" w:hAnsi="Book Antiqua"/>
        </w:rPr>
        <w:t xml:space="preserve"> 2021; </w:t>
      </w:r>
      <w:r w:rsidRPr="00023C89">
        <w:rPr>
          <w:rFonts w:ascii="Book Antiqua" w:hAnsi="Book Antiqua"/>
          <w:b/>
          <w:bCs/>
        </w:rPr>
        <w:t>146</w:t>
      </w:r>
      <w:r w:rsidRPr="00023C89">
        <w:rPr>
          <w:rFonts w:ascii="Book Antiqua" w:hAnsi="Book Antiqua"/>
        </w:rPr>
        <w:t>: 27-33 [PMID: 33264784 DOI: 10.1159/000509239]</w:t>
      </w:r>
    </w:p>
    <w:p w14:paraId="5E5B6068"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17 </w:t>
      </w:r>
      <w:r w:rsidRPr="00023C89">
        <w:rPr>
          <w:rFonts w:ascii="Book Antiqua" w:hAnsi="Book Antiqua"/>
          <w:b/>
          <w:bCs/>
        </w:rPr>
        <w:t>Huang H</w:t>
      </w:r>
      <w:r w:rsidRPr="00023C89">
        <w:rPr>
          <w:rFonts w:ascii="Book Antiqua" w:hAnsi="Book Antiqua"/>
        </w:rPr>
        <w:t xml:space="preserve">, Luo B, Wang B, Wu Q, Liang Y, He Y. Identification of Potential Gene Interactions in Heart Failure Caused by Idiopathic Dilated Cardiomyopathy. </w:t>
      </w:r>
      <w:r w:rsidRPr="00023C89">
        <w:rPr>
          <w:rFonts w:ascii="Book Antiqua" w:hAnsi="Book Antiqua"/>
          <w:i/>
          <w:iCs/>
        </w:rPr>
        <w:t>Med Sci Monit</w:t>
      </w:r>
      <w:r w:rsidRPr="00023C89">
        <w:rPr>
          <w:rFonts w:ascii="Book Antiqua" w:hAnsi="Book Antiqua"/>
        </w:rPr>
        <w:t xml:space="preserve"> 2018; </w:t>
      </w:r>
      <w:r w:rsidRPr="00023C89">
        <w:rPr>
          <w:rFonts w:ascii="Book Antiqua" w:hAnsi="Book Antiqua"/>
          <w:b/>
          <w:bCs/>
        </w:rPr>
        <w:t>24</w:t>
      </w:r>
      <w:r w:rsidRPr="00023C89">
        <w:rPr>
          <w:rFonts w:ascii="Book Antiqua" w:hAnsi="Book Antiqua"/>
        </w:rPr>
        <w:t>: 7697-7709 [PMID: 30368515 DOI: 10.12659/MSM.912984]</w:t>
      </w:r>
    </w:p>
    <w:p w14:paraId="728E5D68"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18 </w:t>
      </w:r>
      <w:r w:rsidRPr="00023C89">
        <w:rPr>
          <w:rFonts w:ascii="Book Antiqua" w:hAnsi="Book Antiqua"/>
          <w:b/>
          <w:bCs/>
        </w:rPr>
        <w:t>Zhao J</w:t>
      </w:r>
      <w:r w:rsidRPr="00023C89">
        <w:rPr>
          <w:rFonts w:ascii="Book Antiqua" w:hAnsi="Book Antiqua"/>
        </w:rPr>
        <w:t xml:space="preserve">, Lv T, Quan J, Zhao W, Song J, Li Z, Lei H, Huang W, Ran L. Identification of target genes in cardiomyopathy with fibrosis and cardiac remodeling. </w:t>
      </w:r>
      <w:r w:rsidRPr="00023C89">
        <w:rPr>
          <w:rFonts w:ascii="Book Antiqua" w:hAnsi="Book Antiqua"/>
          <w:i/>
          <w:iCs/>
        </w:rPr>
        <w:t>J Biomed Sci</w:t>
      </w:r>
      <w:r w:rsidRPr="00023C89">
        <w:rPr>
          <w:rFonts w:ascii="Book Antiqua" w:hAnsi="Book Antiqua"/>
        </w:rPr>
        <w:t xml:space="preserve"> 2018; </w:t>
      </w:r>
      <w:r w:rsidRPr="00023C89">
        <w:rPr>
          <w:rFonts w:ascii="Book Antiqua" w:hAnsi="Book Antiqua"/>
          <w:b/>
          <w:bCs/>
        </w:rPr>
        <w:t>25</w:t>
      </w:r>
      <w:r w:rsidRPr="00023C89">
        <w:rPr>
          <w:rFonts w:ascii="Book Antiqua" w:hAnsi="Book Antiqua"/>
        </w:rPr>
        <w:t>: 63 [PMID: 30115125 DOI: 10.1186/s12929-018-0459-8]</w:t>
      </w:r>
    </w:p>
    <w:p w14:paraId="5AA240A3"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19 </w:t>
      </w:r>
      <w:r w:rsidRPr="00023C89">
        <w:rPr>
          <w:rFonts w:ascii="Book Antiqua" w:hAnsi="Book Antiqua"/>
          <w:b/>
          <w:bCs/>
        </w:rPr>
        <w:t>Barth AS</w:t>
      </w:r>
      <w:r w:rsidRPr="00023C89">
        <w:rPr>
          <w:rFonts w:ascii="Book Antiqua" w:hAnsi="Book Antiqua"/>
        </w:rPr>
        <w:t xml:space="preserve">, Kuner R, Buness A, Ruschhaupt M, Merk S, Zwermann L, Kääb S, Kreuzer E, Steinbeck G, Mansmann U, Poustka A, Nabauer M, Sültmann H. Identification of a common gene expression signature in dilated cardiomyopathy across independent microarray studies. </w:t>
      </w:r>
      <w:r w:rsidRPr="00023C89">
        <w:rPr>
          <w:rFonts w:ascii="Book Antiqua" w:hAnsi="Book Antiqua"/>
          <w:i/>
          <w:iCs/>
        </w:rPr>
        <w:t>J Am Coll Cardiol</w:t>
      </w:r>
      <w:r w:rsidRPr="00023C89">
        <w:rPr>
          <w:rFonts w:ascii="Book Antiqua" w:hAnsi="Book Antiqua"/>
        </w:rPr>
        <w:t xml:space="preserve"> 2006; </w:t>
      </w:r>
      <w:r w:rsidRPr="00023C89">
        <w:rPr>
          <w:rFonts w:ascii="Book Antiqua" w:hAnsi="Book Antiqua"/>
          <w:b/>
          <w:bCs/>
        </w:rPr>
        <w:t>48</w:t>
      </w:r>
      <w:r w:rsidRPr="00023C89">
        <w:rPr>
          <w:rFonts w:ascii="Book Antiqua" w:hAnsi="Book Antiqua"/>
        </w:rPr>
        <w:t>: 1610-1617 [PMID: 17045896 DOI: 10.1016/j.jacc.2006.07.026]</w:t>
      </w:r>
    </w:p>
    <w:p w14:paraId="1D968FBF"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20 </w:t>
      </w:r>
      <w:r w:rsidRPr="00023C89">
        <w:rPr>
          <w:rFonts w:ascii="Book Antiqua" w:hAnsi="Book Antiqua"/>
          <w:b/>
          <w:bCs/>
        </w:rPr>
        <w:t>Hannenhalli S</w:t>
      </w:r>
      <w:r w:rsidRPr="00023C89">
        <w:rPr>
          <w:rFonts w:ascii="Book Antiqua" w:hAnsi="Book Antiqua"/>
        </w:rPr>
        <w:t xml:space="preserve">, Putt ME, Gilmore JM, Wang J, Parmacek MS, Epstein JA, Morrisey EE, Margulies KB, Cappola TP. Transcriptional genomics associates FOX transcription factors with human heart failure. </w:t>
      </w:r>
      <w:r w:rsidRPr="00023C89">
        <w:rPr>
          <w:rFonts w:ascii="Book Antiqua" w:hAnsi="Book Antiqua"/>
          <w:i/>
          <w:iCs/>
        </w:rPr>
        <w:t>Circulation</w:t>
      </w:r>
      <w:r w:rsidRPr="00023C89">
        <w:rPr>
          <w:rFonts w:ascii="Book Antiqua" w:hAnsi="Book Antiqua"/>
        </w:rPr>
        <w:t xml:space="preserve"> 2006; </w:t>
      </w:r>
      <w:r w:rsidRPr="00023C89">
        <w:rPr>
          <w:rFonts w:ascii="Book Antiqua" w:hAnsi="Book Antiqua"/>
          <w:b/>
          <w:bCs/>
        </w:rPr>
        <w:t>114</w:t>
      </w:r>
      <w:r w:rsidRPr="00023C89">
        <w:rPr>
          <w:rFonts w:ascii="Book Antiqua" w:hAnsi="Book Antiqua"/>
        </w:rPr>
        <w:t>: 1269-1276 [PMID: 16952980 DOI: 10.1161/CIRCULATIONAHA.106.632430]</w:t>
      </w:r>
    </w:p>
    <w:p w14:paraId="341566C2"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lastRenderedPageBreak/>
        <w:t xml:space="preserve">21 </w:t>
      </w:r>
      <w:r w:rsidRPr="00023C89">
        <w:rPr>
          <w:rFonts w:ascii="Book Antiqua" w:hAnsi="Book Antiqua"/>
          <w:b/>
          <w:bCs/>
        </w:rPr>
        <w:t>Leek JT</w:t>
      </w:r>
      <w:r w:rsidRPr="00023C89">
        <w:rPr>
          <w:rFonts w:ascii="Book Antiqua" w:hAnsi="Book Antiqua"/>
        </w:rPr>
        <w:t xml:space="preserve">, Johnson WE, Parker HS, Jaffe AE, Storey JD. The sva package for removing batch effects and other unwanted variation in high-throughput experiments. </w:t>
      </w:r>
      <w:r w:rsidRPr="00023C89">
        <w:rPr>
          <w:rFonts w:ascii="Book Antiqua" w:hAnsi="Book Antiqua"/>
          <w:i/>
          <w:iCs/>
        </w:rPr>
        <w:t>Bioinformatics</w:t>
      </w:r>
      <w:r w:rsidRPr="00023C89">
        <w:rPr>
          <w:rFonts w:ascii="Book Antiqua" w:hAnsi="Book Antiqua"/>
        </w:rPr>
        <w:t xml:space="preserve"> 2012; </w:t>
      </w:r>
      <w:r w:rsidRPr="00023C89">
        <w:rPr>
          <w:rFonts w:ascii="Book Antiqua" w:hAnsi="Book Antiqua"/>
          <w:b/>
          <w:bCs/>
        </w:rPr>
        <w:t>28</w:t>
      </w:r>
      <w:r w:rsidRPr="00023C89">
        <w:rPr>
          <w:rFonts w:ascii="Book Antiqua" w:hAnsi="Book Antiqua"/>
        </w:rPr>
        <w:t>: 882-883 [PMID: 22257669 DOI: 10.1093/bioinformatics/bts034]</w:t>
      </w:r>
    </w:p>
    <w:p w14:paraId="3413E82F"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22 </w:t>
      </w:r>
      <w:r w:rsidRPr="00023C89">
        <w:rPr>
          <w:rFonts w:ascii="Book Antiqua" w:hAnsi="Book Antiqua"/>
          <w:b/>
          <w:bCs/>
        </w:rPr>
        <w:t>Ritchie ME</w:t>
      </w:r>
      <w:r w:rsidRPr="00023C89">
        <w:rPr>
          <w:rFonts w:ascii="Book Antiqua" w:hAnsi="Book Antiqua"/>
        </w:rPr>
        <w:t xml:space="preserve">, Phipson B, Wu D, Hu Y, Law CW, Shi W, Smyth GK. limma powers differential expression analyses for RNA-sequencing and microarray studies. </w:t>
      </w:r>
      <w:r w:rsidRPr="00023C89">
        <w:rPr>
          <w:rFonts w:ascii="Book Antiqua" w:hAnsi="Book Antiqua"/>
          <w:i/>
          <w:iCs/>
        </w:rPr>
        <w:t>Nucleic Acids Res</w:t>
      </w:r>
      <w:r w:rsidRPr="00023C89">
        <w:rPr>
          <w:rFonts w:ascii="Book Antiqua" w:hAnsi="Book Antiqua"/>
        </w:rPr>
        <w:t xml:space="preserve"> 2015; </w:t>
      </w:r>
      <w:r w:rsidRPr="00023C89">
        <w:rPr>
          <w:rFonts w:ascii="Book Antiqua" w:hAnsi="Book Antiqua"/>
          <w:b/>
          <w:bCs/>
        </w:rPr>
        <w:t>43</w:t>
      </w:r>
      <w:r w:rsidRPr="00023C89">
        <w:rPr>
          <w:rFonts w:ascii="Book Antiqua" w:hAnsi="Book Antiqua"/>
        </w:rPr>
        <w:t>: e47 [PMID: 25605792 DOI: 10.1093/nar/gkv007]</w:t>
      </w:r>
    </w:p>
    <w:p w14:paraId="7ABF2664"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23 </w:t>
      </w:r>
      <w:r w:rsidRPr="00023C89">
        <w:rPr>
          <w:rFonts w:ascii="Book Antiqua" w:hAnsi="Book Antiqua"/>
          <w:b/>
          <w:bCs/>
        </w:rPr>
        <w:t>Gene Ontology Consortium.</w:t>
      </w:r>
      <w:r w:rsidRPr="00023C89">
        <w:rPr>
          <w:rFonts w:ascii="Book Antiqua" w:hAnsi="Book Antiqua"/>
        </w:rPr>
        <w:t xml:space="preserve">. The Gene Ontology resource: enriching a GOld mine. </w:t>
      </w:r>
      <w:r w:rsidRPr="00023C89">
        <w:rPr>
          <w:rFonts w:ascii="Book Antiqua" w:hAnsi="Book Antiqua"/>
          <w:i/>
          <w:iCs/>
        </w:rPr>
        <w:t>Nucleic Acids Res</w:t>
      </w:r>
      <w:r w:rsidRPr="00023C89">
        <w:rPr>
          <w:rFonts w:ascii="Book Antiqua" w:hAnsi="Book Antiqua"/>
        </w:rPr>
        <w:t xml:space="preserve"> 2021; </w:t>
      </w:r>
      <w:r w:rsidRPr="00023C89">
        <w:rPr>
          <w:rFonts w:ascii="Book Antiqua" w:hAnsi="Book Antiqua"/>
          <w:b/>
          <w:bCs/>
        </w:rPr>
        <w:t>49</w:t>
      </w:r>
      <w:r w:rsidRPr="00023C89">
        <w:rPr>
          <w:rFonts w:ascii="Book Antiqua" w:hAnsi="Book Antiqua"/>
        </w:rPr>
        <w:t>: D325-D334 [PMID: 33290552 DOI: 10.1093/nar/gkaa1113]</w:t>
      </w:r>
    </w:p>
    <w:p w14:paraId="1230C9EF"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24 </w:t>
      </w:r>
      <w:r w:rsidRPr="00023C89">
        <w:rPr>
          <w:rFonts w:ascii="Book Antiqua" w:hAnsi="Book Antiqua"/>
          <w:b/>
          <w:bCs/>
        </w:rPr>
        <w:t>Kanehisa M</w:t>
      </w:r>
      <w:r w:rsidRPr="00023C89">
        <w:rPr>
          <w:rFonts w:ascii="Book Antiqua" w:hAnsi="Book Antiqua"/>
        </w:rPr>
        <w:t xml:space="preserve">, Sato Y, Kawashima M. KEGG mapping tools for uncovering hidden features in biological data. </w:t>
      </w:r>
      <w:r w:rsidRPr="00023C89">
        <w:rPr>
          <w:rFonts w:ascii="Book Antiqua" w:hAnsi="Book Antiqua"/>
          <w:i/>
          <w:iCs/>
        </w:rPr>
        <w:t>Protein Sci</w:t>
      </w:r>
      <w:r w:rsidRPr="00023C89">
        <w:rPr>
          <w:rFonts w:ascii="Book Antiqua" w:hAnsi="Book Antiqua"/>
        </w:rPr>
        <w:t xml:space="preserve"> 2022; </w:t>
      </w:r>
      <w:r w:rsidRPr="00023C89">
        <w:rPr>
          <w:rFonts w:ascii="Book Antiqua" w:hAnsi="Book Antiqua"/>
          <w:b/>
          <w:bCs/>
        </w:rPr>
        <w:t>31</w:t>
      </w:r>
      <w:r w:rsidRPr="00023C89">
        <w:rPr>
          <w:rFonts w:ascii="Book Antiqua" w:hAnsi="Book Antiqua"/>
        </w:rPr>
        <w:t>: 47-53 [PMID: 34423492 DOI: 10.1002/pro.4172]</w:t>
      </w:r>
    </w:p>
    <w:p w14:paraId="74BF962F"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25 </w:t>
      </w:r>
      <w:r w:rsidRPr="00023C89">
        <w:rPr>
          <w:rFonts w:ascii="Book Antiqua" w:hAnsi="Book Antiqua"/>
          <w:b/>
          <w:bCs/>
        </w:rPr>
        <w:t>Subramanian A</w:t>
      </w:r>
      <w:r w:rsidRPr="00023C89">
        <w:rPr>
          <w:rFonts w:ascii="Book Antiqua" w:hAnsi="Book Antiqua"/>
        </w:rPr>
        <w:t xml:space="preserve">, Tamayo P, Mootha VK, Mukherjee S, Ebert BL, Gillette MA, Paulovich A, Pomeroy SL, Golub TR, Lander ES, Mesirov JP. Gene set enrichment analysis: a knowledge-based approach for interpreting genome-wide expression profiles. </w:t>
      </w:r>
      <w:r w:rsidRPr="00023C89">
        <w:rPr>
          <w:rFonts w:ascii="Book Antiqua" w:hAnsi="Book Antiqua"/>
          <w:i/>
          <w:iCs/>
        </w:rPr>
        <w:t>Proc Natl Acad Sci U S A</w:t>
      </w:r>
      <w:r w:rsidRPr="00023C89">
        <w:rPr>
          <w:rFonts w:ascii="Book Antiqua" w:hAnsi="Book Antiqua"/>
        </w:rPr>
        <w:t xml:space="preserve"> 2005; </w:t>
      </w:r>
      <w:r w:rsidRPr="00023C89">
        <w:rPr>
          <w:rFonts w:ascii="Book Antiqua" w:hAnsi="Book Antiqua"/>
          <w:b/>
          <w:bCs/>
        </w:rPr>
        <w:t>102</w:t>
      </w:r>
      <w:r w:rsidRPr="00023C89">
        <w:rPr>
          <w:rFonts w:ascii="Book Antiqua" w:hAnsi="Book Antiqua"/>
        </w:rPr>
        <w:t>: 15545-15550 [PMID: 16199517 DOI: 10.1073/pnas.0506580102]</w:t>
      </w:r>
    </w:p>
    <w:p w14:paraId="74F18A66"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26 </w:t>
      </w:r>
      <w:r w:rsidRPr="00023C89">
        <w:rPr>
          <w:rFonts w:ascii="Book Antiqua" w:hAnsi="Book Antiqua"/>
          <w:b/>
          <w:bCs/>
        </w:rPr>
        <w:t>Zhou Y</w:t>
      </w:r>
      <w:r w:rsidRPr="00023C89">
        <w:rPr>
          <w:rFonts w:ascii="Book Antiqua" w:hAnsi="Book Antiqua"/>
        </w:rPr>
        <w:t xml:space="preserve">, Zhou B, Pache L, Chang M, Khodabakhshi AH, Tanaseichuk O, Benner C, Chanda SK. Metascape provides a biologist-oriented resource for the analysis of systems-level datasets. </w:t>
      </w:r>
      <w:r w:rsidRPr="00023C89">
        <w:rPr>
          <w:rFonts w:ascii="Book Antiqua" w:hAnsi="Book Antiqua"/>
          <w:i/>
          <w:iCs/>
        </w:rPr>
        <w:t>Nat Commun</w:t>
      </w:r>
      <w:r w:rsidRPr="00023C89">
        <w:rPr>
          <w:rFonts w:ascii="Book Antiqua" w:hAnsi="Book Antiqua"/>
        </w:rPr>
        <w:t xml:space="preserve"> 2019; </w:t>
      </w:r>
      <w:r w:rsidRPr="00023C89">
        <w:rPr>
          <w:rFonts w:ascii="Book Antiqua" w:hAnsi="Book Antiqua"/>
          <w:b/>
          <w:bCs/>
        </w:rPr>
        <w:t>10</w:t>
      </w:r>
      <w:r w:rsidRPr="00023C89">
        <w:rPr>
          <w:rFonts w:ascii="Book Antiqua" w:hAnsi="Book Antiqua"/>
        </w:rPr>
        <w:t>: 1523 [PMID: 30944313 DOI: 10.1038/s41467-019-09234-6]</w:t>
      </w:r>
    </w:p>
    <w:p w14:paraId="715758AC"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27 </w:t>
      </w:r>
      <w:r w:rsidRPr="00023C89">
        <w:rPr>
          <w:rFonts w:ascii="Book Antiqua" w:hAnsi="Book Antiqua"/>
          <w:b/>
          <w:bCs/>
        </w:rPr>
        <w:t>Szklarczyk D</w:t>
      </w:r>
      <w:r w:rsidRPr="00023C89">
        <w:rPr>
          <w:rFonts w:ascii="Book Antiqua" w:hAnsi="Book Antiqua"/>
        </w:rPr>
        <w:t xml:space="preserve">, Gable AL, Lyon D, Junge A, Wyder S, Huerta-Cepas J, Simonovic M, Doncheva NT, Morris JH, Bork P, Jensen LJ, Mering CV. STRING v11: protein-protein association networks with increased coverage, supporting functional discovery in genome-wide experimental datasets. </w:t>
      </w:r>
      <w:r w:rsidRPr="00023C89">
        <w:rPr>
          <w:rFonts w:ascii="Book Antiqua" w:hAnsi="Book Antiqua"/>
          <w:i/>
          <w:iCs/>
        </w:rPr>
        <w:t>Nucleic Acids Res</w:t>
      </w:r>
      <w:r w:rsidRPr="00023C89">
        <w:rPr>
          <w:rFonts w:ascii="Book Antiqua" w:hAnsi="Book Antiqua"/>
        </w:rPr>
        <w:t xml:space="preserve"> 2019; </w:t>
      </w:r>
      <w:r w:rsidRPr="00023C89">
        <w:rPr>
          <w:rFonts w:ascii="Book Antiqua" w:hAnsi="Book Antiqua"/>
          <w:b/>
          <w:bCs/>
        </w:rPr>
        <w:t>47</w:t>
      </w:r>
      <w:r w:rsidRPr="00023C89">
        <w:rPr>
          <w:rFonts w:ascii="Book Antiqua" w:hAnsi="Book Antiqua"/>
        </w:rPr>
        <w:t>: D607-D613 [PMID: 30476243 DOI: 10.1093/nar/gky1131]</w:t>
      </w:r>
    </w:p>
    <w:p w14:paraId="3EF1B4CC"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28 </w:t>
      </w:r>
      <w:r w:rsidRPr="00023C89">
        <w:rPr>
          <w:rFonts w:ascii="Book Antiqua" w:hAnsi="Book Antiqua"/>
          <w:b/>
          <w:bCs/>
        </w:rPr>
        <w:t>Shannon P</w:t>
      </w:r>
      <w:r w:rsidRPr="00023C89">
        <w:rPr>
          <w:rFonts w:ascii="Book Antiqua" w:hAnsi="Book Antiqua"/>
        </w:rPr>
        <w:t xml:space="preserve">, Markiel A, Ozier O, Baliga NS, Wang JT, Ramage D, Amin N, Schwikowski B, Ideker T. Cytoscape: a software environment for integrated models of biomolecular interaction networks. </w:t>
      </w:r>
      <w:r w:rsidRPr="00023C89">
        <w:rPr>
          <w:rFonts w:ascii="Book Antiqua" w:hAnsi="Book Antiqua"/>
          <w:i/>
          <w:iCs/>
        </w:rPr>
        <w:t>Genome Res</w:t>
      </w:r>
      <w:r w:rsidRPr="00023C89">
        <w:rPr>
          <w:rFonts w:ascii="Book Antiqua" w:hAnsi="Book Antiqua"/>
        </w:rPr>
        <w:t xml:space="preserve"> 2003; </w:t>
      </w:r>
      <w:r w:rsidRPr="00023C89">
        <w:rPr>
          <w:rFonts w:ascii="Book Antiqua" w:hAnsi="Book Antiqua"/>
          <w:b/>
          <w:bCs/>
        </w:rPr>
        <w:t>13</w:t>
      </w:r>
      <w:r w:rsidRPr="00023C89">
        <w:rPr>
          <w:rFonts w:ascii="Book Antiqua" w:hAnsi="Book Antiqua"/>
        </w:rPr>
        <w:t>: 2498-2504 [PMID: 14597658 DOI: 10.1101/gr.1239303]</w:t>
      </w:r>
    </w:p>
    <w:p w14:paraId="59B1C8C1"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lastRenderedPageBreak/>
        <w:t xml:space="preserve">29 </w:t>
      </w:r>
      <w:r w:rsidRPr="00023C89">
        <w:rPr>
          <w:rFonts w:ascii="Book Antiqua" w:hAnsi="Book Antiqua"/>
          <w:b/>
          <w:bCs/>
        </w:rPr>
        <w:t>Isserlin R</w:t>
      </w:r>
      <w:r w:rsidRPr="00023C89">
        <w:rPr>
          <w:rFonts w:ascii="Book Antiqua" w:hAnsi="Book Antiqua"/>
        </w:rPr>
        <w:t xml:space="preserve">, Merico D, Wang D, Vuckovic D, Bousette N, Gramolini AO, Bader GD, Emili A. Systems analysis reveals down-regulation of a network of pro-survival miRNAs drives the apoptotic response in dilated cardiomyopathy. </w:t>
      </w:r>
      <w:r w:rsidRPr="00023C89">
        <w:rPr>
          <w:rFonts w:ascii="Book Antiqua" w:hAnsi="Book Antiqua"/>
          <w:i/>
          <w:iCs/>
        </w:rPr>
        <w:t>Mol Biosyst</w:t>
      </w:r>
      <w:r w:rsidRPr="00023C89">
        <w:rPr>
          <w:rFonts w:ascii="Book Antiqua" w:hAnsi="Book Antiqua"/>
        </w:rPr>
        <w:t xml:space="preserve"> 2015; </w:t>
      </w:r>
      <w:r w:rsidRPr="00023C89">
        <w:rPr>
          <w:rFonts w:ascii="Book Antiqua" w:hAnsi="Book Antiqua"/>
          <w:b/>
          <w:bCs/>
        </w:rPr>
        <w:t>11</w:t>
      </w:r>
      <w:r w:rsidRPr="00023C89">
        <w:rPr>
          <w:rFonts w:ascii="Book Antiqua" w:hAnsi="Book Antiqua"/>
        </w:rPr>
        <w:t>: 239-251 [PMID: 25361207 DOI: 10.1039/c4mb00265b]</w:t>
      </w:r>
    </w:p>
    <w:p w14:paraId="146F7B5E"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30 </w:t>
      </w:r>
      <w:r w:rsidRPr="00023C89">
        <w:rPr>
          <w:rFonts w:ascii="Book Antiqua" w:hAnsi="Book Antiqua"/>
          <w:b/>
          <w:bCs/>
        </w:rPr>
        <w:t>Chen Y</w:t>
      </w:r>
      <w:r w:rsidRPr="00023C89">
        <w:rPr>
          <w:rFonts w:ascii="Book Antiqua" w:hAnsi="Book Antiqua"/>
        </w:rPr>
        <w:t xml:space="preserve">, Wang X. miRDB: an online database for prediction of functional microRNA targets. </w:t>
      </w:r>
      <w:r w:rsidRPr="00023C89">
        <w:rPr>
          <w:rFonts w:ascii="Book Antiqua" w:hAnsi="Book Antiqua"/>
          <w:i/>
          <w:iCs/>
        </w:rPr>
        <w:t>Nucleic Acids Res</w:t>
      </w:r>
      <w:r w:rsidRPr="00023C89">
        <w:rPr>
          <w:rFonts w:ascii="Book Antiqua" w:hAnsi="Book Antiqua"/>
        </w:rPr>
        <w:t xml:space="preserve"> 2020; </w:t>
      </w:r>
      <w:r w:rsidRPr="00023C89">
        <w:rPr>
          <w:rFonts w:ascii="Book Antiqua" w:hAnsi="Book Antiqua"/>
          <w:b/>
          <w:bCs/>
        </w:rPr>
        <w:t>48</w:t>
      </w:r>
      <w:r w:rsidRPr="00023C89">
        <w:rPr>
          <w:rFonts w:ascii="Book Antiqua" w:hAnsi="Book Antiqua"/>
        </w:rPr>
        <w:t>: D127-D131 [PMID: 31504780 DOI: 10.1093/nar/gkz757]</w:t>
      </w:r>
    </w:p>
    <w:p w14:paraId="13DC842B"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31 </w:t>
      </w:r>
      <w:r w:rsidRPr="00023C89">
        <w:rPr>
          <w:rFonts w:ascii="Book Antiqua" w:hAnsi="Book Antiqua"/>
          <w:b/>
          <w:bCs/>
        </w:rPr>
        <w:t>Chen B</w:t>
      </w:r>
      <w:r w:rsidRPr="00023C89">
        <w:rPr>
          <w:rFonts w:ascii="Book Antiqua" w:hAnsi="Book Antiqua"/>
        </w:rPr>
        <w:t xml:space="preserve">, Khodadoust MS, Liu CL, Newman AM, Alizadeh AA. Profiling Tumor Infiltrating Immune Cells with CIBERSORT. </w:t>
      </w:r>
      <w:r w:rsidRPr="00023C89">
        <w:rPr>
          <w:rFonts w:ascii="Book Antiqua" w:hAnsi="Book Antiqua"/>
          <w:i/>
          <w:iCs/>
        </w:rPr>
        <w:t>Methods Mol Biol</w:t>
      </w:r>
      <w:r w:rsidRPr="00023C89">
        <w:rPr>
          <w:rFonts w:ascii="Book Antiqua" w:hAnsi="Book Antiqua"/>
        </w:rPr>
        <w:t xml:space="preserve"> 2018; </w:t>
      </w:r>
      <w:r w:rsidRPr="00023C89">
        <w:rPr>
          <w:rFonts w:ascii="Book Antiqua" w:hAnsi="Book Antiqua"/>
          <w:b/>
          <w:bCs/>
        </w:rPr>
        <w:t>1711</w:t>
      </w:r>
      <w:r w:rsidRPr="00023C89">
        <w:rPr>
          <w:rFonts w:ascii="Book Antiqua" w:hAnsi="Book Antiqua"/>
        </w:rPr>
        <w:t>: 243-259 [PMID: 29344893 DOI: 10.1007/978-1-4939-7493-1_12]</w:t>
      </w:r>
    </w:p>
    <w:p w14:paraId="0DC70FE2"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32 </w:t>
      </w:r>
      <w:r w:rsidRPr="00023C89">
        <w:rPr>
          <w:rFonts w:ascii="Book Antiqua" w:hAnsi="Book Antiqua"/>
          <w:b/>
          <w:bCs/>
        </w:rPr>
        <w:t>Newman AM</w:t>
      </w:r>
      <w:r w:rsidRPr="00023C89">
        <w:rPr>
          <w:rFonts w:ascii="Book Antiqua" w:hAnsi="Book Antiqua"/>
        </w:rPr>
        <w:t xml:space="preserve">, Liu CL, Green MR, Gentles AJ, Feng W, Xu Y, Hoang CD, Diehn M, Alizadeh AA. Robust enumeration of cell subsets from tissue expression profiles. </w:t>
      </w:r>
      <w:r w:rsidRPr="00023C89">
        <w:rPr>
          <w:rFonts w:ascii="Book Antiqua" w:hAnsi="Book Antiqua"/>
          <w:i/>
          <w:iCs/>
        </w:rPr>
        <w:t>Nat Methods</w:t>
      </w:r>
      <w:r w:rsidRPr="00023C89">
        <w:rPr>
          <w:rFonts w:ascii="Book Antiqua" w:hAnsi="Book Antiqua"/>
        </w:rPr>
        <w:t xml:space="preserve"> 2015; </w:t>
      </w:r>
      <w:r w:rsidRPr="00023C89">
        <w:rPr>
          <w:rFonts w:ascii="Book Antiqua" w:hAnsi="Book Antiqua"/>
          <w:b/>
          <w:bCs/>
        </w:rPr>
        <w:t>12</w:t>
      </w:r>
      <w:r w:rsidRPr="00023C89">
        <w:rPr>
          <w:rFonts w:ascii="Book Antiqua" w:hAnsi="Book Antiqua"/>
        </w:rPr>
        <w:t>: 453-457 [PMID: 25822800 DOI: 10.1038/nmeth.3337]</w:t>
      </w:r>
    </w:p>
    <w:p w14:paraId="28B915AA"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33 </w:t>
      </w:r>
      <w:r w:rsidRPr="00023C89">
        <w:rPr>
          <w:rFonts w:ascii="Book Antiqua" w:hAnsi="Book Antiqua"/>
          <w:b/>
          <w:bCs/>
        </w:rPr>
        <w:t>Wickham H</w:t>
      </w:r>
      <w:r w:rsidRPr="00023C89">
        <w:rPr>
          <w:rFonts w:ascii="Book Antiqua" w:hAnsi="Book Antiqua"/>
          <w:bCs/>
        </w:rPr>
        <w:t>. ggplot2. New York: Springer,</w:t>
      </w:r>
      <w:r w:rsidRPr="00023C89">
        <w:rPr>
          <w:rFonts w:ascii="Book Antiqua" w:hAnsi="Book Antiqua"/>
        </w:rPr>
        <w:t xml:space="preserve"> Cham; 2016</w:t>
      </w:r>
    </w:p>
    <w:p w14:paraId="5F80D5F3"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34 </w:t>
      </w:r>
      <w:r w:rsidRPr="00023C89">
        <w:rPr>
          <w:rFonts w:ascii="Book Antiqua" w:hAnsi="Book Antiqua"/>
          <w:b/>
          <w:bCs/>
        </w:rPr>
        <w:t>Merlo M</w:t>
      </w:r>
      <w:r w:rsidRPr="00023C89">
        <w:rPr>
          <w:rFonts w:ascii="Book Antiqua" w:hAnsi="Book Antiqua"/>
        </w:rPr>
        <w:t xml:space="preserve">, Cannatà A, Gobbo M, Stolfo D, Elliott PM, Sinagra G. Evolving concepts in dilated cardiomyopathy. </w:t>
      </w:r>
      <w:r w:rsidRPr="00023C89">
        <w:rPr>
          <w:rFonts w:ascii="Book Antiqua" w:hAnsi="Book Antiqua"/>
          <w:i/>
          <w:iCs/>
        </w:rPr>
        <w:t>Eur J Heart Fail</w:t>
      </w:r>
      <w:r w:rsidRPr="00023C89">
        <w:rPr>
          <w:rFonts w:ascii="Book Antiqua" w:hAnsi="Book Antiqua"/>
        </w:rPr>
        <w:t xml:space="preserve"> 2018; </w:t>
      </w:r>
      <w:r w:rsidRPr="00023C89">
        <w:rPr>
          <w:rFonts w:ascii="Book Antiqua" w:hAnsi="Book Antiqua"/>
          <w:b/>
          <w:bCs/>
        </w:rPr>
        <w:t>20</w:t>
      </w:r>
      <w:r w:rsidRPr="00023C89">
        <w:rPr>
          <w:rFonts w:ascii="Book Antiqua" w:hAnsi="Book Antiqua"/>
        </w:rPr>
        <w:t>: 228-239 [PMID: 29271570 DOI: 10.1002/ejhf.1103]</w:t>
      </w:r>
    </w:p>
    <w:p w14:paraId="6C9CB825"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35 </w:t>
      </w:r>
      <w:r w:rsidRPr="00023C89">
        <w:rPr>
          <w:rFonts w:ascii="Book Antiqua" w:hAnsi="Book Antiqua"/>
          <w:b/>
          <w:bCs/>
        </w:rPr>
        <w:t>Richardson P</w:t>
      </w:r>
      <w:r w:rsidRPr="00023C89">
        <w:rPr>
          <w:rFonts w:ascii="Book Antiqua" w:hAnsi="Book Antiqua"/>
        </w:rPr>
        <w:t xml:space="preserve">, McKenna W, Bristow M, Maisch B, Mautner B, O'Connell J, Olsen E, Thiene G, Goodwin J, Gyarfas I, Martin I, Nordet P. Report of the 1995 World Health Organization/International Society and Federation of Cardiology Task Force on the Definition and Classification of cardiomyopathies. </w:t>
      </w:r>
      <w:r w:rsidRPr="00023C89">
        <w:rPr>
          <w:rFonts w:ascii="Book Antiqua" w:hAnsi="Book Antiqua"/>
          <w:i/>
          <w:iCs/>
        </w:rPr>
        <w:t>Circulation</w:t>
      </w:r>
      <w:r w:rsidRPr="00023C89">
        <w:rPr>
          <w:rFonts w:ascii="Book Antiqua" w:hAnsi="Book Antiqua"/>
        </w:rPr>
        <w:t xml:space="preserve"> 1996; </w:t>
      </w:r>
      <w:r w:rsidRPr="00023C89">
        <w:rPr>
          <w:rFonts w:ascii="Book Antiqua" w:hAnsi="Book Antiqua"/>
          <w:b/>
          <w:bCs/>
        </w:rPr>
        <w:t>93</w:t>
      </w:r>
      <w:r w:rsidRPr="00023C89">
        <w:rPr>
          <w:rFonts w:ascii="Book Antiqua" w:hAnsi="Book Antiqua"/>
        </w:rPr>
        <w:t>: 841-842 [PMID: 8598070 DOI: 10.1161/01.cir.93.5.841]</w:t>
      </w:r>
    </w:p>
    <w:p w14:paraId="535160B8"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36 </w:t>
      </w:r>
      <w:r w:rsidRPr="00023C89">
        <w:rPr>
          <w:rFonts w:ascii="Book Antiqua" w:hAnsi="Book Antiqua"/>
          <w:b/>
          <w:bCs/>
        </w:rPr>
        <w:t>Maisch B</w:t>
      </w:r>
      <w:r w:rsidRPr="00023C89">
        <w:rPr>
          <w:rFonts w:ascii="Book Antiqua" w:hAnsi="Book Antiqua"/>
        </w:rPr>
        <w:t xml:space="preserve">, Pankuweit S. Inflammatory dilated cardiomyopathy : Etiology and clinical management. </w:t>
      </w:r>
      <w:r w:rsidRPr="00023C89">
        <w:rPr>
          <w:rFonts w:ascii="Book Antiqua" w:hAnsi="Book Antiqua"/>
          <w:i/>
          <w:iCs/>
        </w:rPr>
        <w:t>Herz</w:t>
      </w:r>
      <w:r w:rsidRPr="00023C89">
        <w:rPr>
          <w:rFonts w:ascii="Book Antiqua" w:hAnsi="Book Antiqua"/>
        </w:rPr>
        <w:t xml:space="preserve"> 2020; </w:t>
      </w:r>
      <w:r w:rsidRPr="00023C89">
        <w:rPr>
          <w:rFonts w:ascii="Book Antiqua" w:hAnsi="Book Antiqua"/>
          <w:b/>
          <w:bCs/>
        </w:rPr>
        <w:t>45</w:t>
      </w:r>
      <w:r w:rsidRPr="00023C89">
        <w:rPr>
          <w:rFonts w:ascii="Book Antiqua" w:hAnsi="Book Antiqua"/>
        </w:rPr>
        <w:t>: 221-229 [PMID: 32123933 DOI: 10.1007/s00059-020-04900-8]</w:t>
      </w:r>
    </w:p>
    <w:p w14:paraId="73F867A7"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37 </w:t>
      </w:r>
      <w:r w:rsidRPr="00023C89">
        <w:rPr>
          <w:rFonts w:ascii="Book Antiqua" w:hAnsi="Book Antiqua"/>
          <w:b/>
          <w:bCs/>
        </w:rPr>
        <w:t>Barcena ML</w:t>
      </w:r>
      <w:r w:rsidRPr="00023C89">
        <w:rPr>
          <w:rFonts w:ascii="Book Antiqua" w:hAnsi="Book Antiqua"/>
        </w:rPr>
        <w:t xml:space="preserve">, Pozdniakova S, Haritonow N, Breiter P, Kühl AA, Milting H, Baczko I, Ladilov Y, Regitz-Zagrosek V. Dilated cardiomyopathy impairs mitochondrial biogenesis and promotes inflammation in an age- and sex-dependent manner. </w:t>
      </w:r>
      <w:r w:rsidRPr="00023C89">
        <w:rPr>
          <w:rFonts w:ascii="Book Antiqua" w:hAnsi="Book Antiqua"/>
          <w:i/>
          <w:iCs/>
        </w:rPr>
        <w:t>Aging (Albany NY)</w:t>
      </w:r>
      <w:r w:rsidRPr="00023C89">
        <w:rPr>
          <w:rFonts w:ascii="Book Antiqua" w:hAnsi="Book Antiqua"/>
        </w:rPr>
        <w:t xml:space="preserve"> 2020; </w:t>
      </w:r>
      <w:r w:rsidRPr="00023C89">
        <w:rPr>
          <w:rFonts w:ascii="Book Antiqua" w:hAnsi="Book Antiqua"/>
          <w:b/>
          <w:bCs/>
        </w:rPr>
        <w:t>12</w:t>
      </w:r>
      <w:r w:rsidRPr="00023C89">
        <w:rPr>
          <w:rFonts w:ascii="Book Antiqua" w:hAnsi="Book Antiqua"/>
        </w:rPr>
        <w:t>: 24117-24133 [PMID: 33303703 DOI: 10.18632/aging.202283]</w:t>
      </w:r>
    </w:p>
    <w:p w14:paraId="1BAD78B1"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38 </w:t>
      </w:r>
      <w:r w:rsidRPr="00023C89">
        <w:rPr>
          <w:rFonts w:ascii="Book Antiqua" w:hAnsi="Book Antiqua"/>
          <w:b/>
          <w:bCs/>
        </w:rPr>
        <w:t>Brayson D</w:t>
      </w:r>
      <w:r w:rsidRPr="00023C89">
        <w:rPr>
          <w:rFonts w:ascii="Book Antiqua" w:hAnsi="Book Antiqua"/>
        </w:rPr>
        <w:t xml:space="preserve">, Frustaci A, Verardo R, Chimenti C, Russo MA, Hayward R, Ahmad S, Vizcay-Barrena G, Protti A, Zammit PS, dos Remedios CG, Ehler E, Shah AM, Shanahan </w:t>
      </w:r>
      <w:r w:rsidRPr="00023C89">
        <w:rPr>
          <w:rFonts w:ascii="Book Antiqua" w:hAnsi="Book Antiqua"/>
        </w:rPr>
        <w:lastRenderedPageBreak/>
        <w:t xml:space="preserve">CM. Prelamin A mediates myocardial inflammation in dilated and HIV-associated cardiomyopathies. </w:t>
      </w:r>
      <w:r w:rsidRPr="00023C89">
        <w:rPr>
          <w:rFonts w:ascii="Book Antiqua" w:hAnsi="Book Antiqua"/>
          <w:i/>
          <w:iCs/>
        </w:rPr>
        <w:t>JCI Insight</w:t>
      </w:r>
      <w:r w:rsidRPr="00023C89">
        <w:rPr>
          <w:rFonts w:ascii="Book Antiqua" w:hAnsi="Book Antiqua"/>
        </w:rPr>
        <w:t xml:space="preserve"> 2019; </w:t>
      </w:r>
      <w:r w:rsidRPr="00023C89">
        <w:rPr>
          <w:rFonts w:ascii="Book Antiqua" w:hAnsi="Book Antiqua"/>
          <w:b/>
          <w:bCs/>
        </w:rPr>
        <w:t>4</w:t>
      </w:r>
      <w:r w:rsidR="00FA7E1B" w:rsidRPr="00023C89">
        <w:rPr>
          <w:rFonts w:ascii="Book Antiqua" w:hAnsi="Book Antiqua"/>
          <w:bCs/>
        </w:rPr>
        <w:t>:</w:t>
      </w:r>
      <w:r w:rsidR="00FA7E1B" w:rsidRPr="00023C89">
        <w:rPr>
          <w:rFonts w:ascii="Book Antiqua" w:hAnsi="Book Antiqua"/>
          <w:b/>
          <w:bCs/>
        </w:rPr>
        <w:t xml:space="preserve"> </w:t>
      </w:r>
      <w:r w:rsidR="00FA7E1B" w:rsidRPr="00023C89">
        <w:rPr>
          <w:rFonts w:ascii="Book Antiqua" w:hAnsi="Book Antiqua"/>
          <w:bCs/>
        </w:rPr>
        <w:t>e126315</w:t>
      </w:r>
      <w:r w:rsidR="00FA7E1B" w:rsidRPr="00023C89">
        <w:rPr>
          <w:rFonts w:ascii="Book Antiqua" w:hAnsi="Book Antiqua"/>
          <w:b/>
          <w:bCs/>
        </w:rPr>
        <w:t xml:space="preserve"> </w:t>
      </w:r>
      <w:r w:rsidRPr="00023C89">
        <w:rPr>
          <w:rFonts w:ascii="Book Antiqua" w:hAnsi="Book Antiqua"/>
        </w:rPr>
        <w:t>[PMID: 31622279 DOI: 10.1172/jci.insight.126315]</w:t>
      </w:r>
    </w:p>
    <w:p w14:paraId="68FBDE10"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39 </w:t>
      </w:r>
      <w:r w:rsidRPr="00023C89">
        <w:rPr>
          <w:rFonts w:ascii="Book Antiqua" w:hAnsi="Book Antiqua"/>
          <w:b/>
          <w:bCs/>
        </w:rPr>
        <w:t>Lynch TL 4th</w:t>
      </w:r>
      <w:r w:rsidRPr="00023C89">
        <w:rPr>
          <w:rFonts w:ascii="Book Antiqua" w:hAnsi="Book Antiqua"/>
        </w:rPr>
        <w:t xml:space="preserve">, Ismahil MA, Jegga AG, Zilliox MJ, Troidl C, Prabhu SD, Sadayappan S. Cardiac inflammation in genetic dilated cardiomyopathy caused by MYBPC3 mutation. </w:t>
      </w:r>
      <w:r w:rsidRPr="00023C89">
        <w:rPr>
          <w:rFonts w:ascii="Book Antiqua" w:hAnsi="Book Antiqua"/>
          <w:i/>
          <w:iCs/>
        </w:rPr>
        <w:t>J Mol Cell Cardiol</w:t>
      </w:r>
      <w:r w:rsidRPr="00023C89">
        <w:rPr>
          <w:rFonts w:ascii="Book Antiqua" w:hAnsi="Book Antiqua"/>
        </w:rPr>
        <w:t xml:space="preserve"> 2017; </w:t>
      </w:r>
      <w:r w:rsidRPr="00023C89">
        <w:rPr>
          <w:rFonts w:ascii="Book Antiqua" w:hAnsi="Book Antiqua"/>
          <w:b/>
          <w:bCs/>
        </w:rPr>
        <w:t>102</w:t>
      </w:r>
      <w:r w:rsidRPr="00023C89">
        <w:rPr>
          <w:rFonts w:ascii="Book Antiqua" w:hAnsi="Book Antiqua"/>
        </w:rPr>
        <w:t>: 83-93 [PMID: 27955979 DOI: 10.1016/j.yjmcc.2016.12.002]</w:t>
      </w:r>
    </w:p>
    <w:p w14:paraId="2182FBC2"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40 </w:t>
      </w:r>
      <w:r w:rsidRPr="00023C89">
        <w:rPr>
          <w:rFonts w:ascii="Book Antiqua" w:hAnsi="Book Antiqua"/>
          <w:b/>
          <w:bCs/>
        </w:rPr>
        <w:t>Xia Y</w:t>
      </w:r>
      <w:r w:rsidRPr="00023C89">
        <w:rPr>
          <w:rFonts w:ascii="Book Antiqua" w:hAnsi="Book Antiqua"/>
        </w:rPr>
        <w:t xml:space="preserve">, Chen Z, Chen A, Fu M, Dong Z, Hu K, Yang X, Zou Y, Sun A, Qian J, Ge J. LCZ696 improves cardiac function via alleviating Drp1-mediated mitochondrial dysfunction in mice with doxorubicin-induced dilated cardiomyopathy. </w:t>
      </w:r>
      <w:r w:rsidRPr="00023C89">
        <w:rPr>
          <w:rFonts w:ascii="Book Antiqua" w:hAnsi="Book Antiqua"/>
          <w:i/>
          <w:iCs/>
        </w:rPr>
        <w:t>J Mol Cell Cardiol</w:t>
      </w:r>
      <w:r w:rsidRPr="00023C89">
        <w:rPr>
          <w:rFonts w:ascii="Book Antiqua" w:hAnsi="Book Antiqua"/>
        </w:rPr>
        <w:t xml:space="preserve"> 2017; </w:t>
      </w:r>
      <w:r w:rsidRPr="00023C89">
        <w:rPr>
          <w:rFonts w:ascii="Book Antiqua" w:hAnsi="Book Antiqua"/>
          <w:b/>
          <w:bCs/>
        </w:rPr>
        <w:t>108</w:t>
      </w:r>
      <w:r w:rsidRPr="00023C89">
        <w:rPr>
          <w:rFonts w:ascii="Book Antiqua" w:hAnsi="Book Antiqua"/>
        </w:rPr>
        <w:t>: 138-148 [PMID: 28623750 DOI: 10.1016/j.yjmcc.2017.06.003]</w:t>
      </w:r>
    </w:p>
    <w:p w14:paraId="39010330"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41 </w:t>
      </w:r>
      <w:r w:rsidRPr="00023C89">
        <w:rPr>
          <w:rFonts w:ascii="Book Antiqua" w:hAnsi="Book Antiqua"/>
          <w:b/>
          <w:bCs/>
        </w:rPr>
        <w:t>Liu GS</w:t>
      </w:r>
      <w:r w:rsidRPr="00023C89">
        <w:rPr>
          <w:rFonts w:ascii="Book Antiqua" w:hAnsi="Book Antiqua"/>
        </w:rPr>
        <w:t xml:space="preserve">, Morales A, Vafiadaki E, Lam CK, Cai WF, Haghighi K, Adly G, Hershberger RE, Kranias EG. A novel human R25C-phospholamban mutation is associated with super-inhibition of calcium cycling and ventricular arrhythmia. </w:t>
      </w:r>
      <w:r w:rsidRPr="00023C89">
        <w:rPr>
          <w:rFonts w:ascii="Book Antiqua" w:hAnsi="Book Antiqua"/>
          <w:i/>
          <w:iCs/>
        </w:rPr>
        <w:t>Cardiovasc Res</w:t>
      </w:r>
      <w:r w:rsidRPr="00023C89">
        <w:rPr>
          <w:rFonts w:ascii="Book Antiqua" w:hAnsi="Book Antiqua"/>
        </w:rPr>
        <w:t xml:space="preserve"> 2015; </w:t>
      </w:r>
      <w:r w:rsidRPr="00023C89">
        <w:rPr>
          <w:rFonts w:ascii="Book Antiqua" w:hAnsi="Book Antiqua"/>
          <w:b/>
          <w:bCs/>
        </w:rPr>
        <w:t>107</w:t>
      </w:r>
      <w:r w:rsidRPr="00023C89">
        <w:rPr>
          <w:rFonts w:ascii="Book Antiqua" w:hAnsi="Book Antiqua"/>
        </w:rPr>
        <w:t>: 164-174 [PMID: 25852082 DOI: 10.1093/cvr/cvv127]</w:t>
      </w:r>
    </w:p>
    <w:p w14:paraId="76E42DBD"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42 </w:t>
      </w:r>
      <w:r w:rsidRPr="00023C89">
        <w:rPr>
          <w:rFonts w:ascii="Book Antiqua" w:hAnsi="Book Antiqua"/>
          <w:b/>
          <w:bCs/>
        </w:rPr>
        <w:t>Knezevic T</w:t>
      </w:r>
      <w:r w:rsidRPr="00023C89">
        <w:rPr>
          <w:rFonts w:ascii="Book Antiqua" w:hAnsi="Book Antiqua"/>
        </w:rPr>
        <w:t xml:space="preserve">, Myers VD, Gordon J, Tilley DG, Sharp TE 3rd, Wang J, Khalili K, Cheung JY, Feldman AM. BAG3: a new player in the heart failure paradigm. </w:t>
      </w:r>
      <w:r w:rsidRPr="00023C89">
        <w:rPr>
          <w:rFonts w:ascii="Book Antiqua" w:hAnsi="Book Antiqua"/>
          <w:i/>
          <w:iCs/>
        </w:rPr>
        <w:t>Heart Fail Rev</w:t>
      </w:r>
      <w:r w:rsidRPr="00023C89">
        <w:rPr>
          <w:rFonts w:ascii="Book Antiqua" w:hAnsi="Book Antiqua"/>
        </w:rPr>
        <w:t xml:space="preserve"> 2015; </w:t>
      </w:r>
      <w:r w:rsidRPr="00023C89">
        <w:rPr>
          <w:rFonts w:ascii="Book Antiqua" w:hAnsi="Book Antiqua"/>
          <w:b/>
          <w:bCs/>
        </w:rPr>
        <w:t>20</w:t>
      </w:r>
      <w:r w:rsidRPr="00023C89">
        <w:rPr>
          <w:rFonts w:ascii="Book Antiqua" w:hAnsi="Book Antiqua"/>
        </w:rPr>
        <w:t>: 423-434 [PMID: 25925243 DOI: 10.1007/s10741-015-9487-6]</w:t>
      </w:r>
    </w:p>
    <w:p w14:paraId="2ABB9BAE"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43 </w:t>
      </w:r>
      <w:r w:rsidRPr="00023C89">
        <w:rPr>
          <w:rFonts w:ascii="Book Antiqua" w:hAnsi="Book Antiqua"/>
          <w:b/>
          <w:bCs/>
        </w:rPr>
        <w:t>Sutanto H</w:t>
      </w:r>
      <w:r w:rsidRPr="00023C89">
        <w:rPr>
          <w:rFonts w:ascii="Book Antiqua" w:hAnsi="Book Antiqua"/>
        </w:rPr>
        <w:t xml:space="preserve">, Lyon A, Lumens J, Schotten U, Dobrev D, Heijman J. Cardiomyocyte calcium handling in health and disease: Insights from in vitro and in silico studies. </w:t>
      </w:r>
      <w:r w:rsidRPr="00023C89">
        <w:rPr>
          <w:rFonts w:ascii="Book Antiqua" w:hAnsi="Book Antiqua"/>
          <w:i/>
          <w:iCs/>
        </w:rPr>
        <w:t>Prog Biophys Mol Biol</w:t>
      </w:r>
      <w:r w:rsidRPr="00023C89">
        <w:rPr>
          <w:rFonts w:ascii="Book Antiqua" w:hAnsi="Book Antiqua"/>
        </w:rPr>
        <w:t xml:space="preserve"> 2020; </w:t>
      </w:r>
      <w:r w:rsidRPr="00023C89">
        <w:rPr>
          <w:rFonts w:ascii="Book Antiqua" w:hAnsi="Book Antiqua"/>
          <w:b/>
          <w:bCs/>
        </w:rPr>
        <w:t>157</w:t>
      </w:r>
      <w:r w:rsidRPr="00023C89">
        <w:rPr>
          <w:rFonts w:ascii="Book Antiqua" w:hAnsi="Book Antiqua"/>
        </w:rPr>
        <w:t>: 54-75 [PMID: 32188566 DOI: 10.1016/j.pbiomolbio.2020.02.008]</w:t>
      </w:r>
    </w:p>
    <w:p w14:paraId="7A502AF7"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44 </w:t>
      </w:r>
      <w:r w:rsidRPr="00023C89">
        <w:rPr>
          <w:rFonts w:ascii="Book Antiqua" w:hAnsi="Book Antiqua"/>
          <w:b/>
          <w:bCs/>
        </w:rPr>
        <w:t>Sheng JJ</w:t>
      </w:r>
      <w:r w:rsidRPr="00023C89">
        <w:rPr>
          <w:rFonts w:ascii="Book Antiqua" w:hAnsi="Book Antiqua"/>
        </w:rPr>
        <w:t xml:space="preserve">, Feng HZ, Pinto JR, Wei H, Jin JP. Increases of desmin and α-actinin in mouse cardiac myofibrils as a response to diastolic dysfunction. </w:t>
      </w:r>
      <w:r w:rsidRPr="00023C89">
        <w:rPr>
          <w:rFonts w:ascii="Book Antiqua" w:hAnsi="Book Antiqua"/>
          <w:i/>
          <w:iCs/>
        </w:rPr>
        <w:t>J Mol Cell Cardiol</w:t>
      </w:r>
      <w:r w:rsidRPr="00023C89">
        <w:rPr>
          <w:rFonts w:ascii="Book Antiqua" w:hAnsi="Book Antiqua"/>
        </w:rPr>
        <w:t xml:space="preserve"> 2016; </w:t>
      </w:r>
      <w:r w:rsidRPr="00023C89">
        <w:rPr>
          <w:rFonts w:ascii="Book Antiqua" w:hAnsi="Book Antiqua"/>
          <w:b/>
          <w:bCs/>
        </w:rPr>
        <w:t>99</w:t>
      </w:r>
      <w:r w:rsidRPr="00023C89">
        <w:rPr>
          <w:rFonts w:ascii="Book Antiqua" w:hAnsi="Book Antiqua"/>
        </w:rPr>
        <w:t>: 218-229 [PMID: 26529187 DOI: 10.1016/j.yjmcc.2015.10.035]</w:t>
      </w:r>
    </w:p>
    <w:p w14:paraId="708D2DE1"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45 </w:t>
      </w:r>
      <w:r w:rsidRPr="00023C89">
        <w:rPr>
          <w:rFonts w:ascii="Book Antiqua" w:hAnsi="Book Antiqua"/>
          <w:b/>
          <w:bCs/>
        </w:rPr>
        <w:t>Sun N</w:t>
      </w:r>
      <w:r w:rsidRPr="00023C89">
        <w:rPr>
          <w:rFonts w:ascii="Book Antiqua" w:hAnsi="Book Antiqua"/>
        </w:rPr>
        <w:t xml:space="preserve">, Yazawa M, Liu J, Han L, Sanchez-Freire V, Abilez OJ, Navarrete EG, Hu S, Wang L, Lee A, Pavlovic A, Lin S, Chen R, Hajjar RJ, Snyder MP, Dolmetsch RE, Butte MJ, Ashley EA, Longaker MT, Robbins RC, Wu JC. Patient-specific induced pluripotent stem cells as a model for familial dilated cardiomyopathy. </w:t>
      </w:r>
      <w:r w:rsidRPr="00023C89">
        <w:rPr>
          <w:rFonts w:ascii="Book Antiqua" w:hAnsi="Book Antiqua"/>
          <w:i/>
          <w:iCs/>
        </w:rPr>
        <w:t>Sci Transl Med</w:t>
      </w:r>
      <w:r w:rsidRPr="00023C89">
        <w:rPr>
          <w:rFonts w:ascii="Book Antiqua" w:hAnsi="Book Antiqua"/>
        </w:rPr>
        <w:t xml:space="preserve"> 2012; </w:t>
      </w:r>
      <w:r w:rsidRPr="00023C89">
        <w:rPr>
          <w:rFonts w:ascii="Book Antiqua" w:hAnsi="Book Antiqua"/>
          <w:b/>
          <w:bCs/>
        </w:rPr>
        <w:t>4</w:t>
      </w:r>
      <w:r w:rsidRPr="00023C89">
        <w:rPr>
          <w:rFonts w:ascii="Book Antiqua" w:hAnsi="Book Antiqua"/>
        </w:rPr>
        <w:t>: 130ra47 [PMID: 22517884 DOI: 10.1126/scitranslmed.3003552]</w:t>
      </w:r>
    </w:p>
    <w:p w14:paraId="7325FD28"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lastRenderedPageBreak/>
        <w:t xml:space="preserve">46 </w:t>
      </w:r>
      <w:r w:rsidRPr="00023C89">
        <w:rPr>
          <w:rFonts w:ascii="Book Antiqua" w:hAnsi="Book Antiqua"/>
          <w:b/>
          <w:bCs/>
        </w:rPr>
        <w:t>Li W</w:t>
      </w:r>
      <w:r w:rsidRPr="00023C89">
        <w:rPr>
          <w:rFonts w:ascii="Book Antiqua" w:hAnsi="Book Antiqua"/>
        </w:rPr>
        <w:t xml:space="preserve">, Lu M, Banerjee S, Zhong J, Ye A, Molter J, Yu X. Ex vivo diffusion tensor MRI reflects microscopic structural remodeling associated with aging and disease progression in normal and cardiomyopathic Syrian hamsters. </w:t>
      </w:r>
      <w:r w:rsidRPr="00023C89">
        <w:rPr>
          <w:rFonts w:ascii="Book Antiqua" w:hAnsi="Book Antiqua"/>
          <w:i/>
          <w:iCs/>
        </w:rPr>
        <w:t>NMR Biomed</w:t>
      </w:r>
      <w:r w:rsidRPr="00023C89">
        <w:rPr>
          <w:rFonts w:ascii="Book Antiqua" w:hAnsi="Book Antiqua"/>
        </w:rPr>
        <w:t xml:space="preserve"> 2009; </w:t>
      </w:r>
      <w:r w:rsidRPr="00023C89">
        <w:rPr>
          <w:rFonts w:ascii="Book Antiqua" w:hAnsi="Book Antiqua"/>
          <w:b/>
          <w:bCs/>
        </w:rPr>
        <w:t>22</w:t>
      </w:r>
      <w:r w:rsidRPr="00023C89">
        <w:rPr>
          <w:rFonts w:ascii="Book Antiqua" w:hAnsi="Book Antiqua"/>
        </w:rPr>
        <w:t>: 819-825 [PMID: 19434665 DOI: 10.1002/nbm.1394]</w:t>
      </w:r>
    </w:p>
    <w:p w14:paraId="136DE171"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47 </w:t>
      </w:r>
      <w:r w:rsidRPr="00023C89">
        <w:rPr>
          <w:rFonts w:ascii="Book Antiqua" w:hAnsi="Book Antiqua"/>
          <w:b/>
          <w:bCs/>
        </w:rPr>
        <w:t>Cetinkaya A</w:t>
      </w:r>
      <w:r w:rsidRPr="00023C89">
        <w:rPr>
          <w:rFonts w:ascii="Book Antiqua" w:hAnsi="Book Antiqua"/>
        </w:rPr>
        <w:t xml:space="preserve">, Berge B, Sen-Hild B, Troidl K, Gajawada P, Kubin N, Valeske K, Schranz D, Akintürk H, Schönburg M, Kubin T, Choi YH, Richter M. Radixin Relocalization and Nonmuscle </w:t>
      </w:r>
      <w:r w:rsidRPr="00023C89">
        <w:rPr>
          <w:rFonts w:ascii="Book Antiqua" w:hAnsi="Book Antiqua"/>
          <w:i/>
          <w:iCs/>
        </w:rPr>
        <w:t>α</w:t>
      </w:r>
      <w:r w:rsidRPr="00023C89">
        <w:rPr>
          <w:rFonts w:ascii="Book Antiqua" w:hAnsi="Book Antiqua"/>
        </w:rPr>
        <w:t xml:space="preserve">-Actinin Expression Are Features of Remodeling Cardiomyocytes in Adult Patients with Dilated Cardiomyopathy. </w:t>
      </w:r>
      <w:r w:rsidRPr="00023C89">
        <w:rPr>
          <w:rFonts w:ascii="Book Antiqua" w:hAnsi="Book Antiqua"/>
          <w:i/>
          <w:iCs/>
        </w:rPr>
        <w:t>Dis Markers</w:t>
      </w:r>
      <w:r w:rsidRPr="00023C89">
        <w:rPr>
          <w:rFonts w:ascii="Book Antiqua" w:hAnsi="Book Antiqua"/>
        </w:rPr>
        <w:t xml:space="preserve"> 2020; </w:t>
      </w:r>
      <w:r w:rsidRPr="00023C89">
        <w:rPr>
          <w:rFonts w:ascii="Book Antiqua" w:hAnsi="Book Antiqua"/>
          <w:b/>
          <w:bCs/>
        </w:rPr>
        <w:t>2020</w:t>
      </w:r>
      <w:r w:rsidRPr="00023C89">
        <w:rPr>
          <w:rFonts w:ascii="Book Antiqua" w:hAnsi="Book Antiqua"/>
        </w:rPr>
        <w:t>: 9356738 [PMID: 32774516 DOI: 10.1155/2020/9356738]</w:t>
      </w:r>
    </w:p>
    <w:p w14:paraId="796E73E7"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48 </w:t>
      </w:r>
      <w:r w:rsidRPr="00023C89">
        <w:rPr>
          <w:rFonts w:ascii="Book Antiqua" w:hAnsi="Book Antiqua"/>
          <w:b/>
          <w:bCs/>
        </w:rPr>
        <w:t>Park KC</w:t>
      </w:r>
      <w:r w:rsidRPr="00023C89">
        <w:rPr>
          <w:rFonts w:ascii="Book Antiqua" w:hAnsi="Book Antiqua"/>
        </w:rPr>
        <w:t xml:space="preserve">, Gaze DC, Collinson PO, Marber MS. Cardiac troponins: from myocardial infarction to chronic disease. </w:t>
      </w:r>
      <w:r w:rsidRPr="00023C89">
        <w:rPr>
          <w:rFonts w:ascii="Book Antiqua" w:hAnsi="Book Antiqua"/>
          <w:i/>
          <w:iCs/>
        </w:rPr>
        <w:t>Cardiovasc Res</w:t>
      </w:r>
      <w:r w:rsidRPr="00023C89">
        <w:rPr>
          <w:rFonts w:ascii="Book Antiqua" w:hAnsi="Book Antiqua"/>
        </w:rPr>
        <w:t xml:space="preserve"> 2017; </w:t>
      </w:r>
      <w:r w:rsidRPr="00023C89">
        <w:rPr>
          <w:rFonts w:ascii="Book Antiqua" w:hAnsi="Book Antiqua"/>
          <w:b/>
          <w:bCs/>
        </w:rPr>
        <w:t>113</w:t>
      </w:r>
      <w:r w:rsidRPr="00023C89">
        <w:rPr>
          <w:rFonts w:ascii="Book Antiqua" w:hAnsi="Book Antiqua"/>
        </w:rPr>
        <w:t>: 1708-1718 [PMID: 29016754 DOI: 10.1093/cvr/cvx183]</w:t>
      </w:r>
    </w:p>
    <w:p w14:paraId="1D616C8A"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49 </w:t>
      </w:r>
      <w:r w:rsidRPr="00023C89">
        <w:rPr>
          <w:rFonts w:ascii="Book Antiqua" w:hAnsi="Book Antiqua"/>
          <w:b/>
          <w:bCs/>
        </w:rPr>
        <w:t>Schultheiss HP</w:t>
      </w:r>
      <w:r w:rsidRPr="00023C89">
        <w:rPr>
          <w:rFonts w:ascii="Book Antiqua" w:hAnsi="Book Antiqua"/>
        </w:rPr>
        <w:t xml:space="preserve">, Fairweather D, Caforio ALP, Escher F, Hershberger RE, Lipshultz SE, Liu PP, Matsumori A, Mazzanti A, McMurray J, Priori SG. Dilated cardiomyopathy. </w:t>
      </w:r>
      <w:r w:rsidRPr="00023C89">
        <w:rPr>
          <w:rFonts w:ascii="Book Antiqua" w:hAnsi="Book Antiqua"/>
          <w:i/>
          <w:iCs/>
        </w:rPr>
        <w:t>Nat Rev Dis Primers</w:t>
      </w:r>
      <w:r w:rsidRPr="00023C89">
        <w:rPr>
          <w:rFonts w:ascii="Book Antiqua" w:hAnsi="Book Antiqua"/>
        </w:rPr>
        <w:t xml:space="preserve"> 2019; </w:t>
      </w:r>
      <w:r w:rsidRPr="00023C89">
        <w:rPr>
          <w:rFonts w:ascii="Book Antiqua" w:hAnsi="Book Antiqua"/>
          <w:b/>
          <w:bCs/>
        </w:rPr>
        <w:t>5</w:t>
      </w:r>
      <w:r w:rsidRPr="00023C89">
        <w:rPr>
          <w:rFonts w:ascii="Book Antiqua" w:hAnsi="Book Antiqua"/>
        </w:rPr>
        <w:t>: 32 [PMID: 31073128 DOI: 10.1038/s41572-019-0084-1]</w:t>
      </w:r>
    </w:p>
    <w:p w14:paraId="3D8DBB48"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50 </w:t>
      </w:r>
      <w:r w:rsidRPr="00023C89">
        <w:rPr>
          <w:rFonts w:ascii="Book Antiqua" w:hAnsi="Book Antiqua"/>
          <w:b/>
          <w:bCs/>
        </w:rPr>
        <w:t>Chang AN</w:t>
      </w:r>
      <w:r w:rsidRPr="00023C89">
        <w:rPr>
          <w:rFonts w:ascii="Book Antiqua" w:hAnsi="Book Antiqua"/>
        </w:rPr>
        <w:t xml:space="preserve">, Parvatiyar MS, Potter JD. Troponin and cardiomyopathy. </w:t>
      </w:r>
      <w:r w:rsidRPr="00023C89">
        <w:rPr>
          <w:rFonts w:ascii="Book Antiqua" w:hAnsi="Book Antiqua"/>
          <w:i/>
          <w:iCs/>
        </w:rPr>
        <w:t>Biochem Biophys Res Commun</w:t>
      </w:r>
      <w:r w:rsidRPr="00023C89">
        <w:rPr>
          <w:rFonts w:ascii="Book Antiqua" w:hAnsi="Book Antiqua"/>
        </w:rPr>
        <w:t xml:space="preserve"> 2008; </w:t>
      </w:r>
      <w:r w:rsidRPr="00023C89">
        <w:rPr>
          <w:rFonts w:ascii="Book Antiqua" w:hAnsi="Book Antiqua"/>
          <w:b/>
          <w:bCs/>
        </w:rPr>
        <w:t>369</w:t>
      </w:r>
      <w:r w:rsidRPr="00023C89">
        <w:rPr>
          <w:rFonts w:ascii="Book Antiqua" w:hAnsi="Book Antiqua"/>
        </w:rPr>
        <w:t>: 74-81 [PMID: 18157941 DOI: 10.1016/j.bbrc.2007.12.081]</w:t>
      </w:r>
    </w:p>
    <w:p w14:paraId="01568823"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51 </w:t>
      </w:r>
      <w:r w:rsidRPr="00023C89">
        <w:rPr>
          <w:rFonts w:ascii="Book Antiqua" w:hAnsi="Book Antiqua"/>
          <w:b/>
          <w:bCs/>
        </w:rPr>
        <w:t>Baldeviano GC</w:t>
      </w:r>
      <w:r w:rsidRPr="00023C89">
        <w:rPr>
          <w:rFonts w:ascii="Book Antiqua" w:hAnsi="Book Antiqua"/>
        </w:rPr>
        <w:t xml:space="preserve">, Barin JG, Talor MV, Srinivasan S, Bedja D, Zheng D, Gabrielson K, Iwakura Y, Rose NR, Cihakova D. Interleukin-17A is dispensable for myocarditis but essential for the progression to dilated cardiomyopathy. </w:t>
      </w:r>
      <w:r w:rsidRPr="00023C89">
        <w:rPr>
          <w:rFonts w:ascii="Book Antiqua" w:hAnsi="Book Antiqua"/>
          <w:i/>
          <w:iCs/>
        </w:rPr>
        <w:t>Circ Res</w:t>
      </w:r>
      <w:r w:rsidRPr="00023C89">
        <w:rPr>
          <w:rFonts w:ascii="Book Antiqua" w:hAnsi="Book Antiqua"/>
        </w:rPr>
        <w:t xml:space="preserve"> 2010; </w:t>
      </w:r>
      <w:r w:rsidRPr="00023C89">
        <w:rPr>
          <w:rFonts w:ascii="Book Antiqua" w:hAnsi="Book Antiqua"/>
          <w:b/>
          <w:bCs/>
        </w:rPr>
        <w:t>106</w:t>
      </w:r>
      <w:r w:rsidRPr="00023C89">
        <w:rPr>
          <w:rFonts w:ascii="Book Antiqua" w:hAnsi="Book Antiqua"/>
        </w:rPr>
        <w:t>: 1646-1655 [PMID: 20378858 DOI: 10.1161/CIRCRESAHA.109.213157]</w:t>
      </w:r>
    </w:p>
    <w:p w14:paraId="6FB1450F"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52 </w:t>
      </w:r>
      <w:r w:rsidRPr="00023C89">
        <w:rPr>
          <w:rFonts w:ascii="Book Antiqua" w:hAnsi="Book Antiqua"/>
          <w:b/>
          <w:bCs/>
        </w:rPr>
        <w:t>Wang ZH</w:t>
      </w:r>
      <w:r w:rsidRPr="00023C89">
        <w:rPr>
          <w:rFonts w:ascii="Book Antiqua" w:hAnsi="Book Antiqua"/>
        </w:rPr>
        <w:t xml:space="preserve">, Liao YH, Yuan J, Jin XJ, Yu M, Chen RZ, Xu DJ, Wei J, Wan J, Zhao DC, Han HY, Li B, Tian G, Hu G, Xu J. Continued Elevation of Plasma IL-4 and IL-17 Predicts the Progression from VMC to DCM. </w:t>
      </w:r>
      <w:r w:rsidRPr="00023C89">
        <w:rPr>
          <w:rFonts w:ascii="Book Antiqua" w:hAnsi="Book Antiqua"/>
          <w:i/>
          <w:iCs/>
        </w:rPr>
        <w:t>Dis Markers</w:t>
      </w:r>
      <w:r w:rsidRPr="00023C89">
        <w:rPr>
          <w:rFonts w:ascii="Book Antiqua" w:hAnsi="Book Antiqua"/>
        </w:rPr>
        <w:t xml:space="preserve"> 2020; </w:t>
      </w:r>
      <w:r w:rsidRPr="00023C89">
        <w:rPr>
          <w:rFonts w:ascii="Book Antiqua" w:hAnsi="Book Antiqua"/>
          <w:b/>
          <w:bCs/>
        </w:rPr>
        <w:t>2020</w:t>
      </w:r>
      <w:r w:rsidRPr="00023C89">
        <w:rPr>
          <w:rFonts w:ascii="Book Antiqua" w:hAnsi="Book Antiqua"/>
        </w:rPr>
        <w:t>: 9385472 [PMID: 31998421 DOI: 10.1155/2020/9385472]</w:t>
      </w:r>
    </w:p>
    <w:p w14:paraId="7EB33FF1"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53 </w:t>
      </w:r>
      <w:r w:rsidRPr="00023C89">
        <w:rPr>
          <w:rFonts w:ascii="Book Antiqua" w:hAnsi="Book Antiqua"/>
          <w:b/>
          <w:bCs/>
        </w:rPr>
        <w:t>Liu X</w:t>
      </w:r>
      <w:r w:rsidRPr="00023C89">
        <w:rPr>
          <w:rFonts w:ascii="Book Antiqua" w:hAnsi="Book Antiqua"/>
        </w:rPr>
        <w:t xml:space="preserve">, Zhang W, Han Z. Decreased circulating follicular regulatory T cells in patients with dilated cardiomyopathy. </w:t>
      </w:r>
      <w:r w:rsidRPr="00023C89">
        <w:rPr>
          <w:rFonts w:ascii="Book Antiqua" w:hAnsi="Book Antiqua"/>
          <w:i/>
          <w:iCs/>
        </w:rPr>
        <w:t>Braz J Med Biol Res</w:t>
      </w:r>
      <w:r w:rsidRPr="00023C89">
        <w:rPr>
          <w:rFonts w:ascii="Book Antiqua" w:hAnsi="Book Antiqua"/>
        </w:rPr>
        <w:t xml:space="preserve"> 2021; </w:t>
      </w:r>
      <w:r w:rsidRPr="00023C89">
        <w:rPr>
          <w:rFonts w:ascii="Book Antiqua" w:hAnsi="Book Antiqua"/>
          <w:b/>
          <w:bCs/>
        </w:rPr>
        <w:t>54</w:t>
      </w:r>
      <w:r w:rsidRPr="00023C89">
        <w:rPr>
          <w:rFonts w:ascii="Book Antiqua" w:hAnsi="Book Antiqua"/>
        </w:rPr>
        <w:t>: e11232 [PMID: 34669781 DOI: 10.1590/1414-431X2021e11232]</w:t>
      </w:r>
    </w:p>
    <w:p w14:paraId="3DA8F0B8"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lastRenderedPageBreak/>
        <w:t xml:space="preserve">54 </w:t>
      </w:r>
      <w:r w:rsidRPr="00023C89">
        <w:rPr>
          <w:rFonts w:ascii="Book Antiqua" w:hAnsi="Book Antiqua"/>
          <w:b/>
          <w:bCs/>
        </w:rPr>
        <w:t>Nagao K</w:t>
      </w:r>
      <w:r w:rsidRPr="00023C89">
        <w:rPr>
          <w:rFonts w:ascii="Book Antiqua" w:hAnsi="Book Antiqua"/>
        </w:rPr>
        <w:t xml:space="preserve">, Inada T, Tamura A, Kajitani K, Shimamura K, Yukawa H, Aida K, Sowa N, Nishiga M, Horie T, Makita T, Ono K, Tanaka M. Circulating markers of collagen types I, III, and IV in patients with dilated cardiomyopathy: relationships with myocardial collagen expression. </w:t>
      </w:r>
      <w:r w:rsidRPr="00023C89">
        <w:rPr>
          <w:rFonts w:ascii="Book Antiqua" w:hAnsi="Book Antiqua"/>
          <w:i/>
          <w:iCs/>
        </w:rPr>
        <w:t>ESC Heart Fail</w:t>
      </w:r>
      <w:r w:rsidRPr="00023C89">
        <w:rPr>
          <w:rFonts w:ascii="Book Antiqua" w:hAnsi="Book Antiqua"/>
        </w:rPr>
        <w:t xml:space="preserve"> 2018; </w:t>
      </w:r>
      <w:r w:rsidRPr="00023C89">
        <w:rPr>
          <w:rFonts w:ascii="Book Antiqua" w:hAnsi="Book Antiqua"/>
          <w:b/>
          <w:bCs/>
        </w:rPr>
        <w:t>5</w:t>
      </w:r>
      <w:r w:rsidRPr="00023C89">
        <w:rPr>
          <w:rFonts w:ascii="Book Antiqua" w:hAnsi="Book Antiqua"/>
        </w:rPr>
        <w:t>: 1044-1051 [PMID: 30273997 DOI: 10.1002/ehf2.12360]</w:t>
      </w:r>
    </w:p>
    <w:p w14:paraId="1527998A"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55 </w:t>
      </w:r>
      <w:r w:rsidRPr="00023C89">
        <w:rPr>
          <w:rFonts w:ascii="Book Antiqua" w:hAnsi="Book Antiqua"/>
          <w:b/>
          <w:bCs/>
        </w:rPr>
        <w:t>Mihailovici AR</w:t>
      </w:r>
      <w:r w:rsidRPr="00023C89">
        <w:rPr>
          <w:rFonts w:ascii="Book Antiqua" w:hAnsi="Book Antiqua"/>
        </w:rPr>
        <w:t>, Deliu RC, M</w:t>
      </w:r>
      <w:r w:rsidRPr="00023C89">
        <w:rPr>
          <w:rFonts w:ascii="Book Antiqua" w:eastAsia="MS Gothic" w:hAnsi="Book Antiqua" w:cs="MS Gothic"/>
        </w:rPr>
        <w:t>ă</w:t>
      </w:r>
      <w:r w:rsidRPr="00023C89">
        <w:rPr>
          <w:rFonts w:ascii="Book Antiqua" w:hAnsi="Book Antiqua"/>
        </w:rPr>
        <w:t>rg</w:t>
      </w:r>
      <w:r w:rsidRPr="00023C89">
        <w:rPr>
          <w:rFonts w:ascii="Book Antiqua" w:eastAsia="MS Gothic" w:hAnsi="Book Antiqua" w:cs="MS Gothic"/>
        </w:rPr>
        <w:t>ă</w:t>
      </w:r>
      <w:r w:rsidRPr="00023C89">
        <w:rPr>
          <w:rFonts w:ascii="Book Antiqua" w:hAnsi="Book Antiqua"/>
        </w:rPr>
        <w:t>ritescu C, Simionescu CE, Donoiu I, Istr</w:t>
      </w:r>
      <w:r w:rsidRPr="00023C89">
        <w:rPr>
          <w:rFonts w:ascii="Book Antiqua" w:eastAsia="MS Gothic" w:hAnsi="Book Antiqua" w:cs="MS Gothic"/>
        </w:rPr>
        <w:t>ă</w:t>
      </w:r>
      <w:r w:rsidRPr="00023C89">
        <w:rPr>
          <w:rFonts w:ascii="Book Antiqua" w:hAnsi="Book Antiqua"/>
        </w:rPr>
        <w:t>toaie O, Tudora</w:t>
      </w:r>
      <w:r w:rsidRPr="00023C89">
        <w:rPr>
          <w:rFonts w:ascii="Book Antiqua" w:eastAsia="MS Gothic" w:hAnsi="Book Antiqua" w:cs="MS Gothic"/>
        </w:rPr>
        <w:t>ş</w:t>
      </w:r>
      <w:r w:rsidRPr="00023C89">
        <w:rPr>
          <w:rFonts w:ascii="Book Antiqua" w:hAnsi="Book Antiqua"/>
        </w:rPr>
        <w:t xml:space="preserve">cu DR, Târtea EA, Gheonea DI. Collagen I and III, MMP-1 and TIMP-1 immunoexpression in dilated cardiomyopathy. </w:t>
      </w:r>
      <w:r w:rsidRPr="00023C89">
        <w:rPr>
          <w:rFonts w:ascii="Book Antiqua" w:hAnsi="Book Antiqua"/>
          <w:i/>
          <w:iCs/>
        </w:rPr>
        <w:t>Rom J Morphol Embryol</w:t>
      </w:r>
      <w:r w:rsidRPr="00023C89">
        <w:rPr>
          <w:rFonts w:ascii="Book Antiqua" w:hAnsi="Book Antiqua"/>
        </w:rPr>
        <w:t xml:space="preserve"> 2017; </w:t>
      </w:r>
      <w:r w:rsidRPr="00023C89">
        <w:rPr>
          <w:rFonts w:ascii="Book Antiqua" w:hAnsi="Book Antiqua"/>
          <w:b/>
          <w:bCs/>
        </w:rPr>
        <w:t>58</w:t>
      </w:r>
      <w:r w:rsidRPr="00023C89">
        <w:rPr>
          <w:rFonts w:ascii="Book Antiqua" w:hAnsi="Book Antiqua"/>
        </w:rPr>
        <w:t>: 777-781 [PMID: 29250654]</w:t>
      </w:r>
    </w:p>
    <w:p w14:paraId="2B39FCAE"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56 </w:t>
      </w:r>
      <w:r w:rsidRPr="00023C89">
        <w:rPr>
          <w:rFonts w:ascii="Book Antiqua" w:hAnsi="Book Antiqua"/>
          <w:b/>
          <w:bCs/>
        </w:rPr>
        <w:t>Tsoutsman T</w:t>
      </w:r>
      <w:r w:rsidRPr="00023C89">
        <w:rPr>
          <w:rFonts w:ascii="Book Antiqua" w:hAnsi="Book Antiqua"/>
        </w:rPr>
        <w:t xml:space="preserve">, Wang X, Garchow K, Riser B, Twigg S, Semsarian C. CCN2 plays a key role in extracellular matrix gene expression in severe hypertrophic cardiomyopathy and heart failure. </w:t>
      </w:r>
      <w:r w:rsidRPr="00023C89">
        <w:rPr>
          <w:rFonts w:ascii="Book Antiqua" w:hAnsi="Book Antiqua"/>
          <w:i/>
          <w:iCs/>
        </w:rPr>
        <w:t>J Mol Cell Cardiol</w:t>
      </w:r>
      <w:r w:rsidRPr="00023C89">
        <w:rPr>
          <w:rFonts w:ascii="Book Antiqua" w:hAnsi="Book Antiqua"/>
        </w:rPr>
        <w:t xml:space="preserve"> 2013; </w:t>
      </w:r>
      <w:r w:rsidRPr="00023C89">
        <w:rPr>
          <w:rFonts w:ascii="Book Antiqua" w:hAnsi="Book Antiqua"/>
          <w:b/>
          <w:bCs/>
        </w:rPr>
        <w:t>62</w:t>
      </w:r>
      <w:r w:rsidRPr="00023C89">
        <w:rPr>
          <w:rFonts w:ascii="Book Antiqua" w:hAnsi="Book Antiqua"/>
        </w:rPr>
        <w:t>: 164-178 [PMID: 23756156 DOI: 10.1016/j.yjmcc.2013.05.019]</w:t>
      </w:r>
    </w:p>
    <w:p w14:paraId="6A9F65DE"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57 </w:t>
      </w:r>
      <w:r w:rsidRPr="00023C89">
        <w:rPr>
          <w:rFonts w:ascii="Book Antiqua" w:hAnsi="Book Antiqua"/>
          <w:b/>
          <w:bCs/>
        </w:rPr>
        <w:t>Podewski EK</w:t>
      </w:r>
      <w:r w:rsidRPr="00023C89">
        <w:rPr>
          <w:rFonts w:ascii="Book Antiqua" w:hAnsi="Book Antiqua"/>
        </w:rPr>
        <w:t xml:space="preserve">, Hilfiker-Kleiner D, Hilfiker A, Morawietz H, Lichtenberg A, Wollert KC, Drexler H. Alterations in Janus kinase (JAK)-signal transducers and activators of transcription (STAT) signaling in patients with end-stage dilated cardiomyopathy. </w:t>
      </w:r>
      <w:r w:rsidRPr="00023C89">
        <w:rPr>
          <w:rFonts w:ascii="Book Antiqua" w:hAnsi="Book Antiqua"/>
          <w:i/>
          <w:iCs/>
        </w:rPr>
        <w:t>Circulation</w:t>
      </w:r>
      <w:r w:rsidRPr="00023C89">
        <w:rPr>
          <w:rFonts w:ascii="Book Antiqua" w:hAnsi="Book Antiqua"/>
        </w:rPr>
        <w:t xml:space="preserve"> 2003; </w:t>
      </w:r>
      <w:r w:rsidRPr="00023C89">
        <w:rPr>
          <w:rFonts w:ascii="Book Antiqua" w:hAnsi="Book Antiqua"/>
          <w:b/>
          <w:bCs/>
        </w:rPr>
        <w:t>107</w:t>
      </w:r>
      <w:r w:rsidRPr="00023C89">
        <w:rPr>
          <w:rFonts w:ascii="Book Antiqua" w:hAnsi="Book Antiqua"/>
        </w:rPr>
        <w:t>: 798-802 [PMID: 12591746 DOI: 10.1161/01.cir.0000057545.82749.ff]</w:t>
      </w:r>
    </w:p>
    <w:p w14:paraId="0013DA82"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58 </w:t>
      </w:r>
      <w:r w:rsidRPr="00023C89">
        <w:rPr>
          <w:rFonts w:ascii="Book Antiqua" w:hAnsi="Book Antiqua"/>
          <w:b/>
          <w:bCs/>
        </w:rPr>
        <w:t>Li Q</w:t>
      </w:r>
      <w:r w:rsidRPr="00023C89">
        <w:rPr>
          <w:rFonts w:ascii="Book Antiqua" w:hAnsi="Book Antiqua"/>
        </w:rPr>
        <w:t xml:space="preserve">, Ye WX, Huang ZJ, Zhang Q, He YF. Effect of IL-6-mediated STAT3 signaling pathway on myocardial apoptosis in mice with dilated cardiomyopathy. </w:t>
      </w:r>
      <w:r w:rsidRPr="00023C89">
        <w:rPr>
          <w:rFonts w:ascii="Book Antiqua" w:hAnsi="Book Antiqua"/>
          <w:i/>
          <w:iCs/>
        </w:rPr>
        <w:t>Eur Rev Med Pharmacol Sci</w:t>
      </w:r>
      <w:r w:rsidRPr="00023C89">
        <w:rPr>
          <w:rFonts w:ascii="Book Antiqua" w:hAnsi="Book Antiqua"/>
        </w:rPr>
        <w:t xml:space="preserve"> 2019; </w:t>
      </w:r>
      <w:r w:rsidRPr="00023C89">
        <w:rPr>
          <w:rFonts w:ascii="Book Antiqua" w:hAnsi="Book Antiqua"/>
          <w:b/>
          <w:bCs/>
        </w:rPr>
        <w:t>23</w:t>
      </w:r>
      <w:r w:rsidRPr="00023C89">
        <w:rPr>
          <w:rFonts w:ascii="Book Antiqua" w:hAnsi="Book Antiqua"/>
        </w:rPr>
        <w:t>: 3042-3050 [PMID: 31002169 DOI: 10.26355/eurrev_201904_17586]</w:t>
      </w:r>
    </w:p>
    <w:p w14:paraId="14B24D13"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59 </w:t>
      </w:r>
      <w:r w:rsidRPr="00023C89">
        <w:rPr>
          <w:rFonts w:ascii="Book Antiqua" w:hAnsi="Book Antiqua"/>
          <w:b/>
          <w:bCs/>
        </w:rPr>
        <w:t>Wang Y</w:t>
      </w:r>
      <w:r w:rsidRPr="00023C89">
        <w:rPr>
          <w:rFonts w:ascii="Book Antiqua" w:hAnsi="Book Antiqua"/>
        </w:rPr>
        <w:t xml:space="preserve">, Li M, Xu L, Liu J, Wang D, Li Q, Wang L, Li P, Chen S, Liu T. Expression of Bcl-2 and microRNAs in cardiac tissues of patients with dilated cardiomyopathy. </w:t>
      </w:r>
      <w:r w:rsidRPr="00023C89">
        <w:rPr>
          <w:rFonts w:ascii="Book Antiqua" w:hAnsi="Book Antiqua"/>
          <w:i/>
          <w:iCs/>
        </w:rPr>
        <w:t>Mol Med Rep</w:t>
      </w:r>
      <w:r w:rsidRPr="00023C89">
        <w:rPr>
          <w:rFonts w:ascii="Book Antiqua" w:hAnsi="Book Antiqua"/>
        </w:rPr>
        <w:t xml:space="preserve"> 2017; </w:t>
      </w:r>
      <w:r w:rsidRPr="00023C89">
        <w:rPr>
          <w:rFonts w:ascii="Book Antiqua" w:hAnsi="Book Antiqua"/>
          <w:b/>
          <w:bCs/>
        </w:rPr>
        <w:t>15</w:t>
      </w:r>
      <w:r w:rsidRPr="00023C89">
        <w:rPr>
          <w:rFonts w:ascii="Book Antiqua" w:hAnsi="Book Antiqua"/>
        </w:rPr>
        <w:t>: 359-365 [PMID: 27922664 DOI: 10.3892/mmr.2016.5977]</w:t>
      </w:r>
    </w:p>
    <w:p w14:paraId="17438CF3"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60 </w:t>
      </w:r>
      <w:r w:rsidRPr="00023C89">
        <w:rPr>
          <w:rFonts w:ascii="Book Antiqua" w:hAnsi="Book Antiqua"/>
          <w:b/>
          <w:bCs/>
        </w:rPr>
        <w:t>Besler C</w:t>
      </w:r>
      <w:r w:rsidRPr="00023C89">
        <w:rPr>
          <w:rFonts w:ascii="Book Antiqua" w:hAnsi="Book Antiqua"/>
        </w:rPr>
        <w:t xml:space="preserve">, Urban D, Watzka S, Lang D, Rommel KP, Kandolf R, Klingel K, Thiele H, Linke A, Schuler G, Adams V, Lurz P. Endomyocardial miR-133a levels correlate with myocardial inflammation, improved left ventricular function, and clinical outcome in patients with inflammatory cardiomyopathy. </w:t>
      </w:r>
      <w:r w:rsidRPr="00023C89">
        <w:rPr>
          <w:rFonts w:ascii="Book Antiqua" w:hAnsi="Book Antiqua"/>
          <w:i/>
          <w:iCs/>
        </w:rPr>
        <w:t>Eur J Heart Fail</w:t>
      </w:r>
      <w:r w:rsidRPr="00023C89">
        <w:rPr>
          <w:rFonts w:ascii="Book Antiqua" w:hAnsi="Book Antiqua"/>
        </w:rPr>
        <w:t xml:space="preserve"> 2016; </w:t>
      </w:r>
      <w:r w:rsidRPr="00023C89">
        <w:rPr>
          <w:rFonts w:ascii="Book Antiqua" w:hAnsi="Book Antiqua"/>
          <w:b/>
          <w:bCs/>
        </w:rPr>
        <w:t>18</w:t>
      </w:r>
      <w:r w:rsidRPr="00023C89">
        <w:rPr>
          <w:rFonts w:ascii="Book Antiqua" w:hAnsi="Book Antiqua"/>
        </w:rPr>
        <w:t>: 1442-1451 [PMID: 27292200 DOI: 10.1002/ejhf.579]</w:t>
      </w:r>
    </w:p>
    <w:p w14:paraId="15830C82"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lastRenderedPageBreak/>
        <w:t xml:space="preserve">61 </w:t>
      </w:r>
      <w:r w:rsidRPr="00023C89">
        <w:rPr>
          <w:rFonts w:ascii="Book Antiqua" w:hAnsi="Book Antiqua"/>
          <w:b/>
          <w:bCs/>
        </w:rPr>
        <w:t>Satoh M</w:t>
      </w:r>
      <w:r w:rsidRPr="00023C89">
        <w:rPr>
          <w:rFonts w:ascii="Book Antiqua" w:hAnsi="Book Antiqua"/>
        </w:rPr>
        <w:t xml:space="preserve">, Minami Y, Takahashi Y, Tabuchi T, Nakamura M. A cellular microRNA, let-7i, is a novel biomarker for clinical outcome in patients with dilated cardiomyopathy. </w:t>
      </w:r>
      <w:r w:rsidRPr="00023C89">
        <w:rPr>
          <w:rFonts w:ascii="Book Antiqua" w:hAnsi="Book Antiqua"/>
          <w:i/>
          <w:iCs/>
        </w:rPr>
        <w:t>J Card Fail</w:t>
      </w:r>
      <w:r w:rsidRPr="00023C89">
        <w:rPr>
          <w:rFonts w:ascii="Book Antiqua" w:hAnsi="Book Antiqua"/>
        </w:rPr>
        <w:t xml:space="preserve"> 2011; </w:t>
      </w:r>
      <w:r w:rsidRPr="00023C89">
        <w:rPr>
          <w:rFonts w:ascii="Book Antiqua" w:hAnsi="Book Antiqua"/>
          <w:b/>
          <w:bCs/>
        </w:rPr>
        <w:t>17</w:t>
      </w:r>
      <w:r w:rsidRPr="00023C89">
        <w:rPr>
          <w:rFonts w:ascii="Book Antiqua" w:hAnsi="Book Antiqua"/>
        </w:rPr>
        <w:t>: 923-929 [PMID: 22041329 DOI: 10.1016/j.cardfail.2011.07.012]</w:t>
      </w:r>
    </w:p>
    <w:p w14:paraId="5F838A6B"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62 </w:t>
      </w:r>
      <w:r w:rsidRPr="00023C89">
        <w:rPr>
          <w:rFonts w:ascii="Book Antiqua" w:hAnsi="Book Antiqua"/>
          <w:b/>
          <w:bCs/>
        </w:rPr>
        <w:t>Carrillo-Salinas FJ</w:t>
      </w:r>
      <w:r w:rsidRPr="00023C89">
        <w:rPr>
          <w:rFonts w:ascii="Book Antiqua" w:hAnsi="Book Antiqua"/>
        </w:rPr>
        <w:t xml:space="preserve">, Ngwenyama N, Anastasiou M, Kaur K, Alcaide P. Heart Inflammation: Immune Cell Roles and Roads to the Heart. </w:t>
      </w:r>
      <w:r w:rsidRPr="00023C89">
        <w:rPr>
          <w:rFonts w:ascii="Book Antiqua" w:hAnsi="Book Antiqua"/>
          <w:i/>
          <w:iCs/>
        </w:rPr>
        <w:t>Am J Pathol</w:t>
      </w:r>
      <w:r w:rsidRPr="00023C89">
        <w:rPr>
          <w:rFonts w:ascii="Book Antiqua" w:hAnsi="Book Antiqua"/>
        </w:rPr>
        <w:t xml:space="preserve"> 2019; </w:t>
      </w:r>
      <w:r w:rsidRPr="00023C89">
        <w:rPr>
          <w:rFonts w:ascii="Book Antiqua" w:hAnsi="Book Antiqua"/>
          <w:b/>
          <w:bCs/>
        </w:rPr>
        <w:t>189</w:t>
      </w:r>
      <w:r w:rsidRPr="00023C89">
        <w:rPr>
          <w:rFonts w:ascii="Book Antiqua" w:hAnsi="Book Antiqua"/>
        </w:rPr>
        <w:t>: 1482-1494 [PMID: 31108102 DOI: 10.1016/j.ajpath.2019.04.009]</w:t>
      </w:r>
    </w:p>
    <w:p w14:paraId="5462258C" w14:textId="77777777" w:rsidR="00B52847" w:rsidRPr="00023C89" w:rsidRDefault="00B52847" w:rsidP="00D0748F">
      <w:pPr>
        <w:pStyle w:val="a3"/>
        <w:spacing w:before="0" w:beforeAutospacing="0" w:after="0" w:afterAutospacing="0" w:line="360" w:lineRule="auto"/>
        <w:jc w:val="both"/>
        <w:rPr>
          <w:rFonts w:ascii="Book Antiqua" w:hAnsi="Book Antiqua"/>
        </w:rPr>
      </w:pPr>
      <w:r w:rsidRPr="00023C89">
        <w:rPr>
          <w:rFonts w:ascii="Book Antiqua" w:hAnsi="Book Antiqua"/>
        </w:rPr>
        <w:t xml:space="preserve">63 </w:t>
      </w:r>
      <w:r w:rsidRPr="00023C89">
        <w:rPr>
          <w:rFonts w:ascii="Book Antiqua" w:hAnsi="Book Antiqua"/>
          <w:b/>
          <w:bCs/>
        </w:rPr>
        <w:t>Noutsias M</w:t>
      </w:r>
      <w:r w:rsidRPr="00023C89">
        <w:rPr>
          <w:rFonts w:ascii="Book Antiqua" w:hAnsi="Book Antiqua"/>
        </w:rPr>
        <w:t xml:space="preserve">, Rohde M, Göldner K, Block A, Blunert K, Hemaidan L, Hummel M, Blohm JH, Lassner D, Kühl U, Schultheiss HP, Volk HD, Kotsch K. Expression of functional T-cell markers and T-cell receptor Vbeta repertoire in endomyocardial biopsies from patients presenting with acute myocarditis and dilated cardiomyopathy. </w:t>
      </w:r>
      <w:r w:rsidRPr="00023C89">
        <w:rPr>
          <w:rFonts w:ascii="Book Antiqua" w:hAnsi="Book Antiqua"/>
          <w:i/>
          <w:iCs/>
        </w:rPr>
        <w:t>Eur J Heart Fail</w:t>
      </w:r>
      <w:r w:rsidRPr="00023C89">
        <w:rPr>
          <w:rFonts w:ascii="Book Antiqua" w:hAnsi="Book Antiqua"/>
        </w:rPr>
        <w:t xml:space="preserve"> 2011; </w:t>
      </w:r>
      <w:r w:rsidRPr="00023C89">
        <w:rPr>
          <w:rFonts w:ascii="Book Antiqua" w:hAnsi="Book Antiqua"/>
          <w:b/>
          <w:bCs/>
        </w:rPr>
        <w:t>13</w:t>
      </w:r>
      <w:r w:rsidRPr="00023C89">
        <w:rPr>
          <w:rFonts w:ascii="Book Antiqua" w:hAnsi="Book Antiqua"/>
        </w:rPr>
        <w:t>: 611-618 [PMID: 21422001 DOI: 10.1093/eurjhf/hfr014]</w:t>
      </w:r>
    </w:p>
    <w:p w14:paraId="54474B18" w14:textId="77777777" w:rsidR="00DE3352" w:rsidRPr="00023C89" w:rsidRDefault="00DE3352" w:rsidP="00D0748F">
      <w:pPr>
        <w:spacing w:line="360" w:lineRule="auto"/>
        <w:jc w:val="both"/>
        <w:rPr>
          <w:rFonts w:ascii="Book Antiqua" w:hAnsi="Book Antiqua" w:cs="Book Antiqua"/>
          <w:color w:val="000000"/>
          <w:lang w:eastAsia="zh-CN"/>
        </w:rPr>
      </w:pPr>
    </w:p>
    <w:p w14:paraId="4E18AC63" w14:textId="77777777" w:rsidR="00DE3352" w:rsidRPr="00023C89" w:rsidRDefault="00DE3352" w:rsidP="00D0748F">
      <w:pPr>
        <w:spacing w:line="360" w:lineRule="auto"/>
        <w:jc w:val="both"/>
        <w:rPr>
          <w:rFonts w:ascii="Book Antiqua" w:hAnsi="Book Antiqua"/>
          <w:lang w:eastAsia="zh-CN"/>
        </w:rPr>
        <w:sectPr w:rsidR="00DE3352" w:rsidRPr="00023C89">
          <w:pgSz w:w="12240" w:h="15840"/>
          <w:pgMar w:top="1440" w:right="1440" w:bottom="1440" w:left="1440" w:header="720" w:footer="720" w:gutter="0"/>
          <w:cols w:space="720"/>
          <w:docGrid w:linePitch="360"/>
        </w:sectPr>
      </w:pPr>
    </w:p>
    <w:p w14:paraId="239A358C" w14:textId="77777777" w:rsidR="00A77B3E" w:rsidRPr="00023C89" w:rsidRDefault="00DE3352" w:rsidP="00D0748F">
      <w:pPr>
        <w:spacing w:line="360" w:lineRule="auto"/>
        <w:jc w:val="both"/>
        <w:rPr>
          <w:rFonts w:ascii="Book Antiqua" w:hAnsi="Book Antiqua"/>
          <w:lang w:eastAsia="zh-CN"/>
        </w:rPr>
      </w:pPr>
      <w:r w:rsidRPr="00023C89">
        <w:rPr>
          <w:rFonts w:ascii="Book Antiqua" w:eastAsia="Book Antiqua" w:hAnsi="Book Antiqua" w:cs="Book Antiqua"/>
          <w:b/>
          <w:color w:val="000000"/>
        </w:rPr>
        <w:lastRenderedPageBreak/>
        <w:t>Footnotes</w:t>
      </w:r>
    </w:p>
    <w:p w14:paraId="6E04FEB1" w14:textId="049D4735"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bCs/>
          <w:color w:val="000000"/>
        </w:rPr>
        <w:t xml:space="preserve">Conflict-of-interest statement: </w:t>
      </w:r>
      <w:r w:rsidR="00A11EB1" w:rsidRPr="00023C89">
        <w:rPr>
          <w:rFonts w:ascii="Book Antiqua" w:hAnsi="Book Antiqua" w:cs="Book Antiqua"/>
          <w:color w:val="000000"/>
          <w:lang w:eastAsia="zh-CN"/>
        </w:rPr>
        <w:t xml:space="preserve">The </w:t>
      </w:r>
      <w:r w:rsidRPr="00023C89">
        <w:rPr>
          <w:rFonts w:ascii="Book Antiqua" w:hAnsi="Book Antiqua" w:cs="Book Antiqua"/>
          <w:color w:val="000000"/>
          <w:lang w:eastAsia="zh-CN"/>
        </w:rPr>
        <w:t>authors</w:t>
      </w:r>
      <w:r w:rsidRPr="00023C89">
        <w:rPr>
          <w:rFonts w:ascii="Book Antiqua" w:eastAsia="Book Antiqua" w:hAnsi="Book Antiqua" w:cs="Book Antiqua"/>
          <w:color w:val="000000"/>
        </w:rPr>
        <w:t xml:space="preserve"> have </w:t>
      </w:r>
      <w:r w:rsidR="00A11EB1" w:rsidRPr="00023C89">
        <w:rPr>
          <w:rFonts w:ascii="Book Antiqua" w:eastAsia="Book Antiqua" w:hAnsi="Book Antiqua" w:cs="Book Antiqua"/>
          <w:color w:val="000000"/>
        </w:rPr>
        <w:t>no conflicts of interest to declare</w:t>
      </w:r>
      <w:r w:rsidRPr="00023C89">
        <w:rPr>
          <w:rFonts w:ascii="Book Antiqua" w:eastAsia="Book Antiqua" w:hAnsi="Book Antiqua" w:cs="Book Antiqua"/>
          <w:color w:val="000000"/>
        </w:rPr>
        <w:t>.</w:t>
      </w:r>
    </w:p>
    <w:p w14:paraId="50ABCD67" w14:textId="77777777" w:rsidR="00A77B3E" w:rsidRPr="00023C89" w:rsidRDefault="00A77B3E" w:rsidP="00D0748F">
      <w:pPr>
        <w:spacing w:line="360" w:lineRule="auto"/>
        <w:jc w:val="both"/>
        <w:rPr>
          <w:rFonts w:ascii="Book Antiqua" w:hAnsi="Book Antiqua"/>
        </w:rPr>
      </w:pPr>
    </w:p>
    <w:p w14:paraId="69F3C10E"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bCs/>
          <w:color w:val="000000"/>
        </w:rPr>
        <w:t xml:space="preserve">Data sharing statement: </w:t>
      </w:r>
      <w:r w:rsidRPr="00023C89">
        <w:rPr>
          <w:rFonts w:ascii="Book Antiqua" w:eastAsia="Book Antiqua" w:hAnsi="Book Antiqua" w:cs="Book Antiqua"/>
          <w:color w:val="000000"/>
          <w:shd w:val="clear" w:color="auto" w:fill="FFFFFF"/>
        </w:rPr>
        <w:t>No additional data are available.</w:t>
      </w:r>
    </w:p>
    <w:p w14:paraId="474231B8" w14:textId="77777777" w:rsidR="00A77B3E" w:rsidRPr="00023C89" w:rsidRDefault="00A77B3E" w:rsidP="00D0748F">
      <w:pPr>
        <w:spacing w:line="360" w:lineRule="auto"/>
        <w:jc w:val="both"/>
        <w:rPr>
          <w:rFonts w:ascii="Book Antiqua" w:hAnsi="Book Antiqua"/>
        </w:rPr>
      </w:pPr>
    </w:p>
    <w:p w14:paraId="517A2E71"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bCs/>
          <w:color w:val="000000"/>
        </w:rPr>
        <w:t xml:space="preserve">Open-Access: </w:t>
      </w:r>
      <w:bookmarkStart w:id="29" w:name="OLE_LINK3"/>
      <w:bookmarkStart w:id="30" w:name="OLE_LINK4"/>
      <w:r w:rsidRPr="00023C8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29"/>
    <w:bookmarkEnd w:id="30"/>
    <w:p w14:paraId="575493A5" w14:textId="77777777" w:rsidR="00A77B3E" w:rsidRPr="00023C89" w:rsidRDefault="00A77B3E" w:rsidP="00D0748F">
      <w:pPr>
        <w:spacing w:line="360" w:lineRule="auto"/>
        <w:jc w:val="both"/>
        <w:rPr>
          <w:rFonts w:ascii="Book Antiqua" w:hAnsi="Book Antiqua"/>
        </w:rPr>
      </w:pPr>
    </w:p>
    <w:p w14:paraId="62B0FEAD"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 xml:space="preserve">Provenance and peer review: </w:t>
      </w:r>
      <w:r w:rsidRPr="00023C89">
        <w:rPr>
          <w:rFonts w:ascii="Book Antiqua" w:eastAsia="Book Antiqua" w:hAnsi="Book Antiqua" w:cs="Book Antiqua"/>
          <w:color w:val="000000"/>
        </w:rPr>
        <w:t>Invited article; Externally peer reviewed.</w:t>
      </w:r>
    </w:p>
    <w:p w14:paraId="3B27159B"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 xml:space="preserve">Peer-review model: </w:t>
      </w:r>
      <w:r w:rsidRPr="00023C89">
        <w:rPr>
          <w:rFonts w:ascii="Book Antiqua" w:eastAsia="Book Antiqua" w:hAnsi="Book Antiqua" w:cs="Book Antiqua"/>
          <w:color w:val="000000"/>
        </w:rPr>
        <w:t>Single blind</w:t>
      </w:r>
    </w:p>
    <w:p w14:paraId="65749E38" w14:textId="77777777" w:rsidR="00A77B3E" w:rsidRPr="00023C89" w:rsidRDefault="00A77B3E" w:rsidP="00D0748F">
      <w:pPr>
        <w:spacing w:line="360" w:lineRule="auto"/>
        <w:jc w:val="both"/>
        <w:rPr>
          <w:rFonts w:ascii="Book Antiqua" w:hAnsi="Book Antiqua"/>
        </w:rPr>
      </w:pPr>
    </w:p>
    <w:p w14:paraId="45E6AC0D"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 xml:space="preserve">Peer-review started: </w:t>
      </w:r>
      <w:r w:rsidRPr="00023C89">
        <w:rPr>
          <w:rFonts w:ascii="Book Antiqua" w:eastAsia="Book Antiqua" w:hAnsi="Book Antiqua" w:cs="Book Antiqua"/>
          <w:color w:val="000000"/>
        </w:rPr>
        <w:t>December 14, 2021</w:t>
      </w:r>
    </w:p>
    <w:p w14:paraId="3D63432B"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 xml:space="preserve">First decision: </w:t>
      </w:r>
      <w:r w:rsidRPr="00023C89">
        <w:rPr>
          <w:rFonts w:ascii="Book Antiqua" w:eastAsia="Book Antiqua" w:hAnsi="Book Antiqua" w:cs="Book Antiqua"/>
          <w:color w:val="000000"/>
        </w:rPr>
        <w:t>January 25, 2022</w:t>
      </w:r>
    </w:p>
    <w:p w14:paraId="2414974C" w14:textId="400AFDA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Article in press:</w:t>
      </w:r>
      <w:r w:rsidR="007E093B" w:rsidRPr="00023C89">
        <w:rPr>
          <w:rFonts w:ascii="Book Antiqua" w:eastAsia="Book Antiqua" w:hAnsi="Book Antiqua" w:cs="Book Antiqua"/>
          <w:color w:val="000000"/>
          <w:lang w:eastAsia="zh-CN"/>
        </w:rPr>
        <w:t xml:space="preserve"> April 26, 2022</w:t>
      </w:r>
    </w:p>
    <w:p w14:paraId="44FD0DCF" w14:textId="77777777" w:rsidR="00A77B3E" w:rsidRPr="00023C89" w:rsidRDefault="00A77B3E" w:rsidP="00D0748F">
      <w:pPr>
        <w:spacing w:line="360" w:lineRule="auto"/>
        <w:jc w:val="both"/>
        <w:rPr>
          <w:rFonts w:ascii="Book Antiqua" w:hAnsi="Book Antiqua"/>
        </w:rPr>
      </w:pPr>
    </w:p>
    <w:p w14:paraId="3B0797D0"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 xml:space="preserve">Specialty type: </w:t>
      </w:r>
      <w:r w:rsidRPr="00023C89">
        <w:rPr>
          <w:rFonts w:ascii="Book Antiqua" w:eastAsia="Book Antiqua" w:hAnsi="Book Antiqua" w:cs="Book Antiqua"/>
          <w:color w:val="000000"/>
        </w:rPr>
        <w:t>Engineering, biomedical</w:t>
      </w:r>
    </w:p>
    <w:p w14:paraId="2D57E9B2"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 xml:space="preserve">Country/Territory of origin: </w:t>
      </w:r>
      <w:r w:rsidRPr="00023C89">
        <w:rPr>
          <w:rFonts w:ascii="Book Antiqua" w:eastAsia="Book Antiqua" w:hAnsi="Book Antiqua" w:cs="Book Antiqua"/>
          <w:color w:val="000000"/>
        </w:rPr>
        <w:t>China</w:t>
      </w:r>
    </w:p>
    <w:p w14:paraId="20AD110E"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b/>
          <w:color w:val="000000"/>
        </w:rPr>
        <w:t>Peer-review report’s scientific quality classification</w:t>
      </w:r>
    </w:p>
    <w:p w14:paraId="2A741330"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Grade A (Excellent): 0</w:t>
      </w:r>
    </w:p>
    <w:p w14:paraId="4210EEC1"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Grade B (Very good): B</w:t>
      </w:r>
    </w:p>
    <w:p w14:paraId="1EA4458C"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Grade C (Good): C</w:t>
      </w:r>
    </w:p>
    <w:p w14:paraId="1F0CC0C3"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Grade D (Fair): 0</w:t>
      </w:r>
    </w:p>
    <w:p w14:paraId="474BB575" w14:textId="77777777" w:rsidR="00A77B3E" w:rsidRPr="00023C89" w:rsidRDefault="00DE3352" w:rsidP="00D0748F">
      <w:pPr>
        <w:spacing w:line="360" w:lineRule="auto"/>
        <w:jc w:val="both"/>
        <w:rPr>
          <w:rFonts w:ascii="Book Antiqua" w:hAnsi="Book Antiqua"/>
        </w:rPr>
      </w:pPr>
      <w:r w:rsidRPr="00023C89">
        <w:rPr>
          <w:rFonts w:ascii="Book Antiqua" w:eastAsia="Book Antiqua" w:hAnsi="Book Antiqua" w:cs="Book Antiqua"/>
          <w:color w:val="000000"/>
        </w:rPr>
        <w:t>Grade E (Poor): 0</w:t>
      </w:r>
    </w:p>
    <w:p w14:paraId="3E7D2152" w14:textId="77777777" w:rsidR="00A77B3E" w:rsidRPr="00023C89" w:rsidRDefault="00A77B3E" w:rsidP="00D0748F">
      <w:pPr>
        <w:spacing w:line="360" w:lineRule="auto"/>
        <w:jc w:val="both"/>
        <w:rPr>
          <w:rFonts w:ascii="Book Antiqua" w:hAnsi="Book Antiqua"/>
        </w:rPr>
      </w:pPr>
    </w:p>
    <w:p w14:paraId="61741C21" w14:textId="1D4D21CB" w:rsidR="00A77B3E" w:rsidRPr="00023C89" w:rsidRDefault="00DE3352" w:rsidP="00D0748F">
      <w:pPr>
        <w:spacing w:line="360" w:lineRule="auto"/>
        <w:jc w:val="both"/>
        <w:rPr>
          <w:rFonts w:ascii="Book Antiqua" w:hAnsi="Book Antiqua" w:cs="Book Antiqua"/>
          <w:b/>
          <w:color w:val="000000"/>
          <w:lang w:eastAsia="zh-CN"/>
        </w:rPr>
      </w:pPr>
      <w:r w:rsidRPr="00023C89">
        <w:rPr>
          <w:rFonts w:ascii="Book Antiqua" w:eastAsia="Book Antiqua" w:hAnsi="Book Antiqua" w:cs="Book Antiqua"/>
          <w:b/>
          <w:color w:val="000000"/>
        </w:rPr>
        <w:lastRenderedPageBreak/>
        <w:t xml:space="preserve">P-Reviewer: </w:t>
      </w:r>
      <w:r w:rsidRPr="00023C89">
        <w:rPr>
          <w:rFonts w:ascii="Book Antiqua" w:eastAsia="Book Antiqua" w:hAnsi="Book Antiqua" w:cs="Book Antiqua"/>
          <w:color w:val="000000"/>
        </w:rPr>
        <w:t xml:space="preserve">Emran TB, </w:t>
      </w:r>
      <w:r w:rsidR="000602F3" w:rsidRPr="00023C89">
        <w:rPr>
          <w:rFonts w:ascii="Book Antiqua" w:hAnsi="Book Antiqua"/>
          <w:color w:val="000000" w:themeColor="text1"/>
        </w:rPr>
        <w:t>Bangladesh</w:t>
      </w:r>
      <w:r w:rsidR="000602F3" w:rsidRPr="00023C89">
        <w:rPr>
          <w:rFonts w:ascii="Book Antiqua" w:hAnsi="Book Antiqua"/>
          <w:color w:val="000000" w:themeColor="text1"/>
          <w:lang w:eastAsia="zh-CN"/>
        </w:rPr>
        <w:t>;</w:t>
      </w:r>
      <w:r w:rsidR="000602F3" w:rsidRPr="00023C89">
        <w:rPr>
          <w:rFonts w:ascii="Book Antiqua" w:eastAsia="Book Antiqua" w:hAnsi="Book Antiqua" w:cs="Book Antiqua"/>
          <w:color w:val="000000"/>
        </w:rPr>
        <w:t xml:space="preserve"> </w:t>
      </w:r>
      <w:r w:rsidRPr="00023C89">
        <w:rPr>
          <w:rFonts w:ascii="Book Antiqua" w:eastAsia="Book Antiqua" w:hAnsi="Book Antiqua" w:cs="Book Antiqua"/>
          <w:color w:val="000000"/>
        </w:rPr>
        <w:t>Tanabe S</w:t>
      </w:r>
      <w:r w:rsidR="00B52847" w:rsidRPr="00023C89">
        <w:rPr>
          <w:rFonts w:ascii="Book Antiqua" w:hAnsi="Book Antiqua" w:cs="Book Antiqua"/>
          <w:color w:val="000000"/>
          <w:lang w:eastAsia="zh-CN"/>
        </w:rPr>
        <w:t>,</w:t>
      </w:r>
      <w:r w:rsidRPr="00023C89">
        <w:rPr>
          <w:rFonts w:ascii="Book Antiqua" w:eastAsia="Book Antiqua" w:hAnsi="Book Antiqua" w:cs="Book Antiqua"/>
          <w:b/>
          <w:color w:val="000000"/>
        </w:rPr>
        <w:t xml:space="preserve"> </w:t>
      </w:r>
      <w:r w:rsidR="00B52847" w:rsidRPr="00023C89">
        <w:rPr>
          <w:rFonts w:ascii="Book Antiqua" w:eastAsia="Book Antiqua" w:hAnsi="Book Antiqua" w:cs="Book Antiqua"/>
          <w:color w:val="000000"/>
        </w:rPr>
        <w:t>Japan</w:t>
      </w:r>
      <w:r w:rsidR="00B52847" w:rsidRPr="00023C89">
        <w:rPr>
          <w:rFonts w:ascii="Book Antiqua" w:eastAsia="Book Antiqua" w:hAnsi="Book Antiqua" w:cs="Book Antiqua"/>
          <w:b/>
          <w:color w:val="000000"/>
        </w:rPr>
        <w:t xml:space="preserve"> </w:t>
      </w:r>
      <w:r w:rsidRPr="00023C89">
        <w:rPr>
          <w:rFonts w:ascii="Book Antiqua" w:eastAsia="Book Antiqua" w:hAnsi="Book Antiqua" w:cs="Book Antiqua"/>
          <w:b/>
          <w:color w:val="000000"/>
        </w:rPr>
        <w:t xml:space="preserve">S-Editor: </w:t>
      </w:r>
      <w:r w:rsidRPr="00023C89">
        <w:rPr>
          <w:rFonts w:ascii="Book Antiqua" w:eastAsia="Book Antiqua" w:hAnsi="Book Antiqua" w:cs="Book Antiqua"/>
          <w:color w:val="000000"/>
        </w:rPr>
        <w:t>Ma YJ</w:t>
      </w:r>
      <w:r w:rsidRPr="00023C89">
        <w:rPr>
          <w:rFonts w:ascii="Book Antiqua" w:eastAsia="Book Antiqua" w:hAnsi="Book Antiqua" w:cs="Book Antiqua"/>
          <w:b/>
          <w:color w:val="000000"/>
        </w:rPr>
        <w:t xml:space="preserve"> L-Editor: </w:t>
      </w:r>
      <w:r w:rsidR="00AC103C" w:rsidRPr="00023C89">
        <w:rPr>
          <w:rFonts w:ascii="Book Antiqua" w:eastAsia="Book Antiqua" w:hAnsi="Book Antiqua" w:cs="Book Antiqua"/>
          <w:bCs/>
          <w:color w:val="000000"/>
        </w:rPr>
        <w:t>Filipodia</w:t>
      </w:r>
      <w:r w:rsidRPr="00023C89">
        <w:rPr>
          <w:rFonts w:ascii="Book Antiqua" w:eastAsia="Book Antiqua" w:hAnsi="Book Antiqua" w:cs="Book Antiqua"/>
          <w:b/>
          <w:color w:val="000000"/>
        </w:rPr>
        <w:t xml:space="preserve"> P-Editor: </w:t>
      </w:r>
      <w:r w:rsidR="00661F7C" w:rsidRPr="00023C89">
        <w:rPr>
          <w:rFonts w:ascii="Book Antiqua" w:eastAsia="Book Antiqua" w:hAnsi="Book Antiqua" w:cs="Book Antiqua"/>
          <w:color w:val="000000"/>
        </w:rPr>
        <w:t>Ma YJ</w:t>
      </w:r>
    </w:p>
    <w:p w14:paraId="3E6819EC" w14:textId="77777777" w:rsidR="00DE3352" w:rsidRPr="00023C89" w:rsidRDefault="00AC7B61" w:rsidP="00D0748F">
      <w:pPr>
        <w:spacing w:line="360" w:lineRule="auto"/>
        <w:jc w:val="both"/>
        <w:rPr>
          <w:rFonts w:ascii="Book Antiqua" w:hAnsi="Book Antiqua" w:cs="Book Antiqua"/>
          <w:b/>
          <w:color w:val="000000"/>
          <w:lang w:eastAsia="zh-CN"/>
        </w:rPr>
      </w:pPr>
      <w:r w:rsidRPr="00023C89">
        <w:rPr>
          <w:rFonts w:ascii="Book Antiqua" w:hAnsi="Book Antiqua" w:cs="Book Antiqua"/>
          <w:b/>
          <w:color w:val="000000"/>
          <w:lang w:eastAsia="zh-CN"/>
        </w:rPr>
        <w:br w:type="page"/>
      </w:r>
      <w:r w:rsidRPr="00023C89">
        <w:rPr>
          <w:rFonts w:ascii="Book Antiqua" w:hAnsi="Book Antiqua" w:cs="Book Antiqua"/>
          <w:b/>
          <w:color w:val="000000"/>
          <w:lang w:eastAsia="zh-CN"/>
        </w:rPr>
        <w:lastRenderedPageBreak/>
        <w:t>Figure Legends</w:t>
      </w:r>
    </w:p>
    <w:p w14:paraId="3AB736D8" w14:textId="5CC72F2A" w:rsidR="00004A30" w:rsidRPr="00023C89" w:rsidRDefault="008E5529" w:rsidP="00D0748F">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ABD4427" wp14:editId="76DB793E">
            <wp:extent cx="4110355" cy="208216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0355" cy="2082165"/>
                    </a:xfrm>
                    <a:prstGeom prst="rect">
                      <a:avLst/>
                    </a:prstGeom>
                    <a:noFill/>
                    <a:ln>
                      <a:noFill/>
                    </a:ln>
                  </pic:spPr>
                </pic:pic>
              </a:graphicData>
            </a:graphic>
          </wp:inline>
        </w:drawing>
      </w:r>
    </w:p>
    <w:p w14:paraId="21BFDA95" w14:textId="3FFB7657" w:rsidR="000C6EFE" w:rsidRPr="00023C89" w:rsidRDefault="000C6EFE" w:rsidP="00D0748F">
      <w:pPr>
        <w:spacing w:line="360" w:lineRule="auto"/>
        <w:jc w:val="both"/>
        <w:rPr>
          <w:rFonts w:ascii="Book Antiqua" w:hAnsi="Book Antiqua" w:cs="Book Antiqua"/>
          <w:color w:val="000000"/>
          <w:lang w:eastAsia="zh-CN"/>
        </w:rPr>
      </w:pPr>
      <w:r w:rsidRPr="00023C89">
        <w:rPr>
          <w:rFonts w:ascii="Book Antiqua" w:hAnsi="Book Antiqua" w:cs="Book Antiqua"/>
          <w:b/>
          <w:bCs/>
          <w:color w:val="000000"/>
          <w:lang w:eastAsia="zh-CN"/>
        </w:rPr>
        <w:t>Figure 1 Identification of differentially expressed genes.</w:t>
      </w:r>
      <w:r w:rsidRPr="00023C89">
        <w:rPr>
          <w:rFonts w:ascii="Book Antiqua" w:hAnsi="Book Antiqua" w:cs="Book Antiqua"/>
          <w:b/>
          <w:color w:val="000000"/>
          <w:lang w:eastAsia="zh-CN"/>
        </w:rPr>
        <w:t xml:space="preserve"> </w:t>
      </w:r>
      <w:r w:rsidRPr="00023C89">
        <w:rPr>
          <w:rFonts w:ascii="Book Antiqua" w:hAnsi="Book Antiqua" w:cs="Book Antiqua"/>
          <w:color w:val="000000"/>
          <w:lang w:eastAsia="zh-CN"/>
        </w:rPr>
        <w:t xml:space="preserve">A: </w:t>
      </w:r>
      <w:r w:rsidRPr="00023C89">
        <w:rPr>
          <w:rFonts w:ascii="Book Antiqua" w:hAnsi="Book Antiqua" w:cs="Book Antiqua"/>
          <w:caps/>
          <w:color w:val="000000"/>
          <w:lang w:eastAsia="zh-CN"/>
        </w:rPr>
        <w:t>v</w:t>
      </w:r>
      <w:r w:rsidRPr="00023C89">
        <w:rPr>
          <w:rFonts w:ascii="Book Antiqua" w:hAnsi="Book Antiqua" w:cs="Book Antiqua"/>
          <w:color w:val="000000"/>
          <w:lang w:eastAsia="zh-CN"/>
        </w:rPr>
        <w:t xml:space="preserve">olcano map, </w:t>
      </w:r>
      <w:r w:rsidR="00687F2B" w:rsidRPr="00023C89">
        <w:rPr>
          <w:rFonts w:ascii="Book Antiqua" w:hAnsi="Book Antiqua" w:cs="Book Antiqua"/>
          <w:color w:val="000000"/>
          <w:lang w:eastAsia="zh-CN"/>
        </w:rPr>
        <w:t xml:space="preserve">in which the </w:t>
      </w:r>
      <w:r w:rsidRPr="00023C89">
        <w:rPr>
          <w:rFonts w:ascii="Book Antiqua" w:hAnsi="Book Antiqua" w:cs="Book Antiqua"/>
          <w:color w:val="000000"/>
          <w:lang w:eastAsia="zh-CN"/>
        </w:rPr>
        <w:t>red node</w:t>
      </w:r>
      <w:r w:rsidR="00687F2B" w:rsidRPr="00023C89">
        <w:rPr>
          <w:rFonts w:ascii="Book Antiqua" w:hAnsi="Book Antiqua" w:cs="Book Antiqua"/>
          <w:color w:val="000000"/>
          <w:lang w:eastAsia="zh-CN"/>
        </w:rPr>
        <w:t xml:space="preserve"> represents the</w:t>
      </w:r>
      <w:r w:rsidRPr="00023C89">
        <w:rPr>
          <w:rFonts w:ascii="Book Antiqua" w:hAnsi="Book Antiqua" w:cs="Book Antiqua"/>
          <w:color w:val="000000"/>
          <w:lang w:eastAsia="zh-CN"/>
        </w:rPr>
        <w:t xml:space="preserve"> upregulated differentially expressed genes (DEGs)</w:t>
      </w:r>
      <w:r w:rsidR="00687F2B" w:rsidRPr="00023C89">
        <w:rPr>
          <w:rFonts w:ascii="Book Antiqua" w:hAnsi="Book Antiqua" w:cs="Book Antiqua"/>
          <w:color w:val="000000"/>
          <w:lang w:eastAsia="zh-CN"/>
        </w:rPr>
        <w:t xml:space="preserve"> and the</w:t>
      </w:r>
      <w:r w:rsidRPr="00023C89">
        <w:rPr>
          <w:rFonts w:ascii="Book Antiqua" w:hAnsi="Book Antiqua" w:cs="Book Antiqua"/>
          <w:color w:val="000000"/>
          <w:lang w:eastAsia="zh-CN"/>
        </w:rPr>
        <w:t xml:space="preserve"> blue node</w:t>
      </w:r>
      <w:r w:rsidR="00687F2B" w:rsidRPr="00023C89">
        <w:rPr>
          <w:rFonts w:ascii="Book Antiqua" w:hAnsi="Book Antiqua" w:cs="Book Antiqua"/>
          <w:color w:val="000000"/>
          <w:lang w:eastAsia="zh-CN"/>
        </w:rPr>
        <w:t xml:space="preserve"> represents the </w:t>
      </w:r>
      <w:r w:rsidRPr="00023C89">
        <w:rPr>
          <w:rFonts w:ascii="Book Antiqua" w:hAnsi="Book Antiqua" w:cs="Book Antiqua"/>
          <w:color w:val="000000"/>
          <w:lang w:eastAsia="zh-CN"/>
        </w:rPr>
        <w:t xml:space="preserve">downregulated DEGs; B: </w:t>
      </w:r>
      <w:r w:rsidRPr="00023C89">
        <w:rPr>
          <w:rFonts w:ascii="Book Antiqua" w:hAnsi="Book Antiqua" w:cs="Book Antiqua"/>
          <w:caps/>
          <w:color w:val="000000"/>
          <w:lang w:eastAsia="zh-CN"/>
        </w:rPr>
        <w:t>h</w:t>
      </w:r>
      <w:r w:rsidRPr="00023C89">
        <w:rPr>
          <w:rFonts w:ascii="Book Antiqua" w:hAnsi="Book Antiqua" w:cs="Book Antiqua"/>
          <w:color w:val="000000"/>
          <w:lang w:eastAsia="zh-CN"/>
        </w:rPr>
        <w:t>eatmap of DEGs.</w:t>
      </w:r>
    </w:p>
    <w:p w14:paraId="58313F00" w14:textId="4366E5C0" w:rsidR="000C6EFE" w:rsidRPr="00023C89" w:rsidRDefault="000C6EFE" w:rsidP="00D0748F">
      <w:pPr>
        <w:spacing w:line="360" w:lineRule="auto"/>
        <w:jc w:val="both"/>
        <w:rPr>
          <w:rFonts w:ascii="Book Antiqua" w:hAnsi="Book Antiqua" w:cs="Book Antiqua"/>
          <w:color w:val="000000"/>
          <w:lang w:eastAsia="zh-CN"/>
        </w:rPr>
      </w:pPr>
      <w:r w:rsidRPr="00023C89">
        <w:rPr>
          <w:rFonts w:ascii="Book Antiqua" w:hAnsi="Book Antiqua" w:cs="Book Antiqua"/>
          <w:color w:val="000000"/>
          <w:lang w:eastAsia="zh-CN"/>
        </w:rPr>
        <w:br w:type="page"/>
      </w:r>
    </w:p>
    <w:p w14:paraId="5D88CD71" w14:textId="48ADBEB8" w:rsidR="00164608" w:rsidRPr="00023C89" w:rsidRDefault="008E5529" w:rsidP="00D074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2C04789E" wp14:editId="77B72906">
            <wp:extent cx="5875655" cy="6156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5655" cy="6156325"/>
                    </a:xfrm>
                    <a:prstGeom prst="rect">
                      <a:avLst/>
                    </a:prstGeom>
                    <a:noFill/>
                    <a:ln>
                      <a:noFill/>
                    </a:ln>
                  </pic:spPr>
                </pic:pic>
              </a:graphicData>
            </a:graphic>
          </wp:inline>
        </w:drawing>
      </w:r>
    </w:p>
    <w:p w14:paraId="744AB7AB" w14:textId="77777777" w:rsidR="000C6EFE" w:rsidRPr="00023C89" w:rsidRDefault="000C6EFE" w:rsidP="00D0748F">
      <w:pPr>
        <w:spacing w:line="360" w:lineRule="auto"/>
        <w:jc w:val="both"/>
        <w:rPr>
          <w:rFonts w:ascii="Book Antiqua" w:hAnsi="Book Antiqua" w:cs="Book Antiqua"/>
          <w:color w:val="000000"/>
          <w:lang w:eastAsia="zh-CN"/>
        </w:rPr>
      </w:pPr>
      <w:r w:rsidRPr="00023C89">
        <w:rPr>
          <w:rFonts w:ascii="Book Antiqua" w:hAnsi="Book Antiqua" w:cs="Book Antiqua"/>
          <w:b/>
          <w:bCs/>
          <w:color w:val="000000"/>
          <w:lang w:eastAsia="zh-CN"/>
        </w:rPr>
        <w:t>Figure 2</w:t>
      </w:r>
      <w:r w:rsidRPr="00023C89">
        <w:rPr>
          <w:rFonts w:ascii="Book Antiqua" w:hAnsi="Book Antiqua" w:cs="Book Antiqua"/>
          <w:b/>
          <w:color w:val="000000"/>
          <w:lang w:eastAsia="zh-CN"/>
        </w:rPr>
        <w:t xml:space="preserve"> </w:t>
      </w:r>
      <w:r w:rsidRPr="00023C89">
        <w:rPr>
          <w:rFonts w:ascii="Book Antiqua" w:hAnsi="Book Antiqua" w:cs="Book Antiqua"/>
          <w:b/>
          <w:bCs/>
          <w:color w:val="000000"/>
          <w:lang w:eastAsia="zh-CN"/>
        </w:rPr>
        <w:t>Gene Ontology and Kyoto Encyclopedia of Genes and Genomes analysis of enrichment for differentially expressed genes.</w:t>
      </w:r>
      <w:r w:rsidRPr="00023C89">
        <w:rPr>
          <w:rFonts w:ascii="Book Antiqua" w:hAnsi="Book Antiqua" w:cs="Book Antiqua"/>
          <w:b/>
          <w:color w:val="000000"/>
          <w:lang w:eastAsia="zh-CN"/>
        </w:rPr>
        <w:t xml:space="preserve"> </w:t>
      </w:r>
      <w:r w:rsidRPr="00023C89">
        <w:rPr>
          <w:rFonts w:ascii="Book Antiqua" w:hAnsi="Book Antiqua" w:cs="Book Antiqua"/>
          <w:color w:val="000000"/>
          <w:lang w:eastAsia="zh-CN"/>
        </w:rPr>
        <w:t xml:space="preserve">A: </w:t>
      </w:r>
      <w:r w:rsidRPr="00023C89">
        <w:rPr>
          <w:rFonts w:ascii="Book Antiqua" w:hAnsi="Book Antiqua" w:cs="Book Antiqua"/>
          <w:caps/>
          <w:color w:val="000000"/>
          <w:lang w:eastAsia="zh-CN"/>
        </w:rPr>
        <w:t>b</w:t>
      </w:r>
      <w:r w:rsidRPr="00023C89">
        <w:rPr>
          <w:rFonts w:ascii="Book Antiqua" w:hAnsi="Book Antiqua" w:cs="Book Antiqua"/>
          <w:color w:val="000000"/>
          <w:lang w:eastAsia="zh-CN"/>
        </w:rPr>
        <w:t xml:space="preserve">iological process; B: </w:t>
      </w:r>
      <w:r w:rsidRPr="00023C89">
        <w:rPr>
          <w:rFonts w:ascii="Book Antiqua" w:hAnsi="Book Antiqua" w:cs="Book Antiqua"/>
          <w:caps/>
          <w:color w:val="000000"/>
          <w:lang w:eastAsia="zh-CN"/>
        </w:rPr>
        <w:t>c</w:t>
      </w:r>
      <w:r w:rsidRPr="00023C89">
        <w:rPr>
          <w:rFonts w:ascii="Book Antiqua" w:hAnsi="Book Antiqua" w:cs="Book Antiqua"/>
          <w:color w:val="000000"/>
          <w:lang w:eastAsia="zh-CN"/>
        </w:rPr>
        <w:t xml:space="preserve">ellular component; C: </w:t>
      </w:r>
      <w:r w:rsidRPr="00023C89">
        <w:rPr>
          <w:rFonts w:ascii="Book Antiqua" w:hAnsi="Book Antiqua" w:cs="Book Antiqua"/>
          <w:caps/>
          <w:color w:val="000000"/>
          <w:lang w:eastAsia="zh-CN"/>
        </w:rPr>
        <w:t>m</w:t>
      </w:r>
      <w:r w:rsidRPr="00023C89">
        <w:rPr>
          <w:rFonts w:ascii="Book Antiqua" w:hAnsi="Book Antiqua" w:cs="Book Antiqua"/>
          <w:color w:val="000000"/>
          <w:lang w:eastAsia="zh-CN"/>
        </w:rPr>
        <w:t xml:space="preserve">olecular function; D: </w:t>
      </w:r>
      <w:r w:rsidRPr="00023C89">
        <w:rPr>
          <w:rFonts w:ascii="Book Antiqua" w:hAnsi="Book Antiqua" w:cs="Book Antiqua"/>
          <w:bCs/>
          <w:color w:val="000000"/>
          <w:lang w:eastAsia="zh-CN"/>
        </w:rPr>
        <w:t>Kyoto Encyclopedia of Genes and Genomes</w:t>
      </w:r>
      <w:r w:rsidRPr="00023C89">
        <w:rPr>
          <w:rFonts w:ascii="Book Antiqua" w:hAnsi="Book Antiqua" w:cs="Book Antiqua"/>
          <w:color w:val="000000"/>
          <w:lang w:eastAsia="zh-CN"/>
        </w:rPr>
        <w:t>.</w:t>
      </w:r>
    </w:p>
    <w:p w14:paraId="7174FEB3" w14:textId="0DD94A1D" w:rsidR="000C6EFE" w:rsidRPr="00023C89" w:rsidRDefault="00C16EE9" w:rsidP="00D0748F">
      <w:pPr>
        <w:spacing w:line="360" w:lineRule="auto"/>
        <w:jc w:val="both"/>
        <w:rPr>
          <w:rFonts w:ascii="Book Antiqua" w:hAnsi="Book Antiqua" w:cs="Book Antiqua"/>
          <w:color w:val="000000"/>
          <w:lang w:eastAsia="zh-CN"/>
        </w:rPr>
      </w:pPr>
      <w:r w:rsidRPr="00023C89">
        <w:rPr>
          <w:rFonts w:ascii="Book Antiqua" w:hAnsi="Book Antiqua" w:cs="Book Antiqua"/>
          <w:color w:val="000000"/>
          <w:lang w:eastAsia="zh-CN"/>
        </w:rPr>
        <w:br w:type="page"/>
      </w:r>
    </w:p>
    <w:p w14:paraId="63FCFF78" w14:textId="136A87A3" w:rsidR="00164608" w:rsidRPr="00023C89" w:rsidRDefault="008E5529" w:rsidP="00D074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A7E7C4E" wp14:editId="01BB8F06">
            <wp:extent cx="5577205" cy="8220710"/>
            <wp:effectExtent l="0" t="0" r="444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7205" cy="8220710"/>
                    </a:xfrm>
                    <a:prstGeom prst="rect">
                      <a:avLst/>
                    </a:prstGeom>
                    <a:noFill/>
                    <a:ln>
                      <a:noFill/>
                    </a:ln>
                  </pic:spPr>
                </pic:pic>
              </a:graphicData>
            </a:graphic>
          </wp:inline>
        </w:drawing>
      </w:r>
    </w:p>
    <w:p w14:paraId="305C024E" w14:textId="2CF7BED3" w:rsidR="000C6EFE" w:rsidRPr="00023C89" w:rsidRDefault="000C6EFE" w:rsidP="00D0748F">
      <w:pPr>
        <w:spacing w:line="360" w:lineRule="auto"/>
        <w:jc w:val="both"/>
        <w:rPr>
          <w:rFonts w:ascii="Book Antiqua" w:hAnsi="Book Antiqua" w:cs="Book Antiqua"/>
          <w:color w:val="000000"/>
          <w:lang w:eastAsia="zh-CN"/>
        </w:rPr>
      </w:pPr>
      <w:r w:rsidRPr="00023C89">
        <w:rPr>
          <w:rFonts w:ascii="Book Antiqua" w:hAnsi="Book Antiqua" w:cs="Book Antiqua"/>
          <w:b/>
          <w:bCs/>
          <w:color w:val="000000"/>
          <w:lang w:eastAsia="zh-CN"/>
        </w:rPr>
        <w:t xml:space="preserve">Figure 3 Gene </w:t>
      </w:r>
      <w:r w:rsidR="00C16EE9" w:rsidRPr="00023C89">
        <w:rPr>
          <w:rFonts w:ascii="Book Antiqua" w:hAnsi="Book Antiqua" w:cs="Book Antiqua"/>
          <w:b/>
          <w:bCs/>
          <w:color w:val="000000"/>
          <w:lang w:eastAsia="zh-CN"/>
        </w:rPr>
        <w:t>set enrichment anal</w:t>
      </w:r>
      <w:r w:rsidRPr="00023C89">
        <w:rPr>
          <w:rFonts w:ascii="Book Antiqua" w:hAnsi="Book Antiqua" w:cs="Book Antiqua"/>
          <w:b/>
          <w:bCs/>
          <w:color w:val="000000"/>
          <w:lang w:eastAsia="zh-CN"/>
        </w:rPr>
        <w:t>ys</w:t>
      </w:r>
      <w:r w:rsidR="00A11EB1" w:rsidRPr="00023C89">
        <w:rPr>
          <w:rFonts w:ascii="Book Antiqua" w:hAnsi="Book Antiqua" w:cs="Book Antiqua"/>
          <w:b/>
          <w:bCs/>
          <w:color w:val="000000"/>
          <w:lang w:eastAsia="zh-CN"/>
        </w:rPr>
        <w:t>e</w:t>
      </w:r>
      <w:r w:rsidRPr="00023C89">
        <w:rPr>
          <w:rFonts w:ascii="Book Antiqua" w:hAnsi="Book Antiqua" w:cs="Book Antiqua"/>
          <w:b/>
          <w:bCs/>
          <w:color w:val="000000"/>
          <w:lang w:eastAsia="zh-CN"/>
        </w:rPr>
        <w:t>s of enrichment of differentially expressed genes.</w:t>
      </w:r>
      <w:r w:rsidRPr="00023C89">
        <w:rPr>
          <w:rFonts w:ascii="Book Antiqua" w:hAnsi="Book Antiqua" w:cs="Book Antiqua"/>
          <w:bCs/>
          <w:color w:val="000000"/>
          <w:lang w:eastAsia="zh-CN"/>
        </w:rPr>
        <w:t xml:space="preserve"> </w:t>
      </w:r>
      <w:r w:rsidRPr="00023C89">
        <w:rPr>
          <w:rFonts w:ascii="Book Antiqua" w:hAnsi="Book Antiqua" w:cs="Book Antiqua"/>
          <w:color w:val="000000"/>
          <w:lang w:eastAsia="zh-CN"/>
        </w:rPr>
        <w:t xml:space="preserve">A: </w:t>
      </w:r>
      <w:r w:rsidRPr="00023C89">
        <w:rPr>
          <w:rFonts w:ascii="Book Antiqua" w:hAnsi="Book Antiqua" w:cs="Book Antiqua"/>
          <w:caps/>
          <w:color w:val="000000"/>
          <w:lang w:eastAsia="zh-CN"/>
        </w:rPr>
        <w:t>h</w:t>
      </w:r>
      <w:r w:rsidRPr="00023C89">
        <w:rPr>
          <w:rFonts w:ascii="Book Antiqua" w:hAnsi="Book Antiqua" w:cs="Book Antiqua"/>
          <w:color w:val="000000"/>
          <w:lang w:eastAsia="zh-CN"/>
        </w:rPr>
        <w:t xml:space="preserve">eart development; B: </w:t>
      </w:r>
      <w:r w:rsidRPr="00023C89">
        <w:rPr>
          <w:rFonts w:ascii="Book Antiqua" w:hAnsi="Book Antiqua" w:cs="Book Antiqua"/>
          <w:caps/>
          <w:color w:val="000000"/>
          <w:lang w:eastAsia="zh-CN"/>
        </w:rPr>
        <w:t>r</w:t>
      </w:r>
      <w:r w:rsidRPr="00023C89">
        <w:rPr>
          <w:rFonts w:ascii="Book Antiqua" w:hAnsi="Book Antiqua" w:cs="Book Antiqua"/>
          <w:color w:val="000000"/>
          <w:lang w:eastAsia="zh-CN"/>
        </w:rPr>
        <w:t xml:space="preserve">esponse to ischemia; C: </w:t>
      </w:r>
      <w:r w:rsidRPr="00023C89">
        <w:rPr>
          <w:rFonts w:ascii="Book Antiqua" w:hAnsi="Book Antiqua" w:cs="Book Antiqua"/>
          <w:caps/>
          <w:color w:val="000000"/>
          <w:lang w:eastAsia="zh-CN"/>
        </w:rPr>
        <w:t>v</w:t>
      </w:r>
      <w:r w:rsidRPr="00023C89">
        <w:rPr>
          <w:rFonts w:ascii="Book Antiqua" w:hAnsi="Book Antiqua" w:cs="Book Antiqua"/>
          <w:color w:val="000000"/>
          <w:lang w:eastAsia="zh-CN"/>
        </w:rPr>
        <w:t xml:space="preserve">ascular smooth muscle cell differentiation; D: </w:t>
      </w:r>
      <w:r w:rsidRPr="00023C89">
        <w:rPr>
          <w:rFonts w:ascii="Book Antiqua" w:hAnsi="Book Antiqua" w:cs="Book Antiqua"/>
          <w:caps/>
          <w:color w:val="000000"/>
          <w:lang w:eastAsia="zh-CN"/>
        </w:rPr>
        <w:t>r</w:t>
      </w:r>
      <w:r w:rsidRPr="00023C89">
        <w:rPr>
          <w:rFonts w:ascii="Book Antiqua" w:hAnsi="Book Antiqua" w:cs="Book Antiqua"/>
          <w:color w:val="000000"/>
          <w:lang w:eastAsia="zh-CN"/>
        </w:rPr>
        <w:t xml:space="preserve">esponse to transforming growth factor beta; E: </w:t>
      </w:r>
      <w:r w:rsidRPr="00023C89">
        <w:rPr>
          <w:rFonts w:ascii="Book Antiqua" w:hAnsi="Book Antiqua" w:cs="Book Antiqua"/>
          <w:caps/>
          <w:color w:val="000000"/>
          <w:lang w:eastAsia="zh-CN"/>
        </w:rPr>
        <w:t>s</w:t>
      </w:r>
      <w:r w:rsidRPr="00023C89">
        <w:rPr>
          <w:rFonts w:ascii="Book Antiqua" w:hAnsi="Book Antiqua" w:cs="Book Antiqua"/>
          <w:color w:val="000000"/>
          <w:lang w:eastAsia="zh-CN"/>
        </w:rPr>
        <w:t xml:space="preserve">tem cell proliferation; F: </w:t>
      </w:r>
      <w:r w:rsidRPr="00023C89">
        <w:rPr>
          <w:rFonts w:ascii="Book Antiqua" w:hAnsi="Book Antiqua" w:cs="Book Antiqua"/>
          <w:caps/>
          <w:color w:val="000000"/>
          <w:lang w:eastAsia="zh-CN"/>
        </w:rPr>
        <w:t>r</w:t>
      </w:r>
      <w:r w:rsidRPr="00023C89">
        <w:rPr>
          <w:rFonts w:ascii="Book Antiqua" w:hAnsi="Book Antiqua" w:cs="Book Antiqua"/>
          <w:color w:val="000000"/>
          <w:lang w:eastAsia="zh-CN"/>
        </w:rPr>
        <w:t>egulation of mitochondrial fission.</w:t>
      </w:r>
    </w:p>
    <w:p w14:paraId="54D125C1" w14:textId="5E038D9B" w:rsidR="000C6EFE" w:rsidRPr="00023C89" w:rsidRDefault="000C6EFE" w:rsidP="00D0748F">
      <w:pPr>
        <w:spacing w:line="360" w:lineRule="auto"/>
        <w:jc w:val="both"/>
        <w:rPr>
          <w:rFonts w:ascii="Book Antiqua" w:hAnsi="Book Antiqua" w:cs="Book Antiqua"/>
          <w:b/>
          <w:color w:val="000000"/>
          <w:lang w:eastAsia="zh-CN"/>
        </w:rPr>
      </w:pPr>
      <w:r w:rsidRPr="00023C89">
        <w:rPr>
          <w:rFonts w:ascii="Book Antiqua" w:hAnsi="Book Antiqua" w:cs="Book Antiqua"/>
          <w:color w:val="000000"/>
          <w:lang w:eastAsia="zh-CN"/>
        </w:rPr>
        <w:br w:type="page"/>
      </w:r>
    </w:p>
    <w:p w14:paraId="1B3F651C" w14:textId="77777777" w:rsidR="008E5529" w:rsidRDefault="008E5529" w:rsidP="00D0748F">
      <w:pPr>
        <w:spacing w:line="360" w:lineRule="auto"/>
        <w:jc w:val="both"/>
        <w:rPr>
          <w:rFonts w:ascii="Book Antiqua" w:hAnsi="Book Antiqua" w:cs="Book Antiqua"/>
          <w:b/>
          <w:bCs/>
          <w:noProof/>
          <w:color w:val="000000"/>
          <w:lang w:eastAsia="zh-CN"/>
        </w:rPr>
      </w:pPr>
    </w:p>
    <w:p w14:paraId="495C4C9F" w14:textId="4DB4E04B" w:rsidR="00164608" w:rsidRPr="00023C89" w:rsidRDefault="008E5529" w:rsidP="00D074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33E60FC" wp14:editId="154D3347">
            <wp:extent cx="5839460" cy="3557905"/>
            <wp:effectExtent l="0" t="0" r="889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9460" cy="3557905"/>
                    </a:xfrm>
                    <a:prstGeom prst="rect">
                      <a:avLst/>
                    </a:prstGeom>
                    <a:noFill/>
                    <a:ln>
                      <a:noFill/>
                    </a:ln>
                  </pic:spPr>
                </pic:pic>
              </a:graphicData>
            </a:graphic>
          </wp:inline>
        </w:drawing>
      </w:r>
    </w:p>
    <w:p w14:paraId="76A23886" w14:textId="36D09599" w:rsidR="000C6EFE" w:rsidRPr="00023C89" w:rsidRDefault="000C6EFE" w:rsidP="00D0748F">
      <w:pPr>
        <w:spacing w:line="360" w:lineRule="auto"/>
        <w:jc w:val="both"/>
        <w:rPr>
          <w:rFonts w:ascii="Book Antiqua" w:hAnsi="Book Antiqua" w:cs="Book Antiqua"/>
          <w:color w:val="000000"/>
          <w:lang w:eastAsia="zh-CN"/>
        </w:rPr>
      </w:pPr>
      <w:r w:rsidRPr="00023C89">
        <w:rPr>
          <w:rFonts w:ascii="Book Antiqua" w:hAnsi="Book Antiqua" w:cs="Book Antiqua"/>
          <w:b/>
          <w:bCs/>
          <w:color w:val="000000"/>
          <w:lang w:eastAsia="zh-CN"/>
        </w:rPr>
        <w:t xml:space="preserve">Figure 4 Protein-protein interaction network. </w:t>
      </w:r>
      <w:r w:rsidRPr="00023C89">
        <w:rPr>
          <w:rFonts w:ascii="Book Antiqua" w:hAnsi="Book Antiqua" w:cs="Book Antiqua"/>
          <w:color w:val="000000"/>
          <w:lang w:eastAsia="zh-CN"/>
        </w:rPr>
        <w:t xml:space="preserve">A: </w:t>
      </w:r>
      <w:r w:rsidRPr="00023C89">
        <w:rPr>
          <w:rFonts w:ascii="Book Antiqua" w:hAnsi="Book Antiqua" w:cs="Book Antiqua"/>
          <w:bCs/>
          <w:color w:val="000000"/>
          <w:lang w:eastAsia="zh-CN"/>
        </w:rPr>
        <w:t>Protein-protein interaction</w:t>
      </w:r>
      <w:r w:rsidRPr="00023C89">
        <w:rPr>
          <w:rFonts w:ascii="Book Antiqua" w:hAnsi="Book Antiqua" w:cs="Book Antiqua"/>
          <w:color w:val="000000"/>
          <w:lang w:eastAsia="zh-CN"/>
        </w:rPr>
        <w:t xml:space="preserve"> (PPI) network of differentially expressed genes (DEGs), </w:t>
      </w:r>
      <w:r w:rsidR="00687F2B" w:rsidRPr="00023C89">
        <w:rPr>
          <w:rFonts w:ascii="Book Antiqua" w:hAnsi="Book Antiqua" w:cs="Book Antiqua"/>
          <w:color w:val="000000"/>
          <w:lang w:eastAsia="zh-CN"/>
        </w:rPr>
        <w:t xml:space="preserve">in which the </w:t>
      </w:r>
      <w:r w:rsidRPr="00023C89">
        <w:rPr>
          <w:rFonts w:ascii="Book Antiqua" w:hAnsi="Book Antiqua" w:cs="Book Antiqua"/>
          <w:color w:val="000000"/>
          <w:lang w:eastAsia="zh-CN"/>
        </w:rPr>
        <w:t>red node</w:t>
      </w:r>
      <w:r w:rsidR="00687F2B" w:rsidRPr="00023C89">
        <w:rPr>
          <w:rFonts w:ascii="Book Antiqua" w:hAnsi="Book Antiqua" w:cs="Book Antiqua"/>
          <w:color w:val="000000"/>
          <w:lang w:eastAsia="zh-CN"/>
        </w:rPr>
        <w:t xml:space="preserve"> represents</w:t>
      </w:r>
      <w:r w:rsidRPr="00023C89">
        <w:rPr>
          <w:rFonts w:ascii="Book Antiqua" w:hAnsi="Book Antiqua" w:cs="Book Antiqua"/>
          <w:color w:val="000000"/>
          <w:lang w:eastAsia="zh-CN"/>
        </w:rPr>
        <w:t xml:space="preserve"> upregulated DEGs</w:t>
      </w:r>
      <w:r w:rsidR="00687F2B" w:rsidRPr="00023C89">
        <w:rPr>
          <w:rFonts w:ascii="Book Antiqua" w:hAnsi="Book Antiqua" w:cs="Book Antiqua"/>
          <w:color w:val="000000"/>
          <w:lang w:eastAsia="zh-CN"/>
        </w:rPr>
        <w:t xml:space="preserve"> and the</w:t>
      </w:r>
      <w:r w:rsidRPr="00023C89">
        <w:rPr>
          <w:rFonts w:ascii="Book Antiqua" w:hAnsi="Book Antiqua" w:cs="Book Antiqua"/>
          <w:color w:val="000000"/>
          <w:lang w:eastAsia="zh-CN"/>
        </w:rPr>
        <w:t xml:space="preserve"> green node</w:t>
      </w:r>
      <w:r w:rsidR="00687F2B" w:rsidRPr="00023C89">
        <w:rPr>
          <w:rFonts w:ascii="Book Antiqua" w:hAnsi="Book Antiqua" w:cs="Book Antiqua"/>
          <w:color w:val="000000"/>
          <w:lang w:eastAsia="zh-CN"/>
        </w:rPr>
        <w:t xml:space="preserve"> represents the</w:t>
      </w:r>
      <w:r w:rsidRPr="00023C89">
        <w:rPr>
          <w:rFonts w:ascii="Book Antiqua" w:hAnsi="Book Antiqua" w:cs="Book Antiqua"/>
          <w:color w:val="000000"/>
          <w:lang w:eastAsia="zh-CN"/>
        </w:rPr>
        <w:t xml:space="preserve"> downregulated DEGs; B: </w:t>
      </w:r>
      <w:r w:rsidRPr="00023C89">
        <w:rPr>
          <w:rFonts w:ascii="Book Antiqua" w:hAnsi="Book Antiqua" w:cs="Book Antiqua"/>
          <w:caps/>
          <w:color w:val="000000"/>
          <w:lang w:eastAsia="zh-CN"/>
        </w:rPr>
        <w:t>t</w:t>
      </w:r>
      <w:r w:rsidRPr="00023C89">
        <w:rPr>
          <w:rFonts w:ascii="Book Antiqua" w:hAnsi="Book Antiqua" w:cs="Book Antiqua"/>
          <w:color w:val="000000"/>
          <w:lang w:eastAsia="zh-CN"/>
        </w:rPr>
        <w:t xml:space="preserve">op 10 hub genes; C: </w:t>
      </w:r>
      <w:r w:rsidRPr="00023C89">
        <w:rPr>
          <w:rFonts w:ascii="Book Antiqua" w:hAnsi="Book Antiqua" w:cs="Book Antiqua"/>
          <w:caps/>
          <w:color w:val="000000"/>
          <w:lang w:eastAsia="zh-CN"/>
        </w:rPr>
        <w:t>m</w:t>
      </w:r>
      <w:r w:rsidRPr="00023C89">
        <w:rPr>
          <w:rFonts w:ascii="Book Antiqua" w:hAnsi="Book Antiqua" w:cs="Book Antiqua"/>
          <w:color w:val="000000"/>
          <w:lang w:eastAsia="zh-CN"/>
        </w:rPr>
        <w:t xml:space="preserve">odule 1; D: </w:t>
      </w:r>
      <w:r w:rsidRPr="00023C89">
        <w:rPr>
          <w:rFonts w:ascii="Book Antiqua" w:hAnsi="Book Antiqua" w:cs="Book Antiqua"/>
          <w:caps/>
          <w:color w:val="000000"/>
          <w:lang w:eastAsia="zh-CN"/>
        </w:rPr>
        <w:t>m</w:t>
      </w:r>
      <w:r w:rsidRPr="00023C89">
        <w:rPr>
          <w:rFonts w:ascii="Book Antiqua" w:hAnsi="Book Antiqua" w:cs="Book Antiqua"/>
          <w:color w:val="000000"/>
          <w:lang w:eastAsia="zh-CN"/>
        </w:rPr>
        <w:t xml:space="preserve">odule 2; E: </w:t>
      </w:r>
      <w:r w:rsidRPr="00023C89">
        <w:rPr>
          <w:rFonts w:ascii="Book Antiqua" w:hAnsi="Book Antiqua" w:cs="Book Antiqua"/>
          <w:caps/>
          <w:color w:val="000000"/>
          <w:lang w:eastAsia="zh-CN"/>
        </w:rPr>
        <w:t>m</w:t>
      </w:r>
      <w:r w:rsidRPr="00023C89">
        <w:rPr>
          <w:rFonts w:ascii="Book Antiqua" w:hAnsi="Book Antiqua" w:cs="Book Antiqua"/>
          <w:color w:val="000000"/>
          <w:lang w:eastAsia="zh-CN"/>
        </w:rPr>
        <w:t xml:space="preserve">odule 3; F: </w:t>
      </w:r>
      <w:r w:rsidRPr="00023C89">
        <w:rPr>
          <w:rFonts w:ascii="Book Antiqua" w:hAnsi="Book Antiqua" w:cs="Book Antiqua"/>
          <w:caps/>
          <w:color w:val="000000"/>
          <w:lang w:eastAsia="zh-CN"/>
        </w:rPr>
        <w:t>m</w:t>
      </w:r>
      <w:r w:rsidRPr="00023C89">
        <w:rPr>
          <w:rFonts w:ascii="Book Antiqua" w:hAnsi="Book Antiqua" w:cs="Book Antiqua"/>
          <w:color w:val="000000"/>
          <w:lang w:eastAsia="zh-CN"/>
        </w:rPr>
        <w:t xml:space="preserve">odule 4; G: </w:t>
      </w:r>
      <w:r w:rsidRPr="00023C89">
        <w:rPr>
          <w:rFonts w:ascii="Book Antiqua" w:hAnsi="Book Antiqua" w:cs="Book Antiqua"/>
          <w:caps/>
          <w:color w:val="000000"/>
          <w:lang w:eastAsia="zh-CN"/>
        </w:rPr>
        <w:t>m</w:t>
      </w:r>
      <w:r w:rsidRPr="00023C89">
        <w:rPr>
          <w:rFonts w:ascii="Book Antiqua" w:hAnsi="Book Antiqua" w:cs="Book Antiqua"/>
          <w:color w:val="000000"/>
          <w:lang w:eastAsia="zh-CN"/>
        </w:rPr>
        <w:t>odule 5. Yellow node</w:t>
      </w:r>
      <w:r w:rsidR="00687F2B" w:rsidRPr="00023C89">
        <w:rPr>
          <w:rFonts w:ascii="Book Antiqua" w:hAnsi="Book Antiqua" w:cs="Book Antiqua"/>
          <w:color w:val="000000"/>
          <w:lang w:eastAsia="zh-CN"/>
        </w:rPr>
        <w:t xml:space="preserve"> represents the</w:t>
      </w:r>
      <w:r w:rsidRPr="00023C89">
        <w:rPr>
          <w:rFonts w:ascii="Book Antiqua" w:hAnsi="Book Antiqua" w:cs="Book Antiqua"/>
          <w:caps/>
          <w:color w:val="000000"/>
          <w:lang w:eastAsia="zh-CN"/>
        </w:rPr>
        <w:t xml:space="preserve"> </w:t>
      </w:r>
      <w:r w:rsidR="00687F2B" w:rsidRPr="00023C89">
        <w:rPr>
          <w:rFonts w:ascii="Book Antiqua" w:hAnsi="Book Antiqua" w:cs="Book Antiqua"/>
          <w:caps/>
          <w:color w:val="000000"/>
          <w:lang w:eastAsia="zh-CN"/>
        </w:rPr>
        <w:t>s</w:t>
      </w:r>
      <w:r w:rsidRPr="00023C89">
        <w:rPr>
          <w:rFonts w:ascii="Book Antiqua" w:hAnsi="Book Antiqua" w:cs="Book Antiqua"/>
          <w:color w:val="000000"/>
          <w:lang w:eastAsia="zh-CN"/>
        </w:rPr>
        <w:t>eed gene of each module.</w:t>
      </w:r>
    </w:p>
    <w:p w14:paraId="485F5D99" w14:textId="6D16729F" w:rsidR="000C6EFE" w:rsidRPr="00023C89" w:rsidRDefault="000C6EFE" w:rsidP="00D0748F">
      <w:pPr>
        <w:spacing w:line="360" w:lineRule="auto"/>
        <w:jc w:val="both"/>
        <w:rPr>
          <w:rFonts w:ascii="Book Antiqua" w:hAnsi="Book Antiqua" w:cs="Book Antiqua"/>
          <w:color w:val="000000"/>
          <w:lang w:eastAsia="zh-CN"/>
        </w:rPr>
      </w:pPr>
      <w:r w:rsidRPr="00023C89">
        <w:rPr>
          <w:rFonts w:ascii="Book Antiqua" w:hAnsi="Book Antiqua" w:cs="Book Antiqua"/>
          <w:color w:val="000000"/>
          <w:lang w:eastAsia="zh-CN"/>
        </w:rPr>
        <w:br w:type="page"/>
      </w:r>
    </w:p>
    <w:p w14:paraId="11382072" w14:textId="65CF8380" w:rsidR="00164608" w:rsidRPr="00023C89" w:rsidRDefault="008E5529" w:rsidP="00D074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BB77582" wp14:editId="6EDB155D">
            <wp:extent cx="5939155" cy="545020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5450205"/>
                    </a:xfrm>
                    <a:prstGeom prst="rect">
                      <a:avLst/>
                    </a:prstGeom>
                    <a:noFill/>
                    <a:ln>
                      <a:noFill/>
                    </a:ln>
                  </pic:spPr>
                </pic:pic>
              </a:graphicData>
            </a:graphic>
          </wp:inline>
        </w:drawing>
      </w:r>
    </w:p>
    <w:p w14:paraId="0D96863C" w14:textId="740B5FDE" w:rsidR="000C6EFE" w:rsidRPr="00023C89" w:rsidRDefault="000C6EFE" w:rsidP="00D0748F">
      <w:pPr>
        <w:spacing w:line="360" w:lineRule="auto"/>
        <w:jc w:val="both"/>
        <w:rPr>
          <w:rFonts w:ascii="Book Antiqua" w:hAnsi="Book Antiqua" w:cs="Book Antiqua"/>
          <w:color w:val="000000"/>
          <w:lang w:eastAsia="zh-CN"/>
        </w:rPr>
      </w:pPr>
      <w:r w:rsidRPr="00023C89">
        <w:rPr>
          <w:rFonts w:ascii="Book Antiqua" w:hAnsi="Book Antiqua" w:cs="Book Antiqua"/>
          <w:b/>
          <w:bCs/>
          <w:color w:val="000000"/>
          <w:lang w:eastAsia="zh-CN"/>
        </w:rPr>
        <w:t>Figure 5</w:t>
      </w:r>
      <w:r w:rsidRPr="00023C89">
        <w:rPr>
          <w:rFonts w:ascii="Book Antiqua" w:hAnsi="Book Antiqua" w:cs="Book Antiqua"/>
          <w:b/>
          <w:color w:val="000000"/>
          <w:lang w:eastAsia="zh-CN"/>
        </w:rPr>
        <w:t xml:space="preserve"> </w:t>
      </w:r>
      <w:r w:rsidR="00A11EB1" w:rsidRPr="00023C89">
        <w:rPr>
          <w:rFonts w:ascii="Book Antiqua" w:hAnsi="Book Antiqua" w:cs="Book Antiqua"/>
          <w:b/>
          <w:bCs/>
          <w:color w:val="000000"/>
          <w:lang w:eastAsia="zh-CN"/>
        </w:rPr>
        <w:t>Micro</w:t>
      </w:r>
      <w:r w:rsidRPr="00023C89">
        <w:rPr>
          <w:rFonts w:ascii="Book Antiqua" w:hAnsi="Book Antiqua" w:cs="Book Antiqua"/>
          <w:b/>
          <w:bCs/>
          <w:color w:val="000000"/>
          <w:lang w:eastAsia="zh-CN"/>
        </w:rPr>
        <w:t>RNA-mRNA network.</w:t>
      </w:r>
      <w:r w:rsidRPr="00023C89">
        <w:rPr>
          <w:rFonts w:ascii="Book Antiqua" w:hAnsi="Book Antiqua" w:cs="Book Antiqua"/>
          <w:b/>
          <w:color w:val="000000"/>
          <w:lang w:eastAsia="zh-CN"/>
        </w:rPr>
        <w:t xml:space="preserve"> </w:t>
      </w:r>
      <w:r w:rsidRPr="00023C89">
        <w:rPr>
          <w:rFonts w:ascii="Book Antiqua" w:hAnsi="Book Antiqua" w:cs="Book Antiqua"/>
          <w:color w:val="000000"/>
          <w:lang w:eastAsia="zh-CN"/>
        </w:rPr>
        <w:t>Red node</w:t>
      </w:r>
      <w:r w:rsidR="00687F2B" w:rsidRPr="00023C89">
        <w:rPr>
          <w:rFonts w:ascii="Book Antiqua" w:hAnsi="Book Antiqua" w:cs="Book Antiqua"/>
          <w:color w:val="000000"/>
          <w:lang w:eastAsia="zh-CN"/>
        </w:rPr>
        <w:t xml:space="preserve"> represents the</w:t>
      </w:r>
      <w:r w:rsidRPr="00023C89">
        <w:rPr>
          <w:rFonts w:ascii="Book Antiqua" w:hAnsi="Book Antiqua" w:cs="Book Antiqua"/>
          <w:color w:val="000000"/>
          <w:lang w:eastAsia="zh-CN"/>
        </w:rPr>
        <w:t xml:space="preserve"> </w:t>
      </w:r>
      <w:r w:rsidR="00687F2B" w:rsidRPr="00023C89">
        <w:rPr>
          <w:rFonts w:ascii="Book Antiqua" w:hAnsi="Book Antiqua" w:cs="Book Antiqua"/>
          <w:caps/>
          <w:color w:val="000000"/>
          <w:lang w:eastAsia="zh-CN"/>
        </w:rPr>
        <w:t>h</w:t>
      </w:r>
      <w:r w:rsidRPr="00023C89">
        <w:rPr>
          <w:rFonts w:ascii="Book Antiqua" w:hAnsi="Book Antiqua" w:cs="Book Antiqua"/>
          <w:color w:val="000000"/>
          <w:lang w:eastAsia="zh-CN"/>
        </w:rPr>
        <w:t>ub genes; blue node</w:t>
      </w:r>
      <w:r w:rsidR="00687F2B" w:rsidRPr="00023C89">
        <w:rPr>
          <w:rFonts w:ascii="Book Antiqua" w:hAnsi="Book Antiqua" w:cs="Book Antiqua"/>
          <w:color w:val="000000"/>
          <w:lang w:eastAsia="zh-CN"/>
        </w:rPr>
        <w:t xml:space="preserve"> represents the </w:t>
      </w:r>
      <w:r w:rsidR="00687F2B" w:rsidRPr="00023C89">
        <w:rPr>
          <w:rFonts w:ascii="Book Antiqua" w:hAnsi="Book Antiqua" w:cs="Book Antiqua"/>
          <w:caps/>
          <w:color w:val="000000"/>
          <w:lang w:eastAsia="zh-CN"/>
        </w:rPr>
        <w:t>t</w:t>
      </w:r>
      <w:r w:rsidRPr="00023C89">
        <w:rPr>
          <w:rFonts w:ascii="Book Antiqua" w:hAnsi="Book Antiqua" w:cs="Book Antiqua"/>
          <w:color w:val="000000"/>
          <w:lang w:eastAsia="zh-CN"/>
        </w:rPr>
        <w:t>argeted mi</w:t>
      </w:r>
      <w:r w:rsidR="00A11EB1" w:rsidRPr="00023C89">
        <w:rPr>
          <w:rFonts w:ascii="Book Antiqua" w:hAnsi="Book Antiqua" w:cs="Book Antiqua"/>
          <w:color w:val="000000"/>
          <w:lang w:eastAsia="zh-CN"/>
        </w:rPr>
        <w:t>cro</w:t>
      </w:r>
      <w:r w:rsidRPr="00023C89">
        <w:rPr>
          <w:rFonts w:ascii="Book Antiqua" w:hAnsi="Book Antiqua" w:cs="Book Antiqua"/>
          <w:color w:val="000000"/>
          <w:lang w:eastAsia="zh-CN"/>
        </w:rPr>
        <w:t>RNAs; green node</w:t>
      </w:r>
      <w:r w:rsidR="00687F2B" w:rsidRPr="00023C89">
        <w:rPr>
          <w:rFonts w:ascii="Book Antiqua" w:hAnsi="Book Antiqua" w:cs="Book Antiqua"/>
          <w:color w:val="000000"/>
          <w:lang w:eastAsia="zh-CN"/>
        </w:rPr>
        <w:t xml:space="preserve"> represents the m</w:t>
      </w:r>
      <w:r w:rsidRPr="00023C89">
        <w:rPr>
          <w:rFonts w:ascii="Book Antiqua" w:hAnsi="Book Antiqua" w:cs="Book Antiqua"/>
          <w:color w:val="000000"/>
          <w:lang w:eastAsia="zh-CN"/>
        </w:rPr>
        <w:t>utual targeted miRNAs of ≥ 2 hub genes.</w:t>
      </w:r>
    </w:p>
    <w:p w14:paraId="62A8627E" w14:textId="630D8531" w:rsidR="000C6EFE" w:rsidRPr="00023C89" w:rsidRDefault="000C6EFE" w:rsidP="00D0748F">
      <w:pPr>
        <w:spacing w:line="360" w:lineRule="auto"/>
        <w:jc w:val="both"/>
        <w:rPr>
          <w:rFonts w:ascii="Book Antiqua" w:hAnsi="Book Antiqua" w:cs="Book Antiqua"/>
          <w:color w:val="000000"/>
          <w:lang w:eastAsia="zh-CN"/>
        </w:rPr>
      </w:pPr>
      <w:r w:rsidRPr="00023C89">
        <w:rPr>
          <w:rFonts w:ascii="Book Antiqua" w:hAnsi="Book Antiqua" w:cs="Book Antiqua"/>
          <w:color w:val="000000"/>
          <w:lang w:eastAsia="zh-CN"/>
        </w:rPr>
        <w:br w:type="page"/>
      </w:r>
    </w:p>
    <w:p w14:paraId="18BB9D78" w14:textId="202549CA" w:rsidR="00164608" w:rsidRPr="00023C89" w:rsidRDefault="008E5529" w:rsidP="00D074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4AEC76F" wp14:editId="5F1ABF2F">
            <wp:extent cx="5531485" cy="8229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1485" cy="8229600"/>
                    </a:xfrm>
                    <a:prstGeom prst="rect">
                      <a:avLst/>
                    </a:prstGeom>
                    <a:noFill/>
                    <a:ln>
                      <a:noFill/>
                    </a:ln>
                  </pic:spPr>
                </pic:pic>
              </a:graphicData>
            </a:graphic>
          </wp:inline>
        </w:drawing>
      </w:r>
    </w:p>
    <w:p w14:paraId="70D76C8A" w14:textId="13CB881C" w:rsidR="000C6EFE" w:rsidRPr="00023C89" w:rsidRDefault="000C6EFE" w:rsidP="00D0748F">
      <w:pPr>
        <w:spacing w:line="360" w:lineRule="auto"/>
        <w:jc w:val="both"/>
        <w:rPr>
          <w:rFonts w:ascii="Book Antiqua" w:hAnsi="Book Antiqua" w:cs="Book Antiqua"/>
          <w:color w:val="000000"/>
          <w:lang w:eastAsia="zh-CN"/>
        </w:rPr>
      </w:pPr>
      <w:r w:rsidRPr="00023C89">
        <w:rPr>
          <w:rFonts w:ascii="Book Antiqua" w:hAnsi="Book Antiqua" w:cs="Book Antiqua"/>
          <w:b/>
          <w:bCs/>
          <w:color w:val="000000"/>
          <w:lang w:eastAsia="zh-CN"/>
        </w:rPr>
        <w:t>Figure 6</w:t>
      </w:r>
      <w:r w:rsidRPr="00023C89">
        <w:rPr>
          <w:rFonts w:ascii="Book Antiqua" w:hAnsi="Book Antiqua" w:cs="Book Antiqua"/>
          <w:b/>
          <w:color w:val="000000"/>
          <w:lang w:eastAsia="zh-CN"/>
        </w:rPr>
        <w:t xml:space="preserve"> </w:t>
      </w:r>
      <w:r w:rsidRPr="00023C89">
        <w:rPr>
          <w:rFonts w:ascii="Book Antiqua" w:hAnsi="Book Antiqua" w:cs="Book Antiqua"/>
          <w:b/>
          <w:bCs/>
          <w:color w:val="000000"/>
          <w:lang w:eastAsia="zh-CN"/>
        </w:rPr>
        <w:t>Immune cell infiltration analys</w:t>
      </w:r>
      <w:r w:rsidR="00A11EB1" w:rsidRPr="00023C89">
        <w:rPr>
          <w:rFonts w:ascii="Book Antiqua" w:hAnsi="Book Antiqua" w:cs="Book Antiqua"/>
          <w:b/>
          <w:bCs/>
          <w:color w:val="000000"/>
          <w:lang w:eastAsia="zh-CN"/>
        </w:rPr>
        <w:t>e</w:t>
      </w:r>
      <w:r w:rsidRPr="00023C89">
        <w:rPr>
          <w:rFonts w:ascii="Book Antiqua" w:hAnsi="Book Antiqua" w:cs="Book Antiqua"/>
          <w:b/>
          <w:bCs/>
          <w:color w:val="000000"/>
          <w:lang w:eastAsia="zh-CN"/>
        </w:rPr>
        <w:t>s of differentially expressed genes.</w:t>
      </w:r>
      <w:r w:rsidRPr="00023C89">
        <w:rPr>
          <w:rFonts w:ascii="Book Antiqua" w:hAnsi="Book Antiqua" w:cs="Book Antiqua"/>
          <w:b/>
          <w:color w:val="000000"/>
          <w:lang w:eastAsia="zh-CN"/>
        </w:rPr>
        <w:t xml:space="preserve"> </w:t>
      </w:r>
      <w:r w:rsidRPr="00023C89">
        <w:rPr>
          <w:rFonts w:ascii="Book Antiqua" w:hAnsi="Book Antiqua" w:cs="Book Antiqua"/>
          <w:color w:val="000000"/>
          <w:lang w:eastAsia="zh-CN"/>
        </w:rPr>
        <w:t xml:space="preserve">A: </w:t>
      </w:r>
      <w:r w:rsidRPr="00023C89">
        <w:rPr>
          <w:rFonts w:ascii="Book Antiqua" w:hAnsi="Book Antiqua" w:cs="Book Antiqua"/>
          <w:caps/>
          <w:color w:val="000000"/>
          <w:lang w:eastAsia="zh-CN"/>
        </w:rPr>
        <w:t>v</w:t>
      </w:r>
      <w:r w:rsidRPr="00023C89">
        <w:rPr>
          <w:rFonts w:ascii="Book Antiqua" w:hAnsi="Book Antiqua" w:cs="Book Antiqua"/>
          <w:color w:val="000000"/>
          <w:lang w:eastAsia="zh-CN"/>
        </w:rPr>
        <w:t xml:space="preserve">iolin plot, </w:t>
      </w:r>
      <w:r w:rsidR="00687F2B" w:rsidRPr="00023C89">
        <w:rPr>
          <w:rFonts w:ascii="Book Antiqua" w:hAnsi="Book Antiqua" w:cs="Book Antiqua"/>
          <w:color w:val="000000"/>
          <w:lang w:eastAsia="zh-CN"/>
        </w:rPr>
        <w:t xml:space="preserve">in which </w:t>
      </w:r>
      <w:r w:rsidRPr="00023C89">
        <w:rPr>
          <w:rFonts w:ascii="Book Antiqua" w:hAnsi="Book Antiqua" w:cs="Book Antiqua"/>
          <w:color w:val="000000"/>
          <w:lang w:eastAsia="zh-CN"/>
        </w:rPr>
        <w:t>red</w:t>
      </w:r>
      <w:r w:rsidR="00687F2B" w:rsidRPr="00023C89">
        <w:rPr>
          <w:rFonts w:ascii="Book Antiqua" w:hAnsi="Book Antiqua" w:cs="Book Antiqua"/>
          <w:color w:val="000000"/>
          <w:lang w:eastAsia="zh-CN"/>
        </w:rPr>
        <w:t xml:space="preserve"> represents</w:t>
      </w:r>
      <w:r w:rsidRPr="00023C89">
        <w:rPr>
          <w:rFonts w:ascii="Book Antiqua" w:hAnsi="Book Antiqua" w:cs="Book Antiqua"/>
          <w:color w:val="000000"/>
          <w:lang w:eastAsia="zh-CN"/>
        </w:rPr>
        <w:t xml:space="preserve"> dilated cardiomyopathy group</w:t>
      </w:r>
      <w:r w:rsidR="00687F2B" w:rsidRPr="00023C89">
        <w:rPr>
          <w:rFonts w:ascii="Book Antiqua" w:hAnsi="Book Antiqua" w:cs="Book Antiqua"/>
          <w:color w:val="000000"/>
          <w:lang w:eastAsia="zh-CN"/>
        </w:rPr>
        <w:t xml:space="preserve"> and</w:t>
      </w:r>
      <w:r w:rsidRPr="00023C89">
        <w:rPr>
          <w:rFonts w:ascii="Book Antiqua" w:hAnsi="Book Antiqua" w:cs="Book Antiqua"/>
          <w:color w:val="000000"/>
          <w:lang w:eastAsia="zh-CN"/>
        </w:rPr>
        <w:t xml:space="preserve"> blue</w:t>
      </w:r>
      <w:r w:rsidR="00687F2B" w:rsidRPr="00023C89">
        <w:rPr>
          <w:rFonts w:ascii="Book Antiqua" w:hAnsi="Book Antiqua" w:cs="Book Antiqua"/>
          <w:color w:val="000000"/>
          <w:lang w:eastAsia="zh-CN"/>
        </w:rPr>
        <w:t xml:space="preserve"> represents the</w:t>
      </w:r>
      <w:r w:rsidRPr="00023C89">
        <w:rPr>
          <w:rFonts w:ascii="Book Antiqua" w:hAnsi="Book Antiqua" w:cs="Book Antiqua"/>
          <w:color w:val="000000"/>
          <w:lang w:eastAsia="zh-CN"/>
        </w:rPr>
        <w:t xml:space="preserve"> normal group; B: Principal </w:t>
      </w:r>
      <w:r w:rsidR="00A11EB1" w:rsidRPr="00023C89">
        <w:rPr>
          <w:rFonts w:ascii="Book Antiqua" w:hAnsi="Book Antiqua" w:cs="Book Antiqua"/>
          <w:color w:val="000000"/>
          <w:lang w:eastAsia="zh-CN"/>
        </w:rPr>
        <w:t>c</w:t>
      </w:r>
      <w:r w:rsidRPr="00023C89">
        <w:rPr>
          <w:rFonts w:ascii="Book Antiqua" w:hAnsi="Book Antiqua" w:cs="Book Antiqua"/>
          <w:color w:val="000000"/>
          <w:lang w:eastAsia="zh-CN"/>
        </w:rPr>
        <w:t xml:space="preserve">omponent </w:t>
      </w:r>
      <w:r w:rsidR="00A11EB1" w:rsidRPr="00023C89">
        <w:rPr>
          <w:rFonts w:ascii="Book Antiqua" w:hAnsi="Book Antiqua" w:cs="Book Antiqua"/>
          <w:color w:val="000000"/>
          <w:lang w:eastAsia="zh-CN"/>
        </w:rPr>
        <w:t>a</w:t>
      </w:r>
      <w:r w:rsidRPr="00023C89">
        <w:rPr>
          <w:rFonts w:ascii="Book Antiqua" w:hAnsi="Book Antiqua" w:cs="Book Antiqua"/>
          <w:color w:val="000000"/>
          <w:lang w:eastAsia="zh-CN"/>
        </w:rPr>
        <w:t xml:space="preserve">nalysis; C: </w:t>
      </w:r>
      <w:r w:rsidRPr="00023C89">
        <w:rPr>
          <w:rFonts w:ascii="Book Antiqua" w:hAnsi="Book Antiqua" w:cs="Book Antiqua"/>
          <w:caps/>
          <w:color w:val="000000"/>
          <w:lang w:eastAsia="zh-CN"/>
        </w:rPr>
        <w:t>c</w:t>
      </w:r>
      <w:r w:rsidRPr="00023C89">
        <w:rPr>
          <w:rFonts w:ascii="Book Antiqua" w:hAnsi="Book Antiqua" w:cs="Book Antiqua"/>
          <w:color w:val="000000"/>
          <w:lang w:eastAsia="zh-CN"/>
        </w:rPr>
        <w:t>orrelation heatmap.</w:t>
      </w:r>
    </w:p>
    <w:p w14:paraId="136BD223" w14:textId="77777777" w:rsidR="00AC7B61" w:rsidRPr="00023C89" w:rsidRDefault="00AC7B61" w:rsidP="00D0748F">
      <w:pPr>
        <w:spacing w:line="360" w:lineRule="auto"/>
        <w:jc w:val="both"/>
        <w:rPr>
          <w:rFonts w:ascii="Book Antiqua" w:hAnsi="Book Antiqua" w:cs="Book Antiqua"/>
          <w:b/>
          <w:color w:val="000000"/>
          <w:lang w:eastAsia="zh-CN"/>
        </w:rPr>
      </w:pPr>
    </w:p>
    <w:p w14:paraId="2A6940B0" w14:textId="023145DC" w:rsidR="00D0748F" w:rsidRPr="00023C89" w:rsidRDefault="000C6EFE" w:rsidP="00D0748F">
      <w:pPr>
        <w:spacing w:line="360" w:lineRule="auto"/>
        <w:jc w:val="both"/>
        <w:rPr>
          <w:rFonts w:ascii="Book Antiqua" w:hAnsi="Book Antiqua"/>
          <w:b/>
        </w:rPr>
      </w:pPr>
      <w:r w:rsidRPr="00023C89">
        <w:rPr>
          <w:rFonts w:ascii="Book Antiqua" w:hAnsi="Book Antiqua"/>
          <w:lang w:eastAsia="zh-CN"/>
        </w:rPr>
        <w:br w:type="page"/>
      </w:r>
      <w:r w:rsidR="00D0748F" w:rsidRPr="00023C89">
        <w:rPr>
          <w:rFonts w:ascii="Book Antiqua" w:hAnsi="Book Antiqua"/>
          <w:b/>
        </w:rPr>
        <w:t>Table</w:t>
      </w:r>
      <w:r w:rsidR="00D0748F" w:rsidRPr="00023C89">
        <w:rPr>
          <w:rFonts w:ascii="Book Antiqua" w:hAnsi="Book Antiqua" w:hint="eastAsia"/>
          <w:b/>
          <w:lang w:eastAsia="zh-CN"/>
        </w:rPr>
        <w:t xml:space="preserve"> </w:t>
      </w:r>
      <w:r w:rsidR="00D0748F" w:rsidRPr="00023C89">
        <w:rPr>
          <w:rFonts w:ascii="Book Antiqua" w:hAnsi="Book Antiqua"/>
          <w:b/>
        </w:rPr>
        <w:t xml:space="preserve">1 Top 10 differentially expressed genes in </w:t>
      </w:r>
      <w:r w:rsidR="00A11EB1" w:rsidRPr="00023C89">
        <w:rPr>
          <w:rFonts w:ascii="Book Antiqua" w:hAnsi="Book Antiqua"/>
          <w:b/>
        </w:rPr>
        <w:t xml:space="preserve">the </w:t>
      </w:r>
      <w:r w:rsidR="00D0748F" w:rsidRPr="00023C89">
        <w:rPr>
          <w:rFonts w:ascii="Book Antiqua" w:hAnsi="Book Antiqua"/>
          <w:b/>
        </w:rPr>
        <w:t xml:space="preserve">dilated cardiomyopathy group </w:t>
      </w:r>
      <w:r w:rsidR="00D0748F" w:rsidRPr="00023C89">
        <w:rPr>
          <w:rFonts w:ascii="Book Antiqua" w:hAnsi="Book Antiqua"/>
          <w:b/>
          <w:i/>
          <w:iCs/>
        </w:rPr>
        <w:t>vs</w:t>
      </w:r>
      <w:r w:rsidR="00D0748F" w:rsidRPr="00023C89">
        <w:rPr>
          <w:rFonts w:ascii="Book Antiqua" w:hAnsi="Book Antiqua"/>
          <w:b/>
        </w:rPr>
        <w:t xml:space="preserve"> normal group</w:t>
      </w:r>
    </w:p>
    <w:tbl>
      <w:tblPr>
        <w:tblW w:w="9300" w:type="dxa"/>
        <w:tblLook w:val="04A0" w:firstRow="1" w:lastRow="0" w:firstColumn="1" w:lastColumn="0" w:noHBand="0" w:noVBand="1"/>
      </w:tblPr>
      <w:tblGrid>
        <w:gridCol w:w="1620"/>
        <w:gridCol w:w="1620"/>
        <w:gridCol w:w="2820"/>
        <w:gridCol w:w="1620"/>
        <w:gridCol w:w="1620"/>
      </w:tblGrid>
      <w:tr w:rsidR="00D0748F" w:rsidRPr="00023C89" w14:paraId="7B53C24B" w14:textId="77777777" w:rsidTr="00EE2544">
        <w:trPr>
          <w:trHeight w:val="582"/>
        </w:trPr>
        <w:tc>
          <w:tcPr>
            <w:tcW w:w="1620" w:type="dxa"/>
            <w:tcBorders>
              <w:top w:val="single" w:sz="4" w:space="0" w:color="auto"/>
              <w:left w:val="nil"/>
              <w:bottom w:val="single" w:sz="4" w:space="0" w:color="auto"/>
              <w:right w:val="nil"/>
            </w:tcBorders>
            <w:shd w:val="clear" w:color="auto" w:fill="auto"/>
            <w:noWrap/>
            <w:vAlign w:val="center"/>
            <w:hideMark/>
          </w:tcPr>
          <w:p w14:paraId="22E36DB7" w14:textId="77777777" w:rsidR="00D0748F" w:rsidRPr="00023C89" w:rsidRDefault="00D0748F" w:rsidP="00D0748F">
            <w:pPr>
              <w:spacing w:line="360" w:lineRule="auto"/>
              <w:jc w:val="both"/>
              <w:rPr>
                <w:rFonts w:ascii="Book Antiqua" w:hAnsi="Book Antiqua"/>
                <w:b/>
                <w:color w:val="000000"/>
              </w:rPr>
            </w:pPr>
            <w:r w:rsidRPr="00023C89">
              <w:rPr>
                <w:rFonts w:ascii="Book Antiqua" w:hAnsi="Book Antiqua"/>
                <w:b/>
                <w:color w:val="000000"/>
              </w:rPr>
              <w:t>Expression</w:t>
            </w:r>
          </w:p>
        </w:tc>
        <w:tc>
          <w:tcPr>
            <w:tcW w:w="1620" w:type="dxa"/>
            <w:tcBorders>
              <w:top w:val="single" w:sz="4" w:space="0" w:color="auto"/>
              <w:left w:val="nil"/>
              <w:bottom w:val="single" w:sz="4" w:space="0" w:color="auto"/>
              <w:right w:val="nil"/>
            </w:tcBorders>
            <w:shd w:val="clear" w:color="auto" w:fill="auto"/>
            <w:noWrap/>
            <w:vAlign w:val="center"/>
            <w:hideMark/>
          </w:tcPr>
          <w:p w14:paraId="09F4CDCA" w14:textId="77777777" w:rsidR="00D0748F" w:rsidRPr="00023C89" w:rsidRDefault="00D0748F" w:rsidP="00D0748F">
            <w:pPr>
              <w:spacing w:line="360" w:lineRule="auto"/>
              <w:jc w:val="both"/>
              <w:rPr>
                <w:rFonts w:ascii="Book Antiqua" w:hAnsi="Book Antiqua"/>
                <w:b/>
                <w:color w:val="000000"/>
              </w:rPr>
            </w:pPr>
            <w:r w:rsidRPr="00023C89">
              <w:rPr>
                <w:rFonts w:ascii="Book Antiqua" w:hAnsi="Book Antiqua"/>
                <w:b/>
                <w:color w:val="000000"/>
              </w:rPr>
              <w:t>Gene symbol</w:t>
            </w:r>
          </w:p>
        </w:tc>
        <w:tc>
          <w:tcPr>
            <w:tcW w:w="2820" w:type="dxa"/>
            <w:tcBorders>
              <w:top w:val="single" w:sz="4" w:space="0" w:color="auto"/>
              <w:left w:val="nil"/>
              <w:bottom w:val="single" w:sz="4" w:space="0" w:color="auto"/>
              <w:right w:val="nil"/>
            </w:tcBorders>
            <w:shd w:val="clear" w:color="auto" w:fill="auto"/>
            <w:noWrap/>
            <w:vAlign w:val="center"/>
            <w:hideMark/>
          </w:tcPr>
          <w:p w14:paraId="0F877CBA" w14:textId="77777777" w:rsidR="00D0748F" w:rsidRPr="00023C89" w:rsidRDefault="00D0748F" w:rsidP="00D0748F">
            <w:pPr>
              <w:spacing w:line="360" w:lineRule="auto"/>
              <w:jc w:val="both"/>
              <w:rPr>
                <w:rFonts w:ascii="Book Antiqua" w:hAnsi="Book Antiqua"/>
                <w:b/>
                <w:color w:val="000000"/>
              </w:rPr>
            </w:pPr>
            <w:r w:rsidRPr="00023C89">
              <w:rPr>
                <w:rFonts w:ascii="Book Antiqua" w:hAnsi="Book Antiqua"/>
                <w:b/>
                <w:color w:val="000000"/>
              </w:rPr>
              <w:t>Description</w:t>
            </w:r>
          </w:p>
        </w:tc>
        <w:tc>
          <w:tcPr>
            <w:tcW w:w="1620" w:type="dxa"/>
            <w:tcBorders>
              <w:top w:val="single" w:sz="4" w:space="0" w:color="auto"/>
              <w:left w:val="nil"/>
              <w:bottom w:val="single" w:sz="4" w:space="0" w:color="auto"/>
              <w:right w:val="nil"/>
            </w:tcBorders>
            <w:shd w:val="clear" w:color="auto" w:fill="auto"/>
            <w:noWrap/>
            <w:vAlign w:val="center"/>
            <w:hideMark/>
          </w:tcPr>
          <w:p w14:paraId="5BC8A3D7" w14:textId="77777777" w:rsidR="00D0748F" w:rsidRPr="00023C89" w:rsidRDefault="00D0748F" w:rsidP="00D0748F">
            <w:pPr>
              <w:spacing w:line="360" w:lineRule="auto"/>
              <w:jc w:val="both"/>
              <w:rPr>
                <w:rFonts w:ascii="Book Antiqua" w:hAnsi="Book Antiqua"/>
                <w:b/>
                <w:color w:val="000000"/>
              </w:rPr>
            </w:pPr>
            <w:r w:rsidRPr="00023C89">
              <w:rPr>
                <w:rFonts w:ascii="Book Antiqua" w:hAnsi="Book Antiqua"/>
                <w:b/>
                <w:color w:val="000000"/>
              </w:rPr>
              <w:t>logFC</w:t>
            </w:r>
          </w:p>
        </w:tc>
        <w:tc>
          <w:tcPr>
            <w:tcW w:w="1620" w:type="dxa"/>
            <w:tcBorders>
              <w:top w:val="single" w:sz="4" w:space="0" w:color="auto"/>
              <w:left w:val="nil"/>
              <w:bottom w:val="single" w:sz="4" w:space="0" w:color="auto"/>
              <w:right w:val="nil"/>
            </w:tcBorders>
            <w:shd w:val="clear" w:color="auto" w:fill="auto"/>
            <w:noWrap/>
            <w:vAlign w:val="center"/>
            <w:hideMark/>
          </w:tcPr>
          <w:p w14:paraId="3B4258C1" w14:textId="77777777" w:rsidR="00D0748F" w:rsidRPr="00023C89" w:rsidRDefault="00D0748F" w:rsidP="00D0748F">
            <w:pPr>
              <w:spacing w:line="360" w:lineRule="auto"/>
              <w:jc w:val="both"/>
              <w:rPr>
                <w:rFonts w:ascii="Book Antiqua" w:hAnsi="Book Antiqua"/>
                <w:b/>
                <w:color w:val="000000"/>
                <w:lang w:eastAsia="zh-CN"/>
              </w:rPr>
            </w:pPr>
            <w:r w:rsidRPr="00023C89">
              <w:rPr>
                <w:rFonts w:ascii="Book Antiqua" w:hAnsi="Book Antiqua"/>
                <w:b/>
                <w:color w:val="000000"/>
              </w:rPr>
              <w:t>adj.</w:t>
            </w:r>
            <w:r w:rsidRPr="00023C89">
              <w:rPr>
                <w:rFonts w:ascii="Book Antiqua" w:hAnsi="Book Antiqua"/>
                <w:b/>
                <w:color w:val="000000"/>
                <w:lang w:eastAsia="zh-CN"/>
              </w:rPr>
              <w:t xml:space="preserve"> </w:t>
            </w:r>
            <w:r w:rsidRPr="00023C89">
              <w:rPr>
                <w:rFonts w:ascii="Book Antiqua" w:hAnsi="Book Antiqua"/>
                <w:b/>
                <w:i/>
                <w:color w:val="000000"/>
              </w:rPr>
              <w:t>P</w:t>
            </w:r>
            <w:r w:rsidRPr="00023C89">
              <w:rPr>
                <w:rFonts w:ascii="Book Antiqua" w:hAnsi="Book Antiqua"/>
                <w:b/>
                <w:color w:val="000000"/>
                <w:lang w:eastAsia="zh-CN"/>
              </w:rPr>
              <w:t xml:space="preserve"> value</w:t>
            </w:r>
          </w:p>
        </w:tc>
      </w:tr>
      <w:tr w:rsidR="00D0748F" w:rsidRPr="00023C89" w14:paraId="205B31D1" w14:textId="77777777" w:rsidTr="00EE2544">
        <w:trPr>
          <w:trHeight w:val="582"/>
        </w:trPr>
        <w:tc>
          <w:tcPr>
            <w:tcW w:w="1620" w:type="dxa"/>
            <w:tcBorders>
              <w:top w:val="nil"/>
              <w:left w:val="nil"/>
              <w:bottom w:val="nil"/>
              <w:right w:val="nil"/>
            </w:tcBorders>
            <w:shd w:val="clear" w:color="auto" w:fill="auto"/>
            <w:noWrap/>
            <w:vAlign w:val="bottom"/>
            <w:hideMark/>
          </w:tcPr>
          <w:p w14:paraId="5751C3CF"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76D1D31B"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ASPN</w:t>
            </w:r>
          </w:p>
        </w:tc>
        <w:tc>
          <w:tcPr>
            <w:tcW w:w="2820" w:type="dxa"/>
            <w:tcBorders>
              <w:top w:val="nil"/>
              <w:left w:val="nil"/>
              <w:bottom w:val="nil"/>
              <w:right w:val="nil"/>
            </w:tcBorders>
            <w:shd w:val="clear" w:color="auto" w:fill="auto"/>
            <w:vAlign w:val="center"/>
            <w:hideMark/>
          </w:tcPr>
          <w:p w14:paraId="6A9CBD20"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a</w:t>
            </w:r>
            <w:r w:rsidRPr="00023C89">
              <w:rPr>
                <w:rFonts w:ascii="Book Antiqua" w:hAnsi="Book Antiqua"/>
                <w:color w:val="000000"/>
              </w:rPr>
              <w:t>sporin</w:t>
            </w:r>
          </w:p>
        </w:tc>
        <w:tc>
          <w:tcPr>
            <w:tcW w:w="1620" w:type="dxa"/>
            <w:tcBorders>
              <w:top w:val="nil"/>
              <w:left w:val="nil"/>
              <w:bottom w:val="nil"/>
              <w:right w:val="nil"/>
            </w:tcBorders>
            <w:shd w:val="clear" w:color="auto" w:fill="auto"/>
            <w:noWrap/>
            <w:vAlign w:val="center"/>
            <w:hideMark/>
          </w:tcPr>
          <w:p w14:paraId="1A105A75"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2.31 </w:t>
            </w:r>
          </w:p>
        </w:tc>
        <w:tc>
          <w:tcPr>
            <w:tcW w:w="1620" w:type="dxa"/>
            <w:tcBorders>
              <w:top w:val="nil"/>
              <w:left w:val="nil"/>
              <w:bottom w:val="nil"/>
              <w:right w:val="nil"/>
            </w:tcBorders>
            <w:shd w:val="clear" w:color="auto" w:fill="auto"/>
            <w:noWrap/>
            <w:vAlign w:val="center"/>
            <w:hideMark/>
          </w:tcPr>
          <w:p w14:paraId="006AE837"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3.05E-22</w:t>
            </w:r>
          </w:p>
        </w:tc>
      </w:tr>
      <w:tr w:rsidR="00D0748F" w:rsidRPr="00023C89" w14:paraId="3A067029" w14:textId="77777777" w:rsidTr="00EE2544">
        <w:trPr>
          <w:trHeight w:val="582"/>
        </w:trPr>
        <w:tc>
          <w:tcPr>
            <w:tcW w:w="1620" w:type="dxa"/>
            <w:tcBorders>
              <w:top w:val="nil"/>
              <w:left w:val="nil"/>
              <w:bottom w:val="nil"/>
              <w:right w:val="nil"/>
            </w:tcBorders>
            <w:shd w:val="clear" w:color="auto" w:fill="auto"/>
            <w:noWrap/>
            <w:vAlign w:val="bottom"/>
            <w:hideMark/>
          </w:tcPr>
          <w:p w14:paraId="6592DC5E"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4E1CE564"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NPPA</w:t>
            </w:r>
          </w:p>
        </w:tc>
        <w:tc>
          <w:tcPr>
            <w:tcW w:w="2820" w:type="dxa"/>
            <w:tcBorders>
              <w:top w:val="nil"/>
              <w:left w:val="nil"/>
              <w:bottom w:val="nil"/>
              <w:right w:val="nil"/>
            </w:tcBorders>
            <w:shd w:val="clear" w:color="auto" w:fill="auto"/>
            <w:vAlign w:val="center"/>
            <w:hideMark/>
          </w:tcPr>
          <w:p w14:paraId="45990A64"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n</w:t>
            </w:r>
            <w:r w:rsidRPr="00023C89">
              <w:rPr>
                <w:rFonts w:ascii="Book Antiqua" w:hAnsi="Book Antiqua"/>
                <w:color w:val="000000"/>
              </w:rPr>
              <w:t>atriuretic peptide A</w:t>
            </w:r>
          </w:p>
        </w:tc>
        <w:tc>
          <w:tcPr>
            <w:tcW w:w="1620" w:type="dxa"/>
            <w:tcBorders>
              <w:top w:val="nil"/>
              <w:left w:val="nil"/>
              <w:bottom w:val="nil"/>
              <w:right w:val="nil"/>
            </w:tcBorders>
            <w:shd w:val="clear" w:color="auto" w:fill="auto"/>
            <w:noWrap/>
            <w:vAlign w:val="center"/>
            <w:hideMark/>
          </w:tcPr>
          <w:p w14:paraId="1B3068BC"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2.08 </w:t>
            </w:r>
          </w:p>
        </w:tc>
        <w:tc>
          <w:tcPr>
            <w:tcW w:w="1620" w:type="dxa"/>
            <w:tcBorders>
              <w:top w:val="nil"/>
              <w:left w:val="nil"/>
              <w:bottom w:val="nil"/>
              <w:right w:val="nil"/>
            </w:tcBorders>
            <w:shd w:val="clear" w:color="auto" w:fill="auto"/>
            <w:noWrap/>
            <w:vAlign w:val="center"/>
            <w:hideMark/>
          </w:tcPr>
          <w:p w14:paraId="2B2EB5F0"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1.26E-11</w:t>
            </w:r>
          </w:p>
        </w:tc>
      </w:tr>
      <w:tr w:rsidR="00D0748F" w:rsidRPr="00023C89" w14:paraId="4E1F94FC" w14:textId="77777777" w:rsidTr="00EE2544">
        <w:trPr>
          <w:trHeight w:val="582"/>
        </w:trPr>
        <w:tc>
          <w:tcPr>
            <w:tcW w:w="1620" w:type="dxa"/>
            <w:tcBorders>
              <w:top w:val="nil"/>
              <w:left w:val="nil"/>
              <w:bottom w:val="nil"/>
              <w:right w:val="nil"/>
            </w:tcBorders>
            <w:shd w:val="clear" w:color="auto" w:fill="auto"/>
            <w:noWrap/>
            <w:vAlign w:val="bottom"/>
            <w:hideMark/>
          </w:tcPr>
          <w:p w14:paraId="2409A2AC"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20B268CB"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LUM</w:t>
            </w:r>
          </w:p>
        </w:tc>
        <w:tc>
          <w:tcPr>
            <w:tcW w:w="2820" w:type="dxa"/>
            <w:tcBorders>
              <w:top w:val="nil"/>
              <w:left w:val="nil"/>
              <w:bottom w:val="nil"/>
              <w:right w:val="nil"/>
            </w:tcBorders>
            <w:shd w:val="clear" w:color="auto" w:fill="auto"/>
            <w:vAlign w:val="center"/>
            <w:hideMark/>
          </w:tcPr>
          <w:p w14:paraId="776AF215"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l</w:t>
            </w:r>
            <w:r w:rsidRPr="00023C89">
              <w:rPr>
                <w:rFonts w:ascii="Book Antiqua" w:hAnsi="Book Antiqua"/>
                <w:color w:val="000000"/>
              </w:rPr>
              <w:t>umican</w:t>
            </w:r>
          </w:p>
        </w:tc>
        <w:tc>
          <w:tcPr>
            <w:tcW w:w="1620" w:type="dxa"/>
            <w:tcBorders>
              <w:top w:val="nil"/>
              <w:left w:val="nil"/>
              <w:bottom w:val="nil"/>
              <w:right w:val="nil"/>
            </w:tcBorders>
            <w:shd w:val="clear" w:color="auto" w:fill="auto"/>
            <w:noWrap/>
            <w:vAlign w:val="center"/>
            <w:hideMark/>
          </w:tcPr>
          <w:p w14:paraId="5CD614A0"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1.87 </w:t>
            </w:r>
          </w:p>
        </w:tc>
        <w:tc>
          <w:tcPr>
            <w:tcW w:w="1620" w:type="dxa"/>
            <w:tcBorders>
              <w:top w:val="nil"/>
              <w:left w:val="nil"/>
              <w:bottom w:val="nil"/>
              <w:right w:val="nil"/>
            </w:tcBorders>
            <w:shd w:val="clear" w:color="auto" w:fill="auto"/>
            <w:noWrap/>
            <w:vAlign w:val="center"/>
            <w:hideMark/>
          </w:tcPr>
          <w:p w14:paraId="1BE227DA"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4.56E-18</w:t>
            </w:r>
          </w:p>
        </w:tc>
      </w:tr>
      <w:tr w:rsidR="00D0748F" w:rsidRPr="00023C89" w14:paraId="1C62511C" w14:textId="77777777" w:rsidTr="00EE2544">
        <w:trPr>
          <w:trHeight w:val="582"/>
        </w:trPr>
        <w:tc>
          <w:tcPr>
            <w:tcW w:w="1620" w:type="dxa"/>
            <w:tcBorders>
              <w:top w:val="nil"/>
              <w:left w:val="nil"/>
              <w:bottom w:val="nil"/>
              <w:right w:val="nil"/>
            </w:tcBorders>
            <w:shd w:val="clear" w:color="auto" w:fill="auto"/>
            <w:noWrap/>
            <w:vAlign w:val="bottom"/>
            <w:hideMark/>
          </w:tcPr>
          <w:p w14:paraId="2CA369A1"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1418166A"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MXRA5</w:t>
            </w:r>
          </w:p>
        </w:tc>
        <w:tc>
          <w:tcPr>
            <w:tcW w:w="2820" w:type="dxa"/>
            <w:tcBorders>
              <w:top w:val="nil"/>
              <w:left w:val="nil"/>
              <w:bottom w:val="nil"/>
              <w:right w:val="nil"/>
            </w:tcBorders>
            <w:shd w:val="clear" w:color="auto" w:fill="auto"/>
            <w:hideMark/>
          </w:tcPr>
          <w:p w14:paraId="7B209A93"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m</w:t>
            </w:r>
            <w:r w:rsidRPr="00023C89">
              <w:rPr>
                <w:rFonts w:ascii="Book Antiqua" w:hAnsi="Book Antiqua"/>
                <w:color w:val="000000"/>
              </w:rPr>
              <w:t>atrix remodeling associated 5</w:t>
            </w:r>
          </w:p>
        </w:tc>
        <w:tc>
          <w:tcPr>
            <w:tcW w:w="1620" w:type="dxa"/>
            <w:tcBorders>
              <w:top w:val="nil"/>
              <w:left w:val="nil"/>
              <w:bottom w:val="nil"/>
              <w:right w:val="nil"/>
            </w:tcBorders>
            <w:shd w:val="clear" w:color="auto" w:fill="auto"/>
            <w:noWrap/>
            <w:vAlign w:val="center"/>
            <w:hideMark/>
          </w:tcPr>
          <w:p w14:paraId="2CD6F0D7"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1.43 </w:t>
            </w:r>
          </w:p>
        </w:tc>
        <w:tc>
          <w:tcPr>
            <w:tcW w:w="1620" w:type="dxa"/>
            <w:tcBorders>
              <w:top w:val="nil"/>
              <w:left w:val="nil"/>
              <w:bottom w:val="nil"/>
              <w:right w:val="nil"/>
            </w:tcBorders>
            <w:shd w:val="clear" w:color="auto" w:fill="auto"/>
            <w:noWrap/>
            <w:vAlign w:val="center"/>
            <w:hideMark/>
          </w:tcPr>
          <w:p w14:paraId="4CE23043"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5.47E-14</w:t>
            </w:r>
          </w:p>
        </w:tc>
      </w:tr>
      <w:tr w:rsidR="00D0748F" w:rsidRPr="00023C89" w14:paraId="41D6D6D7" w14:textId="77777777" w:rsidTr="00EE2544">
        <w:trPr>
          <w:trHeight w:val="582"/>
        </w:trPr>
        <w:tc>
          <w:tcPr>
            <w:tcW w:w="1620" w:type="dxa"/>
            <w:tcBorders>
              <w:top w:val="nil"/>
              <w:left w:val="nil"/>
              <w:bottom w:val="nil"/>
              <w:right w:val="nil"/>
            </w:tcBorders>
            <w:shd w:val="clear" w:color="auto" w:fill="auto"/>
            <w:noWrap/>
            <w:vAlign w:val="bottom"/>
            <w:hideMark/>
          </w:tcPr>
          <w:p w14:paraId="02CE5FB0"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UP</w:t>
            </w:r>
          </w:p>
        </w:tc>
        <w:tc>
          <w:tcPr>
            <w:tcW w:w="1620" w:type="dxa"/>
            <w:tcBorders>
              <w:top w:val="nil"/>
              <w:left w:val="nil"/>
              <w:bottom w:val="nil"/>
              <w:right w:val="nil"/>
            </w:tcBorders>
            <w:shd w:val="clear" w:color="auto" w:fill="auto"/>
            <w:noWrap/>
            <w:vAlign w:val="center"/>
            <w:hideMark/>
          </w:tcPr>
          <w:p w14:paraId="4239A579"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HBB</w:t>
            </w:r>
          </w:p>
        </w:tc>
        <w:tc>
          <w:tcPr>
            <w:tcW w:w="2820" w:type="dxa"/>
            <w:tcBorders>
              <w:top w:val="nil"/>
              <w:left w:val="nil"/>
              <w:bottom w:val="nil"/>
              <w:right w:val="nil"/>
            </w:tcBorders>
            <w:shd w:val="clear" w:color="auto" w:fill="auto"/>
            <w:vAlign w:val="center"/>
            <w:hideMark/>
          </w:tcPr>
          <w:p w14:paraId="388DF830"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h</w:t>
            </w:r>
            <w:r w:rsidRPr="00023C89">
              <w:rPr>
                <w:rFonts w:ascii="Book Antiqua" w:hAnsi="Book Antiqua"/>
                <w:color w:val="000000"/>
              </w:rPr>
              <w:t>emoglobin subunit beta</w:t>
            </w:r>
          </w:p>
        </w:tc>
        <w:tc>
          <w:tcPr>
            <w:tcW w:w="1620" w:type="dxa"/>
            <w:tcBorders>
              <w:top w:val="nil"/>
              <w:left w:val="nil"/>
              <w:bottom w:val="nil"/>
              <w:right w:val="nil"/>
            </w:tcBorders>
            <w:shd w:val="clear" w:color="auto" w:fill="auto"/>
            <w:noWrap/>
            <w:vAlign w:val="center"/>
            <w:hideMark/>
          </w:tcPr>
          <w:p w14:paraId="39772321"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1.20 </w:t>
            </w:r>
          </w:p>
        </w:tc>
        <w:tc>
          <w:tcPr>
            <w:tcW w:w="1620" w:type="dxa"/>
            <w:tcBorders>
              <w:top w:val="nil"/>
              <w:left w:val="nil"/>
              <w:bottom w:val="nil"/>
              <w:right w:val="nil"/>
            </w:tcBorders>
            <w:shd w:val="clear" w:color="auto" w:fill="auto"/>
            <w:noWrap/>
            <w:vAlign w:val="center"/>
            <w:hideMark/>
          </w:tcPr>
          <w:p w14:paraId="2A8B6CBA"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3.08E-05</w:t>
            </w:r>
          </w:p>
        </w:tc>
      </w:tr>
      <w:tr w:rsidR="00D0748F" w:rsidRPr="00023C89" w14:paraId="43B3F05A" w14:textId="77777777" w:rsidTr="00EE2544">
        <w:trPr>
          <w:trHeight w:val="582"/>
        </w:trPr>
        <w:tc>
          <w:tcPr>
            <w:tcW w:w="1620" w:type="dxa"/>
            <w:tcBorders>
              <w:top w:val="nil"/>
              <w:left w:val="nil"/>
              <w:bottom w:val="nil"/>
              <w:right w:val="nil"/>
            </w:tcBorders>
            <w:shd w:val="clear" w:color="auto" w:fill="auto"/>
            <w:noWrap/>
            <w:vAlign w:val="bottom"/>
            <w:hideMark/>
          </w:tcPr>
          <w:p w14:paraId="69FCC394"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20E7FDED"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COL1A2</w:t>
            </w:r>
          </w:p>
        </w:tc>
        <w:tc>
          <w:tcPr>
            <w:tcW w:w="2820" w:type="dxa"/>
            <w:tcBorders>
              <w:top w:val="nil"/>
              <w:left w:val="nil"/>
              <w:bottom w:val="nil"/>
              <w:right w:val="nil"/>
            </w:tcBorders>
            <w:shd w:val="clear" w:color="auto" w:fill="auto"/>
            <w:hideMark/>
          </w:tcPr>
          <w:p w14:paraId="7F053BEB"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c</w:t>
            </w:r>
            <w:r w:rsidRPr="00023C89">
              <w:rPr>
                <w:rFonts w:ascii="Book Antiqua" w:hAnsi="Book Antiqua"/>
                <w:color w:val="000000"/>
              </w:rPr>
              <w:t>ollagen type I alpha 2 chain</w:t>
            </w:r>
          </w:p>
        </w:tc>
        <w:tc>
          <w:tcPr>
            <w:tcW w:w="1620" w:type="dxa"/>
            <w:tcBorders>
              <w:top w:val="nil"/>
              <w:left w:val="nil"/>
              <w:bottom w:val="nil"/>
              <w:right w:val="nil"/>
            </w:tcBorders>
            <w:shd w:val="clear" w:color="auto" w:fill="auto"/>
            <w:noWrap/>
            <w:vAlign w:val="center"/>
            <w:hideMark/>
          </w:tcPr>
          <w:p w14:paraId="06D8A9E0"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1.09 </w:t>
            </w:r>
          </w:p>
        </w:tc>
        <w:tc>
          <w:tcPr>
            <w:tcW w:w="1620" w:type="dxa"/>
            <w:tcBorders>
              <w:top w:val="nil"/>
              <w:left w:val="nil"/>
              <w:bottom w:val="nil"/>
              <w:right w:val="nil"/>
            </w:tcBorders>
            <w:shd w:val="clear" w:color="auto" w:fill="auto"/>
            <w:noWrap/>
            <w:vAlign w:val="center"/>
            <w:hideMark/>
          </w:tcPr>
          <w:p w14:paraId="40F9A176"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1.37E-10</w:t>
            </w:r>
          </w:p>
        </w:tc>
      </w:tr>
      <w:tr w:rsidR="00D0748F" w:rsidRPr="00023C89" w14:paraId="284024F2" w14:textId="77777777" w:rsidTr="00EE2544">
        <w:trPr>
          <w:trHeight w:val="582"/>
        </w:trPr>
        <w:tc>
          <w:tcPr>
            <w:tcW w:w="1620" w:type="dxa"/>
            <w:tcBorders>
              <w:top w:val="nil"/>
              <w:left w:val="nil"/>
              <w:bottom w:val="nil"/>
              <w:right w:val="nil"/>
            </w:tcBorders>
            <w:shd w:val="clear" w:color="auto" w:fill="auto"/>
            <w:noWrap/>
            <w:vAlign w:val="bottom"/>
            <w:hideMark/>
          </w:tcPr>
          <w:p w14:paraId="69188748"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6D0AC625"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COL3A1</w:t>
            </w:r>
          </w:p>
        </w:tc>
        <w:tc>
          <w:tcPr>
            <w:tcW w:w="2820" w:type="dxa"/>
            <w:tcBorders>
              <w:top w:val="nil"/>
              <w:left w:val="nil"/>
              <w:bottom w:val="nil"/>
              <w:right w:val="nil"/>
            </w:tcBorders>
            <w:shd w:val="clear" w:color="auto" w:fill="auto"/>
            <w:hideMark/>
          </w:tcPr>
          <w:p w14:paraId="51607659"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c</w:t>
            </w:r>
            <w:r w:rsidRPr="00023C89">
              <w:rPr>
                <w:rFonts w:ascii="Book Antiqua" w:hAnsi="Book Antiqua"/>
                <w:color w:val="000000"/>
              </w:rPr>
              <w:t>ollagen type III alpha 1 chain</w:t>
            </w:r>
          </w:p>
        </w:tc>
        <w:tc>
          <w:tcPr>
            <w:tcW w:w="1620" w:type="dxa"/>
            <w:tcBorders>
              <w:top w:val="nil"/>
              <w:left w:val="nil"/>
              <w:bottom w:val="nil"/>
              <w:right w:val="nil"/>
            </w:tcBorders>
            <w:shd w:val="clear" w:color="auto" w:fill="auto"/>
            <w:noWrap/>
            <w:vAlign w:val="center"/>
            <w:hideMark/>
          </w:tcPr>
          <w:p w14:paraId="7CA90660"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1.05 </w:t>
            </w:r>
          </w:p>
        </w:tc>
        <w:tc>
          <w:tcPr>
            <w:tcW w:w="1620" w:type="dxa"/>
            <w:tcBorders>
              <w:top w:val="nil"/>
              <w:left w:val="nil"/>
              <w:bottom w:val="nil"/>
              <w:right w:val="nil"/>
            </w:tcBorders>
            <w:shd w:val="clear" w:color="auto" w:fill="auto"/>
            <w:noWrap/>
            <w:vAlign w:val="center"/>
            <w:hideMark/>
          </w:tcPr>
          <w:p w14:paraId="7B668D1A"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2.39E-07</w:t>
            </w:r>
          </w:p>
        </w:tc>
      </w:tr>
      <w:tr w:rsidR="00D0748F" w:rsidRPr="00023C89" w14:paraId="12703657" w14:textId="77777777" w:rsidTr="00EE2544">
        <w:trPr>
          <w:trHeight w:val="582"/>
        </w:trPr>
        <w:tc>
          <w:tcPr>
            <w:tcW w:w="1620" w:type="dxa"/>
            <w:tcBorders>
              <w:top w:val="nil"/>
              <w:left w:val="nil"/>
              <w:bottom w:val="nil"/>
              <w:right w:val="nil"/>
            </w:tcBorders>
            <w:shd w:val="clear" w:color="auto" w:fill="auto"/>
            <w:noWrap/>
            <w:vAlign w:val="bottom"/>
            <w:hideMark/>
          </w:tcPr>
          <w:p w14:paraId="3FD60D30"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11C4C9E6"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OGN</w:t>
            </w:r>
          </w:p>
        </w:tc>
        <w:tc>
          <w:tcPr>
            <w:tcW w:w="2820" w:type="dxa"/>
            <w:tcBorders>
              <w:top w:val="nil"/>
              <w:left w:val="nil"/>
              <w:bottom w:val="nil"/>
              <w:right w:val="nil"/>
            </w:tcBorders>
            <w:shd w:val="clear" w:color="auto" w:fill="auto"/>
            <w:vAlign w:val="center"/>
            <w:hideMark/>
          </w:tcPr>
          <w:p w14:paraId="45823FC4"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o</w:t>
            </w:r>
            <w:r w:rsidRPr="00023C89">
              <w:rPr>
                <w:rFonts w:ascii="Book Antiqua" w:hAnsi="Book Antiqua"/>
                <w:color w:val="000000"/>
              </w:rPr>
              <w:t>steoglycin</w:t>
            </w:r>
          </w:p>
        </w:tc>
        <w:tc>
          <w:tcPr>
            <w:tcW w:w="1620" w:type="dxa"/>
            <w:tcBorders>
              <w:top w:val="nil"/>
              <w:left w:val="nil"/>
              <w:bottom w:val="nil"/>
              <w:right w:val="nil"/>
            </w:tcBorders>
            <w:shd w:val="clear" w:color="auto" w:fill="auto"/>
            <w:noWrap/>
            <w:vAlign w:val="center"/>
            <w:hideMark/>
          </w:tcPr>
          <w:p w14:paraId="30D5196C"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1.01 </w:t>
            </w:r>
          </w:p>
        </w:tc>
        <w:tc>
          <w:tcPr>
            <w:tcW w:w="1620" w:type="dxa"/>
            <w:tcBorders>
              <w:top w:val="nil"/>
              <w:left w:val="nil"/>
              <w:bottom w:val="nil"/>
              <w:right w:val="nil"/>
            </w:tcBorders>
            <w:shd w:val="clear" w:color="auto" w:fill="auto"/>
            <w:noWrap/>
            <w:vAlign w:val="center"/>
            <w:hideMark/>
          </w:tcPr>
          <w:p w14:paraId="7A3D0831"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5.38E-09</w:t>
            </w:r>
          </w:p>
        </w:tc>
      </w:tr>
      <w:tr w:rsidR="00D0748F" w:rsidRPr="00023C89" w14:paraId="4B3F6AA3" w14:textId="77777777" w:rsidTr="00EE2544">
        <w:trPr>
          <w:trHeight w:val="582"/>
        </w:trPr>
        <w:tc>
          <w:tcPr>
            <w:tcW w:w="1620" w:type="dxa"/>
            <w:tcBorders>
              <w:top w:val="nil"/>
              <w:left w:val="nil"/>
              <w:bottom w:val="nil"/>
              <w:right w:val="nil"/>
            </w:tcBorders>
            <w:shd w:val="clear" w:color="auto" w:fill="auto"/>
            <w:noWrap/>
            <w:vAlign w:val="bottom"/>
            <w:hideMark/>
          </w:tcPr>
          <w:p w14:paraId="75E168DD"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6380EE81"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FRZB</w:t>
            </w:r>
          </w:p>
        </w:tc>
        <w:tc>
          <w:tcPr>
            <w:tcW w:w="2820" w:type="dxa"/>
            <w:tcBorders>
              <w:top w:val="nil"/>
              <w:left w:val="nil"/>
              <w:bottom w:val="nil"/>
              <w:right w:val="nil"/>
            </w:tcBorders>
            <w:shd w:val="clear" w:color="auto" w:fill="auto"/>
            <w:vAlign w:val="center"/>
            <w:hideMark/>
          </w:tcPr>
          <w:p w14:paraId="644AAD64"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f</w:t>
            </w:r>
            <w:r w:rsidRPr="00023C89">
              <w:rPr>
                <w:rFonts w:ascii="Book Antiqua" w:hAnsi="Book Antiqua"/>
                <w:color w:val="000000"/>
              </w:rPr>
              <w:t>rizzled related protein</w:t>
            </w:r>
          </w:p>
        </w:tc>
        <w:tc>
          <w:tcPr>
            <w:tcW w:w="1620" w:type="dxa"/>
            <w:tcBorders>
              <w:top w:val="nil"/>
              <w:left w:val="nil"/>
              <w:bottom w:val="nil"/>
              <w:right w:val="nil"/>
            </w:tcBorders>
            <w:shd w:val="clear" w:color="auto" w:fill="auto"/>
            <w:noWrap/>
            <w:vAlign w:val="center"/>
            <w:hideMark/>
          </w:tcPr>
          <w:p w14:paraId="1FEAD010"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0.99 </w:t>
            </w:r>
          </w:p>
        </w:tc>
        <w:tc>
          <w:tcPr>
            <w:tcW w:w="1620" w:type="dxa"/>
            <w:tcBorders>
              <w:top w:val="nil"/>
              <w:left w:val="nil"/>
              <w:bottom w:val="nil"/>
              <w:right w:val="nil"/>
            </w:tcBorders>
            <w:shd w:val="clear" w:color="auto" w:fill="auto"/>
            <w:noWrap/>
            <w:vAlign w:val="center"/>
            <w:hideMark/>
          </w:tcPr>
          <w:p w14:paraId="0E3CBD86"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1.08E-13</w:t>
            </w:r>
          </w:p>
        </w:tc>
      </w:tr>
      <w:tr w:rsidR="00D0748F" w:rsidRPr="00023C89" w14:paraId="54F6B19B" w14:textId="77777777" w:rsidTr="00EE2544">
        <w:trPr>
          <w:trHeight w:val="582"/>
        </w:trPr>
        <w:tc>
          <w:tcPr>
            <w:tcW w:w="1620" w:type="dxa"/>
            <w:tcBorders>
              <w:top w:val="nil"/>
              <w:left w:val="nil"/>
              <w:bottom w:val="nil"/>
              <w:right w:val="nil"/>
            </w:tcBorders>
            <w:shd w:val="clear" w:color="auto" w:fill="auto"/>
            <w:noWrap/>
            <w:vAlign w:val="bottom"/>
            <w:hideMark/>
          </w:tcPr>
          <w:p w14:paraId="5AEAC874"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7C18F0CA"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EIF1AY</w:t>
            </w:r>
          </w:p>
        </w:tc>
        <w:tc>
          <w:tcPr>
            <w:tcW w:w="2820" w:type="dxa"/>
            <w:tcBorders>
              <w:top w:val="nil"/>
              <w:left w:val="nil"/>
              <w:bottom w:val="nil"/>
              <w:right w:val="nil"/>
            </w:tcBorders>
            <w:shd w:val="clear" w:color="auto" w:fill="auto"/>
            <w:hideMark/>
          </w:tcPr>
          <w:p w14:paraId="63DA6FBD"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e</w:t>
            </w:r>
            <w:r w:rsidRPr="00023C89">
              <w:rPr>
                <w:rFonts w:ascii="Book Antiqua" w:hAnsi="Book Antiqua"/>
                <w:color w:val="000000"/>
              </w:rPr>
              <w:t>ukaryotic translation initiation factor 1A Y-linked</w:t>
            </w:r>
          </w:p>
        </w:tc>
        <w:tc>
          <w:tcPr>
            <w:tcW w:w="1620" w:type="dxa"/>
            <w:tcBorders>
              <w:top w:val="nil"/>
              <w:left w:val="nil"/>
              <w:bottom w:val="nil"/>
              <w:right w:val="nil"/>
            </w:tcBorders>
            <w:shd w:val="clear" w:color="auto" w:fill="auto"/>
            <w:noWrap/>
            <w:vAlign w:val="center"/>
            <w:hideMark/>
          </w:tcPr>
          <w:p w14:paraId="4DFD9753"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0.96 </w:t>
            </w:r>
          </w:p>
        </w:tc>
        <w:tc>
          <w:tcPr>
            <w:tcW w:w="1620" w:type="dxa"/>
            <w:tcBorders>
              <w:top w:val="nil"/>
              <w:left w:val="nil"/>
              <w:bottom w:val="nil"/>
              <w:right w:val="nil"/>
            </w:tcBorders>
            <w:shd w:val="clear" w:color="auto" w:fill="auto"/>
            <w:noWrap/>
            <w:vAlign w:val="center"/>
            <w:hideMark/>
          </w:tcPr>
          <w:p w14:paraId="14A33A0D"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1.33E-02</w:t>
            </w:r>
          </w:p>
        </w:tc>
      </w:tr>
      <w:tr w:rsidR="00D0748F" w:rsidRPr="00023C89" w14:paraId="74F167A2" w14:textId="77777777" w:rsidTr="00EE2544">
        <w:trPr>
          <w:trHeight w:val="582"/>
        </w:trPr>
        <w:tc>
          <w:tcPr>
            <w:tcW w:w="1620" w:type="dxa"/>
            <w:tcBorders>
              <w:top w:val="nil"/>
              <w:left w:val="nil"/>
              <w:bottom w:val="nil"/>
              <w:right w:val="nil"/>
            </w:tcBorders>
            <w:shd w:val="clear" w:color="auto" w:fill="auto"/>
            <w:noWrap/>
            <w:vAlign w:val="bottom"/>
            <w:hideMark/>
          </w:tcPr>
          <w:p w14:paraId="17085995"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36616D8A"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MYOT</w:t>
            </w:r>
          </w:p>
        </w:tc>
        <w:tc>
          <w:tcPr>
            <w:tcW w:w="2820" w:type="dxa"/>
            <w:tcBorders>
              <w:top w:val="nil"/>
              <w:left w:val="nil"/>
              <w:bottom w:val="nil"/>
              <w:right w:val="nil"/>
            </w:tcBorders>
            <w:shd w:val="clear" w:color="auto" w:fill="auto"/>
            <w:vAlign w:val="center"/>
            <w:hideMark/>
          </w:tcPr>
          <w:p w14:paraId="52B41AC1"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m</w:t>
            </w:r>
            <w:r w:rsidRPr="00023C89">
              <w:rPr>
                <w:rFonts w:ascii="Book Antiqua" w:hAnsi="Book Antiqua"/>
                <w:color w:val="000000"/>
              </w:rPr>
              <w:t>yotilin</w:t>
            </w:r>
          </w:p>
        </w:tc>
        <w:tc>
          <w:tcPr>
            <w:tcW w:w="1620" w:type="dxa"/>
            <w:tcBorders>
              <w:top w:val="nil"/>
              <w:left w:val="nil"/>
              <w:bottom w:val="nil"/>
              <w:right w:val="nil"/>
            </w:tcBorders>
            <w:shd w:val="clear" w:color="auto" w:fill="auto"/>
            <w:noWrap/>
            <w:vAlign w:val="center"/>
            <w:hideMark/>
          </w:tcPr>
          <w:p w14:paraId="62732CDC"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-1.89 </w:t>
            </w:r>
          </w:p>
        </w:tc>
        <w:tc>
          <w:tcPr>
            <w:tcW w:w="1620" w:type="dxa"/>
            <w:tcBorders>
              <w:top w:val="nil"/>
              <w:left w:val="nil"/>
              <w:bottom w:val="nil"/>
              <w:right w:val="nil"/>
            </w:tcBorders>
            <w:shd w:val="clear" w:color="auto" w:fill="auto"/>
            <w:noWrap/>
            <w:vAlign w:val="center"/>
            <w:hideMark/>
          </w:tcPr>
          <w:p w14:paraId="778CF073"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1.70E-13</w:t>
            </w:r>
          </w:p>
        </w:tc>
      </w:tr>
      <w:tr w:rsidR="00D0748F" w:rsidRPr="00023C89" w14:paraId="4C296547" w14:textId="77777777" w:rsidTr="00EE2544">
        <w:trPr>
          <w:trHeight w:val="582"/>
        </w:trPr>
        <w:tc>
          <w:tcPr>
            <w:tcW w:w="1620" w:type="dxa"/>
            <w:tcBorders>
              <w:top w:val="nil"/>
              <w:left w:val="nil"/>
              <w:bottom w:val="nil"/>
              <w:right w:val="nil"/>
            </w:tcBorders>
            <w:shd w:val="clear" w:color="auto" w:fill="auto"/>
            <w:noWrap/>
            <w:vAlign w:val="bottom"/>
            <w:hideMark/>
          </w:tcPr>
          <w:p w14:paraId="6C21956E"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5F6E863C"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ANKRD2</w:t>
            </w:r>
          </w:p>
        </w:tc>
        <w:tc>
          <w:tcPr>
            <w:tcW w:w="2820" w:type="dxa"/>
            <w:tcBorders>
              <w:top w:val="nil"/>
              <w:left w:val="nil"/>
              <w:bottom w:val="nil"/>
              <w:right w:val="nil"/>
            </w:tcBorders>
            <w:shd w:val="clear" w:color="auto" w:fill="auto"/>
            <w:vAlign w:val="center"/>
            <w:hideMark/>
          </w:tcPr>
          <w:p w14:paraId="2E208D94"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a</w:t>
            </w:r>
            <w:r w:rsidRPr="00023C89">
              <w:rPr>
                <w:rFonts w:ascii="Book Antiqua" w:hAnsi="Book Antiqua"/>
                <w:color w:val="000000"/>
              </w:rPr>
              <w:t>nkyrin repeat domain 2</w:t>
            </w:r>
          </w:p>
        </w:tc>
        <w:tc>
          <w:tcPr>
            <w:tcW w:w="1620" w:type="dxa"/>
            <w:tcBorders>
              <w:top w:val="nil"/>
              <w:left w:val="nil"/>
              <w:bottom w:val="nil"/>
              <w:right w:val="nil"/>
            </w:tcBorders>
            <w:shd w:val="clear" w:color="auto" w:fill="auto"/>
            <w:noWrap/>
            <w:vAlign w:val="center"/>
            <w:hideMark/>
          </w:tcPr>
          <w:p w14:paraId="31E4422E"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-1.44 </w:t>
            </w:r>
          </w:p>
        </w:tc>
        <w:tc>
          <w:tcPr>
            <w:tcW w:w="1620" w:type="dxa"/>
            <w:tcBorders>
              <w:top w:val="nil"/>
              <w:left w:val="nil"/>
              <w:bottom w:val="nil"/>
              <w:right w:val="nil"/>
            </w:tcBorders>
            <w:shd w:val="clear" w:color="auto" w:fill="auto"/>
            <w:noWrap/>
            <w:vAlign w:val="center"/>
            <w:hideMark/>
          </w:tcPr>
          <w:p w14:paraId="1CCBA944"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3.00E-08</w:t>
            </w:r>
          </w:p>
        </w:tc>
      </w:tr>
      <w:tr w:rsidR="00D0748F" w:rsidRPr="00023C89" w14:paraId="1F9C07A9" w14:textId="77777777" w:rsidTr="00EE2544">
        <w:trPr>
          <w:trHeight w:val="582"/>
        </w:trPr>
        <w:tc>
          <w:tcPr>
            <w:tcW w:w="1620" w:type="dxa"/>
            <w:tcBorders>
              <w:top w:val="nil"/>
              <w:left w:val="nil"/>
              <w:bottom w:val="nil"/>
              <w:right w:val="nil"/>
            </w:tcBorders>
            <w:shd w:val="clear" w:color="auto" w:fill="auto"/>
            <w:noWrap/>
            <w:vAlign w:val="bottom"/>
            <w:hideMark/>
          </w:tcPr>
          <w:p w14:paraId="6B1F2AE2"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25BD14FE"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PLA2G2A</w:t>
            </w:r>
          </w:p>
        </w:tc>
        <w:tc>
          <w:tcPr>
            <w:tcW w:w="2820" w:type="dxa"/>
            <w:tcBorders>
              <w:top w:val="nil"/>
              <w:left w:val="nil"/>
              <w:bottom w:val="nil"/>
              <w:right w:val="nil"/>
            </w:tcBorders>
            <w:shd w:val="clear" w:color="auto" w:fill="auto"/>
            <w:vAlign w:val="center"/>
            <w:hideMark/>
          </w:tcPr>
          <w:p w14:paraId="61DB1589"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p</w:t>
            </w:r>
            <w:r w:rsidRPr="00023C89">
              <w:rPr>
                <w:rFonts w:ascii="Book Antiqua" w:hAnsi="Book Antiqua"/>
                <w:color w:val="000000"/>
              </w:rPr>
              <w:t>hospholipase A2 group IIA</w:t>
            </w:r>
          </w:p>
        </w:tc>
        <w:tc>
          <w:tcPr>
            <w:tcW w:w="1620" w:type="dxa"/>
            <w:tcBorders>
              <w:top w:val="nil"/>
              <w:left w:val="nil"/>
              <w:bottom w:val="nil"/>
              <w:right w:val="nil"/>
            </w:tcBorders>
            <w:shd w:val="clear" w:color="auto" w:fill="auto"/>
            <w:noWrap/>
            <w:vAlign w:val="center"/>
            <w:hideMark/>
          </w:tcPr>
          <w:p w14:paraId="2CD60AA1"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-1.35 </w:t>
            </w:r>
          </w:p>
        </w:tc>
        <w:tc>
          <w:tcPr>
            <w:tcW w:w="1620" w:type="dxa"/>
            <w:tcBorders>
              <w:top w:val="nil"/>
              <w:left w:val="nil"/>
              <w:bottom w:val="nil"/>
              <w:right w:val="nil"/>
            </w:tcBorders>
            <w:shd w:val="clear" w:color="auto" w:fill="auto"/>
            <w:noWrap/>
            <w:vAlign w:val="center"/>
            <w:hideMark/>
          </w:tcPr>
          <w:p w14:paraId="2A627E82"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4.43E-07</w:t>
            </w:r>
          </w:p>
        </w:tc>
      </w:tr>
      <w:tr w:rsidR="00D0748F" w:rsidRPr="00023C89" w14:paraId="2DE614E7" w14:textId="77777777" w:rsidTr="00EE2544">
        <w:trPr>
          <w:trHeight w:val="582"/>
        </w:trPr>
        <w:tc>
          <w:tcPr>
            <w:tcW w:w="1620" w:type="dxa"/>
            <w:tcBorders>
              <w:top w:val="nil"/>
              <w:left w:val="nil"/>
              <w:bottom w:val="nil"/>
              <w:right w:val="nil"/>
            </w:tcBorders>
            <w:shd w:val="clear" w:color="auto" w:fill="auto"/>
            <w:noWrap/>
            <w:vAlign w:val="bottom"/>
            <w:hideMark/>
          </w:tcPr>
          <w:p w14:paraId="3FDEAE58"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5CD3388A"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MYH6</w:t>
            </w:r>
          </w:p>
        </w:tc>
        <w:tc>
          <w:tcPr>
            <w:tcW w:w="2820" w:type="dxa"/>
            <w:tcBorders>
              <w:top w:val="nil"/>
              <w:left w:val="nil"/>
              <w:bottom w:val="nil"/>
              <w:right w:val="nil"/>
            </w:tcBorders>
            <w:shd w:val="clear" w:color="auto" w:fill="auto"/>
            <w:vAlign w:val="center"/>
            <w:hideMark/>
          </w:tcPr>
          <w:p w14:paraId="2E2CE66B"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m</w:t>
            </w:r>
            <w:r w:rsidRPr="00023C89">
              <w:rPr>
                <w:rFonts w:ascii="Book Antiqua" w:hAnsi="Book Antiqua"/>
                <w:color w:val="000000"/>
              </w:rPr>
              <w:t>yosin heavy chain 6</w:t>
            </w:r>
          </w:p>
        </w:tc>
        <w:tc>
          <w:tcPr>
            <w:tcW w:w="1620" w:type="dxa"/>
            <w:tcBorders>
              <w:top w:val="nil"/>
              <w:left w:val="nil"/>
              <w:bottom w:val="nil"/>
              <w:right w:val="nil"/>
            </w:tcBorders>
            <w:shd w:val="clear" w:color="auto" w:fill="auto"/>
            <w:noWrap/>
            <w:vAlign w:val="center"/>
            <w:hideMark/>
          </w:tcPr>
          <w:p w14:paraId="0B905A03"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-1.35 </w:t>
            </w:r>
          </w:p>
        </w:tc>
        <w:tc>
          <w:tcPr>
            <w:tcW w:w="1620" w:type="dxa"/>
            <w:tcBorders>
              <w:top w:val="nil"/>
              <w:left w:val="nil"/>
              <w:bottom w:val="nil"/>
              <w:right w:val="nil"/>
            </w:tcBorders>
            <w:shd w:val="clear" w:color="auto" w:fill="auto"/>
            <w:noWrap/>
            <w:vAlign w:val="center"/>
            <w:hideMark/>
          </w:tcPr>
          <w:p w14:paraId="3BD9CEFA"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1.80E-05</w:t>
            </w:r>
          </w:p>
        </w:tc>
      </w:tr>
      <w:tr w:rsidR="00D0748F" w:rsidRPr="00023C89" w14:paraId="764D3A24" w14:textId="77777777" w:rsidTr="00EE2544">
        <w:trPr>
          <w:trHeight w:val="582"/>
        </w:trPr>
        <w:tc>
          <w:tcPr>
            <w:tcW w:w="1620" w:type="dxa"/>
            <w:tcBorders>
              <w:top w:val="nil"/>
              <w:left w:val="nil"/>
              <w:bottom w:val="nil"/>
              <w:right w:val="nil"/>
            </w:tcBorders>
            <w:shd w:val="clear" w:color="auto" w:fill="auto"/>
            <w:noWrap/>
            <w:vAlign w:val="bottom"/>
            <w:hideMark/>
          </w:tcPr>
          <w:p w14:paraId="6EBCB1B7"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57FAA47A"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SERPINA3</w:t>
            </w:r>
          </w:p>
        </w:tc>
        <w:tc>
          <w:tcPr>
            <w:tcW w:w="2820" w:type="dxa"/>
            <w:tcBorders>
              <w:top w:val="nil"/>
              <w:left w:val="nil"/>
              <w:bottom w:val="nil"/>
              <w:right w:val="nil"/>
            </w:tcBorders>
            <w:shd w:val="clear" w:color="auto" w:fill="auto"/>
            <w:vAlign w:val="center"/>
            <w:hideMark/>
          </w:tcPr>
          <w:p w14:paraId="4584C4D8"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s</w:t>
            </w:r>
            <w:r w:rsidRPr="00023C89">
              <w:rPr>
                <w:rFonts w:ascii="Book Antiqua" w:hAnsi="Book Antiqua"/>
                <w:color w:val="000000"/>
              </w:rPr>
              <w:t>erpin family A member 3</w:t>
            </w:r>
          </w:p>
        </w:tc>
        <w:tc>
          <w:tcPr>
            <w:tcW w:w="1620" w:type="dxa"/>
            <w:tcBorders>
              <w:top w:val="nil"/>
              <w:left w:val="nil"/>
              <w:bottom w:val="nil"/>
              <w:right w:val="nil"/>
            </w:tcBorders>
            <w:shd w:val="clear" w:color="auto" w:fill="auto"/>
            <w:noWrap/>
            <w:vAlign w:val="center"/>
            <w:hideMark/>
          </w:tcPr>
          <w:p w14:paraId="11807B39"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-1.28 </w:t>
            </w:r>
          </w:p>
        </w:tc>
        <w:tc>
          <w:tcPr>
            <w:tcW w:w="1620" w:type="dxa"/>
            <w:tcBorders>
              <w:top w:val="nil"/>
              <w:left w:val="nil"/>
              <w:bottom w:val="nil"/>
              <w:right w:val="nil"/>
            </w:tcBorders>
            <w:shd w:val="clear" w:color="auto" w:fill="auto"/>
            <w:noWrap/>
            <w:vAlign w:val="center"/>
            <w:hideMark/>
          </w:tcPr>
          <w:p w14:paraId="0903EAA4"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1.75E-18</w:t>
            </w:r>
          </w:p>
        </w:tc>
      </w:tr>
      <w:tr w:rsidR="00D0748F" w:rsidRPr="00023C89" w14:paraId="7A80033E" w14:textId="77777777" w:rsidTr="00EE2544">
        <w:trPr>
          <w:trHeight w:val="582"/>
        </w:trPr>
        <w:tc>
          <w:tcPr>
            <w:tcW w:w="1620" w:type="dxa"/>
            <w:tcBorders>
              <w:top w:val="nil"/>
              <w:left w:val="nil"/>
              <w:bottom w:val="nil"/>
              <w:right w:val="nil"/>
            </w:tcBorders>
            <w:shd w:val="clear" w:color="auto" w:fill="auto"/>
            <w:noWrap/>
            <w:vAlign w:val="bottom"/>
            <w:hideMark/>
          </w:tcPr>
          <w:p w14:paraId="0BBC697F"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Down</w:t>
            </w:r>
          </w:p>
        </w:tc>
        <w:tc>
          <w:tcPr>
            <w:tcW w:w="1620" w:type="dxa"/>
            <w:tcBorders>
              <w:top w:val="nil"/>
              <w:left w:val="nil"/>
              <w:bottom w:val="nil"/>
              <w:right w:val="nil"/>
            </w:tcBorders>
            <w:shd w:val="clear" w:color="auto" w:fill="auto"/>
            <w:noWrap/>
            <w:vAlign w:val="center"/>
            <w:hideMark/>
          </w:tcPr>
          <w:p w14:paraId="5627EEB3"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CYP4B1</w:t>
            </w:r>
          </w:p>
        </w:tc>
        <w:tc>
          <w:tcPr>
            <w:tcW w:w="2820" w:type="dxa"/>
            <w:tcBorders>
              <w:top w:val="nil"/>
              <w:left w:val="nil"/>
              <w:bottom w:val="nil"/>
              <w:right w:val="nil"/>
            </w:tcBorders>
            <w:shd w:val="clear" w:color="auto" w:fill="auto"/>
            <w:hideMark/>
          </w:tcPr>
          <w:p w14:paraId="54FD2065"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c</w:t>
            </w:r>
            <w:r w:rsidRPr="00023C89">
              <w:rPr>
                <w:rFonts w:ascii="Book Antiqua" w:hAnsi="Book Antiqua"/>
                <w:color w:val="000000"/>
              </w:rPr>
              <w:t>ytochrome P450 family 4 subfamily B member 1</w:t>
            </w:r>
          </w:p>
        </w:tc>
        <w:tc>
          <w:tcPr>
            <w:tcW w:w="1620" w:type="dxa"/>
            <w:tcBorders>
              <w:top w:val="nil"/>
              <w:left w:val="nil"/>
              <w:bottom w:val="nil"/>
              <w:right w:val="nil"/>
            </w:tcBorders>
            <w:shd w:val="clear" w:color="auto" w:fill="auto"/>
            <w:noWrap/>
            <w:vAlign w:val="center"/>
            <w:hideMark/>
          </w:tcPr>
          <w:p w14:paraId="0DD09497"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-1.20 </w:t>
            </w:r>
          </w:p>
        </w:tc>
        <w:tc>
          <w:tcPr>
            <w:tcW w:w="1620" w:type="dxa"/>
            <w:tcBorders>
              <w:top w:val="nil"/>
              <w:left w:val="nil"/>
              <w:bottom w:val="nil"/>
              <w:right w:val="nil"/>
            </w:tcBorders>
            <w:shd w:val="clear" w:color="auto" w:fill="auto"/>
            <w:noWrap/>
            <w:vAlign w:val="center"/>
            <w:hideMark/>
          </w:tcPr>
          <w:p w14:paraId="15E12CCA"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1.06E-07</w:t>
            </w:r>
          </w:p>
        </w:tc>
      </w:tr>
      <w:tr w:rsidR="00D0748F" w:rsidRPr="00023C89" w14:paraId="7C627E1F" w14:textId="77777777" w:rsidTr="00EE2544">
        <w:trPr>
          <w:trHeight w:val="582"/>
        </w:trPr>
        <w:tc>
          <w:tcPr>
            <w:tcW w:w="1620" w:type="dxa"/>
            <w:tcBorders>
              <w:top w:val="nil"/>
              <w:left w:val="nil"/>
              <w:bottom w:val="nil"/>
              <w:right w:val="nil"/>
            </w:tcBorders>
            <w:shd w:val="clear" w:color="auto" w:fill="auto"/>
            <w:noWrap/>
            <w:vAlign w:val="bottom"/>
            <w:hideMark/>
          </w:tcPr>
          <w:p w14:paraId="1C0954C4"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2D05A4C4"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FCN3</w:t>
            </w:r>
          </w:p>
        </w:tc>
        <w:tc>
          <w:tcPr>
            <w:tcW w:w="2820" w:type="dxa"/>
            <w:tcBorders>
              <w:top w:val="nil"/>
              <w:left w:val="nil"/>
              <w:bottom w:val="nil"/>
              <w:right w:val="nil"/>
            </w:tcBorders>
            <w:shd w:val="clear" w:color="auto" w:fill="auto"/>
            <w:vAlign w:val="center"/>
            <w:hideMark/>
          </w:tcPr>
          <w:p w14:paraId="4C8ECA92"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f</w:t>
            </w:r>
            <w:r w:rsidRPr="00023C89">
              <w:rPr>
                <w:rFonts w:ascii="Book Antiqua" w:hAnsi="Book Antiqua"/>
                <w:color w:val="000000"/>
              </w:rPr>
              <w:t>icolin 3</w:t>
            </w:r>
          </w:p>
        </w:tc>
        <w:tc>
          <w:tcPr>
            <w:tcW w:w="1620" w:type="dxa"/>
            <w:tcBorders>
              <w:top w:val="nil"/>
              <w:left w:val="nil"/>
              <w:bottom w:val="nil"/>
              <w:right w:val="nil"/>
            </w:tcBorders>
            <w:shd w:val="clear" w:color="auto" w:fill="auto"/>
            <w:noWrap/>
            <w:vAlign w:val="center"/>
            <w:hideMark/>
          </w:tcPr>
          <w:p w14:paraId="1CFE14F0"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-1.19 </w:t>
            </w:r>
          </w:p>
        </w:tc>
        <w:tc>
          <w:tcPr>
            <w:tcW w:w="1620" w:type="dxa"/>
            <w:tcBorders>
              <w:top w:val="nil"/>
              <w:left w:val="nil"/>
              <w:bottom w:val="nil"/>
              <w:right w:val="nil"/>
            </w:tcBorders>
            <w:shd w:val="clear" w:color="auto" w:fill="auto"/>
            <w:noWrap/>
            <w:vAlign w:val="center"/>
            <w:hideMark/>
          </w:tcPr>
          <w:p w14:paraId="5A76031E"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2.48E-13</w:t>
            </w:r>
          </w:p>
        </w:tc>
      </w:tr>
      <w:tr w:rsidR="00D0748F" w:rsidRPr="00023C89" w14:paraId="2EC921E1" w14:textId="77777777" w:rsidTr="00EE2544">
        <w:trPr>
          <w:trHeight w:val="582"/>
        </w:trPr>
        <w:tc>
          <w:tcPr>
            <w:tcW w:w="1620" w:type="dxa"/>
            <w:tcBorders>
              <w:top w:val="nil"/>
              <w:left w:val="nil"/>
              <w:bottom w:val="nil"/>
              <w:right w:val="nil"/>
            </w:tcBorders>
            <w:shd w:val="clear" w:color="auto" w:fill="auto"/>
            <w:noWrap/>
            <w:vAlign w:val="bottom"/>
            <w:hideMark/>
          </w:tcPr>
          <w:p w14:paraId="698D5E80"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6F6F3C6C"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CNN1</w:t>
            </w:r>
          </w:p>
        </w:tc>
        <w:tc>
          <w:tcPr>
            <w:tcW w:w="2820" w:type="dxa"/>
            <w:tcBorders>
              <w:top w:val="nil"/>
              <w:left w:val="nil"/>
              <w:bottom w:val="nil"/>
              <w:right w:val="nil"/>
            </w:tcBorders>
            <w:shd w:val="clear" w:color="auto" w:fill="auto"/>
            <w:vAlign w:val="center"/>
            <w:hideMark/>
          </w:tcPr>
          <w:p w14:paraId="196DF8F7"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c</w:t>
            </w:r>
            <w:r w:rsidRPr="00023C89">
              <w:rPr>
                <w:rFonts w:ascii="Book Antiqua" w:hAnsi="Book Antiqua"/>
                <w:color w:val="000000"/>
              </w:rPr>
              <w:t>alponin 1</w:t>
            </w:r>
          </w:p>
        </w:tc>
        <w:tc>
          <w:tcPr>
            <w:tcW w:w="1620" w:type="dxa"/>
            <w:tcBorders>
              <w:top w:val="nil"/>
              <w:left w:val="nil"/>
              <w:bottom w:val="nil"/>
              <w:right w:val="nil"/>
            </w:tcBorders>
            <w:shd w:val="clear" w:color="auto" w:fill="auto"/>
            <w:noWrap/>
            <w:vAlign w:val="center"/>
            <w:hideMark/>
          </w:tcPr>
          <w:p w14:paraId="2AF4EDC7"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-1.16 </w:t>
            </w:r>
          </w:p>
        </w:tc>
        <w:tc>
          <w:tcPr>
            <w:tcW w:w="1620" w:type="dxa"/>
            <w:tcBorders>
              <w:top w:val="nil"/>
              <w:left w:val="nil"/>
              <w:bottom w:val="nil"/>
              <w:right w:val="nil"/>
            </w:tcBorders>
            <w:shd w:val="clear" w:color="auto" w:fill="auto"/>
            <w:noWrap/>
            <w:vAlign w:val="center"/>
            <w:hideMark/>
          </w:tcPr>
          <w:p w14:paraId="1152C12A"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2.09E-10</w:t>
            </w:r>
          </w:p>
        </w:tc>
      </w:tr>
      <w:tr w:rsidR="00D0748F" w:rsidRPr="00023C89" w14:paraId="4C9D5A79" w14:textId="77777777" w:rsidTr="00EE2544">
        <w:trPr>
          <w:trHeight w:val="582"/>
        </w:trPr>
        <w:tc>
          <w:tcPr>
            <w:tcW w:w="1620" w:type="dxa"/>
            <w:tcBorders>
              <w:top w:val="nil"/>
              <w:left w:val="nil"/>
              <w:bottom w:val="nil"/>
              <w:right w:val="nil"/>
            </w:tcBorders>
            <w:shd w:val="clear" w:color="auto" w:fill="auto"/>
            <w:noWrap/>
            <w:vAlign w:val="bottom"/>
            <w:hideMark/>
          </w:tcPr>
          <w:p w14:paraId="7525825C" w14:textId="77777777" w:rsidR="00D0748F" w:rsidRPr="00023C89"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3B070A85"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PTX3</w:t>
            </w:r>
          </w:p>
        </w:tc>
        <w:tc>
          <w:tcPr>
            <w:tcW w:w="2820" w:type="dxa"/>
            <w:tcBorders>
              <w:top w:val="nil"/>
              <w:left w:val="nil"/>
              <w:bottom w:val="nil"/>
              <w:right w:val="nil"/>
            </w:tcBorders>
            <w:shd w:val="clear" w:color="auto" w:fill="auto"/>
            <w:vAlign w:val="center"/>
            <w:hideMark/>
          </w:tcPr>
          <w:p w14:paraId="182B56FA"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p</w:t>
            </w:r>
            <w:r w:rsidRPr="00023C89">
              <w:rPr>
                <w:rFonts w:ascii="Book Antiqua" w:hAnsi="Book Antiqua"/>
                <w:color w:val="000000"/>
              </w:rPr>
              <w:t>entraxin 3</w:t>
            </w:r>
          </w:p>
        </w:tc>
        <w:tc>
          <w:tcPr>
            <w:tcW w:w="1620" w:type="dxa"/>
            <w:tcBorders>
              <w:top w:val="nil"/>
              <w:left w:val="nil"/>
              <w:bottom w:val="nil"/>
              <w:right w:val="nil"/>
            </w:tcBorders>
            <w:shd w:val="clear" w:color="auto" w:fill="auto"/>
            <w:noWrap/>
            <w:vAlign w:val="center"/>
            <w:hideMark/>
          </w:tcPr>
          <w:p w14:paraId="51B4734F"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-1.13 </w:t>
            </w:r>
          </w:p>
        </w:tc>
        <w:tc>
          <w:tcPr>
            <w:tcW w:w="1620" w:type="dxa"/>
            <w:tcBorders>
              <w:top w:val="nil"/>
              <w:left w:val="nil"/>
              <w:bottom w:val="nil"/>
              <w:right w:val="nil"/>
            </w:tcBorders>
            <w:shd w:val="clear" w:color="auto" w:fill="auto"/>
            <w:noWrap/>
            <w:vAlign w:val="center"/>
            <w:hideMark/>
          </w:tcPr>
          <w:p w14:paraId="12B88A46"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1.27E-04</w:t>
            </w:r>
          </w:p>
        </w:tc>
      </w:tr>
      <w:tr w:rsidR="00D0748F" w:rsidRPr="00023C89" w14:paraId="7C447080" w14:textId="77777777" w:rsidTr="00EE2544">
        <w:trPr>
          <w:trHeight w:val="582"/>
        </w:trPr>
        <w:tc>
          <w:tcPr>
            <w:tcW w:w="1620" w:type="dxa"/>
            <w:tcBorders>
              <w:top w:val="nil"/>
              <w:left w:val="nil"/>
              <w:bottom w:val="single" w:sz="4" w:space="0" w:color="auto"/>
              <w:right w:val="nil"/>
            </w:tcBorders>
            <w:shd w:val="clear" w:color="auto" w:fill="auto"/>
            <w:noWrap/>
            <w:vAlign w:val="bottom"/>
            <w:hideMark/>
          </w:tcPr>
          <w:p w14:paraId="4BA4B2E4"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　</w:t>
            </w:r>
          </w:p>
        </w:tc>
        <w:tc>
          <w:tcPr>
            <w:tcW w:w="1620" w:type="dxa"/>
            <w:tcBorders>
              <w:top w:val="nil"/>
              <w:left w:val="nil"/>
              <w:bottom w:val="single" w:sz="4" w:space="0" w:color="auto"/>
              <w:right w:val="nil"/>
            </w:tcBorders>
            <w:shd w:val="clear" w:color="auto" w:fill="auto"/>
            <w:noWrap/>
            <w:vAlign w:val="center"/>
            <w:hideMark/>
          </w:tcPr>
          <w:p w14:paraId="086FB3FE" w14:textId="77777777" w:rsidR="00D0748F" w:rsidRPr="00023C89" w:rsidRDefault="00D0748F" w:rsidP="00D0748F">
            <w:pPr>
              <w:spacing w:line="360" w:lineRule="auto"/>
              <w:jc w:val="both"/>
              <w:rPr>
                <w:rFonts w:ascii="Book Antiqua" w:hAnsi="Book Antiqua"/>
                <w:i/>
                <w:color w:val="000000"/>
              </w:rPr>
            </w:pPr>
            <w:r w:rsidRPr="00023C89">
              <w:rPr>
                <w:rFonts w:ascii="Book Antiqua" w:hAnsi="Book Antiqua"/>
                <w:i/>
                <w:color w:val="000000"/>
              </w:rPr>
              <w:t>NRAP</w:t>
            </w:r>
          </w:p>
        </w:tc>
        <w:tc>
          <w:tcPr>
            <w:tcW w:w="2820" w:type="dxa"/>
            <w:tcBorders>
              <w:top w:val="nil"/>
              <w:left w:val="nil"/>
              <w:bottom w:val="single" w:sz="4" w:space="0" w:color="auto"/>
              <w:right w:val="nil"/>
            </w:tcBorders>
            <w:shd w:val="clear" w:color="auto" w:fill="auto"/>
            <w:hideMark/>
          </w:tcPr>
          <w:p w14:paraId="4058BE9C"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aps/>
                <w:color w:val="000000"/>
              </w:rPr>
              <w:t>n</w:t>
            </w:r>
            <w:r w:rsidRPr="00023C89">
              <w:rPr>
                <w:rFonts w:ascii="Book Antiqua" w:hAnsi="Book Antiqua"/>
                <w:color w:val="000000"/>
              </w:rPr>
              <w:t>ebulin related anchoring protein</w:t>
            </w:r>
          </w:p>
        </w:tc>
        <w:tc>
          <w:tcPr>
            <w:tcW w:w="1620" w:type="dxa"/>
            <w:tcBorders>
              <w:top w:val="nil"/>
              <w:left w:val="nil"/>
              <w:bottom w:val="single" w:sz="4" w:space="0" w:color="auto"/>
              <w:right w:val="nil"/>
            </w:tcBorders>
            <w:shd w:val="clear" w:color="auto" w:fill="auto"/>
            <w:noWrap/>
            <w:vAlign w:val="center"/>
            <w:hideMark/>
          </w:tcPr>
          <w:p w14:paraId="27954E60"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 xml:space="preserve">-1.11 </w:t>
            </w:r>
          </w:p>
        </w:tc>
        <w:tc>
          <w:tcPr>
            <w:tcW w:w="1620" w:type="dxa"/>
            <w:tcBorders>
              <w:top w:val="nil"/>
              <w:left w:val="nil"/>
              <w:bottom w:val="single" w:sz="4" w:space="0" w:color="auto"/>
              <w:right w:val="nil"/>
            </w:tcBorders>
            <w:shd w:val="clear" w:color="auto" w:fill="auto"/>
            <w:noWrap/>
            <w:vAlign w:val="center"/>
            <w:hideMark/>
          </w:tcPr>
          <w:p w14:paraId="25EC7B57" w14:textId="77777777" w:rsidR="00D0748F" w:rsidRPr="00023C89" w:rsidRDefault="00D0748F" w:rsidP="00D0748F">
            <w:pPr>
              <w:spacing w:line="360" w:lineRule="auto"/>
              <w:jc w:val="both"/>
              <w:rPr>
                <w:rFonts w:ascii="Book Antiqua" w:hAnsi="Book Antiqua"/>
                <w:color w:val="000000"/>
              </w:rPr>
            </w:pPr>
            <w:r w:rsidRPr="00023C89">
              <w:rPr>
                <w:rFonts w:ascii="Book Antiqua" w:hAnsi="Book Antiqua"/>
                <w:color w:val="000000"/>
              </w:rPr>
              <w:t>1.30E-03</w:t>
            </w:r>
          </w:p>
        </w:tc>
      </w:tr>
    </w:tbl>
    <w:p w14:paraId="689CCBAB" w14:textId="3751B86D" w:rsidR="00D0748F" w:rsidRPr="00023C89" w:rsidRDefault="00D0748F" w:rsidP="00D0748F">
      <w:pPr>
        <w:spacing w:line="360" w:lineRule="auto"/>
        <w:jc w:val="both"/>
        <w:rPr>
          <w:rFonts w:ascii="Book Antiqua" w:hAnsi="Book Antiqua"/>
          <w:b/>
        </w:rPr>
      </w:pPr>
      <w:r w:rsidRPr="00023C89">
        <w:rPr>
          <w:rFonts w:ascii="Book Antiqua" w:hAnsi="Book Antiqua"/>
          <w:b/>
        </w:rPr>
        <w:br w:type="page"/>
        <w:t>Table</w:t>
      </w:r>
      <w:r w:rsidRPr="00023C89">
        <w:rPr>
          <w:rFonts w:ascii="Book Antiqua" w:hAnsi="Book Antiqua"/>
          <w:b/>
          <w:lang w:eastAsia="zh-CN"/>
        </w:rPr>
        <w:t xml:space="preserve"> </w:t>
      </w:r>
      <w:r w:rsidRPr="00023C89">
        <w:rPr>
          <w:rFonts w:ascii="Book Antiqua" w:hAnsi="Book Antiqua"/>
          <w:b/>
        </w:rPr>
        <w:t xml:space="preserve">2 Top 10 hub genes in </w:t>
      </w:r>
      <w:r w:rsidR="0014312C" w:rsidRPr="00023C89">
        <w:rPr>
          <w:rFonts w:ascii="Book Antiqua" w:hAnsi="Book Antiqua"/>
          <w:b/>
        </w:rPr>
        <w:t xml:space="preserve">the </w:t>
      </w:r>
      <w:r w:rsidRPr="00023C89">
        <w:rPr>
          <w:rFonts w:ascii="Book Antiqua" w:hAnsi="Book Antiqua"/>
          <w:b/>
        </w:rPr>
        <w:t>protein-protein interaction network</w:t>
      </w:r>
    </w:p>
    <w:tbl>
      <w:tblPr>
        <w:tblW w:w="6200" w:type="dxa"/>
        <w:tblLook w:val="04A0" w:firstRow="1" w:lastRow="0" w:firstColumn="1" w:lastColumn="0" w:noHBand="0" w:noVBand="1"/>
      </w:tblPr>
      <w:tblGrid>
        <w:gridCol w:w="1420"/>
        <w:gridCol w:w="2620"/>
        <w:gridCol w:w="1080"/>
        <w:gridCol w:w="1080"/>
      </w:tblGrid>
      <w:tr w:rsidR="00D0748F" w:rsidRPr="00023C89" w14:paraId="2DA4C6C8" w14:textId="77777777" w:rsidTr="00EE2544">
        <w:trPr>
          <w:trHeight w:val="499"/>
        </w:trPr>
        <w:tc>
          <w:tcPr>
            <w:tcW w:w="1420" w:type="dxa"/>
            <w:tcBorders>
              <w:top w:val="single" w:sz="4" w:space="0" w:color="auto"/>
              <w:left w:val="nil"/>
              <w:bottom w:val="single" w:sz="4" w:space="0" w:color="auto"/>
              <w:right w:val="nil"/>
            </w:tcBorders>
            <w:shd w:val="clear" w:color="auto" w:fill="auto"/>
            <w:noWrap/>
            <w:vAlign w:val="center"/>
            <w:hideMark/>
          </w:tcPr>
          <w:p w14:paraId="623E51FC" w14:textId="77777777" w:rsidR="00D0748F" w:rsidRPr="00023C89" w:rsidRDefault="00D0748F" w:rsidP="00D0748F">
            <w:pPr>
              <w:spacing w:line="360" w:lineRule="auto"/>
              <w:jc w:val="both"/>
              <w:rPr>
                <w:rFonts w:ascii="Book Antiqua" w:eastAsia="等线" w:hAnsi="Book Antiqua"/>
                <w:b/>
                <w:color w:val="000000"/>
              </w:rPr>
            </w:pPr>
            <w:r w:rsidRPr="00023C89">
              <w:rPr>
                <w:rFonts w:ascii="Book Antiqua" w:eastAsia="等线" w:hAnsi="Book Antiqua"/>
                <w:b/>
                <w:caps/>
                <w:color w:val="000000"/>
              </w:rPr>
              <w:t>g</w:t>
            </w:r>
            <w:r w:rsidRPr="00023C89">
              <w:rPr>
                <w:rFonts w:ascii="Book Antiqua" w:eastAsia="等线" w:hAnsi="Book Antiqua"/>
                <w:b/>
                <w:color w:val="000000"/>
              </w:rPr>
              <w:t>ene symbol</w:t>
            </w:r>
          </w:p>
        </w:tc>
        <w:tc>
          <w:tcPr>
            <w:tcW w:w="2620" w:type="dxa"/>
            <w:tcBorders>
              <w:top w:val="single" w:sz="4" w:space="0" w:color="auto"/>
              <w:left w:val="nil"/>
              <w:bottom w:val="single" w:sz="4" w:space="0" w:color="auto"/>
              <w:right w:val="nil"/>
            </w:tcBorders>
            <w:shd w:val="clear" w:color="auto" w:fill="auto"/>
            <w:noWrap/>
            <w:vAlign w:val="center"/>
            <w:hideMark/>
          </w:tcPr>
          <w:p w14:paraId="0BDC1BD9" w14:textId="77777777" w:rsidR="00D0748F" w:rsidRPr="00023C89" w:rsidRDefault="00D0748F" w:rsidP="00D0748F">
            <w:pPr>
              <w:spacing w:line="360" w:lineRule="auto"/>
              <w:jc w:val="both"/>
              <w:rPr>
                <w:rFonts w:ascii="Book Antiqua" w:eastAsia="等线" w:hAnsi="Book Antiqua"/>
                <w:b/>
                <w:color w:val="000000"/>
              </w:rPr>
            </w:pPr>
            <w:r w:rsidRPr="00023C89">
              <w:rPr>
                <w:rFonts w:ascii="Book Antiqua" w:eastAsia="等线" w:hAnsi="Book Antiqua"/>
                <w:b/>
                <w:color w:val="000000"/>
              </w:rPr>
              <w:t>Description</w:t>
            </w:r>
          </w:p>
        </w:tc>
        <w:tc>
          <w:tcPr>
            <w:tcW w:w="1080" w:type="dxa"/>
            <w:tcBorders>
              <w:top w:val="single" w:sz="4" w:space="0" w:color="auto"/>
              <w:left w:val="nil"/>
              <w:bottom w:val="single" w:sz="4" w:space="0" w:color="auto"/>
              <w:right w:val="nil"/>
            </w:tcBorders>
            <w:shd w:val="clear" w:color="auto" w:fill="auto"/>
            <w:noWrap/>
            <w:vAlign w:val="center"/>
            <w:hideMark/>
          </w:tcPr>
          <w:p w14:paraId="16250B82" w14:textId="77777777" w:rsidR="00D0748F" w:rsidRPr="00023C89" w:rsidRDefault="00D0748F" w:rsidP="00D0748F">
            <w:pPr>
              <w:spacing w:line="360" w:lineRule="auto"/>
              <w:jc w:val="both"/>
              <w:rPr>
                <w:rFonts w:ascii="Book Antiqua" w:eastAsia="等线" w:hAnsi="Book Antiqua"/>
                <w:b/>
                <w:color w:val="000000"/>
              </w:rPr>
            </w:pPr>
            <w:r w:rsidRPr="00023C89">
              <w:rPr>
                <w:rFonts w:ascii="Book Antiqua" w:eastAsia="等线" w:hAnsi="Book Antiqua"/>
                <w:b/>
                <w:color w:val="000000"/>
              </w:rPr>
              <w:t>Rank</w:t>
            </w:r>
          </w:p>
        </w:tc>
        <w:tc>
          <w:tcPr>
            <w:tcW w:w="1080" w:type="dxa"/>
            <w:tcBorders>
              <w:top w:val="single" w:sz="4" w:space="0" w:color="auto"/>
              <w:left w:val="nil"/>
              <w:bottom w:val="single" w:sz="4" w:space="0" w:color="auto"/>
              <w:right w:val="nil"/>
            </w:tcBorders>
            <w:shd w:val="clear" w:color="auto" w:fill="auto"/>
            <w:noWrap/>
            <w:vAlign w:val="center"/>
            <w:hideMark/>
          </w:tcPr>
          <w:p w14:paraId="26372C21" w14:textId="77777777" w:rsidR="00D0748F" w:rsidRPr="00023C89" w:rsidRDefault="00D0748F" w:rsidP="00D0748F">
            <w:pPr>
              <w:spacing w:line="360" w:lineRule="auto"/>
              <w:jc w:val="both"/>
              <w:rPr>
                <w:rFonts w:ascii="Book Antiqua" w:eastAsia="等线" w:hAnsi="Book Antiqua"/>
                <w:b/>
                <w:color w:val="000000"/>
              </w:rPr>
            </w:pPr>
            <w:r w:rsidRPr="00023C89">
              <w:rPr>
                <w:rFonts w:ascii="Book Antiqua" w:eastAsia="等线" w:hAnsi="Book Antiqua"/>
                <w:b/>
                <w:caps/>
                <w:color w:val="000000"/>
              </w:rPr>
              <w:t>d</w:t>
            </w:r>
            <w:r w:rsidRPr="00023C89">
              <w:rPr>
                <w:rFonts w:ascii="Book Antiqua" w:eastAsia="等线" w:hAnsi="Book Antiqua"/>
                <w:b/>
                <w:color w:val="000000"/>
              </w:rPr>
              <w:t>egree</w:t>
            </w:r>
          </w:p>
        </w:tc>
      </w:tr>
      <w:tr w:rsidR="00D0748F" w:rsidRPr="00023C89" w14:paraId="5228FBA7" w14:textId="77777777" w:rsidTr="00EE2544">
        <w:trPr>
          <w:trHeight w:val="582"/>
        </w:trPr>
        <w:tc>
          <w:tcPr>
            <w:tcW w:w="1420" w:type="dxa"/>
            <w:tcBorders>
              <w:top w:val="nil"/>
              <w:left w:val="nil"/>
              <w:bottom w:val="nil"/>
              <w:right w:val="nil"/>
            </w:tcBorders>
            <w:shd w:val="clear" w:color="auto" w:fill="auto"/>
            <w:noWrap/>
            <w:vAlign w:val="center"/>
            <w:hideMark/>
          </w:tcPr>
          <w:p w14:paraId="256AA380" w14:textId="77777777" w:rsidR="00D0748F" w:rsidRPr="00023C89" w:rsidRDefault="00D0748F" w:rsidP="00D0748F">
            <w:pPr>
              <w:spacing w:line="360" w:lineRule="auto"/>
              <w:jc w:val="both"/>
              <w:rPr>
                <w:rFonts w:ascii="Book Antiqua" w:eastAsia="等线" w:hAnsi="Book Antiqua"/>
                <w:i/>
                <w:color w:val="000000"/>
              </w:rPr>
            </w:pPr>
            <w:r w:rsidRPr="00023C89">
              <w:rPr>
                <w:rFonts w:ascii="Book Antiqua" w:eastAsia="等线" w:hAnsi="Book Antiqua"/>
                <w:i/>
                <w:color w:val="000000"/>
              </w:rPr>
              <w:t>COL3A1</w:t>
            </w:r>
          </w:p>
        </w:tc>
        <w:tc>
          <w:tcPr>
            <w:tcW w:w="2620" w:type="dxa"/>
            <w:tcBorders>
              <w:top w:val="nil"/>
              <w:left w:val="nil"/>
              <w:bottom w:val="nil"/>
              <w:right w:val="nil"/>
            </w:tcBorders>
            <w:shd w:val="clear" w:color="auto" w:fill="auto"/>
            <w:hideMark/>
          </w:tcPr>
          <w:p w14:paraId="070F2BDD"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aps/>
                <w:color w:val="000000"/>
              </w:rPr>
              <w:t>c</w:t>
            </w:r>
            <w:r w:rsidRPr="00023C89">
              <w:rPr>
                <w:rFonts w:ascii="Book Antiqua" w:eastAsia="等线" w:hAnsi="Book Antiqua"/>
                <w:color w:val="000000"/>
              </w:rPr>
              <w:t>ollagen type III alpha 1 chain</w:t>
            </w:r>
          </w:p>
        </w:tc>
        <w:tc>
          <w:tcPr>
            <w:tcW w:w="1080" w:type="dxa"/>
            <w:tcBorders>
              <w:top w:val="nil"/>
              <w:left w:val="nil"/>
              <w:bottom w:val="nil"/>
              <w:right w:val="nil"/>
            </w:tcBorders>
            <w:shd w:val="clear" w:color="auto" w:fill="auto"/>
            <w:noWrap/>
            <w:vAlign w:val="center"/>
            <w:hideMark/>
          </w:tcPr>
          <w:p w14:paraId="6C125FE6"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1</w:t>
            </w:r>
          </w:p>
        </w:tc>
        <w:tc>
          <w:tcPr>
            <w:tcW w:w="1080" w:type="dxa"/>
            <w:tcBorders>
              <w:top w:val="nil"/>
              <w:left w:val="nil"/>
              <w:bottom w:val="nil"/>
              <w:right w:val="nil"/>
            </w:tcBorders>
            <w:shd w:val="clear" w:color="auto" w:fill="auto"/>
            <w:noWrap/>
            <w:vAlign w:val="center"/>
            <w:hideMark/>
          </w:tcPr>
          <w:p w14:paraId="17F5F79D"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18</w:t>
            </w:r>
          </w:p>
        </w:tc>
      </w:tr>
      <w:tr w:rsidR="00D0748F" w:rsidRPr="00023C89" w14:paraId="545EE1AF" w14:textId="77777777" w:rsidTr="00EE2544">
        <w:trPr>
          <w:trHeight w:val="582"/>
        </w:trPr>
        <w:tc>
          <w:tcPr>
            <w:tcW w:w="1420" w:type="dxa"/>
            <w:tcBorders>
              <w:top w:val="nil"/>
              <w:left w:val="nil"/>
              <w:bottom w:val="nil"/>
              <w:right w:val="nil"/>
            </w:tcBorders>
            <w:shd w:val="clear" w:color="auto" w:fill="auto"/>
            <w:noWrap/>
            <w:vAlign w:val="center"/>
            <w:hideMark/>
          </w:tcPr>
          <w:p w14:paraId="094B29A9" w14:textId="77777777" w:rsidR="00D0748F" w:rsidRPr="00023C89" w:rsidRDefault="00D0748F" w:rsidP="00D0748F">
            <w:pPr>
              <w:spacing w:line="360" w:lineRule="auto"/>
              <w:jc w:val="both"/>
              <w:rPr>
                <w:rFonts w:ascii="Book Antiqua" w:eastAsia="等线" w:hAnsi="Book Antiqua"/>
                <w:i/>
                <w:color w:val="000000"/>
              </w:rPr>
            </w:pPr>
            <w:r w:rsidRPr="00023C89">
              <w:rPr>
                <w:rFonts w:ascii="Book Antiqua" w:eastAsia="等线" w:hAnsi="Book Antiqua"/>
                <w:i/>
                <w:color w:val="000000"/>
              </w:rPr>
              <w:t>COL1A2</w:t>
            </w:r>
          </w:p>
        </w:tc>
        <w:tc>
          <w:tcPr>
            <w:tcW w:w="2620" w:type="dxa"/>
            <w:tcBorders>
              <w:top w:val="nil"/>
              <w:left w:val="nil"/>
              <w:bottom w:val="nil"/>
              <w:right w:val="nil"/>
            </w:tcBorders>
            <w:shd w:val="clear" w:color="auto" w:fill="auto"/>
            <w:hideMark/>
          </w:tcPr>
          <w:p w14:paraId="2389F2C4"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aps/>
                <w:color w:val="000000"/>
              </w:rPr>
              <w:t>c</w:t>
            </w:r>
            <w:r w:rsidRPr="00023C89">
              <w:rPr>
                <w:rFonts w:ascii="Book Antiqua" w:eastAsia="等线" w:hAnsi="Book Antiqua"/>
                <w:color w:val="000000"/>
              </w:rPr>
              <w:t>ollagen type I alpha 2 chain</w:t>
            </w:r>
          </w:p>
        </w:tc>
        <w:tc>
          <w:tcPr>
            <w:tcW w:w="1080" w:type="dxa"/>
            <w:tcBorders>
              <w:top w:val="nil"/>
              <w:left w:val="nil"/>
              <w:bottom w:val="nil"/>
              <w:right w:val="nil"/>
            </w:tcBorders>
            <w:shd w:val="clear" w:color="auto" w:fill="auto"/>
            <w:noWrap/>
            <w:vAlign w:val="center"/>
            <w:hideMark/>
          </w:tcPr>
          <w:p w14:paraId="7E330FC8"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2</w:t>
            </w:r>
          </w:p>
        </w:tc>
        <w:tc>
          <w:tcPr>
            <w:tcW w:w="1080" w:type="dxa"/>
            <w:tcBorders>
              <w:top w:val="nil"/>
              <w:left w:val="nil"/>
              <w:bottom w:val="nil"/>
              <w:right w:val="nil"/>
            </w:tcBorders>
            <w:shd w:val="clear" w:color="auto" w:fill="auto"/>
            <w:noWrap/>
            <w:vAlign w:val="center"/>
            <w:hideMark/>
          </w:tcPr>
          <w:p w14:paraId="07F16FE9"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12</w:t>
            </w:r>
          </w:p>
        </w:tc>
      </w:tr>
      <w:tr w:rsidR="00D0748F" w:rsidRPr="00023C89" w14:paraId="3221DBB8" w14:textId="77777777" w:rsidTr="00EE2544">
        <w:trPr>
          <w:trHeight w:val="582"/>
        </w:trPr>
        <w:tc>
          <w:tcPr>
            <w:tcW w:w="1420" w:type="dxa"/>
            <w:tcBorders>
              <w:top w:val="nil"/>
              <w:left w:val="nil"/>
              <w:bottom w:val="nil"/>
              <w:right w:val="nil"/>
            </w:tcBorders>
            <w:shd w:val="clear" w:color="auto" w:fill="auto"/>
            <w:noWrap/>
            <w:vAlign w:val="center"/>
            <w:hideMark/>
          </w:tcPr>
          <w:p w14:paraId="5704DE93" w14:textId="77777777" w:rsidR="00D0748F" w:rsidRPr="00023C89" w:rsidRDefault="00D0748F" w:rsidP="00D0748F">
            <w:pPr>
              <w:spacing w:line="360" w:lineRule="auto"/>
              <w:jc w:val="both"/>
              <w:rPr>
                <w:rFonts w:ascii="Book Antiqua" w:eastAsia="等线" w:hAnsi="Book Antiqua"/>
                <w:i/>
                <w:color w:val="000000"/>
              </w:rPr>
            </w:pPr>
            <w:r w:rsidRPr="00023C89">
              <w:rPr>
                <w:rFonts w:ascii="Book Antiqua" w:eastAsia="等线" w:hAnsi="Book Antiqua"/>
                <w:i/>
                <w:color w:val="000000"/>
              </w:rPr>
              <w:t>STAT3</w:t>
            </w:r>
          </w:p>
        </w:tc>
        <w:tc>
          <w:tcPr>
            <w:tcW w:w="2620" w:type="dxa"/>
            <w:tcBorders>
              <w:top w:val="nil"/>
              <w:left w:val="nil"/>
              <w:bottom w:val="nil"/>
              <w:right w:val="nil"/>
            </w:tcBorders>
            <w:shd w:val="clear" w:color="auto" w:fill="auto"/>
            <w:hideMark/>
          </w:tcPr>
          <w:p w14:paraId="70DB8BBC"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aps/>
                <w:color w:val="000000"/>
              </w:rPr>
              <w:t>s</w:t>
            </w:r>
            <w:r w:rsidRPr="00023C89">
              <w:rPr>
                <w:rFonts w:ascii="Book Antiqua" w:eastAsia="等线" w:hAnsi="Book Antiqua"/>
                <w:color w:val="000000"/>
              </w:rPr>
              <w:t>ignal transducer and activator of transcription 3</w:t>
            </w:r>
          </w:p>
        </w:tc>
        <w:tc>
          <w:tcPr>
            <w:tcW w:w="1080" w:type="dxa"/>
            <w:tcBorders>
              <w:top w:val="nil"/>
              <w:left w:val="nil"/>
              <w:bottom w:val="nil"/>
              <w:right w:val="nil"/>
            </w:tcBorders>
            <w:shd w:val="clear" w:color="auto" w:fill="auto"/>
            <w:noWrap/>
            <w:vAlign w:val="center"/>
            <w:hideMark/>
          </w:tcPr>
          <w:p w14:paraId="318C9F70"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3</w:t>
            </w:r>
          </w:p>
        </w:tc>
        <w:tc>
          <w:tcPr>
            <w:tcW w:w="1080" w:type="dxa"/>
            <w:tcBorders>
              <w:top w:val="nil"/>
              <w:left w:val="nil"/>
              <w:bottom w:val="nil"/>
              <w:right w:val="nil"/>
            </w:tcBorders>
            <w:shd w:val="clear" w:color="auto" w:fill="auto"/>
            <w:noWrap/>
            <w:vAlign w:val="center"/>
            <w:hideMark/>
          </w:tcPr>
          <w:p w14:paraId="7ACD5424"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11</w:t>
            </w:r>
          </w:p>
        </w:tc>
      </w:tr>
      <w:tr w:rsidR="00D0748F" w:rsidRPr="00023C89" w14:paraId="61F62D55" w14:textId="77777777" w:rsidTr="00EE2544">
        <w:trPr>
          <w:trHeight w:val="582"/>
        </w:trPr>
        <w:tc>
          <w:tcPr>
            <w:tcW w:w="1420" w:type="dxa"/>
            <w:tcBorders>
              <w:top w:val="nil"/>
              <w:left w:val="nil"/>
              <w:bottom w:val="nil"/>
              <w:right w:val="nil"/>
            </w:tcBorders>
            <w:shd w:val="clear" w:color="auto" w:fill="auto"/>
            <w:noWrap/>
            <w:vAlign w:val="center"/>
            <w:hideMark/>
          </w:tcPr>
          <w:p w14:paraId="57F6F863" w14:textId="77777777" w:rsidR="00D0748F" w:rsidRPr="00023C89" w:rsidRDefault="00D0748F" w:rsidP="00D0748F">
            <w:pPr>
              <w:spacing w:line="360" w:lineRule="auto"/>
              <w:jc w:val="both"/>
              <w:rPr>
                <w:rFonts w:ascii="Book Antiqua" w:eastAsia="等线" w:hAnsi="Book Antiqua"/>
                <w:i/>
                <w:color w:val="000000"/>
              </w:rPr>
            </w:pPr>
            <w:r w:rsidRPr="00023C89">
              <w:rPr>
                <w:rFonts w:ascii="Book Antiqua" w:eastAsia="等线" w:hAnsi="Book Antiqua"/>
                <w:i/>
                <w:color w:val="000000"/>
              </w:rPr>
              <w:t>CCL2</w:t>
            </w:r>
          </w:p>
        </w:tc>
        <w:tc>
          <w:tcPr>
            <w:tcW w:w="2620" w:type="dxa"/>
            <w:tcBorders>
              <w:top w:val="nil"/>
              <w:left w:val="nil"/>
              <w:bottom w:val="nil"/>
              <w:right w:val="nil"/>
            </w:tcBorders>
            <w:shd w:val="clear" w:color="auto" w:fill="auto"/>
            <w:hideMark/>
          </w:tcPr>
          <w:p w14:paraId="38A3BFF0"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C-C motif chemokine ligand 2</w:t>
            </w:r>
          </w:p>
        </w:tc>
        <w:tc>
          <w:tcPr>
            <w:tcW w:w="1080" w:type="dxa"/>
            <w:tcBorders>
              <w:top w:val="nil"/>
              <w:left w:val="nil"/>
              <w:bottom w:val="nil"/>
              <w:right w:val="nil"/>
            </w:tcBorders>
            <w:shd w:val="clear" w:color="auto" w:fill="auto"/>
            <w:noWrap/>
            <w:vAlign w:val="center"/>
            <w:hideMark/>
          </w:tcPr>
          <w:p w14:paraId="7D072915"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3</w:t>
            </w:r>
          </w:p>
        </w:tc>
        <w:tc>
          <w:tcPr>
            <w:tcW w:w="1080" w:type="dxa"/>
            <w:tcBorders>
              <w:top w:val="nil"/>
              <w:left w:val="nil"/>
              <w:bottom w:val="nil"/>
              <w:right w:val="nil"/>
            </w:tcBorders>
            <w:shd w:val="clear" w:color="auto" w:fill="auto"/>
            <w:noWrap/>
            <w:vAlign w:val="center"/>
            <w:hideMark/>
          </w:tcPr>
          <w:p w14:paraId="16C01519"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11</w:t>
            </w:r>
          </w:p>
        </w:tc>
      </w:tr>
      <w:tr w:rsidR="00D0748F" w:rsidRPr="00023C89" w14:paraId="2824FC35" w14:textId="77777777" w:rsidTr="00EE2544">
        <w:trPr>
          <w:trHeight w:val="582"/>
        </w:trPr>
        <w:tc>
          <w:tcPr>
            <w:tcW w:w="1420" w:type="dxa"/>
            <w:tcBorders>
              <w:top w:val="nil"/>
              <w:left w:val="nil"/>
              <w:bottom w:val="nil"/>
              <w:right w:val="nil"/>
            </w:tcBorders>
            <w:shd w:val="clear" w:color="auto" w:fill="auto"/>
            <w:noWrap/>
            <w:vAlign w:val="center"/>
            <w:hideMark/>
          </w:tcPr>
          <w:p w14:paraId="3C35FA22" w14:textId="77777777" w:rsidR="00D0748F" w:rsidRPr="00023C89" w:rsidRDefault="00D0748F" w:rsidP="00D0748F">
            <w:pPr>
              <w:spacing w:line="360" w:lineRule="auto"/>
              <w:jc w:val="both"/>
              <w:rPr>
                <w:rFonts w:ascii="Book Antiqua" w:eastAsia="等线" w:hAnsi="Book Antiqua"/>
                <w:i/>
                <w:color w:val="000000"/>
              </w:rPr>
            </w:pPr>
            <w:r w:rsidRPr="00023C89">
              <w:rPr>
                <w:rFonts w:ascii="Book Antiqua" w:eastAsia="等线" w:hAnsi="Book Antiqua"/>
                <w:i/>
                <w:color w:val="000000"/>
              </w:rPr>
              <w:t>FMOD</w:t>
            </w:r>
          </w:p>
        </w:tc>
        <w:tc>
          <w:tcPr>
            <w:tcW w:w="2620" w:type="dxa"/>
            <w:tcBorders>
              <w:top w:val="nil"/>
              <w:left w:val="nil"/>
              <w:bottom w:val="nil"/>
              <w:right w:val="nil"/>
            </w:tcBorders>
            <w:shd w:val="clear" w:color="auto" w:fill="auto"/>
            <w:hideMark/>
          </w:tcPr>
          <w:p w14:paraId="7DC9C589"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aps/>
                <w:color w:val="000000"/>
              </w:rPr>
              <w:t>f</w:t>
            </w:r>
            <w:r w:rsidRPr="00023C89">
              <w:rPr>
                <w:rFonts w:ascii="Book Antiqua" w:eastAsia="等线" w:hAnsi="Book Antiqua"/>
                <w:color w:val="000000"/>
              </w:rPr>
              <w:t>ibromodulin</w:t>
            </w:r>
          </w:p>
        </w:tc>
        <w:tc>
          <w:tcPr>
            <w:tcW w:w="1080" w:type="dxa"/>
            <w:tcBorders>
              <w:top w:val="nil"/>
              <w:left w:val="nil"/>
              <w:bottom w:val="nil"/>
              <w:right w:val="nil"/>
            </w:tcBorders>
            <w:shd w:val="clear" w:color="auto" w:fill="auto"/>
            <w:noWrap/>
            <w:vAlign w:val="center"/>
            <w:hideMark/>
          </w:tcPr>
          <w:p w14:paraId="40AC1B25"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5</w:t>
            </w:r>
          </w:p>
        </w:tc>
        <w:tc>
          <w:tcPr>
            <w:tcW w:w="1080" w:type="dxa"/>
            <w:tcBorders>
              <w:top w:val="nil"/>
              <w:left w:val="nil"/>
              <w:bottom w:val="nil"/>
              <w:right w:val="nil"/>
            </w:tcBorders>
            <w:shd w:val="clear" w:color="auto" w:fill="auto"/>
            <w:noWrap/>
            <w:vAlign w:val="center"/>
            <w:hideMark/>
          </w:tcPr>
          <w:p w14:paraId="259A3661"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10</w:t>
            </w:r>
          </w:p>
        </w:tc>
      </w:tr>
      <w:tr w:rsidR="00D0748F" w:rsidRPr="00023C89" w14:paraId="2209A79B" w14:textId="77777777" w:rsidTr="00EE2544">
        <w:trPr>
          <w:trHeight w:val="582"/>
        </w:trPr>
        <w:tc>
          <w:tcPr>
            <w:tcW w:w="1420" w:type="dxa"/>
            <w:tcBorders>
              <w:top w:val="nil"/>
              <w:left w:val="nil"/>
              <w:bottom w:val="nil"/>
              <w:right w:val="nil"/>
            </w:tcBorders>
            <w:shd w:val="clear" w:color="auto" w:fill="auto"/>
            <w:noWrap/>
            <w:vAlign w:val="center"/>
            <w:hideMark/>
          </w:tcPr>
          <w:p w14:paraId="2DEC5658" w14:textId="77777777" w:rsidR="00D0748F" w:rsidRPr="00023C89" w:rsidRDefault="00D0748F" w:rsidP="00D0748F">
            <w:pPr>
              <w:spacing w:line="360" w:lineRule="auto"/>
              <w:jc w:val="both"/>
              <w:rPr>
                <w:rFonts w:ascii="Book Antiqua" w:eastAsia="等线" w:hAnsi="Book Antiqua"/>
                <w:i/>
                <w:color w:val="000000"/>
              </w:rPr>
            </w:pPr>
            <w:r w:rsidRPr="00023C89">
              <w:rPr>
                <w:rFonts w:ascii="Book Antiqua" w:eastAsia="等线" w:hAnsi="Book Antiqua"/>
                <w:i/>
                <w:color w:val="000000"/>
              </w:rPr>
              <w:t>ASPN</w:t>
            </w:r>
          </w:p>
        </w:tc>
        <w:tc>
          <w:tcPr>
            <w:tcW w:w="2620" w:type="dxa"/>
            <w:tcBorders>
              <w:top w:val="nil"/>
              <w:left w:val="nil"/>
              <w:bottom w:val="nil"/>
              <w:right w:val="nil"/>
            </w:tcBorders>
            <w:shd w:val="clear" w:color="auto" w:fill="auto"/>
            <w:hideMark/>
          </w:tcPr>
          <w:p w14:paraId="5EB946AF"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aps/>
                <w:color w:val="000000"/>
              </w:rPr>
              <w:t>a</w:t>
            </w:r>
            <w:r w:rsidRPr="00023C89">
              <w:rPr>
                <w:rFonts w:ascii="Book Antiqua" w:eastAsia="等线" w:hAnsi="Book Antiqua"/>
                <w:color w:val="000000"/>
              </w:rPr>
              <w:t>sporin</w:t>
            </w:r>
          </w:p>
        </w:tc>
        <w:tc>
          <w:tcPr>
            <w:tcW w:w="1080" w:type="dxa"/>
            <w:tcBorders>
              <w:top w:val="nil"/>
              <w:left w:val="nil"/>
              <w:bottom w:val="nil"/>
              <w:right w:val="nil"/>
            </w:tcBorders>
            <w:shd w:val="clear" w:color="auto" w:fill="auto"/>
            <w:noWrap/>
            <w:vAlign w:val="center"/>
            <w:hideMark/>
          </w:tcPr>
          <w:p w14:paraId="04D983D1"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6</w:t>
            </w:r>
          </w:p>
        </w:tc>
        <w:tc>
          <w:tcPr>
            <w:tcW w:w="1080" w:type="dxa"/>
            <w:tcBorders>
              <w:top w:val="nil"/>
              <w:left w:val="nil"/>
              <w:bottom w:val="nil"/>
              <w:right w:val="nil"/>
            </w:tcBorders>
            <w:shd w:val="clear" w:color="auto" w:fill="auto"/>
            <w:noWrap/>
            <w:vAlign w:val="center"/>
            <w:hideMark/>
          </w:tcPr>
          <w:p w14:paraId="27A28D0B"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9</w:t>
            </w:r>
          </w:p>
        </w:tc>
      </w:tr>
      <w:tr w:rsidR="00D0748F" w:rsidRPr="00023C89" w14:paraId="6FAD1EA4" w14:textId="77777777" w:rsidTr="00EE2544">
        <w:trPr>
          <w:trHeight w:val="582"/>
        </w:trPr>
        <w:tc>
          <w:tcPr>
            <w:tcW w:w="1420" w:type="dxa"/>
            <w:tcBorders>
              <w:top w:val="nil"/>
              <w:left w:val="nil"/>
              <w:bottom w:val="nil"/>
              <w:right w:val="nil"/>
            </w:tcBorders>
            <w:shd w:val="clear" w:color="auto" w:fill="auto"/>
            <w:noWrap/>
            <w:vAlign w:val="center"/>
            <w:hideMark/>
          </w:tcPr>
          <w:p w14:paraId="676F9928" w14:textId="77777777" w:rsidR="00D0748F" w:rsidRPr="00023C89" w:rsidRDefault="00D0748F" w:rsidP="00D0748F">
            <w:pPr>
              <w:spacing w:line="360" w:lineRule="auto"/>
              <w:jc w:val="both"/>
              <w:rPr>
                <w:rFonts w:ascii="Book Antiqua" w:eastAsia="等线" w:hAnsi="Book Antiqua"/>
                <w:i/>
                <w:color w:val="000000"/>
              </w:rPr>
            </w:pPr>
            <w:r w:rsidRPr="00023C89">
              <w:rPr>
                <w:rFonts w:ascii="Book Antiqua" w:eastAsia="等线" w:hAnsi="Book Antiqua"/>
                <w:i/>
                <w:color w:val="000000"/>
              </w:rPr>
              <w:t>CXCL12</w:t>
            </w:r>
          </w:p>
        </w:tc>
        <w:tc>
          <w:tcPr>
            <w:tcW w:w="2620" w:type="dxa"/>
            <w:tcBorders>
              <w:top w:val="nil"/>
              <w:left w:val="nil"/>
              <w:bottom w:val="nil"/>
              <w:right w:val="nil"/>
            </w:tcBorders>
            <w:shd w:val="clear" w:color="auto" w:fill="auto"/>
            <w:hideMark/>
          </w:tcPr>
          <w:p w14:paraId="3F53880C"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C-X-C motif chemokine ligand 12</w:t>
            </w:r>
          </w:p>
        </w:tc>
        <w:tc>
          <w:tcPr>
            <w:tcW w:w="1080" w:type="dxa"/>
            <w:tcBorders>
              <w:top w:val="nil"/>
              <w:left w:val="nil"/>
              <w:bottom w:val="nil"/>
              <w:right w:val="nil"/>
            </w:tcBorders>
            <w:shd w:val="clear" w:color="auto" w:fill="auto"/>
            <w:noWrap/>
            <w:vAlign w:val="center"/>
            <w:hideMark/>
          </w:tcPr>
          <w:p w14:paraId="0296F926"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6</w:t>
            </w:r>
          </w:p>
        </w:tc>
        <w:tc>
          <w:tcPr>
            <w:tcW w:w="1080" w:type="dxa"/>
            <w:tcBorders>
              <w:top w:val="nil"/>
              <w:left w:val="nil"/>
              <w:bottom w:val="nil"/>
              <w:right w:val="nil"/>
            </w:tcBorders>
            <w:shd w:val="clear" w:color="auto" w:fill="auto"/>
            <w:noWrap/>
            <w:vAlign w:val="center"/>
            <w:hideMark/>
          </w:tcPr>
          <w:p w14:paraId="74E0D089"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9</w:t>
            </w:r>
          </w:p>
        </w:tc>
      </w:tr>
      <w:tr w:rsidR="00D0748F" w:rsidRPr="00023C89" w14:paraId="0AD0B321" w14:textId="77777777" w:rsidTr="00EE2544">
        <w:trPr>
          <w:trHeight w:val="582"/>
        </w:trPr>
        <w:tc>
          <w:tcPr>
            <w:tcW w:w="1420" w:type="dxa"/>
            <w:tcBorders>
              <w:top w:val="nil"/>
              <w:left w:val="nil"/>
              <w:bottom w:val="nil"/>
              <w:right w:val="nil"/>
            </w:tcBorders>
            <w:shd w:val="clear" w:color="auto" w:fill="auto"/>
            <w:noWrap/>
            <w:vAlign w:val="center"/>
            <w:hideMark/>
          </w:tcPr>
          <w:p w14:paraId="5F7D68B2" w14:textId="77777777" w:rsidR="00D0748F" w:rsidRPr="00023C89" w:rsidRDefault="00D0748F" w:rsidP="00D0748F">
            <w:pPr>
              <w:spacing w:line="360" w:lineRule="auto"/>
              <w:jc w:val="both"/>
              <w:rPr>
                <w:rFonts w:ascii="Book Antiqua" w:eastAsia="等线" w:hAnsi="Book Antiqua"/>
                <w:i/>
                <w:color w:val="000000"/>
              </w:rPr>
            </w:pPr>
            <w:r w:rsidRPr="00023C89">
              <w:rPr>
                <w:rFonts w:ascii="Book Antiqua" w:eastAsia="等线" w:hAnsi="Book Antiqua"/>
                <w:i/>
                <w:color w:val="000000"/>
              </w:rPr>
              <w:t>LUM</w:t>
            </w:r>
          </w:p>
        </w:tc>
        <w:tc>
          <w:tcPr>
            <w:tcW w:w="2620" w:type="dxa"/>
            <w:tcBorders>
              <w:top w:val="nil"/>
              <w:left w:val="nil"/>
              <w:bottom w:val="nil"/>
              <w:right w:val="nil"/>
            </w:tcBorders>
            <w:shd w:val="clear" w:color="auto" w:fill="auto"/>
            <w:hideMark/>
          </w:tcPr>
          <w:p w14:paraId="69265CE3"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aps/>
                <w:color w:val="000000"/>
              </w:rPr>
              <w:t>l</w:t>
            </w:r>
            <w:r w:rsidRPr="00023C89">
              <w:rPr>
                <w:rFonts w:ascii="Book Antiqua" w:eastAsia="等线" w:hAnsi="Book Antiqua"/>
                <w:color w:val="000000"/>
              </w:rPr>
              <w:t>umican</w:t>
            </w:r>
          </w:p>
        </w:tc>
        <w:tc>
          <w:tcPr>
            <w:tcW w:w="1080" w:type="dxa"/>
            <w:tcBorders>
              <w:top w:val="nil"/>
              <w:left w:val="nil"/>
              <w:bottom w:val="nil"/>
              <w:right w:val="nil"/>
            </w:tcBorders>
            <w:shd w:val="clear" w:color="auto" w:fill="auto"/>
            <w:noWrap/>
            <w:vAlign w:val="center"/>
            <w:hideMark/>
          </w:tcPr>
          <w:p w14:paraId="7FC663B3"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8</w:t>
            </w:r>
          </w:p>
        </w:tc>
        <w:tc>
          <w:tcPr>
            <w:tcW w:w="1080" w:type="dxa"/>
            <w:tcBorders>
              <w:top w:val="nil"/>
              <w:left w:val="nil"/>
              <w:bottom w:val="nil"/>
              <w:right w:val="nil"/>
            </w:tcBorders>
            <w:shd w:val="clear" w:color="auto" w:fill="auto"/>
            <w:noWrap/>
            <w:vAlign w:val="center"/>
            <w:hideMark/>
          </w:tcPr>
          <w:p w14:paraId="78EBD82A"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8</w:t>
            </w:r>
          </w:p>
        </w:tc>
      </w:tr>
      <w:tr w:rsidR="00D0748F" w:rsidRPr="00023C89" w14:paraId="5FEB6F03" w14:textId="77777777" w:rsidTr="00EE2544">
        <w:trPr>
          <w:trHeight w:val="582"/>
        </w:trPr>
        <w:tc>
          <w:tcPr>
            <w:tcW w:w="1420" w:type="dxa"/>
            <w:tcBorders>
              <w:top w:val="nil"/>
              <w:left w:val="nil"/>
              <w:bottom w:val="nil"/>
              <w:right w:val="nil"/>
            </w:tcBorders>
            <w:shd w:val="clear" w:color="auto" w:fill="auto"/>
            <w:noWrap/>
            <w:vAlign w:val="center"/>
            <w:hideMark/>
          </w:tcPr>
          <w:p w14:paraId="0374B3D0" w14:textId="77777777" w:rsidR="00D0748F" w:rsidRPr="00023C89" w:rsidRDefault="00D0748F" w:rsidP="00D0748F">
            <w:pPr>
              <w:spacing w:line="360" w:lineRule="auto"/>
              <w:jc w:val="both"/>
              <w:rPr>
                <w:rFonts w:ascii="Book Antiqua" w:eastAsia="等线" w:hAnsi="Book Antiqua"/>
                <w:i/>
                <w:color w:val="000000"/>
              </w:rPr>
            </w:pPr>
            <w:r w:rsidRPr="00023C89">
              <w:rPr>
                <w:rFonts w:ascii="Book Antiqua" w:eastAsia="等线" w:hAnsi="Book Antiqua"/>
                <w:i/>
                <w:color w:val="000000"/>
              </w:rPr>
              <w:t>HSP90AA1</w:t>
            </w:r>
          </w:p>
        </w:tc>
        <w:tc>
          <w:tcPr>
            <w:tcW w:w="2620" w:type="dxa"/>
            <w:tcBorders>
              <w:top w:val="nil"/>
              <w:left w:val="nil"/>
              <w:bottom w:val="nil"/>
              <w:right w:val="nil"/>
            </w:tcBorders>
            <w:shd w:val="clear" w:color="auto" w:fill="auto"/>
            <w:hideMark/>
          </w:tcPr>
          <w:p w14:paraId="2F22D63B"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aps/>
                <w:color w:val="000000"/>
              </w:rPr>
              <w:t>h</w:t>
            </w:r>
            <w:r w:rsidRPr="00023C89">
              <w:rPr>
                <w:rFonts w:ascii="Book Antiqua" w:eastAsia="等线" w:hAnsi="Book Antiqua"/>
                <w:color w:val="000000"/>
              </w:rPr>
              <w:t>eat shock protein 90 alpha family class A member 1</w:t>
            </w:r>
          </w:p>
        </w:tc>
        <w:tc>
          <w:tcPr>
            <w:tcW w:w="1080" w:type="dxa"/>
            <w:tcBorders>
              <w:top w:val="nil"/>
              <w:left w:val="nil"/>
              <w:bottom w:val="nil"/>
              <w:right w:val="nil"/>
            </w:tcBorders>
            <w:shd w:val="clear" w:color="auto" w:fill="auto"/>
            <w:noWrap/>
            <w:vAlign w:val="center"/>
            <w:hideMark/>
          </w:tcPr>
          <w:p w14:paraId="66815A97"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8</w:t>
            </w:r>
          </w:p>
        </w:tc>
        <w:tc>
          <w:tcPr>
            <w:tcW w:w="1080" w:type="dxa"/>
            <w:tcBorders>
              <w:top w:val="nil"/>
              <w:left w:val="nil"/>
              <w:bottom w:val="nil"/>
              <w:right w:val="nil"/>
            </w:tcBorders>
            <w:shd w:val="clear" w:color="auto" w:fill="auto"/>
            <w:noWrap/>
            <w:vAlign w:val="center"/>
            <w:hideMark/>
          </w:tcPr>
          <w:p w14:paraId="0B7D45CD"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8</w:t>
            </w:r>
          </w:p>
        </w:tc>
      </w:tr>
      <w:tr w:rsidR="00D0748F" w:rsidRPr="00D0748F" w14:paraId="1FFE7960" w14:textId="77777777" w:rsidTr="00EE2544">
        <w:trPr>
          <w:trHeight w:val="582"/>
        </w:trPr>
        <w:tc>
          <w:tcPr>
            <w:tcW w:w="1420" w:type="dxa"/>
            <w:tcBorders>
              <w:top w:val="nil"/>
              <w:left w:val="nil"/>
              <w:bottom w:val="single" w:sz="4" w:space="0" w:color="auto"/>
              <w:right w:val="nil"/>
            </w:tcBorders>
            <w:shd w:val="clear" w:color="auto" w:fill="auto"/>
            <w:noWrap/>
            <w:vAlign w:val="center"/>
            <w:hideMark/>
          </w:tcPr>
          <w:p w14:paraId="660EA000" w14:textId="77777777" w:rsidR="00D0748F" w:rsidRPr="00023C89" w:rsidRDefault="00D0748F" w:rsidP="00D0748F">
            <w:pPr>
              <w:spacing w:line="360" w:lineRule="auto"/>
              <w:jc w:val="both"/>
              <w:rPr>
                <w:rFonts w:ascii="Book Antiqua" w:eastAsia="等线" w:hAnsi="Book Antiqua"/>
                <w:i/>
                <w:color w:val="000000"/>
              </w:rPr>
            </w:pPr>
            <w:r w:rsidRPr="00023C89">
              <w:rPr>
                <w:rFonts w:ascii="Book Antiqua" w:eastAsia="等线" w:hAnsi="Book Antiqua"/>
                <w:i/>
                <w:color w:val="000000"/>
              </w:rPr>
              <w:t>OGN</w:t>
            </w:r>
          </w:p>
        </w:tc>
        <w:tc>
          <w:tcPr>
            <w:tcW w:w="2620" w:type="dxa"/>
            <w:tcBorders>
              <w:top w:val="nil"/>
              <w:left w:val="nil"/>
              <w:bottom w:val="single" w:sz="4" w:space="0" w:color="auto"/>
              <w:right w:val="nil"/>
            </w:tcBorders>
            <w:shd w:val="clear" w:color="auto" w:fill="auto"/>
            <w:hideMark/>
          </w:tcPr>
          <w:p w14:paraId="5A1D1F01"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aps/>
                <w:color w:val="000000"/>
              </w:rPr>
              <w:t>o</w:t>
            </w:r>
            <w:r w:rsidRPr="00023C89">
              <w:rPr>
                <w:rFonts w:ascii="Book Antiqua" w:eastAsia="等线" w:hAnsi="Book Antiqua"/>
                <w:color w:val="000000"/>
              </w:rPr>
              <w:t>steoglycin</w:t>
            </w:r>
          </w:p>
        </w:tc>
        <w:tc>
          <w:tcPr>
            <w:tcW w:w="1080" w:type="dxa"/>
            <w:tcBorders>
              <w:top w:val="nil"/>
              <w:left w:val="nil"/>
              <w:bottom w:val="single" w:sz="4" w:space="0" w:color="auto"/>
              <w:right w:val="nil"/>
            </w:tcBorders>
            <w:shd w:val="clear" w:color="auto" w:fill="auto"/>
            <w:noWrap/>
            <w:vAlign w:val="center"/>
            <w:hideMark/>
          </w:tcPr>
          <w:p w14:paraId="2A3B3EA2" w14:textId="77777777" w:rsidR="00D0748F" w:rsidRPr="00023C89"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8</w:t>
            </w:r>
          </w:p>
        </w:tc>
        <w:tc>
          <w:tcPr>
            <w:tcW w:w="1080" w:type="dxa"/>
            <w:tcBorders>
              <w:top w:val="nil"/>
              <w:left w:val="nil"/>
              <w:bottom w:val="single" w:sz="4" w:space="0" w:color="auto"/>
              <w:right w:val="nil"/>
            </w:tcBorders>
            <w:shd w:val="clear" w:color="auto" w:fill="auto"/>
            <w:noWrap/>
            <w:vAlign w:val="center"/>
            <w:hideMark/>
          </w:tcPr>
          <w:p w14:paraId="3DDE9B74" w14:textId="77777777" w:rsidR="00D0748F" w:rsidRPr="00D0748F" w:rsidRDefault="00D0748F" w:rsidP="00D0748F">
            <w:pPr>
              <w:spacing w:line="360" w:lineRule="auto"/>
              <w:jc w:val="both"/>
              <w:rPr>
                <w:rFonts w:ascii="Book Antiqua" w:eastAsia="等线" w:hAnsi="Book Antiqua"/>
                <w:color w:val="000000"/>
              </w:rPr>
            </w:pPr>
            <w:r w:rsidRPr="00023C89">
              <w:rPr>
                <w:rFonts w:ascii="Book Antiqua" w:eastAsia="等线" w:hAnsi="Book Antiqua"/>
                <w:color w:val="000000"/>
              </w:rPr>
              <w:t>8</w:t>
            </w:r>
          </w:p>
        </w:tc>
      </w:tr>
    </w:tbl>
    <w:p w14:paraId="00830F40" w14:textId="3A10623E" w:rsidR="00A60D89" w:rsidRDefault="00A60D89" w:rsidP="00D0748F">
      <w:pPr>
        <w:spacing w:line="360" w:lineRule="auto"/>
        <w:jc w:val="both"/>
        <w:rPr>
          <w:rFonts w:ascii="Book Antiqua" w:hAnsi="Book Antiqua"/>
          <w:lang w:eastAsia="zh-CN"/>
        </w:rPr>
      </w:pPr>
    </w:p>
    <w:p w14:paraId="2195A603" w14:textId="77777777" w:rsidR="00A60D89" w:rsidRDefault="00A60D89">
      <w:pPr>
        <w:rPr>
          <w:rFonts w:ascii="Book Antiqua" w:hAnsi="Book Antiqua"/>
          <w:lang w:eastAsia="zh-CN"/>
        </w:rPr>
      </w:pPr>
      <w:r>
        <w:rPr>
          <w:rFonts w:ascii="Book Antiqua" w:hAnsi="Book Antiqua"/>
          <w:lang w:eastAsia="zh-CN"/>
        </w:rPr>
        <w:br w:type="page"/>
      </w:r>
    </w:p>
    <w:p w14:paraId="050E917E" w14:textId="77777777" w:rsidR="00A60D89" w:rsidRPr="00CC78C2" w:rsidRDefault="00A60D89" w:rsidP="00A60D89">
      <w:pPr>
        <w:ind w:leftChars="100" w:left="240"/>
        <w:jc w:val="center"/>
        <w:rPr>
          <w:rFonts w:ascii="Book Antiqua" w:hAnsi="Book Antiqua"/>
          <w:lang w:val="pt-BR" w:eastAsia="zh-CN"/>
        </w:rPr>
      </w:pPr>
      <w:bookmarkStart w:id="31" w:name="_Hlk88512952"/>
    </w:p>
    <w:p w14:paraId="1AF03E6E" w14:textId="77777777" w:rsidR="00A60D89" w:rsidRPr="00CC78C2" w:rsidRDefault="00A60D89" w:rsidP="00A60D89">
      <w:pPr>
        <w:ind w:leftChars="100" w:left="240"/>
        <w:jc w:val="center"/>
        <w:rPr>
          <w:rFonts w:ascii="Book Antiqua" w:hAnsi="Book Antiqua"/>
          <w:lang w:val="pt-BR" w:eastAsia="zh-CN"/>
        </w:rPr>
      </w:pPr>
    </w:p>
    <w:p w14:paraId="0D97C985" w14:textId="77777777" w:rsidR="00A60D89" w:rsidRPr="00CC78C2" w:rsidRDefault="00A60D89" w:rsidP="00A60D89">
      <w:pPr>
        <w:ind w:leftChars="100" w:left="240"/>
        <w:jc w:val="center"/>
        <w:rPr>
          <w:rFonts w:ascii="Book Antiqua" w:hAnsi="Book Antiqua"/>
          <w:lang w:val="pt-BR" w:eastAsia="zh-CN"/>
        </w:rPr>
      </w:pPr>
    </w:p>
    <w:p w14:paraId="131AB8B4" w14:textId="77777777" w:rsidR="00A60D89" w:rsidRPr="00CC78C2" w:rsidRDefault="00A60D89" w:rsidP="00A60D89">
      <w:pPr>
        <w:ind w:leftChars="100" w:left="240"/>
        <w:jc w:val="center"/>
        <w:rPr>
          <w:rFonts w:ascii="Book Antiqua" w:hAnsi="Book Antiqua"/>
          <w:lang w:val="pt-BR" w:eastAsia="zh-CN"/>
        </w:rPr>
      </w:pPr>
    </w:p>
    <w:p w14:paraId="032C8C83" w14:textId="77777777" w:rsidR="00A60D89" w:rsidRDefault="00A60D89" w:rsidP="00A60D89">
      <w:pPr>
        <w:ind w:leftChars="100" w:left="240"/>
        <w:jc w:val="center"/>
        <w:rPr>
          <w:rFonts w:ascii="Book Antiqua" w:hAnsi="Book Antiqua"/>
          <w:lang w:eastAsia="zh-CN"/>
        </w:rPr>
      </w:pPr>
      <w:r>
        <w:rPr>
          <w:rFonts w:ascii="Book Antiqua" w:hAnsi="Book Antiqua"/>
          <w:noProof/>
          <w:lang w:eastAsia="zh-CN"/>
        </w:rPr>
        <w:drawing>
          <wp:inline distT="0" distB="0" distL="0" distR="0" wp14:anchorId="38CE175C" wp14:editId="5562EA4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F173D21" w14:textId="77777777" w:rsidR="00A60D89" w:rsidRDefault="00A60D89" w:rsidP="00A60D89">
      <w:pPr>
        <w:ind w:leftChars="100" w:left="240"/>
        <w:jc w:val="center"/>
        <w:rPr>
          <w:rFonts w:ascii="Book Antiqua" w:hAnsi="Book Antiqua"/>
          <w:lang w:eastAsia="zh-CN"/>
        </w:rPr>
      </w:pPr>
    </w:p>
    <w:p w14:paraId="1990F608" w14:textId="77777777" w:rsidR="00A60D89" w:rsidRPr="00763D22" w:rsidRDefault="00A60D89" w:rsidP="00A60D89">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93B4F9E" w14:textId="77777777" w:rsidR="00A60D89" w:rsidRPr="00763D22" w:rsidRDefault="00A60D89" w:rsidP="00A60D8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36A61E0" w14:textId="77777777" w:rsidR="00A60D89" w:rsidRPr="00763D22" w:rsidRDefault="00A60D89" w:rsidP="00A60D8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339A36B" w14:textId="77777777" w:rsidR="00A60D89" w:rsidRPr="00763D22" w:rsidRDefault="00A60D89" w:rsidP="00A60D8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3F1FEF" w14:textId="77777777" w:rsidR="00A60D89" w:rsidRPr="00763D22" w:rsidRDefault="00A60D89" w:rsidP="00A60D8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1B8C20E" w14:textId="77777777" w:rsidR="00A60D89" w:rsidRPr="00763D22" w:rsidRDefault="00A60D89" w:rsidP="00A60D89">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7F96FB3" w14:textId="77777777" w:rsidR="00A60D89" w:rsidRDefault="00A60D89" w:rsidP="00A60D89">
      <w:pPr>
        <w:ind w:leftChars="100" w:left="240"/>
        <w:jc w:val="center"/>
        <w:rPr>
          <w:rFonts w:ascii="Book Antiqua" w:hAnsi="Book Antiqua"/>
          <w:lang w:eastAsia="zh-CN"/>
        </w:rPr>
      </w:pPr>
    </w:p>
    <w:p w14:paraId="573EECFC" w14:textId="77777777" w:rsidR="00A60D89" w:rsidRDefault="00A60D89" w:rsidP="00A60D89">
      <w:pPr>
        <w:ind w:leftChars="100" w:left="240"/>
        <w:jc w:val="center"/>
        <w:rPr>
          <w:rFonts w:ascii="Book Antiqua" w:hAnsi="Book Antiqua"/>
          <w:lang w:eastAsia="zh-CN"/>
        </w:rPr>
      </w:pPr>
    </w:p>
    <w:p w14:paraId="241659EA" w14:textId="77777777" w:rsidR="00A60D89" w:rsidRDefault="00A60D89" w:rsidP="00A60D89">
      <w:pPr>
        <w:ind w:leftChars="100" w:left="240"/>
        <w:jc w:val="center"/>
        <w:rPr>
          <w:rFonts w:ascii="Book Antiqua" w:hAnsi="Book Antiqua"/>
          <w:lang w:eastAsia="zh-CN"/>
        </w:rPr>
      </w:pPr>
    </w:p>
    <w:p w14:paraId="08841BBC" w14:textId="77777777" w:rsidR="00A60D89" w:rsidRDefault="00A60D89" w:rsidP="00A60D89">
      <w:pPr>
        <w:ind w:leftChars="100" w:left="240"/>
        <w:jc w:val="center"/>
        <w:rPr>
          <w:rFonts w:ascii="Book Antiqua" w:hAnsi="Book Antiqua"/>
          <w:lang w:eastAsia="zh-CN"/>
        </w:rPr>
      </w:pPr>
      <w:r>
        <w:rPr>
          <w:rFonts w:ascii="Book Antiqua" w:hAnsi="Book Antiqua"/>
          <w:noProof/>
          <w:lang w:eastAsia="zh-CN"/>
        </w:rPr>
        <w:drawing>
          <wp:inline distT="0" distB="0" distL="0" distR="0" wp14:anchorId="4EC1A48B" wp14:editId="75D235A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28B7D7" w14:textId="77777777" w:rsidR="00A60D89" w:rsidRDefault="00A60D89" w:rsidP="00A60D89">
      <w:pPr>
        <w:ind w:leftChars="100" w:left="240"/>
        <w:jc w:val="center"/>
        <w:rPr>
          <w:rFonts w:ascii="Book Antiqua" w:hAnsi="Book Antiqua"/>
          <w:lang w:eastAsia="zh-CN"/>
        </w:rPr>
      </w:pPr>
    </w:p>
    <w:p w14:paraId="682183F3" w14:textId="77777777" w:rsidR="00A60D89" w:rsidRDefault="00A60D89" w:rsidP="00A60D89">
      <w:pPr>
        <w:ind w:leftChars="100" w:left="240"/>
        <w:jc w:val="center"/>
        <w:rPr>
          <w:rFonts w:ascii="Book Antiqua" w:hAnsi="Book Antiqua"/>
          <w:lang w:eastAsia="zh-CN"/>
        </w:rPr>
      </w:pPr>
    </w:p>
    <w:p w14:paraId="68D0011A" w14:textId="77777777" w:rsidR="00A60D89" w:rsidRDefault="00A60D89" w:rsidP="00A60D89">
      <w:pPr>
        <w:ind w:leftChars="100" w:left="240"/>
        <w:jc w:val="center"/>
        <w:rPr>
          <w:rFonts w:ascii="Book Antiqua" w:hAnsi="Book Antiqua"/>
          <w:lang w:eastAsia="zh-CN"/>
        </w:rPr>
      </w:pPr>
    </w:p>
    <w:p w14:paraId="0EC73E01" w14:textId="77777777" w:rsidR="00A60D89" w:rsidRDefault="00A60D89" w:rsidP="00A60D89">
      <w:pPr>
        <w:ind w:leftChars="100" w:left="240"/>
        <w:jc w:val="center"/>
        <w:rPr>
          <w:rFonts w:ascii="Book Antiqua" w:hAnsi="Book Antiqua"/>
          <w:lang w:eastAsia="zh-CN"/>
        </w:rPr>
      </w:pPr>
    </w:p>
    <w:p w14:paraId="0CA27400" w14:textId="77777777" w:rsidR="00A60D89" w:rsidRDefault="00A60D89" w:rsidP="00A60D89">
      <w:pPr>
        <w:ind w:leftChars="100" w:left="240"/>
        <w:jc w:val="center"/>
        <w:rPr>
          <w:rFonts w:ascii="Book Antiqua" w:hAnsi="Book Antiqua"/>
          <w:lang w:eastAsia="zh-CN"/>
        </w:rPr>
      </w:pPr>
    </w:p>
    <w:p w14:paraId="4F48C9FD" w14:textId="77777777" w:rsidR="00A60D89" w:rsidRDefault="00A60D89" w:rsidP="00A60D89">
      <w:pPr>
        <w:ind w:leftChars="100" w:left="240"/>
        <w:jc w:val="center"/>
        <w:rPr>
          <w:rFonts w:ascii="Book Antiqua" w:hAnsi="Book Antiqua"/>
          <w:lang w:eastAsia="zh-CN"/>
        </w:rPr>
      </w:pPr>
    </w:p>
    <w:p w14:paraId="3679CC46" w14:textId="77777777" w:rsidR="00A60D89" w:rsidRDefault="00A60D89" w:rsidP="00A60D89">
      <w:pPr>
        <w:ind w:leftChars="100" w:left="240"/>
        <w:jc w:val="center"/>
        <w:rPr>
          <w:rFonts w:ascii="Book Antiqua" w:hAnsi="Book Antiqua"/>
          <w:lang w:eastAsia="zh-CN"/>
        </w:rPr>
      </w:pPr>
    </w:p>
    <w:p w14:paraId="799E5957" w14:textId="77777777" w:rsidR="00A60D89" w:rsidRDefault="00A60D89" w:rsidP="00A60D89">
      <w:pPr>
        <w:ind w:leftChars="100" w:left="240"/>
        <w:jc w:val="center"/>
        <w:rPr>
          <w:rFonts w:ascii="Book Antiqua" w:hAnsi="Book Antiqua"/>
          <w:lang w:eastAsia="zh-CN"/>
        </w:rPr>
      </w:pPr>
    </w:p>
    <w:p w14:paraId="4AD65C7C" w14:textId="77777777" w:rsidR="00A60D89" w:rsidRDefault="00A60D89" w:rsidP="00A60D89">
      <w:pPr>
        <w:ind w:leftChars="100" w:left="240"/>
        <w:jc w:val="center"/>
        <w:rPr>
          <w:rFonts w:ascii="Book Antiqua" w:hAnsi="Book Antiqua"/>
          <w:lang w:eastAsia="zh-CN"/>
        </w:rPr>
      </w:pPr>
    </w:p>
    <w:p w14:paraId="1CA6E0E2" w14:textId="77777777" w:rsidR="00A60D89" w:rsidRPr="00763D22" w:rsidRDefault="00A60D89" w:rsidP="00A60D89">
      <w:pPr>
        <w:ind w:leftChars="100" w:left="240"/>
        <w:jc w:val="right"/>
        <w:rPr>
          <w:rFonts w:ascii="Book Antiqua" w:hAnsi="Book Antiqua"/>
          <w:color w:val="000000" w:themeColor="text1"/>
          <w:lang w:eastAsia="zh-CN"/>
        </w:rPr>
      </w:pPr>
    </w:p>
    <w:p w14:paraId="490DFDCA" w14:textId="77777777" w:rsidR="00A60D89" w:rsidRPr="00763D22" w:rsidRDefault="00A60D89" w:rsidP="00A60D89">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31"/>
    </w:p>
    <w:p w14:paraId="57462BEF" w14:textId="77777777" w:rsidR="00DE3352" w:rsidRPr="00A60D89" w:rsidRDefault="00DE3352" w:rsidP="00D0748F">
      <w:pPr>
        <w:spacing w:line="360" w:lineRule="auto"/>
        <w:jc w:val="both"/>
        <w:rPr>
          <w:rFonts w:ascii="Book Antiqua" w:hAnsi="Book Antiqua"/>
          <w:lang w:eastAsia="zh-CN"/>
        </w:rPr>
      </w:pPr>
    </w:p>
    <w:sectPr w:rsidR="00DE3352" w:rsidRPr="00A60D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47D2C" w14:textId="77777777" w:rsidR="00822253" w:rsidRDefault="00822253" w:rsidP="00806FB9">
      <w:r>
        <w:separator/>
      </w:r>
    </w:p>
  </w:endnote>
  <w:endnote w:type="continuationSeparator" w:id="0">
    <w:p w14:paraId="48916C69" w14:textId="77777777" w:rsidR="00822253" w:rsidRDefault="00822253" w:rsidP="00806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120300"/>
      <w:docPartObj>
        <w:docPartGallery w:val="Page Numbers (Bottom of Page)"/>
        <w:docPartUnique/>
      </w:docPartObj>
    </w:sdtPr>
    <w:sdtEndPr/>
    <w:sdtContent>
      <w:sdt>
        <w:sdtPr>
          <w:id w:val="98381352"/>
          <w:docPartObj>
            <w:docPartGallery w:val="Page Numbers (Top of Page)"/>
            <w:docPartUnique/>
          </w:docPartObj>
        </w:sdtPr>
        <w:sdtEndPr/>
        <w:sdtContent>
          <w:p w14:paraId="4B77FBBC" w14:textId="29F8D60B" w:rsidR="00164608" w:rsidRDefault="00164608" w:rsidP="00164608">
            <w:pPr>
              <w:pStyle w:val="a6"/>
              <w:jc w:val="right"/>
            </w:pPr>
            <w:r w:rsidRPr="00164608">
              <w:rPr>
                <w:rFonts w:ascii="Book Antiqua" w:hAnsi="Book Antiqua"/>
                <w:sz w:val="24"/>
                <w:szCs w:val="24"/>
                <w:lang w:val="zh-CN" w:eastAsia="zh-CN"/>
              </w:rPr>
              <w:t xml:space="preserve"> </w:t>
            </w:r>
            <w:r w:rsidRPr="00164608">
              <w:rPr>
                <w:rFonts w:ascii="Book Antiqua" w:hAnsi="Book Antiqua"/>
                <w:b/>
                <w:bCs/>
                <w:sz w:val="24"/>
                <w:szCs w:val="24"/>
              </w:rPr>
              <w:fldChar w:fldCharType="begin"/>
            </w:r>
            <w:r w:rsidRPr="00164608">
              <w:rPr>
                <w:rFonts w:ascii="Book Antiqua" w:hAnsi="Book Antiqua"/>
                <w:b/>
                <w:bCs/>
                <w:sz w:val="24"/>
                <w:szCs w:val="24"/>
              </w:rPr>
              <w:instrText>PAGE</w:instrText>
            </w:r>
            <w:r w:rsidRPr="00164608">
              <w:rPr>
                <w:rFonts w:ascii="Book Antiqua" w:hAnsi="Book Antiqua"/>
                <w:b/>
                <w:bCs/>
                <w:sz w:val="24"/>
                <w:szCs w:val="24"/>
              </w:rPr>
              <w:fldChar w:fldCharType="separate"/>
            </w:r>
            <w:r w:rsidR="00E14788">
              <w:rPr>
                <w:rFonts w:ascii="Book Antiqua" w:hAnsi="Book Antiqua"/>
                <w:b/>
                <w:bCs/>
                <w:noProof/>
                <w:sz w:val="24"/>
                <w:szCs w:val="24"/>
              </w:rPr>
              <w:t>36</w:t>
            </w:r>
            <w:r w:rsidRPr="00164608">
              <w:rPr>
                <w:rFonts w:ascii="Book Antiqua" w:hAnsi="Book Antiqua"/>
                <w:b/>
                <w:bCs/>
                <w:sz w:val="24"/>
                <w:szCs w:val="24"/>
              </w:rPr>
              <w:fldChar w:fldCharType="end"/>
            </w:r>
            <w:r w:rsidRPr="00164608">
              <w:rPr>
                <w:rFonts w:ascii="Book Antiqua" w:hAnsi="Book Antiqua"/>
                <w:sz w:val="24"/>
                <w:szCs w:val="24"/>
                <w:lang w:val="zh-CN" w:eastAsia="zh-CN"/>
              </w:rPr>
              <w:t xml:space="preserve"> / </w:t>
            </w:r>
            <w:r w:rsidRPr="00164608">
              <w:rPr>
                <w:rFonts w:ascii="Book Antiqua" w:hAnsi="Book Antiqua"/>
                <w:b/>
                <w:bCs/>
                <w:sz w:val="24"/>
                <w:szCs w:val="24"/>
              </w:rPr>
              <w:fldChar w:fldCharType="begin"/>
            </w:r>
            <w:r w:rsidRPr="00164608">
              <w:rPr>
                <w:rFonts w:ascii="Book Antiqua" w:hAnsi="Book Antiqua"/>
                <w:b/>
                <w:bCs/>
                <w:sz w:val="24"/>
                <w:szCs w:val="24"/>
              </w:rPr>
              <w:instrText>NUMPAGES</w:instrText>
            </w:r>
            <w:r w:rsidRPr="00164608">
              <w:rPr>
                <w:rFonts w:ascii="Book Antiqua" w:hAnsi="Book Antiqua"/>
                <w:b/>
                <w:bCs/>
                <w:sz w:val="24"/>
                <w:szCs w:val="24"/>
              </w:rPr>
              <w:fldChar w:fldCharType="separate"/>
            </w:r>
            <w:r w:rsidR="00E14788">
              <w:rPr>
                <w:rFonts w:ascii="Book Antiqua" w:hAnsi="Book Antiqua"/>
                <w:b/>
                <w:bCs/>
                <w:noProof/>
                <w:sz w:val="24"/>
                <w:szCs w:val="24"/>
              </w:rPr>
              <w:t>36</w:t>
            </w:r>
            <w:r w:rsidRPr="00164608">
              <w:rPr>
                <w:rFonts w:ascii="Book Antiqua" w:hAnsi="Book Antiqua"/>
                <w:b/>
                <w:bCs/>
                <w:sz w:val="24"/>
                <w:szCs w:val="24"/>
              </w:rPr>
              <w:fldChar w:fldCharType="end"/>
            </w:r>
          </w:p>
        </w:sdtContent>
      </w:sdt>
    </w:sdtContent>
  </w:sdt>
  <w:p w14:paraId="7F3FD3D2" w14:textId="77777777" w:rsidR="009F3E12" w:rsidRDefault="009F3E1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E5FA1" w14:textId="77777777" w:rsidR="00822253" w:rsidRDefault="00822253" w:rsidP="00806FB9">
      <w:r>
        <w:separator/>
      </w:r>
    </w:p>
  </w:footnote>
  <w:footnote w:type="continuationSeparator" w:id="0">
    <w:p w14:paraId="3078307C" w14:textId="77777777" w:rsidR="00822253" w:rsidRDefault="00822253" w:rsidP="00806F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A30"/>
    <w:rsid w:val="00013533"/>
    <w:rsid w:val="000206A8"/>
    <w:rsid w:val="00023C89"/>
    <w:rsid w:val="00050170"/>
    <w:rsid w:val="000602F3"/>
    <w:rsid w:val="000C6EFE"/>
    <w:rsid w:val="000F634C"/>
    <w:rsid w:val="0014312C"/>
    <w:rsid w:val="00164608"/>
    <w:rsid w:val="00245793"/>
    <w:rsid w:val="00342D4D"/>
    <w:rsid w:val="003452AC"/>
    <w:rsid w:val="00407C67"/>
    <w:rsid w:val="00410937"/>
    <w:rsid w:val="00487969"/>
    <w:rsid w:val="004A481C"/>
    <w:rsid w:val="005064ED"/>
    <w:rsid w:val="00520A69"/>
    <w:rsid w:val="005E63F8"/>
    <w:rsid w:val="005F6CB5"/>
    <w:rsid w:val="00661F7C"/>
    <w:rsid w:val="00671C77"/>
    <w:rsid w:val="00687F2B"/>
    <w:rsid w:val="006C0537"/>
    <w:rsid w:val="00717416"/>
    <w:rsid w:val="00741D11"/>
    <w:rsid w:val="00745CE9"/>
    <w:rsid w:val="007731C3"/>
    <w:rsid w:val="00795D7F"/>
    <w:rsid w:val="007E093B"/>
    <w:rsid w:val="007F7FF2"/>
    <w:rsid w:val="00806FB9"/>
    <w:rsid w:val="00822253"/>
    <w:rsid w:val="0082672F"/>
    <w:rsid w:val="00826BB2"/>
    <w:rsid w:val="00887C38"/>
    <w:rsid w:val="008C4FAB"/>
    <w:rsid w:val="008E048B"/>
    <w:rsid w:val="008E5529"/>
    <w:rsid w:val="008E6773"/>
    <w:rsid w:val="009F01B5"/>
    <w:rsid w:val="009F3E12"/>
    <w:rsid w:val="00A10B7D"/>
    <w:rsid w:val="00A11EB1"/>
    <w:rsid w:val="00A30286"/>
    <w:rsid w:val="00A30781"/>
    <w:rsid w:val="00A60D89"/>
    <w:rsid w:val="00A665E8"/>
    <w:rsid w:val="00A77B3E"/>
    <w:rsid w:val="00AC103C"/>
    <w:rsid w:val="00AC7B61"/>
    <w:rsid w:val="00AD210B"/>
    <w:rsid w:val="00B1371F"/>
    <w:rsid w:val="00B33996"/>
    <w:rsid w:val="00B52847"/>
    <w:rsid w:val="00B7737D"/>
    <w:rsid w:val="00C16EE9"/>
    <w:rsid w:val="00C77493"/>
    <w:rsid w:val="00CA2A55"/>
    <w:rsid w:val="00D0748F"/>
    <w:rsid w:val="00DE3352"/>
    <w:rsid w:val="00E14788"/>
    <w:rsid w:val="00E339BA"/>
    <w:rsid w:val="00ED2587"/>
    <w:rsid w:val="00F20E21"/>
    <w:rsid w:val="00F31770"/>
    <w:rsid w:val="00F85B64"/>
    <w:rsid w:val="00F87111"/>
    <w:rsid w:val="00FA7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D242A"/>
  <w15:docId w15:val="{169AAD33-D163-2749-A616-5101DD36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3352"/>
    <w:pPr>
      <w:spacing w:before="100" w:beforeAutospacing="1" w:after="100" w:afterAutospacing="1"/>
    </w:pPr>
    <w:rPr>
      <w:rFonts w:ascii="宋体" w:eastAsia="宋体" w:hAnsi="宋体" w:cs="宋体"/>
      <w:lang w:eastAsia="zh-CN"/>
    </w:rPr>
  </w:style>
  <w:style w:type="paragraph" w:styleId="a4">
    <w:name w:val="header"/>
    <w:basedOn w:val="a"/>
    <w:link w:val="a5"/>
    <w:rsid w:val="00806FB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06FB9"/>
    <w:rPr>
      <w:sz w:val="18"/>
      <w:szCs w:val="18"/>
    </w:rPr>
  </w:style>
  <w:style w:type="paragraph" w:styleId="a6">
    <w:name w:val="footer"/>
    <w:basedOn w:val="a"/>
    <w:link w:val="a7"/>
    <w:uiPriority w:val="99"/>
    <w:rsid w:val="00806FB9"/>
    <w:pPr>
      <w:tabs>
        <w:tab w:val="center" w:pos="4153"/>
        <w:tab w:val="right" w:pos="8306"/>
      </w:tabs>
      <w:snapToGrid w:val="0"/>
    </w:pPr>
    <w:rPr>
      <w:sz w:val="18"/>
      <w:szCs w:val="18"/>
    </w:rPr>
  </w:style>
  <w:style w:type="character" w:customStyle="1" w:styleId="a7">
    <w:name w:val="页脚 字符"/>
    <w:basedOn w:val="a0"/>
    <w:link w:val="a6"/>
    <w:uiPriority w:val="99"/>
    <w:rsid w:val="00806FB9"/>
    <w:rPr>
      <w:sz w:val="18"/>
      <w:szCs w:val="18"/>
    </w:rPr>
  </w:style>
  <w:style w:type="paragraph" w:styleId="a8">
    <w:name w:val="Balloon Text"/>
    <w:basedOn w:val="a"/>
    <w:link w:val="a9"/>
    <w:rsid w:val="00C16EE9"/>
    <w:rPr>
      <w:sz w:val="18"/>
      <w:szCs w:val="18"/>
    </w:rPr>
  </w:style>
  <w:style w:type="character" w:customStyle="1" w:styleId="a9">
    <w:name w:val="批注框文本 字符"/>
    <w:basedOn w:val="a0"/>
    <w:link w:val="a8"/>
    <w:rsid w:val="00C16EE9"/>
    <w:rPr>
      <w:sz w:val="18"/>
      <w:szCs w:val="18"/>
    </w:rPr>
  </w:style>
  <w:style w:type="paragraph" w:styleId="aa">
    <w:name w:val="Revision"/>
    <w:hidden/>
    <w:uiPriority w:val="99"/>
    <w:semiHidden/>
    <w:rsid w:val="00671C77"/>
    <w:rPr>
      <w:sz w:val="24"/>
      <w:szCs w:val="24"/>
    </w:rPr>
  </w:style>
  <w:style w:type="character" w:styleId="ab">
    <w:name w:val="Hyperlink"/>
    <w:basedOn w:val="a0"/>
    <w:unhideWhenUsed/>
    <w:rsid w:val="00687F2B"/>
    <w:rPr>
      <w:color w:val="0000FF" w:themeColor="hyperlink"/>
      <w:u w:val="single"/>
    </w:rPr>
  </w:style>
  <w:style w:type="character" w:customStyle="1" w:styleId="UnresolvedMention1">
    <w:name w:val="Unresolved Mention1"/>
    <w:basedOn w:val="a0"/>
    <w:uiPriority w:val="99"/>
    <w:semiHidden/>
    <w:unhideWhenUsed/>
    <w:rsid w:val="00687F2B"/>
    <w:rPr>
      <w:color w:val="605E5C"/>
      <w:shd w:val="clear" w:color="auto" w:fill="E1DFDD"/>
    </w:rPr>
  </w:style>
  <w:style w:type="character" w:styleId="ac">
    <w:name w:val="Unresolved Mention"/>
    <w:basedOn w:val="a0"/>
    <w:uiPriority w:val="99"/>
    <w:semiHidden/>
    <w:unhideWhenUsed/>
    <w:rsid w:val="004109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85974">
      <w:bodyDiv w:val="1"/>
      <w:marLeft w:val="0"/>
      <w:marRight w:val="0"/>
      <w:marTop w:val="0"/>
      <w:marBottom w:val="0"/>
      <w:divBdr>
        <w:top w:val="none" w:sz="0" w:space="0" w:color="auto"/>
        <w:left w:val="none" w:sz="0" w:space="0" w:color="auto"/>
        <w:bottom w:val="none" w:sz="0" w:space="0" w:color="auto"/>
        <w:right w:val="none" w:sz="0" w:space="0" w:color="auto"/>
      </w:divBdr>
    </w:div>
    <w:div w:id="164102471">
      <w:bodyDiv w:val="1"/>
      <w:marLeft w:val="0"/>
      <w:marRight w:val="0"/>
      <w:marTop w:val="0"/>
      <w:marBottom w:val="0"/>
      <w:divBdr>
        <w:top w:val="none" w:sz="0" w:space="0" w:color="auto"/>
        <w:left w:val="none" w:sz="0" w:space="0" w:color="auto"/>
        <w:bottom w:val="none" w:sz="0" w:space="0" w:color="auto"/>
        <w:right w:val="none" w:sz="0" w:space="0" w:color="auto"/>
      </w:divBdr>
    </w:div>
    <w:div w:id="353851331">
      <w:bodyDiv w:val="1"/>
      <w:marLeft w:val="0"/>
      <w:marRight w:val="0"/>
      <w:marTop w:val="0"/>
      <w:marBottom w:val="0"/>
      <w:divBdr>
        <w:top w:val="none" w:sz="0" w:space="0" w:color="auto"/>
        <w:left w:val="none" w:sz="0" w:space="0" w:color="auto"/>
        <w:bottom w:val="none" w:sz="0" w:space="0" w:color="auto"/>
        <w:right w:val="none" w:sz="0" w:space="0" w:color="auto"/>
      </w:divBdr>
    </w:div>
    <w:div w:id="384523903">
      <w:bodyDiv w:val="1"/>
      <w:marLeft w:val="0"/>
      <w:marRight w:val="0"/>
      <w:marTop w:val="0"/>
      <w:marBottom w:val="0"/>
      <w:divBdr>
        <w:top w:val="none" w:sz="0" w:space="0" w:color="auto"/>
        <w:left w:val="none" w:sz="0" w:space="0" w:color="auto"/>
        <w:bottom w:val="none" w:sz="0" w:space="0" w:color="auto"/>
        <w:right w:val="none" w:sz="0" w:space="0" w:color="auto"/>
      </w:divBdr>
    </w:div>
    <w:div w:id="412090904">
      <w:bodyDiv w:val="1"/>
      <w:marLeft w:val="0"/>
      <w:marRight w:val="0"/>
      <w:marTop w:val="0"/>
      <w:marBottom w:val="0"/>
      <w:divBdr>
        <w:top w:val="none" w:sz="0" w:space="0" w:color="auto"/>
        <w:left w:val="none" w:sz="0" w:space="0" w:color="auto"/>
        <w:bottom w:val="none" w:sz="0" w:space="0" w:color="auto"/>
        <w:right w:val="none" w:sz="0" w:space="0" w:color="auto"/>
      </w:divBdr>
    </w:div>
    <w:div w:id="448428674">
      <w:bodyDiv w:val="1"/>
      <w:marLeft w:val="0"/>
      <w:marRight w:val="0"/>
      <w:marTop w:val="0"/>
      <w:marBottom w:val="0"/>
      <w:divBdr>
        <w:top w:val="none" w:sz="0" w:space="0" w:color="auto"/>
        <w:left w:val="none" w:sz="0" w:space="0" w:color="auto"/>
        <w:bottom w:val="none" w:sz="0" w:space="0" w:color="auto"/>
        <w:right w:val="none" w:sz="0" w:space="0" w:color="auto"/>
      </w:divBdr>
      <w:divsChild>
        <w:div w:id="1532109160">
          <w:marLeft w:val="0"/>
          <w:marRight w:val="0"/>
          <w:marTop w:val="0"/>
          <w:marBottom w:val="0"/>
          <w:divBdr>
            <w:top w:val="none" w:sz="0" w:space="0" w:color="auto"/>
            <w:left w:val="none" w:sz="0" w:space="0" w:color="auto"/>
            <w:bottom w:val="none" w:sz="0" w:space="0" w:color="auto"/>
            <w:right w:val="none" w:sz="0" w:space="0" w:color="auto"/>
          </w:divBdr>
        </w:div>
      </w:divsChild>
    </w:div>
    <w:div w:id="602495512">
      <w:bodyDiv w:val="1"/>
      <w:marLeft w:val="0"/>
      <w:marRight w:val="0"/>
      <w:marTop w:val="0"/>
      <w:marBottom w:val="0"/>
      <w:divBdr>
        <w:top w:val="none" w:sz="0" w:space="0" w:color="auto"/>
        <w:left w:val="none" w:sz="0" w:space="0" w:color="auto"/>
        <w:bottom w:val="none" w:sz="0" w:space="0" w:color="auto"/>
        <w:right w:val="none" w:sz="0" w:space="0" w:color="auto"/>
      </w:divBdr>
    </w:div>
    <w:div w:id="734201233">
      <w:bodyDiv w:val="1"/>
      <w:marLeft w:val="0"/>
      <w:marRight w:val="0"/>
      <w:marTop w:val="0"/>
      <w:marBottom w:val="0"/>
      <w:divBdr>
        <w:top w:val="none" w:sz="0" w:space="0" w:color="auto"/>
        <w:left w:val="none" w:sz="0" w:space="0" w:color="auto"/>
        <w:bottom w:val="none" w:sz="0" w:space="0" w:color="auto"/>
        <w:right w:val="none" w:sz="0" w:space="0" w:color="auto"/>
      </w:divBdr>
    </w:div>
    <w:div w:id="1212039244">
      <w:bodyDiv w:val="1"/>
      <w:marLeft w:val="0"/>
      <w:marRight w:val="0"/>
      <w:marTop w:val="0"/>
      <w:marBottom w:val="0"/>
      <w:divBdr>
        <w:top w:val="none" w:sz="0" w:space="0" w:color="auto"/>
        <w:left w:val="none" w:sz="0" w:space="0" w:color="auto"/>
        <w:bottom w:val="none" w:sz="0" w:space="0" w:color="auto"/>
        <w:right w:val="none" w:sz="0" w:space="0" w:color="auto"/>
      </w:divBdr>
    </w:div>
    <w:div w:id="1345933022">
      <w:bodyDiv w:val="1"/>
      <w:marLeft w:val="0"/>
      <w:marRight w:val="0"/>
      <w:marTop w:val="0"/>
      <w:marBottom w:val="0"/>
      <w:divBdr>
        <w:top w:val="none" w:sz="0" w:space="0" w:color="auto"/>
        <w:left w:val="none" w:sz="0" w:space="0" w:color="auto"/>
        <w:bottom w:val="none" w:sz="0" w:space="0" w:color="auto"/>
        <w:right w:val="none" w:sz="0" w:space="0" w:color="auto"/>
      </w:divBdr>
    </w:div>
    <w:div w:id="1353606360">
      <w:bodyDiv w:val="1"/>
      <w:marLeft w:val="0"/>
      <w:marRight w:val="0"/>
      <w:marTop w:val="0"/>
      <w:marBottom w:val="0"/>
      <w:divBdr>
        <w:top w:val="none" w:sz="0" w:space="0" w:color="auto"/>
        <w:left w:val="none" w:sz="0" w:space="0" w:color="auto"/>
        <w:bottom w:val="none" w:sz="0" w:space="0" w:color="auto"/>
        <w:right w:val="none" w:sz="0" w:space="0" w:color="auto"/>
      </w:divBdr>
    </w:div>
    <w:div w:id="1472097206">
      <w:bodyDiv w:val="1"/>
      <w:marLeft w:val="0"/>
      <w:marRight w:val="0"/>
      <w:marTop w:val="0"/>
      <w:marBottom w:val="0"/>
      <w:divBdr>
        <w:top w:val="none" w:sz="0" w:space="0" w:color="auto"/>
        <w:left w:val="none" w:sz="0" w:space="0" w:color="auto"/>
        <w:bottom w:val="none" w:sz="0" w:space="0" w:color="auto"/>
        <w:right w:val="none" w:sz="0" w:space="0" w:color="auto"/>
      </w:divBdr>
    </w:div>
    <w:div w:id="2058503052">
      <w:bodyDiv w:val="1"/>
      <w:marLeft w:val="0"/>
      <w:marRight w:val="0"/>
      <w:marTop w:val="0"/>
      <w:marBottom w:val="0"/>
      <w:divBdr>
        <w:top w:val="none" w:sz="0" w:space="0" w:color="auto"/>
        <w:left w:val="none" w:sz="0" w:space="0" w:color="auto"/>
        <w:bottom w:val="none" w:sz="0" w:space="0" w:color="auto"/>
        <w:right w:val="none" w:sz="0" w:space="0" w:color="auto"/>
      </w:divBdr>
      <w:divsChild>
        <w:div w:id="4780388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mirdb.or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949-8462/full/v14/i5/282.ht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30</Pages>
  <Words>7567</Words>
  <Characters>43138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 Jia-Hui</cp:lastModifiedBy>
  <cp:revision>9</cp:revision>
  <dcterms:created xsi:type="dcterms:W3CDTF">2022-04-26T19:11:00Z</dcterms:created>
  <dcterms:modified xsi:type="dcterms:W3CDTF">2022-05-18T05:41:00Z</dcterms:modified>
</cp:coreProperties>
</file>