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73414</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Effects of alendronate sodium combined with </w:t>
      </w:r>
      <w:proofErr w:type="spellStart"/>
      <w:r>
        <w:rPr>
          <w:rFonts w:ascii="Book Antiqua" w:eastAsia="Book Antiqua" w:hAnsi="Book Antiqua" w:cs="Book Antiqua"/>
          <w:b/>
          <w:color w:val="000000"/>
        </w:rPr>
        <w:t>InterTan</w:t>
      </w:r>
      <w:proofErr w:type="spellEnd"/>
      <w:r>
        <w:rPr>
          <w:rFonts w:ascii="Book Antiqua" w:eastAsia="Book Antiqua" w:hAnsi="Book Antiqua" w:cs="Book Antiqua"/>
          <w:b/>
          <w:color w:val="000000"/>
        </w:rPr>
        <w:t xml:space="preserve"> on osteoporotic femoral intertrochanteric fractures and fracture recurrence</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Wang KM </w:t>
      </w:r>
      <w:r>
        <w:rPr>
          <w:rFonts w:ascii="Book Antiqua" w:hAnsi="Book Antiqua" w:cs="Book Antiqua"/>
          <w:i/>
          <w:iCs/>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on fractures</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Ke-Meng</w:t>
      </w:r>
      <w:proofErr w:type="spellEnd"/>
      <w:r>
        <w:rPr>
          <w:rFonts w:ascii="Book Antiqua" w:eastAsia="Book Antiqua" w:hAnsi="Book Antiqua" w:cs="Book Antiqua"/>
          <w:color w:val="000000"/>
        </w:rPr>
        <w:t xml:space="preserve"> Wang, Shi-Ping Wei, Xiao-Yan Yin, Qing-</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Yu-Ming Kong</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Ke-Meng</w:t>
      </w:r>
      <w:proofErr w:type="spellEnd"/>
      <w:r>
        <w:rPr>
          <w:rFonts w:ascii="Book Antiqua" w:eastAsia="Book Antiqua" w:hAnsi="Book Antiqua" w:cs="Book Antiqua"/>
          <w:b/>
          <w:bCs/>
          <w:color w:val="000000"/>
        </w:rPr>
        <w:t xml:space="preserve"> Wang, Qing-</w:t>
      </w:r>
      <w:proofErr w:type="spellStart"/>
      <w:r>
        <w:rPr>
          <w:rFonts w:ascii="Book Antiqua" w:eastAsia="Book Antiqua" w:hAnsi="Book Antiqua" w:cs="Book Antiqua"/>
          <w:b/>
          <w:bCs/>
          <w:color w:val="000000"/>
        </w:rPr>
        <w:t>Ju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Orthopedics, First Affiliated Hospital of </w:t>
      </w:r>
      <w:proofErr w:type="spellStart"/>
      <w:r>
        <w:rPr>
          <w:rFonts w:ascii="Book Antiqua" w:eastAsia="Book Antiqua" w:hAnsi="Book Antiqua" w:cs="Book Antiqua"/>
          <w:color w:val="000000"/>
        </w:rPr>
        <w:t>Xingtai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Xingtai</w:t>
      </w:r>
      <w:proofErr w:type="spellEnd"/>
      <w:r>
        <w:rPr>
          <w:rFonts w:ascii="Book Antiqua" w:eastAsia="Book Antiqua" w:hAnsi="Book Antiqua" w:cs="Book Antiqua"/>
          <w:color w:val="000000"/>
        </w:rPr>
        <w:t xml:space="preserve"> 054001, </w:t>
      </w:r>
      <w:proofErr w:type="spellStart"/>
      <w:proofErr w:type="gramStart"/>
      <w:r>
        <w:rPr>
          <w:rFonts w:ascii="Book Antiqua" w:eastAsia="Book Antiqua" w:hAnsi="Book Antiqua" w:cs="Book Antiqua"/>
          <w:color w:val="000000"/>
        </w:rPr>
        <w:t>Hebei</w:t>
      </w:r>
      <w:proofErr w:type="spellEnd"/>
      <w:proofErr w:type="gramEnd"/>
      <w:r>
        <w:rPr>
          <w:rFonts w:ascii="Book Antiqua" w:eastAsia="Book Antiqua" w:hAnsi="Book Antiqua" w:cs="Book Antiqua"/>
          <w:color w:val="000000"/>
        </w:rPr>
        <w:t xml:space="preserve"> Province, China</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Shi-Ping Wei, Xiao-Yan Yin, </w:t>
      </w:r>
      <w:r>
        <w:rPr>
          <w:rFonts w:ascii="Book Antiqua" w:eastAsia="Book Antiqua" w:hAnsi="Book Antiqua" w:cs="Book Antiqua"/>
          <w:color w:val="000000"/>
        </w:rPr>
        <w:t xml:space="preserve">Department of Basic Medicine, </w:t>
      </w:r>
      <w:proofErr w:type="spellStart"/>
      <w:r>
        <w:rPr>
          <w:rFonts w:ascii="Book Antiqua" w:eastAsia="Book Antiqua" w:hAnsi="Book Antiqua" w:cs="Book Antiqua"/>
          <w:color w:val="000000"/>
        </w:rPr>
        <w:t>Xingtai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Xingtai</w:t>
      </w:r>
      <w:proofErr w:type="spellEnd"/>
      <w:r>
        <w:rPr>
          <w:rFonts w:ascii="Book Antiqua" w:eastAsia="Book Antiqua" w:hAnsi="Book Antiqua" w:cs="Book Antiqua"/>
          <w:color w:val="000000"/>
        </w:rPr>
        <w:t xml:space="preserve"> 054001, </w:t>
      </w:r>
      <w:proofErr w:type="spellStart"/>
      <w:r>
        <w:rPr>
          <w:rFonts w:ascii="Book Antiqua" w:eastAsia="Book Antiqua" w:hAnsi="Book Antiqua" w:cs="Book Antiqua"/>
          <w:color w:val="000000"/>
        </w:rPr>
        <w:t>Hebei</w:t>
      </w:r>
      <w:proofErr w:type="spellEnd"/>
      <w:r>
        <w:rPr>
          <w:rFonts w:ascii="Book Antiqua" w:eastAsia="Book Antiqua" w:hAnsi="Book Antiqua" w:cs="Book Antiqua"/>
          <w:color w:val="000000"/>
        </w:rPr>
        <w:t xml:space="preserve"> Province, China</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Yu-Ming Kong, </w:t>
      </w:r>
      <w:r>
        <w:rPr>
          <w:rFonts w:ascii="Book Antiqua" w:eastAsia="Book Antiqua" w:hAnsi="Book Antiqua" w:cs="Book Antiqua"/>
          <w:color w:val="000000"/>
        </w:rPr>
        <w:t xml:space="preserve">Department of Orthopedics, The First Hospital of </w:t>
      </w:r>
      <w:proofErr w:type="spellStart"/>
      <w:r>
        <w:rPr>
          <w:rFonts w:ascii="Book Antiqua" w:eastAsia="Book Antiqua" w:hAnsi="Book Antiqua" w:cs="Book Antiqua"/>
          <w:color w:val="000000"/>
        </w:rPr>
        <w:t>Xingtai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Xingtai</w:t>
      </w:r>
      <w:proofErr w:type="spellEnd"/>
      <w:r>
        <w:rPr>
          <w:rFonts w:ascii="Book Antiqua" w:eastAsia="Book Antiqua" w:hAnsi="Book Antiqua" w:cs="Book Antiqua"/>
          <w:color w:val="000000"/>
        </w:rPr>
        <w:t xml:space="preserve"> 054001, </w:t>
      </w:r>
      <w:proofErr w:type="spellStart"/>
      <w:r>
        <w:rPr>
          <w:rFonts w:ascii="Book Antiqua" w:eastAsia="Book Antiqua" w:hAnsi="Book Antiqua" w:cs="Book Antiqua"/>
          <w:color w:val="000000"/>
        </w:rPr>
        <w:t>Hebei</w:t>
      </w:r>
      <w:proofErr w:type="spellEnd"/>
      <w:r>
        <w:rPr>
          <w:rFonts w:ascii="Book Antiqua" w:eastAsia="Book Antiqua" w:hAnsi="Book Antiqua" w:cs="Book Antiqua"/>
          <w:color w:val="000000"/>
        </w:rPr>
        <w:t xml:space="preserve"> Province, China</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KM designed this study; Wang KM and </w:t>
      </w:r>
      <w:r>
        <w:rPr>
          <w:rStyle w:val="15"/>
          <w:rFonts w:ascii="Book Antiqua" w:eastAsia="Book Antiqua" w:hAnsi="Book Antiqua" w:cs="Book Antiqua"/>
          <w:color w:val="000000"/>
        </w:rPr>
        <w:t>Wei</w:t>
      </w:r>
      <w:r>
        <w:rPr>
          <w:rFonts w:ascii="Book Antiqua" w:eastAsia="Book Antiqua" w:hAnsi="Book Antiqua" w:cs="Book Antiqua"/>
          <w:color w:val="000000"/>
        </w:rPr>
        <w:t xml:space="preserve"> SP wrote the manuscript; </w:t>
      </w:r>
      <w:r>
        <w:rPr>
          <w:rStyle w:val="15"/>
          <w:rFonts w:ascii="Book Antiqua" w:eastAsia="Book Antiqua" w:hAnsi="Book Antiqua" w:cs="Book Antiqua"/>
          <w:color w:val="000000"/>
        </w:rPr>
        <w:t>Wang KM</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Wei SP</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Yin XY</w:t>
      </w:r>
      <w:r>
        <w:rPr>
          <w:rStyle w:val="15"/>
          <w:rFonts w:ascii="Book Antiqua" w:hAnsi="Book Antiqua" w:cs="Book Antiqua"/>
          <w:color w:val="000000"/>
          <w:lang w:eastAsia="zh-CN"/>
        </w:rPr>
        <w:t xml:space="preserve">, </w:t>
      </w:r>
      <w:proofErr w:type="spellStart"/>
      <w:r>
        <w:rPr>
          <w:rStyle w:val="15"/>
          <w:rFonts w:ascii="Book Antiqua" w:eastAsia="Book Antiqua" w:hAnsi="Book Antiqua" w:cs="Book Antiqua"/>
          <w:color w:val="000000"/>
        </w:rPr>
        <w:t>Meng</w:t>
      </w:r>
      <w:proofErr w:type="spellEnd"/>
      <w:r>
        <w:rPr>
          <w:rStyle w:val="15"/>
          <w:rFonts w:ascii="Book Antiqua" w:eastAsia="Book Antiqua" w:hAnsi="Book Antiqua" w:cs="Book Antiqua"/>
          <w:color w:val="000000"/>
        </w:rPr>
        <w:t xml:space="preserve"> QJ, and Kong</w:t>
      </w:r>
      <w:r>
        <w:rPr>
          <w:rFonts w:ascii="Book Antiqua" w:eastAsia="Book Antiqua" w:hAnsi="Book Antiqua" w:cs="Book Antiqua"/>
          <w:color w:val="000000"/>
        </w:rPr>
        <w:t> YM were responsible for sorting the data; and all authors have read and approve the final manuscript.</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Special Projects for Social Development Areas</w:t>
      </w:r>
      <w:r>
        <w:rPr>
          <w:rFonts w:ascii="Book Antiqua" w:eastAsia="宋体" w:hAnsi="Book Antiqua" w:cs="宋体"/>
          <w:color w:val="000000"/>
          <w:lang w:eastAsia="zh-CN"/>
        </w:rPr>
        <w:t>.</w:t>
      </w:r>
      <w:proofErr w:type="gramEnd"/>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Ke-Meng</w:t>
      </w:r>
      <w:proofErr w:type="spellEnd"/>
      <w:r>
        <w:rPr>
          <w:rFonts w:ascii="Book Antiqua" w:eastAsia="Book Antiqua" w:hAnsi="Book Antiqua" w:cs="Book Antiqua"/>
          <w:b/>
          <w:bCs/>
          <w:color w:val="000000"/>
        </w:rPr>
        <w:t xml:space="preserve"> Wang, MD, Associate Chief Physician, </w:t>
      </w:r>
      <w:r>
        <w:rPr>
          <w:rFonts w:ascii="Book Antiqua" w:eastAsia="Book Antiqua" w:hAnsi="Book Antiqua" w:cs="Book Antiqua"/>
          <w:color w:val="000000"/>
        </w:rPr>
        <w:t xml:space="preserve">Department of Orthopedics, First Affiliated Hospital of </w:t>
      </w:r>
      <w:proofErr w:type="spellStart"/>
      <w:r>
        <w:rPr>
          <w:rFonts w:ascii="Book Antiqua" w:eastAsia="Book Antiqua" w:hAnsi="Book Antiqua" w:cs="Book Antiqua"/>
          <w:color w:val="000000"/>
        </w:rPr>
        <w:t>Xingtai</w:t>
      </w:r>
      <w:proofErr w:type="spellEnd"/>
      <w:r>
        <w:rPr>
          <w:rFonts w:ascii="Book Antiqua" w:eastAsia="Book Antiqua" w:hAnsi="Book Antiqua" w:cs="Book Antiqua"/>
          <w:color w:val="000000"/>
        </w:rPr>
        <w:t xml:space="preserve"> Medical College, No. 376 </w:t>
      </w:r>
      <w:proofErr w:type="spellStart"/>
      <w:r>
        <w:rPr>
          <w:rFonts w:ascii="Book Antiqua" w:eastAsia="Book Antiqua" w:hAnsi="Book Antiqua" w:cs="Book Antiqua"/>
          <w:color w:val="000000"/>
        </w:rPr>
        <w:t>Shunde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Road, </w:t>
      </w:r>
      <w:proofErr w:type="spellStart"/>
      <w:r>
        <w:rPr>
          <w:rFonts w:ascii="Book Antiqua" w:eastAsia="Book Antiqua" w:hAnsi="Book Antiqua" w:cs="Book Antiqua"/>
          <w:color w:val="000000"/>
        </w:rPr>
        <w:t>Xiangdu</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Xingtai</w:t>
      </w:r>
      <w:proofErr w:type="spellEnd"/>
      <w:r>
        <w:rPr>
          <w:rFonts w:ascii="Book Antiqua" w:eastAsia="Book Antiqua" w:hAnsi="Book Antiqua" w:cs="Book Antiqua"/>
          <w:color w:val="000000"/>
        </w:rPr>
        <w:t xml:space="preserve"> 054001, </w:t>
      </w:r>
      <w:proofErr w:type="spellStart"/>
      <w:r>
        <w:rPr>
          <w:rFonts w:ascii="Book Antiqua" w:eastAsia="Book Antiqua" w:hAnsi="Book Antiqua" w:cs="Book Antiqua"/>
          <w:color w:val="000000"/>
        </w:rPr>
        <w:t>Hebei</w:t>
      </w:r>
      <w:proofErr w:type="spellEnd"/>
      <w:r>
        <w:rPr>
          <w:rFonts w:ascii="Book Antiqua" w:eastAsia="Book Antiqua" w:hAnsi="Book Antiqua" w:cs="Book Antiqua"/>
          <w:color w:val="000000"/>
        </w:rPr>
        <w:t xml:space="preserve"> Province, China. wangkemeng1979@163.com</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15, 2022</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27, 2022</w:t>
      </w:r>
    </w:p>
    <w:p w:rsidR="00AA4EE3" w:rsidRDefault="00555C29">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June 27, 2022</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July 26, 2022</w:t>
      </w:r>
    </w:p>
    <w:p w:rsidR="00AA522E" w:rsidRDefault="00AA522E">
      <w:pPr>
        <w:rPr>
          <w:rFonts w:ascii="Book Antiqua" w:eastAsia="Book Antiqua" w:hAnsi="Book Antiqua" w:cs="Book Antiqua"/>
          <w:b/>
          <w:color w:val="000000"/>
        </w:rPr>
      </w:pPr>
      <w:r>
        <w:rPr>
          <w:rFonts w:ascii="Book Antiqua" w:eastAsia="Book Antiqua" w:hAnsi="Book Antiqua" w:cs="Book Antiqua"/>
          <w:b/>
          <w:color w:val="000000"/>
        </w:rPr>
        <w:br w:type="page"/>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Osteoporosis is a global disease affecting 6.6% of the total population. Osteoporosis complications include fractures, increased bone fragility, and reduced bone strength. The most commonly affected parts are the vertebral body, hip, and wrist. </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 examine the effect of 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for osteoporotic femoral intertrochanteric fractures on bone and fracture recurrence</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total, 126 cases of osteoporotic femoral intertrochanteric fractures were selected and divided into two groups according to the 1:1 principle by the simple random method. They were admitted to the Department of Orthopedics, First Affiliated Hospital of </w:t>
      </w:r>
      <w:proofErr w:type="spellStart"/>
      <w:r>
        <w:rPr>
          <w:rFonts w:ascii="Book Antiqua" w:eastAsia="Book Antiqua" w:hAnsi="Book Antiqua" w:cs="Book Antiqua"/>
          <w:color w:val="000000"/>
        </w:rPr>
        <w:t>Xingtai</w:t>
      </w:r>
      <w:proofErr w:type="spellEnd"/>
      <w:r>
        <w:rPr>
          <w:rFonts w:ascii="Book Antiqua" w:eastAsia="Book Antiqua" w:hAnsi="Book Antiqua" w:cs="Book Antiqua"/>
          <w:color w:val="000000"/>
        </w:rPr>
        <w:t xml:space="preserve"> Medical College, from January 2018 to September 2020. The control group was treated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fixation combined with placebo, and the observation group with alendronate sodium based on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fixation. Operation-related indicators, complications, and recurrent fractures were compared between the groups. Changes in bone metabolism markers, </w:t>
      </w:r>
      <w:r>
        <w:rPr>
          <w:rFonts w:ascii="Book Antiqua" w:eastAsia="Book Antiqua" w:hAnsi="Book Antiqua" w:cs="Book Antiqua"/>
          <w:i/>
          <w:iCs/>
          <w:color w:val="000000"/>
        </w:rPr>
        <w:t>t</w:t>
      </w:r>
      <w:r>
        <w:rPr>
          <w:rFonts w:ascii="Book Antiqua" w:eastAsia="Book Antiqua" w:hAnsi="Book Antiqua" w:cs="Book Antiqua"/>
          <w:color w:val="000000"/>
        </w:rPr>
        <w:t xml:space="preserve"> value for hip bone mineral density, and Harris Hip Score were observed.</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Operation time, intraoperative blood loss, postoperative ambulation time, and complications were compared between the groups, and no significant difference was found. The fracture healing time was significantly shorter in the observation group than in the control group. </w:t>
      </w:r>
      <w:proofErr w:type="gramStart"/>
      <w:r>
        <w:rPr>
          <w:rFonts w:ascii="Book Antiqua" w:eastAsia="Book Antiqua" w:hAnsi="Book Antiqua" w:cs="Book Antiqua"/>
          <w:color w:val="000000"/>
        </w:rPr>
        <w:t>β-Collagen-specific</w:t>
      </w:r>
      <w:proofErr w:type="gramEnd"/>
      <w:r>
        <w:rPr>
          <w:rFonts w:ascii="Book Antiqua" w:eastAsia="Book Antiqua" w:hAnsi="Book Antiqua" w:cs="Book Antiqua"/>
          <w:color w:val="000000"/>
        </w:rPr>
        <w:t xml:space="preserve"> sequence (β-CTX) and total </w:t>
      </w:r>
      <w:proofErr w:type="spellStart"/>
      <w:r>
        <w:rPr>
          <w:rFonts w:ascii="Book Antiqua" w:eastAsia="Book Antiqua" w:hAnsi="Book Antiqua" w:cs="Book Antiqua"/>
          <w:color w:val="000000"/>
        </w:rPr>
        <w:t>aminoterminal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propeptide</w:t>
      </w:r>
      <w:proofErr w:type="spellEnd"/>
      <w:r>
        <w:rPr>
          <w:rFonts w:ascii="Book Antiqua" w:eastAsia="Book Antiqua" w:hAnsi="Book Antiqua" w:cs="Book Antiqua"/>
          <w:color w:val="000000"/>
        </w:rPr>
        <w:t xml:space="preserve"> of type I </w:t>
      </w:r>
      <w:proofErr w:type="spellStart"/>
      <w:r>
        <w:rPr>
          <w:rFonts w:ascii="Book Antiqua" w:eastAsia="Book Antiqua" w:hAnsi="Book Antiqua" w:cs="Book Antiqua"/>
          <w:color w:val="000000"/>
        </w:rPr>
        <w:t>procollagen</w:t>
      </w:r>
      <w:proofErr w:type="spellEnd"/>
      <w:r>
        <w:rPr>
          <w:rFonts w:ascii="Book Antiqua" w:eastAsia="Book Antiqua" w:hAnsi="Book Antiqua" w:cs="Book Antiqua"/>
          <w:color w:val="000000"/>
        </w:rPr>
        <w:t xml:space="preserve"> (T-PINP) in the control group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operation were compared with those before operation, and the difference was not significant. Six months after the operation, the β-CTX level decreased and T-PINP level increased. </w:t>
      </w:r>
      <w:proofErr w:type="gramStart"/>
      <w:r>
        <w:rPr>
          <w:rFonts w:ascii="Book Antiqua" w:eastAsia="Book Antiqua" w:hAnsi="Book Antiqua" w:cs="Book Antiqua"/>
          <w:color w:val="000000"/>
        </w:rPr>
        <w:t>β-</w:t>
      </w:r>
      <w:r>
        <w:rPr>
          <w:rFonts w:ascii="Book Antiqua" w:eastAsia="Book Antiqua" w:hAnsi="Book Antiqua" w:cs="Book Antiqua"/>
          <w:color w:val="000000"/>
        </w:rPr>
        <w:lastRenderedPageBreak/>
        <w:t>CTX</w:t>
      </w:r>
      <w:proofErr w:type="gramEnd"/>
      <w:r>
        <w:rPr>
          <w:rFonts w:ascii="Book Antiqua" w:eastAsia="Book Antiqua" w:hAnsi="Book Antiqua" w:cs="Book Antiqua"/>
          <w:color w:val="000000"/>
        </w:rPr>
        <w:t xml:space="preserve"> level at 3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observation group after operation was lower, and T-PINP level was higher, than that before operation. Compared with the control group, T-PINP level of the observation group was significantly higher and β-CTX level was significantly lower at 3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operation. The </w:t>
      </w:r>
      <w:r>
        <w:rPr>
          <w:rFonts w:ascii="Book Antiqua" w:eastAsia="Book Antiqua" w:hAnsi="Book Antiqua" w:cs="Book Antiqua"/>
          <w:i/>
          <w:iCs/>
          <w:color w:val="000000"/>
        </w:rPr>
        <w:t>t</w:t>
      </w:r>
      <w:r>
        <w:rPr>
          <w:rFonts w:ascii="Book Antiqua" w:eastAsia="Book Antiqua" w:hAnsi="Book Antiqua" w:cs="Book Antiqua"/>
          <w:color w:val="000000"/>
        </w:rPr>
        <w:t xml:space="preserve"> value of hip bone mineral density was compared in the control group before and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operation, and significant difference was not found. Compared with the control group, the </w:t>
      </w:r>
      <w:r>
        <w:rPr>
          <w:rFonts w:ascii="Book Antiqua" w:eastAsia="Book Antiqua" w:hAnsi="Book Antiqua" w:cs="Book Antiqua"/>
          <w:i/>
          <w:iCs/>
          <w:color w:val="000000"/>
        </w:rPr>
        <w:t>t</w:t>
      </w:r>
      <w:r>
        <w:rPr>
          <w:rFonts w:ascii="Book Antiqua" w:eastAsia="Book Antiqua" w:hAnsi="Book Antiqua" w:cs="Book Antiqua"/>
          <w:color w:val="000000"/>
        </w:rPr>
        <w:t xml:space="preserve"> value of hip bone mineral density in the observation group was significantly higher at 1, 3, 6, and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Compared with the control group, the Harris score of the observation group was significantly higher at 1, 3, 6, and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The recurrence rate of fractures in the observation group within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was 0.00%, which was significantly lower than 6.35% in the control group. </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in the treatment of osteoporotic femoral intertrochanteric fractures can increase bone mineral density, improve hip joint function, promote fracture healing, and reduce fracture recurrence.</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Alendronate sodium;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treatment; Osteoporotic femoral intertrochanteric fractures; Bone mineral density; Hip joint function</w:t>
      </w:r>
    </w:p>
    <w:p w:rsidR="00AA4EE3" w:rsidRDefault="00AA4EE3">
      <w:pPr>
        <w:adjustRightInd w:val="0"/>
        <w:snapToGrid w:val="0"/>
        <w:spacing w:line="360" w:lineRule="auto"/>
        <w:jc w:val="both"/>
        <w:rPr>
          <w:rFonts w:ascii="Book Antiqua" w:hAnsi="Book Antiqua"/>
          <w:lang w:eastAsia="zh-CN"/>
        </w:rPr>
      </w:pPr>
    </w:p>
    <w:p w:rsidR="00AA522E" w:rsidRPr="00026CB8" w:rsidRDefault="00AA522E" w:rsidP="00AA522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AA522E" w:rsidRDefault="00AA522E">
      <w:pPr>
        <w:adjustRightInd w:val="0"/>
        <w:snapToGrid w:val="0"/>
        <w:spacing w:line="360" w:lineRule="auto"/>
        <w:jc w:val="both"/>
        <w:rPr>
          <w:rFonts w:ascii="Book Antiqua" w:hAnsi="Book Antiqua"/>
          <w:lang w:eastAsia="zh-CN"/>
        </w:rPr>
      </w:pPr>
    </w:p>
    <w:p w:rsidR="00AA4EE3" w:rsidRPr="00985B0E" w:rsidRDefault="00555C29">
      <w:pPr>
        <w:spacing w:line="360" w:lineRule="auto"/>
        <w:jc w:val="both"/>
        <w:rPr>
          <w:rFonts w:ascii="Book Antiqua" w:hAnsi="Book Antiqua" w:cs="Book Antiqua"/>
          <w:color w:val="000000"/>
          <w:lang w:eastAsia="zh-CN"/>
        </w:rPr>
      </w:pPr>
      <w:r>
        <w:rPr>
          <w:rFonts w:ascii="Book Antiqua" w:eastAsia="宋体" w:hAnsi="Book Antiqua" w:cs="Book Antiqua" w:hint="eastAsia"/>
          <w:b/>
          <w:bCs/>
          <w:color w:val="000000"/>
          <w:lang w:eastAsia="zh-CN"/>
        </w:rPr>
        <w:t>Citation</w:t>
      </w:r>
      <w:r w:rsidRPr="00AA522E">
        <w:rPr>
          <w:rFonts w:ascii="Book Antiqua" w:eastAsia="宋体" w:hAnsi="Book Antiqua" w:cs="Book Antiqua" w:hint="eastAsia"/>
          <w:b/>
          <w:color w:val="000000"/>
          <w:lang w:eastAsia="zh-CN"/>
        </w:rPr>
        <w:t xml:space="preserve">: </w:t>
      </w:r>
      <w:r w:rsidR="0059263E" w:rsidRPr="0059263E">
        <w:rPr>
          <w:rFonts w:ascii="Book Antiqua" w:eastAsia="Book Antiqua" w:hAnsi="Book Antiqua" w:cs="Book Antiqua"/>
          <w:color w:val="000000"/>
        </w:rPr>
        <w:t xml:space="preserve">Wang KM, Wei SP, Yin XY, </w:t>
      </w:r>
      <w:proofErr w:type="spellStart"/>
      <w:r w:rsidR="0059263E" w:rsidRPr="0059263E">
        <w:rPr>
          <w:rFonts w:ascii="Book Antiqua" w:eastAsia="Book Antiqua" w:hAnsi="Book Antiqua" w:cs="Book Antiqua"/>
          <w:color w:val="000000"/>
        </w:rPr>
        <w:t>Meng</w:t>
      </w:r>
      <w:proofErr w:type="spellEnd"/>
      <w:r w:rsidR="0059263E" w:rsidRPr="0059263E">
        <w:rPr>
          <w:rFonts w:ascii="Book Antiqua" w:eastAsia="Book Antiqua" w:hAnsi="Book Antiqua" w:cs="Book Antiqua"/>
          <w:color w:val="000000"/>
        </w:rPr>
        <w:t xml:space="preserve"> QJ, Kong YM.</w:t>
      </w:r>
      <w:bookmarkStart w:id="0" w:name="_GoBack"/>
      <w:bookmarkEnd w:id="0"/>
      <w:r>
        <w:rPr>
          <w:rFonts w:ascii="Book Antiqua" w:eastAsia="Book Antiqua" w:hAnsi="Book Antiqua" w:cs="Book Antiqua"/>
          <w:color w:val="000000"/>
        </w:rPr>
        <w:t xml:space="preserve"> Effects of 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on osteoporotic femoral intertrochanteric fractures and fracture recurrence.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10(</w:t>
      </w:r>
      <w:r>
        <w:rPr>
          <w:rFonts w:ascii="Book Antiqua" w:eastAsia="宋体" w:hAnsi="Book Antiqua" w:cs="Book Antiqua" w:hint="eastAsia"/>
          <w:color w:val="000000"/>
          <w:lang w:eastAsia="zh-CN"/>
        </w:rPr>
        <w:t>21</w:t>
      </w:r>
      <w:r>
        <w:rPr>
          <w:rFonts w:ascii="Book Antiqua" w:eastAsia="Book Antiqua" w:hAnsi="Book Antiqua" w:cs="Book Antiqua" w:hint="eastAsia"/>
          <w:color w:val="000000"/>
        </w:rPr>
        <w:t xml:space="preserve">): </w:t>
      </w:r>
      <w:r w:rsidR="00985B0E">
        <w:rPr>
          <w:rFonts w:ascii="Book Antiqua" w:hAnsi="Book Antiqua" w:cs="Book Antiqua" w:hint="eastAsia"/>
          <w:color w:val="000000"/>
          <w:lang w:eastAsia="zh-CN"/>
        </w:rPr>
        <w:t>7324</w:t>
      </w:r>
      <w:r>
        <w:rPr>
          <w:rFonts w:ascii="Book Antiqua" w:eastAsia="Book Antiqua" w:hAnsi="Book Antiqua" w:cs="Book Antiqua" w:hint="eastAsia"/>
          <w:color w:val="000000"/>
        </w:rPr>
        <w:t>-</w:t>
      </w:r>
      <w:r w:rsidR="00985B0E">
        <w:rPr>
          <w:rFonts w:ascii="Book Antiqua" w:hAnsi="Book Antiqua" w:cs="Book Antiqua" w:hint="eastAsia"/>
          <w:color w:val="000000"/>
          <w:lang w:eastAsia="zh-CN"/>
        </w:rPr>
        <w:t>7332</w:t>
      </w:r>
    </w:p>
    <w:p w:rsidR="00AA4EE3" w:rsidRDefault="00555C29">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sidRPr="00AA522E">
        <w:rPr>
          <w:rFonts w:ascii="Book Antiqua" w:eastAsia="Book Antiqua" w:hAnsi="Book Antiqua" w:cs="Book Antiqua" w:hint="eastAsia"/>
          <w:b/>
          <w:color w:val="000000"/>
        </w:rPr>
        <w:t xml:space="preserve">: </w:t>
      </w:r>
      <w:r>
        <w:rPr>
          <w:rFonts w:ascii="Book Antiqua" w:eastAsia="Book Antiqua" w:hAnsi="Book Antiqua" w:cs="Book Antiqua" w:hint="eastAsia"/>
          <w:color w:val="000000"/>
        </w:rPr>
        <w:t>https://www.wjgnet.com/2307-8960/full/v10/i</w:t>
      </w:r>
      <w:r>
        <w:rPr>
          <w:rFonts w:ascii="Book Antiqua" w:eastAsia="宋体" w:hAnsi="Book Antiqua" w:cs="Book Antiqua" w:hint="eastAsia"/>
          <w:color w:val="000000"/>
          <w:lang w:eastAsia="zh-CN"/>
        </w:rPr>
        <w:t>21</w:t>
      </w:r>
      <w:r>
        <w:rPr>
          <w:rFonts w:ascii="Book Antiqua" w:eastAsia="Book Antiqua" w:hAnsi="Book Antiqua" w:cs="Book Antiqua" w:hint="eastAsia"/>
          <w:color w:val="000000"/>
        </w:rPr>
        <w:t>/</w:t>
      </w:r>
      <w:r w:rsidR="00985B0E">
        <w:rPr>
          <w:rFonts w:ascii="Book Antiqua" w:hAnsi="Book Antiqua" w:cs="Book Antiqua" w:hint="eastAsia"/>
          <w:color w:val="000000"/>
          <w:lang w:eastAsia="zh-CN"/>
        </w:rPr>
        <w:t>7324</w:t>
      </w:r>
      <w:r>
        <w:rPr>
          <w:rFonts w:ascii="Book Antiqua" w:eastAsia="Book Antiqua" w:hAnsi="Book Antiqua" w:cs="Book Antiqua" w:hint="eastAsia"/>
          <w:color w:val="000000"/>
        </w:rPr>
        <w:t>.htm</w:t>
      </w:r>
    </w:p>
    <w:p w:rsidR="00AA4EE3" w:rsidRPr="00985B0E" w:rsidRDefault="00555C29">
      <w:pPr>
        <w:spacing w:line="360" w:lineRule="auto"/>
        <w:jc w:val="both"/>
        <w:rPr>
          <w:rFonts w:ascii="Book Antiqua" w:hAnsi="Book Antiqua"/>
          <w:lang w:eastAsia="zh-CN"/>
        </w:rPr>
      </w:pPr>
      <w:r>
        <w:rPr>
          <w:rFonts w:ascii="Book Antiqua" w:eastAsia="Book Antiqua" w:hAnsi="Book Antiqua" w:cs="Book Antiqua" w:hint="eastAsia"/>
          <w:b/>
          <w:bCs/>
          <w:color w:val="000000"/>
        </w:rPr>
        <w:t>DOI</w:t>
      </w:r>
      <w:r w:rsidRPr="00AA522E">
        <w:rPr>
          <w:rFonts w:ascii="Book Antiqua" w:eastAsia="Book Antiqua" w:hAnsi="Book Antiqua" w:cs="Book Antiqua" w:hint="eastAsia"/>
          <w:b/>
          <w:color w:val="000000"/>
        </w:rPr>
        <w:t xml:space="preserve">: </w:t>
      </w:r>
      <w:r>
        <w:rPr>
          <w:rFonts w:ascii="Book Antiqua" w:eastAsia="Book Antiqua" w:hAnsi="Book Antiqua" w:cs="Book Antiqua" w:hint="eastAsia"/>
          <w:color w:val="000000"/>
        </w:rPr>
        <w:t>https://dx.doi.org/10.12998/wjcc.v10.i</w:t>
      </w:r>
      <w:r>
        <w:rPr>
          <w:rFonts w:ascii="Book Antiqua" w:eastAsia="宋体" w:hAnsi="Book Antiqua" w:cs="Book Antiqua" w:hint="eastAsia"/>
          <w:color w:val="000000"/>
          <w:lang w:eastAsia="zh-CN"/>
        </w:rPr>
        <w:t>21</w:t>
      </w:r>
      <w:r>
        <w:rPr>
          <w:rFonts w:ascii="Book Antiqua" w:eastAsia="Book Antiqua" w:hAnsi="Book Antiqua" w:cs="Book Antiqua" w:hint="eastAsia"/>
          <w:color w:val="000000"/>
        </w:rPr>
        <w:t>.</w:t>
      </w:r>
      <w:r w:rsidR="00985B0E">
        <w:rPr>
          <w:rFonts w:ascii="Book Antiqua" w:hAnsi="Book Antiqua" w:cs="Book Antiqua" w:hint="eastAsia"/>
          <w:color w:val="000000"/>
          <w:lang w:eastAsia="zh-CN"/>
        </w:rPr>
        <w:t>7324</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 osteoporotic intertrochanteric fracture is one of the most common complications of osteoporosis and requires surgical internal fixation. However, for patients with osteoporotic intertrochanteric fractures, osteoporosis can affect the healing rate of fracture ends, with slow fracture healing and reduced exercise possibly aggravating osteoporosis and thereby leading to a vicious circle. Therefore, the treatment of osteoporosis should be strengthened during the treatment of osteoporotic intertrochanteric fractures. In this study, we observed the effect of 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on osteoporosis and fracture recurrence in the treatment of osteoporotic femoral intertrochanteric fractures and discussed its mechanism.</w:t>
      </w:r>
    </w:p>
    <w:p w:rsidR="00AA522E" w:rsidRDefault="00AA522E">
      <w:pPr>
        <w:rPr>
          <w:rFonts w:ascii="Book Antiqua" w:hAnsi="Book Antiqua"/>
        </w:rPr>
      </w:pPr>
      <w:r>
        <w:rPr>
          <w:rFonts w:ascii="Book Antiqua" w:hAnsi="Book Antiqua"/>
        </w:rPr>
        <w:br w:type="page"/>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AA4EE3" w:rsidRDefault="00555C29">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is an intramedullary fixation, short lever arm force-based, anti-rotation, and stable clinical treatment of intertrochanteric fractures commonly used</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for patients with osteoporotic intertrochanteric fractures, osteoporosis can affect the healing rate of fracture ends, with slow fracture healing and reduced exercise possibly aggravating osteoporosis and thereby leading to a vicious </w:t>
      </w:r>
      <w:proofErr w:type="gramStart"/>
      <w:r>
        <w:rPr>
          <w:rFonts w:ascii="Book Antiqua" w:eastAsia="Book Antiqua" w:hAnsi="Book Antiqua" w:cs="Book Antiqua"/>
          <w:color w:val="000000"/>
        </w:rPr>
        <w:t>circle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Therefore, the treatment of osteoporosis should be strengthened during the treatment of osteoporotic intertrochanteric fractures.</w:t>
      </w:r>
    </w:p>
    <w:p w:rsidR="00AA4EE3" w:rsidRDefault="00555C2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Alendronate sodium is a third-generation </w:t>
      </w:r>
      <w:proofErr w:type="spellStart"/>
      <w:r>
        <w:rPr>
          <w:rFonts w:ascii="Book Antiqua" w:eastAsia="Book Antiqua" w:hAnsi="Book Antiqua" w:cs="Book Antiqua"/>
          <w:color w:val="000000"/>
        </w:rPr>
        <w:t>diphosphonate</w:t>
      </w:r>
      <w:proofErr w:type="spellEnd"/>
      <w:r>
        <w:rPr>
          <w:rFonts w:ascii="Book Antiqua" w:eastAsia="Book Antiqua" w:hAnsi="Book Antiqua" w:cs="Book Antiqua"/>
          <w:color w:val="000000"/>
        </w:rPr>
        <w:t xml:space="preserve"> drug of the amino-bisphosphonate bone metabolic regulator family, which can inhibit osteoclast activity and the bone </w:t>
      </w:r>
      <w:proofErr w:type="spellStart"/>
      <w:r>
        <w:rPr>
          <w:rFonts w:ascii="Book Antiqua" w:eastAsia="Book Antiqua" w:hAnsi="Book Antiqua" w:cs="Book Antiqua"/>
          <w:color w:val="000000"/>
        </w:rPr>
        <w:t>resorption</w:t>
      </w:r>
      <w:proofErr w:type="spellEnd"/>
      <w:r>
        <w:rPr>
          <w:rFonts w:ascii="Book Antiqua" w:eastAsia="Book Antiqua" w:hAnsi="Book Antiqua" w:cs="Book Antiqua"/>
          <w:color w:val="000000"/>
        </w:rPr>
        <w:t xml:space="preserve"> process and reduce bone destruction. It is often used in the treatment of osteoporosis and the prevention of compression fractures of the hip and vertebral body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there are only few studies on its impact on long-term recurrence of fractures. In this study, we observed the effect of 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on osteoporosis and fracture recurrence in the treatment of osteoporotic femoral intertrochanteric fractures and discussed its mechanism. </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General information</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126 patients with osteoporotic intertrochanteric fractures admitted to the Department of Orthopedics, the First Affiliated Hospital of </w:t>
      </w:r>
      <w:proofErr w:type="spellStart"/>
      <w:r>
        <w:rPr>
          <w:rFonts w:ascii="Book Antiqua" w:eastAsia="Book Antiqua" w:hAnsi="Book Antiqua" w:cs="Book Antiqua"/>
          <w:color w:val="000000"/>
        </w:rPr>
        <w:t>Xingtai</w:t>
      </w:r>
      <w:proofErr w:type="spellEnd"/>
      <w:r>
        <w:rPr>
          <w:rFonts w:ascii="Book Antiqua" w:eastAsia="Book Antiqua" w:hAnsi="Book Antiqua" w:cs="Book Antiqua"/>
          <w:color w:val="000000"/>
        </w:rPr>
        <w:t xml:space="preserve"> Medical College, from January 2018 to September 2020 were selected. The patients were divided into two groups according to the principle of 1:1 using the simple random method. The general </w:t>
      </w:r>
      <w:proofErr w:type="gramStart"/>
      <w:r>
        <w:rPr>
          <w:rFonts w:ascii="Book Antiqua" w:eastAsia="Book Antiqua" w:hAnsi="Book Antiqua" w:cs="Book Antiqua"/>
          <w:color w:val="000000"/>
        </w:rPr>
        <w:t>characteristics of the two groups was</w:t>
      </w:r>
      <w:proofErr w:type="gramEnd"/>
      <w:r>
        <w:rPr>
          <w:rFonts w:ascii="Book Antiqua" w:eastAsia="Book Antiqua" w:hAnsi="Book Antiqua" w:cs="Book Antiqua"/>
          <w:color w:val="000000"/>
        </w:rPr>
        <w:t xml:space="preserve"> not comparable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w:t>
      </w:r>
    </w:p>
    <w:p w:rsidR="00AA4EE3" w:rsidRDefault="00555C2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inclusion criteria were as follows: compliance with the standards of osteoporotic femoral intertrochanteric fractures [unilateral femoral intertrochanteric fractures were diagnosed based on medical history, signs, and imaging findings and bone mineral density (BMD) showed femoral neck fracture (T ≤ −2.50 SD)]; 18 ≤ age ≤ 80 years; initial </w:t>
      </w:r>
      <w:r>
        <w:rPr>
          <w:rFonts w:ascii="Book Antiqua" w:eastAsia="Book Antiqua" w:hAnsi="Book Antiqua" w:cs="Book Antiqua"/>
          <w:color w:val="000000"/>
        </w:rPr>
        <w:lastRenderedPageBreak/>
        <w:t xml:space="preserve">fracture developed &lt;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closed fracture; and patients provided informed consent. This study was conducted in line with the principles of the Declaration of Helsinki.</w:t>
      </w:r>
    </w:p>
    <w:p w:rsidR="00AA4EE3" w:rsidRDefault="00555C2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Conversely, the exclusion criteria were as follows: fractures caused by bone tumors and bone tuberculosis; combined fractures in other parts; allergic constitution; presence of other diseases affecting bone metabolism or use of drugs affecting bone metabolism; presence of cardiovascular and cerebrovascular, liver, kidney, and other serious diseases; uncontrollable hypertension and diabetes; and presence of mental illness.</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Method</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control group was treated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fixation. In brief, after successful anesthesia, the patient was placed in the supine position, and the affected limb was pulled and reset. Routine disinfection and towel </w:t>
      </w:r>
      <w:proofErr w:type="gramStart"/>
      <w:r>
        <w:rPr>
          <w:rFonts w:ascii="Book Antiqua" w:eastAsia="Book Antiqua" w:hAnsi="Book Antiqua" w:cs="Book Antiqua"/>
          <w:color w:val="000000"/>
        </w:rPr>
        <w:t>laying</w:t>
      </w:r>
      <w:proofErr w:type="gramEnd"/>
      <w:r>
        <w:rPr>
          <w:rFonts w:ascii="Book Antiqua" w:eastAsia="Book Antiqua" w:hAnsi="Book Antiqua" w:cs="Book Antiqua"/>
          <w:color w:val="000000"/>
        </w:rPr>
        <w:t xml:space="preserve"> were performed. A long incision of approximately 5 cm was made along the proximal end of the femoral greater trochanter. The deep fascia was opened, and the top of the femoral greater trochanter was bluntly separated and exposed. Then, a 2.5-mm S-wire was placed within the top exposed region. The S-wire was confirmed to be located in the medullary cavity using the C-arm X-ray machine. The sleeve was used to protect the proximal opening, remove the S-wire, place the guide needle, and place the intramedullary nail after marrow enlargement. The depth of intramedullary nailing was adjusted, and the </w:t>
      </w:r>
      <w:proofErr w:type="spellStart"/>
      <w:r>
        <w:rPr>
          <w:rFonts w:ascii="Book Antiqua" w:eastAsia="Book Antiqua" w:hAnsi="Book Antiqua" w:cs="Book Antiqua"/>
          <w:color w:val="000000"/>
        </w:rPr>
        <w:t>anteversion</w:t>
      </w:r>
      <w:proofErr w:type="spellEnd"/>
      <w:r>
        <w:rPr>
          <w:rFonts w:ascii="Book Antiqua" w:eastAsia="Book Antiqua" w:hAnsi="Book Antiqua" w:cs="Book Antiqua"/>
          <w:color w:val="000000"/>
        </w:rPr>
        <w:t xml:space="preserve"> angle was modified under C-arm fluoroscopy. Afterward, the guide length was measured, the lower anti-rotation blade was inserted, and guide length was re-measured. Tension screws were placed in the fracture space, followed by the distal locking screws, and the tail cap was twisted after determining the internal fixation position was proper. At the same time, placebo treatment, placebo appearance, administration time, and alendronate sodium administration were combined.</w:t>
      </w:r>
    </w:p>
    <w:p w:rsidR="00AA4EE3" w:rsidRDefault="00555C29">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The observation group was treated with alendronate sodium based on the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fixation: oral alendronate sodium tablets (</w:t>
      </w:r>
      <w:proofErr w:type="spellStart"/>
      <w:r>
        <w:rPr>
          <w:rFonts w:ascii="Book Antiqua" w:eastAsia="Book Antiqua" w:hAnsi="Book Antiqua" w:cs="Book Antiqua"/>
          <w:color w:val="000000"/>
        </w:rPr>
        <w:t>Shiyao</w:t>
      </w:r>
      <w:proofErr w:type="spellEnd"/>
      <w:r>
        <w:rPr>
          <w:rFonts w:ascii="Book Antiqua" w:eastAsia="Book Antiqua" w:hAnsi="Book Antiqua" w:cs="Book Antiqua"/>
          <w:color w:val="000000"/>
        </w:rPr>
        <w:t xml:space="preserve"> Group </w:t>
      </w:r>
      <w:proofErr w:type="spellStart"/>
      <w:r>
        <w:rPr>
          <w:rFonts w:ascii="Book Antiqua" w:eastAsia="Book Antiqua" w:hAnsi="Book Antiqua" w:cs="Book Antiqua"/>
          <w:color w:val="000000"/>
        </w:rPr>
        <w:t>Ouyi</w:t>
      </w:r>
      <w:proofErr w:type="spellEnd"/>
      <w:r>
        <w:rPr>
          <w:rFonts w:ascii="Book Antiqua" w:eastAsia="Book Antiqua" w:hAnsi="Book Antiqua" w:cs="Book Antiqua"/>
          <w:color w:val="000000"/>
        </w:rPr>
        <w:t xml:space="preserve"> Pharmaceutical Co., Ltd., specification: 70 mg, H20061303) 70 mg/wk.</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lastRenderedPageBreak/>
        <w:t>Observation indicators and detection methods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Operation-related indexes (operation time, intraoperative blood loss, postoperative ambulation time, and fracture healing time), complications (bedsore, urinary tract infection, pulmonary infection, incision infection,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recurrent fractures were compared between the two groups. The changes in bone metabolism marker levels, hip BMD </w:t>
      </w:r>
      <w:r>
        <w:rPr>
          <w:rFonts w:ascii="Book Antiqua" w:eastAsia="Book Antiqua" w:hAnsi="Book Antiqua" w:cs="Book Antiqua"/>
          <w:i/>
          <w:iCs/>
          <w:color w:val="000000"/>
        </w:rPr>
        <w:t>t</w:t>
      </w:r>
      <w:r>
        <w:rPr>
          <w:rFonts w:ascii="Book Antiqua" w:eastAsia="Book Antiqua" w:hAnsi="Book Antiqua" w:cs="Book Antiqua"/>
          <w:color w:val="000000"/>
        </w:rPr>
        <w:t xml:space="preserve"> value, and Harris Hip Score (Harris) score were observed, with Harris scores of ≥ 90, 80–89, 70–79, and &lt; 70 points considered excellent, good, fair, and poor, respectively</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rsidR="00AA4EE3" w:rsidRDefault="00555C2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Fasting peripheral venous blood samples of the patients were collected in an EDTA-K2 anticoagulant tube before operation,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operation. The blood samples were centrifuged for 1 h at 4000 r/min for 10 min. The separated serum was used to detect β-collagen-specific sequence (β-CTX) and total type I </w:t>
      </w:r>
      <w:proofErr w:type="spellStart"/>
      <w:r>
        <w:rPr>
          <w:rFonts w:ascii="Book Antiqua" w:eastAsia="Book Antiqua" w:hAnsi="Book Antiqua" w:cs="Book Antiqua"/>
          <w:color w:val="000000"/>
        </w:rPr>
        <w:t>procollagen</w:t>
      </w:r>
      <w:proofErr w:type="spellEnd"/>
      <w:r>
        <w:rPr>
          <w:rFonts w:ascii="Book Antiqua" w:eastAsia="Book Antiqua" w:hAnsi="Book Antiqua" w:cs="Book Antiqua"/>
          <w:color w:val="000000"/>
        </w:rPr>
        <w:t xml:space="preserve"> amino-terminal </w:t>
      </w:r>
      <w:proofErr w:type="spellStart"/>
      <w:r>
        <w:rPr>
          <w:rFonts w:ascii="Book Antiqua" w:eastAsia="Book Antiqua" w:hAnsi="Book Antiqua" w:cs="Book Antiqua"/>
          <w:color w:val="000000"/>
        </w:rPr>
        <w:t>propeptide</w:t>
      </w:r>
      <w:proofErr w:type="spellEnd"/>
      <w:r>
        <w:rPr>
          <w:rFonts w:ascii="Book Antiqua" w:eastAsia="Book Antiqua" w:hAnsi="Book Antiqua" w:cs="Book Antiqua"/>
          <w:color w:val="000000"/>
        </w:rPr>
        <w:t xml:space="preserve"> (T-PINP) by an enzyme-linked </w:t>
      </w:r>
      <w:proofErr w:type="spellStart"/>
      <w:r>
        <w:rPr>
          <w:rFonts w:ascii="Book Antiqua" w:eastAsia="Book Antiqua" w:hAnsi="Book Antiqua" w:cs="Book Antiqua"/>
          <w:color w:val="000000"/>
        </w:rPr>
        <w:t>immunosorbent</w:t>
      </w:r>
      <w:proofErr w:type="spellEnd"/>
      <w:r>
        <w:rPr>
          <w:rFonts w:ascii="Book Antiqua" w:eastAsia="Book Antiqua" w:hAnsi="Book Antiqua" w:cs="Book Antiqua"/>
          <w:color w:val="000000"/>
        </w:rPr>
        <w:t xml:space="preserve"> assay kit (Shanghai Enzyme-linked Biotechnology Co., Ltd.). The detection instrument used was RT-96 (Shenzhen </w:t>
      </w:r>
      <w:proofErr w:type="spellStart"/>
      <w:r>
        <w:rPr>
          <w:rFonts w:ascii="Book Antiqua" w:eastAsia="Book Antiqua" w:hAnsi="Book Antiqua" w:cs="Book Antiqua"/>
          <w:color w:val="000000"/>
        </w:rPr>
        <w:t>Mindray</w:t>
      </w:r>
      <w:proofErr w:type="spellEnd"/>
      <w:r>
        <w:rPr>
          <w:rFonts w:ascii="Book Antiqua" w:eastAsia="Book Antiqua" w:hAnsi="Book Antiqua" w:cs="Book Antiqua"/>
          <w:color w:val="000000"/>
        </w:rPr>
        <w:t xml:space="preserve"> Medical Electronics Co., Ltd.).</w:t>
      </w:r>
    </w:p>
    <w:p w:rsidR="00AA4EE3" w:rsidRDefault="00555C2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Dual-energy X-ray absorptiometry was performed to detect the </w:t>
      </w:r>
      <w:r>
        <w:rPr>
          <w:rFonts w:ascii="Book Antiqua" w:eastAsia="Book Antiqua" w:hAnsi="Book Antiqua" w:cs="Book Antiqua"/>
          <w:i/>
          <w:iCs/>
          <w:color w:val="000000"/>
        </w:rPr>
        <w:t>t</w:t>
      </w:r>
      <w:r>
        <w:rPr>
          <w:rFonts w:ascii="Book Antiqua" w:eastAsia="Book Antiqua" w:hAnsi="Book Antiqua" w:cs="Book Antiqua"/>
          <w:color w:val="000000"/>
        </w:rPr>
        <w:t xml:space="preserve"> value of BMD for the affected hip before operation and 1, 3,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operation.</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Statistical analysis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data were processed using SPSS19.0. The measurement indexes are described as mean ± SD, and the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was performed for comparison. The enumeration data are expressed as the number of cases (percentage), and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performed for comparison. The statistical test level was set at 0.05.</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Comparison of operation-related indicators between the two groups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The operation time, blood loss, and postoperative ambulation time were compared between the two groups, and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t>
      </w:r>
      <w:r>
        <w:rPr>
          <w:rFonts w:ascii="Book Antiqua" w:eastAsia="Book Antiqua" w:hAnsi="Book Antiqua" w:cs="Book Antiqua"/>
          <w:color w:val="000000"/>
        </w:rPr>
        <w:lastRenderedPageBreak/>
        <w:t>Fracture healing time in the observation group was shorter than that in the control group;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Comparison between the two groups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The complications such as bedsore, urinary tract infection, pulmonary infection, and incision infection were compared between the two groups, and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3).</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Comparison of bone metabolism markers between the two groups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Before surgery, the bone metabolic markers were compared between the two groups, and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β-CTX and T-PINP were compared between before and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in the control group, and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Six months after operation, β-CTX decreased and T-PINP increased compared with those before 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β-CTX at 3 and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in the observation group was lower than that before operation, and the T-PINP was higher than that before 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Compared with the control group, T-PINP was significantly higher and β-CTX was significantly lower in the observation group at 3 and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4).</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shd w:val="clear" w:color="auto" w:fill="FFFFFF"/>
        </w:rPr>
        <w:t xml:space="preserve">Comparison of hip bone mineral density </w:t>
      </w:r>
      <w:r>
        <w:rPr>
          <w:rFonts w:ascii="Book Antiqua" w:eastAsia="Book Antiqua" w:hAnsi="Book Antiqua" w:cs="Book Antiqua"/>
          <w:b/>
          <w:bCs/>
          <w:i/>
          <w:iCs/>
          <w:color w:val="000000"/>
        </w:rPr>
        <w:t>t</w:t>
      </w:r>
      <w:r>
        <w:rPr>
          <w:rFonts w:ascii="Book Antiqua" w:eastAsia="Book Antiqua" w:hAnsi="Book Antiqua" w:cs="Book Antiqua"/>
          <w:b/>
          <w:bCs/>
          <w:i/>
          <w:iCs/>
          <w:color w:val="000000"/>
          <w:shd w:val="clear" w:color="auto" w:fill="FFFFFF"/>
        </w:rPr>
        <w:t xml:space="preserve"> value between the two groups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Before operation, the </w:t>
      </w:r>
      <w:r>
        <w:rPr>
          <w:rFonts w:ascii="Book Antiqua" w:eastAsia="Book Antiqua" w:hAnsi="Book Antiqua" w:cs="Book Antiqua"/>
          <w:i/>
          <w:iCs/>
          <w:color w:val="000000"/>
        </w:rPr>
        <w:t>t</w:t>
      </w:r>
      <w:r>
        <w:rPr>
          <w:rFonts w:ascii="Book Antiqua" w:eastAsia="Book Antiqua" w:hAnsi="Book Antiqua" w:cs="Book Antiqua"/>
          <w:color w:val="000000"/>
        </w:rPr>
        <w:t xml:space="preserve"> value of hip bone mineral density was compared between the two groups, and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w:t>
      </w:r>
      <w:r>
        <w:rPr>
          <w:rFonts w:ascii="Book Antiqua" w:eastAsia="Book Antiqua" w:hAnsi="Book Antiqua" w:cs="Book Antiqua"/>
          <w:i/>
          <w:iCs/>
          <w:color w:val="000000"/>
        </w:rPr>
        <w:t>t</w:t>
      </w:r>
      <w:r>
        <w:rPr>
          <w:rFonts w:ascii="Book Antiqua" w:eastAsia="Book Antiqua" w:hAnsi="Book Antiqua" w:cs="Book Antiqua"/>
          <w:color w:val="000000"/>
        </w:rPr>
        <w:t xml:space="preserve"> value of hip bone mineral density was compared between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operation and before operation in the control group, and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w:t>
      </w:r>
      <w:r>
        <w:rPr>
          <w:rFonts w:ascii="Book Antiqua" w:eastAsia="Book Antiqua" w:hAnsi="Book Antiqua" w:cs="Book Antiqua"/>
          <w:i/>
          <w:iCs/>
          <w:color w:val="000000"/>
        </w:rPr>
        <w:t>t</w:t>
      </w:r>
      <w:r>
        <w:rPr>
          <w:rFonts w:ascii="Book Antiqua" w:eastAsia="Book Antiqua" w:hAnsi="Book Antiqua" w:cs="Book Antiqua"/>
          <w:color w:val="000000"/>
        </w:rPr>
        <w:t xml:space="preserve"> values of hip bone mineral density at 3, 6, and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were higher than those before 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w:t>
      </w:r>
      <w:r>
        <w:rPr>
          <w:rFonts w:ascii="Book Antiqua" w:eastAsia="Book Antiqua" w:hAnsi="Book Antiqua" w:cs="Book Antiqua"/>
          <w:i/>
          <w:iCs/>
          <w:color w:val="000000"/>
        </w:rPr>
        <w:t>t</w:t>
      </w:r>
      <w:r>
        <w:rPr>
          <w:rFonts w:ascii="Book Antiqua" w:eastAsia="Book Antiqua" w:hAnsi="Book Antiqua" w:cs="Book Antiqua"/>
          <w:color w:val="000000"/>
        </w:rPr>
        <w:t xml:space="preserve"> values of hip bone mineral density in the observation group at 1, 3, 6, and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were higher than those before 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Compared with the control group, the </w:t>
      </w:r>
      <w:r>
        <w:rPr>
          <w:rFonts w:ascii="Book Antiqua" w:eastAsia="Book Antiqua" w:hAnsi="Book Antiqua" w:cs="Book Antiqua"/>
          <w:i/>
          <w:iCs/>
          <w:color w:val="000000"/>
        </w:rPr>
        <w:t>t</w:t>
      </w:r>
      <w:r>
        <w:rPr>
          <w:rFonts w:ascii="Book Antiqua" w:eastAsia="Book Antiqua" w:hAnsi="Book Antiqua" w:cs="Book Antiqua"/>
          <w:color w:val="000000"/>
        </w:rPr>
        <w:t xml:space="preserve"> value of hip bone </w:t>
      </w:r>
      <w:r>
        <w:rPr>
          <w:rFonts w:ascii="Book Antiqua" w:eastAsia="Book Antiqua" w:hAnsi="Book Antiqua" w:cs="Book Antiqua"/>
          <w:color w:val="000000"/>
        </w:rPr>
        <w:lastRenderedPageBreak/>
        <w:t xml:space="preserve">mineral density in the observation group was significantly higher at 1, 3, 6, and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5).</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Comparison of Harris scores between the two groups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Before operation, the Harris score was compared between the two </w:t>
      </w:r>
      <w:proofErr w:type="gramStart"/>
      <w:r>
        <w:rPr>
          <w:rFonts w:ascii="Book Antiqua" w:eastAsia="Book Antiqua" w:hAnsi="Book Antiqua" w:cs="Book Antiqua"/>
          <w:color w:val="000000"/>
        </w:rPr>
        <w:t>groups,</w:t>
      </w:r>
      <w:proofErr w:type="gramEnd"/>
      <w:r>
        <w:rPr>
          <w:rFonts w:ascii="Book Antiqua" w:eastAsia="Book Antiqua" w:hAnsi="Book Antiqua" w:cs="Book Antiqua"/>
          <w:color w:val="000000"/>
        </w:rPr>
        <w:t xml:space="preserve"> and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Harris scores of the two groups at 1, 3, 6, and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were higher than those before 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Compared with that of the control group, the Harris score of the observation group was significantly higher at 1, 3, 6, and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6).</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 xml:space="preserve">Comparison of recurrence of fractures in the two groups within 12 </w:t>
      </w:r>
      <w:proofErr w:type="spellStart"/>
      <w:proofErr w:type="gramStart"/>
      <w:r>
        <w:rPr>
          <w:rFonts w:ascii="Book Antiqua" w:eastAsia="Book Antiqua" w:hAnsi="Book Antiqua" w:cs="Book Antiqua"/>
          <w:b/>
          <w:bCs/>
          <w:i/>
          <w:iCs/>
          <w:color w:val="000000"/>
          <w:shd w:val="clear" w:color="auto" w:fill="FFFFFF"/>
        </w:rPr>
        <w:t>mo</w:t>
      </w:r>
      <w:proofErr w:type="spellEnd"/>
      <w:proofErr w:type="gramEnd"/>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recurrence rate of fracture within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in the observation group was 0.00%, which was significantly lower than 6.35% in the control group,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7).</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recent years, with the advent of the aging society, the incidence of osteoporosis and osteoporotic femoral intertrochanteric fracture has been increasing. It is expected that by 2050, the incidence of osteoporotic femoral intertrochanteric fractures may be as high as 6 million, which poses a certain burden on social medical </w:t>
      </w:r>
      <w:proofErr w:type="gramStart"/>
      <w:r>
        <w:rPr>
          <w:rFonts w:ascii="Book Antiqua" w:eastAsia="Book Antiqua" w:hAnsi="Book Antiqua" w:cs="Book Antiqua"/>
          <w:color w:val="000000"/>
        </w:rPr>
        <w:t>resources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Intertrochanteric fractures of the femur can cause severe pain and restrict lower extremity activities. For example, conservative treatment has problems such as long treatment times, several bedridden complications, serious infectious complications, lower extremity deep vein thrombosis,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even threatens the life safety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Therefore, it is suggested that surgical internal fixation should be the first choice of treatment for patients with intertrochanteric fractures to obtain a solid internal fixation effect, promote fracture healing, and accelerate rehabilitation. However, when osteoporosis is severe, the risk of nail withdrawal and breakage after internal fixation </w:t>
      </w:r>
      <w:r>
        <w:rPr>
          <w:rFonts w:ascii="Book Antiqua" w:eastAsia="Book Antiqua" w:hAnsi="Book Antiqua" w:cs="Book Antiqua"/>
          <w:color w:val="000000"/>
        </w:rPr>
        <w:lastRenderedPageBreak/>
        <w:t xml:space="preserve">increases, leading to surgical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Therefore, the treatment of osteoporotic femoral intertrochanteric fractures is more difficult.</w:t>
      </w:r>
    </w:p>
    <w:p w:rsidR="00AA4EE3" w:rsidRDefault="00555C29">
      <w:pPr>
        <w:adjustRightInd w:val="0"/>
        <w:snapToGri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is a new type of proximal femoral nail material specifically used for intertrochanteric fractures. The cross-section of the main nail is trapezoidal, which has stronger anti-rotation ability. The valgus angle of the main nail is 4°, which is more in line with the physiological and anatomical characteristics of the Asian femur. The head and neck screws are designed as tension screws and compression screws, which interlock and play a good compression effect on the fracture end and increase its anti-rotation ability and stability. The good matching of the medullary cavity increases the anatomical compatibility of the main nail with the mechanical requirements to obtain optimal stability, reduce the risk of internal fixation fracture, and help patients step out of bed early and perform rehabilitation training, which is conducive to fracture healing</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Hiragami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used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static fixation assisted by </w:t>
      </w:r>
      <w:proofErr w:type="spellStart"/>
      <w:r>
        <w:rPr>
          <w:rFonts w:ascii="Book Antiqua" w:eastAsia="Book Antiqua" w:hAnsi="Book Antiqua" w:cs="Book Antiqua"/>
          <w:color w:val="000000"/>
        </w:rPr>
        <w:t>Calqi</w:t>
      </w:r>
      <w:proofErr w:type="spellEnd"/>
      <w:r>
        <w:rPr>
          <w:rFonts w:ascii="Book Antiqua" w:eastAsia="Book Antiqua" w:hAnsi="Book Antiqua" w:cs="Book Antiqua"/>
          <w:color w:val="000000"/>
        </w:rPr>
        <w:t xml:space="preserve"> D in the treatment of osteoporotic femoral intertrochanteric fractures, and found that it can promote fracture healing and improve the functional recovery of lower extremities.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found that the internal fixation effect of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in the treatment of elderly femoral intertrochanteric fractures is stronger than that of PFNA-II, which is conducive to maintaining a suitable fracture-to-apex distance, and has better anti-cutting and subsidence effects. It has been found that the internal fixation effect of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in the treatment of intertrochanteric femoral fractures in the elderly is stronger than that of PFNA-II, which is beneficial for maintaining the appropriate fracture to the apex distance, with better anti-cutting and settlement effects.</w:t>
      </w:r>
    </w:p>
    <w:p w:rsidR="00AA4EE3" w:rsidRDefault="00555C2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Actively correcting the osteoporosis status of patients promotes the postoperative rehabilitation of patients with osteoporotic intertrochanteric fractures. Alendronate sodium is a commonly used anti-osteoporosis drug. It is widely used in the treatment of osteoporosis in postmenopausal women.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 </w:t>
      </w:r>
      <w:r>
        <w:rPr>
          <w:rFonts w:ascii="Book Antiqua" w:eastAsia="Book Antiqua" w:hAnsi="Book Antiqua" w:cs="Book Antiqua"/>
          <w:color w:val="000000"/>
        </w:rPr>
        <w:t xml:space="preserve">applied sodium alendronate in the treatment of diabetic osteoporosis patients and found that it effectively relieved osteoporosis symptoms and improved bone metabolism. Sodium alendronate has a strong affinity for hydroxyapatite, which can inhibit osteoclast activity and bone </w:t>
      </w:r>
      <w:proofErr w:type="spellStart"/>
      <w:r>
        <w:rPr>
          <w:rFonts w:ascii="Book Antiqua" w:eastAsia="Book Antiqua" w:hAnsi="Book Antiqua" w:cs="Book Antiqua"/>
          <w:color w:val="000000"/>
        </w:rPr>
        <w:lastRenderedPageBreak/>
        <w:t>resorption</w:t>
      </w:r>
      <w:proofErr w:type="spellEnd"/>
      <w:r>
        <w:rPr>
          <w:rFonts w:ascii="Book Antiqua" w:eastAsia="Book Antiqua" w:hAnsi="Book Antiqua" w:cs="Book Antiqua"/>
          <w:color w:val="000000"/>
        </w:rPr>
        <w:t xml:space="preserve">, without an inhibitory effect on bone </w:t>
      </w:r>
      <w:proofErr w:type="gramStart"/>
      <w:r>
        <w:rPr>
          <w:rFonts w:ascii="Book Antiqua" w:eastAsia="Book Antiqua" w:hAnsi="Book Antiqua" w:cs="Book Antiqua"/>
          <w:color w:val="000000"/>
        </w:rPr>
        <w:t>mineralization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Some scholars used alendronate tablets combined with calcitonin for postoperative bone pain in patients with osteoporotic fracture and reported a good mitigation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The present study found that 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in the treatment of osteoporotic femoral intertrochanteric fractures can shorten the fracture healing time and improve postoperative 1-, 3-, 6-, and 12-mo hip BMD </w:t>
      </w:r>
      <w:r>
        <w:rPr>
          <w:rFonts w:ascii="Book Antiqua" w:eastAsia="Book Antiqua" w:hAnsi="Book Antiqua" w:cs="Book Antiqua"/>
          <w:i/>
          <w:iCs/>
          <w:color w:val="000000"/>
        </w:rPr>
        <w:t>t</w:t>
      </w:r>
      <w:r>
        <w:rPr>
          <w:rFonts w:ascii="Book Antiqua" w:eastAsia="Book Antiqua" w:hAnsi="Book Antiqua" w:cs="Book Antiqua"/>
          <w:color w:val="000000"/>
        </w:rPr>
        <w:t xml:space="preserve"> value and Harris score. The findings suggest that 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in the treatment of osteoporotic femoral intertrochanteric fractures can improve BMD, improve hip function, and promote fracture healing and has a good curative effect. However, there was no significant effect on operation time, intraoperative blood loss, postoperative ambulation time, and complications. Alendronate sodium can inhibit fracture processes, improve the degree of bone mineralization, increase the thickness of the bone cortex and BMD, promote fracture healing and early ambulation, and improve hip function.</w:t>
      </w:r>
    </w:p>
    <w:p w:rsidR="00AA4EE3" w:rsidRDefault="00555C2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Abnormal bone metabolism and a bone formation rate lower than the bone destruction rate are crucial mechanisms for osteoporosis; thus, fractures are associated with difficult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T-PINP is a type I collagen deposition indicator related to bone tissue and a commonly used bone formation marker in the clinical </w:t>
      </w:r>
      <w:proofErr w:type="gramStart"/>
      <w:r>
        <w:rPr>
          <w:rFonts w:ascii="Book Antiqua" w:eastAsia="Book Antiqua" w:hAnsi="Book Antiqua" w:cs="Book Antiqua"/>
          <w:color w:val="000000"/>
        </w:rPr>
        <w:t>setting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β-CTX</w:t>
      </w:r>
      <w:proofErr w:type="gramEnd"/>
      <w:r>
        <w:rPr>
          <w:rFonts w:ascii="Book Antiqua" w:eastAsia="Book Antiqua" w:hAnsi="Book Antiqua" w:cs="Book Antiqua"/>
          <w:color w:val="000000"/>
        </w:rPr>
        <w:t xml:space="preserve"> is the C-terminal peptide fragment of the decomposition product of type I collagen in the bone matrix during bone metabolism, and its serum level can reflect the degree of bone decomposition to a certain extent</w:t>
      </w:r>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In this study, the levels of T-PINP and β-CTX were detected before operation and 3 and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It was found that 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in the treatment of osteoporotic intertrochanteric fractures could increase T-PINP level, reduce β-CTX level, and improve bone metabolism. Alendronate has a strong affinity with </w:t>
      </w:r>
      <w:proofErr w:type="spellStart"/>
      <w:r>
        <w:rPr>
          <w:rFonts w:ascii="Book Antiqua" w:eastAsia="Book Antiqua" w:hAnsi="Book Antiqua" w:cs="Book Antiqua"/>
          <w:color w:val="000000"/>
        </w:rPr>
        <w:t>intraosseous</w:t>
      </w:r>
      <w:proofErr w:type="spellEnd"/>
      <w:r>
        <w:rPr>
          <w:rFonts w:ascii="Book Antiqua" w:eastAsia="Book Antiqua" w:hAnsi="Book Antiqua" w:cs="Book Antiqua"/>
          <w:color w:val="000000"/>
        </w:rPr>
        <w:t xml:space="preserve"> hydroxyapatite, which can inhibit osteoclast activity, resist bone </w:t>
      </w:r>
      <w:proofErr w:type="spellStart"/>
      <w:r>
        <w:rPr>
          <w:rFonts w:ascii="Book Antiqua" w:eastAsia="Book Antiqua" w:hAnsi="Book Antiqua" w:cs="Book Antiqua"/>
          <w:color w:val="000000"/>
        </w:rPr>
        <w:t>resorption</w:t>
      </w:r>
      <w:proofErr w:type="spellEnd"/>
      <w:r>
        <w:rPr>
          <w:rFonts w:ascii="Book Antiqua" w:eastAsia="Book Antiqua" w:hAnsi="Book Antiqua" w:cs="Book Antiqua"/>
          <w:color w:val="000000"/>
        </w:rPr>
        <w:t>, and has no inhibitory effect on bone mineralization, which is one of its important mechanisms for promoting postoperative healing of fractures.</w:t>
      </w:r>
    </w:p>
    <w:p w:rsidR="00AA4EE3" w:rsidRDefault="00555C2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It was also found that 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in the treatment of osteoporotic intertrochanteric fractures can reduce the risk of recurrent fractures </w:t>
      </w:r>
      <w:r>
        <w:rPr>
          <w:rFonts w:ascii="Book Antiqua" w:eastAsia="Book Antiqua" w:hAnsi="Book Antiqua" w:cs="Book Antiqua"/>
          <w:color w:val="000000"/>
        </w:rPr>
        <w:lastRenderedPageBreak/>
        <w:t xml:space="preserve">within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operation, with good long-term efficacy. This is related to the fact that alendronate sodium can better correct osteoporosis in patients.</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in the treatment of osteoporotic intertrochanteric fractures can improve BMD, improve hip function, promote fracture healing, and reduce fracture recurrence.</w:t>
      </w:r>
    </w:p>
    <w:p w:rsidR="00AA4EE3" w:rsidRDefault="00AA4EE3">
      <w:pPr>
        <w:adjustRightInd w:val="0"/>
        <w:snapToGrid w:val="0"/>
        <w:spacing w:line="360" w:lineRule="auto"/>
        <w:ind w:firstLine="240"/>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It is estimated that 1.6 million patients develop wrist fractures worldwide due to osteoporosis.</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The osteoporotic intertrochanteric fracture is one of the most common complications of osteoporosis and requires surgical internal fixation.</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This study aimed to examine the effect of 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for osteoporotic femoral intertrochanteric fractures on bone and fracture recurrence</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control group was treated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fixation combined with placebo, and the observation group with alendronate sodium based on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fixation.</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The fracture healing time was significantly shorter in the observation group than in the control group.</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i/>
          <w:color w:val="000000"/>
        </w:rPr>
        <w:lastRenderedPageBreak/>
        <w:t>Research conclusions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Alendronate sodium combined with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in the treatment of osteoporotic intertrochanteric fractures can reduce fracture recurrence.</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Osteoporosis is a significant public health concern in aging societies and can cause pain and fractures</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AA4EE3" w:rsidRDefault="00555C29">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İmerci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Aydogan</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Tosun</w:t>
      </w:r>
      <w:proofErr w:type="spellEnd"/>
      <w:r>
        <w:rPr>
          <w:rFonts w:ascii="Book Antiqua" w:eastAsia="Book Antiqua" w:hAnsi="Book Antiqua" w:cs="Book Antiqua"/>
          <w:color w:val="000000"/>
        </w:rPr>
        <w:t xml:space="preserve"> 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 comparison of the </w:t>
      </w:r>
      <w:proofErr w:type="spellStart"/>
      <w:r>
        <w:rPr>
          <w:rFonts w:ascii="Book Antiqua" w:eastAsia="Book Antiqua" w:hAnsi="Book Antiqua" w:cs="Book Antiqua"/>
          <w:color w:val="000000"/>
        </w:rPr>
        <w:t>InterTan</w:t>
      </w:r>
      <w:proofErr w:type="spellEnd"/>
      <w:r>
        <w:rPr>
          <w:rFonts w:ascii="Book Antiqua" w:eastAsia="Book Antiqua" w:hAnsi="Book Antiqua" w:cs="Book Antiqua"/>
          <w:color w:val="000000"/>
        </w:rPr>
        <w:t xml:space="preserve"> nail and proximal femoral fail </w:t>
      </w:r>
      <w:proofErr w:type="spellStart"/>
      <w:r>
        <w:rPr>
          <w:rFonts w:ascii="Book Antiqua" w:eastAsia="Book Antiqua" w:hAnsi="Book Antiqua" w:cs="Book Antiqua"/>
          <w:color w:val="000000"/>
        </w:rPr>
        <w:t>antirotation</w:t>
      </w:r>
      <w:proofErr w:type="spellEnd"/>
      <w:r>
        <w:rPr>
          <w:rFonts w:ascii="Book Antiqua" w:eastAsia="Book Antiqua" w:hAnsi="Book Antiqua" w:cs="Book Antiqua"/>
          <w:color w:val="000000"/>
        </w:rPr>
        <w:t xml:space="preserve"> in the treatment of reverse intertrochanteric femoral fractures.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123-131 [PMID: 30462594]</w:t>
      </w:r>
    </w:p>
    <w:p w:rsidR="00AA4EE3" w:rsidRDefault="00555C29">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Polat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Akgül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Ekinci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Bayram</w:t>
      </w:r>
      <w:proofErr w:type="spellEnd"/>
      <w:r>
        <w:rPr>
          <w:rFonts w:ascii="Book Antiqua" w:eastAsia="Book Antiqua" w:hAnsi="Book Antiqua" w:cs="Book Antiqua"/>
          <w:color w:val="000000"/>
        </w:rPr>
        <w:t xml:space="preserve"> 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biomechanical comparison of three fixation techniques in osteoporotic reverse oblique intertrochanteric femur fracture with fragmented lateral cortex.</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Trauma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499-505 [PMID: 30600335 DOI: 10.1007/s00068-018-1061-1]</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Qin YX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 Huang YH</w:t>
      </w:r>
      <w:r w:rsidR="00C91E14">
        <w:rPr>
          <w:rFonts w:ascii="Book Antiqua" w:eastAsia="Book Antiqua" w:hAnsi="Book Antiqua" w:cs="Book Antiqua"/>
          <w:color w:val="000000"/>
        </w:rPr>
        <w:t xml:space="preserve">, Chen GX, Sheng GQ, Jiang LZ. </w:t>
      </w:r>
      <w:proofErr w:type="gramStart"/>
      <w:r>
        <w:rPr>
          <w:rFonts w:ascii="Book Antiqua" w:eastAsia="Book Antiqua" w:hAnsi="Book Antiqua" w:cs="Book Antiqua"/>
          <w:color w:val="000000"/>
        </w:rPr>
        <w:t>Design and clinical application of new type two-head automatic pre</w:t>
      </w:r>
      <w:r w:rsidR="00C91E14">
        <w:rPr>
          <w:rFonts w:ascii="Book Antiqua" w:eastAsia="Book Antiqua" w:hAnsi="Book Antiqua" w:cs="Book Antiqua"/>
          <w:color w:val="000000"/>
        </w:rPr>
        <w:t>ssure external fixation (TAPEF)</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Gu</w:t>
      </w:r>
      <w:proofErr w:type="spellEnd"/>
      <w:proofErr w:type="gramEnd"/>
      <w:r>
        <w:rPr>
          <w:rFonts w:ascii="Book Antiqua" w:eastAsia="Book Antiqua" w:hAnsi="Book Antiqua" w:cs="Book Antiqua"/>
          <w:i/>
          <w:iCs/>
          <w:color w:val="000000"/>
        </w:rPr>
        <w:t xml:space="preserve"> Shang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w:t>
      </w:r>
      <w:r>
        <w:rPr>
          <w:rFonts w:ascii="Book Antiqua" w:eastAsia="Book Antiqua" w:hAnsi="Book Antiqua" w:cs="Book Antiqua"/>
          <w:color w:val="000000"/>
        </w:rPr>
        <w:t>: 165-168 [PMID: 22577726]</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Chahal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Van Thiel GS, Mather RC 3rd, Lee S, Song SH, Davis AM, </w:t>
      </w:r>
      <w:proofErr w:type="spellStart"/>
      <w:r>
        <w:rPr>
          <w:rFonts w:ascii="Book Antiqua" w:eastAsia="Book Antiqua" w:hAnsi="Book Antiqua" w:cs="Book Antiqua"/>
          <w:color w:val="000000"/>
        </w:rPr>
        <w:t>Salata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Nho</w:t>
      </w:r>
      <w:proofErr w:type="spellEnd"/>
      <w:r>
        <w:rPr>
          <w:rFonts w:ascii="Book Antiqua" w:eastAsia="Book Antiqua" w:hAnsi="Book Antiqua" w:cs="Book Antiqua"/>
          <w:color w:val="000000"/>
        </w:rPr>
        <w:t xml:space="preserve"> SJ. The Patient Acceptable Symptomatic State for the Modified Harris Hip Score and Hip Outcome Score </w:t>
      </w:r>
      <w:proofErr w:type="gramStart"/>
      <w:r>
        <w:rPr>
          <w:rFonts w:ascii="Book Antiqua" w:eastAsia="Book Antiqua" w:hAnsi="Book Antiqua" w:cs="Book Antiqua"/>
          <w:color w:val="000000"/>
        </w:rPr>
        <w:t>Among</w:t>
      </w:r>
      <w:proofErr w:type="gramEnd"/>
      <w:r>
        <w:rPr>
          <w:rFonts w:ascii="Book Antiqua" w:eastAsia="Book Antiqua" w:hAnsi="Book Antiqua" w:cs="Book Antiqua"/>
          <w:color w:val="000000"/>
        </w:rPr>
        <w:t xml:space="preserve"> Patients Undergoing Surgical Treatment for </w:t>
      </w:r>
      <w:proofErr w:type="spellStart"/>
      <w:r>
        <w:rPr>
          <w:rFonts w:ascii="Book Antiqua" w:eastAsia="Book Antiqua" w:hAnsi="Book Antiqua" w:cs="Book Antiqua"/>
          <w:color w:val="000000"/>
        </w:rPr>
        <w:t>Femoroacetabular</w:t>
      </w:r>
      <w:proofErr w:type="spellEnd"/>
      <w:r>
        <w:rPr>
          <w:rFonts w:ascii="Book Antiqua" w:eastAsia="Book Antiqua" w:hAnsi="Book Antiqua" w:cs="Book Antiqua"/>
          <w:color w:val="000000"/>
        </w:rPr>
        <w:t xml:space="preserve"> Impingement.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1844-1849 [PMID: 26078452 DOI: 10.1177/0363546515587739]</w:t>
      </w:r>
    </w:p>
    <w:p w:rsidR="00AA4EE3" w:rsidRDefault="00555C29">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Lidder</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Epstein DJ, </w:t>
      </w:r>
      <w:proofErr w:type="spellStart"/>
      <w:r>
        <w:rPr>
          <w:rFonts w:ascii="Book Antiqua" w:eastAsia="Book Antiqua" w:hAnsi="Book Antiqua" w:cs="Book Antiqua"/>
          <w:color w:val="000000"/>
        </w:rPr>
        <w:t>Courtice</w:t>
      </w:r>
      <w:proofErr w:type="spellEnd"/>
      <w:r>
        <w:rPr>
          <w:rFonts w:ascii="Book Antiqua" w:eastAsia="Book Antiqua" w:hAnsi="Book Antiqua" w:cs="Book Antiqua"/>
          <w:color w:val="000000"/>
        </w:rPr>
        <w:t xml:space="preserve"> V, George MD.</w:t>
      </w:r>
      <w:proofErr w:type="gramEnd"/>
      <w:r>
        <w:rPr>
          <w:rFonts w:ascii="Book Antiqua" w:eastAsia="Book Antiqua" w:hAnsi="Book Antiqua" w:cs="Book Antiqua"/>
          <w:color w:val="000000"/>
        </w:rPr>
        <w:t xml:space="preserve"> Proximal Femoral Erosion: </w:t>
      </w:r>
      <w:proofErr w:type="gramStart"/>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Sequelae</w:t>
      </w:r>
      <w:proofErr w:type="spellEnd"/>
      <w:proofErr w:type="gram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Psuedoaneursym</w:t>
      </w:r>
      <w:proofErr w:type="spellEnd"/>
      <w:r>
        <w:rPr>
          <w:rFonts w:ascii="Book Antiqua" w:eastAsia="Book Antiqua" w:hAnsi="Book Antiqua" w:cs="Book Antiqua"/>
          <w:color w:val="000000"/>
        </w:rPr>
        <w:t xml:space="preserve"> Formation Following Operative Fixation of an Intertrochanteric Neck of Femur Fracture.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479-481 [PMID: 31080291 DOI: 10.4103/ortho.IJOrtho_139_18]</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6 </w:t>
      </w:r>
      <w:proofErr w:type="gramStart"/>
      <w:r>
        <w:rPr>
          <w:rFonts w:ascii="Book Antiqua" w:eastAsia="Book Antiqua" w:hAnsi="Book Antiqua" w:cs="Book Antiqua"/>
          <w:b/>
          <w:bCs/>
          <w:color w:val="000000"/>
        </w:rPr>
        <w:t>Shin</w:t>
      </w:r>
      <w:proofErr w:type="gramEnd"/>
      <w:r>
        <w:rPr>
          <w:rFonts w:ascii="Book Antiqua" w:eastAsia="Book Antiqua" w:hAnsi="Book Antiqua" w:cs="Book Antiqua"/>
          <w:b/>
          <w:bCs/>
          <w:color w:val="000000"/>
        </w:rPr>
        <w:t xml:space="preserve"> WC</w:t>
      </w:r>
      <w:r>
        <w:rPr>
          <w:rFonts w:ascii="Book Antiqua" w:eastAsia="Book Antiqua" w:hAnsi="Book Antiqua" w:cs="Book Antiqua"/>
          <w:color w:val="000000"/>
        </w:rPr>
        <w:t xml:space="preserve">, Jang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Suh</w:t>
      </w:r>
      <w:proofErr w:type="spellEnd"/>
      <w:r>
        <w:rPr>
          <w:rFonts w:ascii="Book Antiqua" w:eastAsia="Book Antiqua" w:hAnsi="Book Antiqua" w:cs="Book Antiqua"/>
          <w:color w:val="000000"/>
        </w:rPr>
        <w:t xml:space="preserve"> KT, Moon NH. Effect of a synthetic </w:t>
      </w:r>
      <w:proofErr w:type="spellStart"/>
      <w:r>
        <w:rPr>
          <w:rFonts w:ascii="Book Antiqua" w:eastAsia="Book Antiqua" w:hAnsi="Book Antiqua" w:cs="Book Antiqua"/>
          <w:color w:val="000000"/>
        </w:rPr>
        <w:t>osteoconductive</w:t>
      </w:r>
      <w:proofErr w:type="spellEnd"/>
      <w:r>
        <w:rPr>
          <w:rFonts w:ascii="Book Antiqua" w:eastAsia="Book Antiqua" w:hAnsi="Book Antiqua" w:cs="Book Antiqua"/>
          <w:color w:val="000000"/>
        </w:rPr>
        <w:t xml:space="preserve"> bone graft substitute with zeta potential control (</w:t>
      </w:r>
      <w:proofErr w:type="spellStart"/>
      <w:r>
        <w:rPr>
          <w:rFonts w:ascii="Book Antiqua" w:eastAsia="Book Antiqua" w:hAnsi="Book Antiqua" w:cs="Book Antiqua"/>
          <w:color w:val="000000"/>
        </w:rPr>
        <w:t>geneX®ds</w:t>
      </w:r>
      <w:proofErr w:type="spellEnd"/>
      <w:r>
        <w:rPr>
          <w:rFonts w:ascii="Book Antiqua" w:eastAsia="Book Antiqua" w:hAnsi="Book Antiqua" w:cs="Book Antiqua"/>
          <w:color w:val="000000"/>
        </w:rPr>
        <w:t xml:space="preserve">) in the treatment of intertrochanteric fracture: A single center experience of 115 consecutive proximal femoral nail </w:t>
      </w:r>
      <w:proofErr w:type="spellStart"/>
      <w:r>
        <w:rPr>
          <w:rFonts w:ascii="Book Antiqua" w:eastAsia="Book Antiqua" w:hAnsi="Book Antiqua" w:cs="Book Antiqua"/>
          <w:color w:val="000000"/>
        </w:rPr>
        <w:t>antirotations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842-849 [PMID: 30770214 DOI: 10.1016/j.jos.2019.01.010]</w:t>
      </w:r>
    </w:p>
    <w:p w:rsidR="00AA4EE3" w:rsidRDefault="00555C29">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Ha YC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 Park KS.</w:t>
      </w:r>
      <w:proofErr w:type="gramEnd"/>
      <w:r>
        <w:rPr>
          <w:rFonts w:ascii="Book Antiqua" w:eastAsia="Book Antiqua" w:hAnsi="Book Antiqua" w:cs="Book Antiqua"/>
          <w:color w:val="000000"/>
        </w:rPr>
        <w:t xml:space="preserve"> Effects of Hip Structure Analysis Variables on Hip Fracture: A Propensity Score Matching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31547057 DOI: 10.3390/jcm8101507]</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Soylemez</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Uygur E, </w:t>
      </w:r>
      <w:proofErr w:type="spellStart"/>
      <w:r>
        <w:rPr>
          <w:rFonts w:ascii="Book Antiqua" w:eastAsia="Book Antiqua" w:hAnsi="Book Antiqua" w:cs="Book Antiqua"/>
          <w:color w:val="000000"/>
        </w:rPr>
        <w:t>Poyanli</w:t>
      </w:r>
      <w:proofErr w:type="spellEnd"/>
      <w:r>
        <w:rPr>
          <w:rFonts w:ascii="Book Antiqua" w:eastAsia="Book Antiqua" w:hAnsi="Book Antiqua" w:cs="Book Antiqua"/>
          <w:color w:val="000000"/>
        </w:rPr>
        <w:t xml:space="preserve"> O. Effectiveness of distally slotted proximal femoral nails on prevention of femur fractures during and after intertrochanteric femur fracture surgery.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2022-2029 [PMID: 31375272 DOI: 10.1016/j.injury.2019.07.022]</w:t>
      </w:r>
    </w:p>
    <w:p w:rsidR="00AA4EE3" w:rsidRDefault="00555C29">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Hiragami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Ishii J. Embedding the lateral end of the lag screw within the lateral wall in the repair of reverse obliquity intertrochanteric femur fracture.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1103-1108 [PMID: 29082791 DOI: 10.1177/0300060517726195]</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Polat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Akgül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Ekinci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Bayram</w:t>
      </w:r>
      <w:proofErr w:type="spellEnd"/>
      <w:r>
        <w:rPr>
          <w:rFonts w:ascii="Book Antiqua" w:eastAsia="Book Antiqua" w:hAnsi="Book Antiqua" w:cs="Book Antiqua"/>
          <w:color w:val="000000"/>
        </w:rPr>
        <w:t xml:space="preserve"> S. Correction to: A biomechanical comparison of three fixation techniques in osteoporotic reverse oblique intertrochanteric femur fracture with fragmented lateral cortex.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Trauma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569 [PMID: 30830302 DOI: 10.1007/s00068-019-01108-2]</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Zhao JX</w:t>
      </w:r>
      <w:r>
        <w:rPr>
          <w:rFonts w:ascii="Book Antiqua" w:eastAsia="Book Antiqua" w:hAnsi="Book Antiqua" w:cs="Book Antiqua"/>
          <w:color w:val="000000"/>
        </w:rPr>
        <w:t>, Su XY, Zhao Z, Zhang LC, Zhang LH, Tang PF. Radiographic analysis of treatment of inter-trochanteric fractur</w:t>
      </w:r>
      <w:r w:rsidR="00C91E14">
        <w:rPr>
          <w:rFonts w:ascii="Book Antiqua" w:eastAsia="Book Antiqua" w:hAnsi="Book Antiqua" w:cs="Book Antiqua"/>
          <w:color w:val="000000"/>
        </w:rPr>
        <w:t>es using proximal femoral nails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Beijing Da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Bao</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Ban</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263-268 [PMID: 25882941]</w:t>
      </w:r>
    </w:p>
    <w:p w:rsidR="00AA4EE3" w:rsidRDefault="00555C29">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Carvalho</w:t>
      </w:r>
      <w:proofErr w:type="spellEnd"/>
      <w:r>
        <w:rPr>
          <w:rFonts w:ascii="Book Antiqua" w:eastAsia="Book Antiqua" w:hAnsi="Book Antiqua" w:cs="Book Antiqua"/>
          <w:b/>
          <w:bCs/>
          <w:color w:val="000000"/>
        </w:rPr>
        <w:t xml:space="preserve"> Dutra B</w:t>
      </w:r>
      <w:r>
        <w:rPr>
          <w:rFonts w:ascii="Book Antiqua" w:eastAsia="Book Antiqua" w:hAnsi="Book Antiqua" w:cs="Book Antiqua"/>
          <w:color w:val="000000"/>
        </w:rPr>
        <w:t xml:space="preserve">, Oliveira AMSD, Oliveira PAD, Miranda </w:t>
      </w:r>
      <w:proofErr w:type="spellStart"/>
      <w:r>
        <w:rPr>
          <w:rFonts w:ascii="Book Antiqua" w:eastAsia="Book Antiqua" w:hAnsi="Book Antiqua" w:cs="Book Antiqua"/>
          <w:color w:val="000000"/>
        </w:rPr>
        <w:t>Cota</w:t>
      </w:r>
      <w:proofErr w:type="spellEnd"/>
      <w:r>
        <w:rPr>
          <w:rFonts w:ascii="Book Antiqua" w:eastAsia="Book Antiqua" w:hAnsi="Book Antiqua" w:cs="Book Antiqua"/>
          <w:color w:val="000000"/>
        </w:rPr>
        <w:t xml:space="preserve"> LO, </w:t>
      </w:r>
      <w:proofErr w:type="spellStart"/>
      <w:r>
        <w:rPr>
          <w:rFonts w:ascii="Book Antiqua" w:eastAsia="Book Antiqua" w:hAnsi="Book Antiqua" w:cs="Book Antiqua"/>
          <w:color w:val="000000"/>
        </w:rPr>
        <w:t>Silveira</w:t>
      </w:r>
      <w:proofErr w:type="spellEnd"/>
      <w:r>
        <w:rPr>
          <w:rFonts w:ascii="Book Antiqua" w:eastAsia="Book Antiqua" w:hAnsi="Book Antiqua" w:cs="Book Antiqua"/>
          <w:color w:val="000000"/>
        </w:rPr>
        <w:t xml:space="preserve"> JO, Costa FO.</w:t>
      </w:r>
      <w:proofErr w:type="gramEnd"/>
      <w:r>
        <w:rPr>
          <w:rFonts w:ascii="Book Antiqua" w:eastAsia="Book Antiqua" w:hAnsi="Book Antiqua" w:cs="Book Antiqua"/>
          <w:color w:val="000000"/>
        </w:rPr>
        <w:t xml:space="preserve"> Effects of topical application of 1% sodium alendronate gel in the surgical treatment of periodontal </w:t>
      </w:r>
      <w:proofErr w:type="spellStart"/>
      <w:r>
        <w:rPr>
          <w:rFonts w:ascii="Book Antiqua" w:eastAsia="Book Antiqua" w:hAnsi="Book Antiqua" w:cs="Book Antiqua"/>
          <w:color w:val="000000"/>
        </w:rPr>
        <w:t>intrabony</w:t>
      </w:r>
      <w:proofErr w:type="spellEnd"/>
      <w:r>
        <w:rPr>
          <w:rFonts w:ascii="Book Antiqua" w:eastAsia="Book Antiqua" w:hAnsi="Book Antiqua" w:cs="Book Antiqua"/>
          <w:color w:val="000000"/>
        </w:rPr>
        <w:t xml:space="preserve"> defects: A 6-month randomized controlled clinical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1079-1087 [PMID: 31071760 DOI: 10.1002/JPER.19-0160]</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Maniukiewicz</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Bojarska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Sieroń</w:t>
      </w:r>
      <w:proofErr w:type="spellEnd"/>
      <w:r>
        <w:rPr>
          <w:rFonts w:ascii="Book Antiqua" w:eastAsia="Book Antiqua" w:hAnsi="Book Antiqua" w:cs="Book Antiqua"/>
          <w:color w:val="000000"/>
        </w:rPr>
        <w:t xml:space="preserve"> L. Analysis of </w:t>
      </w:r>
      <w:proofErr w:type="spellStart"/>
      <w:r>
        <w:rPr>
          <w:rFonts w:ascii="Book Antiqua" w:eastAsia="Book Antiqua" w:hAnsi="Book Antiqua" w:cs="Book Antiqua"/>
          <w:color w:val="000000"/>
        </w:rPr>
        <w:t>supramolecular</w:t>
      </w:r>
      <w:proofErr w:type="spellEnd"/>
      <w:r>
        <w:rPr>
          <w:rFonts w:ascii="Book Antiqua" w:eastAsia="Book Antiqua" w:hAnsi="Book Antiqua" w:cs="Book Antiqua"/>
          <w:color w:val="000000"/>
        </w:rPr>
        <w:t xml:space="preserve"> interactions in </w:t>
      </w:r>
      <w:proofErr w:type="spellStart"/>
      <w:r>
        <w:rPr>
          <w:rFonts w:ascii="Book Antiqua" w:eastAsia="Book Antiqua" w:hAnsi="Book Antiqua" w:cs="Book Antiqua"/>
          <w:color w:val="000000"/>
        </w:rPr>
        <w:t>alendroniate</w:t>
      </w:r>
      <w:proofErr w:type="spellEnd"/>
      <w:r>
        <w:rPr>
          <w:rFonts w:ascii="Book Antiqua" w:eastAsia="Book Antiqua" w:hAnsi="Book Antiqua" w:cs="Book Antiqua"/>
          <w:color w:val="000000"/>
        </w:rPr>
        <w:t xml:space="preserve"> alkali metal salts: synthesis, structure, and properties of novel sodium alendronate polymorph. </w:t>
      </w:r>
      <w:proofErr w:type="spellStart"/>
      <w:r>
        <w:rPr>
          <w:rFonts w:ascii="Book Antiqua" w:eastAsia="Book Antiqua" w:hAnsi="Book Antiqua" w:cs="Book Antiqua"/>
          <w:i/>
          <w:iCs/>
          <w:color w:val="000000"/>
        </w:rPr>
        <w:t>Struct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1525-1531 [DOI: 10.1007/s11224-018-1140-2]</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Villanueva-</w:t>
      </w:r>
      <w:proofErr w:type="spellStart"/>
      <w:r>
        <w:rPr>
          <w:rFonts w:ascii="Book Antiqua" w:eastAsia="Book Antiqua" w:hAnsi="Book Antiqua" w:cs="Book Antiqua"/>
          <w:b/>
          <w:bCs/>
          <w:color w:val="000000"/>
        </w:rPr>
        <w:t>Martínez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Hernández-</w:t>
      </w:r>
      <w:proofErr w:type="spellStart"/>
      <w:r>
        <w:rPr>
          <w:rFonts w:ascii="Book Antiqua" w:eastAsia="Book Antiqua" w:hAnsi="Book Antiqua" w:cs="Book Antiqua"/>
          <w:color w:val="000000"/>
        </w:rPr>
        <w:t>Rizo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Ganem-Rondero</w:t>
      </w:r>
      <w:proofErr w:type="spellEnd"/>
      <w:r>
        <w:rPr>
          <w:rFonts w:ascii="Book Antiqua" w:eastAsia="Book Antiqua" w:hAnsi="Book Antiqua" w:cs="Book Antiqua"/>
          <w:color w:val="000000"/>
        </w:rPr>
        <w:t xml:space="preserve"> A. Evaluating two </w:t>
      </w:r>
      <w:proofErr w:type="spellStart"/>
      <w:r>
        <w:rPr>
          <w:rFonts w:ascii="Book Antiqua" w:eastAsia="Book Antiqua" w:hAnsi="Book Antiqua" w:cs="Book Antiqua"/>
          <w:color w:val="000000"/>
        </w:rPr>
        <w:t>nanocarrier</w:t>
      </w:r>
      <w:proofErr w:type="spellEnd"/>
      <w:r>
        <w:rPr>
          <w:rFonts w:ascii="Book Antiqua" w:eastAsia="Book Antiqua" w:hAnsi="Book Antiqua" w:cs="Book Antiqua"/>
          <w:color w:val="000000"/>
        </w:rPr>
        <w:t xml:space="preserve"> systems for the transdermal delivery of sodium alendronate.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Pharm</w:t>
      </w:r>
      <w:r>
        <w:rPr>
          <w:rFonts w:ascii="Book Antiqua" w:eastAsia="Book Antiqua" w:hAnsi="Book Antiqua" w:cs="Book Antiqua"/>
          <w:color w:val="000000"/>
        </w:rPr>
        <w:t xml:space="preserve"> 2020; </w:t>
      </w:r>
      <w:r>
        <w:rPr>
          <w:rFonts w:ascii="Book Antiqua" w:eastAsia="Book Antiqua" w:hAnsi="Book Antiqua" w:cs="Book Antiqua"/>
          <w:b/>
          <w:bCs/>
          <w:color w:val="000000"/>
        </w:rPr>
        <w:t>582</w:t>
      </w:r>
      <w:r>
        <w:rPr>
          <w:rFonts w:ascii="Book Antiqua" w:eastAsia="Book Antiqua" w:hAnsi="Book Antiqua" w:cs="Book Antiqua"/>
          <w:color w:val="000000"/>
        </w:rPr>
        <w:t>: 119312 [PMID: 32278052 DOI: 10.1016/j.ijpharm.2020.119312]</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Suzuki T</w:t>
      </w:r>
      <w:r>
        <w:rPr>
          <w:rFonts w:ascii="Book Antiqua" w:eastAsia="Book Antiqua" w:hAnsi="Book Antiqua" w:cs="Book Antiqua"/>
          <w:color w:val="000000"/>
        </w:rPr>
        <w:t xml:space="preserve">, Harada A, Shimada H, Hosoi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Y, Inoue T, Saito H. Assessment of </w:t>
      </w:r>
      <w:proofErr w:type="spellStart"/>
      <w:r>
        <w:rPr>
          <w:rFonts w:ascii="Book Antiqua" w:eastAsia="Book Antiqua" w:hAnsi="Book Antiqua" w:cs="Book Antiqua"/>
          <w:color w:val="000000"/>
        </w:rPr>
        <w:t>eldecalcitol</w:t>
      </w:r>
      <w:proofErr w:type="spellEnd"/>
      <w:r>
        <w:rPr>
          <w:rFonts w:ascii="Book Antiqua" w:eastAsia="Book Antiqua" w:hAnsi="Book Antiqua" w:cs="Book Antiqua"/>
          <w:color w:val="000000"/>
        </w:rPr>
        <w:t xml:space="preserve"> and alendronate effect on postural balance control in aged women with osteoporosis. </w:t>
      </w:r>
      <w:r>
        <w:rPr>
          <w:rFonts w:ascii="Book Antiqua" w:eastAsia="Book Antiqua" w:hAnsi="Book Antiqua" w:cs="Book Antiqua"/>
          <w:i/>
          <w:iCs/>
          <w:color w:val="000000"/>
        </w:rPr>
        <w:t xml:space="preserve">J Bone Miner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859-867 [PMID: 32719981 DOI: 10.1007/s00774-020-01118-w]</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XY</w:t>
      </w:r>
      <w:r>
        <w:rPr>
          <w:rFonts w:ascii="Book Antiqua" w:eastAsia="Book Antiqua" w:hAnsi="Book Antiqua" w:cs="Book Antiqua"/>
          <w:color w:val="000000"/>
        </w:rPr>
        <w:t xml:space="preserve">, Chen YP, Zhang C, Zhang X, Xia T, Han J, Yang N, Song SL,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Icariin</w:t>
      </w:r>
      <w:proofErr w:type="spellEnd"/>
      <w:r>
        <w:rPr>
          <w:rFonts w:ascii="Book Antiqua" w:eastAsia="Book Antiqua" w:hAnsi="Book Antiqua" w:cs="Book Antiqua"/>
          <w:color w:val="000000"/>
        </w:rPr>
        <w:t xml:space="preserve"> Accelerates Fracture Healing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the WNT1/β-catenin </w:t>
      </w:r>
      <w:proofErr w:type="spellStart"/>
      <w:r>
        <w:rPr>
          <w:rFonts w:ascii="Book Antiqua" w:eastAsia="Book Antiqua" w:hAnsi="Book Antiqua" w:cs="Book Antiqua"/>
          <w:color w:val="000000"/>
        </w:rPr>
        <w:t>Osteogenic</w:t>
      </w:r>
      <w:proofErr w:type="spellEnd"/>
      <w:r>
        <w:rPr>
          <w:rFonts w:ascii="Book Antiqua" w:eastAsia="Book Antiqua" w:hAnsi="Book Antiqua" w:cs="Book Antiqua"/>
          <w:color w:val="000000"/>
        </w:rPr>
        <w:t xml:space="preserve"> Signaling Pathway.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1645-1653 [PMID: 32525771 DOI: 10.2174/1389201021666200611121539]</w:t>
      </w:r>
    </w:p>
    <w:p w:rsidR="00AA4EE3" w:rsidRDefault="00555C29">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17 </w:t>
      </w:r>
      <w:r>
        <w:rPr>
          <w:rFonts w:ascii="Book Antiqua" w:eastAsia="Book Antiqua" w:hAnsi="Book Antiqua" w:cs="Book Antiqua"/>
          <w:b/>
          <w:bCs/>
          <w:color w:val="000000"/>
        </w:rPr>
        <w:t>Mohamed A</w:t>
      </w:r>
      <w:r>
        <w:rPr>
          <w:rFonts w:ascii="Book Antiqua" w:eastAsia="Book Antiqua" w:hAnsi="Book Antiqua" w:cs="Book Antiqua"/>
          <w:color w:val="000000"/>
        </w:rPr>
        <w:t>. Serum β-</w:t>
      </w:r>
      <w:proofErr w:type="spellStart"/>
      <w:r>
        <w:rPr>
          <w:rFonts w:ascii="Book Antiqua" w:eastAsia="Book Antiqua" w:hAnsi="Book Antiqua" w:cs="Book Antiqua"/>
          <w:color w:val="000000"/>
        </w:rPr>
        <w:t>CrossLaps</w:t>
      </w:r>
      <w:proofErr w:type="spellEnd"/>
      <w:r>
        <w:rPr>
          <w:rFonts w:ascii="Book Antiqua" w:eastAsia="Book Antiqua" w:hAnsi="Book Antiqua" w:cs="Book Antiqua"/>
          <w:color w:val="000000"/>
        </w:rPr>
        <w:t xml:space="preserve"> as a predictor for osteoporosis in postmenopausal women with early diabetic nephropathy.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Egypt J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w:t>
      </w:r>
      <w:r>
        <w:rPr>
          <w:rFonts w:ascii="Book Antiqua" w:hAnsi="Book Antiqua"/>
        </w:rPr>
        <w:t xml:space="preserve"> </w:t>
      </w:r>
      <w:r>
        <w:rPr>
          <w:rFonts w:ascii="Book Antiqua" w:eastAsia="Book Antiqua" w:hAnsi="Book Antiqua" w:cs="Book Antiqua"/>
          <w:color w:val="000000"/>
        </w:rPr>
        <w:t>52-56 [DOI: 10.4103/ejim.ejim_53_18]</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Tianle</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Yingying</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Baojian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Juanfang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Hongzhi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Yasong</w:t>
      </w:r>
      <w:proofErr w:type="spellEnd"/>
      <w:r>
        <w:rPr>
          <w:rFonts w:ascii="Book Antiqua" w:eastAsia="Book Antiqua" w:hAnsi="Book Antiqua" w:cs="Book Antiqua"/>
          <w:color w:val="000000"/>
        </w:rPr>
        <w:t xml:space="preserve"> L. </w:t>
      </w:r>
      <w:proofErr w:type="gramStart"/>
      <w:r>
        <w:rPr>
          <w:rFonts w:ascii="Book Antiqua" w:eastAsia="Book Antiqua" w:hAnsi="Book Antiqua" w:cs="Book Antiqua"/>
          <w:color w:val="000000"/>
        </w:rPr>
        <w:t xml:space="preserve">The changes in bone turnover markers of female systemic lupus </w:t>
      </w:r>
      <w:proofErr w:type="spellStart"/>
      <w:r>
        <w:rPr>
          <w:rFonts w:ascii="Book Antiqua" w:eastAsia="Book Antiqua" w:hAnsi="Book Antiqua" w:cs="Book Antiqua"/>
          <w:color w:val="000000"/>
        </w:rPr>
        <w:t>erythematousus</w:t>
      </w:r>
      <w:proofErr w:type="spellEnd"/>
      <w:r>
        <w:rPr>
          <w:rFonts w:ascii="Book Antiqua" w:eastAsia="Book Antiqua" w:hAnsi="Book Antiqua" w:cs="Book Antiqua"/>
          <w:color w:val="000000"/>
        </w:rPr>
        <w:t xml:space="preserve"> patients without glucocorticoid.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Lupus</w:t>
      </w:r>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965-971 [PMID: 33715496 DOI: 10.1177/09612033211000126]</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Szulc</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Naylor K, Pickering ME</w:t>
      </w:r>
      <w:r w:rsidR="00C91E14">
        <w:rPr>
          <w:rFonts w:ascii="Book Antiqua" w:eastAsia="Book Antiqua" w:hAnsi="Book Antiqua" w:cs="Book Antiqua"/>
          <w:color w:val="000000"/>
        </w:rPr>
        <w:t xml:space="preserve">, Hoyle N, </w:t>
      </w:r>
      <w:proofErr w:type="spellStart"/>
      <w:r w:rsidR="00C91E14">
        <w:rPr>
          <w:rFonts w:ascii="Book Antiqua" w:eastAsia="Book Antiqua" w:hAnsi="Book Antiqua" w:cs="Book Antiqua"/>
          <w:color w:val="000000"/>
        </w:rPr>
        <w:t>Eastell</w:t>
      </w:r>
      <w:proofErr w:type="spellEnd"/>
      <w:r w:rsidR="00C91E14">
        <w:rPr>
          <w:rFonts w:ascii="Book Antiqua" w:eastAsia="Book Antiqua" w:hAnsi="Book Antiqua" w:cs="Book Antiqua"/>
          <w:color w:val="000000"/>
        </w:rPr>
        <w:t xml:space="preserve"> R, Leary E. </w:t>
      </w:r>
      <w:r>
        <w:rPr>
          <w:rFonts w:ascii="Book Antiqua" w:eastAsia="Book Antiqua" w:hAnsi="Book Antiqua" w:cs="Book Antiqua"/>
          <w:color w:val="000000"/>
        </w:rPr>
        <w:t>Use of CTX-I and PINP as bone turnover markers: National Bone Health Alliance recommendations to standardize sample handling and patient preparation to reduce pre-analyti</w:t>
      </w:r>
      <w:r w:rsidR="00C91E14">
        <w:rPr>
          <w:rFonts w:ascii="Book Antiqua" w:eastAsia="Book Antiqua" w:hAnsi="Book Antiqua" w:cs="Book Antiqua"/>
          <w:color w:val="000000"/>
        </w:rPr>
        <w:t>cal variability</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(Paris)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76</w:t>
      </w:r>
      <w:r>
        <w:rPr>
          <w:rFonts w:ascii="Book Antiqua" w:eastAsia="Book Antiqua" w:hAnsi="Book Antiqua" w:cs="Book Antiqua"/>
          <w:color w:val="000000"/>
        </w:rPr>
        <w:t>: 373-391 [PMID: 30078776 DOI: 10.1684/abc.2018.1363]</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Miller PD</w:t>
      </w:r>
      <w:r>
        <w:rPr>
          <w:rFonts w:ascii="Book Antiqua" w:eastAsia="Book Antiqua" w:hAnsi="Book Antiqua" w:cs="Book Antiqua"/>
          <w:color w:val="000000"/>
        </w:rPr>
        <w:t xml:space="preserve">, Troy S, Weiss RJ, Annett M, </w:t>
      </w:r>
      <w:proofErr w:type="spellStart"/>
      <w:r>
        <w:rPr>
          <w:rFonts w:ascii="Book Antiqua" w:eastAsia="Book Antiqua" w:hAnsi="Book Antiqua" w:cs="Book Antiqua"/>
          <w:color w:val="000000"/>
        </w:rPr>
        <w:t>Schense</w:t>
      </w:r>
      <w:proofErr w:type="spellEnd"/>
      <w:r>
        <w:rPr>
          <w:rFonts w:ascii="Book Antiqua" w:eastAsia="Book Antiqua" w:hAnsi="Book Antiqua" w:cs="Book Antiqua"/>
          <w:color w:val="000000"/>
        </w:rPr>
        <w:t xml:space="preserve"> J, Williams SA, </w:t>
      </w:r>
      <w:proofErr w:type="spellStart"/>
      <w:r>
        <w:rPr>
          <w:rFonts w:ascii="Book Antiqua" w:eastAsia="Book Antiqua" w:hAnsi="Book Antiqua" w:cs="Book Antiqua"/>
          <w:color w:val="000000"/>
        </w:rPr>
        <w:t>Mitlak</w:t>
      </w:r>
      <w:proofErr w:type="spellEnd"/>
      <w:r>
        <w:rPr>
          <w:rFonts w:ascii="Book Antiqua" w:eastAsia="Book Antiqua" w:hAnsi="Book Antiqua" w:cs="Book Antiqua"/>
          <w:color w:val="000000"/>
        </w:rPr>
        <w:t xml:space="preserve"> B. Phase 1b Evaluation of </w:t>
      </w:r>
      <w:proofErr w:type="spellStart"/>
      <w:r>
        <w:rPr>
          <w:rFonts w:ascii="Book Antiqua" w:eastAsia="Book Antiqua" w:hAnsi="Book Antiqua" w:cs="Book Antiqua"/>
          <w:color w:val="000000"/>
        </w:rPr>
        <w:t>Abaloparatide</w:t>
      </w:r>
      <w:proofErr w:type="spellEnd"/>
      <w:r>
        <w:rPr>
          <w:rFonts w:ascii="Book Antiqua" w:eastAsia="Book Antiqua" w:hAnsi="Book Antiqua" w:cs="Book Antiqua"/>
          <w:color w:val="000000"/>
        </w:rPr>
        <w:t xml:space="preserve"> Solid </w:t>
      </w:r>
      <w:proofErr w:type="spellStart"/>
      <w:r>
        <w:rPr>
          <w:rFonts w:ascii="Book Antiqua" w:eastAsia="Book Antiqua" w:hAnsi="Book Antiqua" w:cs="Book Antiqua"/>
          <w:color w:val="000000"/>
        </w:rPr>
        <w:t>Microstructured</w:t>
      </w:r>
      <w:proofErr w:type="spellEnd"/>
      <w:r>
        <w:rPr>
          <w:rFonts w:ascii="Book Antiqua" w:eastAsia="Book Antiqua" w:hAnsi="Book Antiqua" w:cs="Book Antiqua"/>
          <w:color w:val="000000"/>
        </w:rPr>
        <w:t xml:space="preserve"> Transdermal System (</w:t>
      </w:r>
      <w:proofErr w:type="spellStart"/>
      <w:r>
        <w:rPr>
          <w:rFonts w:ascii="Book Antiqua" w:eastAsia="Book Antiqua" w:hAnsi="Book Antiqua" w:cs="Book Antiqua"/>
          <w:color w:val="000000"/>
        </w:rPr>
        <w:t>Abaloparatide-sMTS</w:t>
      </w:r>
      <w:proofErr w:type="spellEnd"/>
      <w:r>
        <w:rPr>
          <w:rFonts w:ascii="Book Antiqua" w:eastAsia="Book Antiqua" w:hAnsi="Book Antiqua" w:cs="Book Antiqua"/>
          <w:color w:val="000000"/>
        </w:rPr>
        <w:t xml:space="preserve">) in Postmenopausal Women with Low Bone Mineral Density.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277-285 [PMID: 33638863 DOI: 10.1007/s40261-021-01008-7]</w:t>
      </w:r>
    </w:p>
    <w:p w:rsidR="00C91E14" w:rsidRDefault="00C91E14">
      <w:pPr>
        <w:rPr>
          <w:rFonts w:ascii="Book Antiqua" w:hAnsi="Book Antiqua"/>
        </w:rPr>
      </w:pPr>
      <w:r>
        <w:rPr>
          <w:rFonts w:ascii="Book Antiqua" w:hAnsi="Book Antiqua"/>
        </w:rPr>
        <w:br w:type="page"/>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First Hospital of </w:t>
      </w:r>
      <w:proofErr w:type="spellStart"/>
      <w:r>
        <w:rPr>
          <w:rFonts w:ascii="Book Antiqua" w:eastAsia="Book Antiqua" w:hAnsi="Book Antiqua" w:cs="Book Antiqua"/>
          <w:color w:val="000000"/>
        </w:rPr>
        <w:t>Xingtai</w:t>
      </w:r>
      <w:proofErr w:type="spellEnd"/>
      <w:r>
        <w:rPr>
          <w:rFonts w:ascii="Book Antiqua" w:eastAsia="Book Antiqua" w:hAnsi="Book Antiqua" w:cs="Book Antiqua"/>
          <w:color w:val="000000"/>
        </w:rPr>
        <w:t xml:space="preserve"> Institutional Review Board.</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hAnsi="Book Antiqua"/>
          <w:b/>
          <w:bCs/>
        </w:rPr>
        <w:t>Informed consent statement:</w:t>
      </w:r>
      <w:r>
        <w:rPr>
          <w:rFonts w:ascii="Book Antiqua" w:hAnsi="Book Antiqua"/>
        </w:rPr>
        <w:t xml:space="preserve"> All study participants, or their legal guardian, provided informed written consent prior to study enrollment.</w:t>
      </w:r>
    </w:p>
    <w:p w:rsidR="00AA4EE3" w:rsidRDefault="00AA4EE3">
      <w:pPr>
        <w:adjustRightInd w:val="0"/>
        <w:snapToGrid w:val="0"/>
        <w:spacing w:line="360" w:lineRule="auto"/>
        <w:jc w:val="both"/>
        <w:rPr>
          <w:rFonts w:ascii="Book Antiqua" w:eastAsia="Book Antiqua" w:hAnsi="Book Antiqua" w:cs="Book Antiqua"/>
          <w:b/>
          <w:bCs/>
          <w:color w:val="000000"/>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 of interest.</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15, 2022</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2022</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June 27, 2022</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AA4EE3" w:rsidRDefault="00555C29">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AA4EE3" w:rsidRDefault="00AA4EE3">
      <w:pPr>
        <w:adjustRightInd w:val="0"/>
        <w:snapToGrid w:val="0"/>
        <w:spacing w:line="360" w:lineRule="auto"/>
        <w:jc w:val="both"/>
        <w:rPr>
          <w:rFonts w:ascii="Book Antiqua" w:hAnsi="Book Antiqua"/>
        </w:rPr>
      </w:pPr>
    </w:p>
    <w:p w:rsidR="00AA4EE3" w:rsidRDefault="00555C29">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Akiyama Y, Japan; </w:t>
      </w:r>
      <w:proofErr w:type="spellStart"/>
      <w:r>
        <w:rPr>
          <w:rFonts w:ascii="Book Antiqua" w:eastAsia="Book Antiqua" w:hAnsi="Book Antiqua" w:cs="Book Antiqua"/>
          <w:color w:val="000000"/>
        </w:rPr>
        <w:t>Princelle</w:t>
      </w:r>
      <w:proofErr w:type="spellEnd"/>
      <w:r>
        <w:rPr>
          <w:rFonts w:ascii="Book Antiqua" w:eastAsia="Book Antiqua" w:hAnsi="Book Antiqua" w:cs="Book Antiqua"/>
          <w:color w:val="000000"/>
        </w:rPr>
        <w:t xml:space="preserve"> D, France</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sidRPr="00C91E14">
        <w:rPr>
          <w:rFonts w:ascii="Book Antiqua" w:eastAsia="Book Antiqua" w:hAnsi="Book Antiqua" w:cs="Book Antiqua"/>
          <w:b/>
          <w:color w:val="000000"/>
        </w:rPr>
        <w:t xml:space="preserve">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hint="eastAsia"/>
          <w:bCs/>
          <w:color w:val="000000"/>
        </w:rPr>
        <w:t>Wang JL</w:t>
      </w:r>
    </w:p>
    <w:p w:rsidR="00C91E14" w:rsidRDefault="00C91E14">
      <w:pPr>
        <w:rPr>
          <w:rFonts w:ascii="Book Antiqua" w:eastAsia="Book Antiqua" w:hAnsi="Book Antiqua" w:cs="Book Antiqua"/>
          <w:bCs/>
          <w:color w:val="000000"/>
        </w:rPr>
      </w:pPr>
      <w:r>
        <w:rPr>
          <w:rFonts w:ascii="Book Antiqua" w:eastAsia="Book Antiqua" w:hAnsi="Book Antiqua" w:cs="Book Antiqua"/>
          <w:bCs/>
          <w:color w:val="000000"/>
        </w:rPr>
        <w:br w:type="page"/>
      </w:r>
    </w:p>
    <w:p w:rsidR="00AA4EE3" w:rsidRDefault="00555C29">
      <w:pPr>
        <w:adjustRightInd w:val="0"/>
        <w:snapToGrid w:val="0"/>
        <w:spacing w:line="360" w:lineRule="auto"/>
        <w:jc w:val="both"/>
        <w:rPr>
          <w:rFonts w:ascii="Book Antiqua" w:hAnsi="Book Antiqua" w:cs="Book Antiqua"/>
          <w:b/>
          <w:bCs/>
          <w:lang w:bidi="ar"/>
        </w:rPr>
      </w:pPr>
      <w:r>
        <w:rPr>
          <w:rFonts w:ascii="Book Antiqua" w:hAnsi="Book Antiqua" w:cs="Book Antiqua"/>
          <w:b/>
          <w:bCs/>
          <w:lang w:bidi="ar"/>
        </w:rPr>
        <w:lastRenderedPageBreak/>
        <w:t>Table 1 Comparison of general information between the two groups,</w:t>
      </w:r>
      <w:r>
        <w:rPr>
          <w:rFonts w:ascii="Book Antiqua" w:hAnsi="Book Antiqua" w:cs="Book Antiqua"/>
          <w:b/>
          <w:bCs/>
          <w:i/>
          <w:iCs/>
          <w:lang w:bidi="ar"/>
        </w:rPr>
        <w:t xml:space="preserve"> n </w:t>
      </w:r>
      <w:r>
        <w:rPr>
          <w:rFonts w:ascii="Book Antiqua" w:hAnsi="Book Antiqua" w:cs="Book Antiqua"/>
          <w:b/>
          <w:bCs/>
          <w:lang w:bidi="ar"/>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565"/>
        <w:gridCol w:w="2280"/>
        <w:gridCol w:w="2207"/>
        <w:gridCol w:w="1196"/>
        <w:gridCol w:w="1142"/>
      </w:tblGrid>
      <w:tr w:rsidR="00AA4EE3" w:rsidTr="00C91E14">
        <w:trPr>
          <w:trHeight w:val="535"/>
          <w:jc w:val="center"/>
        </w:trPr>
        <w:tc>
          <w:tcPr>
            <w:tcW w:w="1366"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Material</w:t>
            </w:r>
          </w:p>
        </w:tc>
        <w:tc>
          <w:tcPr>
            <w:tcW w:w="1214"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Control group (</w:t>
            </w:r>
            <w:r>
              <w:rPr>
                <w:rFonts w:ascii="Book Antiqua" w:hAnsi="Book Antiqua" w:cs="Book Antiqua"/>
                <w:b/>
                <w:bCs/>
                <w:i/>
                <w:iCs/>
              </w:rPr>
              <w:t>n</w:t>
            </w:r>
            <w:r>
              <w:rPr>
                <w:rFonts w:ascii="Book Antiqua" w:hAnsi="Book Antiqua" w:cs="Book Antiqua"/>
                <w:b/>
                <w:bCs/>
              </w:rPr>
              <w:t xml:space="preserve"> = 63)</w:t>
            </w:r>
          </w:p>
        </w:tc>
        <w:tc>
          <w:tcPr>
            <w:tcW w:w="1175"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Observation group (</w:t>
            </w:r>
            <w:r>
              <w:rPr>
                <w:rFonts w:ascii="Book Antiqua" w:hAnsi="Book Antiqua" w:cs="Book Antiqua"/>
                <w:b/>
                <w:bCs/>
                <w:i/>
                <w:iCs/>
              </w:rPr>
              <w:t>n</w:t>
            </w:r>
            <w:r>
              <w:rPr>
                <w:rFonts w:ascii="Book Antiqua" w:hAnsi="Book Antiqua" w:cs="Book Antiqua"/>
                <w:b/>
                <w:bCs/>
              </w:rPr>
              <w:t xml:space="preserve"> = 63)</w:t>
            </w:r>
          </w:p>
        </w:tc>
        <w:tc>
          <w:tcPr>
            <w:tcW w:w="637"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χ</w:t>
            </w:r>
            <w:r>
              <w:rPr>
                <w:rFonts w:ascii="Book Antiqua" w:hAnsi="Book Antiqua" w:cs="Book Antiqua"/>
                <w:b/>
                <w:bCs/>
                <w:vertAlign w:val="superscript"/>
              </w:rPr>
              <w:t>2</w:t>
            </w:r>
          </w:p>
        </w:tc>
        <w:tc>
          <w:tcPr>
            <w:tcW w:w="608"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i/>
                <w:iCs/>
              </w:rPr>
              <w:t xml:space="preserve">P </w:t>
            </w:r>
            <w:r>
              <w:rPr>
                <w:rFonts w:ascii="Book Antiqua" w:hAnsi="Book Antiqua" w:cs="Book Antiqua"/>
                <w:b/>
                <w:bCs/>
              </w:rPr>
              <w:t>value</w:t>
            </w:r>
          </w:p>
        </w:tc>
      </w:tr>
      <w:tr w:rsidR="00AA4EE3">
        <w:trPr>
          <w:trHeight w:val="285"/>
          <w:jc w:val="center"/>
        </w:trPr>
        <w:tc>
          <w:tcPr>
            <w:tcW w:w="1366"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 xml:space="preserve">Gender </w:t>
            </w:r>
          </w:p>
        </w:tc>
        <w:tc>
          <w:tcPr>
            <w:tcW w:w="1214" w:type="pct"/>
            <w:tcBorders>
              <w:top w:val="single" w:sz="4" w:space="0" w:color="000000"/>
            </w:tcBorders>
            <w:vAlign w:val="center"/>
          </w:tcPr>
          <w:p w:rsidR="00AA4EE3" w:rsidRDefault="00AA4EE3">
            <w:pPr>
              <w:adjustRightInd w:val="0"/>
              <w:snapToGrid w:val="0"/>
              <w:spacing w:line="360" w:lineRule="auto"/>
              <w:jc w:val="both"/>
              <w:rPr>
                <w:rFonts w:ascii="Book Antiqua" w:hAnsi="Book Antiqua" w:cs="Book Antiqua"/>
              </w:rPr>
            </w:pPr>
          </w:p>
        </w:tc>
        <w:tc>
          <w:tcPr>
            <w:tcW w:w="1175" w:type="pct"/>
            <w:tcBorders>
              <w:top w:val="single" w:sz="4" w:space="0" w:color="000000"/>
            </w:tcBorders>
            <w:vAlign w:val="center"/>
          </w:tcPr>
          <w:p w:rsidR="00AA4EE3" w:rsidRDefault="00AA4EE3">
            <w:pPr>
              <w:adjustRightInd w:val="0"/>
              <w:snapToGrid w:val="0"/>
              <w:spacing w:line="360" w:lineRule="auto"/>
              <w:jc w:val="both"/>
              <w:rPr>
                <w:rFonts w:ascii="Book Antiqua" w:hAnsi="Book Antiqua" w:cs="Book Antiqua"/>
              </w:rPr>
            </w:pPr>
          </w:p>
        </w:tc>
        <w:tc>
          <w:tcPr>
            <w:tcW w:w="637"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0.519</w:t>
            </w:r>
          </w:p>
        </w:tc>
        <w:tc>
          <w:tcPr>
            <w:tcW w:w="608"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0.471</w:t>
            </w:r>
          </w:p>
        </w:tc>
      </w:tr>
      <w:tr w:rsidR="00AA4EE3">
        <w:trPr>
          <w:trHeight w:val="28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38 (60.32)</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34 (53.97)</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28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Female</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25 (39.68)</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29 (46.03)</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Age (</w:t>
            </w:r>
            <w:proofErr w:type="spellStart"/>
            <w:r>
              <w:rPr>
                <w:rFonts w:ascii="Book Antiqua" w:hAnsi="Book Antiqua" w:cs="Book Antiqua"/>
              </w:rPr>
              <w:t>yr</w:t>
            </w:r>
            <w:proofErr w:type="spellEnd"/>
            <w:r>
              <w:rPr>
                <w:rFonts w:ascii="Book Antiqua" w:hAnsi="Book Antiqua" w:cs="Book Antiqua"/>
              </w:rPr>
              <w:t>)</w:t>
            </w:r>
          </w:p>
        </w:tc>
        <w:tc>
          <w:tcPr>
            <w:tcW w:w="1214" w:type="pct"/>
            <w:vAlign w:val="center"/>
          </w:tcPr>
          <w:p w:rsidR="00AA4EE3" w:rsidRDefault="00AA4EE3">
            <w:pPr>
              <w:adjustRightInd w:val="0"/>
              <w:snapToGrid w:val="0"/>
              <w:spacing w:line="360" w:lineRule="auto"/>
              <w:jc w:val="both"/>
              <w:rPr>
                <w:rFonts w:ascii="Book Antiqua" w:hAnsi="Book Antiqua" w:cs="Book Antiqua"/>
              </w:rPr>
            </w:pPr>
          </w:p>
        </w:tc>
        <w:tc>
          <w:tcPr>
            <w:tcW w:w="1175" w:type="pct"/>
            <w:vAlign w:val="center"/>
          </w:tcPr>
          <w:p w:rsidR="00AA4EE3" w:rsidRDefault="00AA4EE3">
            <w:pPr>
              <w:adjustRightInd w:val="0"/>
              <w:snapToGrid w:val="0"/>
              <w:spacing w:line="360" w:lineRule="auto"/>
              <w:jc w:val="both"/>
              <w:rPr>
                <w:rFonts w:ascii="Book Antiqua" w:hAnsi="Book Antiqua" w:cs="Book Antiqua"/>
              </w:rPr>
            </w:pPr>
          </w:p>
        </w:tc>
        <w:tc>
          <w:tcPr>
            <w:tcW w:w="63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0.037</w:t>
            </w:r>
          </w:p>
        </w:tc>
        <w:tc>
          <w:tcPr>
            <w:tcW w:w="6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0.847</w:t>
            </w: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lang w:eastAsia="zh-CN"/>
              </w:rPr>
            </w:pPr>
            <w:r>
              <w:rPr>
                <w:rFonts w:ascii="Book Antiqua" w:hAnsi="Book Antiqua" w:cs="Book Antiqua" w:hint="eastAsia"/>
                <w:lang w:eastAsia="zh-CN"/>
              </w:rPr>
              <w:t>&lt;</w:t>
            </w:r>
            <w:r>
              <w:rPr>
                <w:rFonts w:ascii="Book Antiqua" w:hAnsi="Book Antiqua" w:cs="Book Antiqua"/>
                <w:lang w:eastAsia="zh-CN"/>
              </w:rPr>
              <w:t xml:space="preserve"> </w:t>
            </w:r>
            <w:r>
              <w:rPr>
                <w:rFonts w:ascii="Book Antiqua" w:hAnsi="Book Antiqua" w:cs="Book Antiqua"/>
              </w:rPr>
              <w:t>60</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19 (30.16)</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20 (31.75)</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lang w:eastAsia="zh-CN"/>
              </w:rPr>
            </w:pPr>
            <w:r>
              <w:rPr>
                <w:rFonts w:ascii="Book Antiqua" w:hAnsi="Book Antiqua" w:cs="Book Antiqua"/>
              </w:rPr>
              <w:t>≥ 60</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44 (69.84)</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43 (68.25)</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Affected side</w:t>
            </w:r>
          </w:p>
        </w:tc>
        <w:tc>
          <w:tcPr>
            <w:tcW w:w="1214" w:type="pct"/>
            <w:vAlign w:val="center"/>
          </w:tcPr>
          <w:p w:rsidR="00AA4EE3" w:rsidRDefault="00AA4EE3">
            <w:pPr>
              <w:adjustRightInd w:val="0"/>
              <w:snapToGrid w:val="0"/>
              <w:spacing w:line="360" w:lineRule="auto"/>
              <w:jc w:val="both"/>
              <w:rPr>
                <w:rFonts w:ascii="Book Antiqua" w:hAnsi="Book Antiqua" w:cs="Book Antiqua"/>
              </w:rPr>
            </w:pPr>
          </w:p>
        </w:tc>
        <w:tc>
          <w:tcPr>
            <w:tcW w:w="1175" w:type="pct"/>
            <w:vAlign w:val="center"/>
          </w:tcPr>
          <w:p w:rsidR="00AA4EE3" w:rsidRDefault="00AA4EE3">
            <w:pPr>
              <w:adjustRightInd w:val="0"/>
              <w:snapToGrid w:val="0"/>
              <w:spacing w:line="360" w:lineRule="auto"/>
              <w:jc w:val="both"/>
              <w:rPr>
                <w:rFonts w:ascii="Book Antiqua" w:hAnsi="Book Antiqua" w:cs="Book Antiqua"/>
              </w:rPr>
            </w:pPr>
          </w:p>
        </w:tc>
        <w:tc>
          <w:tcPr>
            <w:tcW w:w="63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0.286</w:t>
            </w:r>
          </w:p>
        </w:tc>
        <w:tc>
          <w:tcPr>
            <w:tcW w:w="6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0.593</w:t>
            </w: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Left</w:t>
            </w:r>
          </w:p>
        </w:tc>
        <w:tc>
          <w:tcPr>
            <w:tcW w:w="1214" w:type="pct"/>
            <w:vAlign w:val="center"/>
          </w:tcPr>
          <w:p w:rsidR="00AA4EE3" w:rsidRDefault="00555C29">
            <w:pPr>
              <w:adjustRightInd w:val="0"/>
              <w:snapToGrid w:val="0"/>
              <w:spacing w:line="360" w:lineRule="auto"/>
              <w:jc w:val="both"/>
              <w:rPr>
                <w:rFonts w:ascii="Book Antiqua" w:hAnsi="Book Antiqua" w:cs="Book Antiqua"/>
                <w:lang w:bidi="ar"/>
              </w:rPr>
            </w:pPr>
            <w:r>
              <w:rPr>
                <w:rFonts w:ascii="Book Antiqua" w:hAnsi="Book Antiqua" w:cs="Book Antiqua"/>
              </w:rPr>
              <w:t>34 (53.97)</w:t>
            </w:r>
          </w:p>
        </w:tc>
        <w:tc>
          <w:tcPr>
            <w:tcW w:w="1175" w:type="pct"/>
            <w:vAlign w:val="center"/>
          </w:tcPr>
          <w:p w:rsidR="00AA4EE3" w:rsidRDefault="00555C29">
            <w:pPr>
              <w:adjustRightInd w:val="0"/>
              <w:snapToGrid w:val="0"/>
              <w:spacing w:line="360" w:lineRule="auto"/>
              <w:jc w:val="both"/>
              <w:rPr>
                <w:rFonts w:ascii="Book Antiqua" w:hAnsi="Book Antiqua" w:cs="Book Antiqua"/>
                <w:lang w:bidi="ar"/>
              </w:rPr>
            </w:pPr>
            <w:r>
              <w:rPr>
                <w:rFonts w:ascii="Book Antiqua" w:hAnsi="Book Antiqua" w:cs="Book Antiqua"/>
              </w:rPr>
              <w:t>31 (49.21)</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Right</w:t>
            </w:r>
          </w:p>
        </w:tc>
        <w:tc>
          <w:tcPr>
            <w:tcW w:w="1214" w:type="pct"/>
            <w:vAlign w:val="center"/>
          </w:tcPr>
          <w:p w:rsidR="00AA4EE3" w:rsidRDefault="00555C29">
            <w:pPr>
              <w:adjustRightInd w:val="0"/>
              <w:snapToGrid w:val="0"/>
              <w:spacing w:line="360" w:lineRule="auto"/>
              <w:jc w:val="both"/>
              <w:rPr>
                <w:rFonts w:ascii="Book Antiqua" w:hAnsi="Book Antiqua" w:cs="Book Antiqua"/>
                <w:lang w:bidi="ar"/>
              </w:rPr>
            </w:pPr>
            <w:r>
              <w:rPr>
                <w:rFonts w:ascii="Book Antiqua" w:hAnsi="Book Antiqua" w:cs="Book Antiqua"/>
              </w:rPr>
              <w:t>29 (46.03)</w:t>
            </w:r>
          </w:p>
        </w:tc>
        <w:tc>
          <w:tcPr>
            <w:tcW w:w="1175" w:type="pct"/>
            <w:vAlign w:val="center"/>
          </w:tcPr>
          <w:p w:rsidR="00AA4EE3" w:rsidRDefault="00555C29">
            <w:pPr>
              <w:adjustRightInd w:val="0"/>
              <w:snapToGrid w:val="0"/>
              <w:spacing w:line="360" w:lineRule="auto"/>
              <w:jc w:val="both"/>
              <w:rPr>
                <w:rFonts w:ascii="Book Antiqua" w:hAnsi="Book Antiqua" w:cs="Book Antiqua"/>
                <w:lang w:bidi="ar"/>
              </w:rPr>
            </w:pPr>
            <w:r>
              <w:rPr>
                <w:rFonts w:ascii="Book Antiqua" w:hAnsi="Book Antiqua" w:cs="Book Antiqua"/>
              </w:rPr>
              <w:t>32 (50.79)</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lang w:eastAsia="zh-CN"/>
              </w:rPr>
            </w:pPr>
            <w:r>
              <w:rPr>
                <w:rFonts w:ascii="Book Antiqua" w:hAnsi="Book Antiqua" w:cs="Book Antiqua"/>
              </w:rPr>
              <w:t>AO typing</w:t>
            </w:r>
          </w:p>
        </w:tc>
        <w:tc>
          <w:tcPr>
            <w:tcW w:w="1214" w:type="pct"/>
            <w:vAlign w:val="center"/>
          </w:tcPr>
          <w:p w:rsidR="00AA4EE3" w:rsidRDefault="00AA4EE3">
            <w:pPr>
              <w:adjustRightInd w:val="0"/>
              <w:snapToGrid w:val="0"/>
              <w:spacing w:line="360" w:lineRule="auto"/>
              <w:jc w:val="both"/>
              <w:rPr>
                <w:rFonts w:ascii="Book Antiqua" w:hAnsi="Book Antiqua" w:cs="Book Antiqua"/>
              </w:rPr>
            </w:pPr>
          </w:p>
        </w:tc>
        <w:tc>
          <w:tcPr>
            <w:tcW w:w="1175" w:type="pct"/>
            <w:vAlign w:val="center"/>
          </w:tcPr>
          <w:p w:rsidR="00AA4EE3" w:rsidRDefault="00AA4EE3">
            <w:pPr>
              <w:adjustRightInd w:val="0"/>
              <w:snapToGrid w:val="0"/>
              <w:spacing w:line="360" w:lineRule="auto"/>
              <w:jc w:val="both"/>
              <w:rPr>
                <w:rFonts w:ascii="Book Antiqua" w:hAnsi="Book Antiqua" w:cs="Book Antiqua"/>
              </w:rPr>
            </w:pPr>
          </w:p>
        </w:tc>
        <w:tc>
          <w:tcPr>
            <w:tcW w:w="63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0.140</w:t>
            </w:r>
          </w:p>
        </w:tc>
        <w:tc>
          <w:tcPr>
            <w:tcW w:w="6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0.710</w:t>
            </w: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A2 type</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42 (66.67)</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40 (63.49)</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A3 type</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21 (33.33)</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23 (36.51)</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Cause of injury</w:t>
            </w:r>
          </w:p>
        </w:tc>
        <w:tc>
          <w:tcPr>
            <w:tcW w:w="1214" w:type="pct"/>
            <w:vAlign w:val="center"/>
          </w:tcPr>
          <w:p w:rsidR="00AA4EE3" w:rsidRDefault="00AA4EE3">
            <w:pPr>
              <w:adjustRightInd w:val="0"/>
              <w:snapToGrid w:val="0"/>
              <w:spacing w:line="360" w:lineRule="auto"/>
              <w:jc w:val="both"/>
              <w:rPr>
                <w:rFonts w:ascii="Book Antiqua" w:hAnsi="Book Antiqua" w:cs="Book Antiqua"/>
              </w:rPr>
            </w:pPr>
          </w:p>
        </w:tc>
        <w:tc>
          <w:tcPr>
            <w:tcW w:w="1175" w:type="pct"/>
            <w:vAlign w:val="center"/>
          </w:tcPr>
          <w:p w:rsidR="00AA4EE3" w:rsidRDefault="00AA4EE3">
            <w:pPr>
              <w:adjustRightInd w:val="0"/>
              <w:snapToGrid w:val="0"/>
              <w:spacing w:line="360" w:lineRule="auto"/>
              <w:jc w:val="both"/>
              <w:rPr>
                <w:rFonts w:ascii="Book Antiqua" w:hAnsi="Book Antiqua" w:cs="Book Antiqua"/>
              </w:rPr>
            </w:pPr>
          </w:p>
        </w:tc>
        <w:tc>
          <w:tcPr>
            <w:tcW w:w="63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1.685</w:t>
            </w:r>
          </w:p>
        </w:tc>
        <w:tc>
          <w:tcPr>
            <w:tcW w:w="6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0.640</w:t>
            </w: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Fall</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21 (33.33)</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26 (41.27)</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Traffic accident</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23 (36.51)</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18 (28.57)</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Fall from height</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15 (23.81)</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13 (20.63)</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Other</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4 (6.35)</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6 (9.52)</w:t>
            </w: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Combined diseases</w:t>
            </w:r>
          </w:p>
        </w:tc>
        <w:tc>
          <w:tcPr>
            <w:tcW w:w="1214" w:type="pct"/>
            <w:vAlign w:val="center"/>
          </w:tcPr>
          <w:p w:rsidR="00AA4EE3" w:rsidRDefault="00AA4EE3">
            <w:pPr>
              <w:adjustRightInd w:val="0"/>
              <w:snapToGrid w:val="0"/>
              <w:spacing w:line="360" w:lineRule="auto"/>
              <w:jc w:val="both"/>
              <w:rPr>
                <w:rFonts w:ascii="Book Antiqua" w:hAnsi="Book Antiqua" w:cs="Book Antiqua"/>
              </w:rPr>
            </w:pPr>
          </w:p>
        </w:tc>
        <w:tc>
          <w:tcPr>
            <w:tcW w:w="1175" w:type="pct"/>
            <w:vAlign w:val="center"/>
          </w:tcPr>
          <w:p w:rsidR="00AA4EE3" w:rsidRDefault="00AA4EE3">
            <w:pPr>
              <w:adjustRightInd w:val="0"/>
              <w:snapToGrid w:val="0"/>
              <w:spacing w:line="360" w:lineRule="auto"/>
              <w:jc w:val="both"/>
              <w:rPr>
                <w:rFonts w:ascii="Book Antiqua" w:hAnsi="Book Antiqua" w:cs="Book Antiqua"/>
              </w:rPr>
            </w:pPr>
          </w:p>
        </w:tc>
        <w:tc>
          <w:tcPr>
            <w:tcW w:w="637" w:type="pct"/>
            <w:vAlign w:val="center"/>
          </w:tcPr>
          <w:p w:rsidR="00AA4EE3" w:rsidRDefault="00AA4EE3">
            <w:pPr>
              <w:adjustRightInd w:val="0"/>
              <w:snapToGrid w:val="0"/>
              <w:spacing w:line="360" w:lineRule="auto"/>
              <w:jc w:val="both"/>
              <w:rPr>
                <w:rFonts w:ascii="Book Antiqua" w:hAnsi="Book Antiqua" w:cs="Book Antiqua"/>
              </w:rPr>
            </w:pPr>
          </w:p>
        </w:tc>
        <w:tc>
          <w:tcPr>
            <w:tcW w:w="608" w:type="pct"/>
            <w:vAlign w:val="center"/>
          </w:tcPr>
          <w:p w:rsidR="00AA4EE3" w:rsidRDefault="00AA4EE3">
            <w:pPr>
              <w:adjustRightInd w:val="0"/>
              <w:snapToGrid w:val="0"/>
              <w:spacing w:line="360" w:lineRule="auto"/>
              <w:jc w:val="both"/>
              <w:rPr>
                <w:rFonts w:ascii="Book Antiqua" w:hAnsi="Book Antiqua" w:cs="Book Antiqua"/>
              </w:rPr>
            </w:pP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Coronary heart disease</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14 (22.22)</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12 (19.05)</w:t>
            </w:r>
          </w:p>
        </w:tc>
        <w:tc>
          <w:tcPr>
            <w:tcW w:w="63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0.194</w:t>
            </w:r>
          </w:p>
        </w:tc>
        <w:tc>
          <w:tcPr>
            <w:tcW w:w="6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0.660</w:t>
            </w: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Diabetes</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11 (17.46)</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9 (14.29)</w:t>
            </w:r>
          </w:p>
        </w:tc>
        <w:tc>
          <w:tcPr>
            <w:tcW w:w="63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0.238</w:t>
            </w:r>
          </w:p>
        </w:tc>
        <w:tc>
          <w:tcPr>
            <w:tcW w:w="6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0.626</w:t>
            </w: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Hypertension</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15 (23.81)</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18 (28.57)</w:t>
            </w:r>
          </w:p>
        </w:tc>
        <w:tc>
          <w:tcPr>
            <w:tcW w:w="63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0.370</w:t>
            </w:r>
          </w:p>
        </w:tc>
        <w:tc>
          <w:tcPr>
            <w:tcW w:w="6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0.543</w:t>
            </w:r>
          </w:p>
        </w:tc>
      </w:tr>
      <w:tr w:rsidR="00AA4EE3">
        <w:trPr>
          <w:trHeight w:val="375"/>
          <w:jc w:val="center"/>
        </w:trPr>
        <w:tc>
          <w:tcPr>
            <w:tcW w:w="13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Hyperlipidemia</w:t>
            </w:r>
          </w:p>
        </w:tc>
        <w:tc>
          <w:tcPr>
            <w:tcW w:w="121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8 (12.70)</w:t>
            </w:r>
          </w:p>
        </w:tc>
        <w:tc>
          <w:tcPr>
            <w:tcW w:w="117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11 (17.46)</w:t>
            </w:r>
          </w:p>
        </w:tc>
        <w:tc>
          <w:tcPr>
            <w:tcW w:w="63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0.558</w:t>
            </w:r>
          </w:p>
        </w:tc>
        <w:tc>
          <w:tcPr>
            <w:tcW w:w="6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0.455</w:t>
            </w:r>
          </w:p>
        </w:tc>
      </w:tr>
    </w:tbl>
    <w:p w:rsidR="00C91E14" w:rsidRDefault="00C91E14">
      <w:pPr>
        <w:rPr>
          <w:rFonts w:ascii="Book Antiqua" w:hAnsi="Book Antiqua" w:cs="Book Antiqua"/>
        </w:rPr>
      </w:pPr>
      <w:r>
        <w:rPr>
          <w:rFonts w:ascii="Book Antiqua" w:hAnsi="Book Antiqua" w:cs="Book Antiqua"/>
        </w:rPr>
        <w:br w:type="page"/>
      </w:r>
    </w:p>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lang w:bidi="ar"/>
        </w:rPr>
        <w:lastRenderedPageBreak/>
        <w:t>Table 2 Comparison of surgical indicators between the two groups</w:t>
      </w:r>
      <w:r>
        <w:rPr>
          <w:rFonts w:ascii="Book Antiqua" w:hAnsi="Book Antiqua" w:cs="Book Antiqua"/>
          <w:b/>
          <w:bCs/>
        </w:rPr>
        <w:t xml:space="preserve"> (mean ± SD)</w:t>
      </w:r>
    </w:p>
    <w:tbl>
      <w:tblPr>
        <w:tblW w:w="5068" w:type="pct"/>
        <w:jc w:val="center"/>
        <w:tblInd w:w="-127" w:type="dxa"/>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624"/>
        <w:gridCol w:w="1850"/>
        <w:gridCol w:w="2123"/>
        <w:gridCol w:w="1936"/>
        <w:gridCol w:w="1985"/>
      </w:tblGrid>
      <w:tr w:rsidR="00AA4EE3" w:rsidTr="00C91E14">
        <w:trPr>
          <w:trHeight w:val="535"/>
          <w:jc w:val="center"/>
        </w:trPr>
        <w:tc>
          <w:tcPr>
            <w:tcW w:w="853"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Groups</w:t>
            </w:r>
          </w:p>
        </w:tc>
        <w:tc>
          <w:tcPr>
            <w:tcW w:w="972"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Operation time (min)</w:t>
            </w:r>
          </w:p>
        </w:tc>
        <w:tc>
          <w:tcPr>
            <w:tcW w:w="1115"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Intraoperative bleeding (mL)</w:t>
            </w:r>
          </w:p>
        </w:tc>
        <w:tc>
          <w:tcPr>
            <w:tcW w:w="1017"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Postoperative landing time (d)</w:t>
            </w:r>
          </w:p>
        </w:tc>
        <w:tc>
          <w:tcPr>
            <w:tcW w:w="1043"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Fracture healing time (</w:t>
            </w:r>
            <w:proofErr w:type="spellStart"/>
            <w:r>
              <w:rPr>
                <w:rFonts w:ascii="Book Antiqua" w:hAnsi="Book Antiqua" w:cs="Book Antiqua"/>
                <w:b/>
                <w:bCs/>
              </w:rPr>
              <w:t>mo</w:t>
            </w:r>
            <w:proofErr w:type="spellEnd"/>
            <w:r>
              <w:rPr>
                <w:rFonts w:ascii="Book Antiqua" w:hAnsi="Book Antiqua" w:cs="Book Antiqua"/>
                <w:b/>
                <w:bCs/>
              </w:rPr>
              <w:t>)</w:t>
            </w:r>
          </w:p>
        </w:tc>
      </w:tr>
      <w:tr w:rsidR="00AA4EE3" w:rsidTr="00C91E14">
        <w:trPr>
          <w:trHeight w:val="285"/>
          <w:jc w:val="center"/>
        </w:trPr>
        <w:tc>
          <w:tcPr>
            <w:tcW w:w="853"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Control group (</w:t>
            </w:r>
            <w:r>
              <w:rPr>
                <w:rFonts w:ascii="Book Antiqua" w:hAnsi="Book Antiqua" w:cs="Book Antiqua"/>
                <w:i/>
                <w:iCs/>
              </w:rPr>
              <w:t>n</w:t>
            </w:r>
            <w:r>
              <w:rPr>
                <w:rFonts w:ascii="Book Antiqua" w:hAnsi="Book Antiqua" w:cs="Book Antiqua"/>
              </w:rPr>
              <w:t xml:space="preserve"> = 63)</w:t>
            </w:r>
          </w:p>
        </w:tc>
        <w:tc>
          <w:tcPr>
            <w:tcW w:w="972"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75.25 ± 5.96</w:t>
            </w:r>
          </w:p>
        </w:tc>
        <w:tc>
          <w:tcPr>
            <w:tcW w:w="1115"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52.36 ± 11.47</w:t>
            </w:r>
          </w:p>
        </w:tc>
        <w:tc>
          <w:tcPr>
            <w:tcW w:w="1017"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7.06 ± 1.85</w:t>
            </w:r>
          </w:p>
        </w:tc>
        <w:tc>
          <w:tcPr>
            <w:tcW w:w="1043"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3.35 ± 0.29</w:t>
            </w:r>
          </w:p>
        </w:tc>
      </w:tr>
      <w:tr w:rsidR="00AA4EE3" w:rsidTr="00C91E14">
        <w:trPr>
          <w:trHeight w:val="285"/>
          <w:jc w:val="center"/>
        </w:trPr>
        <w:tc>
          <w:tcPr>
            <w:tcW w:w="853"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Observation group (</w:t>
            </w:r>
            <w:r>
              <w:rPr>
                <w:rFonts w:ascii="Book Antiqua" w:hAnsi="Book Antiqua" w:cs="Book Antiqua"/>
                <w:i/>
                <w:iCs/>
              </w:rPr>
              <w:t>n</w:t>
            </w:r>
            <w:r>
              <w:rPr>
                <w:rFonts w:ascii="Book Antiqua" w:hAnsi="Book Antiqua" w:cs="Book Antiqua"/>
              </w:rPr>
              <w:t xml:space="preserve"> = 63)</w:t>
            </w:r>
          </w:p>
        </w:tc>
        <w:tc>
          <w:tcPr>
            <w:tcW w:w="972"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73.89 ± 6.08</w:t>
            </w:r>
          </w:p>
        </w:tc>
        <w:tc>
          <w:tcPr>
            <w:tcW w:w="111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51.74 ± 13.36</w:t>
            </w:r>
          </w:p>
        </w:tc>
        <w:tc>
          <w:tcPr>
            <w:tcW w:w="101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6.98 ± 1.91</w:t>
            </w:r>
          </w:p>
        </w:tc>
        <w:tc>
          <w:tcPr>
            <w:tcW w:w="1043"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3.04 ± 0.23</w:t>
            </w:r>
          </w:p>
        </w:tc>
      </w:tr>
      <w:tr w:rsidR="00AA4EE3" w:rsidTr="00C91E14">
        <w:trPr>
          <w:trHeight w:val="285"/>
          <w:jc w:val="center"/>
        </w:trPr>
        <w:tc>
          <w:tcPr>
            <w:tcW w:w="853"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t</w:t>
            </w:r>
            <w:r>
              <w:rPr>
                <w:rFonts w:ascii="Book Antiqua" w:hAnsi="Book Antiqua" w:cs="Book Antiqua"/>
              </w:rPr>
              <w:t xml:space="preserve"> value</w:t>
            </w:r>
          </w:p>
        </w:tc>
        <w:tc>
          <w:tcPr>
            <w:tcW w:w="972"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1.268</w:t>
            </w:r>
          </w:p>
        </w:tc>
        <w:tc>
          <w:tcPr>
            <w:tcW w:w="111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0.279</w:t>
            </w:r>
          </w:p>
        </w:tc>
        <w:tc>
          <w:tcPr>
            <w:tcW w:w="101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0.239</w:t>
            </w:r>
          </w:p>
        </w:tc>
        <w:tc>
          <w:tcPr>
            <w:tcW w:w="1043"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6.648</w:t>
            </w:r>
          </w:p>
        </w:tc>
      </w:tr>
      <w:tr w:rsidR="00AA4EE3" w:rsidTr="00C91E14">
        <w:trPr>
          <w:trHeight w:val="375"/>
          <w:jc w:val="center"/>
        </w:trPr>
        <w:tc>
          <w:tcPr>
            <w:tcW w:w="853"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P</w:t>
            </w:r>
            <w:r>
              <w:rPr>
                <w:rFonts w:ascii="Book Antiqua" w:hAnsi="Book Antiqua" w:cs="Book Antiqua"/>
              </w:rPr>
              <w:t xml:space="preserve"> value</w:t>
            </w:r>
          </w:p>
        </w:tc>
        <w:tc>
          <w:tcPr>
            <w:tcW w:w="972"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0.207</w:t>
            </w:r>
          </w:p>
        </w:tc>
        <w:tc>
          <w:tcPr>
            <w:tcW w:w="111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0.780</w:t>
            </w:r>
          </w:p>
        </w:tc>
        <w:tc>
          <w:tcPr>
            <w:tcW w:w="101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0.817</w:t>
            </w:r>
          </w:p>
        </w:tc>
        <w:tc>
          <w:tcPr>
            <w:tcW w:w="1043"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r>
    </w:tbl>
    <w:p w:rsidR="00C91E14" w:rsidRDefault="00C91E14">
      <w:pPr>
        <w:rPr>
          <w:rFonts w:ascii="Book Antiqua" w:hAnsi="Book Antiqua" w:cs="Book Antiqua"/>
        </w:rPr>
      </w:pPr>
      <w:r>
        <w:rPr>
          <w:rFonts w:ascii="Book Antiqua" w:hAnsi="Book Antiqua" w:cs="Book Antiqua"/>
        </w:rPr>
        <w:br w:type="page"/>
      </w:r>
    </w:p>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3 Comparison of co-occurrence between the two groups, </w:t>
      </w:r>
      <w:r>
        <w:rPr>
          <w:rFonts w:ascii="Book Antiqua" w:hAnsi="Book Antiqua" w:cs="Book Antiqua"/>
          <w:b/>
          <w:bCs/>
          <w:i/>
          <w:iCs/>
        </w:rPr>
        <w:t>n</w:t>
      </w:r>
      <w:r>
        <w:rPr>
          <w:rFonts w:ascii="Book Antiqua" w:hAnsi="Book Antiqua" w:cs="Book Antiqua"/>
          <w:b/>
          <w:bCs/>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541"/>
        <w:gridCol w:w="1285"/>
        <w:gridCol w:w="2124"/>
        <w:gridCol w:w="1407"/>
        <w:gridCol w:w="1294"/>
        <w:gridCol w:w="1739"/>
      </w:tblGrid>
      <w:tr w:rsidR="00AA4EE3">
        <w:trPr>
          <w:trHeight w:val="285"/>
          <w:jc w:val="center"/>
        </w:trPr>
        <w:tc>
          <w:tcPr>
            <w:tcW w:w="820"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Groups</w:t>
            </w:r>
          </w:p>
        </w:tc>
        <w:tc>
          <w:tcPr>
            <w:tcW w:w="684"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Bedsore</w:t>
            </w:r>
          </w:p>
        </w:tc>
        <w:tc>
          <w:tcPr>
            <w:tcW w:w="1131"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Urinary tract infection</w:t>
            </w:r>
          </w:p>
        </w:tc>
        <w:tc>
          <w:tcPr>
            <w:tcW w:w="749"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Pulmonary infection</w:t>
            </w:r>
          </w:p>
        </w:tc>
        <w:tc>
          <w:tcPr>
            <w:tcW w:w="689"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Incision infection</w:t>
            </w:r>
          </w:p>
        </w:tc>
        <w:tc>
          <w:tcPr>
            <w:tcW w:w="926"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Total complications</w:t>
            </w:r>
          </w:p>
        </w:tc>
      </w:tr>
      <w:tr w:rsidR="00AA4EE3">
        <w:trPr>
          <w:trHeight w:val="285"/>
          <w:jc w:val="center"/>
        </w:trPr>
        <w:tc>
          <w:tcPr>
            <w:tcW w:w="820"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Control group (</w:t>
            </w:r>
            <w:r>
              <w:rPr>
                <w:rFonts w:ascii="Book Antiqua" w:hAnsi="Book Antiqua" w:cs="Book Antiqua"/>
                <w:i/>
                <w:iCs/>
              </w:rPr>
              <w:t>n</w:t>
            </w:r>
            <w:r>
              <w:rPr>
                <w:rFonts w:ascii="Book Antiqua" w:hAnsi="Book Antiqua" w:cs="Book Antiqua"/>
              </w:rPr>
              <w:t xml:space="preserve"> = 63)</w:t>
            </w:r>
          </w:p>
        </w:tc>
        <w:tc>
          <w:tcPr>
            <w:tcW w:w="684"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 (1.59)</w:t>
            </w:r>
          </w:p>
        </w:tc>
        <w:tc>
          <w:tcPr>
            <w:tcW w:w="1131"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 (1.59)</w:t>
            </w:r>
          </w:p>
        </w:tc>
        <w:tc>
          <w:tcPr>
            <w:tcW w:w="749"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 (3.17)</w:t>
            </w:r>
          </w:p>
        </w:tc>
        <w:tc>
          <w:tcPr>
            <w:tcW w:w="689"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 (1.59)</w:t>
            </w:r>
          </w:p>
        </w:tc>
        <w:tc>
          <w:tcPr>
            <w:tcW w:w="926"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5 (7.94)</w:t>
            </w:r>
          </w:p>
        </w:tc>
      </w:tr>
      <w:tr w:rsidR="00AA4EE3">
        <w:trPr>
          <w:trHeight w:val="285"/>
          <w:jc w:val="center"/>
        </w:trPr>
        <w:tc>
          <w:tcPr>
            <w:tcW w:w="820"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Observation group (</w:t>
            </w:r>
            <w:r>
              <w:rPr>
                <w:rFonts w:ascii="Book Antiqua" w:hAnsi="Book Antiqua" w:cs="Book Antiqua"/>
                <w:i/>
                <w:iCs/>
              </w:rPr>
              <w:t>n</w:t>
            </w:r>
            <w:r>
              <w:rPr>
                <w:rFonts w:ascii="Book Antiqua" w:hAnsi="Book Antiqua" w:cs="Book Antiqua"/>
              </w:rPr>
              <w:t xml:space="preserve"> = 63)</w:t>
            </w:r>
          </w:p>
        </w:tc>
        <w:tc>
          <w:tcPr>
            <w:tcW w:w="68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 (1.59)</w:t>
            </w:r>
          </w:p>
        </w:tc>
        <w:tc>
          <w:tcPr>
            <w:tcW w:w="1131"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 (1.59)</w:t>
            </w:r>
          </w:p>
        </w:tc>
        <w:tc>
          <w:tcPr>
            <w:tcW w:w="749"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 (1.59)</w:t>
            </w:r>
          </w:p>
        </w:tc>
        <w:tc>
          <w:tcPr>
            <w:tcW w:w="689"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 (0.00)</w:t>
            </w:r>
          </w:p>
        </w:tc>
        <w:tc>
          <w:tcPr>
            <w:tcW w:w="92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 (1.76)</w:t>
            </w:r>
          </w:p>
        </w:tc>
      </w:tr>
      <w:tr w:rsidR="00AA4EE3" w:rsidTr="00C91E14">
        <w:trPr>
          <w:trHeight w:val="186"/>
          <w:jc w:val="center"/>
        </w:trPr>
        <w:tc>
          <w:tcPr>
            <w:tcW w:w="820"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t</w:t>
            </w:r>
            <w:r>
              <w:rPr>
                <w:rFonts w:ascii="Book Antiqua" w:hAnsi="Book Antiqua" w:cs="Book Antiqua"/>
              </w:rPr>
              <w:t xml:space="preserve"> value</w:t>
            </w:r>
          </w:p>
        </w:tc>
        <w:tc>
          <w:tcPr>
            <w:tcW w:w="684" w:type="pct"/>
            <w:vAlign w:val="center"/>
          </w:tcPr>
          <w:p w:rsidR="00AA4EE3" w:rsidRDefault="00AA4EE3">
            <w:pPr>
              <w:adjustRightInd w:val="0"/>
              <w:snapToGrid w:val="0"/>
              <w:spacing w:line="360" w:lineRule="auto"/>
              <w:jc w:val="both"/>
              <w:rPr>
                <w:rFonts w:ascii="Book Antiqua" w:hAnsi="Book Antiqua" w:cs="Book Antiqua"/>
              </w:rPr>
            </w:pPr>
          </w:p>
        </w:tc>
        <w:tc>
          <w:tcPr>
            <w:tcW w:w="1131" w:type="pct"/>
            <w:vAlign w:val="center"/>
          </w:tcPr>
          <w:p w:rsidR="00AA4EE3" w:rsidRDefault="00AA4EE3">
            <w:pPr>
              <w:adjustRightInd w:val="0"/>
              <w:snapToGrid w:val="0"/>
              <w:spacing w:line="360" w:lineRule="auto"/>
              <w:jc w:val="both"/>
              <w:rPr>
                <w:rFonts w:ascii="Book Antiqua" w:hAnsi="Book Antiqua" w:cs="Book Antiqua"/>
              </w:rPr>
            </w:pPr>
          </w:p>
        </w:tc>
        <w:tc>
          <w:tcPr>
            <w:tcW w:w="749" w:type="pct"/>
            <w:vAlign w:val="center"/>
          </w:tcPr>
          <w:p w:rsidR="00AA4EE3" w:rsidRDefault="00AA4EE3">
            <w:pPr>
              <w:adjustRightInd w:val="0"/>
              <w:snapToGrid w:val="0"/>
              <w:spacing w:line="360" w:lineRule="auto"/>
              <w:jc w:val="both"/>
              <w:rPr>
                <w:rFonts w:ascii="Book Antiqua" w:hAnsi="Book Antiqua" w:cs="Book Antiqua"/>
              </w:rPr>
            </w:pPr>
          </w:p>
        </w:tc>
        <w:tc>
          <w:tcPr>
            <w:tcW w:w="689" w:type="pct"/>
            <w:vAlign w:val="center"/>
          </w:tcPr>
          <w:p w:rsidR="00AA4EE3" w:rsidRDefault="00AA4EE3">
            <w:pPr>
              <w:adjustRightInd w:val="0"/>
              <w:snapToGrid w:val="0"/>
              <w:spacing w:line="360" w:lineRule="auto"/>
              <w:jc w:val="both"/>
              <w:rPr>
                <w:rFonts w:ascii="Book Antiqua" w:hAnsi="Book Antiqua" w:cs="Book Antiqua"/>
              </w:rPr>
            </w:pPr>
          </w:p>
        </w:tc>
        <w:tc>
          <w:tcPr>
            <w:tcW w:w="92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0.534</w:t>
            </w:r>
          </w:p>
        </w:tc>
      </w:tr>
      <w:tr w:rsidR="00AA4EE3">
        <w:trPr>
          <w:trHeight w:val="375"/>
          <w:jc w:val="center"/>
        </w:trPr>
        <w:tc>
          <w:tcPr>
            <w:tcW w:w="820"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P</w:t>
            </w:r>
            <w:r>
              <w:rPr>
                <w:rFonts w:ascii="Book Antiqua" w:hAnsi="Book Antiqua" w:cs="Book Antiqua"/>
              </w:rPr>
              <w:t xml:space="preserve"> value</w:t>
            </w:r>
          </w:p>
        </w:tc>
        <w:tc>
          <w:tcPr>
            <w:tcW w:w="684" w:type="pct"/>
            <w:vAlign w:val="center"/>
          </w:tcPr>
          <w:p w:rsidR="00AA4EE3" w:rsidRDefault="00AA4EE3">
            <w:pPr>
              <w:adjustRightInd w:val="0"/>
              <w:snapToGrid w:val="0"/>
              <w:spacing w:line="360" w:lineRule="auto"/>
              <w:jc w:val="both"/>
              <w:rPr>
                <w:rFonts w:ascii="Book Antiqua" w:hAnsi="Book Antiqua" w:cs="Book Antiqua"/>
              </w:rPr>
            </w:pPr>
          </w:p>
        </w:tc>
        <w:tc>
          <w:tcPr>
            <w:tcW w:w="1131" w:type="pct"/>
            <w:vAlign w:val="center"/>
          </w:tcPr>
          <w:p w:rsidR="00AA4EE3" w:rsidRDefault="00AA4EE3">
            <w:pPr>
              <w:adjustRightInd w:val="0"/>
              <w:snapToGrid w:val="0"/>
              <w:spacing w:line="360" w:lineRule="auto"/>
              <w:jc w:val="both"/>
              <w:rPr>
                <w:rFonts w:ascii="Book Antiqua" w:hAnsi="Book Antiqua" w:cs="Book Antiqua"/>
              </w:rPr>
            </w:pPr>
          </w:p>
        </w:tc>
        <w:tc>
          <w:tcPr>
            <w:tcW w:w="749" w:type="pct"/>
            <w:vAlign w:val="center"/>
          </w:tcPr>
          <w:p w:rsidR="00AA4EE3" w:rsidRDefault="00AA4EE3">
            <w:pPr>
              <w:adjustRightInd w:val="0"/>
              <w:snapToGrid w:val="0"/>
              <w:spacing w:line="360" w:lineRule="auto"/>
              <w:jc w:val="both"/>
              <w:rPr>
                <w:rFonts w:ascii="Book Antiqua" w:hAnsi="Book Antiqua" w:cs="Book Antiqua"/>
              </w:rPr>
            </w:pPr>
          </w:p>
        </w:tc>
        <w:tc>
          <w:tcPr>
            <w:tcW w:w="689" w:type="pct"/>
            <w:vAlign w:val="center"/>
          </w:tcPr>
          <w:p w:rsidR="00AA4EE3" w:rsidRDefault="00AA4EE3">
            <w:pPr>
              <w:adjustRightInd w:val="0"/>
              <w:snapToGrid w:val="0"/>
              <w:spacing w:line="360" w:lineRule="auto"/>
              <w:jc w:val="both"/>
              <w:rPr>
                <w:rFonts w:ascii="Book Antiqua" w:hAnsi="Book Antiqua" w:cs="Book Antiqua"/>
              </w:rPr>
            </w:pPr>
          </w:p>
        </w:tc>
        <w:tc>
          <w:tcPr>
            <w:tcW w:w="92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0.465</w:t>
            </w:r>
          </w:p>
        </w:tc>
      </w:tr>
    </w:tbl>
    <w:p w:rsidR="00C91E14" w:rsidRDefault="00C91E14">
      <w:pPr>
        <w:rPr>
          <w:rFonts w:ascii="Book Antiqua" w:hAnsi="Book Antiqua" w:cs="Book Antiqua"/>
        </w:rPr>
      </w:pPr>
      <w:r>
        <w:rPr>
          <w:rFonts w:ascii="Book Antiqua" w:hAnsi="Book Antiqua" w:cs="Book Antiqua"/>
        </w:rPr>
        <w:br w:type="page"/>
      </w:r>
    </w:p>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Table 4 Comparison of bone metabolism markers between the two groups (mean ± SD)</w:t>
      </w:r>
    </w:p>
    <w:tbl>
      <w:tblPr>
        <w:tblW w:w="5143" w:type="pct"/>
        <w:jc w:val="center"/>
        <w:tblInd w:w="-269" w:type="dxa"/>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753"/>
        <w:gridCol w:w="1541"/>
        <w:gridCol w:w="1306"/>
        <w:gridCol w:w="1175"/>
        <w:gridCol w:w="1542"/>
        <w:gridCol w:w="1171"/>
        <w:gridCol w:w="1171"/>
      </w:tblGrid>
      <w:tr w:rsidR="00AA4EE3" w:rsidTr="00C91E14">
        <w:trPr>
          <w:trHeight w:val="242"/>
          <w:jc w:val="center"/>
        </w:trPr>
        <w:tc>
          <w:tcPr>
            <w:tcW w:w="908" w:type="pct"/>
            <w:vMerge w:val="restar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Groups</w:t>
            </w:r>
          </w:p>
        </w:tc>
        <w:tc>
          <w:tcPr>
            <w:tcW w:w="2081" w:type="pct"/>
            <w:gridSpan w:val="3"/>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β-CTX (</w:t>
            </w:r>
            <w:proofErr w:type="spellStart"/>
            <w:r>
              <w:rPr>
                <w:rFonts w:ascii="Book Antiqua" w:hAnsi="Book Antiqua" w:cs="Book Antiqua"/>
                <w:b/>
                <w:bCs/>
              </w:rPr>
              <w:t>ng</w:t>
            </w:r>
            <w:proofErr w:type="spellEnd"/>
            <w:r>
              <w:rPr>
                <w:rFonts w:ascii="Book Antiqua" w:hAnsi="Book Antiqua" w:cs="Book Antiqua"/>
                <w:b/>
                <w:bCs/>
              </w:rPr>
              <w:t>/L)</w:t>
            </w:r>
          </w:p>
        </w:tc>
        <w:tc>
          <w:tcPr>
            <w:tcW w:w="2011" w:type="pct"/>
            <w:gridSpan w:val="3"/>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T-PINP (</w:t>
            </w:r>
            <w:proofErr w:type="spellStart"/>
            <w:r>
              <w:rPr>
                <w:rFonts w:ascii="Book Antiqua" w:hAnsi="Book Antiqua" w:cs="Book Antiqua"/>
                <w:b/>
                <w:bCs/>
              </w:rPr>
              <w:t>μg</w:t>
            </w:r>
            <w:proofErr w:type="spellEnd"/>
            <w:r>
              <w:rPr>
                <w:rFonts w:ascii="Book Antiqua" w:hAnsi="Book Antiqua" w:cs="Book Antiqua"/>
                <w:b/>
                <w:bCs/>
              </w:rPr>
              <w:t>/L)</w:t>
            </w:r>
          </w:p>
        </w:tc>
      </w:tr>
      <w:tr w:rsidR="00AA4EE3" w:rsidTr="00C91E14">
        <w:trPr>
          <w:trHeight w:val="286"/>
          <w:jc w:val="center"/>
        </w:trPr>
        <w:tc>
          <w:tcPr>
            <w:tcW w:w="908" w:type="pct"/>
            <w:vMerge/>
            <w:tcBorders>
              <w:top w:val="single" w:sz="4" w:space="0" w:color="000000"/>
              <w:bottom w:val="single" w:sz="4" w:space="0" w:color="000000"/>
            </w:tcBorders>
            <w:vAlign w:val="center"/>
          </w:tcPr>
          <w:p w:rsidR="00AA4EE3" w:rsidRDefault="00AA4EE3">
            <w:pPr>
              <w:adjustRightInd w:val="0"/>
              <w:snapToGrid w:val="0"/>
              <w:spacing w:line="360" w:lineRule="auto"/>
              <w:jc w:val="both"/>
              <w:rPr>
                <w:rFonts w:ascii="Book Antiqua" w:hAnsi="Book Antiqua" w:cs="Book Antiqua"/>
                <w:b/>
                <w:bCs/>
              </w:rPr>
            </w:pPr>
          </w:p>
        </w:tc>
        <w:tc>
          <w:tcPr>
            <w:tcW w:w="798"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Preoperative</w:t>
            </w:r>
          </w:p>
        </w:tc>
        <w:tc>
          <w:tcPr>
            <w:tcW w:w="676"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3 </w:t>
            </w:r>
            <w:proofErr w:type="spellStart"/>
            <w:r>
              <w:rPr>
                <w:rFonts w:ascii="Book Antiqua" w:hAnsi="Book Antiqua" w:cs="Book Antiqua"/>
                <w:b/>
                <w:bCs/>
              </w:rPr>
              <w:t>mo</w:t>
            </w:r>
            <w:proofErr w:type="spellEnd"/>
            <w:r>
              <w:rPr>
                <w:rFonts w:ascii="Book Antiqua" w:hAnsi="Book Antiqua" w:cs="Book Antiqua"/>
                <w:b/>
                <w:bCs/>
              </w:rPr>
              <w:t xml:space="preserve"> after operation</w:t>
            </w:r>
          </w:p>
        </w:tc>
        <w:tc>
          <w:tcPr>
            <w:tcW w:w="608"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12 </w:t>
            </w:r>
            <w:proofErr w:type="spellStart"/>
            <w:r>
              <w:rPr>
                <w:rFonts w:ascii="Book Antiqua" w:hAnsi="Book Antiqua" w:cs="Book Antiqua"/>
                <w:b/>
                <w:bCs/>
              </w:rPr>
              <w:t>mo</w:t>
            </w:r>
            <w:proofErr w:type="spellEnd"/>
            <w:r>
              <w:rPr>
                <w:rFonts w:ascii="Book Antiqua" w:hAnsi="Book Antiqua" w:cs="Book Antiqua"/>
                <w:b/>
                <w:bCs/>
              </w:rPr>
              <w:t xml:space="preserve"> after operation</w:t>
            </w:r>
          </w:p>
        </w:tc>
        <w:tc>
          <w:tcPr>
            <w:tcW w:w="798"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Preoperative</w:t>
            </w:r>
          </w:p>
        </w:tc>
        <w:tc>
          <w:tcPr>
            <w:tcW w:w="606"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3 </w:t>
            </w:r>
            <w:proofErr w:type="spellStart"/>
            <w:r>
              <w:rPr>
                <w:rFonts w:ascii="Book Antiqua" w:hAnsi="Book Antiqua" w:cs="Book Antiqua"/>
                <w:b/>
                <w:bCs/>
              </w:rPr>
              <w:t>mo</w:t>
            </w:r>
            <w:proofErr w:type="spellEnd"/>
            <w:r>
              <w:rPr>
                <w:rFonts w:ascii="Book Antiqua" w:hAnsi="Book Antiqua" w:cs="Book Antiqua"/>
                <w:b/>
                <w:bCs/>
              </w:rPr>
              <w:t xml:space="preserve"> after operation</w:t>
            </w:r>
          </w:p>
        </w:tc>
        <w:tc>
          <w:tcPr>
            <w:tcW w:w="607"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12 </w:t>
            </w:r>
            <w:proofErr w:type="spellStart"/>
            <w:r>
              <w:rPr>
                <w:rFonts w:ascii="Book Antiqua" w:hAnsi="Book Antiqua" w:cs="Book Antiqua"/>
                <w:b/>
                <w:bCs/>
              </w:rPr>
              <w:t>mo</w:t>
            </w:r>
            <w:proofErr w:type="spellEnd"/>
            <w:r>
              <w:rPr>
                <w:rFonts w:ascii="Book Antiqua" w:hAnsi="Book Antiqua" w:cs="Book Antiqua"/>
                <w:b/>
                <w:bCs/>
              </w:rPr>
              <w:t xml:space="preserve"> after operation</w:t>
            </w:r>
          </w:p>
        </w:tc>
      </w:tr>
      <w:tr w:rsidR="00AA4EE3" w:rsidTr="00C91E14">
        <w:trPr>
          <w:trHeight w:val="286"/>
          <w:jc w:val="center"/>
        </w:trPr>
        <w:tc>
          <w:tcPr>
            <w:tcW w:w="908"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Control group (</w:t>
            </w:r>
            <w:r>
              <w:rPr>
                <w:rFonts w:ascii="Book Antiqua" w:hAnsi="Book Antiqua" w:cs="Book Antiqua"/>
                <w:i/>
                <w:iCs/>
              </w:rPr>
              <w:t>n</w:t>
            </w:r>
            <w:r>
              <w:rPr>
                <w:rFonts w:ascii="Book Antiqua" w:hAnsi="Book Antiqua" w:cs="Book Antiqua"/>
              </w:rPr>
              <w:t xml:space="preserve"> = 63)</w:t>
            </w:r>
          </w:p>
        </w:tc>
        <w:tc>
          <w:tcPr>
            <w:tcW w:w="798"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345.85 ± 85.23</w:t>
            </w:r>
          </w:p>
        </w:tc>
        <w:tc>
          <w:tcPr>
            <w:tcW w:w="676"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321.25 ± 71.36</w:t>
            </w:r>
          </w:p>
        </w:tc>
        <w:tc>
          <w:tcPr>
            <w:tcW w:w="608"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304.58 ± 68.45</w:t>
            </w:r>
            <w:r>
              <w:rPr>
                <w:rFonts w:ascii="Book Antiqua" w:hAnsi="Book Antiqua" w:cs="Book Antiqua"/>
                <w:vertAlign w:val="superscript"/>
              </w:rPr>
              <w:t>a</w:t>
            </w:r>
          </w:p>
        </w:tc>
        <w:tc>
          <w:tcPr>
            <w:tcW w:w="798"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21.45 ± 5.26</w:t>
            </w:r>
          </w:p>
        </w:tc>
        <w:tc>
          <w:tcPr>
            <w:tcW w:w="606"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22.58 ± 6.04</w:t>
            </w:r>
          </w:p>
        </w:tc>
        <w:tc>
          <w:tcPr>
            <w:tcW w:w="607"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25.89 ± 5.12</w:t>
            </w:r>
            <w:r>
              <w:rPr>
                <w:rFonts w:ascii="Book Antiqua" w:hAnsi="Book Antiqua" w:cs="Book Antiqua"/>
                <w:vertAlign w:val="superscript"/>
              </w:rPr>
              <w:t>a</w:t>
            </w:r>
          </w:p>
        </w:tc>
      </w:tr>
      <w:tr w:rsidR="00AA4EE3" w:rsidTr="00C91E14">
        <w:trPr>
          <w:trHeight w:val="286"/>
          <w:jc w:val="center"/>
        </w:trPr>
        <w:tc>
          <w:tcPr>
            <w:tcW w:w="9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Observation group (</w:t>
            </w:r>
            <w:r>
              <w:rPr>
                <w:rFonts w:ascii="Book Antiqua" w:hAnsi="Book Antiqua" w:cs="Book Antiqua"/>
                <w:i/>
                <w:iCs/>
              </w:rPr>
              <w:t>n</w:t>
            </w:r>
            <w:r>
              <w:rPr>
                <w:rFonts w:ascii="Book Antiqua" w:hAnsi="Book Antiqua" w:cs="Book Antiqua"/>
              </w:rPr>
              <w:t xml:space="preserve"> = 63)</w:t>
            </w:r>
          </w:p>
        </w:tc>
        <w:tc>
          <w:tcPr>
            <w:tcW w:w="79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351.14 ± 79.92</w:t>
            </w:r>
          </w:p>
        </w:tc>
        <w:tc>
          <w:tcPr>
            <w:tcW w:w="67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261.25 ± 64.74</w:t>
            </w:r>
            <w:r>
              <w:rPr>
                <w:rFonts w:ascii="Book Antiqua" w:hAnsi="Book Antiqua" w:cs="Book Antiqua"/>
                <w:vertAlign w:val="superscript"/>
              </w:rPr>
              <w:t>a</w:t>
            </w:r>
          </w:p>
        </w:tc>
        <w:tc>
          <w:tcPr>
            <w:tcW w:w="6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162.25 ± 51.33</w:t>
            </w:r>
            <w:r>
              <w:rPr>
                <w:rFonts w:ascii="Book Antiqua" w:hAnsi="Book Antiqua" w:cs="Book Antiqua"/>
                <w:vertAlign w:val="superscript"/>
              </w:rPr>
              <w:t>a</w:t>
            </w:r>
          </w:p>
        </w:tc>
        <w:tc>
          <w:tcPr>
            <w:tcW w:w="79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21.37 ± 5.08</w:t>
            </w:r>
          </w:p>
        </w:tc>
        <w:tc>
          <w:tcPr>
            <w:tcW w:w="60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26.14 ± 4.86</w:t>
            </w:r>
            <w:r>
              <w:rPr>
                <w:rFonts w:ascii="Book Antiqua" w:hAnsi="Book Antiqua" w:cs="Book Antiqua"/>
                <w:vertAlign w:val="superscript"/>
              </w:rPr>
              <w:t>a</w:t>
            </w:r>
          </w:p>
        </w:tc>
        <w:tc>
          <w:tcPr>
            <w:tcW w:w="60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29.85 ± 4.75</w:t>
            </w:r>
            <w:r>
              <w:rPr>
                <w:rFonts w:ascii="Book Antiqua" w:hAnsi="Book Antiqua" w:cs="Book Antiqua"/>
                <w:vertAlign w:val="superscript"/>
              </w:rPr>
              <w:t>a</w:t>
            </w:r>
          </w:p>
        </w:tc>
      </w:tr>
      <w:tr w:rsidR="00AA4EE3" w:rsidTr="00C91E14">
        <w:trPr>
          <w:trHeight w:val="286"/>
          <w:jc w:val="center"/>
        </w:trPr>
        <w:tc>
          <w:tcPr>
            <w:tcW w:w="908"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t</w:t>
            </w:r>
            <w:r>
              <w:rPr>
                <w:rFonts w:ascii="Book Antiqua" w:hAnsi="Book Antiqua" w:cs="Book Antiqua"/>
              </w:rPr>
              <w:t xml:space="preserve"> value</w:t>
            </w:r>
          </w:p>
        </w:tc>
        <w:tc>
          <w:tcPr>
            <w:tcW w:w="79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0.359</w:t>
            </w:r>
          </w:p>
        </w:tc>
        <w:tc>
          <w:tcPr>
            <w:tcW w:w="67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4.943</w:t>
            </w:r>
          </w:p>
        </w:tc>
        <w:tc>
          <w:tcPr>
            <w:tcW w:w="6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13.204</w:t>
            </w:r>
          </w:p>
        </w:tc>
        <w:tc>
          <w:tcPr>
            <w:tcW w:w="79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0.087</w:t>
            </w:r>
          </w:p>
        </w:tc>
        <w:tc>
          <w:tcPr>
            <w:tcW w:w="60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3.645</w:t>
            </w:r>
          </w:p>
        </w:tc>
        <w:tc>
          <w:tcPr>
            <w:tcW w:w="60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4.500</w:t>
            </w:r>
          </w:p>
        </w:tc>
      </w:tr>
      <w:tr w:rsidR="00AA4EE3" w:rsidTr="00C91E14">
        <w:trPr>
          <w:trHeight w:val="286"/>
          <w:jc w:val="center"/>
        </w:trPr>
        <w:tc>
          <w:tcPr>
            <w:tcW w:w="908"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P</w:t>
            </w:r>
            <w:r>
              <w:rPr>
                <w:rFonts w:ascii="Book Antiqua" w:hAnsi="Book Antiqua" w:cs="Book Antiqua"/>
              </w:rPr>
              <w:t xml:space="preserve"> value</w:t>
            </w:r>
          </w:p>
        </w:tc>
        <w:tc>
          <w:tcPr>
            <w:tcW w:w="79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0.720</w:t>
            </w:r>
          </w:p>
        </w:tc>
        <w:tc>
          <w:tcPr>
            <w:tcW w:w="67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c>
          <w:tcPr>
            <w:tcW w:w="60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c>
          <w:tcPr>
            <w:tcW w:w="79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0.931</w:t>
            </w:r>
          </w:p>
        </w:tc>
        <w:tc>
          <w:tcPr>
            <w:tcW w:w="60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c>
          <w:tcPr>
            <w:tcW w:w="607"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r>
    </w:tbl>
    <w:p w:rsidR="00AA4EE3" w:rsidRDefault="00555C29">
      <w:pPr>
        <w:adjustRightInd w:val="0"/>
        <w:snapToGrid w:val="0"/>
        <w:spacing w:line="360" w:lineRule="auto"/>
        <w:jc w:val="both"/>
        <w:rPr>
          <w:rFonts w:ascii="Book Antiqua" w:hAnsi="Book Antiqua" w:cs="Book Antiqua"/>
        </w:rPr>
      </w:pPr>
      <w:proofErr w:type="spellStart"/>
      <w:proofErr w:type="gramStart"/>
      <w:r>
        <w:rPr>
          <w:rFonts w:ascii="Book Antiqua" w:hAnsi="Book Antiqua" w:cs="Book Antiqua"/>
          <w:vertAlign w:val="superscript"/>
        </w:rPr>
        <w:t>a</w:t>
      </w:r>
      <w:r>
        <w:rPr>
          <w:rFonts w:ascii="Book Antiqua" w:hAnsi="Book Antiqua" w:cs="Book Antiqua"/>
          <w:i/>
          <w:iCs/>
        </w:rPr>
        <w:t>P</w:t>
      </w:r>
      <w:proofErr w:type="spellEnd"/>
      <w:proofErr w:type="gramEnd"/>
      <w:r>
        <w:rPr>
          <w:rFonts w:ascii="Book Antiqua" w:hAnsi="Book Antiqua" w:cs="Book Antiqua"/>
        </w:rPr>
        <w:t xml:space="preserve"> &lt; 0.05 </w:t>
      </w:r>
      <w:proofErr w:type="spellStart"/>
      <w:r>
        <w:rPr>
          <w:rFonts w:ascii="Book Antiqua" w:hAnsi="Book Antiqua" w:cs="Book Antiqua"/>
          <w:i/>
          <w:iCs/>
        </w:rPr>
        <w:t>vs</w:t>
      </w:r>
      <w:proofErr w:type="spellEnd"/>
      <w:r>
        <w:rPr>
          <w:rFonts w:ascii="Book Antiqua" w:hAnsi="Book Antiqua" w:cs="Book Antiqua"/>
        </w:rPr>
        <w:t xml:space="preserve"> before operation.</w:t>
      </w:r>
    </w:p>
    <w:p w:rsidR="00AA4EE3" w:rsidRDefault="00555C29">
      <w:pPr>
        <w:adjustRightInd w:val="0"/>
        <w:snapToGrid w:val="0"/>
        <w:spacing w:line="360" w:lineRule="auto"/>
      </w:pPr>
      <w:proofErr w:type="gramStart"/>
      <w:r>
        <w:rPr>
          <w:rFonts w:ascii="Book Antiqua" w:hAnsi="Book Antiqua" w:cs="Book Antiqua"/>
        </w:rPr>
        <w:t>β-CTX</w:t>
      </w:r>
      <w:proofErr w:type="gramEnd"/>
      <w:r>
        <w:rPr>
          <w:rFonts w:ascii="Book Antiqua" w:hAnsi="Book Antiqua" w:cs="Book Antiqua"/>
        </w:rPr>
        <w:t>:</w:t>
      </w:r>
      <w:r>
        <w:rPr>
          <w:rFonts w:ascii="Book Antiqua" w:eastAsia="Book Antiqua" w:hAnsi="Book Antiqua" w:cs="Book Antiqua"/>
          <w:color w:val="000000"/>
        </w:rPr>
        <w:t xml:space="preserve"> β-Collagen-specific sequence;</w:t>
      </w:r>
      <w:r>
        <w:rPr>
          <w:rFonts w:hint="eastAsia"/>
          <w:lang w:eastAsia="zh-CN"/>
        </w:rPr>
        <w:t xml:space="preserve"> </w:t>
      </w:r>
      <w:r>
        <w:rPr>
          <w:rFonts w:ascii="Book Antiqua" w:hAnsi="Book Antiqua" w:cs="Book Antiqua"/>
        </w:rPr>
        <w:t xml:space="preserve">T-PINP: </w:t>
      </w:r>
      <w:r>
        <w:rPr>
          <w:rFonts w:ascii="Book Antiqua" w:eastAsia="Book Antiqua" w:hAnsi="Book Antiqua" w:cs="Book Antiqua"/>
          <w:color w:val="000000"/>
        </w:rPr>
        <w:t>Total </w:t>
      </w:r>
      <w:proofErr w:type="spellStart"/>
      <w:r>
        <w:rPr>
          <w:rFonts w:ascii="Book Antiqua" w:eastAsia="Book Antiqua" w:hAnsi="Book Antiqua" w:cs="Book Antiqua"/>
          <w:color w:val="000000"/>
        </w:rPr>
        <w:t>aminoterminal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propeptide</w:t>
      </w:r>
      <w:proofErr w:type="spellEnd"/>
      <w:r>
        <w:rPr>
          <w:rFonts w:ascii="Book Antiqua" w:eastAsia="Book Antiqua" w:hAnsi="Book Antiqua" w:cs="Book Antiqua"/>
          <w:color w:val="000000"/>
        </w:rPr>
        <w:t xml:space="preserve"> of type I </w:t>
      </w:r>
      <w:proofErr w:type="spellStart"/>
      <w:r>
        <w:rPr>
          <w:rFonts w:ascii="Book Antiqua" w:eastAsia="Book Antiqua" w:hAnsi="Book Antiqua" w:cs="Book Antiqua"/>
          <w:color w:val="000000"/>
        </w:rPr>
        <w:t>procollagen</w:t>
      </w:r>
      <w:proofErr w:type="spellEnd"/>
      <w:r>
        <w:rPr>
          <w:rFonts w:ascii="Book Antiqua" w:eastAsia="Book Antiqua" w:hAnsi="Book Antiqua" w:cs="Book Antiqua"/>
          <w:color w:val="000000"/>
        </w:rPr>
        <w:t>.</w:t>
      </w:r>
    </w:p>
    <w:p w:rsidR="00C91E14" w:rsidRDefault="00C91E14">
      <w:pPr>
        <w:rPr>
          <w:rFonts w:ascii="Book Antiqua" w:hAnsi="Book Antiqua" w:cs="Book Antiqua"/>
        </w:rPr>
      </w:pPr>
      <w:r>
        <w:rPr>
          <w:rFonts w:ascii="Book Antiqua" w:hAnsi="Book Antiqua" w:cs="Book Antiqua"/>
        </w:rPr>
        <w:br w:type="page"/>
      </w:r>
    </w:p>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5 Comparison of </w:t>
      </w:r>
      <w:r>
        <w:rPr>
          <w:rFonts w:ascii="Book Antiqua" w:hAnsi="Book Antiqua" w:cs="Book Antiqua"/>
          <w:b/>
          <w:bCs/>
          <w:i/>
          <w:iCs/>
        </w:rPr>
        <w:t>t</w:t>
      </w:r>
      <w:r>
        <w:rPr>
          <w:rFonts w:ascii="Book Antiqua" w:hAnsi="Book Antiqua" w:cs="Book Antiqua"/>
          <w:b/>
          <w:bCs/>
        </w:rPr>
        <w:t xml:space="preserve">-values </w:t>
      </w:r>
      <w:r>
        <w:rPr>
          <w:rFonts w:ascii="MS Mincho" w:eastAsia="MS Mincho" w:hAnsi="MS Mincho" w:cs="MS Mincho" w:hint="eastAsia"/>
          <w:b/>
          <w:bCs/>
        </w:rPr>
        <w:t>​​</w:t>
      </w:r>
      <w:r>
        <w:rPr>
          <w:rFonts w:ascii="Book Antiqua" w:hAnsi="Book Antiqua" w:cs="Book Antiqua"/>
          <w:b/>
          <w:bCs/>
        </w:rPr>
        <w:t>of hip bone mineral density between the two groups (mean ± SD)</w:t>
      </w:r>
    </w:p>
    <w:tbl>
      <w:tblPr>
        <w:tblW w:w="5367"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911"/>
        <w:gridCol w:w="1417"/>
        <w:gridCol w:w="1419"/>
        <w:gridCol w:w="1453"/>
        <w:gridCol w:w="1381"/>
        <w:gridCol w:w="1498"/>
      </w:tblGrid>
      <w:tr w:rsidR="00AA4EE3" w:rsidTr="00C91E14">
        <w:trPr>
          <w:trHeight w:val="285"/>
          <w:jc w:val="center"/>
        </w:trPr>
        <w:tc>
          <w:tcPr>
            <w:tcW w:w="1444" w:type="pct"/>
            <w:vMerge w:val="restar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Groups</w:t>
            </w:r>
          </w:p>
        </w:tc>
        <w:tc>
          <w:tcPr>
            <w:tcW w:w="703" w:type="pct"/>
            <w:vMerge w:val="restar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Preoperative</w:t>
            </w:r>
          </w:p>
        </w:tc>
        <w:tc>
          <w:tcPr>
            <w:tcW w:w="2853" w:type="pct"/>
            <w:gridSpan w:val="4"/>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After operation</w:t>
            </w:r>
          </w:p>
        </w:tc>
      </w:tr>
      <w:tr w:rsidR="00AA4EE3" w:rsidTr="00C91E14">
        <w:trPr>
          <w:trHeight w:val="193"/>
          <w:jc w:val="center"/>
        </w:trPr>
        <w:tc>
          <w:tcPr>
            <w:tcW w:w="1444" w:type="pct"/>
            <w:vMerge/>
            <w:tcBorders>
              <w:top w:val="single" w:sz="4" w:space="0" w:color="000000"/>
              <w:bottom w:val="single" w:sz="4" w:space="0" w:color="000000"/>
            </w:tcBorders>
            <w:vAlign w:val="center"/>
          </w:tcPr>
          <w:p w:rsidR="00AA4EE3" w:rsidRDefault="00AA4EE3">
            <w:pPr>
              <w:adjustRightInd w:val="0"/>
              <w:snapToGrid w:val="0"/>
              <w:spacing w:line="360" w:lineRule="auto"/>
              <w:jc w:val="both"/>
              <w:rPr>
                <w:rFonts w:ascii="Book Antiqua" w:hAnsi="Book Antiqua" w:cs="Book Antiqua"/>
                <w:b/>
                <w:bCs/>
              </w:rPr>
            </w:pPr>
          </w:p>
        </w:tc>
        <w:tc>
          <w:tcPr>
            <w:tcW w:w="703" w:type="pct"/>
            <w:vMerge/>
            <w:tcBorders>
              <w:top w:val="single" w:sz="4" w:space="0" w:color="000000"/>
              <w:bottom w:val="single" w:sz="4" w:space="0" w:color="000000"/>
            </w:tcBorders>
            <w:vAlign w:val="center"/>
          </w:tcPr>
          <w:p w:rsidR="00AA4EE3" w:rsidRDefault="00AA4EE3">
            <w:pPr>
              <w:adjustRightInd w:val="0"/>
              <w:snapToGrid w:val="0"/>
              <w:spacing w:line="360" w:lineRule="auto"/>
              <w:jc w:val="both"/>
              <w:rPr>
                <w:rFonts w:ascii="Book Antiqua" w:hAnsi="Book Antiqua" w:cs="Book Antiqua"/>
                <w:b/>
                <w:bCs/>
              </w:rPr>
            </w:pPr>
          </w:p>
        </w:tc>
        <w:tc>
          <w:tcPr>
            <w:tcW w:w="704"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1 </w:t>
            </w:r>
            <w:proofErr w:type="spellStart"/>
            <w:r>
              <w:rPr>
                <w:rFonts w:ascii="Book Antiqua" w:hAnsi="Book Antiqua" w:cs="Book Antiqua"/>
                <w:b/>
                <w:bCs/>
              </w:rPr>
              <w:t>mo</w:t>
            </w:r>
            <w:proofErr w:type="spellEnd"/>
          </w:p>
        </w:tc>
        <w:tc>
          <w:tcPr>
            <w:tcW w:w="721"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3 </w:t>
            </w:r>
            <w:proofErr w:type="spellStart"/>
            <w:r>
              <w:rPr>
                <w:rFonts w:ascii="Book Antiqua" w:hAnsi="Book Antiqua" w:cs="Book Antiqua"/>
                <w:b/>
                <w:bCs/>
              </w:rPr>
              <w:t>mo</w:t>
            </w:r>
            <w:proofErr w:type="spellEnd"/>
          </w:p>
        </w:tc>
        <w:tc>
          <w:tcPr>
            <w:tcW w:w="685"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6 </w:t>
            </w:r>
            <w:proofErr w:type="spellStart"/>
            <w:r>
              <w:rPr>
                <w:rFonts w:ascii="Book Antiqua" w:hAnsi="Book Antiqua" w:cs="Book Antiqua"/>
                <w:b/>
                <w:bCs/>
              </w:rPr>
              <w:t>mo</w:t>
            </w:r>
            <w:proofErr w:type="spellEnd"/>
          </w:p>
        </w:tc>
        <w:tc>
          <w:tcPr>
            <w:tcW w:w="743"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12 </w:t>
            </w:r>
            <w:proofErr w:type="spellStart"/>
            <w:r>
              <w:rPr>
                <w:rFonts w:ascii="Book Antiqua" w:hAnsi="Book Antiqua" w:cs="Book Antiqua"/>
                <w:b/>
                <w:bCs/>
              </w:rPr>
              <w:t>mo</w:t>
            </w:r>
            <w:proofErr w:type="spellEnd"/>
          </w:p>
        </w:tc>
      </w:tr>
      <w:tr w:rsidR="00AA4EE3" w:rsidTr="00C91E14">
        <w:trPr>
          <w:trHeight w:val="285"/>
          <w:jc w:val="center"/>
        </w:trPr>
        <w:tc>
          <w:tcPr>
            <w:tcW w:w="1444"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Control group (</w:t>
            </w:r>
            <w:r>
              <w:rPr>
                <w:rFonts w:ascii="Book Antiqua" w:hAnsi="Book Antiqua" w:cs="Book Antiqua"/>
                <w:i/>
                <w:iCs/>
              </w:rPr>
              <w:t>n</w:t>
            </w:r>
            <w:r>
              <w:rPr>
                <w:rFonts w:ascii="Book Antiqua" w:hAnsi="Book Antiqua" w:cs="Book Antiqua"/>
              </w:rPr>
              <w:t xml:space="preserve"> = 63)</w:t>
            </w:r>
          </w:p>
        </w:tc>
        <w:tc>
          <w:tcPr>
            <w:tcW w:w="703"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-2.61 ± 0.18</w:t>
            </w:r>
          </w:p>
        </w:tc>
        <w:tc>
          <w:tcPr>
            <w:tcW w:w="704"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-2.55 ± 0.19</w:t>
            </w:r>
          </w:p>
        </w:tc>
        <w:tc>
          <w:tcPr>
            <w:tcW w:w="721"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-2.53 ± 0.17</w:t>
            </w:r>
            <w:r>
              <w:rPr>
                <w:rFonts w:ascii="Book Antiqua" w:hAnsi="Book Antiqua" w:cs="Book Antiqua"/>
                <w:vertAlign w:val="superscript"/>
              </w:rPr>
              <w:t>a</w:t>
            </w:r>
          </w:p>
        </w:tc>
        <w:tc>
          <w:tcPr>
            <w:tcW w:w="685"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-2.34 ± 0.16</w:t>
            </w:r>
            <w:r>
              <w:rPr>
                <w:rFonts w:ascii="Book Antiqua" w:hAnsi="Book Antiqua" w:cs="Book Antiqua"/>
                <w:vertAlign w:val="superscript"/>
              </w:rPr>
              <w:t>a</w:t>
            </w:r>
          </w:p>
        </w:tc>
        <w:tc>
          <w:tcPr>
            <w:tcW w:w="743"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-2.08 ± 0.13</w:t>
            </w:r>
            <w:r>
              <w:rPr>
                <w:rFonts w:ascii="Book Antiqua" w:hAnsi="Book Antiqua" w:cs="Book Antiqua"/>
                <w:vertAlign w:val="superscript"/>
              </w:rPr>
              <w:t>a</w:t>
            </w:r>
          </w:p>
        </w:tc>
      </w:tr>
      <w:tr w:rsidR="00AA4EE3" w:rsidTr="00C91E14">
        <w:trPr>
          <w:trHeight w:val="285"/>
          <w:jc w:val="center"/>
        </w:trPr>
        <w:tc>
          <w:tcPr>
            <w:tcW w:w="144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Observation group (</w:t>
            </w:r>
            <w:r>
              <w:rPr>
                <w:rFonts w:ascii="Book Antiqua" w:hAnsi="Book Antiqua" w:cs="Book Antiqua"/>
                <w:i/>
                <w:iCs/>
              </w:rPr>
              <w:t>n</w:t>
            </w:r>
            <w:r>
              <w:rPr>
                <w:rFonts w:ascii="Book Antiqua" w:hAnsi="Book Antiqua" w:cs="Book Antiqua"/>
              </w:rPr>
              <w:t xml:space="preserve"> = 63)</w:t>
            </w:r>
          </w:p>
        </w:tc>
        <w:tc>
          <w:tcPr>
            <w:tcW w:w="703"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-2.60 ± 0.15</w:t>
            </w:r>
          </w:p>
        </w:tc>
        <w:tc>
          <w:tcPr>
            <w:tcW w:w="70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-2.21 ± 0.22</w:t>
            </w:r>
            <w:r>
              <w:rPr>
                <w:rFonts w:ascii="Book Antiqua" w:hAnsi="Book Antiqua" w:cs="Book Antiqua"/>
                <w:vertAlign w:val="superscript"/>
              </w:rPr>
              <w:t>a</w:t>
            </w:r>
          </w:p>
        </w:tc>
        <w:tc>
          <w:tcPr>
            <w:tcW w:w="721"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-2.02 ± 0.15</w:t>
            </w:r>
            <w:r>
              <w:rPr>
                <w:rFonts w:ascii="Book Antiqua" w:hAnsi="Book Antiqua" w:cs="Book Antiqua"/>
                <w:vertAlign w:val="superscript"/>
              </w:rPr>
              <w:t>a</w:t>
            </w:r>
          </w:p>
        </w:tc>
        <w:tc>
          <w:tcPr>
            <w:tcW w:w="68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-1.61 ± 0.11</w:t>
            </w:r>
            <w:r>
              <w:rPr>
                <w:rFonts w:ascii="Book Antiqua" w:hAnsi="Book Antiqua" w:cs="Book Antiqua"/>
                <w:vertAlign w:val="superscript"/>
              </w:rPr>
              <w:t>a</w:t>
            </w:r>
          </w:p>
        </w:tc>
        <w:tc>
          <w:tcPr>
            <w:tcW w:w="743"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-1.37 ± 0.10</w:t>
            </w:r>
            <w:r>
              <w:rPr>
                <w:rFonts w:ascii="Book Antiqua" w:hAnsi="Book Antiqua" w:cs="Book Antiqua"/>
                <w:vertAlign w:val="superscript"/>
              </w:rPr>
              <w:t>a</w:t>
            </w:r>
          </w:p>
        </w:tc>
      </w:tr>
      <w:tr w:rsidR="00AA4EE3" w:rsidTr="00C91E14">
        <w:trPr>
          <w:trHeight w:val="285"/>
          <w:jc w:val="center"/>
        </w:trPr>
        <w:tc>
          <w:tcPr>
            <w:tcW w:w="1444"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t</w:t>
            </w:r>
            <w:r>
              <w:rPr>
                <w:rFonts w:ascii="Book Antiqua" w:hAnsi="Book Antiqua" w:cs="Book Antiqua"/>
              </w:rPr>
              <w:t xml:space="preserve"> value</w:t>
            </w:r>
          </w:p>
        </w:tc>
        <w:tc>
          <w:tcPr>
            <w:tcW w:w="703"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0.339</w:t>
            </w:r>
          </w:p>
        </w:tc>
        <w:tc>
          <w:tcPr>
            <w:tcW w:w="70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9.284</w:t>
            </w:r>
          </w:p>
        </w:tc>
        <w:tc>
          <w:tcPr>
            <w:tcW w:w="721"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17.855</w:t>
            </w:r>
          </w:p>
        </w:tc>
        <w:tc>
          <w:tcPr>
            <w:tcW w:w="68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29.842</w:t>
            </w:r>
          </w:p>
        </w:tc>
        <w:tc>
          <w:tcPr>
            <w:tcW w:w="743"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34.360</w:t>
            </w:r>
          </w:p>
        </w:tc>
      </w:tr>
      <w:tr w:rsidR="00AA4EE3" w:rsidTr="00C91E14">
        <w:trPr>
          <w:trHeight w:val="375"/>
          <w:jc w:val="center"/>
        </w:trPr>
        <w:tc>
          <w:tcPr>
            <w:tcW w:w="1444"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P</w:t>
            </w:r>
            <w:r>
              <w:rPr>
                <w:rFonts w:ascii="Book Antiqua" w:hAnsi="Book Antiqua" w:cs="Book Antiqua"/>
              </w:rPr>
              <w:t xml:space="preserve"> value</w:t>
            </w:r>
          </w:p>
        </w:tc>
        <w:tc>
          <w:tcPr>
            <w:tcW w:w="703"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0.735</w:t>
            </w:r>
          </w:p>
        </w:tc>
        <w:tc>
          <w:tcPr>
            <w:tcW w:w="70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c>
          <w:tcPr>
            <w:tcW w:w="721"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c>
          <w:tcPr>
            <w:tcW w:w="68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c>
          <w:tcPr>
            <w:tcW w:w="743"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r>
    </w:tbl>
    <w:p w:rsidR="00AA4EE3" w:rsidRDefault="00555C29">
      <w:pPr>
        <w:adjustRightInd w:val="0"/>
        <w:snapToGrid w:val="0"/>
        <w:spacing w:line="360" w:lineRule="auto"/>
        <w:jc w:val="both"/>
        <w:rPr>
          <w:rFonts w:ascii="Book Antiqua" w:hAnsi="Book Antiqua" w:cs="Book Antiqua"/>
        </w:rPr>
      </w:pPr>
      <w:proofErr w:type="spellStart"/>
      <w:proofErr w:type="gramStart"/>
      <w:r>
        <w:rPr>
          <w:rFonts w:ascii="Book Antiqua" w:hAnsi="Book Antiqua" w:cs="Book Antiqua"/>
          <w:vertAlign w:val="superscript"/>
        </w:rPr>
        <w:t>a</w:t>
      </w:r>
      <w:r>
        <w:rPr>
          <w:rFonts w:ascii="Book Antiqua" w:hAnsi="Book Antiqua" w:cs="Book Antiqua"/>
          <w:i/>
          <w:iCs/>
        </w:rPr>
        <w:t>P</w:t>
      </w:r>
      <w:proofErr w:type="spellEnd"/>
      <w:proofErr w:type="gramEnd"/>
      <w:r>
        <w:rPr>
          <w:rFonts w:ascii="Book Antiqua" w:hAnsi="Book Antiqua" w:cs="Book Antiqua"/>
        </w:rPr>
        <w:t xml:space="preserve"> &lt; 0.05 </w:t>
      </w:r>
      <w:proofErr w:type="spellStart"/>
      <w:r>
        <w:rPr>
          <w:rFonts w:ascii="Book Antiqua" w:hAnsi="Book Antiqua" w:cs="Book Antiqua"/>
          <w:i/>
          <w:iCs/>
        </w:rPr>
        <w:t>vs</w:t>
      </w:r>
      <w:proofErr w:type="spellEnd"/>
      <w:r>
        <w:rPr>
          <w:rFonts w:ascii="Book Antiqua" w:hAnsi="Book Antiqua" w:cs="Book Antiqua"/>
        </w:rPr>
        <w:t xml:space="preserve"> before operation.</w:t>
      </w:r>
    </w:p>
    <w:p w:rsidR="00C91E14" w:rsidRDefault="00C91E14">
      <w:pPr>
        <w:rPr>
          <w:rFonts w:ascii="Book Antiqua" w:hAnsi="Book Antiqua" w:cs="Book Antiqua"/>
        </w:rPr>
      </w:pPr>
      <w:r>
        <w:rPr>
          <w:rFonts w:ascii="Book Antiqua" w:hAnsi="Book Antiqua" w:cs="Book Antiqua"/>
        </w:rPr>
        <w:br w:type="page"/>
      </w:r>
    </w:p>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Table 6 Comparison of Harris scores between the two groups (mean ± SD)</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597"/>
        <w:gridCol w:w="1593"/>
        <w:gridCol w:w="1596"/>
        <w:gridCol w:w="1532"/>
        <w:gridCol w:w="1568"/>
        <w:gridCol w:w="1504"/>
      </w:tblGrid>
      <w:tr w:rsidR="00AA4EE3">
        <w:trPr>
          <w:trHeight w:val="285"/>
          <w:jc w:val="center"/>
        </w:trPr>
        <w:tc>
          <w:tcPr>
            <w:tcW w:w="850" w:type="pct"/>
            <w:vMerge w:val="restar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Groups</w:t>
            </w:r>
          </w:p>
        </w:tc>
        <w:tc>
          <w:tcPr>
            <w:tcW w:w="848" w:type="pct"/>
            <w:vMerge w:val="restar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Preoperative</w:t>
            </w:r>
          </w:p>
        </w:tc>
        <w:tc>
          <w:tcPr>
            <w:tcW w:w="3302" w:type="pct"/>
            <w:gridSpan w:val="4"/>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After operation</w:t>
            </w:r>
          </w:p>
        </w:tc>
      </w:tr>
      <w:tr w:rsidR="00AA4EE3">
        <w:trPr>
          <w:trHeight w:val="285"/>
          <w:jc w:val="center"/>
        </w:trPr>
        <w:tc>
          <w:tcPr>
            <w:tcW w:w="850" w:type="pct"/>
            <w:vMerge/>
            <w:tcBorders>
              <w:top w:val="single" w:sz="4" w:space="0" w:color="000000"/>
              <w:bottom w:val="single" w:sz="4" w:space="0" w:color="000000"/>
            </w:tcBorders>
            <w:vAlign w:val="center"/>
          </w:tcPr>
          <w:p w:rsidR="00AA4EE3" w:rsidRDefault="00AA4EE3">
            <w:pPr>
              <w:adjustRightInd w:val="0"/>
              <w:snapToGrid w:val="0"/>
              <w:spacing w:line="360" w:lineRule="auto"/>
              <w:jc w:val="both"/>
              <w:rPr>
                <w:rFonts w:ascii="Book Antiqua" w:hAnsi="Book Antiqua" w:cs="Book Antiqua"/>
                <w:b/>
                <w:bCs/>
              </w:rPr>
            </w:pPr>
          </w:p>
        </w:tc>
        <w:tc>
          <w:tcPr>
            <w:tcW w:w="848" w:type="pct"/>
            <w:vMerge/>
            <w:tcBorders>
              <w:top w:val="single" w:sz="4" w:space="0" w:color="000000"/>
              <w:bottom w:val="single" w:sz="4" w:space="0" w:color="000000"/>
            </w:tcBorders>
            <w:vAlign w:val="center"/>
          </w:tcPr>
          <w:p w:rsidR="00AA4EE3" w:rsidRDefault="00AA4EE3">
            <w:pPr>
              <w:adjustRightInd w:val="0"/>
              <w:snapToGrid w:val="0"/>
              <w:spacing w:line="360" w:lineRule="auto"/>
              <w:jc w:val="both"/>
              <w:rPr>
                <w:rFonts w:ascii="Book Antiqua" w:hAnsi="Book Antiqua" w:cs="Book Antiqua"/>
                <w:b/>
                <w:bCs/>
              </w:rPr>
            </w:pPr>
          </w:p>
        </w:tc>
        <w:tc>
          <w:tcPr>
            <w:tcW w:w="850"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1 </w:t>
            </w:r>
            <w:proofErr w:type="spellStart"/>
            <w:r>
              <w:rPr>
                <w:rFonts w:ascii="Book Antiqua" w:hAnsi="Book Antiqua" w:cs="Book Antiqua"/>
                <w:b/>
                <w:bCs/>
              </w:rPr>
              <w:t>mo</w:t>
            </w:r>
            <w:proofErr w:type="spellEnd"/>
          </w:p>
        </w:tc>
        <w:tc>
          <w:tcPr>
            <w:tcW w:w="816"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3 </w:t>
            </w:r>
            <w:proofErr w:type="spellStart"/>
            <w:r>
              <w:rPr>
                <w:rFonts w:ascii="Book Antiqua" w:hAnsi="Book Antiqua" w:cs="Book Antiqua"/>
                <w:b/>
                <w:bCs/>
              </w:rPr>
              <w:t>mo</w:t>
            </w:r>
            <w:proofErr w:type="spellEnd"/>
          </w:p>
        </w:tc>
        <w:tc>
          <w:tcPr>
            <w:tcW w:w="835"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6 </w:t>
            </w:r>
            <w:proofErr w:type="spellStart"/>
            <w:r>
              <w:rPr>
                <w:rFonts w:ascii="Book Antiqua" w:hAnsi="Book Antiqua" w:cs="Book Antiqua"/>
                <w:b/>
                <w:bCs/>
              </w:rPr>
              <w:t>mo</w:t>
            </w:r>
            <w:proofErr w:type="spellEnd"/>
          </w:p>
        </w:tc>
        <w:tc>
          <w:tcPr>
            <w:tcW w:w="801"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 xml:space="preserve">12 </w:t>
            </w:r>
            <w:proofErr w:type="spellStart"/>
            <w:r>
              <w:rPr>
                <w:rFonts w:ascii="Book Antiqua" w:hAnsi="Book Antiqua" w:cs="Book Antiqua"/>
                <w:b/>
                <w:bCs/>
              </w:rPr>
              <w:t>mo</w:t>
            </w:r>
            <w:proofErr w:type="spellEnd"/>
          </w:p>
        </w:tc>
      </w:tr>
      <w:tr w:rsidR="00AA4EE3">
        <w:trPr>
          <w:trHeight w:val="285"/>
          <w:jc w:val="center"/>
        </w:trPr>
        <w:tc>
          <w:tcPr>
            <w:tcW w:w="850"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Control group (</w:t>
            </w:r>
            <w:r>
              <w:rPr>
                <w:rFonts w:ascii="Book Antiqua" w:hAnsi="Book Antiqua" w:cs="Book Antiqua"/>
                <w:i/>
                <w:iCs/>
              </w:rPr>
              <w:t>n</w:t>
            </w:r>
            <w:r>
              <w:rPr>
                <w:rFonts w:ascii="Book Antiqua" w:hAnsi="Book Antiqua" w:cs="Book Antiqua"/>
              </w:rPr>
              <w:t xml:space="preserve"> = 63)</w:t>
            </w:r>
          </w:p>
        </w:tc>
        <w:tc>
          <w:tcPr>
            <w:tcW w:w="848"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34.25 ± 3.05</w:t>
            </w:r>
          </w:p>
        </w:tc>
        <w:tc>
          <w:tcPr>
            <w:tcW w:w="850"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71.14 ± 4.06</w:t>
            </w:r>
            <w:r>
              <w:rPr>
                <w:rFonts w:ascii="Book Antiqua" w:hAnsi="Book Antiqua" w:cs="Book Antiqua"/>
                <w:vertAlign w:val="superscript"/>
              </w:rPr>
              <w:t>a</w:t>
            </w:r>
          </w:p>
        </w:tc>
        <w:tc>
          <w:tcPr>
            <w:tcW w:w="816"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78.65 ± 3.58</w:t>
            </w:r>
            <w:r>
              <w:rPr>
                <w:rFonts w:ascii="Book Antiqua" w:hAnsi="Book Antiqua" w:cs="Book Antiqua"/>
                <w:vertAlign w:val="superscript"/>
              </w:rPr>
              <w:t>a</w:t>
            </w:r>
          </w:p>
        </w:tc>
        <w:tc>
          <w:tcPr>
            <w:tcW w:w="835"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81.05 ± 4.06</w:t>
            </w:r>
            <w:r>
              <w:rPr>
                <w:rFonts w:ascii="Book Antiqua" w:hAnsi="Book Antiqua" w:cs="Book Antiqua"/>
                <w:vertAlign w:val="superscript"/>
              </w:rPr>
              <w:t>a</w:t>
            </w:r>
          </w:p>
        </w:tc>
        <w:tc>
          <w:tcPr>
            <w:tcW w:w="801"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83.36 ± 3.64</w:t>
            </w:r>
            <w:r>
              <w:rPr>
                <w:rFonts w:ascii="Book Antiqua" w:hAnsi="Book Antiqua" w:cs="Book Antiqua"/>
                <w:vertAlign w:val="superscript"/>
              </w:rPr>
              <w:t>a</w:t>
            </w:r>
          </w:p>
        </w:tc>
      </w:tr>
      <w:tr w:rsidR="00AA4EE3">
        <w:trPr>
          <w:trHeight w:val="285"/>
          <w:jc w:val="center"/>
        </w:trPr>
        <w:tc>
          <w:tcPr>
            <w:tcW w:w="850"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Observation group (</w:t>
            </w:r>
            <w:r>
              <w:rPr>
                <w:rFonts w:ascii="Book Antiqua" w:hAnsi="Book Antiqua" w:cs="Book Antiqua"/>
                <w:i/>
                <w:iCs/>
              </w:rPr>
              <w:t>n</w:t>
            </w:r>
            <w:r>
              <w:rPr>
                <w:rFonts w:ascii="Book Antiqua" w:hAnsi="Book Antiqua" w:cs="Book Antiqua"/>
              </w:rPr>
              <w:t xml:space="preserve"> = 63)</w:t>
            </w:r>
          </w:p>
        </w:tc>
        <w:tc>
          <w:tcPr>
            <w:tcW w:w="84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34.18 ± 3.21</w:t>
            </w:r>
          </w:p>
        </w:tc>
        <w:tc>
          <w:tcPr>
            <w:tcW w:w="850"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79.53 ± 4.51</w:t>
            </w:r>
            <w:r>
              <w:rPr>
                <w:rFonts w:ascii="Book Antiqua" w:hAnsi="Book Antiqua" w:cs="Book Antiqua"/>
                <w:vertAlign w:val="superscript"/>
              </w:rPr>
              <w:t>a</w:t>
            </w:r>
          </w:p>
        </w:tc>
        <w:tc>
          <w:tcPr>
            <w:tcW w:w="81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86.54 ± 4.12</w:t>
            </w:r>
            <w:r>
              <w:rPr>
                <w:rFonts w:ascii="Book Antiqua" w:hAnsi="Book Antiqua" w:cs="Book Antiqua"/>
                <w:vertAlign w:val="superscript"/>
              </w:rPr>
              <w:t>a</w:t>
            </w:r>
          </w:p>
        </w:tc>
        <w:tc>
          <w:tcPr>
            <w:tcW w:w="83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88.96 ± 4.11</w:t>
            </w:r>
            <w:r>
              <w:rPr>
                <w:rFonts w:ascii="Book Antiqua" w:hAnsi="Book Antiqua" w:cs="Book Antiqua"/>
                <w:vertAlign w:val="superscript"/>
              </w:rPr>
              <w:t>a</w:t>
            </w:r>
          </w:p>
        </w:tc>
        <w:tc>
          <w:tcPr>
            <w:tcW w:w="801"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91.23 ± 4.52</w:t>
            </w:r>
            <w:r>
              <w:rPr>
                <w:rFonts w:ascii="Book Antiqua" w:hAnsi="Book Antiqua" w:cs="Book Antiqua"/>
                <w:vertAlign w:val="superscript"/>
              </w:rPr>
              <w:t>a</w:t>
            </w:r>
          </w:p>
        </w:tc>
      </w:tr>
      <w:tr w:rsidR="00AA4EE3">
        <w:trPr>
          <w:trHeight w:val="285"/>
          <w:jc w:val="center"/>
        </w:trPr>
        <w:tc>
          <w:tcPr>
            <w:tcW w:w="850"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t</w:t>
            </w:r>
            <w:r>
              <w:rPr>
                <w:rFonts w:ascii="Book Antiqua" w:hAnsi="Book Antiqua" w:cs="Book Antiqua"/>
              </w:rPr>
              <w:t xml:space="preserve"> value</w:t>
            </w:r>
          </w:p>
        </w:tc>
        <w:tc>
          <w:tcPr>
            <w:tcW w:w="84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0.125</w:t>
            </w:r>
          </w:p>
        </w:tc>
        <w:tc>
          <w:tcPr>
            <w:tcW w:w="850"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10.974</w:t>
            </w:r>
          </w:p>
        </w:tc>
        <w:tc>
          <w:tcPr>
            <w:tcW w:w="81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11.474</w:t>
            </w:r>
          </w:p>
        </w:tc>
        <w:tc>
          <w:tcPr>
            <w:tcW w:w="83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10.868</w:t>
            </w:r>
          </w:p>
        </w:tc>
        <w:tc>
          <w:tcPr>
            <w:tcW w:w="801"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10.764</w:t>
            </w:r>
          </w:p>
        </w:tc>
      </w:tr>
      <w:tr w:rsidR="00AA4EE3">
        <w:trPr>
          <w:trHeight w:val="375"/>
          <w:jc w:val="center"/>
        </w:trPr>
        <w:tc>
          <w:tcPr>
            <w:tcW w:w="850"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P</w:t>
            </w:r>
            <w:r>
              <w:rPr>
                <w:rFonts w:ascii="Book Antiqua" w:hAnsi="Book Antiqua" w:cs="Book Antiqua"/>
              </w:rPr>
              <w:t xml:space="preserve"> value</w:t>
            </w:r>
          </w:p>
        </w:tc>
        <w:tc>
          <w:tcPr>
            <w:tcW w:w="848"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0.900</w:t>
            </w:r>
          </w:p>
        </w:tc>
        <w:tc>
          <w:tcPr>
            <w:tcW w:w="850"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c>
          <w:tcPr>
            <w:tcW w:w="81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c>
          <w:tcPr>
            <w:tcW w:w="835"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c>
          <w:tcPr>
            <w:tcW w:w="801"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0.000</w:t>
            </w:r>
          </w:p>
        </w:tc>
      </w:tr>
    </w:tbl>
    <w:p w:rsidR="00AA4EE3" w:rsidRDefault="00555C29">
      <w:pPr>
        <w:adjustRightInd w:val="0"/>
        <w:snapToGrid w:val="0"/>
        <w:spacing w:line="360" w:lineRule="auto"/>
        <w:jc w:val="both"/>
        <w:rPr>
          <w:rFonts w:ascii="Book Antiqua" w:hAnsi="Book Antiqua" w:cs="Book Antiqua"/>
        </w:rPr>
      </w:pPr>
      <w:proofErr w:type="spellStart"/>
      <w:proofErr w:type="gramStart"/>
      <w:r>
        <w:rPr>
          <w:rFonts w:ascii="Book Antiqua" w:hAnsi="Book Antiqua" w:cs="Book Antiqua"/>
          <w:vertAlign w:val="superscript"/>
        </w:rPr>
        <w:t>a</w:t>
      </w:r>
      <w:r>
        <w:rPr>
          <w:rFonts w:ascii="Book Antiqua" w:hAnsi="Book Antiqua" w:cs="Book Antiqua"/>
          <w:i/>
          <w:iCs/>
        </w:rPr>
        <w:t>P</w:t>
      </w:r>
      <w:proofErr w:type="spellEnd"/>
      <w:proofErr w:type="gramEnd"/>
      <w:r>
        <w:rPr>
          <w:rFonts w:ascii="Book Antiqua" w:hAnsi="Book Antiqua" w:cs="Book Antiqua"/>
        </w:rPr>
        <w:t xml:space="preserve"> &lt; 0.05 </w:t>
      </w:r>
      <w:proofErr w:type="spellStart"/>
      <w:r>
        <w:rPr>
          <w:rFonts w:ascii="Book Antiqua" w:hAnsi="Book Antiqua" w:cs="Book Antiqua"/>
          <w:i/>
          <w:iCs/>
        </w:rPr>
        <w:t>vs</w:t>
      </w:r>
      <w:proofErr w:type="spellEnd"/>
      <w:r>
        <w:rPr>
          <w:rFonts w:ascii="Book Antiqua" w:hAnsi="Book Antiqua" w:cs="Book Antiqua"/>
        </w:rPr>
        <w:t xml:space="preserve"> before operation.</w:t>
      </w:r>
    </w:p>
    <w:p w:rsidR="00C91E14" w:rsidRDefault="00C91E14">
      <w:pPr>
        <w:rPr>
          <w:rFonts w:ascii="Book Antiqua" w:hAnsi="Book Antiqua" w:cs="Book Antiqua"/>
        </w:rPr>
      </w:pPr>
      <w:r>
        <w:rPr>
          <w:rFonts w:ascii="Book Antiqua" w:hAnsi="Book Antiqua" w:cs="Book Antiqua"/>
        </w:rPr>
        <w:br w:type="page"/>
      </w:r>
    </w:p>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7 Comparison of recurrence of fractures in the two groups within 12 </w:t>
      </w:r>
      <w:proofErr w:type="spellStart"/>
      <w:proofErr w:type="gramStart"/>
      <w:r>
        <w:rPr>
          <w:rFonts w:ascii="Book Antiqua" w:hAnsi="Book Antiqua" w:cs="Book Antiqua"/>
          <w:b/>
          <w:bCs/>
        </w:rPr>
        <w:t>mo</w:t>
      </w:r>
      <w:proofErr w:type="spellEnd"/>
      <w:proofErr w:type="gramEnd"/>
      <w:r>
        <w:rPr>
          <w:rFonts w:ascii="Book Antiqua" w:hAnsi="Book Antiqua" w:cs="Book Antiqua"/>
          <w:b/>
          <w:bCs/>
        </w:rPr>
        <w:t xml:space="preserve">, </w:t>
      </w:r>
      <w:r>
        <w:rPr>
          <w:rFonts w:ascii="Book Antiqua" w:hAnsi="Book Antiqua" w:cs="Book Antiqua"/>
          <w:b/>
          <w:bCs/>
          <w:i/>
          <w:iCs/>
        </w:rPr>
        <w:t>n</w:t>
      </w:r>
      <w:r>
        <w:rPr>
          <w:rFonts w:ascii="Book Antiqua" w:hAnsi="Book Antiqua" w:cs="Book Antiqua"/>
          <w:b/>
          <w:bCs/>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3692"/>
        <w:gridCol w:w="5698"/>
      </w:tblGrid>
      <w:tr w:rsidR="00AA4EE3" w:rsidTr="00C91E14">
        <w:trPr>
          <w:trHeight w:val="110"/>
          <w:jc w:val="center"/>
        </w:trPr>
        <w:tc>
          <w:tcPr>
            <w:tcW w:w="1966"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Groups</w:t>
            </w:r>
          </w:p>
        </w:tc>
        <w:tc>
          <w:tcPr>
            <w:tcW w:w="3034" w:type="pct"/>
            <w:tcBorders>
              <w:top w:val="single" w:sz="4" w:space="0" w:color="000000"/>
              <w:bottom w:val="single" w:sz="4" w:space="0" w:color="000000"/>
            </w:tcBorders>
            <w:vAlign w:val="center"/>
          </w:tcPr>
          <w:p w:rsidR="00AA4EE3" w:rsidRDefault="00555C29">
            <w:pPr>
              <w:adjustRightInd w:val="0"/>
              <w:snapToGrid w:val="0"/>
              <w:spacing w:line="360" w:lineRule="auto"/>
              <w:jc w:val="both"/>
              <w:rPr>
                <w:rFonts w:ascii="Book Antiqua" w:hAnsi="Book Antiqua" w:cs="Book Antiqua"/>
                <w:b/>
                <w:bCs/>
              </w:rPr>
            </w:pPr>
            <w:r>
              <w:rPr>
                <w:rFonts w:ascii="Book Antiqua" w:hAnsi="Book Antiqua" w:cs="Book Antiqua"/>
                <w:b/>
                <w:bCs/>
              </w:rPr>
              <w:t>Recurrent fracture</w:t>
            </w:r>
          </w:p>
        </w:tc>
      </w:tr>
      <w:tr w:rsidR="00AA4EE3">
        <w:trPr>
          <w:trHeight w:val="285"/>
          <w:jc w:val="center"/>
        </w:trPr>
        <w:tc>
          <w:tcPr>
            <w:tcW w:w="1966"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Control group (</w:t>
            </w:r>
            <w:r>
              <w:rPr>
                <w:rFonts w:ascii="Book Antiqua" w:hAnsi="Book Antiqua" w:cs="Book Antiqua"/>
                <w:i/>
                <w:iCs/>
              </w:rPr>
              <w:t>n</w:t>
            </w:r>
            <w:r>
              <w:rPr>
                <w:rFonts w:ascii="Book Antiqua" w:hAnsi="Book Antiqua" w:cs="Book Antiqua"/>
              </w:rPr>
              <w:t xml:space="preserve"> = 63)</w:t>
            </w:r>
          </w:p>
        </w:tc>
        <w:tc>
          <w:tcPr>
            <w:tcW w:w="3034" w:type="pct"/>
            <w:tcBorders>
              <w:top w:val="single" w:sz="4" w:space="0" w:color="000000"/>
            </w:tcBorders>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4 (6.35)</w:t>
            </w:r>
          </w:p>
        </w:tc>
      </w:tr>
      <w:tr w:rsidR="00AA4EE3">
        <w:trPr>
          <w:trHeight w:val="285"/>
          <w:jc w:val="center"/>
        </w:trPr>
        <w:tc>
          <w:tcPr>
            <w:tcW w:w="1966"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Observation group (</w:t>
            </w:r>
            <w:r>
              <w:rPr>
                <w:rFonts w:ascii="Book Antiqua" w:hAnsi="Book Antiqua" w:cs="Book Antiqua"/>
                <w:i/>
                <w:iCs/>
              </w:rPr>
              <w:t>n</w:t>
            </w:r>
            <w:r>
              <w:rPr>
                <w:rFonts w:ascii="Book Antiqua" w:hAnsi="Book Antiqua" w:cs="Book Antiqua"/>
              </w:rPr>
              <w:t xml:space="preserve"> = 63)</w:t>
            </w:r>
          </w:p>
        </w:tc>
        <w:tc>
          <w:tcPr>
            <w:tcW w:w="303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 (0.00)</w:t>
            </w:r>
          </w:p>
        </w:tc>
      </w:tr>
      <w:tr w:rsidR="00AA4EE3">
        <w:trPr>
          <w:trHeight w:val="285"/>
          <w:jc w:val="center"/>
        </w:trPr>
        <w:tc>
          <w:tcPr>
            <w:tcW w:w="1966"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χ</w:t>
            </w:r>
            <w:r>
              <w:rPr>
                <w:rFonts w:ascii="Book Antiqua" w:hAnsi="Book Antiqua" w:cs="Book Antiqua"/>
                <w:vertAlign w:val="superscript"/>
              </w:rPr>
              <w:t>2</w:t>
            </w:r>
          </w:p>
        </w:tc>
        <w:tc>
          <w:tcPr>
            <w:tcW w:w="303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4.131</w:t>
            </w:r>
          </w:p>
        </w:tc>
      </w:tr>
      <w:tr w:rsidR="00AA4EE3">
        <w:trPr>
          <w:trHeight w:val="375"/>
          <w:jc w:val="center"/>
        </w:trPr>
        <w:tc>
          <w:tcPr>
            <w:tcW w:w="1966" w:type="pct"/>
            <w:vAlign w:val="center"/>
          </w:tcPr>
          <w:p w:rsidR="00AA4EE3" w:rsidRDefault="00555C29">
            <w:pPr>
              <w:adjustRightInd w:val="0"/>
              <w:snapToGrid w:val="0"/>
              <w:spacing w:line="360" w:lineRule="auto"/>
              <w:jc w:val="both"/>
              <w:rPr>
                <w:rFonts w:ascii="Book Antiqua" w:hAnsi="Book Antiqua" w:cs="Book Antiqua"/>
                <w:i/>
                <w:iCs/>
              </w:rPr>
            </w:pPr>
            <w:r>
              <w:rPr>
                <w:rFonts w:ascii="Book Antiqua" w:hAnsi="Book Antiqua" w:cs="Book Antiqua"/>
                <w:i/>
                <w:iCs/>
              </w:rPr>
              <w:t xml:space="preserve">P </w:t>
            </w:r>
            <w:r>
              <w:rPr>
                <w:rFonts w:ascii="Book Antiqua" w:hAnsi="Book Antiqua" w:cs="Book Antiqua"/>
              </w:rPr>
              <w:t>value</w:t>
            </w:r>
          </w:p>
        </w:tc>
        <w:tc>
          <w:tcPr>
            <w:tcW w:w="3034" w:type="pct"/>
            <w:vAlign w:val="center"/>
          </w:tcPr>
          <w:p w:rsidR="00AA4EE3" w:rsidRDefault="00555C29">
            <w:pPr>
              <w:adjustRightInd w:val="0"/>
              <w:snapToGrid w:val="0"/>
              <w:spacing w:line="360" w:lineRule="auto"/>
              <w:jc w:val="both"/>
              <w:rPr>
                <w:rFonts w:ascii="Book Antiqua" w:hAnsi="Book Antiqua" w:cs="Book Antiqua"/>
              </w:rPr>
            </w:pPr>
            <w:r>
              <w:rPr>
                <w:rFonts w:ascii="Book Antiqua" w:hAnsi="Book Antiqua" w:cs="Book Antiqua"/>
              </w:rPr>
              <w:t>0.042</w:t>
            </w:r>
          </w:p>
        </w:tc>
      </w:tr>
    </w:tbl>
    <w:p w:rsidR="00AA522E" w:rsidRDefault="00AA522E">
      <w:pPr>
        <w:rPr>
          <w:rFonts w:ascii="Book Antiqua" w:eastAsia="Book Antiqua" w:hAnsi="Book Antiqua" w:cs="Book Antiqua"/>
          <w:bCs/>
          <w:color w:val="000000"/>
        </w:rPr>
      </w:pPr>
      <w:r>
        <w:rPr>
          <w:rFonts w:ascii="Book Antiqua" w:eastAsia="Book Antiqua" w:hAnsi="Book Antiqua" w:cs="Book Antiqua"/>
          <w:bCs/>
          <w:color w:val="000000"/>
        </w:rPr>
        <w:br w:type="page"/>
      </w: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r>
        <w:rPr>
          <w:rFonts w:ascii="Book Antiqua" w:hAnsi="Book Antiqua"/>
          <w:noProof/>
          <w:lang w:eastAsia="zh-CN"/>
        </w:rPr>
        <w:drawing>
          <wp:inline distT="0" distB="0" distL="0" distR="0" wp14:anchorId="6EAAC935" wp14:editId="28F5DED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AA522E" w:rsidRDefault="00AA522E" w:rsidP="00AA522E">
      <w:pPr>
        <w:jc w:val="center"/>
        <w:rPr>
          <w:rFonts w:ascii="Book Antiqua" w:hAnsi="Book Antiqua"/>
        </w:rPr>
      </w:pPr>
    </w:p>
    <w:p w:rsidR="00AA522E" w:rsidRPr="00763D22" w:rsidRDefault="00AA522E" w:rsidP="00AA522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AA522E" w:rsidRPr="00763D22" w:rsidRDefault="00AA522E" w:rsidP="00AA522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AA522E" w:rsidRPr="00763D22" w:rsidRDefault="00AA522E" w:rsidP="00AA522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AA522E" w:rsidRPr="00763D22" w:rsidRDefault="00AA522E" w:rsidP="00AA522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AA522E" w:rsidRPr="00763D22" w:rsidRDefault="00AA522E" w:rsidP="00AA522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AA522E" w:rsidRPr="00763D22" w:rsidRDefault="00AA522E" w:rsidP="00AA522E">
      <w:pPr>
        <w:jc w:val="center"/>
        <w:rPr>
          <w:rFonts w:ascii="Book Antiqua" w:hAnsi="Book Antiqua"/>
        </w:rPr>
      </w:pPr>
      <w:r w:rsidRPr="00763D22">
        <w:rPr>
          <w:rFonts w:ascii="Book Antiqua" w:eastAsia="TimesNewRomanPSMT" w:hAnsi="Book Antiqua" w:cs="Garamond"/>
          <w:color w:val="D56400"/>
          <w:sz w:val="28"/>
          <w:szCs w:val="28"/>
        </w:rPr>
        <w:t>https://www.wjgnet.com</w:t>
      </w: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r>
        <w:rPr>
          <w:rFonts w:ascii="Book Antiqua" w:hAnsi="Book Antiqua"/>
          <w:noProof/>
          <w:lang w:eastAsia="zh-CN"/>
        </w:rPr>
        <w:drawing>
          <wp:inline distT="0" distB="0" distL="0" distR="0" wp14:anchorId="7B7340E9" wp14:editId="0F8E242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Default="00AA522E" w:rsidP="00AA522E">
      <w:pPr>
        <w:jc w:val="center"/>
        <w:rPr>
          <w:rFonts w:ascii="Book Antiqua" w:hAnsi="Book Antiqua"/>
        </w:rPr>
      </w:pPr>
    </w:p>
    <w:p w:rsidR="00AA522E" w:rsidRPr="00763D22" w:rsidRDefault="00AA522E" w:rsidP="00AA522E">
      <w:pPr>
        <w:jc w:val="right"/>
        <w:rPr>
          <w:rFonts w:ascii="Book Antiqua" w:hAnsi="Book Antiqua"/>
          <w:color w:val="000000" w:themeColor="text1"/>
        </w:rPr>
      </w:pPr>
    </w:p>
    <w:p w:rsidR="00AA522E" w:rsidRPr="00763D22" w:rsidRDefault="00AA522E" w:rsidP="00AA522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AA4EE3" w:rsidRDefault="00AA4EE3" w:rsidP="00AA522E">
      <w:pPr>
        <w:adjustRightInd w:val="0"/>
        <w:snapToGrid w:val="0"/>
        <w:spacing w:line="360" w:lineRule="auto"/>
        <w:jc w:val="both"/>
        <w:rPr>
          <w:rFonts w:ascii="Book Antiqua" w:eastAsia="Book Antiqua" w:hAnsi="Book Antiqua" w:cs="Book Antiqua"/>
          <w:bCs/>
          <w:color w:val="000000"/>
        </w:rPr>
      </w:pPr>
    </w:p>
    <w:sectPr w:rsidR="00AA4E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C3" w:rsidRDefault="009E54C3">
      <w:r>
        <w:separator/>
      </w:r>
    </w:p>
  </w:endnote>
  <w:endnote w:type="continuationSeparator" w:id="0">
    <w:p w:rsidR="009E54C3" w:rsidRDefault="009E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18495"/>
      <w:docPartObj>
        <w:docPartGallery w:val="AutoText"/>
      </w:docPartObj>
    </w:sdtPr>
    <w:sdtEndPr/>
    <w:sdtContent>
      <w:sdt>
        <w:sdtPr>
          <w:id w:val="-1769616900"/>
          <w:docPartObj>
            <w:docPartGallery w:val="AutoText"/>
          </w:docPartObj>
        </w:sdtPr>
        <w:sdtEndPr/>
        <w:sdtContent>
          <w:p w:rsidR="00AA4EE3" w:rsidRDefault="00555C29">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9263E">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9263E">
              <w:rPr>
                <w:b/>
                <w:bCs/>
                <w:noProof/>
              </w:rPr>
              <w:t>26</w:t>
            </w:r>
            <w:r>
              <w:rPr>
                <w:b/>
                <w:bCs/>
                <w:sz w:val="24"/>
                <w:szCs w:val="24"/>
              </w:rPr>
              <w:fldChar w:fldCharType="end"/>
            </w:r>
          </w:p>
        </w:sdtContent>
      </w:sdt>
    </w:sdtContent>
  </w:sdt>
  <w:p w:rsidR="00AA4EE3" w:rsidRDefault="00AA4E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C3" w:rsidRDefault="009E54C3">
      <w:r>
        <w:separator/>
      </w:r>
    </w:p>
  </w:footnote>
  <w:footnote w:type="continuationSeparator" w:id="0">
    <w:p w:rsidR="009E54C3" w:rsidRDefault="009E5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31EA3"/>
    <w:rsid w:val="00034997"/>
    <w:rsid w:val="00055E7A"/>
    <w:rsid w:val="0007575A"/>
    <w:rsid w:val="000C0D3C"/>
    <w:rsid w:val="000C522C"/>
    <w:rsid w:val="000F193D"/>
    <w:rsid w:val="0010730C"/>
    <w:rsid w:val="0015525C"/>
    <w:rsid w:val="001647E1"/>
    <w:rsid w:val="00190CD5"/>
    <w:rsid w:val="0019731D"/>
    <w:rsid w:val="001A6BA9"/>
    <w:rsid w:val="001B72DF"/>
    <w:rsid w:val="001E2BC3"/>
    <w:rsid w:val="001F212F"/>
    <w:rsid w:val="0020105F"/>
    <w:rsid w:val="0021742B"/>
    <w:rsid w:val="00223378"/>
    <w:rsid w:val="0025037F"/>
    <w:rsid w:val="00273800"/>
    <w:rsid w:val="002A1732"/>
    <w:rsid w:val="002B36F2"/>
    <w:rsid w:val="00313098"/>
    <w:rsid w:val="00314DC1"/>
    <w:rsid w:val="00335727"/>
    <w:rsid w:val="00363467"/>
    <w:rsid w:val="003F0473"/>
    <w:rsid w:val="003F6920"/>
    <w:rsid w:val="004172AE"/>
    <w:rsid w:val="00430C54"/>
    <w:rsid w:val="00486B41"/>
    <w:rsid w:val="004B61E5"/>
    <w:rsid w:val="004C2332"/>
    <w:rsid w:val="004E2C9C"/>
    <w:rsid w:val="00521031"/>
    <w:rsid w:val="005309C4"/>
    <w:rsid w:val="00555C29"/>
    <w:rsid w:val="005572FF"/>
    <w:rsid w:val="00561505"/>
    <w:rsid w:val="0059263E"/>
    <w:rsid w:val="006178C3"/>
    <w:rsid w:val="0062655A"/>
    <w:rsid w:val="0066550A"/>
    <w:rsid w:val="006850DD"/>
    <w:rsid w:val="00697E4B"/>
    <w:rsid w:val="006A55C3"/>
    <w:rsid w:val="006B6A6D"/>
    <w:rsid w:val="006D6A06"/>
    <w:rsid w:val="006D6F37"/>
    <w:rsid w:val="006F1619"/>
    <w:rsid w:val="00727DB6"/>
    <w:rsid w:val="00736D7F"/>
    <w:rsid w:val="007B1C11"/>
    <w:rsid w:val="007B7E31"/>
    <w:rsid w:val="007F6C11"/>
    <w:rsid w:val="00814816"/>
    <w:rsid w:val="008378F6"/>
    <w:rsid w:val="008379A0"/>
    <w:rsid w:val="008520CE"/>
    <w:rsid w:val="00885FFE"/>
    <w:rsid w:val="008869D7"/>
    <w:rsid w:val="00891B73"/>
    <w:rsid w:val="008A72CB"/>
    <w:rsid w:val="008D6097"/>
    <w:rsid w:val="00907A1D"/>
    <w:rsid w:val="00917D75"/>
    <w:rsid w:val="00952DAB"/>
    <w:rsid w:val="00961BFE"/>
    <w:rsid w:val="009622BD"/>
    <w:rsid w:val="00985B0E"/>
    <w:rsid w:val="009A4429"/>
    <w:rsid w:val="009A74BF"/>
    <w:rsid w:val="009B04E9"/>
    <w:rsid w:val="009E54C3"/>
    <w:rsid w:val="00A03538"/>
    <w:rsid w:val="00A06B4C"/>
    <w:rsid w:val="00A175AC"/>
    <w:rsid w:val="00A510ED"/>
    <w:rsid w:val="00A77B3E"/>
    <w:rsid w:val="00AA0C46"/>
    <w:rsid w:val="00AA0F0C"/>
    <w:rsid w:val="00AA4EE3"/>
    <w:rsid w:val="00AA522E"/>
    <w:rsid w:val="00AC0EEB"/>
    <w:rsid w:val="00AE0E29"/>
    <w:rsid w:val="00AE14CC"/>
    <w:rsid w:val="00B4205F"/>
    <w:rsid w:val="00B46E99"/>
    <w:rsid w:val="00BC3F23"/>
    <w:rsid w:val="00C12E07"/>
    <w:rsid w:val="00C23882"/>
    <w:rsid w:val="00C513B7"/>
    <w:rsid w:val="00C91E14"/>
    <w:rsid w:val="00CA2A55"/>
    <w:rsid w:val="00CA381F"/>
    <w:rsid w:val="00CB43E4"/>
    <w:rsid w:val="00CC2A66"/>
    <w:rsid w:val="00CC698B"/>
    <w:rsid w:val="00D16333"/>
    <w:rsid w:val="00D64219"/>
    <w:rsid w:val="00DA1726"/>
    <w:rsid w:val="00DB5C6C"/>
    <w:rsid w:val="00DB670F"/>
    <w:rsid w:val="00DD2F04"/>
    <w:rsid w:val="00E004A4"/>
    <w:rsid w:val="00E0589B"/>
    <w:rsid w:val="00E323F2"/>
    <w:rsid w:val="00E438B8"/>
    <w:rsid w:val="00E95AC6"/>
    <w:rsid w:val="00EB0122"/>
    <w:rsid w:val="00EB3AED"/>
    <w:rsid w:val="00ED23FB"/>
    <w:rsid w:val="00F20E45"/>
    <w:rsid w:val="00F71381"/>
    <w:rsid w:val="00FC7DE3"/>
    <w:rsid w:val="00FD59C1"/>
    <w:rsid w:val="00FF036D"/>
    <w:rsid w:val="4D9543FA"/>
    <w:rsid w:val="73415E19"/>
    <w:rsid w:val="76A50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customStyle="1" w:styleId="1">
    <w:name w:val="修订1"/>
    <w:hidden/>
    <w:uiPriority w:val="99"/>
    <w:semiHidden/>
    <w:rPr>
      <w:rFonts w:eastAsiaTheme="minorEastAsia"/>
      <w:sz w:val="24"/>
      <w:szCs w:val="24"/>
      <w:lang w:eastAsia="en-US"/>
    </w:rPr>
  </w:style>
  <w:style w:type="paragraph" w:styleId="a5">
    <w:name w:val="Balloon Text"/>
    <w:basedOn w:val="a"/>
    <w:link w:val="Char1"/>
    <w:rsid w:val="00AA522E"/>
    <w:rPr>
      <w:sz w:val="18"/>
      <w:szCs w:val="18"/>
    </w:rPr>
  </w:style>
  <w:style w:type="character" w:customStyle="1" w:styleId="Char1">
    <w:name w:val="批注框文本 Char"/>
    <w:basedOn w:val="a0"/>
    <w:link w:val="a5"/>
    <w:rsid w:val="00AA522E"/>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customStyle="1" w:styleId="1">
    <w:name w:val="修订1"/>
    <w:hidden/>
    <w:uiPriority w:val="99"/>
    <w:semiHidden/>
    <w:rPr>
      <w:rFonts w:eastAsiaTheme="minorEastAsia"/>
      <w:sz w:val="24"/>
      <w:szCs w:val="24"/>
      <w:lang w:eastAsia="en-US"/>
    </w:rPr>
  </w:style>
  <w:style w:type="paragraph" w:styleId="a5">
    <w:name w:val="Balloon Text"/>
    <w:basedOn w:val="a"/>
    <w:link w:val="Char1"/>
    <w:rsid w:val="00AA522E"/>
    <w:rPr>
      <w:sz w:val="18"/>
      <w:szCs w:val="18"/>
    </w:rPr>
  </w:style>
  <w:style w:type="character" w:customStyle="1" w:styleId="Char1">
    <w:name w:val="批注框文本 Char"/>
    <w:basedOn w:val="a0"/>
    <w:link w:val="a5"/>
    <w:rsid w:val="00AA522E"/>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4844</Words>
  <Characters>27617</Characters>
  <Application>Microsoft Office Word</Application>
  <DocSecurity>0</DocSecurity>
  <Lines>230</Lines>
  <Paragraphs>64</Paragraphs>
  <ScaleCrop>false</ScaleCrop>
  <Company>HP</Company>
  <LinksUpToDate>false</LinksUpToDate>
  <CharactersWithSpaces>32397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HP</cp:lastModifiedBy>
  <cp:revision>7</cp:revision>
  <dcterms:created xsi:type="dcterms:W3CDTF">2022-06-27T16:16:00Z</dcterms:created>
  <dcterms:modified xsi:type="dcterms:W3CDTF">2022-07-10T15:22:00Z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68B6DD3FADB54CA097B5586C6ADD9077</vt:lpwstr>
  </property>
</Properties>
</file>