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73680</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bookmarkStart w:id="0" w:name="OLE_LINK653"/>
      <w:bookmarkStart w:id="1" w:name="OLE_LINK654"/>
      <w:r>
        <w:rPr>
          <w:rFonts w:ascii="Book Antiqua" w:hAnsi="Book Antiqua" w:eastAsia="Book Antiqua" w:cs="Book Antiqua"/>
          <w:b/>
          <w:i/>
          <w:color w:val="000000"/>
        </w:rPr>
        <w:t>Prospective Study</w:t>
      </w:r>
    </w:p>
    <w:bookmarkEnd w:id="0"/>
    <w:bookmarkEnd w:id="1"/>
    <w:p>
      <w:pPr>
        <w:spacing w:line="360" w:lineRule="auto"/>
        <w:jc w:val="both"/>
      </w:pPr>
      <w:bookmarkStart w:id="2" w:name="OLE_LINK1"/>
      <w:bookmarkStart w:id="3" w:name="OLE_LINK2"/>
      <w:bookmarkStart w:id="4" w:name="OLE_LINK3"/>
      <w:bookmarkStart w:id="5" w:name="OLE_LINK665"/>
      <w:bookmarkStart w:id="6" w:name="OLE_LINK648"/>
      <w:bookmarkStart w:id="7" w:name="OLE_LINK647"/>
      <w:r>
        <w:rPr>
          <w:rFonts w:ascii="Book Antiqua" w:hAnsi="Book Antiqua" w:eastAsia="Book Antiqua" w:cs="Book Antiqua"/>
          <w:b/>
          <w:bCs/>
          <w:color w:val="000000"/>
        </w:rPr>
        <w:t>Evaluation of the dual vascular supply patterns in ground-glass nodules with a dynamic volume computed tomography</w:t>
      </w:r>
      <w:bookmarkEnd w:id="2"/>
      <w:bookmarkEnd w:id="3"/>
      <w:bookmarkEnd w:id="4"/>
    </w:p>
    <w:bookmarkEnd w:id="5"/>
    <w:bookmarkEnd w:id="6"/>
    <w:bookmarkEnd w:id="7"/>
    <w:p>
      <w:pPr>
        <w:spacing w:line="360" w:lineRule="auto"/>
        <w:jc w:val="both"/>
      </w:pPr>
    </w:p>
    <w:p>
      <w:pPr>
        <w:spacing w:line="360" w:lineRule="auto"/>
        <w:jc w:val="both"/>
      </w:pPr>
      <w:r>
        <w:rPr>
          <w:rFonts w:ascii="Book Antiqua" w:hAnsi="Book Antiqua" w:eastAsia="Book Antiqua" w:cs="Book Antiqua"/>
          <w:color w:val="000000"/>
        </w:rPr>
        <w:t xml:space="preserve">Wang </w:t>
      </w:r>
      <w:r>
        <w:rPr>
          <w:rFonts w:hint="eastAsia" w:ascii="Book Antiqua" w:hAnsi="Book Antiqua" w:cs="Book Antiqua"/>
          <w:color w:val="000000"/>
          <w:lang w:eastAsia="zh-CN"/>
        </w:rPr>
        <w:t xml:space="preserve">C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8" w:name="OLE_LINK649"/>
      <w:bookmarkStart w:id="9" w:name="OLE_LINK650"/>
      <w:r>
        <w:rPr>
          <w:rFonts w:ascii="Book Antiqua" w:hAnsi="Book Antiqua" w:eastAsia="Book Antiqua" w:cs="Book Antiqua"/>
          <w:color w:val="000000"/>
        </w:rPr>
        <w:t>Dual vascular supply in the GGNs</w:t>
      </w:r>
      <w:bookmarkEnd w:id="8"/>
      <w:bookmarkEnd w:id="9"/>
    </w:p>
    <w:p>
      <w:pPr>
        <w:spacing w:line="360" w:lineRule="auto"/>
        <w:jc w:val="both"/>
      </w:pPr>
    </w:p>
    <w:p>
      <w:pPr>
        <w:spacing w:line="360" w:lineRule="auto"/>
        <w:jc w:val="both"/>
      </w:pPr>
      <w:r>
        <w:rPr>
          <w:rFonts w:ascii="Book Antiqua" w:hAnsi="Book Antiqua" w:eastAsia="Book Antiqua" w:cs="Book Antiqua"/>
          <w:color w:val="000000"/>
        </w:rPr>
        <w:t xml:space="preserve">Chao </w:t>
      </w:r>
      <w:bookmarkStart w:id="10" w:name="OLE_LINK52"/>
      <w:bookmarkStart w:id="11" w:name="OLE_LINK53"/>
      <w:r>
        <w:rPr>
          <w:rFonts w:ascii="Book Antiqua" w:hAnsi="Book Antiqua" w:eastAsia="Book Antiqua" w:cs="Book Antiqua"/>
          <w:color w:val="000000"/>
        </w:rPr>
        <w:t>Wang</w:t>
      </w:r>
      <w:bookmarkEnd w:id="10"/>
      <w:bookmarkEnd w:id="11"/>
      <w:r>
        <w:rPr>
          <w:rFonts w:ascii="Book Antiqua" w:hAnsi="Book Antiqua" w:eastAsia="Book Antiqua" w:cs="Book Antiqua"/>
          <w:color w:val="000000"/>
        </w:rPr>
        <w:t>, Ning Wu, Zhuang Zhang, Lai-Xing Zhang, Xiao-Dong Yuan</w:t>
      </w:r>
    </w:p>
    <w:p>
      <w:pPr>
        <w:spacing w:line="360" w:lineRule="auto"/>
        <w:jc w:val="both"/>
      </w:pPr>
    </w:p>
    <w:p>
      <w:pPr>
        <w:spacing w:line="360" w:lineRule="auto"/>
        <w:jc w:val="both"/>
      </w:pPr>
      <w:r>
        <w:rPr>
          <w:rFonts w:ascii="Book Antiqua" w:hAnsi="Book Antiqua" w:eastAsia="Book Antiqua" w:cs="Book Antiqua"/>
          <w:b/>
          <w:bCs/>
          <w:color w:val="000000"/>
        </w:rPr>
        <w:t xml:space="preserve">Chao Wang, Zhuang Zhang, Lai-Xing Zhang, </w:t>
      </w:r>
      <w:r>
        <w:rPr>
          <w:rFonts w:ascii="Book Antiqua" w:hAnsi="Book Antiqua" w:eastAsia="Book Antiqua" w:cs="Book Antiqua"/>
          <w:color w:val="000000"/>
        </w:rPr>
        <w:t xml:space="preserve">Department of Graduate, Hebei North University, Zhangjiakou 075000, Hebei Province, </w:t>
      </w:r>
      <w:bookmarkStart w:id="12" w:name="OLE_LINK652"/>
      <w:bookmarkStart w:id="13" w:name="OLE_LINK651"/>
      <w:r>
        <w:rPr>
          <w:rFonts w:ascii="Book Antiqua" w:hAnsi="Book Antiqua" w:eastAsia="Book Antiqua" w:cs="Book Antiqua"/>
          <w:color w:val="000000"/>
        </w:rPr>
        <w:t>China</w:t>
      </w:r>
      <w:bookmarkEnd w:id="12"/>
      <w:bookmarkEnd w:id="13"/>
    </w:p>
    <w:p>
      <w:pPr>
        <w:spacing w:line="360" w:lineRule="auto"/>
        <w:jc w:val="both"/>
      </w:pPr>
    </w:p>
    <w:p>
      <w:pPr>
        <w:spacing w:line="360" w:lineRule="auto"/>
        <w:jc w:val="both"/>
      </w:pPr>
      <w:r>
        <w:rPr>
          <w:rFonts w:ascii="Book Antiqua" w:hAnsi="Book Antiqua" w:eastAsia="Book Antiqua" w:cs="Book Antiqua"/>
          <w:b/>
          <w:bCs/>
          <w:color w:val="000000"/>
        </w:rPr>
        <w:t xml:space="preserve">Ning Wu, Xiao-Dong Yuan, </w:t>
      </w:r>
      <w:r>
        <w:rPr>
          <w:rFonts w:ascii="Book Antiqua" w:hAnsi="Book Antiqua" w:eastAsia="Book Antiqua" w:cs="Book Antiqua"/>
          <w:color w:val="000000"/>
        </w:rPr>
        <w:t xml:space="preserve">Department of Radiology, </w:t>
      </w:r>
      <w:bookmarkStart w:id="14" w:name="OLE_LINK56"/>
      <w:bookmarkStart w:id="15" w:name="OLE_LINK54"/>
      <w:bookmarkStart w:id="16" w:name="OLE_LINK55"/>
      <w:r>
        <w:rPr>
          <w:rFonts w:ascii="Book Antiqua" w:hAnsi="Book Antiqua" w:eastAsia="Book Antiqua" w:cs="Book Antiqua"/>
          <w:color w:val="000000"/>
        </w:rPr>
        <w:t xml:space="preserve">The </w:t>
      </w:r>
      <w:bookmarkStart w:id="17" w:name="OLE_LINK59"/>
      <w:bookmarkStart w:id="18" w:name="OLE_LINK662"/>
      <w:bookmarkStart w:id="19" w:name="OLE_LINK660"/>
      <w:bookmarkStart w:id="20" w:name="OLE_LINK60"/>
      <w:r>
        <w:rPr>
          <w:rFonts w:ascii="Book Antiqua" w:hAnsi="Book Antiqua" w:eastAsia="Book Antiqua" w:cs="Book Antiqua"/>
          <w:color w:val="000000"/>
        </w:rPr>
        <w:t xml:space="preserve">Eighth </w:t>
      </w:r>
      <w:bookmarkEnd w:id="17"/>
      <w:bookmarkEnd w:id="18"/>
      <w:bookmarkEnd w:id="19"/>
      <w:bookmarkEnd w:id="20"/>
      <w:r>
        <w:rPr>
          <w:rFonts w:ascii="Book Antiqua" w:hAnsi="Book Antiqua" w:eastAsia="Book Antiqua" w:cs="Book Antiqua"/>
          <w:color w:val="000000"/>
        </w:rPr>
        <w:t xml:space="preserve">Medical Center of the </w:t>
      </w:r>
      <w:bookmarkStart w:id="21" w:name="OLE_LINK661"/>
      <w:r>
        <w:rPr>
          <w:rFonts w:ascii="Book Antiqua" w:hAnsi="Book Antiqua" w:eastAsia="Book Antiqua" w:cs="Book Antiqua"/>
          <w:color w:val="000000"/>
        </w:rPr>
        <w:t>People's Liberation Army</w:t>
      </w:r>
      <w:bookmarkEnd w:id="21"/>
      <w:r>
        <w:rPr>
          <w:rFonts w:ascii="Book Antiqua" w:hAnsi="Book Antiqua" w:eastAsia="Book Antiqua" w:cs="Book Antiqua"/>
          <w:color w:val="000000"/>
        </w:rPr>
        <w:t xml:space="preserve"> General Hospital</w:t>
      </w:r>
      <w:bookmarkEnd w:id="14"/>
      <w:bookmarkEnd w:id="15"/>
      <w:bookmarkEnd w:id="16"/>
      <w:r>
        <w:rPr>
          <w:rFonts w:ascii="Book Antiqua" w:hAnsi="Book Antiqua" w:eastAsia="Book Antiqua" w:cs="Book Antiqua"/>
          <w:color w:val="000000"/>
        </w:rPr>
        <w:t>, Beijing 100091,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bookmarkStart w:id="22" w:name="OLE_LINK666"/>
      <w:r>
        <w:rPr>
          <w:rFonts w:ascii="Book Antiqua" w:hAnsi="Book Antiqua" w:eastAsia="Book Antiqua" w:cs="Book Antiqua"/>
          <w:color w:val="000000"/>
        </w:rPr>
        <w:t>Yuan XD and Wu N designed the study; Wang C wrote the first draft of the manuscript; Zhang Z and Zhang LX collected the data; Wang C performed the literature search and analysis; Yuan XD and Wang C conducted the statistical analysis and polished the language; all authors participated in and approved the final manuscript.</w:t>
      </w:r>
    </w:p>
    <w:bookmarkEnd w:id="22"/>
    <w:p>
      <w:pPr>
        <w:spacing w:line="360" w:lineRule="auto"/>
        <w:jc w:val="both"/>
      </w:pPr>
    </w:p>
    <w:p>
      <w:pPr>
        <w:spacing w:line="360" w:lineRule="auto"/>
        <w:jc w:val="both"/>
      </w:pPr>
      <w:r>
        <w:rPr>
          <w:rFonts w:ascii="Book Antiqua" w:hAnsi="Book Antiqua" w:eastAsia="Book Antiqua" w:cs="Book Antiqua"/>
          <w:b/>
          <w:bCs/>
          <w:color w:val="000000"/>
          <w:szCs w:val="21"/>
        </w:rPr>
        <w:t>Supported by</w:t>
      </w:r>
      <w:bookmarkStart w:id="23" w:name="OLE_LINK667"/>
      <w:r>
        <w:rPr>
          <w:rFonts w:ascii="Book Antiqua" w:hAnsi="Book Antiqua" w:eastAsia="Book Antiqua" w:cs="Book Antiqua"/>
          <w:b/>
          <w:bCs/>
          <w:color w:val="000000"/>
          <w:szCs w:val="21"/>
        </w:rPr>
        <w:t xml:space="preserve"> </w:t>
      </w:r>
      <w:r>
        <w:rPr>
          <w:rFonts w:hint="eastAsia" w:ascii="Book Antiqua" w:hAnsi="Book Antiqua" w:cs="Book Antiqua"/>
          <w:bCs/>
          <w:color w:val="000000"/>
          <w:szCs w:val="21"/>
          <w:lang w:eastAsia="zh-CN"/>
        </w:rPr>
        <w:t>the</w:t>
      </w:r>
      <w:r>
        <w:rPr>
          <w:rFonts w:hint="eastAsia" w:ascii="Book Antiqua" w:hAnsi="Book Antiqua" w:cs="Book Antiqua"/>
          <w:b/>
          <w:bCs/>
          <w:color w:val="000000"/>
          <w:szCs w:val="21"/>
          <w:lang w:eastAsia="zh-CN"/>
        </w:rPr>
        <w:t xml:space="preserve"> </w:t>
      </w:r>
      <w:r>
        <w:rPr>
          <w:rFonts w:ascii="Book Antiqua" w:hAnsi="Book Antiqua" w:eastAsia="Book Antiqua" w:cs="Book Antiqua"/>
          <w:color w:val="000000"/>
        </w:rPr>
        <w:t>National Natural Science Foundation of China, N</w:t>
      </w:r>
      <w:r>
        <w:rPr>
          <w:rFonts w:hint="eastAsia" w:ascii="Book Antiqua" w:hAnsi="Book Antiqua" w:cs="Book Antiqua"/>
          <w:color w:val="000000"/>
          <w:lang w:eastAsia="zh-CN"/>
        </w:rPr>
        <w:t>o</w:t>
      </w:r>
      <w:r>
        <w:rPr>
          <w:rFonts w:ascii="Book Antiqua" w:hAnsi="Book Antiqua" w:eastAsia="Book Antiqua" w:cs="Book Antiqua"/>
          <w:color w:val="000000"/>
        </w:rPr>
        <w:t>. 81671680.</w:t>
      </w:r>
      <w:bookmarkEnd w:id="23"/>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Xiao-Dong Yuan, MD, PhD, Chief Doctor, Professor, </w:t>
      </w:r>
      <w:r>
        <w:rPr>
          <w:rFonts w:ascii="Book Antiqua" w:hAnsi="Book Antiqua" w:eastAsia="Book Antiqua" w:cs="Book Antiqua"/>
          <w:color w:val="000000"/>
        </w:rPr>
        <w:t>Department of Radiology,</w:t>
      </w:r>
      <w:bookmarkStart w:id="24" w:name="OLE_LINK58"/>
      <w:bookmarkStart w:id="25" w:name="OLE_LINK57"/>
      <w:r>
        <w:rPr>
          <w:rFonts w:ascii="Book Antiqua" w:hAnsi="Book Antiqua" w:eastAsia="Book Antiqua" w:cs="Book Antiqua"/>
          <w:color w:val="000000"/>
        </w:rPr>
        <w:t xml:space="preserve"> The Eighth Medical Center of the People's Liberation Army General Hospital</w:t>
      </w:r>
      <w:bookmarkEnd w:id="24"/>
      <w:bookmarkEnd w:id="25"/>
      <w:r>
        <w:rPr>
          <w:rFonts w:ascii="Book Antiqua" w:hAnsi="Book Antiqua" w:eastAsia="Book Antiqua" w:cs="Book Antiqua"/>
          <w:color w:val="000000"/>
        </w:rPr>
        <w:t xml:space="preserve">, </w:t>
      </w:r>
      <w:bookmarkStart w:id="26" w:name="OLE_LINK663"/>
      <w:bookmarkStart w:id="27" w:name="OLE_LINK664"/>
      <w:r>
        <w:rPr>
          <w:rFonts w:hint="eastAsia" w:ascii="Book Antiqua" w:hAnsi="Book Antiqua" w:cs="Book Antiqua"/>
          <w:color w:val="000000"/>
          <w:lang w:eastAsia="zh-CN"/>
        </w:rPr>
        <w:t>No. 17 H</w:t>
      </w:r>
      <w:r>
        <w:rPr>
          <w:rFonts w:ascii="Book Antiqua" w:hAnsi="Book Antiqua" w:eastAsia="Book Antiqua" w:cs="Book Antiqua"/>
          <w:color w:val="000000"/>
        </w:rPr>
        <w:t>eishan</w:t>
      </w:r>
      <w:r>
        <w:rPr>
          <w:rFonts w:hint="eastAsia" w:ascii="Book Antiqua" w:hAnsi="Book Antiqua" w:cs="Book Antiqua"/>
          <w:color w:val="000000"/>
          <w:lang w:eastAsia="zh-CN"/>
        </w:rPr>
        <w:t>h</w:t>
      </w:r>
      <w:r>
        <w:rPr>
          <w:rFonts w:ascii="Book Antiqua" w:hAnsi="Book Antiqua" w:eastAsia="Book Antiqua" w:cs="Book Antiqua"/>
          <w:color w:val="000000"/>
        </w:rPr>
        <w:t>u</w:t>
      </w:r>
      <w:r>
        <w:rPr>
          <w:rFonts w:hint="eastAsia" w:ascii="Book Antiqua" w:hAnsi="Book Antiqua" w:cs="Book Antiqua"/>
          <w:color w:val="000000"/>
          <w:lang w:eastAsia="zh-CN"/>
        </w:rPr>
        <w:t xml:space="preserve"> Road,</w:t>
      </w:r>
      <w:r>
        <w:rPr>
          <w:rFonts w:ascii="Book Antiqua" w:hAnsi="Book Antiqua" w:eastAsia="Book Antiqua" w:cs="Book Antiqua"/>
          <w:color w:val="000000"/>
        </w:rPr>
        <w:t xml:space="preserve"> </w:t>
      </w:r>
      <w:r>
        <w:rPr>
          <w:rFonts w:hint="eastAsia" w:ascii="Book Antiqua" w:hAnsi="Book Antiqua" w:cs="Book Antiqua"/>
          <w:color w:val="000000"/>
          <w:lang w:eastAsia="zh-CN"/>
        </w:rPr>
        <w:t>H</w:t>
      </w:r>
      <w:r>
        <w:rPr>
          <w:rFonts w:ascii="Book Antiqua" w:hAnsi="Book Antiqua" w:eastAsia="Book Antiqua" w:cs="Book Antiqua"/>
          <w:color w:val="000000"/>
        </w:rPr>
        <w:t xml:space="preserve">aidian </w:t>
      </w:r>
      <w:r>
        <w:rPr>
          <w:rFonts w:hint="eastAsia" w:ascii="Book Antiqua" w:hAnsi="Book Antiqua" w:cs="Book Antiqua"/>
          <w:color w:val="000000"/>
          <w:lang w:eastAsia="zh-CN"/>
        </w:rPr>
        <w:t>D</w:t>
      </w:r>
      <w:r>
        <w:rPr>
          <w:rFonts w:ascii="Book Antiqua" w:hAnsi="Book Antiqua" w:eastAsia="Book Antiqua" w:cs="Book Antiqua"/>
          <w:color w:val="000000"/>
        </w:rPr>
        <w:t>istrict</w:t>
      </w:r>
      <w:bookmarkEnd w:id="26"/>
      <w:bookmarkEnd w:id="27"/>
      <w:r>
        <w:rPr>
          <w:rFonts w:ascii="Book Antiqua" w:hAnsi="Book Antiqua" w:eastAsia="Book Antiqua" w:cs="Book Antiqua"/>
          <w:color w:val="000000"/>
        </w:rPr>
        <w:t>, Beijing 100091, China. yuanxiaodongzj@163.com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20, 2022</w:t>
      </w:r>
    </w:p>
    <w:p>
      <w:pPr>
        <w:spacing w:line="360" w:lineRule="auto"/>
        <w:jc w:val="both"/>
      </w:pPr>
      <w:r>
        <w:rPr>
          <w:rFonts w:ascii="Book Antiqua" w:hAnsi="Book Antiqua" w:eastAsia="Book Antiqua" w:cs="Book Antiqua"/>
          <w:b/>
          <w:bCs/>
          <w:color w:val="000000"/>
        </w:rPr>
        <w:t xml:space="preserve">Accepted: </w:t>
      </w:r>
      <w:bookmarkStart w:id="28" w:name="OLE_LINK11"/>
      <w:r>
        <w:rPr>
          <w:rFonts w:ascii="Book Antiqua" w:hAnsi="Book Antiqua" w:eastAsia="Book Antiqua" w:cs="Book Antiqua"/>
          <w:b w:val="0"/>
          <w:bCs w:val="0"/>
          <w:color w:val="000000"/>
        </w:rPr>
        <w:t>June 16, 2022</w:t>
      </w:r>
      <w:bookmarkEnd w:id="28"/>
    </w:p>
    <w:p>
      <w:pPr>
        <w:spacing w:line="360" w:lineRule="auto"/>
        <w:jc w:val="both"/>
        <w:rPr>
          <w:b w:val="0"/>
          <w:bCs w:val="0"/>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June 28,</w:t>
      </w:r>
      <w:r>
        <w:rPr>
          <w:rFonts w:hint="eastAsia" w:ascii="Book Antiqua" w:hAnsi="Book Antiqua" w:eastAsia="宋体" w:cs="Book Antiqua"/>
          <w:b w:val="0"/>
          <w:bCs w:val="0"/>
          <w:color w:val="000000"/>
          <w:lang w:val="en-US" w:eastAsia="zh-CN"/>
        </w:rPr>
        <w:t xml:space="preserve"> </w:t>
      </w:r>
      <w:r>
        <w:rPr>
          <w:rFonts w:hint="eastAsia" w:ascii="Book Antiqua" w:hAnsi="Book Antiqua" w:eastAsia="Book Antiqua" w:cs="Book Antiqua"/>
          <w:b w:val="0"/>
          <w:bCs w:val="0"/>
          <w:color w:val="000000"/>
        </w:rPr>
        <w:t>2022</w:t>
      </w:r>
    </w:p>
    <w:p>
      <w:pPr>
        <w:spacing w:line="360" w:lineRule="auto"/>
        <w:jc w:val="both"/>
        <w:rPr>
          <w:rFonts w:hint="eastAsia" w:eastAsiaTheme="minorEastAsia"/>
          <w:lang w:val="en-US"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bookmarkStart w:id="29" w:name="OLE_LINK670"/>
      <w:r>
        <w:rPr>
          <w:rFonts w:ascii="Book Antiqua" w:hAnsi="Book Antiqua" w:eastAsia="Book Antiqua" w:cs="Book Antiqua"/>
          <w:color w:val="000000"/>
        </w:rPr>
        <w:t xml:space="preserve">In recent years, the detection rate of </w:t>
      </w:r>
      <w:bookmarkStart w:id="30" w:name="OLE_LINK64"/>
      <w:r>
        <w:rPr>
          <w:rFonts w:ascii="Book Antiqua" w:hAnsi="Book Antiqua" w:eastAsia="Book Antiqua" w:cs="Book Antiqua"/>
          <w:color w:val="000000"/>
        </w:rPr>
        <w:t>ground-glass nodules (GGNs)</w:t>
      </w:r>
      <w:bookmarkEnd w:id="30"/>
      <w:r>
        <w:rPr>
          <w:rFonts w:ascii="Book Antiqua" w:hAnsi="Book Antiqua" w:eastAsia="Book Antiqua" w:cs="Book Antiqua"/>
          <w:color w:val="000000"/>
        </w:rPr>
        <w:t xml:space="preserve"> has been improved dramatically due to the popularization of low-dose </w:t>
      </w:r>
      <w:bookmarkStart w:id="31" w:name="OLE_LINK62"/>
      <w:bookmarkStart w:id="32" w:name="OLE_LINK61"/>
      <w:bookmarkStart w:id="33" w:name="OLE_LINK63"/>
      <w:bookmarkStart w:id="34" w:name="OLE_LINK65"/>
      <w:r>
        <w:rPr>
          <w:rFonts w:ascii="Book Antiqua" w:hAnsi="Book Antiqua" w:eastAsia="Book Antiqua" w:cs="Book Antiqua"/>
          <w:color w:val="000000"/>
        </w:rPr>
        <w:t>computed tomography</w:t>
      </w:r>
      <w:bookmarkEnd w:id="31"/>
      <w:bookmarkEnd w:id="32"/>
      <w:r>
        <w:rPr>
          <w:rFonts w:ascii="Book Antiqua" w:hAnsi="Book Antiqua" w:eastAsia="Book Antiqua" w:cs="Book Antiqua"/>
          <w:color w:val="000000"/>
        </w:rPr>
        <w:t xml:space="preserve"> (CT)</w:t>
      </w:r>
      <w:bookmarkEnd w:id="33"/>
      <w:r>
        <w:rPr>
          <w:rFonts w:ascii="Book Antiqua" w:hAnsi="Book Antiqua" w:eastAsia="Book Antiqua" w:cs="Book Antiqua"/>
          <w:color w:val="000000"/>
        </w:rPr>
        <w:t xml:space="preserve"> </w:t>
      </w:r>
      <w:bookmarkEnd w:id="34"/>
      <w:r>
        <w:rPr>
          <w:rFonts w:ascii="Book Antiqua" w:hAnsi="Book Antiqua" w:eastAsia="Book Antiqua" w:cs="Book Antiqua"/>
          <w:color w:val="000000"/>
        </w:rPr>
        <w:t xml:space="preserve">screening with high-resolution CT technique. This presents challenges for the characterization and management of the GGNs, which depends on a thorough investigation and sufficient diagnostic knowledge of the GGNs. In most diagnostic studies of the GGNs, morphological manifestations are used to differentiate benignancy and malignancy. In contrast, few studies are dedicated to the assessment of the hemodynamics, </w:t>
      </w:r>
      <w:r>
        <w:rPr>
          <w:rFonts w:ascii="Book Antiqua" w:hAnsi="Book Antiqua"/>
          <w:i/>
          <w:color w:val="000000"/>
        </w:rPr>
        <w:t>i.e.</w:t>
      </w:r>
      <w:r>
        <w:rPr>
          <w:rFonts w:ascii="Book Antiqua" w:hAnsi="Book Antiqua" w:eastAsia="Book Antiqua" w:cs="Book Antiqua"/>
          <w:color w:val="000000"/>
        </w:rPr>
        <w:t xml:space="preserve">, perfusion parameters of the GGNs. </w:t>
      </w:r>
    </w:p>
    <w:bookmarkEnd w:id="29"/>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bookmarkStart w:id="35" w:name="OLE_LINK671"/>
      <w:bookmarkStart w:id="36" w:name="OLE_LINK672"/>
      <w:r>
        <w:rPr>
          <w:rFonts w:ascii="Book Antiqua" w:hAnsi="Book Antiqua" w:eastAsia="Book Antiqua" w:cs="Book Antiqua"/>
          <w:color w:val="000000"/>
        </w:rPr>
        <w:t>To assess the dual vascular supply patterns of GGNs on different histopathology and opacities.</w:t>
      </w:r>
    </w:p>
    <w:bookmarkEnd w:id="35"/>
    <w:bookmarkEnd w:id="36"/>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bookmarkStart w:id="37" w:name="OLE_LINK673"/>
      <w:r>
        <w:rPr>
          <w:rFonts w:ascii="Book Antiqua" w:hAnsi="Book Antiqua" w:eastAsia="Book Antiqua" w:cs="Book Antiqua"/>
          <w:color w:val="000000"/>
        </w:rPr>
        <w:t xml:space="preserve">Forty-seven GGNs from 47 patients were prospectively included and underwent the dynamic volume CT. Histopathologic diagnoses were obtained within two weeks after the CT examination. Blood flow from the bronchial artery </w:t>
      </w:r>
      <w:r>
        <w:rPr>
          <w:rFonts w:hint="eastAsia" w:ascii="Book Antiqua" w:hAnsi="Book Antiqua" w:cs="Book Antiqua"/>
          <w:color w:val="000000"/>
          <w:lang w:eastAsia="zh-CN"/>
        </w:rPr>
        <w:t>[</w:t>
      </w:r>
      <w:r>
        <w:rPr>
          <w:rFonts w:ascii="Book Antiqua" w:hAnsi="Book Antiqua" w:eastAsia="Book Antiqua" w:cs="Book Antiqua"/>
          <w:color w:val="000000"/>
        </w:rPr>
        <w:t xml:space="preserve">bronchial flow </w:t>
      </w:r>
      <w:r>
        <w:rPr>
          <w:rFonts w:hint="eastAsia" w:ascii="Book Antiqua" w:hAnsi="Book Antiqua" w:cs="Book Antiqua"/>
          <w:color w:val="000000"/>
          <w:lang w:eastAsia="zh-CN"/>
        </w:rPr>
        <w:t>(</w:t>
      </w:r>
      <w:r>
        <w:rPr>
          <w:rFonts w:ascii="Book Antiqua" w:hAnsi="Book Antiqua" w:eastAsia="Book Antiqua" w:cs="Book Antiqua"/>
          <w:color w:val="000000"/>
        </w:rPr>
        <w:t>BF)</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pulmonary artery </w:t>
      </w:r>
      <w:r>
        <w:rPr>
          <w:rFonts w:hint="eastAsia" w:ascii="Book Antiqua" w:hAnsi="Book Antiqua" w:cs="Book Antiqua"/>
          <w:color w:val="000000"/>
          <w:lang w:eastAsia="zh-CN"/>
        </w:rPr>
        <w:t>[</w:t>
      </w:r>
      <w:r>
        <w:rPr>
          <w:rFonts w:ascii="Book Antiqua" w:hAnsi="Book Antiqua" w:eastAsia="Book Antiqua" w:cs="Book Antiqua"/>
          <w:color w:val="000000"/>
        </w:rPr>
        <w:t xml:space="preserve">pulmonary flow </w:t>
      </w:r>
      <w:r>
        <w:rPr>
          <w:rFonts w:hint="eastAsia" w:ascii="Book Antiqua" w:hAnsi="Book Antiqua" w:cs="Book Antiqua"/>
          <w:color w:val="000000"/>
          <w:lang w:eastAsia="zh-CN"/>
        </w:rPr>
        <w:t>(</w:t>
      </w:r>
      <w:r>
        <w:rPr>
          <w:rFonts w:ascii="Book Antiqua" w:hAnsi="Book Antiqua" w:eastAsia="Book Antiqua" w:cs="Book Antiqua"/>
          <w:color w:val="000000"/>
        </w:rPr>
        <w:t>PF)</w:t>
      </w:r>
      <w:r>
        <w:rPr>
          <w:rFonts w:hint="eastAsia" w:ascii="Book Antiqua" w:hAnsi="Book Antiqua" w:cs="Book Antiqua"/>
          <w:color w:val="000000"/>
          <w:lang w:eastAsia="zh-CN"/>
        </w:rPr>
        <w:t>]</w:t>
      </w:r>
      <w:r>
        <w:rPr>
          <w:rFonts w:ascii="Book Antiqua" w:hAnsi="Book Antiqua" w:eastAsia="Book Antiqua" w:cs="Book Antiqua"/>
          <w:color w:val="000000"/>
        </w:rPr>
        <w:t xml:space="preserve"> as well as the perfusion index (PI</w:t>
      </w:r>
      <w:r>
        <w:rPr>
          <w:rFonts w:hint="eastAsia" w:ascii="Book Antiqua" w:hAnsi="Book Antiqua" w:cs="Book Antiqua"/>
          <w:color w:val="000000"/>
          <w:lang w:eastAsia="zh-CN"/>
        </w:rPr>
        <w:t>)</w:t>
      </w:r>
      <w:r>
        <w:rPr>
          <w:rFonts w:ascii="Book Antiqua" w:hAnsi="Book Antiqua" w:eastAsia="Book Antiqua" w:cs="Book Antiqua"/>
          <w:color w:val="000000"/>
        </w:rPr>
        <w:t xml:space="preserve"> = </w:t>
      </w:r>
      <w:r>
        <w:rPr>
          <w:rFonts w:hint="eastAsia" w:ascii="Book Antiqua" w:hAnsi="Book Antiqua" w:cs="Book Antiqua"/>
          <w:color w:val="000000"/>
          <w:lang w:eastAsia="zh-CN"/>
        </w:rPr>
        <w:t>[</w:t>
      </w:r>
      <w:r>
        <w:rPr>
          <w:rFonts w:ascii="Book Antiqua" w:hAnsi="Book Antiqua" w:eastAsia="Book Antiqua" w:cs="Book Antiqua"/>
          <w:color w:val="000000"/>
        </w:rPr>
        <w:t>PF/(PF</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BF)</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obtained using first-pass dual-input CT perfusion analysis and compared respectively between different histopathology and lesion types (pure or mixed GGNs) and correlated with the attenuation values of the lesions using one-way ANOVA,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and Pearson correlation analysis.</w:t>
      </w:r>
    </w:p>
    <w:bookmarkEnd w:id="37"/>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bookmarkStart w:id="38" w:name="OLE_LINK674"/>
      <w:r>
        <w:rPr>
          <w:rFonts w:ascii="Book Antiqua" w:hAnsi="Book Antiqua" w:eastAsia="Book Antiqua" w:cs="Book Antiqua"/>
          <w:color w:val="000000"/>
        </w:rPr>
        <w:t>Of the 47 GGNs (mean diameter, 8.17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range, 5.3-12.7</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 30 (64%) were carcinoma, 6 (13%) were atypical adenomatous hyperplasia and 11 (23%) were organizing pneumonia. All perfusion parameters (BF, PF and PI) demonstrated no significant difference among the three conditions (all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&gt; 0.05). The PFs were higher than the BFs in all the three conditions (all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Of the 30 GGN carcinomas, 14 showed mixed GGNs and 16 pure GGNs with a higher PI in the latter (</w:t>
      </w:r>
      <w:r>
        <w:rPr>
          <w:rFonts w:ascii="Book Antiqua" w:hAnsi="Book Antiqua" w:eastAsia="Book Antiqua" w:cs="Book Antiqua"/>
          <w:i/>
          <w:iCs/>
          <w:color w:val="000000"/>
        </w:rPr>
        <w:t xml:space="preserve">P </w:t>
      </w:r>
      <w:r>
        <w:rPr>
          <w:rFonts w:ascii="Book Antiqua" w:hAnsi="Book Antiqua" w:eastAsia="Book Antiqua" w:cs="Book Antiqua"/>
          <w:color w:val="000000"/>
        </w:rPr>
        <w:t>&lt; 0.01). Of the 17 benign GGNs, 4 showed mixed GGNs and 13 pure GGNs with no significant difference of the PI between the GGN types (</w:t>
      </w:r>
      <w:r>
        <w:rPr>
          <w:rFonts w:ascii="Book Antiqua" w:hAnsi="Book Antiqua" w:eastAsia="Book Antiqua" w:cs="Book Antiqua"/>
          <w:i/>
          <w:iCs/>
          <w:color w:val="000000"/>
        </w:rPr>
        <w:t>P</w:t>
      </w:r>
      <w:r>
        <w:rPr>
          <w:rFonts w:ascii="Book Antiqua" w:hAnsi="Book Antiqua" w:eastAsia="Book Antiqua" w:cs="Book Antiqua"/>
          <w:color w:val="000000"/>
        </w:rPr>
        <w:t xml:space="preserve"> = 0.21). A negative correlation (</w:t>
      </w:r>
      <w:r>
        <w:rPr>
          <w:rFonts w:ascii="Book Antiqua" w:hAnsi="Book Antiqua" w:eastAsia="Book Antiqua" w:cs="Book Antiqua"/>
          <w:i/>
          <w:iCs/>
          <w:color w:val="000000"/>
        </w:rPr>
        <w:t xml:space="preserve">r </w:t>
      </w:r>
      <w:r>
        <w:rPr>
          <w:rFonts w:ascii="Book Antiqua" w:hAnsi="Book Antiqua" w:eastAsia="Book Antiqua" w:cs="Book Antiqua"/>
          <w:color w:val="000000"/>
        </w:rPr>
        <w:t xml:space="preserve">= -0.76,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was demonstrated between the CT attenuation values and the PIs in the 30 GGN carcinomas. </w:t>
      </w:r>
      <w:bookmarkEnd w:id="38"/>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bookmarkStart w:id="39" w:name="OLE_LINK675"/>
      <w:bookmarkStart w:id="40" w:name="OLE_LINK676"/>
      <w:r>
        <w:rPr>
          <w:rFonts w:ascii="Book Antiqua" w:hAnsi="Book Antiqua" w:eastAsia="Book Antiqua" w:cs="Book Antiqua"/>
          <w:color w:val="000000"/>
        </w:rPr>
        <w:t>The GGNs are perfused dominantly by the PF regardless of its histopathology while the weight of the BF in the GGN carcinomas increases gradually during the progress of its opacification.</w:t>
      </w:r>
    </w:p>
    <w:bookmarkEnd w:id="39"/>
    <w:bookmarkEnd w:id="40"/>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41" w:name="OLE_LINK655"/>
      <w:bookmarkStart w:id="42" w:name="OLE_LINK668"/>
      <w:bookmarkStart w:id="43" w:name="OLE_LINK656"/>
      <w:r>
        <w:rPr>
          <w:rFonts w:ascii="Book Antiqua" w:hAnsi="Book Antiqua" w:eastAsia="Book Antiqua" w:cs="Book Antiqua"/>
          <w:color w:val="000000"/>
        </w:rPr>
        <w:t>Ground-</w:t>
      </w:r>
      <w:r>
        <w:rPr>
          <w:rFonts w:hint="eastAsia" w:ascii="Book Antiqua" w:hAnsi="Book Antiqua" w:cs="Book Antiqua"/>
          <w:color w:val="000000"/>
          <w:lang w:eastAsia="zh-CN"/>
        </w:rPr>
        <w:t>g</w:t>
      </w:r>
      <w:r>
        <w:rPr>
          <w:rFonts w:ascii="Book Antiqua" w:hAnsi="Book Antiqua" w:eastAsia="Book Antiqua" w:cs="Book Antiqua"/>
          <w:color w:val="000000"/>
        </w:rPr>
        <w:t>lass nodules; Tomography</w:t>
      </w:r>
      <w:r>
        <w:rPr>
          <w:rFonts w:hint="eastAsia" w:ascii="Book Antiqua" w:hAnsi="Book Antiqua" w:cs="Book Antiqua"/>
          <w:color w:val="000000"/>
          <w:lang w:eastAsia="zh-CN"/>
        </w:rPr>
        <w:t>;</w:t>
      </w:r>
      <w:r>
        <w:rPr>
          <w:rFonts w:ascii="Book Antiqua" w:hAnsi="Book Antiqua" w:eastAsia="Book Antiqua" w:cs="Book Antiqua"/>
          <w:color w:val="000000"/>
        </w:rPr>
        <w:t xml:space="preserve"> X-</w:t>
      </w:r>
      <w:r>
        <w:rPr>
          <w:rFonts w:hint="eastAsia" w:ascii="Book Antiqua" w:hAnsi="Book Antiqua" w:cs="Book Antiqua"/>
          <w:color w:val="000000"/>
          <w:lang w:eastAsia="zh-CN"/>
        </w:rPr>
        <w:t>r</w:t>
      </w:r>
      <w:r>
        <w:rPr>
          <w:rFonts w:ascii="Book Antiqua" w:hAnsi="Book Antiqua" w:eastAsia="Book Antiqua" w:cs="Book Antiqua"/>
          <w:color w:val="000000"/>
        </w:rPr>
        <w:t xml:space="preserve">ay </w:t>
      </w:r>
      <w:r>
        <w:rPr>
          <w:rFonts w:hint="eastAsia" w:ascii="Book Antiqua" w:hAnsi="Book Antiqua" w:cs="Book Antiqua"/>
          <w:color w:val="000000"/>
          <w:lang w:eastAsia="zh-CN"/>
        </w:rPr>
        <w:t>c</w:t>
      </w:r>
      <w:r>
        <w:rPr>
          <w:rFonts w:ascii="Book Antiqua" w:hAnsi="Book Antiqua" w:eastAsia="Book Antiqua" w:cs="Book Antiqua"/>
          <w:color w:val="000000"/>
        </w:rPr>
        <w:t xml:space="preserve">omputed; </w:t>
      </w:r>
      <w:r>
        <w:rPr>
          <w:rFonts w:hint="eastAsia" w:ascii="Book Antiqua" w:hAnsi="Book Antiqua" w:cs="Book Antiqua"/>
          <w:color w:val="000000"/>
          <w:lang w:eastAsia="zh-CN"/>
        </w:rPr>
        <w:t>L</w:t>
      </w:r>
      <w:r>
        <w:rPr>
          <w:rFonts w:ascii="Book Antiqua" w:hAnsi="Book Antiqua" w:eastAsia="Book Antiqua" w:cs="Book Antiqua"/>
          <w:color w:val="000000"/>
        </w:rPr>
        <w:t>ung cancer; Perfusion computed tomography; Dual blood supply</w:t>
      </w:r>
      <w:bookmarkEnd w:id="41"/>
      <w:bookmarkEnd w:id="42"/>
      <w:bookmarkEnd w:id="43"/>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b w:val="0"/>
          <w:bCs w:val="0"/>
          <w:color w:val="000000"/>
        </w:rPr>
      </w:pPr>
      <w:bookmarkStart w:id="44" w:name="OLE_LINK657"/>
      <w:bookmarkStart w:id="45" w:name="OLE_LINK658"/>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Wang C, Wu N, Zhang Z, Zhang LX, Yuan XD. Evaluation of the dual vascular supply patterns in ground-glass nodules with a dynamic volume computed tomography.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bookmarkStart w:id="46" w:name="OLE_LINK12"/>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 xml:space="preserve">): </w:t>
      </w:r>
      <w:r>
        <w:rPr>
          <w:rFonts w:hint="default" w:ascii="Book Antiqua" w:hAnsi="Book Antiqua" w:eastAsia="Book Antiqua" w:cs="Book Antiqua"/>
          <w:b w:val="0"/>
          <w:bCs w:val="0"/>
          <w:color w:val="000000"/>
          <w:kern w:val="0"/>
          <w:sz w:val="24"/>
          <w:szCs w:val="24"/>
          <w:lang w:val="en-US" w:eastAsia="zh-CN"/>
        </w:rPr>
        <w:t>155-164</w:t>
      </w:r>
      <w:r>
        <w:rPr>
          <w:rFonts w:hint="eastAsia" w:ascii="Book Antiqua" w:hAnsi="Book Antiqua" w:eastAsia="Book Antiqua" w:cs="Book Antiqua"/>
          <w:b w:val="0"/>
          <w:bCs w:val="0"/>
          <w:color w:val="000000"/>
        </w:rPr>
        <w:t xml:space="preserve">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155</w:t>
      </w:r>
      <w:r>
        <w:rPr>
          <w:rFonts w:hint="eastAsia" w:ascii="Book Antiqua" w:hAnsi="Book Antiqua" w:eastAsia="Book Antiqua" w:cs="Book Antiqua"/>
          <w:b w:val="0"/>
          <w:bCs w:val="0"/>
          <w:color w:val="000000"/>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155</w:t>
      </w:r>
    </w:p>
    <w:bookmarkEnd w:id="44"/>
    <w:bookmarkEnd w:id="45"/>
    <w:bookmarkEnd w:id="46"/>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Core Tip: </w:t>
      </w:r>
      <w:bookmarkStart w:id="47" w:name="OLE_LINK659"/>
      <w:bookmarkStart w:id="48" w:name="OLE_LINK669"/>
      <w:r>
        <w:rPr>
          <w:rFonts w:ascii="Book Antiqua" w:hAnsi="Book Antiqua" w:eastAsia="Book Antiqua" w:cs="Book Antiqua"/>
          <w:color w:val="000000"/>
        </w:rPr>
        <w:t xml:space="preserve">In this study, bronchial flow (BF) and pulmonary flow (PF) as well as perfusion index (PI) were obtained by using first-pass dual-input computed tomography perfusion analysis and compared respectively among different histopathological types and between pure and mixed ground-glass nodules (GGNs), then correlated with the attenuation values in forty-seven GGNs from 47 patients. We found that the GGNs are perfused dominantly by the PF regardless of histopathological types while the weight of the BF in the GGN carcinomas increases gradually during its opacification. Therefore, the PI may be a potentially useful biomarker for distinguishing indolent nodules from aggressive ones. </w:t>
      </w:r>
      <w:bookmarkEnd w:id="47"/>
      <w:bookmarkEnd w:id="48"/>
      <w:r>
        <w:rPr>
          <w:lang w:eastAsia="zh-CN"/>
        </w:rPr>
        <w:br w:type="page"/>
      </w: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bookmarkStart w:id="49" w:name="OLE_LINK677"/>
      <w:r>
        <w:rPr>
          <w:rFonts w:ascii="Book Antiqua" w:hAnsi="Book Antiqua" w:eastAsia="Book Antiqua" w:cs="Book Antiqua"/>
          <w:color w:val="000000"/>
        </w:rPr>
        <w:t>In recent years, more and more ground-glass nodules (GGNs) have been detected due to the application of low-dose screening with high-resolution computed tomography (CT)</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The rapidly increasing GGN cases requires appropriate management which depends on a thorough investigation and sufficient knowledge of the GGNs. In most diagnostic studies of the GGNs, morphological factors or nodular characteristics are used to differentiate benignancy and malignancy</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On the other hand, studies of the solid lesions suggested that the information of CT perfusion is helpful in identification and treatment planning</w:t>
      </w:r>
      <w:r>
        <w:rPr>
          <w:rFonts w:ascii="Book Antiqua" w:hAnsi="Book Antiqua" w:eastAsia="Book Antiqua" w:cs="Book Antiqua"/>
          <w:color w:val="000000"/>
          <w:szCs w:val="30"/>
          <w:vertAlign w:val="superscript"/>
        </w:rPr>
        <w:t>[7-13]</w:t>
      </w:r>
      <w:r>
        <w:rPr>
          <w:rFonts w:ascii="Book Antiqua" w:hAnsi="Book Antiqua" w:eastAsia="Book Antiqua" w:cs="Book Antiqua"/>
          <w:color w:val="000000"/>
        </w:rPr>
        <w:t>. A few studies have quantitatively measured iodine concentration to assess the blood supply status of the GGNs with promising outcomes</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Furthermore, quantification of the dual blood supply</w:t>
      </w:r>
      <w:r>
        <w:rPr>
          <w:rFonts w:ascii="Book Antiqua" w:hAnsi="Book Antiqua" w:eastAsia="Book Antiqua" w:cs="Book Antiqua"/>
          <w:color w:val="000000"/>
          <w:szCs w:val="21"/>
        </w:rPr>
        <w:t xml:space="preserve"> </w:t>
      </w:r>
      <w:r>
        <w:rPr>
          <w:rFonts w:ascii="Book Antiqua" w:hAnsi="Book Antiqua" w:eastAsia="Book Antiqua" w:cs="Book Antiqua"/>
          <w:color w:val="000000"/>
        </w:rPr>
        <w:t xml:space="preserve">from the pulmonary and bronchial artery, </w:t>
      </w:r>
      <w:r>
        <w:rPr>
          <w:rFonts w:ascii="Book Antiqua" w:hAnsi="Book Antiqua" w:eastAsia="Book Antiqua" w:cs="Book Antiqua"/>
          <w:i/>
          <w:color w:val="000000"/>
        </w:rPr>
        <w:t>i.e.</w:t>
      </w:r>
      <w:r>
        <w:rPr>
          <w:rFonts w:ascii="Book Antiqua" w:hAnsi="Book Antiqua" w:eastAsia="Book Antiqua" w:cs="Book Antiqua"/>
          <w:color w:val="000000"/>
        </w:rPr>
        <w:t>, the pulmonary flow (PF) and bronchial flow (BF) in lung disorders is recently achieved with the first-pass dual-input perfusion analysis at a dynamic volume CT, producing helpful information for differentiations and treatment planning</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Therefore, this prospective study was designed to determine the patterns of the dual vascular supply in the GGNs on different </w:t>
      </w:r>
      <w:bookmarkStart w:id="50" w:name="OLE_LINK93"/>
      <w:bookmarkStart w:id="51" w:name="OLE_LINK94"/>
      <w:r>
        <w:rPr>
          <w:rFonts w:ascii="Book Antiqua" w:hAnsi="Book Antiqua" w:eastAsia="Book Antiqua" w:cs="Book Antiqua"/>
          <w:color w:val="000000"/>
        </w:rPr>
        <w:t xml:space="preserve">histopathology and attenuation </w:t>
      </w:r>
      <w:bookmarkStart w:id="52" w:name="OLE_LINK92"/>
      <w:bookmarkStart w:id="53" w:name="OLE_LINK91"/>
      <w:r>
        <w:rPr>
          <w:rFonts w:ascii="Book Antiqua" w:hAnsi="Book Antiqua" w:eastAsia="Book Antiqua" w:cs="Book Antiqua"/>
          <w:color w:val="000000"/>
        </w:rPr>
        <w:t xml:space="preserve">values </w:t>
      </w:r>
      <w:bookmarkEnd w:id="52"/>
      <w:bookmarkEnd w:id="53"/>
      <w:r>
        <w:rPr>
          <w:rFonts w:ascii="Book Antiqua" w:hAnsi="Book Antiqua" w:eastAsia="Book Antiqua" w:cs="Book Antiqua"/>
          <w:color w:val="000000"/>
        </w:rPr>
        <w:t>(HU)</w:t>
      </w:r>
      <w:bookmarkEnd w:id="50"/>
      <w:bookmarkEnd w:id="51"/>
      <w:r>
        <w:rPr>
          <w:rFonts w:ascii="Book Antiqua" w:hAnsi="Book Antiqua" w:eastAsia="Book Antiqua" w:cs="Book Antiqua"/>
          <w:color w:val="000000"/>
        </w:rPr>
        <w:t>.</w:t>
      </w:r>
    </w:p>
    <w:bookmarkEnd w:id="49"/>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bookmarkStart w:id="54" w:name="OLE_LINK679"/>
      <w:bookmarkStart w:id="55" w:name="OLE_LINK678"/>
      <w:r>
        <w:rPr>
          <w:rFonts w:ascii="Book Antiqua" w:hAnsi="Book Antiqua" w:eastAsia="Book Antiqua" w:cs="Book Antiqua"/>
          <w:b/>
          <w:bCs/>
          <w:i/>
          <w:iCs/>
          <w:color w:val="000000"/>
        </w:rPr>
        <w:t>Study population</w:t>
      </w:r>
    </w:p>
    <w:p>
      <w:pPr>
        <w:spacing w:line="360" w:lineRule="auto"/>
        <w:jc w:val="both"/>
      </w:pPr>
      <w:bookmarkStart w:id="56" w:name="OLE_LINK7"/>
      <w:bookmarkStart w:id="57" w:name="OLE_LINK10"/>
      <w:bookmarkStart w:id="58" w:name="OLE_LINK5"/>
      <w:bookmarkStart w:id="59" w:name="OLE_LINK6"/>
      <w:bookmarkStart w:id="60" w:name="OLE_LINK4"/>
      <w:bookmarkStart w:id="61" w:name="OLE_LINK8"/>
      <w:bookmarkStart w:id="62" w:name="OLE_LINK9"/>
      <w:r>
        <w:rPr>
          <w:rFonts w:ascii="Book Antiqua" w:hAnsi="Book Antiqua" w:eastAsia="Book Antiqua" w:cs="Book Antiqua"/>
          <w:color w:val="000000"/>
        </w:rPr>
        <w:t>The prospective study was approved by the Institution Ethics Committee. Written informed consent was obtained from all patients. Between Jan 2014 and May 2018, 50 patients who had been previously evaluated by non-contrast CT and had GGNs with an axial diameter &gt; 5</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 were prospectively enrolled into this study. All patients received histopathological diagnoses which were acquired by CT-guided puncture biopsy or surgical resection within 2 </w:t>
      </w:r>
      <w:r>
        <w:rPr>
          <w:rFonts w:ascii="Book Antiqua" w:hAnsi="Book Antiqua" w:cs="Book Antiqua"/>
          <w:color w:val="000000"/>
          <w:lang w:eastAsia="zh-CN"/>
        </w:rPr>
        <w:t>wk</w:t>
      </w:r>
      <w:r>
        <w:rPr>
          <w:rFonts w:ascii="Book Antiqua" w:hAnsi="Book Antiqua" w:eastAsia="Book Antiqua" w:cs="Book Antiqua"/>
          <w:color w:val="000000"/>
        </w:rPr>
        <w:t xml:space="preserve"> after the CT perfusion. Exclusion criteria were as follows: severe motion artifacts on the perfusion images that made it difficult to perform the perfusion analysis; patients receiving any antitumor treatment prior to the CT perfusion and contraindications to the administration of the iodinated contrast media. 1 patient with beam hardening artifacts caused by the contrast agent in an ipsilateral subclavian vein and 2 patients who received antitumor treatment before the CT perfusion were excluded. Eventually, forty-seven patients (27 men and 20 women; mean age, 53 years; range, 35</w:t>
      </w:r>
      <w:r>
        <w:rPr>
          <w:rFonts w:hint="eastAsia" w:ascii="Book Antiqua" w:hAnsi="Book Antiqua" w:cs="Book Antiqua"/>
          <w:color w:val="000000"/>
          <w:lang w:eastAsia="zh-CN"/>
        </w:rPr>
        <w:t>-</w:t>
      </w:r>
      <w:r>
        <w:rPr>
          <w:rFonts w:ascii="Book Antiqua" w:hAnsi="Book Antiqua" w:eastAsia="Book Antiqua" w:cs="Book Antiqua"/>
          <w:color w:val="000000"/>
        </w:rPr>
        <w:t>69 years) with 47 GGNs were included in the statistical analysis.</w:t>
      </w:r>
    </w:p>
    <w:p>
      <w:pPr>
        <w:spacing w:line="360" w:lineRule="auto"/>
        <w:ind w:firstLine="240" w:firstLineChars="100"/>
        <w:jc w:val="both"/>
      </w:pPr>
      <w:r>
        <w:rPr>
          <w:rFonts w:ascii="Book Antiqua" w:hAnsi="Book Antiqua" w:eastAsia="Book Antiqua" w:cs="Book Antiqua"/>
          <w:color w:val="000000"/>
        </w:rPr>
        <w:t>The radiation dose of the dynamic CT was calculated from the dose–length product (DLP) listed in the exposure summary sheet generated by the CT equipment and multiplied by a k-factor of 0.014</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w:t>
      </w:r>
    </w:p>
    <w:p>
      <w:pPr>
        <w:spacing w:line="360" w:lineRule="auto"/>
        <w:ind w:firstLine="480"/>
        <w:jc w:val="both"/>
      </w:pPr>
    </w:p>
    <w:bookmarkEnd w:id="56"/>
    <w:bookmarkEnd w:id="57"/>
    <w:bookmarkEnd w:id="58"/>
    <w:bookmarkEnd w:id="59"/>
    <w:bookmarkEnd w:id="60"/>
    <w:bookmarkEnd w:id="61"/>
    <w:bookmarkEnd w:id="62"/>
    <w:p>
      <w:pPr>
        <w:spacing w:line="360" w:lineRule="auto"/>
        <w:jc w:val="both"/>
      </w:pPr>
      <w:r>
        <w:rPr>
          <w:rFonts w:ascii="Book Antiqua" w:hAnsi="Book Antiqua" w:eastAsia="Book Antiqua" w:cs="Book Antiqua"/>
          <w:b/>
          <w:bCs/>
          <w:i/>
          <w:iCs/>
          <w:color w:val="000000"/>
        </w:rPr>
        <w:t>CT perfusion imaging technique</w:t>
      </w:r>
    </w:p>
    <w:p>
      <w:pPr>
        <w:spacing w:line="360" w:lineRule="auto"/>
        <w:jc w:val="both"/>
      </w:pPr>
      <w:r>
        <w:rPr>
          <w:rFonts w:ascii="Book Antiqua" w:hAnsi="Book Antiqua" w:eastAsia="Book Antiqua" w:cs="Book Antiqua"/>
          <w:color w:val="000000"/>
        </w:rPr>
        <w:t xml:space="preserve">Before the CT examination, all patients performed breath training by holding their breath during the dynamic CT scan procedure and otherwise adopted regularly shallow breathing. </w:t>
      </w:r>
    </w:p>
    <w:p>
      <w:pPr>
        <w:spacing w:line="360" w:lineRule="auto"/>
        <w:ind w:firstLine="240" w:firstLineChars="100"/>
        <w:jc w:val="both"/>
      </w:pPr>
      <w:r>
        <w:rPr>
          <w:rFonts w:ascii="Book Antiqua" w:hAnsi="Book Antiqua" w:eastAsia="Book Antiqua" w:cs="Book Antiqua"/>
          <w:color w:val="000000"/>
        </w:rPr>
        <w:t>First, unenhanced helical CT of the entire thorax was performed to determine the location of the GGN. Then, the dynamic volume CT perfusion was performed at a 320-row multidetector CT (Aquilion ONE, Toshiba Medical Systems, Otawara, Japan). With a dual-head power injector, 50 mL of non-ionic contrast medium with an iodine concentration of 370 mgI/mL (Iopromide, Bayer Schering, Berlin, Germany) was injected at a flow rate of 5 mL/s, followed by 20 mL of saline solution at the same rate. Five seconds after the start of the bolus injection, 15 intermittent low-dose volume acquisitions were made with 2</w:t>
      </w:r>
      <w:r>
        <w:rPr>
          <w:rFonts w:hint="eastAsia" w:ascii="Book Antiqua" w:hAnsi="Book Antiqua" w:cs="Book Antiqua"/>
          <w:color w:val="000000"/>
          <w:lang w:eastAsia="zh-CN"/>
        </w:rPr>
        <w:t xml:space="preserve"> </w:t>
      </w:r>
      <w:r>
        <w:rPr>
          <w:rFonts w:ascii="Book Antiqua" w:hAnsi="Book Antiqua" w:eastAsia="Book Antiqua" w:cs="Book Antiqua"/>
          <w:color w:val="000000"/>
        </w:rPr>
        <w:t>s intervals with no table movement.</w:t>
      </w:r>
    </w:p>
    <w:p>
      <w:pPr>
        <w:spacing w:line="360" w:lineRule="auto"/>
        <w:ind w:firstLine="240" w:firstLineChars="100"/>
        <w:jc w:val="both"/>
      </w:pPr>
      <w:r>
        <w:rPr>
          <w:rFonts w:ascii="Book Antiqua" w:hAnsi="Book Antiqua" w:eastAsia="Book Antiqua" w:cs="Book Antiqua"/>
          <w:color w:val="000000"/>
        </w:rPr>
        <w:t>The dynamic contrast-enhanced volume CT protocol was performed with the following parameters: 80</w:t>
      </w:r>
      <w:r>
        <w:rPr>
          <w:rFonts w:hint="eastAsia" w:ascii="Book Antiqua" w:hAnsi="Book Antiqua" w:cs="Book Antiqua"/>
          <w:color w:val="000000"/>
          <w:lang w:eastAsia="zh-CN"/>
        </w:rPr>
        <w:t xml:space="preserve"> </w:t>
      </w:r>
      <w:r>
        <w:rPr>
          <w:rFonts w:ascii="Book Antiqua" w:hAnsi="Book Antiqua" w:eastAsia="Book Antiqua" w:cs="Book Antiqua"/>
          <w:color w:val="000000"/>
        </w:rPr>
        <w:t>kV tube voltage, 80</w:t>
      </w:r>
      <w:r>
        <w:rPr>
          <w:rFonts w:hint="eastAsia" w:ascii="Book Antiqua" w:hAnsi="Book Antiqua" w:cs="Book Antiqua"/>
          <w:color w:val="000000"/>
          <w:lang w:eastAsia="zh-CN"/>
        </w:rPr>
        <w:t xml:space="preserve"> </w:t>
      </w:r>
      <w:r>
        <w:rPr>
          <w:rFonts w:ascii="Book Antiqua" w:hAnsi="Book Antiqua" w:eastAsia="Book Antiqua" w:cs="Book Antiqua"/>
          <w:color w:val="000000"/>
        </w:rPr>
        <w:t>mA tube current, 0.5</w:t>
      </w:r>
      <w:r>
        <w:rPr>
          <w:rFonts w:hint="eastAsia" w:ascii="Book Antiqua" w:hAnsi="Book Antiqua" w:cs="Book Antiqua"/>
          <w:color w:val="000000"/>
          <w:lang w:eastAsia="zh-CN"/>
        </w:rPr>
        <w:t xml:space="preserve"> </w:t>
      </w:r>
      <w:r>
        <w:rPr>
          <w:rFonts w:ascii="Book Antiqua" w:hAnsi="Book Antiqua" w:eastAsia="Book Antiqua" w:cs="Book Antiqua"/>
          <w:color w:val="000000"/>
        </w:rPr>
        <w:t>s gantry rotation speed and 0.5</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slice thickness. The 16</w:t>
      </w:r>
      <w:r>
        <w:rPr>
          <w:rFonts w:hint="eastAsia" w:ascii="Book Antiqua" w:hAnsi="Book Antiqua" w:cs="Book Antiqua"/>
          <w:color w:val="000000"/>
          <w:lang w:eastAsia="zh-CN"/>
        </w:rPr>
        <w:t xml:space="preserve"> </w:t>
      </w:r>
      <w:r>
        <w:rPr>
          <w:rFonts w:ascii="Book Antiqua" w:hAnsi="Book Antiqua" w:eastAsia="Book Antiqua" w:cs="Book Antiqua"/>
          <w:color w:val="000000"/>
        </w:rPr>
        <w:t>cm coverage included both the lung hilum and the GGN. The first two volumes were acquired before the contrast medium arrived in the pulmonary artery (PA) and served as the baseline. The duration of the breath hold was approximately 30 s. The raw data were reconstructed with adaptive iterative dose reduction and automatically produced 0.5</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slice thickness and 0.5</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spacing images, resulting in 320 images per volume and a total of 4800 images for the entire perfusion dataset.</w:t>
      </w:r>
    </w:p>
    <w:p>
      <w:pPr>
        <w:spacing w:line="360" w:lineRule="auto"/>
        <w:ind w:firstLine="480"/>
        <w:jc w:val="both"/>
      </w:pPr>
    </w:p>
    <w:p>
      <w:pPr>
        <w:spacing w:line="360" w:lineRule="auto"/>
        <w:jc w:val="both"/>
      </w:pPr>
      <w:r>
        <w:rPr>
          <w:rFonts w:ascii="Book Antiqua" w:hAnsi="Book Antiqua" w:eastAsia="Book Antiqua" w:cs="Book Antiqua"/>
          <w:b/>
          <w:bCs/>
          <w:i/>
          <w:iCs/>
          <w:color w:val="000000"/>
        </w:rPr>
        <w:t>Data post-processing and analysis</w:t>
      </w:r>
    </w:p>
    <w:p>
      <w:pPr>
        <w:spacing w:line="360" w:lineRule="auto"/>
        <w:jc w:val="both"/>
        <w:rPr>
          <w:lang w:eastAsia="zh-CN"/>
        </w:rPr>
      </w:pPr>
      <w:r>
        <w:rPr>
          <w:rFonts w:ascii="Book Antiqua" w:hAnsi="Book Antiqua" w:eastAsia="Book Antiqua" w:cs="Book Antiqua"/>
          <w:color w:val="000000"/>
        </w:rPr>
        <w:t>Post-processing was performed using perfusion software available on the CT equipment (Body Perfusion, dual-input maximum slope analysis, Toshiba Medical Systems, Otawara, Japan). The first step is volume registration. The registration is performed to correct for motion between the dynamic volumes and creates a registered volume series. The registered volumes were then loaded into the body perfusion analysis software.</w:t>
      </w:r>
    </w:p>
    <w:p>
      <w:pPr>
        <w:spacing w:line="360" w:lineRule="auto"/>
        <w:ind w:firstLine="240" w:firstLineChars="100"/>
        <w:jc w:val="both"/>
      </w:pPr>
      <w:r>
        <w:rPr>
          <w:rFonts w:ascii="Book Antiqua" w:hAnsi="Book Antiqua" w:eastAsia="Book Antiqua" w:cs="Book Antiqua"/>
          <w:color w:val="000000"/>
        </w:rPr>
        <w:t>Rectangular region of interest</w:t>
      </w:r>
      <w:r>
        <w:rPr>
          <w:rFonts w:hint="eastAsia" w:ascii="Book Antiqua" w:hAnsi="Book Antiqua" w:cs="Book Antiqua"/>
          <w:color w:val="000000"/>
          <w:lang w:eastAsia="zh-CN"/>
        </w:rPr>
        <w:t>s</w:t>
      </w:r>
      <w:r>
        <w:rPr>
          <w:rFonts w:ascii="Book Antiqua" w:hAnsi="Book Antiqua" w:eastAsia="Book Antiqua" w:cs="Book Antiqua"/>
          <w:color w:val="000000"/>
        </w:rPr>
        <w:t xml:space="preserve"> (ROIs</w:t>
      </w:r>
      <w:r>
        <w:rPr>
          <w:rFonts w:hint="eastAsia" w:ascii="Book Antiqua" w:hAnsi="Book Antiqua" w:cs="Book Antiqua"/>
          <w:color w:val="000000"/>
          <w:lang w:eastAsia="zh-CN"/>
        </w:rPr>
        <w:t>)</w:t>
      </w:r>
      <w:r>
        <w:rPr>
          <w:rFonts w:ascii="Book Antiqua" w:hAnsi="Book Antiqua" w:eastAsia="Book Antiqua" w:cs="Book Antiqua"/>
          <w:color w:val="000000"/>
        </w:rPr>
        <w:t xml:space="preserve"> (mean area 1.0 cm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was manually placed in the pulmonary artery trunk and the aorta at the level of the hilum to generate the </w:t>
      </w:r>
      <w:bookmarkStart w:id="63" w:name="OLE_LINK69"/>
      <w:bookmarkStart w:id="64" w:name="OLE_LINK70"/>
      <w:r>
        <w:rPr>
          <w:rFonts w:ascii="Book Antiqua" w:hAnsi="Book Antiqua" w:eastAsia="Book Antiqua" w:cs="Book Antiqua"/>
          <w:color w:val="000000"/>
        </w:rPr>
        <w:t>TDC</w:t>
      </w:r>
      <w:bookmarkEnd w:id="63"/>
      <w:bookmarkEnd w:id="64"/>
      <w:r>
        <w:rPr>
          <w:rFonts w:ascii="Book Antiqua" w:hAnsi="Book Antiqua" w:eastAsia="Book Antiqua" w:cs="Book Antiqua"/>
          <w:color w:val="000000"/>
        </w:rPr>
        <w:t xml:space="preserve">s representing the PA input function and the bronchial artery input function, respectively. An </w:t>
      </w:r>
      <w:bookmarkStart w:id="65" w:name="OLE_LINK67"/>
      <w:bookmarkStart w:id="66" w:name="OLE_LINK68"/>
      <w:r>
        <w:rPr>
          <w:rFonts w:ascii="Book Antiqua" w:hAnsi="Book Antiqua" w:eastAsia="Book Antiqua" w:cs="Book Antiqua"/>
          <w:color w:val="000000"/>
        </w:rPr>
        <w:t>elliptical ROI</w:t>
      </w:r>
      <w:bookmarkEnd w:id="65"/>
      <w:bookmarkEnd w:id="66"/>
      <w:r>
        <w:rPr>
          <w:rFonts w:ascii="Book Antiqua" w:hAnsi="Book Antiqua" w:eastAsia="Book Antiqua" w:cs="Book Antiqua"/>
          <w:color w:val="000000"/>
        </w:rPr>
        <w:t xml:space="preserve"> was placed in the left atrium and the peak time of the left a</w:t>
      </w:r>
      <w:bookmarkStart w:id="67" w:name="OLE_LINK71"/>
      <w:bookmarkStart w:id="68" w:name="OLE_LINK72"/>
      <w:r>
        <w:rPr>
          <w:rFonts w:ascii="Book Antiqua" w:hAnsi="Book Antiqua" w:eastAsia="Book Antiqua" w:cs="Book Antiqua"/>
          <w:color w:val="000000"/>
        </w:rPr>
        <w:t xml:space="preserve">trium </w:t>
      </w:r>
      <w:bookmarkEnd w:id="67"/>
      <w:bookmarkEnd w:id="68"/>
      <w:r>
        <w:rPr>
          <w:rFonts w:ascii="Book Antiqua" w:hAnsi="Book Antiqua" w:eastAsia="Book Antiqua" w:cs="Book Antiqua"/>
          <w:color w:val="000000"/>
        </w:rPr>
        <w:t>tunneled dialysis catheter</w:t>
      </w:r>
      <w:r>
        <w:rPr>
          <w:rFonts w:hint="eastAsia" w:ascii="Book Antiqua" w:hAnsi="Book Antiqua" w:cs="Book Antiqua"/>
          <w:color w:val="000000"/>
          <w:lang w:eastAsia="zh-CN"/>
        </w:rPr>
        <w:t>s</w:t>
      </w:r>
      <w:r>
        <w:rPr>
          <w:rFonts w:ascii="Book Antiqua" w:hAnsi="Book Antiqua" w:eastAsia="Book Antiqua" w:cs="Book Antiqua"/>
          <w:color w:val="000000"/>
        </w:rPr>
        <w:t xml:space="preserve"> (TDC</w:t>
      </w:r>
      <w:r>
        <w:rPr>
          <w:rFonts w:hint="eastAsia" w:ascii="Book Antiqua" w:hAnsi="Book Antiqua" w:cs="Book Antiqua"/>
          <w:color w:val="000000"/>
          <w:lang w:eastAsia="zh-CN"/>
        </w:rPr>
        <w:t>s</w:t>
      </w:r>
      <w:r>
        <w:rPr>
          <w:rFonts w:ascii="Book Antiqua" w:hAnsi="Book Antiqua" w:eastAsia="Book Antiqua" w:cs="Book Antiqua"/>
          <w:color w:val="000000"/>
        </w:rPr>
        <w:t>) was used to differentiate pulmonary circulation (before the peak time point) and bronchial circulation (after the peak time point)</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A freehand ROI was drawn to encompass the lesion to generate the TDC of the contrast medium’s first-pass attenuation in the GGN. The perfusion analysis range was set from -700 HU to 50 HU to confine the perfusion analysis to the GGN or mixed GGN regions only and to ignore normal lung parenchyma. Finally, 512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512 matrix color-coded maps of the PF, BF and perfusion index </w:t>
      </w:r>
      <w:r>
        <w:rPr>
          <w:rFonts w:hint="eastAsia" w:ascii="Book Antiqua" w:hAnsi="Book Antiqua" w:cs="Book Antiqua"/>
          <w:color w:val="000000"/>
          <w:lang w:eastAsia="zh-CN"/>
        </w:rPr>
        <w:t>[</w:t>
      </w:r>
      <w:r>
        <w:rPr>
          <w:rFonts w:ascii="Book Antiqua" w:hAnsi="Book Antiqua" w:eastAsia="Book Antiqua" w:cs="Book Antiqua"/>
          <w:color w:val="000000"/>
        </w:rPr>
        <w:t>PI =</w:t>
      </w:r>
      <w:r>
        <w:rPr>
          <w:rFonts w:hint="eastAsia" w:ascii="Book Antiqua" w:hAnsi="Book Antiqua" w:cs="Book Antiqua"/>
          <w:color w:val="000000"/>
          <w:lang w:eastAsia="zh-CN"/>
        </w:rPr>
        <w:t xml:space="preserve"> </w:t>
      </w:r>
      <w:r>
        <w:rPr>
          <w:rFonts w:ascii="Book Antiqua" w:hAnsi="Book Antiqua" w:eastAsia="Book Antiqua" w:cs="Book Antiqua"/>
          <w:color w:val="000000"/>
        </w:rPr>
        <w:t>PF/(PF</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BF)</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generated automatically. For each lesion, measurements were repeated on all relevant 5.0-mm axial slices and then averaged to calculate the final value. Lesion opacity (mean HU) was measured on the non-contrast axial slice with the maximum lesion diameter using a freehand ROI closely encompassing the lesion and avoiding major vessels. This post-processing procedure was independently performed by two radiologists (</w:t>
      </w:r>
      <w:bookmarkStart w:id="69" w:name="OLE_LINK74"/>
      <w:bookmarkStart w:id="70" w:name="OLE_LINK73"/>
      <w:r>
        <w:rPr>
          <w:rFonts w:ascii="Book Antiqua" w:hAnsi="Book Antiqua" w:eastAsia="Book Antiqua" w:cs="Book Antiqua"/>
          <w:color w:val="000000"/>
        </w:rPr>
        <w:t>**BLINDED**</w:t>
      </w:r>
      <w:bookmarkEnd w:id="69"/>
      <w:bookmarkEnd w:id="70"/>
      <w:r>
        <w:rPr>
          <w:rFonts w:ascii="Book Antiqua" w:hAnsi="Book Antiqua" w:eastAsia="Book Antiqua" w:cs="Book Antiqua"/>
          <w:color w:val="000000"/>
        </w:rPr>
        <w:t>, with 13 and 11 years of experience, respectively in CT perfusion in the abdomen and chest). Each radiologist was blinded to the results of the other and the histopathological diagnoses. The final results were the average of the two observers. Inter-observer reproducibility was assessed for the PF, BF and PI as well as the lesion opacity (mean HU). The lesion type (pure GGN or mixed GGN) was independently determined by the two radiologists and by a third radiologist (**BLINDED**) if the results of the two radiologists were inconsistent.</w:t>
      </w:r>
    </w:p>
    <w:p>
      <w:pPr>
        <w:spacing w:line="360" w:lineRule="auto"/>
        <w:ind w:firstLine="240" w:firstLineChars="100"/>
        <w:jc w:val="both"/>
      </w:pPr>
      <w:r>
        <w:rPr>
          <w:rFonts w:ascii="Book Antiqua" w:hAnsi="Book Antiqua" w:eastAsia="Book Antiqua" w:cs="Book Antiqua"/>
          <w:color w:val="000000"/>
        </w:rPr>
        <w:t>The pure GGN was defined as a focal, slightly increased attenuation in lung without masking the underlying structures on the lung window images while the mixed GGN as a focal increased attenuation with solid components masking the underlying structures of pulmonary vessels</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w:t>
      </w:r>
    </w:p>
    <w:p>
      <w:pPr>
        <w:spacing w:line="360" w:lineRule="auto"/>
        <w:ind w:firstLine="480"/>
        <w:jc w:val="both"/>
      </w:pPr>
    </w:p>
    <w:p>
      <w:pPr>
        <w:spacing w:line="360" w:lineRule="auto"/>
        <w:jc w:val="both"/>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Forty-seven GGNs were analyzed. The bronchial artery (BF) and pulmonary artery (PF) as well as the PI</w:t>
      </w:r>
      <w:r>
        <w:rPr>
          <w:rFonts w:hint="eastAsia" w:ascii="Book Antiqua" w:hAnsi="Book Antiqua" w:eastAsia="宋体" w:cs="Book Antiqua"/>
          <w:color w:val="000000"/>
          <w:lang w:val="en-US" w:eastAsia="zh-CN"/>
        </w:rPr>
        <w:t xml:space="preserve"> </w:t>
      </w:r>
      <w:bookmarkStart w:id="102" w:name="_GoBack"/>
      <w:bookmarkEnd w:id="102"/>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PF/ (PF+BF)</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compared respectively between the histopathologic types and the lesion types (pure GGNs or mixed GGNs) using one-way ANOVA and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and correlated respectively with lesions’ HU using Pearson correlation analysis. In addition, the BF and PF were compared by paired </w:t>
      </w:r>
      <w:r>
        <w:rPr>
          <w:rFonts w:ascii="Book Antiqua" w:hAnsi="Book Antiqua" w:eastAsia="Book Antiqua" w:cs="Book Antiqua"/>
          <w:i/>
          <w:iCs/>
          <w:color w:val="000000"/>
        </w:rPr>
        <w:t>t</w:t>
      </w:r>
      <w:r>
        <w:rPr>
          <w:rFonts w:ascii="Book Antiqua" w:hAnsi="Book Antiqua" w:eastAsia="Book Antiqua" w:cs="Book Antiqua"/>
          <w:color w:val="000000"/>
        </w:rPr>
        <w:t xml:space="preserve"> test to determine the dominant blood flow in the GGNs. The inter-observer reproducibility of perfusion parameters (BF, PF and PI) and HU of GGNs were assessed using intraclass correlation coefficients (ICC). Statistical analysis was performed using commercially available software (SPSS, V13.0, IBM).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was considered to indicate a significant difference.</w:t>
      </w:r>
    </w:p>
    <w:bookmarkEnd w:id="54"/>
    <w:bookmarkEnd w:id="55"/>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bookmarkStart w:id="71" w:name="OLE_LINK680"/>
      <w:r>
        <w:rPr>
          <w:rFonts w:ascii="Book Antiqua" w:hAnsi="Book Antiqua" w:eastAsia="Book Antiqua" w:cs="Book Antiqua"/>
          <w:color w:val="000000"/>
        </w:rPr>
        <w:t>All patients showed good compliance with the CT perfusion procedure. No severe motion artifacts or adverse events occurred.</w:t>
      </w:r>
    </w:p>
    <w:p>
      <w:pPr>
        <w:spacing w:line="360" w:lineRule="auto"/>
        <w:ind w:firstLine="240" w:firstLineChars="100"/>
        <w:jc w:val="both"/>
      </w:pPr>
      <w:r>
        <w:rPr>
          <w:rFonts w:ascii="Book Antiqua" w:hAnsi="Book Antiqua" w:eastAsia="Book Antiqua" w:cs="Book Antiqua"/>
          <w:color w:val="000000"/>
        </w:rPr>
        <w:t>Of the 47 GGNs (mean diameter, 8.17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range, 5.3-12.7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30 (64%) proved to be bronchioloalveolar cell carcinoma (BAC) (</w:t>
      </w:r>
      <w:r>
        <w:rPr>
          <w:rFonts w:ascii="Book Antiqua" w:hAnsi="Book Antiqua" w:eastAsia="Book Antiqua" w:cs="Book Antiqua"/>
          <w:i/>
          <w:iCs/>
          <w:color w:val="000000"/>
        </w:rPr>
        <w:t>n</w:t>
      </w:r>
      <w:r>
        <w:rPr>
          <w:rFonts w:ascii="Book Antiqua" w:hAnsi="Book Antiqua" w:eastAsia="Book Antiqua" w:cs="Book Antiqua"/>
          <w:color w:val="000000"/>
        </w:rPr>
        <w:t xml:space="preserve"> = 24) or adenocarcinoma with predominant BAC component (</w:t>
      </w:r>
      <w:r>
        <w:rPr>
          <w:rFonts w:ascii="Book Antiqua" w:hAnsi="Book Antiqua" w:eastAsia="Book Antiqua" w:cs="Book Antiqua"/>
          <w:i/>
          <w:iCs/>
          <w:color w:val="000000"/>
        </w:rPr>
        <w:t>n</w:t>
      </w:r>
      <w:r>
        <w:rPr>
          <w:rFonts w:ascii="Book Antiqua" w:hAnsi="Book Antiqua" w:eastAsia="Book Antiqua" w:cs="Book Antiqua"/>
          <w:color w:val="000000"/>
        </w:rPr>
        <w:t xml:space="preserve"> = 6), six (13%) atypical adenomatous hyperplasia and 11 (23%) organizing pneumonia. None of the three perfusion parameters demonstrated significant difference among the three histopathological types (Table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1). Of the 30 carcinomas GGNs, 14 showed mixed GGNs and 16 pure GGNs, with a greater PI in the latter (</w:t>
      </w:r>
      <w:r>
        <w:rPr>
          <w:rFonts w:ascii="Book Antiqua" w:hAnsi="Book Antiqua" w:eastAsia="Book Antiqua" w:cs="Book Antiqua"/>
          <w:i/>
          <w:iCs/>
          <w:color w:val="000000"/>
        </w:rPr>
        <w:t xml:space="preserve">P </w:t>
      </w:r>
      <w:r>
        <w:rPr>
          <w:rFonts w:ascii="Book Antiqua" w:hAnsi="Book Antiqua" w:eastAsia="Book Antiqua" w:cs="Book Antiqua"/>
          <w:color w:val="000000"/>
        </w:rPr>
        <w:t>&lt; 0.01). Of the 17 benign GGNs, 4 showed mixed GGNs (including 1 atypical adenomatous hyperplasia and 3 organizing pneumonia) and 13 pure GGNs (including 5 atypical adenomatous hyperplasia and 8 organizing pneumonia) with no significant difference of the PI between the GGN types (</w:t>
      </w:r>
      <w:r>
        <w:rPr>
          <w:rFonts w:ascii="Book Antiqua" w:hAnsi="Book Antiqua" w:eastAsia="Book Antiqua" w:cs="Book Antiqua"/>
          <w:i/>
          <w:iCs/>
          <w:color w:val="000000"/>
        </w:rPr>
        <w:t>P</w:t>
      </w:r>
      <w:r>
        <w:rPr>
          <w:rFonts w:ascii="Book Antiqua" w:hAnsi="Book Antiqua" w:eastAsia="Book Antiqua" w:cs="Book Antiqua"/>
          <w:color w:val="000000"/>
        </w:rPr>
        <w:t xml:space="preserve"> = 0.21). Of the 30 cancerous GGNs, the lesions’ HU demonstrated mild negative correlation with the PF (</w:t>
      </w:r>
      <w:r>
        <w:rPr>
          <w:rFonts w:ascii="Book Antiqua" w:hAnsi="Book Antiqua" w:eastAsia="Book Antiqua" w:cs="Book Antiqua"/>
          <w:i/>
          <w:iCs/>
          <w:color w:val="000000"/>
        </w:rPr>
        <w:t>r</w:t>
      </w:r>
      <w:r>
        <w:rPr>
          <w:rFonts w:ascii="Book Antiqua" w:hAnsi="Book Antiqua" w:eastAsia="Book Antiqua" w:cs="Book Antiqua"/>
          <w:color w:val="000000"/>
        </w:rPr>
        <w:t xml:space="preserve"> = -0.558,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while mild positive correlation with the BF (</w:t>
      </w:r>
      <w:r>
        <w:rPr>
          <w:rFonts w:ascii="Book Antiqua" w:hAnsi="Book Antiqua" w:eastAsia="Book Antiqua" w:cs="Book Antiqua"/>
          <w:i/>
          <w:iCs/>
          <w:color w:val="000000"/>
        </w:rPr>
        <w:t>r</w:t>
      </w:r>
      <w:r>
        <w:rPr>
          <w:rFonts w:ascii="Book Antiqua" w:hAnsi="Book Antiqua" w:eastAsia="Book Antiqua" w:cs="Book Antiqua"/>
          <w:color w:val="000000"/>
        </w:rPr>
        <w:t xml:space="preserve"> = 0.565,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The PI demonstrates moderate negative correlation with the HU (</w:t>
      </w:r>
      <w:r>
        <w:rPr>
          <w:rFonts w:ascii="Book Antiqua" w:hAnsi="Book Antiqua" w:eastAsia="Book Antiqua" w:cs="Book Antiqua"/>
          <w:i/>
          <w:iCs/>
          <w:color w:val="000000"/>
        </w:rPr>
        <w:t>r</w:t>
      </w:r>
      <w:r>
        <w:rPr>
          <w:rFonts w:ascii="Book Antiqua" w:hAnsi="Book Antiqua" w:eastAsia="Book Antiqua" w:cs="Book Antiqua"/>
          <w:color w:val="000000"/>
        </w:rPr>
        <w:t xml:space="preserve"> = -0.76,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No correlation between the perfusion parameters and the HU was revealed in the other two diseases (all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w:t>
      </w:r>
    </w:p>
    <w:p>
      <w:pPr>
        <w:spacing w:line="360" w:lineRule="auto"/>
        <w:ind w:firstLine="240" w:firstLineChars="100"/>
        <w:jc w:val="both"/>
      </w:pPr>
      <w:r>
        <w:rPr>
          <w:rFonts w:ascii="Book Antiqua" w:hAnsi="Book Antiqua" w:eastAsia="Book Antiqua" w:cs="Book Antiqua"/>
          <w:color w:val="000000"/>
        </w:rPr>
        <w:t>Perfusion parameters were visualized by color maps and fused onto the original axial CT images. Representative perfusion color maps are shown in Figure 1 and Figure 2. Statistical results of the perfusion parameters derived from dual-input computed tomography perfusion are listed in Table 1 and shown in Figure</w:t>
      </w:r>
      <w:r>
        <w:rPr>
          <w:rFonts w:hint="eastAsia" w:ascii="Book Antiqua" w:hAnsi="Book Antiqua" w:cs="Book Antiqua"/>
          <w:color w:val="000000"/>
          <w:lang w:eastAsia="zh-CN"/>
        </w:rPr>
        <w:t>s</w:t>
      </w:r>
      <w:r>
        <w:rPr>
          <w:rFonts w:ascii="Book Antiqua" w:hAnsi="Book Antiqua" w:eastAsia="Book Antiqua" w:cs="Book Antiqua"/>
          <w:color w:val="000000"/>
        </w:rPr>
        <w:t xml:space="preserve"> 3</w:t>
      </w:r>
      <w:r>
        <w:rPr>
          <w:rFonts w:hint="eastAsia" w:ascii="Book Antiqua" w:hAnsi="Book Antiqua" w:cs="Book Antiqua"/>
          <w:color w:val="000000"/>
          <w:lang w:eastAsia="zh-CN"/>
        </w:rPr>
        <w:t>-</w:t>
      </w:r>
      <w:r>
        <w:rPr>
          <w:rFonts w:ascii="Book Antiqua" w:hAnsi="Book Antiqua" w:eastAsia="Book Antiqua" w:cs="Book Antiqua"/>
          <w:color w:val="000000"/>
        </w:rPr>
        <w:t>5. ICC (0.94, 95%C</w:t>
      </w:r>
      <w:r>
        <w:rPr>
          <w:rFonts w:hint="eastAsia" w:ascii="Book Antiqua" w:hAnsi="Book Antiqua" w:cs="Book Antiqua"/>
          <w:color w:val="000000"/>
          <w:lang w:eastAsia="zh-CN"/>
        </w:rPr>
        <w:t>I</w:t>
      </w:r>
      <w:r>
        <w:rPr>
          <w:rFonts w:ascii="Book Antiqua" w:hAnsi="Book Antiqua" w:eastAsia="Book Antiqua" w:cs="Book Antiqua"/>
          <w:color w:val="000000"/>
        </w:rPr>
        <w:t>: 0.93-0.95) demonstrated that the reproducibility between the two observers is good.</w:t>
      </w:r>
    </w:p>
    <w:p>
      <w:pPr>
        <w:spacing w:line="360" w:lineRule="auto"/>
        <w:ind w:firstLine="240" w:firstLineChars="100"/>
        <w:jc w:val="both"/>
      </w:pPr>
      <w:r>
        <w:rPr>
          <w:rFonts w:ascii="Book Antiqua" w:hAnsi="Book Antiqua" w:eastAsia="Book Antiqua" w:cs="Book Antiqua"/>
          <w:color w:val="000000"/>
        </w:rPr>
        <w:t>The dynamic volume CT perfusion protocol was identical for all 47 cases. The CT dose DLP = 324.8 mGy</w:t>
      </w:r>
      <w:r>
        <w:rPr>
          <w:rFonts w:hint="eastAsia" w:ascii="Book Antiqua" w:hAnsi="Book Antiqua" w:cs="Book Antiqua"/>
          <w:color w:val="000000"/>
          <w:szCs w:val="20"/>
          <w:shd w:val="clear" w:color="auto" w:fill="FFFFFF"/>
          <w:lang w:eastAsia="zh-CN"/>
        </w:rPr>
        <w:t xml:space="preserve"> </w:t>
      </w:r>
      <w:r>
        <w:rPr>
          <w:rFonts w:ascii="Book Antiqua" w:hAnsi="Book Antiqua" w:eastAsia="Book Antiqua" w:cs="Book Antiqua"/>
          <w:color w:val="000000"/>
        </w:rPr>
        <w:t>cm or 4.55 mSv (k = 0.014).</w:t>
      </w:r>
    </w:p>
    <w:bookmarkEnd w:id="71"/>
    <w:p>
      <w:pPr>
        <w:spacing w:line="360" w:lineRule="auto"/>
        <w:ind w:firstLine="48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lang w:eastAsia="zh-CN"/>
        </w:rPr>
      </w:pPr>
      <w:bookmarkStart w:id="72" w:name="OLE_LINK681"/>
      <w:bookmarkStart w:id="73" w:name="OLE_LINK682"/>
      <w:r>
        <w:rPr>
          <w:rFonts w:ascii="Book Antiqua" w:hAnsi="Book Antiqua" w:eastAsia="Book Antiqua" w:cs="Book Antiqua"/>
          <w:color w:val="000000"/>
        </w:rPr>
        <w:t xml:space="preserve">The PF and the BF, </w:t>
      </w:r>
      <w:r>
        <w:rPr>
          <w:rFonts w:ascii="Book Antiqua" w:hAnsi="Book Antiqua" w:eastAsia="Book Antiqua" w:cs="Book Antiqua"/>
          <w:i/>
          <w:color w:val="000000"/>
        </w:rPr>
        <w:t>i.e.</w:t>
      </w:r>
      <w:r>
        <w:rPr>
          <w:rFonts w:ascii="Book Antiqua" w:hAnsi="Book Antiqua" w:eastAsia="Book Antiqua" w:cs="Book Antiqua"/>
          <w:color w:val="000000"/>
        </w:rPr>
        <w:t>, the dual vascular supply was revealed in lung cancer through post-mortem microarteriography in the early 1970s</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Since then, the BF in lung cancer was confirmed by many reports and broncho angiography studies</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In contrast, PF in lung cancer was rarely reported until recently with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evaluation of the dual vascular supply in lung cancer and was achieved by using a dynamic contrast-enhanced volume CT</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which reported a dominant BF along with a subordinate PF in solid cancerous nodules. In the present investigation, however, we revealed a dominant PF along with a subordinate BF in the GGN carcinomas. In addition, we revealed that with the increase of the lesion opacity, the weight of the PF in the total blood flow of the GGN carcinomas decreases while the weight of the BF increases. Thus, we would like to provide an interpretation of our findings combining with the findings of the previous reports as the following: </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uring the progress of the lung adenocarcinoma from a pure GGN to a mixed GGN then to a solid nodule</w:t>
      </w:r>
      <w:r>
        <w:rPr>
          <w:rFonts w:ascii="Book Antiqua" w:hAnsi="Book Antiqua" w:eastAsia="Book Antiqua" w:cs="Book Antiqua"/>
          <w:color w:val="000000"/>
          <w:szCs w:val="30"/>
          <w:vertAlign w:val="superscript"/>
        </w:rPr>
        <w:t>[21,22]</w:t>
      </w:r>
      <w:r>
        <w:rPr>
          <w:rFonts w:ascii="Book Antiqua" w:hAnsi="Book Antiqua" w:eastAsia="Book Antiqua" w:cs="Book Antiqua"/>
          <w:color w:val="000000"/>
        </w:rPr>
        <w:t>, the PF dominant perfusion pattern may gradually reverse to the BF dominant perfusion pattern.</w:t>
      </w:r>
      <w:r>
        <w:rPr>
          <w:rFonts w:ascii="Book Antiqua" w:hAnsi="Book Antiqua" w:eastAsia="Book Antiqua" w:cs="Book Antiqua"/>
          <w:color w:val="000000"/>
          <w:szCs w:val="21"/>
        </w:rPr>
        <w:t xml:space="preserve"> </w:t>
      </w:r>
      <w:r>
        <w:rPr>
          <w:rFonts w:ascii="Book Antiqua" w:hAnsi="Book Antiqua" w:eastAsia="Book Antiqua" w:cs="Book Antiqua"/>
          <w:color w:val="000000"/>
        </w:rPr>
        <w:t>In contrast to solid nodular carcinoma,</w:t>
      </w:r>
      <w:r>
        <w:rPr>
          <w:rFonts w:ascii="Book Antiqua" w:hAnsi="Book Antiqua" w:eastAsia="Book Antiqua" w:cs="Book Antiqua"/>
          <w:color w:val="000000"/>
          <w:szCs w:val="21"/>
        </w:rPr>
        <w:t xml:space="preserve"> </w:t>
      </w:r>
      <w:r>
        <w:rPr>
          <w:rFonts w:ascii="Book Antiqua" w:hAnsi="Book Antiqua" w:eastAsia="Book Antiqua" w:cs="Book Antiqua"/>
          <w:color w:val="000000"/>
        </w:rPr>
        <w:t>GGN carcinoma are supposed to be indolent, which allows long-term follow-up</w:t>
      </w:r>
      <w:r>
        <w:rPr>
          <w:rFonts w:ascii="Book Antiqua" w:hAnsi="Book Antiqua" w:eastAsia="Book Antiqua" w:cs="Book Antiqua"/>
          <w:color w:val="000000"/>
          <w:szCs w:val="21"/>
        </w:rPr>
        <w:t xml:space="preserve"> </w:t>
      </w:r>
      <w:r>
        <w:rPr>
          <w:rFonts w:ascii="Book Antiqua" w:hAnsi="Book Antiqua" w:eastAsia="Book Antiqua" w:cs="Book Antiqua"/>
          <w:color w:val="000000"/>
        </w:rPr>
        <w:t>of their morphological changes for treatment planning</w:t>
      </w:r>
      <w:r>
        <w:rPr>
          <w:rFonts w:ascii="Book Antiqua" w:hAnsi="Book Antiqua" w:eastAsia="Book Antiqua" w:cs="Book Antiqua"/>
          <w:color w:val="000000"/>
          <w:szCs w:val="30"/>
          <w:vertAlign w:val="superscript"/>
        </w:rPr>
        <w:t>[23-25]</w:t>
      </w:r>
      <w:r>
        <w:rPr>
          <w:rFonts w:ascii="Book Antiqua" w:hAnsi="Book Antiqua" w:eastAsia="Book Antiqua" w:cs="Book Antiqua"/>
          <w:color w:val="000000"/>
        </w:rPr>
        <w:t>. Our findings on the increasing weight of the BF in GGNs during its opacification suggest that the PI which represents the weight of the BF in the total blood supply (BF</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PF) may be a potentially useful biomarker for distinguishing indolent nodules from active ones. </w:t>
      </w:r>
    </w:p>
    <w:p>
      <w:pPr>
        <w:spacing w:line="360" w:lineRule="auto"/>
        <w:ind w:firstLine="240" w:firstLineChars="100"/>
        <w:jc w:val="both"/>
      </w:pPr>
      <w:r>
        <w:rPr>
          <w:rFonts w:ascii="Book Antiqua" w:hAnsi="Book Antiqua" w:eastAsia="Book Antiqua" w:cs="Book Antiqua"/>
          <w:color w:val="000000"/>
        </w:rPr>
        <w:t xml:space="preserve">Though the dual vascular supply patterns of the GGNs were determined in the current investigation, it cannot help differentiate GGNs between benignancy and malignancy because none of the three perfusion parameters (PF, BF and PI) showed significant difference between benign and malignant GGNs. Nevertheless, the feature of the PF dominant perfusion in the GGN carcinomas may have two important clinical implications: </w:t>
      </w:r>
      <w:r>
        <w:rPr>
          <w:rFonts w:hint="eastAsia" w:ascii="Book Antiqua" w:hAnsi="Book Antiqua" w:cs="Book Antiqua"/>
          <w:color w:val="000000"/>
          <w:lang w:eastAsia="zh-CN"/>
        </w:rPr>
        <w:t>(</w:t>
      </w:r>
      <w:r>
        <w:rPr>
          <w:rFonts w:ascii="Book Antiqua" w:hAnsi="Book Antiqua" w:eastAsia="Book Antiqua" w:cs="Book Antiqua"/>
          <w:color w:val="000000"/>
        </w:rPr>
        <w:t xml:space="preserve">1) Bronchial arterial chemoembolization may not be suitable for the treatment of a GGN carcinoma; </w:t>
      </w:r>
      <w:r>
        <w:rPr>
          <w:rFonts w:hint="eastAsia" w:ascii="Book Antiqua" w:hAnsi="Book Antiqua" w:cs="Book Antiqua"/>
          <w:color w:val="000000"/>
          <w:lang w:eastAsia="zh-CN"/>
        </w:rPr>
        <w:t>and (</w:t>
      </w:r>
      <w:r>
        <w:rPr>
          <w:rFonts w:ascii="Book Antiqua" w:hAnsi="Book Antiqua" w:eastAsia="Book Antiqua" w:cs="Book Antiqua"/>
          <w:color w:val="000000"/>
        </w:rPr>
        <w:t>2) radiation therapy may not be suitable for the treatment of a GGN carcinoma. The reason for the former is self-evident. The reason for the latter is because the PF dominant perfusion indicates a low level of oxygenation in the GGN carcinoma resulting in a low level of radiosensitivity</w:t>
      </w:r>
      <w:r>
        <w:rPr>
          <w:rFonts w:ascii="Book Antiqua" w:hAnsi="Book Antiqua" w:eastAsia="Book Antiqua" w:cs="Book Antiqua"/>
          <w:color w:val="000000"/>
          <w:szCs w:val="30"/>
          <w:vertAlign w:val="superscript"/>
        </w:rPr>
        <w:t>[20,26]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It was reported that the pure GGNs are difficult to be distinguished morphologically between malignancy and benignancy</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however, the mixed GGNs tend to be a malignant one</w:t>
      </w:r>
      <w:r>
        <w:rPr>
          <w:rFonts w:ascii="Book Antiqua" w:hAnsi="Book Antiqua" w:eastAsia="Book Antiqua" w:cs="Book Antiqua"/>
          <w:color w:val="000000"/>
          <w:szCs w:val="30"/>
          <w:vertAlign w:val="superscript"/>
        </w:rPr>
        <w:t>[28,29]</w:t>
      </w:r>
      <w:r>
        <w:rPr>
          <w:rFonts w:ascii="Book Antiqua" w:hAnsi="Book Antiqua" w:eastAsia="Book Antiqua" w:cs="Book Antiqua"/>
          <w:color w:val="000000"/>
        </w:rPr>
        <w:t>. During a long-term CT follow-up of an adenocarcinoma in the lung, the typical case may be a pure GGN at the very beginning then gradually changing into a mixed GGN and a solid nodule at last</w:t>
      </w:r>
      <w:r>
        <w:rPr>
          <w:rFonts w:ascii="Book Antiqua" w:hAnsi="Book Antiqua" w:eastAsia="Book Antiqua" w:cs="Book Antiqua"/>
          <w:color w:val="000000"/>
          <w:szCs w:val="30"/>
          <w:vertAlign w:val="superscript"/>
        </w:rPr>
        <w:t>[30,31]</w:t>
      </w:r>
      <w:r>
        <w:rPr>
          <w:rFonts w:ascii="Book Antiqua" w:hAnsi="Book Antiqua" w:eastAsia="Book Antiqua" w:cs="Book Antiqua"/>
          <w:color w:val="000000"/>
        </w:rPr>
        <w:t>. Therefore, it strongly suggests an adenocarcinoma when a pure GGN gradually changed into a mixed one during follow-up. According to the current investigation, a pure GGN carcinoma is mainly perfused by the PF while the weight of the BF increases in a mixed GGN. In addition, a solid carcinoma is mainly perfused by the BF according to the previous study</w:t>
      </w:r>
      <w:r>
        <w:rPr>
          <w:rFonts w:ascii="Book Antiqua" w:hAnsi="Book Antiqua" w:eastAsia="Book Antiqua" w:cs="Book Antiqua"/>
          <w:color w:val="000000"/>
          <w:szCs w:val="30"/>
          <w:vertAlign w:val="superscript"/>
        </w:rPr>
        <w:t>[15,20,32]</w:t>
      </w:r>
      <w:r>
        <w:rPr>
          <w:rFonts w:ascii="Book Antiqua" w:hAnsi="Book Antiqua" w:eastAsia="Book Antiqua" w:cs="Book Antiqua"/>
          <w:color w:val="000000"/>
        </w:rPr>
        <w:t>. These adaptive changes of the perfusion patterns may bring more oxygen to feed the growth of the GGN carcinomas because of a low oxygen level in the PF and a high oxygen level in the BF. However, the mechanism behind these changes is still unknown and needs to be investigated further.</w:t>
      </w:r>
    </w:p>
    <w:p>
      <w:pPr>
        <w:spacing w:line="360" w:lineRule="auto"/>
        <w:ind w:firstLine="240" w:firstLineChars="100"/>
        <w:jc w:val="both"/>
      </w:pPr>
      <w:r>
        <w:rPr>
          <w:rFonts w:ascii="Book Antiqua" w:hAnsi="Book Antiqua" w:eastAsia="Book Antiqua" w:cs="Book Antiqua"/>
          <w:color w:val="000000"/>
        </w:rPr>
        <w:t xml:space="preserve">In this investigation, the perfusion analysis range was set from -700 HU to 50 HU to confine the perfusion analysis to the GGN or mixed GGN while ignore the normal lung parenchyma. In fact, the perfusion analysis range could be set individually according to an on-spot CT measurement of the GGN. To simplify and standardize the post-processing procedure, we adopted a fixed CT perfusion analysis range, </w:t>
      </w:r>
      <w:r>
        <w:rPr>
          <w:rFonts w:ascii="Book Antiqua" w:hAnsi="Book Antiqua" w:eastAsia="Book Antiqua" w:cs="Book Antiqua"/>
          <w:i/>
          <w:color w:val="000000"/>
        </w:rPr>
        <w:t>i.e.</w:t>
      </w:r>
      <w:r>
        <w:rPr>
          <w:rFonts w:ascii="Book Antiqua" w:hAnsi="Book Antiqua" w:eastAsia="Book Antiqua" w:cs="Book Antiqua"/>
          <w:color w:val="000000"/>
        </w:rPr>
        <w:t>, -700 HU to 50 HU in this study.</w:t>
      </w:r>
    </w:p>
    <w:p>
      <w:pPr>
        <w:spacing w:line="360" w:lineRule="auto"/>
        <w:ind w:firstLine="240" w:firstLineChars="100"/>
        <w:jc w:val="both"/>
      </w:pPr>
      <w:r>
        <w:rPr>
          <w:rFonts w:ascii="Book Antiqua" w:hAnsi="Book Antiqua" w:eastAsia="Book Antiqua" w:cs="Book Antiqua"/>
          <w:color w:val="000000"/>
        </w:rPr>
        <w:t>There are some limitations to this study. First, the relatively small sample size of this study will undermine the significance of our findings. Second, a relatively high radiation dose is an unavoidable limitation of perfusion CT though the total effective dose of each patient was controlled to comparable with a multiphasic CT procedure</w:t>
      </w:r>
      <w:r>
        <w:rPr>
          <w:rFonts w:ascii="Book Antiqua" w:hAnsi="Book Antiqua" w:eastAsia="Book Antiqua" w:cs="Book Antiqua"/>
          <w:color w:val="000000"/>
          <w:szCs w:val="30"/>
          <w:vertAlign w:val="superscript"/>
        </w:rPr>
        <w:t>[33,34]</w:t>
      </w:r>
      <w:r>
        <w:rPr>
          <w:rFonts w:ascii="Book Antiqua" w:hAnsi="Book Antiqua" w:eastAsia="Book Antiqua" w:cs="Book Antiqua"/>
          <w:color w:val="000000"/>
        </w:rPr>
        <w:t>. Third, although the difference of CT perfusion between the pure and mixed GGN carcinomas was investigated, the solid components and the pure components of the mixed GGN carcinomas were not evaluated separately because it’s difficult to define the boundary of the two components. Fourth, our findings cannot help to differentiate between malignant and benign GGNs because no significant difference in perfusion parameters was revealed between them. However, the change regularity of the dual vascular supply patterns during the opacification of GGN carcinomas could help to better understand its biological behavior and therefore help to better manage it.</w:t>
      </w:r>
    </w:p>
    <w:bookmarkEnd w:id="72"/>
    <w:bookmarkEnd w:id="73"/>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bookmarkStart w:id="74" w:name="OLE_LINK683"/>
      <w:r>
        <w:rPr>
          <w:rFonts w:ascii="Book Antiqua" w:hAnsi="Book Antiqua" w:eastAsia="Book Antiqua" w:cs="Book Antiqua"/>
          <w:color w:val="000000"/>
        </w:rPr>
        <w:t>In conclusion, the GGNs are perfused dominantly by the PF regardless of its histopathology while the weight of the BF in the GGN carcinomas increases gradually during its opacification.</w:t>
      </w:r>
      <w:r>
        <w:rPr>
          <w:rFonts w:ascii="Book Antiqua" w:hAnsi="Book Antiqua" w:eastAsia="Book Antiqua" w:cs="Book Antiqua"/>
          <w:color w:val="000000"/>
          <w:szCs w:val="21"/>
        </w:rPr>
        <w:t xml:space="preserve"> </w:t>
      </w:r>
      <w:r>
        <w:rPr>
          <w:rFonts w:ascii="Book Antiqua" w:hAnsi="Book Antiqua" w:eastAsia="Book Antiqua" w:cs="Book Antiqua"/>
          <w:color w:val="000000"/>
        </w:rPr>
        <w:t>The PI may be a potentially useful biomarker for distinguishing indolent nodules from aggressive ones.</w:t>
      </w:r>
    </w:p>
    <w:bookmarkEnd w:id="74"/>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bookmarkStart w:id="75" w:name="OLE_LINK684"/>
      <w:bookmarkStart w:id="76" w:name="OLE_LINK685"/>
      <w:r>
        <w:rPr>
          <w:rFonts w:ascii="Book Antiqua" w:hAnsi="Book Antiqua" w:eastAsia="Book Antiqua" w:cs="Book Antiqua"/>
          <w:color w:val="000000"/>
        </w:rPr>
        <w:t>In recent years, the detection rate of ground-glass nodules (GGNs) has been improved dramatically due to the application of low-dose computed tomography (CT) screening and high-resolution CT. The rapidly increasing detection rate requires appropriate managements of the GGNs which depends on a thorough investigation and sufficient knowledge of the GGNs. In most diagnostic studies of the GGNs, morphological factors are used to differentiate benignancy and malignancy. However, evaluation of the dual vascular supply patterns in GGNs with a dynamic volume CT could provide more valuable information for identification and treatment planning.</w:t>
      </w:r>
    </w:p>
    <w:bookmarkEnd w:id="75"/>
    <w:bookmarkEnd w:id="76"/>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bookmarkStart w:id="77" w:name="OLE_LINK687"/>
      <w:bookmarkStart w:id="78" w:name="OLE_LINK686"/>
      <w:r>
        <w:rPr>
          <w:rFonts w:ascii="Book Antiqua" w:hAnsi="Book Antiqua" w:eastAsia="Book Antiqua" w:cs="Book Antiqua"/>
          <w:color w:val="000000"/>
        </w:rPr>
        <w:t xml:space="preserve">Studies of the solid lesions suggested that the information of CT perfusion is helpful in identification and treatment planning. Furthermore, quantification of the dual blood supply from the pulmonary and bronchial artery, </w:t>
      </w:r>
      <w:r>
        <w:rPr>
          <w:rFonts w:ascii="Book Antiqua" w:hAnsi="Book Antiqua" w:eastAsia="Book Antiqua" w:cs="Book Antiqua"/>
          <w:i/>
          <w:color w:val="000000"/>
        </w:rPr>
        <w:t>i.e.</w:t>
      </w:r>
      <w:r>
        <w:rPr>
          <w:rFonts w:ascii="Book Antiqua" w:hAnsi="Book Antiqua" w:eastAsia="Book Antiqua" w:cs="Book Antiqua"/>
          <w:color w:val="000000"/>
        </w:rPr>
        <w:t>, the pulmonary flow (PF) and bronchial flow (BF) in lung disorders was recently achieved with a dynamic volume CT and the first-pass dual-input perfusion analysis producing helpful information for differentiations and treatment planning. Based on this, our study is devoted to the assessment of the dual blood supply pattern of GGNs by dynamic CT to provide more valuable information for differentiations and treatment planning.</w:t>
      </w:r>
    </w:p>
    <w:bookmarkEnd w:id="77"/>
    <w:bookmarkEnd w:id="78"/>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bookmarkStart w:id="79" w:name="OLE_LINK689"/>
      <w:bookmarkStart w:id="80" w:name="OLE_LINK688"/>
      <w:r>
        <w:rPr>
          <w:rFonts w:ascii="Book Antiqua" w:hAnsi="Book Antiqua" w:eastAsia="Book Antiqua" w:cs="Book Antiqua"/>
          <w:color w:val="000000"/>
        </w:rPr>
        <w:t>To assess the dual vascular supply patterns of GGNs with regard to different histopathology and opacities using</w:t>
      </w:r>
      <w:r>
        <w:rPr>
          <w:rFonts w:ascii="Book Antiqua" w:hAnsi="Book Antiqua" w:eastAsia="Book Antiqua" w:cs="Book Antiqua"/>
          <w:color w:val="000000"/>
          <w:szCs w:val="21"/>
        </w:rPr>
        <w:t xml:space="preserve"> </w:t>
      </w:r>
      <w:r>
        <w:rPr>
          <w:rFonts w:ascii="Book Antiqua" w:hAnsi="Book Antiqua" w:eastAsia="Book Antiqua" w:cs="Book Antiqua"/>
          <w:color w:val="000000"/>
        </w:rPr>
        <w:t>a dynamic volume CT.</w:t>
      </w:r>
    </w:p>
    <w:bookmarkEnd w:id="79"/>
    <w:bookmarkEnd w:id="80"/>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bookmarkStart w:id="81" w:name="OLE_LINK690"/>
      <w:r>
        <w:rPr>
          <w:rFonts w:ascii="Book Antiqua" w:hAnsi="Book Antiqua" w:eastAsia="Book Antiqua" w:cs="Book Antiqua"/>
          <w:color w:val="000000"/>
        </w:rPr>
        <w:t xml:space="preserve">In this prospective study, 47 GGNs from 47 patients were included and underwent the dynamic volume CT. Histopathologic diagnoses were obtained within two weeks after the CT examination. BF and PF as well as the perfusion index </w:t>
      </w:r>
      <w:r>
        <w:rPr>
          <w:rFonts w:hint="eastAsia" w:ascii="Book Antiqua" w:hAnsi="Book Antiqua" w:cs="Book Antiqua"/>
          <w:color w:val="000000"/>
          <w:lang w:eastAsia="zh-CN"/>
        </w:rPr>
        <w:t>[</w:t>
      </w:r>
      <w:r>
        <w:rPr>
          <w:rFonts w:ascii="Book Antiqua" w:hAnsi="Book Antiqua" w:eastAsia="Book Antiqua" w:cs="Book Antiqua"/>
          <w:color w:val="000000"/>
        </w:rPr>
        <w:t>(PI</w:t>
      </w:r>
      <w:r>
        <w:rPr>
          <w:rFonts w:hint="eastAsia" w:ascii="Book Antiqua" w:hAnsi="Book Antiqua" w:cs="Book Antiqua"/>
          <w:color w:val="000000"/>
          <w:lang w:eastAsia="zh-CN"/>
        </w:rPr>
        <w:t>)</w:t>
      </w:r>
      <w:r>
        <w:rPr>
          <w:rFonts w:ascii="Book Antiqua" w:hAnsi="Book Antiqua" w:eastAsia="Book Antiqua" w:cs="Book Antiqua"/>
          <w:color w:val="000000"/>
        </w:rPr>
        <w:t xml:space="preserve"> = PF/ (PF+BF)</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obtained using first-pass dual-input CT perfusion analysis and compared respectively between different histopathology and lesion types (pure or mixed GGN) and correlated with the attenuation values of the lesions, using one-way ANOVA,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and Pearson correlation analysis.</w:t>
      </w:r>
    </w:p>
    <w:bookmarkEnd w:id="81"/>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bookmarkStart w:id="82" w:name="OLE_LINK691"/>
      <w:r>
        <w:rPr>
          <w:rFonts w:ascii="Book Antiqua" w:hAnsi="Book Antiqua" w:eastAsia="Book Antiqua" w:cs="Book Antiqua"/>
          <w:color w:val="000000"/>
        </w:rPr>
        <w:t xml:space="preserve">Forty-seven GGNs including three histopathological types (30 carcinoma, 6 atypical adenomatous hyperplasia and 11 organizing pneumonia). All perfusion parameters (BF, PF and PI) demonstrated no significant difference among the three conditions (all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The PFs were higher than the BFs in all the three conditions (all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Of the 30 GGN carcinomas, 14 showed mixed GGNs and 16 pure GGNs, with a higher PI in the latter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A negative correlation (</w:t>
      </w:r>
      <w:r>
        <w:rPr>
          <w:rFonts w:ascii="Book Antiqua" w:hAnsi="Book Antiqua" w:eastAsia="Book Antiqua" w:cs="Book Antiqua"/>
          <w:i/>
          <w:color w:val="000000"/>
        </w:rPr>
        <w:t>r</w:t>
      </w:r>
      <w:r>
        <w:rPr>
          <w:rFonts w:ascii="Book Antiqua" w:hAnsi="Book Antiqua" w:eastAsia="Book Antiqua" w:cs="Book Antiqua"/>
          <w:color w:val="000000"/>
        </w:rPr>
        <w:t xml:space="preserve"> = -0.76,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was demonstrated between the CT attenuation values and the PIs in the 30 GGN carcinomas.</w:t>
      </w:r>
    </w:p>
    <w:bookmarkEnd w:id="82"/>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bookmarkStart w:id="83" w:name="OLE_LINK693"/>
      <w:bookmarkStart w:id="84" w:name="OLE_LINK692"/>
      <w:r>
        <w:rPr>
          <w:rFonts w:ascii="Book Antiqua" w:hAnsi="Book Antiqua" w:eastAsia="Book Antiqua" w:cs="Book Antiqua"/>
          <w:color w:val="000000"/>
        </w:rPr>
        <w:t>In conclusion, the GGNs are perfused dominantly by the PF regardless of its histopathology while the weight of the BF in the GGN carcinomas increases gradually during the progress of its opacification.</w:t>
      </w:r>
    </w:p>
    <w:bookmarkEnd w:id="83"/>
    <w:bookmarkEnd w:id="84"/>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bookmarkStart w:id="85" w:name="OLE_LINK695"/>
      <w:bookmarkStart w:id="86" w:name="OLE_LINK694"/>
      <w:r>
        <w:rPr>
          <w:rFonts w:ascii="Book Antiqua" w:hAnsi="Book Antiqua" w:eastAsia="Book Antiqua" w:cs="Book Antiqua"/>
          <w:color w:val="000000"/>
        </w:rPr>
        <w:t>Our future study will expand the GGNs sample size to further investigate potential difference of perfusion parameters between malignant and benign GGNs and to further confirm that the PI is a useful biomarker for distinguishing indolent GGNs carcinomas from aggressive ones.</w:t>
      </w:r>
    </w:p>
    <w:bookmarkEnd w:id="85"/>
    <w:bookmarkEnd w:id="86"/>
    <w:p>
      <w:pPr>
        <w:spacing w:line="360" w:lineRule="auto"/>
        <w:jc w:val="both"/>
      </w:pPr>
    </w:p>
    <w:p>
      <w:pPr>
        <w:spacing w:line="360" w:lineRule="auto"/>
        <w:jc w:val="both"/>
      </w:pPr>
      <w:r>
        <w:rPr>
          <w:rFonts w:ascii="Book Antiqua" w:hAnsi="Book Antiqua" w:eastAsia="Book Antiqua" w:cs="Book Antiqua"/>
          <w:b/>
          <w:color w:val="000000"/>
        </w:rPr>
        <w:t>REFERENCES</w:t>
      </w:r>
    </w:p>
    <w:p>
      <w:pPr>
        <w:pStyle w:val="5"/>
        <w:shd w:val="clear" w:color="auto" w:fill="FFFFFF"/>
        <w:adjustRightInd w:val="0"/>
        <w:snapToGrid w:val="0"/>
        <w:spacing w:before="0" w:beforeAutospacing="0" w:after="0" w:afterAutospacing="0" w:line="360" w:lineRule="auto"/>
        <w:jc w:val="both"/>
        <w:rPr>
          <w:rFonts w:ascii="Book Antiqua" w:hAnsi="Book Antiqua"/>
        </w:rPr>
      </w:pPr>
      <w:bookmarkStart w:id="87" w:name="OLE_LINK697"/>
      <w:bookmarkStart w:id="88" w:name="OLE_LINK696"/>
      <w:r>
        <w:rPr>
          <w:rFonts w:ascii="Book Antiqua" w:hAnsi="Book Antiqua"/>
        </w:rPr>
        <w:t xml:space="preserve">1 </w:t>
      </w:r>
      <w:r>
        <w:rPr>
          <w:rFonts w:ascii="Book Antiqua" w:hAnsi="Book Antiqua"/>
          <w:b/>
          <w:bCs/>
        </w:rPr>
        <w:t>Tsutsui S</w:t>
      </w:r>
      <w:r>
        <w:rPr>
          <w:rFonts w:ascii="Book Antiqua" w:hAnsi="Book Antiqua"/>
        </w:rPr>
        <w:t xml:space="preserve">, Ashizawa K, Minami K, Tagawa T, Nagayasu T, Hayashi T, Uetani M. Multiple focal pure ground-glass opacities on high-resolution CT images: Clinical significance in patients with lung cancer. </w:t>
      </w:r>
      <w:r>
        <w:rPr>
          <w:rFonts w:ascii="Book Antiqua" w:hAnsi="Book Antiqua"/>
          <w:i/>
          <w:iCs/>
        </w:rPr>
        <w:t>AJR Am J Roentgenol</w:t>
      </w:r>
      <w:r>
        <w:rPr>
          <w:rFonts w:ascii="Book Antiqua" w:hAnsi="Book Antiqua"/>
        </w:rPr>
        <w:t xml:space="preserve"> 2010; </w:t>
      </w:r>
      <w:r>
        <w:rPr>
          <w:rFonts w:ascii="Book Antiqua" w:hAnsi="Book Antiqua"/>
          <w:b/>
          <w:bCs/>
        </w:rPr>
        <w:t>195</w:t>
      </w:r>
      <w:r>
        <w:rPr>
          <w:rFonts w:ascii="Book Antiqua" w:hAnsi="Book Antiqua"/>
        </w:rPr>
        <w:t>: W131-W138 [PMID: 20651172 DOI: 10.2214/AJR.09.3828]</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Lee HY</w:t>
      </w:r>
      <w:r>
        <w:rPr>
          <w:rFonts w:ascii="Book Antiqua" w:hAnsi="Book Antiqua"/>
        </w:rPr>
        <w:t xml:space="preserve">, Choi YL, Lee KS, Han J, Zo JI, Shim YM, Moon JW. Pure ground-glass opacity neoplastic lung nodules: histopathology, imaging, and management. </w:t>
      </w:r>
      <w:r>
        <w:rPr>
          <w:rFonts w:ascii="Book Antiqua" w:hAnsi="Book Antiqua"/>
          <w:i/>
          <w:iCs/>
        </w:rPr>
        <w:t>AJR Am J Roentgenol</w:t>
      </w:r>
      <w:r>
        <w:rPr>
          <w:rFonts w:ascii="Book Antiqua" w:hAnsi="Book Antiqua"/>
        </w:rPr>
        <w:t xml:space="preserve"> 2014; </w:t>
      </w:r>
      <w:r>
        <w:rPr>
          <w:rFonts w:ascii="Book Antiqua" w:hAnsi="Book Antiqua"/>
          <w:b/>
          <w:bCs/>
        </w:rPr>
        <w:t>202</w:t>
      </w:r>
      <w:r>
        <w:rPr>
          <w:rFonts w:ascii="Book Antiqua" w:hAnsi="Book Antiqua"/>
        </w:rPr>
        <w:t>: W224-W233 [PMID: 24555618 DOI: 10.2214/AJR.13.11819]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Yang J</w:t>
      </w:r>
      <w:r>
        <w:rPr>
          <w:rFonts w:ascii="Book Antiqua" w:hAnsi="Book Antiqua"/>
        </w:rPr>
        <w:t xml:space="preserve">, Wang H, Geng C, Dai Y, Ji J. Advances in intelligent diagnosis methods for pulmonary ground-glass opacity nodules. </w:t>
      </w:r>
      <w:r>
        <w:rPr>
          <w:rFonts w:ascii="Book Antiqua" w:hAnsi="Book Antiqua"/>
          <w:i/>
          <w:iCs/>
        </w:rPr>
        <w:t>Biomed Eng Online</w:t>
      </w:r>
      <w:r>
        <w:rPr>
          <w:rFonts w:ascii="Book Antiqua" w:hAnsi="Book Antiqua"/>
        </w:rPr>
        <w:t xml:space="preserve"> 2018; </w:t>
      </w:r>
      <w:r>
        <w:rPr>
          <w:rFonts w:ascii="Book Antiqua" w:hAnsi="Book Antiqua"/>
          <w:b/>
          <w:bCs/>
        </w:rPr>
        <w:t>17</w:t>
      </w:r>
      <w:r>
        <w:rPr>
          <w:rFonts w:ascii="Book Antiqua" w:hAnsi="Book Antiqua"/>
        </w:rPr>
        <w:t>: 20 [PMID: 29415726 DOI: 10.1186/s12938-018-0435-2]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Hu H</w:t>
      </w:r>
      <w:r>
        <w:rPr>
          <w:rFonts w:ascii="Book Antiqua" w:hAnsi="Book Antiqua"/>
        </w:rPr>
        <w:t xml:space="preserve">, Wang Q, Tang H, Xiong L, Lin Q. Multi-slice computed tomography characteristics of solitary pulmonary ground-glass nodules: Differences between malignant and benign. </w:t>
      </w:r>
      <w:r>
        <w:rPr>
          <w:rFonts w:ascii="Book Antiqua" w:hAnsi="Book Antiqua"/>
          <w:i/>
          <w:iCs/>
        </w:rPr>
        <w:t>Thorac Cancer</w:t>
      </w:r>
      <w:r>
        <w:rPr>
          <w:rFonts w:ascii="Book Antiqua" w:hAnsi="Book Antiqua"/>
        </w:rPr>
        <w:t xml:space="preserve"> 2016; </w:t>
      </w:r>
      <w:r>
        <w:rPr>
          <w:rFonts w:ascii="Book Antiqua" w:hAnsi="Book Antiqua"/>
          <w:b/>
          <w:bCs/>
        </w:rPr>
        <w:t>7</w:t>
      </w:r>
      <w:r>
        <w:rPr>
          <w:rFonts w:ascii="Book Antiqua" w:hAnsi="Book Antiqua"/>
        </w:rPr>
        <w:t>: 80-87 [PMID: 26913083 DOI: 10.1111/1759-7714.12280]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Jiang B</w:t>
      </w:r>
      <w:r>
        <w:rPr>
          <w:rFonts w:ascii="Book Antiqua" w:hAnsi="Book Antiqua"/>
        </w:rPr>
        <w:t xml:space="preserve">, Takashima S, Miyake C, Hakucho T, Takahashi Y, Morimoto D, Numasaki H, Nakanishi K, Tomita Y, Higashiyama M. Thin-section CT findings in peripheral lung cancer of 3 cm or smaller: are there any characteristic features for predicting tumor histology or do they depend only on tumor size? </w:t>
      </w:r>
      <w:r>
        <w:rPr>
          <w:rFonts w:ascii="Book Antiqua" w:hAnsi="Book Antiqua"/>
          <w:i/>
          <w:iCs/>
        </w:rPr>
        <w:t>Acta Radiol</w:t>
      </w:r>
      <w:r>
        <w:rPr>
          <w:rFonts w:ascii="Book Antiqua" w:hAnsi="Book Antiqua"/>
        </w:rPr>
        <w:t xml:space="preserve"> 2014; </w:t>
      </w:r>
      <w:r>
        <w:rPr>
          <w:rFonts w:ascii="Book Antiqua" w:hAnsi="Book Antiqua"/>
          <w:b/>
          <w:bCs/>
        </w:rPr>
        <w:t>55</w:t>
      </w:r>
      <w:r>
        <w:rPr>
          <w:rFonts w:ascii="Book Antiqua" w:hAnsi="Book Antiqua"/>
        </w:rPr>
        <w:t>: 302-308 [PMID: 23926233 DOI: 10.1177/0284185113495834]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Meng Y</w:t>
      </w:r>
      <w:r>
        <w:rPr>
          <w:rFonts w:ascii="Book Antiqua" w:hAnsi="Book Antiqua"/>
        </w:rPr>
        <w:t xml:space="preserve">, Liu CL, Cai Q, Shen YY, Chen SQ. Contrast analysis of the relationship between the HRCT sign and new pathologic classification in small ground glass nodule-like lung adenocarcinoma. </w:t>
      </w:r>
      <w:r>
        <w:rPr>
          <w:rFonts w:ascii="Book Antiqua" w:hAnsi="Book Antiqua"/>
          <w:i/>
          <w:iCs/>
        </w:rPr>
        <w:t>Radiol Med</w:t>
      </w:r>
      <w:r>
        <w:rPr>
          <w:rFonts w:ascii="Book Antiqua" w:hAnsi="Book Antiqua"/>
        </w:rPr>
        <w:t xml:space="preserve"> 2019; </w:t>
      </w:r>
      <w:r>
        <w:rPr>
          <w:rFonts w:ascii="Book Antiqua" w:hAnsi="Book Antiqua"/>
          <w:b/>
          <w:bCs/>
        </w:rPr>
        <w:t>124</w:t>
      </w:r>
      <w:r>
        <w:rPr>
          <w:rFonts w:ascii="Book Antiqua" w:hAnsi="Book Antiqua"/>
        </w:rPr>
        <w:t>: 8-13 [PMID: 30191447 DOI: 10.1007/s11547-018-0936-x]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Zhang M</w:t>
      </w:r>
      <w:r>
        <w:rPr>
          <w:rFonts w:ascii="Book Antiqua" w:hAnsi="Book Antiqua"/>
        </w:rPr>
        <w:t xml:space="preserve">, Kono M. Solitary pulmonary nodules: evaluation of blood flow patterns with dynamic CT. </w:t>
      </w:r>
      <w:r>
        <w:rPr>
          <w:rFonts w:ascii="Book Antiqua" w:hAnsi="Book Antiqua"/>
          <w:i/>
          <w:iCs/>
        </w:rPr>
        <w:t>Radiology</w:t>
      </w:r>
      <w:r>
        <w:rPr>
          <w:rFonts w:ascii="Book Antiqua" w:hAnsi="Book Antiqua"/>
        </w:rPr>
        <w:t xml:space="preserve"> 1997; </w:t>
      </w:r>
      <w:r>
        <w:rPr>
          <w:rFonts w:ascii="Book Antiqua" w:hAnsi="Book Antiqua"/>
          <w:b/>
          <w:bCs/>
        </w:rPr>
        <w:t>205</w:t>
      </w:r>
      <w:r>
        <w:rPr>
          <w:rFonts w:ascii="Book Antiqua" w:hAnsi="Book Antiqua"/>
        </w:rPr>
        <w:t>: 471-478 [PMID: 9356631 DOI: 10.1148/radiology.205.2.9356631]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Lee YH</w:t>
      </w:r>
      <w:r>
        <w:rPr>
          <w:rFonts w:ascii="Book Antiqua" w:hAnsi="Book Antiqua"/>
        </w:rPr>
        <w:t xml:space="preserve">, Kwon W, Kim MS, Kim YJ, Lee MS, Yong SJ, Jung SH, Chang SJ, Sung KJ. Lung perfusion CT: the differentiation of cavitary mass. </w:t>
      </w:r>
      <w:r>
        <w:rPr>
          <w:rFonts w:ascii="Book Antiqua" w:hAnsi="Book Antiqua"/>
          <w:i/>
          <w:iCs/>
        </w:rPr>
        <w:t>Eur J Radiol</w:t>
      </w:r>
      <w:r>
        <w:rPr>
          <w:rFonts w:ascii="Book Antiqua" w:hAnsi="Book Antiqua"/>
        </w:rPr>
        <w:t xml:space="preserve"> 2010; </w:t>
      </w:r>
      <w:r>
        <w:rPr>
          <w:rFonts w:ascii="Book Antiqua" w:hAnsi="Book Antiqua"/>
          <w:b/>
          <w:bCs/>
        </w:rPr>
        <w:t>73</w:t>
      </w:r>
      <w:r>
        <w:rPr>
          <w:rFonts w:ascii="Book Antiqua" w:hAnsi="Book Antiqua"/>
        </w:rPr>
        <w:t>: 59-65 [PMID: 19481401 DOI: 10.1016/j.ejrad.2009.04.037]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Boll DT</w:t>
      </w:r>
      <w:r>
        <w:rPr>
          <w:rFonts w:ascii="Book Antiqua" w:hAnsi="Book Antiqua"/>
        </w:rPr>
        <w:t xml:space="preserve">, Merkle EM. Differentiating a chronic hyperplastic mass from pancreatic cancer: a challenge remaining in multidetector CT of the pancreas. </w:t>
      </w:r>
      <w:r>
        <w:rPr>
          <w:rFonts w:ascii="Book Antiqua" w:hAnsi="Book Antiqua"/>
          <w:i/>
          <w:iCs/>
        </w:rPr>
        <w:t>Eur Radiol</w:t>
      </w:r>
      <w:r>
        <w:rPr>
          <w:rFonts w:ascii="Book Antiqua" w:hAnsi="Book Antiqua"/>
        </w:rPr>
        <w:t xml:space="preserve"> 2003; </w:t>
      </w:r>
      <w:r>
        <w:rPr>
          <w:rFonts w:ascii="Book Antiqua" w:hAnsi="Book Antiqua"/>
          <w:b/>
          <w:bCs/>
        </w:rPr>
        <w:t>13 Suppl 5</w:t>
      </w:r>
      <w:r>
        <w:rPr>
          <w:rFonts w:ascii="Book Antiqua" w:hAnsi="Book Antiqua"/>
        </w:rPr>
        <w:t>: M42-M49 [PMID: 14989611 DOI: 10.1007/s00330-003-2100-8]</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Coolen J</w:t>
      </w:r>
      <w:r>
        <w:rPr>
          <w:rFonts w:ascii="Book Antiqua" w:hAnsi="Book Antiqua"/>
        </w:rPr>
        <w:t xml:space="preserve">, Vansteenkiste J, De Keyzer F, Decaluwé H, De Wever W, Deroose C, Dooms C, Verbeken E, De Leyn P, Vandecaveye V, Van Raemdonck D, Nackaerts K, Dymarkowski S, Verschakelen J. Characterisation of solitary pulmonary lesions combining visual perfusion and quantitative diffusion MR imaging. </w:t>
      </w:r>
      <w:r>
        <w:rPr>
          <w:rFonts w:ascii="Book Antiqua" w:hAnsi="Book Antiqua"/>
          <w:i/>
          <w:iCs/>
        </w:rPr>
        <w:t>Eur Radiol</w:t>
      </w:r>
      <w:r>
        <w:rPr>
          <w:rFonts w:ascii="Book Antiqua" w:hAnsi="Book Antiqua"/>
        </w:rPr>
        <w:t xml:space="preserve"> 2014; </w:t>
      </w:r>
      <w:r>
        <w:rPr>
          <w:rFonts w:ascii="Book Antiqua" w:hAnsi="Book Antiqua"/>
          <w:b/>
          <w:bCs/>
        </w:rPr>
        <w:t>24</w:t>
      </w:r>
      <w:r>
        <w:rPr>
          <w:rFonts w:ascii="Book Antiqua" w:hAnsi="Book Antiqua"/>
        </w:rPr>
        <w:t>: 531-541 [PMID: 24173597 DOI: 10.1007/s00330-013-3053-1]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Bellomi M</w:t>
      </w:r>
      <w:r>
        <w:rPr>
          <w:rFonts w:ascii="Book Antiqua" w:hAnsi="Book Antiqua"/>
        </w:rPr>
        <w:t xml:space="preserve">, Petralia G, Sonzogni A, Zampino MG, Rocca A. CT perfusion for the monitoring of neoadjuvant chemotherapy and radiation therapy in rectal carcinoma: initial experience. </w:t>
      </w:r>
      <w:r>
        <w:rPr>
          <w:rFonts w:ascii="Book Antiqua" w:hAnsi="Book Antiqua"/>
          <w:i/>
          <w:iCs/>
        </w:rPr>
        <w:t>Radiology</w:t>
      </w:r>
      <w:r>
        <w:rPr>
          <w:rFonts w:ascii="Book Antiqua" w:hAnsi="Book Antiqua"/>
        </w:rPr>
        <w:t xml:space="preserve"> 2007; </w:t>
      </w:r>
      <w:r>
        <w:rPr>
          <w:rFonts w:ascii="Book Antiqua" w:hAnsi="Book Antiqua"/>
          <w:b/>
          <w:bCs/>
        </w:rPr>
        <w:t>244</w:t>
      </w:r>
      <w:r>
        <w:rPr>
          <w:rFonts w:ascii="Book Antiqua" w:hAnsi="Book Antiqua"/>
        </w:rPr>
        <w:t>: 486-493 [PMID: 17641369 DOI: 10.1148/radiol.2442061189]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Li XS</w:t>
      </w:r>
      <w:r>
        <w:rPr>
          <w:rFonts w:ascii="Book Antiqua" w:hAnsi="Book Antiqua"/>
        </w:rPr>
        <w:t xml:space="preserve">, Fan HX, Fang H, Huang H, Song YL, Zhou CW. Value of whole-tumor dual-input perfusion CT in predicting the effect of multiarterial infusion chemotherapy on advanced non-small cell lung cancer. </w:t>
      </w:r>
      <w:r>
        <w:rPr>
          <w:rFonts w:ascii="Book Antiqua" w:hAnsi="Book Antiqua"/>
          <w:i/>
          <w:iCs/>
        </w:rPr>
        <w:t>AJR Am J Roentgenol</w:t>
      </w:r>
      <w:r>
        <w:rPr>
          <w:rFonts w:ascii="Book Antiqua" w:hAnsi="Book Antiqua"/>
        </w:rPr>
        <w:t xml:space="preserve"> 2014; </w:t>
      </w:r>
      <w:r>
        <w:rPr>
          <w:rFonts w:ascii="Book Antiqua" w:hAnsi="Book Antiqua"/>
          <w:b/>
          <w:bCs/>
        </w:rPr>
        <w:t>203</w:t>
      </w:r>
      <w:r>
        <w:rPr>
          <w:rFonts w:ascii="Book Antiqua" w:hAnsi="Book Antiqua"/>
        </w:rPr>
        <w:t>: W497-W505 [PMID: 25341164 DOI: 10.2214/AJR.13.11621]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Lin G</w:t>
      </w:r>
      <w:r>
        <w:rPr>
          <w:rFonts w:ascii="Book Antiqua" w:hAnsi="Book Antiqua"/>
        </w:rPr>
        <w:t xml:space="preserve">, Sui Y, Li Y, Huang W. Diagnostic and prognostic value of CT perfusion parameters in patients with advanced NSCLC after chemotherapy. </w:t>
      </w:r>
      <w:r>
        <w:rPr>
          <w:rFonts w:ascii="Book Antiqua" w:hAnsi="Book Antiqua"/>
          <w:i/>
          <w:iCs/>
        </w:rPr>
        <w:t>Am J Transl Res</w:t>
      </w:r>
      <w:r>
        <w:rPr>
          <w:rFonts w:ascii="Book Antiqua" w:hAnsi="Book Antiqua"/>
        </w:rPr>
        <w:t xml:space="preserve"> 2021; </w:t>
      </w:r>
      <w:r>
        <w:rPr>
          <w:rFonts w:ascii="Book Antiqua" w:hAnsi="Book Antiqua"/>
          <w:b/>
          <w:bCs/>
        </w:rPr>
        <w:t>13</w:t>
      </w:r>
      <w:r>
        <w:rPr>
          <w:rFonts w:ascii="Book Antiqua" w:hAnsi="Book Antiqua"/>
        </w:rPr>
        <w:t>: 13516-13523 [PMID: 35035693]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Liu G</w:t>
      </w:r>
      <w:r>
        <w:rPr>
          <w:rFonts w:ascii="Book Antiqua" w:hAnsi="Book Antiqua"/>
        </w:rPr>
        <w:t xml:space="preserve">, Li M, Li G, Li Z, Liu A, Pu R, Cao H, Liu Y. Assessing the Blood Supply Status of the Focal Ground-Glass Opacity in Lungs Using Spectral Computed Tomography. </w:t>
      </w:r>
      <w:r>
        <w:rPr>
          <w:rFonts w:ascii="Book Antiqua" w:hAnsi="Book Antiqua"/>
          <w:i/>
          <w:iCs/>
        </w:rPr>
        <w:t>Korean J Radiol</w:t>
      </w:r>
      <w:r>
        <w:rPr>
          <w:rFonts w:ascii="Book Antiqua" w:hAnsi="Book Antiqua"/>
        </w:rPr>
        <w:t xml:space="preserve"> 2018; </w:t>
      </w:r>
      <w:r>
        <w:rPr>
          <w:rFonts w:ascii="Book Antiqua" w:hAnsi="Book Antiqua"/>
          <w:b/>
          <w:bCs/>
        </w:rPr>
        <w:t>19</w:t>
      </w:r>
      <w:r>
        <w:rPr>
          <w:rFonts w:ascii="Book Antiqua" w:hAnsi="Book Antiqua"/>
        </w:rPr>
        <w:t>: 130-138 [PMID: 29354009 DOI: 10.3348/kjr.2018.19.1.130]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Yuan X</w:t>
      </w:r>
      <w:r>
        <w:rPr>
          <w:rFonts w:ascii="Book Antiqua" w:hAnsi="Book Antiqua"/>
        </w:rPr>
        <w:t xml:space="preserve">, Zhang J, Ao G, Quan C, Tian Y, Li H. Lung cancer perfusion: can we measure pulmonary and bronchial circulation simultaneously? </w:t>
      </w:r>
      <w:r>
        <w:rPr>
          <w:rFonts w:ascii="Book Antiqua" w:hAnsi="Book Antiqua"/>
          <w:i/>
          <w:iCs/>
        </w:rPr>
        <w:t>Eur Radiol</w:t>
      </w:r>
      <w:r>
        <w:rPr>
          <w:rFonts w:ascii="Book Antiqua" w:hAnsi="Book Antiqua"/>
        </w:rPr>
        <w:t xml:space="preserve"> 2012; </w:t>
      </w:r>
      <w:r>
        <w:rPr>
          <w:rFonts w:ascii="Book Antiqua" w:hAnsi="Book Antiqua"/>
          <w:b/>
          <w:bCs/>
        </w:rPr>
        <w:t>22</w:t>
      </w:r>
      <w:r>
        <w:rPr>
          <w:rFonts w:ascii="Book Antiqua" w:hAnsi="Book Antiqua"/>
        </w:rPr>
        <w:t>: 1665-1671 [PMID: 22415414 DOI: 10.1007/s00330-012-2414-5]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Valentin J</w:t>
      </w:r>
      <w:r>
        <w:rPr>
          <w:rFonts w:ascii="Book Antiqua" w:hAnsi="Book Antiqua"/>
        </w:rPr>
        <w:t xml:space="preserve">; International Commission on Radiation Protection. Managing patient dose in multi-detector computed tomography(MDCT). ICRP Publication 102. </w:t>
      </w:r>
      <w:r>
        <w:rPr>
          <w:rFonts w:ascii="Book Antiqua" w:hAnsi="Book Antiqua"/>
          <w:i/>
          <w:iCs/>
        </w:rPr>
        <w:t>Ann ICRP</w:t>
      </w:r>
      <w:r>
        <w:rPr>
          <w:rFonts w:ascii="Book Antiqua" w:hAnsi="Book Antiqua"/>
        </w:rPr>
        <w:t xml:space="preserve"> 2007; </w:t>
      </w:r>
      <w:r>
        <w:rPr>
          <w:rFonts w:ascii="Book Antiqua" w:hAnsi="Book Antiqua"/>
          <w:b/>
          <w:bCs/>
        </w:rPr>
        <w:t>37</w:t>
      </w:r>
      <w:r>
        <w:rPr>
          <w:rFonts w:ascii="Book Antiqua" w:hAnsi="Book Antiqua"/>
        </w:rPr>
        <w:t>: 1-79, iii [PMID: 18069128 DOI: 10.1016/j.icrp.2007.09.001]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Godoy MC</w:t>
      </w:r>
      <w:r>
        <w:rPr>
          <w:rFonts w:ascii="Book Antiqua" w:hAnsi="Book Antiqua"/>
        </w:rPr>
        <w:t xml:space="preserve">, Naidich DP. Overview and strategic management of subsolid pulmonary nodules. </w:t>
      </w:r>
      <w:r>
        <w:rPr>
          <w:rFonts w:ascii="Book Antiqua" w:hAnsi="Book Antiqua"/>
          <w:i/>
          <w:iCs/>
        </w:rPr>
        <w:t>J Thorac Imaging</w:t>
      </w:r>
      <w:r>
        <w:rPr>
          <w:rFonts w:ascii="Book Antiqua" w:hAnsi="Book Antiqua"/>
        </w:rPr>
        <w:t xml:space="preserve"> 2012; </w:t>
      </w:r>
      <w:r>
        <w:rPr>
          <w:rFonts w:ascii="Book Antiqua" w:hAnsi="Book Antiqua"/>
          <w:b/>
          <w:bCs/>
        </w:rPr>
        <w:t>27</w:t>
      </w:r>
      <w:r>
        <w:rPr>
          <w:rFonts w:ascii="Book Antiqua" w:hAnsi="Book Antiqua"/>
        </w:rPr>
        <w:t>: 240-248 [PMID: 22847591 DOI: 10.1097/RTI.0b013e31825d515b]</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Milne EN</w:t>
      </w:r>
      <w:r>
        <w:rPr>
          <w:rFonts w:ascii="Book Antiqua" w:hAnsi="Book Antiqua"/>
        </w:rPr>
        <w:t xml:space="preserve">. Circulation of primary and metastatic pulmonary neoplasms. A postmortem microarteriographic study. </w:t>
      </w:r>
      <w:r>
        <w:rPr>
          <w:rFonts w:ascii="Book Antiqua" w:hAnsi="Book Antiqua"/>
          <w:i/>
          <w:iCs/>
        </w:rPr>
        <w:t>Am J Roentgenol Radium Ther Nucl Med</w:t>
      </w:r>
      <w:r>
        <w:rPr>
          <w:rFonts w:ascii="Book Antiqua" w:hAnsi="Book Antiqua"/>
        </w:rPr>
        <w:t xml:space="preserve"> 1967; </w:t>
      </w:r>
      <w:r>
        <w:rPr>
          <w:rFonts w:ascii="Book Antiqua" w:hAnsi="Book Antiqua"/>
          <w:b/>
          <w:bCs/>
        </w:rPr>
        <w:t>100</w:t>
      </w:r>
      <w:r>
        <w:rPr>
          <w:rFonts w:ascii="Book Antiqua" w:hAnsi="Book Antiqua"/>
        </w:rPr>
        <w:t>: 603-619 [PMID: 5230250 DOI: 10.2214/ajr.100.3.603]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Luo L</w:t>
      </w:r>
      <w:r>
        <w:rPr>
          <w:rFonts w:ascii="Book Antiqua" w:hAnsi="Book Antiqua"/>
        </w:rPr>
        <w:t xml:space="preserve">, Wang H, Ma H, Zou H, Li D, Zhou Y. [Analysis of 41 cases of primary hypervascular non-small cell lung cancer treated with embolization of emulsion of chemotherapeutics and iodized oil]. </w:t>
      </w:r>
      <w:r>
        <w:rPr>
          <w:rFonts w:ascii="Book Antiqua" w:hAnsi="Book Antiqua"/>
          <w:i/>
          <w:iCs/>
        </w:rPr>
        <w:t>Zhongguo Fei Ai Za Zhi</w:t>
      </w:r>
      <w:r>
        <w:rPr>
          <w:rFonts w:ascii="Book Antiqua" w:hAnsi="Book Antiqua"/>
        </w:rPr>
        <w:t xml:space="preserve"> 2010; </w:t>
      </w:r>
      <w:r>
        <w:rPr>
          <w:rFonts w:ascii="Book Antiqua" w:hAnsi="Book Antiqua"/>
          <w:b/>
          <w:bCs/>
        </w:rPr>
        <w:t>13</w:t>
      </w:r>
      <w:r>
        <w:rPr>
          <w:rFonts w:ascii="Book Antiqua" w:hAnsi="Book Antiqua"/>
        </w:rPr>
        <w:t>: 540-543 [PMID: 20677656 DOI: 10.3779/j.issn.1009-3419.2010.05.29]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Yuan X</w:t>
      </w:r>
      <w:r>
        <w:rPr>
          <w:rFonts w:ascii="Book Antiqua" w:hAnsi="Book Antiqua"/>
        </w:rPr>
        <w:t xml:space="preserve">, Zhang J, Quan C, Cao J, Ao G, Tian Y, Li H. Differentiation of malignant and benign pulmonary nodules with first-pass dual-input perfusion CT. </w:t>
      </w:r>
      <w:r>
        <w:rPr>
          <w:rFonts w:ascii="Book Antiqua" w:hAnsi="Book Antiqua"/>
          <w:i/>
          <w:iCs/>
        </w:rPr>
        <w:t>Eur Radiol</w:t>
      </w:r>
      <w:r>
        <w:rPr>
          <w:rFonts w:ascii="Book Antiqua" w:hAnsi="Book Antiqua"/>
        </w:rPr>
        <w:t xml:space="preserve"> 2013; </w:t>
      </w:r>
      <w:r>
        <w:rPr>
          <w:rFonts w:ascii="Book Antiqua" w:hAnsi="Book Antiqua"/>
          <w:b/>
          <w:bCs/>
        </w:rPr>
        <w:t>23</w:t>
      </w:r>
      <w:r>
        <w:rPr>
          <w:rFonts w:ascii="Book Antiqua" w:hAnsi="Book Antiqua"/>
        </w:rPr>
        <w:t>: 2469-2474 [PMID: 23793548 DOI: 10.1007/s00330-013-2842-x]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Takashima S</w:t>
      </w:r>
      <w:r>
        <w:rPr>
          <w:rFonts w:ascii="Book Antiqua" w:hAnsi="Book Antiqua"/>
        </w:rPr>
        <w:t xml:space="preserve">, Maruyama Y, Hasegawa M, Yamanda T, Honda T, Kadoya M, Sone S. CT findings and progression of small peripheral lung neoplasms having a replacement growth pattern. </w:t>
      </w:r>
      <w:r>
        <w:rPr>
          <w:rFonts w:ascii="Book Antiqua" w:hAnsi="Book Antiqua"/>
          <w:i/>
          <w:iCs/>
        </w:rPr>
        <w:t>AJR Am J Roentgenol</w:t>
      </w:r>
      <w:r>
        <w:rPr>
          <w:rFonts w:ascii="Book Antiqua" w:hAnsi="Book Antiqua"/>
        </w:rPr>
        <w:t xml:space="preserve"> 2003; </w:t>
      </w:r>
      <w:r>
        <w:rPr>
          <w:rFonts w:ascii="Book Antiqua" w:hAnsi="Book Antiqua"/>
          <w:b/>
          <w:bCs/>
        </w:rPr>
        <w:t>180</w:t>
      </w:r>
      <w:r>
        <w:rPr>
          <w:rFonts w:ascii="Book Antiqua" w:hAnsi="Book Antiqua"/>
        </w:rPr>
        <w:t>: 817-826 [PMID: 12591704 DOI: 10.2214/ajr.180.3.1800817]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Min JH</w:t>
      </w:r>
      <w:r>
        <w:rPr>
          <w:rFonts w:ascii="Book Antiqua" w:hAnsi="Book Antiqua"/>
        </w:rPr>
        <w:t xml:space="preserve">, Lee HY, Lee KS, Han J, Park K, Ahn MJ, Lee SJ. Stepwise evolution from a focal pure pulmonary ground-glass opacity nodule into an invasive lung adenocarcinoma: an observation for more than 10 years. </w:t>
      </w:r>
      <w:r>
        <w:rPr>
          <w:rFonts w:ascii="Book Antiqua" w:hAnsi="Book Antiqua"/>
          <w:i/>
          <w:iCs/>
        </w:rPr>
        <w:t>Lung Cancer</w:t>
      </w:r>
      <w:r>
        <w:rPr>
          <w:rFonts w:ascii="Book Antiqua" w:hAnsi="Book Antiqua"/>
        </w:rPr>
        <w:t xml:space="preserve"> 2010; </w:t>
      </w:r>
      <w:r>
        <w:rPr>
          <w:rFonts w:ascii="Book Antiqua" w:hAnsi="Book Antiqua"/>
          <w:b/>
          <w:bCs/>
        </w:rPr>
        <w:t>69</w:t>
      </w:r>
      <w:r>
        <w:rPr>
          <w:rFonts w:ascii="Book Antiqua" w:hAnsi="Book Antiqua"/>
        </w:rPr>
        <w:t>: 123-126 [PMID: 20478641 DOI: 10.1016/j.lungcan.2010.04.022]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Mironova V</w:t>
      </w:r>
      <w:r>
        <w:rPr>
          <w:rFonts w:ascii="Book Antiqua" w:hAnsi="Book Antiqua"/>
        </w:rPr>
        <w:t xml:space="preserve">, Blasberg JD. Evaluation of ground glass nodules. </w:t>
      </w:r>
      <w:r>
        <w:rPr>
          <w:rFonts w:ascii="Book Antiqua" w:hAnsi="Book Antiqua"/>
          <w:i/>
          <w:iCs/>
        </w:rPr>
        <w:t>Curr Opin Pulm Med</w:t>
      </w:r>
      <w:r>
        <w:rPr>
          <w:rFonts w:ascii="Book Antiqua" w:hAnsi="Book Antiqua"/>
        </w:rPr>
        <w:t xml:space="preserve"> 2018; </w:t>
      </w:r>
      <w:r>
        <w:rPr>
          <w:rFonts w:ascii="Book Antiqua" w:hAnsi="Book Antiqua"/>
          <w:b/>
          <w:bCs/>
        </w:rPr>
        <w:t>24</w:t>
      </w:r>
      <w:r>
        <w:rPr>
          <w:rFonts w:ascii="Book Antiqua" w:hAnsi="Book Antiqua"/>
        </w:rPr>
        <w:t>: 350-354 [PMID: 29634577 DOI: 10.1097/MCP.0000000000000492]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Pedersen JH</w:t>
      </w:r>
      <w:r>
        <w:rPr>
          <w:rFonts w:ascii="Book Antiqua" w:hAnsi="Book Antiqua"/>
        </w:rPr>
        <w:t xml:space="preserve">, Saghir Z, Wille MM, Thomsen LH, Skov BG, Ashraf H. Ground-Glass Opacity Lung Nodules in the Era of Lung Cancer CT Screening: Radiology, Pathology, and Clinical Management. </w:t>
      </w:r>
      <w:r>
        <w:rPr>
          <w:rFonts w:ascii="Book Antiqua" w:hAnsi="Book Antiqua"/>
          <w:i/>
          <w:iCs/>
        </w:rPr>
        <w:t>Oncology (Williston Park)</w:t>
      </w:r>
      <w:r>
        <w:rPr>
          <w:rFonts w:ascii="Book Antiqua" w:hAnsi="Book Antiqua"/>
        </w:rPr>
        <w:t xml:space="preserve"> 2016; </w:t>
      </w:r>
      <w:r>
        <w:rPr>
          <w:rFonts w:ascii="Book Antiqua" w:hAnsi="Book Antiqua"/>
          <w:b/>
          <w:bCs/>
        </w:rPr>
        <w:t>30</w:t>
      </w:r>
      <w:r>
        <w:rPr>
          <w:rFonts w:ascii="Book Antiqua" w:hAnsi="Book Antiqua"/>
        </w:rPr>
        <w:t>: 266-274 [PMID: 26984222]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Lee GD</w:t>
      </w:r>
      <w:r>
        <w:rPr>
          <w:rFonts w:ascii="Book Antiqua" w:hAnsi="Book Antiqua"/>
        </w:rPr>
        <w:t xml:space="preserve">, Park CH, Park HS, Byun MK, Lee IJ, Kim TH, Lee S. Lung Adenocarcinoma Invasiveness Risk in Pure Ground-Glass Opacity Lung Nodules Smaller than 2 cm. </w:t>
      </w:r>
      <w:r>
        <w:rPr>
          <w:rFonts w:ascii="Book Antiqua" w:hAnsi="Book Antiqua"/>
          <w:i/>
          <w:iCs/>
        </w:rPr>
        <w:t>Thorac Cardiovasc Surg</w:t>
      </w:r>
      <w:r>
        <w:rPr>
          <w:rFonts w:ascii="Book Antiqua" w:hAnsi="Book Antiqua"/>
        </w:rPr>
        <w:t xml:space="preserve"> 2019; </w:t>
      </w:r>
      <w:r>
        <w:rPr>
          <w:rFonts w:ascii="Book Antiqua" w:hAnsi="Book Antiqua"/>
          <w:b/>
          <w:bCs/>
        </w:rPr>
        <w:t>67</w:t>
      </w:r>
      <w:r>
        <w:rPr>
          <w:rFonts w:ascii="Book Antiqua" w:hAnsi="Book Antiqua"/>
        </w:rPr>
        <w:t>: 321-328 [PMID: 29359309 DOI: 10.1055/s-0037-1612615]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Ohno Y</w:t>
      </w:r>
      <w:r>
        <w:rPr>
          <w:rFonts w:ascii="Book Antiqua" w:hAnsi="Book Antiqua"/>
        </w:rPr>
        <w:t xml:space="preserve">, Fujisawa Y, Koyama H, Kishida Y, Seki S, Sugihara N, Yoshikawa T. Dynamic contrast-enhanced perfusion area-detector CT assessed with various mathematical models: Its capability for therapeutic outcome prediction for non-small cell lung cancer patients with chemoradiotherapy as compared with that of FDG-PET/CT. </w:t>
      </w:r>
      <w:r>
        <w:rPr>
          <w:rFonts w:ascii="Book Antiqua" w:hAnsi="Book Antiqua"/>
          <w:i/>
          <w:iCs/>
        </w:rPr>
        <w:t>Eur J Radiol</w:t>
      </w:r>
      <w:r>
        <w:rPr>
          <w:rFonts w:ascii="Book Antiqua" w:hAnsi="Book Antiqua"/>
        </w:rPr>
        <w:t xml:space="preserve"> 2017; </w:t>
      </w:r>
      <w:r>
        <w:rPr>
          <w:rFonts w:ascii="Book Antiqua" w:hAnsi="Book Antiqua"/>
          <w:b/>
          <w:bCs/>
        </w:rPr>
        <w:t>86</w:t>
      </w:r>
      <w:r>
        <w:rPr>
          <w:rFonts w:ascii="Book Antiqua" w:hAnsi="Book Antiqua"/>
        </w:rPr>
        <w:t>: 83-91 [PMID: 28027771 DOI: 10.1016/j.ejrad.2016.11.008]</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Kim HY</w:t>
      </w:r>
      <w:r>
        <w:rPr>
          <w:rFonts w:ascii="Book Antiqua" w:hAnsi="Book Antiqua"/>
        </w:rPr>
        <w:t xml:space="preserve">, Shim YM, Lee KS, Han J, Yi CA, Kim YK. Persistent pulmonary nodular ground-glass opacity at thin-section CT: histopathologic comparisons. </w:t>
      </w:r>
      <w:r>
        <w:rPr>
          <w:rFonts w:ascii="Book Antiqua" w:hAnsi="Book Antiqua"/>
          <w:i/>
          <w:iCs/>
        </w:rPr>
        <w:t>Radiology</w:t>
      </w:r>
      <w:r>
        <w:rPr>
          <w:rFonts w:ascii="Book Antiqua" w:hAnsi="Book Antiqua"/>
        </w:rPr>
        <w:t xml:space="preserve"> 2007; </w:t>
      </w:r>
      <w:r>
        <w:rPr>
          <w:rFonts w:ascii="Book Antiqua" w:hAnsi="Book Antiqua"/>
          <w:b/>
          <w:bCs/>
        </w:rPr>
        <w:t>245</w:t>
      </w:r>
      <w:r>
        <w:rPr>
          <w:rFonts w:ascii="Book Antiqua" w:hAnsi="Book Antiqua"/>
        </w:rPr>
        <w:t>: 267-275 [PMID: 17885195 DOI: 10.1148/radiol.2451061682]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Bach PB</w:t>
      </w:r>
      <w:r>
        <w:rPr>
          <w:rFonts w:ascii="Book Antiqua" w:hAnsi="Book Antiqua"/>
        </w:rPr>
        <w:t xml:space="preserve">, Silvestri GA, Hanger M, Jett JR; American College of Chest Physicians. Screening for lung cancer: ACCP evidence-based clinical practice guidelines (2nd edition). </w:t>
      </w:r>
      <w:r>
        <w:rPr>
          <w:rFonts w:ascii="Book Antiqua" w:hAnsi="Book Antiqua"/>
          <w:i/>
          <w:iCs/>
        </w:rPr>
        <w:t>Chest</w:t>
      </w:r>
      <w:r>
        <w:rPr>
          <w:rFonts w:ascii="Book Antiqua" w:hAnsi="Book Antiqua"/>
        </w:rPr>
        <w:t xml:space="preserve"> 2007; </w:t>
      </w:r>
      <w:r>
        <w:rPr>
          <w:rFonts w:ascii="Book Antiqua" w:hAnsi="Book Antiqua"/>
          <w:b/>
          <w:bCs/>
        </w:rPr>
        <w:t>132</w:t>
      </w:r>
      <w:r>
        <w:rPr>
          <w:rFonts w:ascii="Book Antiqua" w:hAnsi="Book Antiqua"/>
        </w:rPr>
        <w:t>: 69S-77S [PMID: 17873161 DOI: 10.1378/chest.07-1349]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Cha MJ</w:t>
      </w:r>
      <w:r>
        <w:rPr>
          <w:rFonts w:ascii="Book Antiqua" w:hAnsi="Book Antiqua"/>
        </w:rPr>
        <w:t xml:space="preserve">, Lee KS, Kim HS, Lee SW, Jeong CJ, Kim EY, Lee HY. Improvement in imaging diagnosis technique and modalities for solitary pulmonary nodules: from ground-glass opacity nodules to part-solid and solid nodules. </w:t>
      </w:r>
      <w:r>
        <w:rPr>
          <w:rFonts w:ascii="Book Antiqua" w:hAnsi="Book Antiqua"/>
          <w:i/>
          <w:iCs/>
        </w:rPr>
        <w:t>Expert Rev Respir Med</w:t>
      </w:r>
      <w:r>
        <w:rPr>
          <w:rFonts w:ascii="Book Antiqua" w:hAnsi="Book Antiqua"/>
        </w:rPr>
        <w:t xml:space="preserve"> 2016; </w:t>
      </w:r>
      <w:r>
        <w:rPr>
          <w:rFonts w:ascii="Book Antiqua" w:hAnsi="Book Antiqua"/>
          <w:b/>
          <w:bCs/>
        </w:rPr>
        <w:t>10</w:t>
      </w:r>
      <w:r>
        <w:rPr>
          <w:rFonts w:ascii="Book Antiqua" w:hAnsi="Book Antiqua"/>
        </w:rPr>
        <w:t>: 261-278 [PMID: 26751340 DOI: 10.1586/17476348.2016.1141053]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Sawada S</w:t>
      </w:r>
      <w:r>
        <w:rPr>
          <w:rFonts w:ascii="Book Antiqua" w:hAnsi="Book Antiqua"/>
        </w:rPr>
        <w:t xml:space="preserve">, Yamashita N, Sugimoto R, Ueno T, Yamashita M. Long-term Outcomes of Patients With Ground-Glass Opacities Detected Using CT Scanning. </w:t>
      </w:r>
      <w:r>
        <w:rPr>
          <w:rFonts w:ascii="Book Antiqua" w:hAnsi="Book Antiqua"/>
          <w:i/>
          <w:iCs/>
        </w:rPr>
        <w:t>Chest</w:t>
      </w:r>
      <w:r>
        <w:rPr>
          <w:rFonts w:ascii="Book Antiqua" w:hAnsi="Book Antiqua"/>
        </w:rPr>
        <w:t xml:space="preserve"> 2017; </w:t>
      </w:r>
      <w:r>
        <w:rPr>
          <w:rFonts w:ascii="Book Antiqua" w:hAnsi="Book Antiqua"/>
          <w:b/>
          <w:bCs/>
        </w:rPr>
        <w:t>151</w:t>
      </w:r>
      <w:r>
        <w:rPr>
          <w:rFonts w:ascii="Book Antiqua" w:hAnsi="Book Antiqua"/>
        </w:rPr>
        <w:t>: 308-315 [PMID: 27435815 DOI: 10.1016/j.chest.2016.07.007]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Bueno J</w:t>
      </w:r>
      <w:r>
        <w:rPr>
          <w:rFonts w:ascii="Book Antiqua" w:hAnsi="Book Antiqua"/>
        </w:rPr>
        <w:t xml:space="preserve">, Landeras L, Chung JH. Updated Fleischner Society Guidelines for Managing Incidental Pulmonary Nodules: Common Questions and Challenging Scenarios. </w:t>
      </w:r>
      <w:r>
        <w:rPr>
          <w:rFonts w:ascii="Book Antiqua" w:hAnsi="Book Antiqua"/>
          <w:i/>
          <w:iCs/>
        </w:rPr>
        <w:t>Radiographics</w:t>
      </w:r>
      <w:r>
        <w:rPr>
          <w:rFonts w:ascii="Book Antiqua" w:hAnsi="Book Antiqua"/>
        </w:rPr>
        <w:t xml:space="preserve"> 2018; </w:t>
      </w:r>
      <w:r>
        <w:rPr>
          <w:rFonts w:ascii="Book Antiqua" w:hAnsi="Book Antiqua"/>
          <w:b/>
          <w:bCs/>
        </w:rPr>
        <w:t>38</w:t>
      </w:r>
      <w:r>
        <w:rPr>
          <w:rFonts w:ascii="Book Antiqua" w:hAnsi="Book Antiqua"/>
        </w:rPr>
        <w:t>: 1337-1350 [PMID: 30207935 DOI: 10.1148/rg.2018180017]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Nguyen-Kim TD</w:t>
      </w:r>
      <w:r>
        <w:rPr>
          <w:rFonts w:ascii="Book Antiqua" w:hAnsi="Book Antiqua"/>
        </w:rPr>
        <w:t xml:space="preserve">, Frauenfelder T, Strobel K, Veit-Haibach P, Huellner MW. Assessment of bronchial and pulmonary blood supply in non-small cell lung cancer subtypes using computed tomography perfusion. </w:t>
      </w:r>
      <w:r>
        <w:rPr>
          <w:rFonts w:ascii="Book Antiqua" w:hAnsi="Book Antiqua"/>
          <w:i/>
          <w:iCs/>
        </w:rPr>
        <w:t>Invest Radiol</w:t>
      </w:r>
      <w:r>
        <w:rPr>
          <w:rFonts w:ascii="Book Antiqua" w:hAnsi="Book Antiqua"/>
        </w:rPr>
        <w:t xml:space="preserve"> 2015; </w:t>
      </w:r>
      <w:r>
        <w:rPr>
          <w:rFonts w:ascii="Book Antiqua" w:hAnsi="Book Antiqua"/>
          <w:b/>
          <w:bCs/>
        </w:rPr>
        <w:t>50</w:t>
      </w:r>
      <w:r>
        <w:rPr>
          <w:rFonts w:ascii="Book Antiqua" w:hAnsi="Book Antiqua"/>
        </w:rPr>
        <w:t>: 179-186 [PMID: 25500892 DOI: 10.1097/RLI.0000000000000124]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Tsai HY</w:t>
      </w:r>
      <w:r>
        <w:rPr>
          <w:rFonts w:ascii="Book Antiqua" w:hAnsi="Book Antiqua"/>
        </w:rPr>
        <w:t xml:space="preserve">, Tung CJ, Yu CC, Tyan YS. Survey of computed tomography scanners in Taiwan: dose descriptors, dose guidance levels, and effective doses. </w:t>
      </w:r>
      <w:r>
        <w:rPr>
          <w:rFonts w:ascii="Book Antiqua" w:hAnsi="Book Antiqua"/>
          <w:i/>
          <w:iCs/>
        </w:rPr>
        <w:t>Med Phys</w:t>
      </w:r>
      <w:r>
        <w:rPr>
          <w:rFonts w:ascii="Book Antiqua" w:hAnsi="Book Antiqua"/>
        </w:rPr>
        <w:t xml:space="preserve"> 2007; </w:t>
      </w:r>
      <w:r>
        <w:rPr>
          <w:rFonts w:ascii="Book Antiqua" w:hAnsi="Book Antiqua"/>
          <w:b/>
          <w:bCs/>
        </w:rPr>
        <w:t>34</w:t>
      </w:r>
      <w:r>
        <w:rPr>
          <w:rFonts w:ascii="Book Antiqua" w:hAnsi="Book Antiqua"/>
        </w:rPr>
        <w:t>: 1234-1243 [PMID: 17500455 DOI: 10.1118/1.2712412]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Galanski M</w:t>
      </w:r>
      <w:r>
        <w:rPr>
          <w:rFonts w:ascii="Book Antiqua" w:hAnsi="Book Antiqua"/>
        </w:rPr>
        <w:t xml:space="preserve">, Nagel HD, Stamm G. [Results of a federation inquiry 2005/2006: pediatric CT X-ray practice in Germany]. </w:t>
      </w:r>
      <w:r>
        <w:rPr>
          <w:rFonts w:ascii="Book Antiqua" w:hAnsi="Book Antiqua"/>
          <w:i/>
          <w:iCs/>
        </w:rPr>
        <w:t>Rofo</w:t>
      </w:r>
      <w:r>
        <w:rPr>
          <w:rFonts w:ascii="Book Antiqua" w:hAnsi="Book Antiqua"/>
        </w:rPr>
        <w:t xml:space="preserve"> 2007; </w:t>
      </w:r>
      <w:r>
        <w:rPr>
          <w:rFonts w:ascii="Book Antiqua" w:hAnsi="Book Antiqua"/>
          <w:b/>
          <w:bCs/>
        </w:rPr>
        <w:t>179</w:t>
      </w:r>
      <w:r>
        <w:rPr>
          <w:rFonts w:ascii="Book Antiqua" w:hAnsi="Book Antiqua"/>
        </w:rPr>
        <w:t>: 1110-1111 [PMID: 17955412 DOI: 10.1055/s-2007-992844]</w:t>
      </w:r>
      <w:bookmarkEnd w:id="87"/>
      <w:bookmarkEnd w:id="88"/>
    </w:p>
    <w:p>
      <w:pPr>
        <w:pStyle w:val="5"/>
        <w:shd w:val="clear" w:color="auto" w:fill="FFFFFF"/>
        <w:adjustRightInd w:val="0"/>
        <w:snapToGrid w:val="0"/>
        <w:spacing w:before="0" w:beforeAutospacing="0" w:after="0" w:afterAutospacing="0"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Institutional review board statement: </w:t>
      </w:r>
      <w:r>
        <w:rPr>
          <w:rFonts w:ascii="Book Antiqua" w:hAnsi="Book Antiqua" w:eastAsia="Book Antiqua" w:cs="Book Antiqua"/>
          <w:color w:val="000000"/>
        </w:rPr>
        <w:t>Our prospective study was approved by our institutional review board.</w:t>
      </w:r>
    </w:p>
    <w:p>
      <w:pPr>
        <w:spacing w:line="360" w:lineRule="auto"/>
        <w:jc w:val="both"/>
        <w:rPr>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Clinical trial registration statement:</w:t>
      </w:r>
      <w:r>
        <w:rPr>
          <w:rFonts w:ascii="Book Antiqua" w:hAnsi="Book Antiqua" w:eastAsia="Book Antiqua" w:cs="Book Antiqua"/>
          <w:color w:val="000000"/>
        </w:rPr>
        <w:t xml:space="preserve"> This study is registered at </w:t>
      </w:r>
      <w:r>
        <w:rPr>
          <w:rFonts w:hint="eastAsia" w:ascii="Book Antiqua" w:hAnsi="Book Antiqua" w:cs="Book Antiqua"/>
          <w:color w:val="000000"/>
          <w:lang w:eastAsia="zh-CN"/>
        </w:rPr>
        <w:t>T</w:t>
      </w:r>
      <w:r>
        <w:rPr>
          <w:rFonts w:ascii="Book Antiqua" w:hAnsi="Book Antiqua" w:eastAsia="Book Antiqua" w:cs="Book Antiqua"/>
          <w:color w:val="000000"/>
        </w:rPr>
        <w:t xml:space="preserve">he </w:t>
      </w:r>
      <w:r>
        <w:rPr>
          <w:rFonts w:hint="eastAsia" w:ascii="Book Antiqua" w:hAnsi="Book Antiqua" w:cs="Book Antiqua"/>
          <w:color w:val="000000"/>
          <w:lang w:eastAsia="zh-CN"/>
        </w:rPr>
        <w:t>Eighth</w:t>
      </w:r>
      <w:r>
        <w:rPr>
          <w:rFonts w:ascii="Book Antiqua" w:hAnsi="Book Antiqua" w:eastAsia="Book Antiqua" w:cs="Book Antiqua"/>
          <w:color w:val="000000"/>
        </w:rPr>
        <w:t xml:space="preserve"> Medical Center of the General Hospital</w:t>
      </w:r>
      <w:r>
        <w:rPr>
          <w:rFonts w:hint="eastAsia" w:ascii="Book Antiqua" w:hAnsi="Book Antiqua" w:cs="Book Antiqua"/>
          <w:color w:val="000000"/>
          <w:lang w:eastAsia="zh-CN"/>
        </w:rPr>
        <w:t xml:space="preserve"> </w:t>
      </w:r>
      <w:r>
        <w:rPr>
          <w:rFonts w:ascii="Book Antiqua" w:hAnsi="Book Antiqua" w:eastAsia="Book Antiqua" w:cs="Book Antiqua"/>
          <w:color w:val="000000"/>
        </w:rPr>
        <w:t>of the Chinese People.</w:t>
      </w:r>
    </w:p>
    <w:p>
      <w:pPr>
        <w:spacing w:line="360" w:lineRule="auto"/>
        <w:jc w:val="both"/>
        <w:rPr>
          <w:lang w:eastAsia="zh-CN"/>
        </w:rPr>
      </w:pP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Written informed consents were obtained from all patients.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of this manuscript having no conflicts of interest to disclose.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June 16,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Esch M, Germany; Konovalov AB, Russia </w:t>
      </w:r>
      <w:r>
        <w:rPr>
          <w:rFonts w:ascii="Book Antiqua" w:hAnsi="Book Antiqua" w:eastAsia="Book Antiqua" w:cs="Book Antiqua"/>
          <w:b/>
          <w:color w:val="000000"/>
        </w:rPr>
        <w:t xml:space="preserve">S-Editor: </w:t>
      </w:r>
      <w:r>
        <w:rPr>
          <w:rFonts w:hint="eastAsia" w:ascii="Book Antiqua" w:hAnsi="Book Antiqua" w:cs="Book Antiqua"/>
          <w:color w:val="000000"/>
          <w:lang w:eastAsia="zh-CN"/>
        </w:rPr>
        <w:t>Zhang H</w:t>
      </w:r>
      <w:r>
        <w:rPr>
          <w:rFonts w:ascii="Book Antiqua" w:hAnsi="Book Antiqua" w:eastAsia="Book Antiqua" w:cs="Book Antiqua"/>
          <w:b/>
          <w:color w:val="000000"/>
        </w:rPr>
        <w:t xml:space="preserve"> L-Editor:</w:t>
      </w:r>
      <w:r>
        <w:rPr>
          <w:rFonts w:ascii="Book Antiqua" w:hAnsi="Book Antiqua" w:eastAsia="Book Antiqua" w:cs="Book Antiqua"/>
          <w:bCs/>
          <w:color w:val="000000"/>
        </w:rPr>
        <w:t xml:space="preserve"> Filipodia </w:t>
      </w:r>
      <w:r>
        <w:rPr>
          <w:rFonts w:hint="eastAsia" w:ascii="Book Antiqua" w:hAnsi="Book Antiqua" w:cs="Book Antiqua"/>
          <w:bCs/>
          <w:color w:val="000000"/>
          <w:lang w:eastAsia="zh-CN"/>
        </w:rPr>
        <w:t xml:space="preserve">CL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H</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Figure Legends</w:t>
      </w:r>
    </w:p>
    <w:p>
      <w:pPr>
        <w:spacing w:line="360" w:lineRule="auto"/>
        <w:jc w:val="both"/>
      </w:pPr>
      <w:r>
        <w:rPr>
          <w:lang w:eastAsia="zh-CN"/>
        </w:rPr>
        <w:drawing>
          <wp:inline distT="0" distB="0" distL="0" distR="0">
            <wp:extent cx="3197225" cy="2700020"/>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7359" cy="2700533"/>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w:t>
      </w:r>
      <w:r>
        <w:rPr>
          <w:rFonts w:hint="eastAsia" w:ascii="Book Antiqua" w:hAnsi="Book Antiqua" w:cs="Book Antiqua"/>
          <w:b/>
          <w:bCs/>
          <w:color w:val="000000"/>
          <w:lang w:eastAsia="zh-CN"/>
        </w:rPr>
        <w:t>ure</w:t>
      </w:r>
      <w:r>
        <w:rPr>
          <w:rFonts w:ascii="Book Antiqua" w:hAnsi="Book Antiqua" w:eastAsia="Book Antiqua" w:cs="Book Antiqua"/>
          <w:b/>
          <w:bCs/>
          <w:color w:val="000000"/>
        </w:rPr>
        <w:t xml:space="preserve"> 1 Axial colored perfusion maps in a 55-year-old male patient with pure </w:t>
      </w:r>
      <w:bookmarkStart w:id="89" w:name="OLE_LINK82"/>
      <w:bookmarkStart w:id="90" w:name="OLE_LINK81"/>
      <w:r>
        <w:rPr>
          <w:rFonts w:ascii="Book Antiqua" w:hAnsi="Book Antiqua" w:eastAsia="Book Antiqua" w:cs="Book Antiqua"/>
          <w:b/>
          <w:bCs/>
          <w:color w:val="000000"/>
        </w:rPr>
        <w:t>ground-glass nodule</w:t>
      </w:r>
      <w:bookmarkEnd w:id="89"/>
      <w:bookmarkEnd w:id="90"/>
      <w:r>
        <w:rPr>
          <w:rFonts w:ascii="Book Antiqua" w:hAnsi="Book Antiqua" w:eastAsia="Book Antiqua" w:cs="Book Antiqua"/>
          <w:b/>
          <w:bCs/>
          <w:color w:val="000000"/>
        </w:rPr>
        <w:t xml:space="preserve"> carcinoma located in the right superior lung.</w:t>
      </w:r>
      <w:r>
        <w:rPr>
          <w:rFonts w:ascii="Book Antiqua" w:hAnsi="Book Antiqua" w:eastAsia="Book Antiqua" w:cs="Book Antiqua"/>
          <w:color w:val="000000"/>
        </w:rPr>
        <w:t xml:space="preserve"> Dominant pulmonary flow (PF) along with subordinate </w:t>
      </w:r>
      <w:bookmarkStart w:id="91" w:name="OLE_LINK85"/>
      <w:r>
        <w:rPr>
          <w:rFonts w:ascii="Book Antiqua" w:hAnsi="Book Antiqua" w:eastAsia="Book Antiqua" w:cs="Book Antiqua"/>
          <w:color w:val="000000"/>
        </w:rPr>
        <w:t>bronchial flow</w:t>
      </w:r>
      <w:bookmarkEnd w:id="91"/>
      <w:r>
        <w:rPr>
          <w:rFonts w:ascii="Book Antiqua" w:hAnsi="Book Antiqua" w:eastAsia="Book Antiqua" w:cs="Book Antiqua"/>
          <w:color w:val="000000"/>
        </w:rPr>
        <w:t xml:space="preserve"> (BF) was observed in the pure ground-glass nodule. A: Axial colored perfusion map of PF;</w:t>
      </w:r>
      <w:r>
        <w:rPr>
          <w:rFonts w:ascii="Book Antiqua" w:hAnsi="Book Antiqua" w:eastAsia="Book Antiqua" w:cs="Book Antiqua"/>
          <w:b/>
          <w:bCs/>
          <w:color w:val="000000"/>
        </w:rPr>
        <w:t xml:space="preserve"> </w:t>
      </w:r>
      <w:r>
        <w:rPr>
          <w:rFonts w:ascii="Book Antiqua" w:hAnsi="Book Antiqua" w:eastAsia="Book Antiqua" w:cs="Book Antiqua"/>
          <w:color w:val="000000"/>
        </w:rPr>
        <w:t>B:</w:t>
      </w:r>
      <w:r>
        <w:rPr>
          <w:rFonts w:ascii="Book Antiqua" w:hAnsi="Book Antiqua" w:eastAsia="Book Antiqua" w:cs="Book Antiqua"/>
          <w:color w:val="000000"/>
          <w:szCs w:val="21"/>
        </w:rPr>
        <w:t xml:space="preserve"> </w:t>
      </w:r>
      <w:r>
        <w:rPr>
          <w:rFonts w:ascii="Book Antiqua" w:hAnsi="Book Antiqua" w:eastAsia="Book Antiqua" w:cs="Book Antiqua"/>
          <w:color w:val="000000"/>
        </w:rPr>
        <w:t>Axial colored perfusion map of BF; C:</w:t>
      </w:r>
      <w:r>
        <w:rPr>
          <w:rFonts w:ascii="Book Antiqua" w:hAnsi="Book Antiqua" w:eastAsia="Book Antiqua" w:cs="Book Antiqua"/>
          <w:color w:val="000000"/>
          <w:szCs w:val="21"/>
        </w:rPr>
        <w:t xml:space="preserve"> </w:t>
      </w:r>
      <w:r>
        <w:rPr>
          <w:rFonts w:ascii="Book Antiqua" w:hAnsi="Book Antiqua" w:eastAsia="Book Antiqua" w:cs="Book Antiqua"/>
          <w:color w:val="000000"/>
        </w:rPr>
        <w:t xml:space="preserve">Axial colored perfusion map of </w:t>
      </w:r>
      <w:r>
        <w:rPr>
          <w:rFonts w:hint="eastAsia" w:ascii="Book Antiqua" w:hAnsi="Book Antiqua" w:cs="Book Antiqua"/>
          <w:color w:val="000000"/>
          <w:lang w:eastAsia="zh-CN"/>
        </w:rPr>
        <w:t>p</w:t>
      </w:r>
      <w:r>
        <w:rPr>
          <w:rFonts w:ascii="Book Antiqua" w:hAnsi="Book Antiqua" w:eastAsia="Book Antiqua" w:cs="Book Antiqua"/>
          <w:color w:val="000000"/>
        </w:rPr>
        <w:t>erfusion index; D: Axial non-contrast computed tomography.</w:t>
      </w:r>
    </w:p>
    <w:p>
      <w:pPr>
        <w:spacing w:line="360" w:lineRule="auto"/>
        <w:jc w:val="both"/>
      </w:pPr>
      <w:r>
        <w:br w:type="page"/>
      </w:r>
    </w:p>
    <w:p>
      <w:pPr>
        <w:spacing w:line="360" w:lineRule="auto"/>
        <w:jc w:val="both"/>
        <w:rPr>
          <w:rFonts w:ascii="Book Antiqua" w:hAnsi="Book Antiqua" w:cs="Book Antiqua"/>
          <w:b/>
          <w:bCs/>
          <w:color w:val="000000"/>
          <w:lang w:eastAsia="zh-CN"/>
        </w:rPr>
      </w:pPr>
      <w:r>
        <w:rPr>
          <w:rFonts w:hint="eastAsia" w:ascii="Book Antiqua" w:hAnsi="Book Antiqua" w:cs="Book Antiqua"/>
          <w:b/>
          <w:bCs/>
          <w:color w:val="000000"/>
          <w:lang w:eastAsia="zh-CN"/>
        </w:rPr>
        <w:drawing>
          <wp:inline distT="0" distB="0" distL="0" distR="0">
            <wp:extent cx="3139440" cy="27889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9446" cy="2788926"/>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w:t>
      </w:r>
      <w:r>
        <w:rPr>
          <w:rFonts w:hint="eastAsia" w:ascii="Book Antiqua" w:hAnsi="Book Antiqua" w:cs="Book Antiqua"/>
          <w:b/>
          <w:bCs/>
          <w:color w:val="000000"/>
          <w:lang w:eastAsia="zh-CN"/>
        </w:rPr>
        <w:t>ure</w:t>
      </w:r>
      <w:r>
        <w:rPr>
          <w:rFonts w:ascii="Book Antiqua" w:hAnsi="Book Antiqua" w:eastAsia="Book Antiqua" w:cs="Book Antiqua"/>
          <w:b/>
          <w:bCs/>
          <w:color w:val="000000"/>
        </w:rPr>
        <w:t xml:space="preserve"> 2 Axial colored perfusion maps in a 72-year-old male patient with mixed</w:t>
      </w:r>
      <w:r>
        <w:rPr>
          <w:rFonts w:ascii="Book Antiqua" w:hAnsi="Book Antiqua" w:eastAsia="Book Antiqua" w:cs="Book Antiqua"/>
          <w:color w:val="000000"/>
          <w:szCs w:val="21"/>
        </w:rPr>
        <w:t xml:space="preserve"> </w:t>
      </w:r>
      <w:bookmarkStart w:id="92" w:name="OLE_LINK83"/>
      <w:bookmarkStart w:id="93" w:name="OLE_LINK84"/>
      <w:r>
        <w:rPr>
          <w:rFonts w:ascii="Book Antiqua" w:hAnsi="Book Antiqua" w:eastAsia="Book Antiqua" w:cs="Book Antiqua"/>
          <w:b/>
          <w:bCs/>
          <w:color w:val="000000"/>
        </w:rPr>
        <w:t>ground-glass nodule</w:t>
      </w:r>
      <w:bookmarkEnd w:id="92"/>
      <w:bookmarkEnd w:id="93"/>
      <w:r>
        <w:rPr>
          <w:rFonts w:ascii="Book Antiqua" w:hAnsi="Book Antiqua" w:eastAsia="Book Antiqua" w:cs="Book Antiqua"/>
          <w:b/>
          <w:bCs/>
          <w:color w:val="000000"/>
        </w:rPr>
        <w:t xml:space="preserve"> carcinoma located in the right superior lung. </w:t>
      </w:r>
      <w:r>
        <w:rPr>
          <w:rFonts w:ascii="Book Antiqua" w:hAnsi="Book Antiqua" w:eastAsia="Book Antiqua" w:cs="Book Antiqua"/>
          <w:color w:val="000000"/>
        </w:rPr>
        <w:t>The perfusion is heterogeneous throughout the lesion. Pulmonary flow (PF) is globally dominant, especially in the dorsal part of the lesion (arrow), which corresponds to the lower attenuation region of the mixed ground-glass nodule.</w:t>
      </w:r>
      <w:r>
        <w:rPr>
          <w:rFonts w:ascii="Book Antiqua" w:hAnsi="Book Antiqua" w:eastAsia="Book Antiqua" w:cs="Book Antiqua"/>
          <w:color w:val="000000"/>
          <w:szCs w:val="21"/>
        </w:rPr>
        <w:t xml:space="preserve"> </w:t>
      </w:r>
      <w:r>
        <w:rPr>
          <w:rFonts w:ascii="Book Antiqua" w:hAnsi="Book Antiqua" w:eastAsia="Book Antiqua" w:cs="Book Antiqua"/>
          <w:color w:val="000000"/>
        </w:rPr>
        <w:t>A: Axial colored perfusion map of PF; B: Axial colored perfusion map of bronchial flow; C: Axial colored perfusion map of perfusion index; D: Axial non-contrast computed tomography.</w:t>
      </w:r>
    </w:p>
    <w:p>
      <w:pPr>
        <w:spacing w:line="360" w:lineRule="auto"/>
        <w:jc w:val="both"/>
      </w:pPr>
      <w:r>
        <w:br w:type="page"/>
      </w:r>
    </w:p>
    <w:p>
      <w:pPr>
        <w:spacing w:line="360" w:lineRule="auto"/>
        <w:jc w:val="both"/>
        <w:rPr>
          <w:rFonts w:ascii="Book Antiqua" w:hAnsi="Book Antiqua" w:cs="Book Antiqua"/>
          <w:b/>
          <w:bCs/>
          <w:color w:val="000000"/>
          <w:lang w:eastAsia="zh-CN"/>
        </w:rPr>
      </w:pPr>
      <w:r>
        <w:rPr>
          <w:rFonts w:hint="eastAsia" w:ascii="Book Antiqua" w:hAnsi="Book Antiqua" w:cs="Book Antiqua"/>
          <w:b/>
          <w:bCs/>
          <w:color w:val="000000"/>
          <w:lang w:eastAsia="zh-CN"/>
        </w:rPr>
        <w:drawing>
          <wp:inline distT="0" distB="0" distL="0" distR="0">
            <wp:extent cx="3922395" cy="316357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2784" cy="31638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w:t>
      </w:r>
      <w:r>
        <w:rPr>
          <w:rFonts w:hint="eastAsia" w:ascii="Book Antiqua" w:hAnsi="Book Antiqua" w:cs="Book Antiqua"/>
          <w:b/>
          <w:bCs/>
          <w:color w:val="000000"/>
          <w:lang w:eastAsia="zh-CN"/>
        </w:rPr>
        <w:t>ure</w:t>
      </w:r>
      <w:r>
        <w:rPr>
          <w:rFonts w:ascii="Book Antiqua" w:hAnsi="Book Antiqua" w:eastAsia="Book Antiqua" w:cs="Book Antiqua"/>
          <w:b/>
          <w:bCs/>
          <w:color w:val="000000"/>
        </w:rPr>
        <w:t xml:space="preserve"> 3</w:t>
      </w:r>
      <w:r>
        <w:rPr>
          <w:rFonts w:ascii="Book Antiqua" w:hAnsi="Book Antiqua" w:eastAsia="Book Antiqua" w:cs="Book Antiqua"/>
          <w:color w:val="000000"/>
        </w:rPr>
        <w:t xml:space="preserve"> </w:t>
      </w:r>
      <w:r>
        <w:rPr>
          <w:rFonts w:ascii="Book Antiqua" w:hAnsi="Book Antiqua" w:eastAsia="Book Antiqua" w:cs="Book Antiqua"/>
          <w:b/>
          <w:bCs/>
          <w:color w:val="000000"/>
        </w:rPr>
        <w:t>Box plot of perfusion parameters demonstrates dominant Pulmonary flow (PF) along with relatively low bronchial flow (BF) in carcinoma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30), atypical adenomatous hyperplasia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6) and organizing pneumonia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11).</w:t>
      </w:r>
    </w:p>
    <w:p>
      <w:pPr>
        <w:spacing w:line="360" w:lineRule="auto"/>
        <w:jc w:val="both"/>
      </w:pPr>
      <w:r>
        <w:br w:type="page"/>
      </w:r>
    </w:p>
    <w:p>
      <w:pPr>
        <w:spacing w:line="360" w:lineRule="auto"/>
        <w:jc w:val="both"/>
        <w:rPr>
          <w:rFonts w:ascii="Book Antiqua" w:hAnsi="Book Antiqua" w:cs="Book Antiqua"/>
          <w:b/>
          <w:bCs/>
          <w:color w:val="000000"/>
          <w:lang w:eastAsia="zh-CN"/>
        </w:rPr>
      </w:pPr>
      <w:r>
        <w:rPr>
          <w:rFonts w:hint="eastAsia" w:ascii="Book Antiqua" w:hAnsi="Book Antiqua" w:cs="Book Antiqua"/>
          <w:b/>
          <w:bCs/>
          <w:color w:val="000000"/>
          <w:lang w:eastAsia="zh-CN"/>
        </w:rPr>
        <w:drawing>
          <wp:inline distT="0" distB="0" distL="0" distR="0">
            <wp:extent cx="3764280" cy="2837180"/>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4288" cy="2837694"/>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w:t>
      </w:r>
      <w:r>
        <w:rPr>
          <w:rFonts w:hint="eastAsia" w:ascii="Book Antiqua" w:hAnsi="Book Antiqua" w:cs="Book Antiqua"/>
          <w:b/>
          <w:bCs/>
          <w:color w:val="000000"/>
          <w:lang w:eastAsia="zh-CN"/>
        </w:rPr>
        <w:t>ure</w:t>
      </w:r>
      <w:r>
        <w:rPr>
          <w:rFonts w:ascii="Book Antiqua" w:hAnsi="Book Antiqua" w:eastAsia="Book Antiqua" w:cs="Book Antiqua"/>
          <w:b/>
          <w:bCs/>
          <w:color w:val="000000"/>
        </w:rPr>
        <w:t xml:space="preserve"> 4</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Box plot of perfusion index </w:t>
      </w:r>
      <w:r>
        <w:rPr>
          <w:rFonts w:hint="eastAsia" w:ascii="Book Antiqua" w:hAnsi="Book Antiqua" w:cs="Book Antiqua"/>
          <w:b/>
          <w:bCs/>
          <w:color w:val="000000"/>
          <w:lang w:eastAsia="zh-CN"/>
        </w:rPr>
        <w:t>[</w:t>
      </w:r>
      <w:r>
        <w:rPr>
          <w:rFonts w:ascii="Book Antiqua" w:hAnsi="Book Antiqua" w:eastAsia="Book Antiqua" w:cs="Book Antiqua"/>
          <w:b/>
          <w:bCs/>
          <w:color w:val="000000"/>
        </w:rPr>
        <w:t>=</w:t>
      </w:r>
      <w:r>
        <w:rPr>
          <w:rFonts w:hint="eastAsia" w:ascii="Book Antiqua" w:hAnsi="Book Antiqua" w:cs="Book Antiqua"/>
          <w:b/>
          <w:bCs/>
          <w:color w:val="000000"/>
          <w:lang w:eastAsia="zh-CN"/>
        </w:rPr>
        <w:t xml:space="preserve"> p</w:t>
      </w:r>
      <w:r>
        <w:rPr>
          <w:rFonts w:ascii="Book Antiqua" w:hAnsi="Book Antiqua" w:eastAsia="Book Antiqua" w:cs="Book Antiqua"/>
          <w:b/>
          <w:bCs/>
          <w:color w:val="000000"/>
        </w:rPr>
        <w:t>ulmonary flow/(</w:t>
      </w:r>
      <w:r>
        <w:rPr>
          <w:rFonts w:hint="eastAsia" w:ascii="Book Antiqua" w:hAnsi="Book Antiqua" w:cs="Book Antiqua"/>
          <w:b/>
          <w:bCs/>
          <w:color w:val="000000"/>
          <w:lang w:eastAsia="zh-CN"/>
        </w:rPr>
        <w:t>p</w:t>
      </w:r>
      <w:r>
        <w:rPr>
          <w:rFonts w:ascii="Book Antiqua" w:hAnsi="Book Antiqua" w:eastAsia="Book Antiqua" w:cs="Book Antiqua"/>
          <w:b/>
          <w:bCs/>
          <w:color w:val="000000"/>
        </w:rPr>
        <w:t>ulmonary flow + bronchial flow)</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demonstrates dominant </w:t>
      </w:r>
      <w:bookmarkStart w:id="94" w:name="OLE_LINK86"/>
      <w:r>
        <w:rPr>
          <w:rFonts w:hint="eastAsia" w:ascii="Book Antiqua" w:hAnsi="Book Antiqua" w:cs="Book Antiqua"/>
          <w:b/>
          <w:bCs/>
          <w:color w:val="000000"/>
          <w:lang w:eastAsia="zh-CN"/>
        </w:rPr>
        <w:t>p</w:t>
      </w:r>
      <w:r>
        <w:rPr>
          <w:rFonts w:ascii="Book Antiqua" w:hAnsi="Book Antiqua" w:eastAsia="Book Antiqua" w:cs="Book Antiqua"/>
          <w:b/>
          <w:bCs/>
          <w:color w:val="000000"/>
        </w:rPr>
        <w:t>ulmonary flow</w:t>
      </w:r>
      <w:bookmarkEnd w:id="94"/>
      <w:r>
        <w:rPr>
          <w:rFonts w:ascii="Book Antiqua" w:hAnsi="Book Antiqua" w:eastAsia="Book Antiqua" w:cs="Book Antiqua"/>
          <w:b/>
          <w:bCs/>
          <w:color w:val="000000"/>
        </w:rPr>
        <w:t xml:space="preserve"> along with subordinate </w:t>
      </w:r>
      <w:bookmarkStart w:id="95" w:name="OLE_LINK88"/>
      <w:bookmarkStart w:id="96" w:name="OLE_LINK87"/>
      <w:r>
        <w:rPr>
          <w:rFonts w:ascii="Book Antiqua" w:hAnsi="Book Antiqua" w:eastAsia="Book Antiqua" w:cs="Book Antiqua"/>
          <w:b/>
          <w:bCs/>
          <w:color w:val="000000"/>
        </w:rPr>
        <w:t>bronchial flow</w:t>
      </w:r>
      <w:bookmarkEnd w:id="95"/>
      <w:bookmarkEnd w:id="96"/>
      <w:r>
        <w:rPr>
          <w:rFonts w:ascii="Book Antiqua" w:hAnsi="Book Antiqua" w:eastAsia="Book Antiqua" w:cs="Book Antiqua"/>
          <w:b/>
          <w:bCs/>
          <w:color w:val="000000"/>
        </w:rPr>
        <w:t xml:space="preserve"> in pure </w:t>
      </w:r>
      <w:bookmarkStart w:id="97" w:name="OLE_LINK90"/>
      <w:bookmarkStart w:id="98" w:name="OLE_LINK89"/>
      <w:r>
        <w:rPr>
          <w:rFonts w:ascii="Book Antiqua" w:hAnsi="Book Antiqua" w:eastAsia="Book Antiqua" w:cs="Book Antiqua"/>
          <w:b/>
          <w:bCs/>
          <w:color w:val="000000"/>
        </w:rPr>
        <w:t>ground-glass nodule</w:t>
      </w:r>
      <w:bookmarkEnd w:id="97"/>
      <w:bookmarkEnd w:id="98"/>
      <w:r>
        <w:rPr>
          <w:rFonts w:ascii="Book Antiqua" w:hAnsi="Book Antiqua" w:eastAsia="Book Antiqua" w:cs="Book Antiqua"/>
          <w:b/>
          <w:bCs/>
          <w:color w:val="000000"/>
        </w:rPr>
        <w:t xml:space="preserve"> carcinoma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16) and a weakened pulmonary flow along with an enhanced bronchial flow in mixed ground-glass nodule carcinoma.</w:t>
      </w:r>
    </w:p>
    <w:p>
      <w:pPr>
        <w:spacing w:line="360" w:lineRule="auto"/>
        <w:jc w:val="both"/>
      </w:pPr>
      <w:r>
        <w:br w:type="page"/>
      </w:r>
    </w:p>
    <w:p>
      <w:pPr>
        <w:spacing w:line="360" w:lineRule="auto"/>
        <w:jc w:val="both"/>
        <w:rPr>
          <w:rFonts w:ascii="Book Antiqua" w:hAnsi="Book Antiqua" w:cs="Book Antiqua"/>
          <w:b/>
          <w:bCs/>
          <w:color w:val="000000"/>
          <w:lang w:eastAsia="zh-CN"/>
        </w:rPr>
      </w:pPr>
      <w:r>
        <w:rPr>
          <w:rFonts w:hint="eastAsia" w:ascii="Book Antiqua" w:hAnsi="Book Antiqua" w:cs="Book Antiqua"/>
          <w:b/>
          <w:bCs/>
          <w:color w:val="000000"/>
          <w:lang w:eastAsia="zh-CN"/>
        </w:rPr>
        <w:drawing>
          <wp:inline distT="0" distB="0" distL="0" distR="0">
            <wp:extent cx="3983355" cy="36296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3744" cy="36301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w:t>
      </w:r>
      <w:r>
        <w:rPr>
          <w:rFonts w:hint="eastAsia" w:ascii="Book Antiqua" w:hAnsi="Book Antiqua" w:cs="Book Antiqua"/>
          <w:b/>
          <w:bCs/>
          <w:color w:val="000000"/>
          <w:lang w:eastAsia="zh-CN"/>
        </w:rPr>
        <w:t>ure</w:t>
      </w:r>
      <w:r>
        <w:rPr>
          <w:rFonts w:ascii="Book Antiqua" w:hAnsi="Book Antiqua" w:eastAsia="Book Antiqua" w:cs="Book Antiqua"/>
          <w:b/>
          <w:bCs/>
          <w:color w:val="000000"/>
        </w:rPr>
        <w:t xml:space="preserve"> 5</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Plots of the Pearson correlation between the attenuation values of the ground-glass nodule carcinoma and the three perfusion parameters. </w:t>
      </w:r>
      <w:r>
        <w:rPr>
          <w:rFonts w:ascii="Book Antiqua" w:hAnsi="Book Antiqua" w:eastAsia="Book Antiqua" w:cs="Book Antiqua"/>
          <w:color w:val="000000"/>
        </w:rPr>
        <w:t>The HU of the GGN carcinoma correlates negatively, positively and negatively with the pulmonary flow (PF), bronchial flow (BF) and the perfusion index (PI), respectively. A:</w:t>
      </w:r>
      <w:r>
        <w:rPr>
          <w:rFonts w:ascii="Book Antiqua" w:hAnsi="Book Antiqua" w:eastAsia="Book Antiqua" w:cs="Book Antiqua"/>
          <w:color w:val="000000"/>
          <w:szCs w:val="21"/>
        </w:rPr>
        <w:t xml:space="preserve"> </w:t>
      </w:r>
      <w:r>
        <w:rPr>
          <w:rFonts w:ascii="Book Antiqua" w:hAnsi="Book Antiqua" w:eastAsia="Book Antiqua" w:cs="Book Antiqua"/>
          <w:color w:val="000000"/>
        </w:rPr>
        <w:t xml:space="preserve">Correlation between the HU of ground-glass nodule </w:t>
      </w:r>
      <w:r>
        <w:rPr>
          <w:rFonts w:hint="eastAsia" w:ascii="Book Antiqua" w:hAnsi="Book Antiqua" w:cs="Book Antiqua"/>
          <w:color w:val="000000"/>
          <w:lang w:eastAsia="zh-CN"/>
        </w:rPr>
        <w:t>(</w:t>
      </w:r>
      <w:r>
        <w:rPr>
          <w:rFonts w:ascii="Book Antiqua" w:hAnsi="Book Antiqua" w:eastAsia="Book Antiqua" w:cs="Book Antiqua"/>
          <w:color w:val="000000"/>
        </w:rPr>
        <w:t>GGN</w:t>
      </w:r>
      <w:r>
        <w:rPr>
          <w:rFonts w:hint="eastAsia" w:ascii="Book Antiqua" w:hAnsi="Book Antiqua" w:cs="Book Antiqua"/>
          <w:color w:val="000000"/>
          <w:lang w:eastAsia="zh-CN"/>
        </w:rPr>
        <w:t>)</w:t>
      </w:r>
      <w:r>
        <w:rPr>
          <w:rFonts w:ascii="Book Antiqua" w:hAnsi="Book Antiqua" w:eastAsia="Book Antiqua" w:cs="Book Antiqua"/>
          <w:color w:val="000000"/>
        </w:rPr>
        <w:t xml:space="preserve"> carcinoma and PF; B: Correlation between the HU of GGN carcinoma and BF; C:</w:t>
      </w:r>
      <w:r>
        <w:rPr>
          <w:rFonts w:ascii="Book Antiqua" w:hAnsi="Book Antiqua" w:eastAsia="Book Antiqua" w:cs="Book Antiqua"/>
          <w:color w:val="000000"/>
          <w:szCs w:val="21"/>
        </w:rPr>
        <w:t xml:space="preserve"> </w:t>
      </w:r>
      <w:r>
        <w:rPr>
          <w:rFonts w:ascii="Book Antiqua" w:hAnsi="Book Antiqua" w:eastAsia="Book Antiqua" w:cs="Book Antiqua"/>
          <w:color w:val="000000"/>
        </w:rPr>
        <w:t>Correlation between the HU of GGN carcinoma and PI.</w:t>
      </w:r>
    </w:p>
    <w:p>
      <w:pPr>
        <w:autoSpaceDE w:val="0"/>
        <w:autoSpaceDN w:val="0"/>
        <w:adjustRightInd w:val="0"/>
        <w:snapToGrid w:val="0"/>
        <w:spacing w:line="360" w:lineRule="auto"/>
        <w:jc w:val="both"/>
        <w:rPr>
          <w:rFonts w:ascii="Book Antiqua" w:hAnsi="Book Antiqua"/>
          <w:b/>
          <w:color w:val="000000"/>
          <w:lang w:val="en-GB"/>
        </w:rPr>
      </w:pPr>
      <w:r>
        <w:rPr>
          <w:rFonts w:ascii="Book Antiqua" w:hAnsi="Book Antiqua" w:eastAsia="Book Antiqua" w:cs="Book Antiqua"/>
          <w:color w:val="000000"/>
        </w:rPr>
        <w:br w:type="page"/>
      </w:r>
      <w:r>
        <w:rPr>
          <w:rFonts w:ascii="Book Antiqua" w:hAnsi="Book Antiqua"/>
          <w:b/>
          <w:color w:val="000000"/>
          <w:lang w:val="en-GB"/>
        </w:rPr>
        <w:t>Table 1 Results of histopathologic comparisons on the three perfusion parameters</w:t>
      </w:r>
    </w:p>
    <w:tbl>
      <w:tblPr>
        <w:tblStyle w:val="7"/>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3"/>
        <w:gridCol w:w="1923"/>
        <w:gridCol w:w="584"/>
        <w:gridCol w:w="1634"/>
        <w:gridCol w:w="1013"/>
        <w:gridCol w:w="1113"/>
        <w:gridCol w:w="117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restart"/>
            <w:tcBorders>
              <w:top w:val="single" w:color="000000" w:sz="4" w:space="0"/>
              <w:bottom w:val="single" w:color="000000" w:sz="8" w:space="0"/>
            </w:tcBorders>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lang w:val="en-GB" w:eastAsia="zh-CN"/>
              </w:rPr>
              <w:t>Parameters</w:t>
            </w:r>
          </w:p>
        </w:tc>
        <w:tc>
          <w:tcPr>
            <w:tcW w:w="1004" w:type="pct"/>
            <w:vMerge w:val="restart"/>
            <w:tcBorders>
              <w:top w:val="single" w:color="000000" w:sz="4" w:space="0"/>
              <w:bottom w:val="single" w:color="000000" w:sz="8" w:space="0"/>
            </w:tcBorders>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lang w:val="en-GB" w:eastAsia="zh-CN"/>
              </w:rPr>
              <w:t>Histopathology</w:t>
            </w:r>
          </w:p>
        </w:tc>
        <w:tc>
          <w:tcPr>
            <w:tcW w:w="305" w:type="pct"/>
            <w:vMerge w:val="restart"/>
            <w:tcBorders>
              <w:top w:val="single" w:color="000000" w:sz="4" w:space="0"/>
              <w:bottom w:val="single" w:color="000000" w:sz="8" w:space="0"/>
            </w:tcBorders>
            <w:shd w:val="clear" w:color="auto" w:fill="auto"/>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i/>
                <w:color w:val="000000"/>
                <w:lang w:val="en-GB" w:eastAsia="zh-CN"/>
              </w:rPr>
              <w:t>n</w:t>
            </w:r>
          </w:p>
        </w:tc>
        <w:tc>
          <w:tcPr>
            <w:tcW w:w="853" w:type="pct"/>
            <w:vMerge w:val="restart"/>
            <w:tcBorders>
              <w:top w:val="single" w:color="000000" w:sz="4" w:space="0"/>
            </w:tcBorders>
            <w:shd w:val="clear" w:color="auto" w:fill="auto"/>
            <w:vAlign w:val="center"/>
          </w:tcPr>
          <w:p>
            <w:pPr>
              <w:adjustRightInd w:val="0"/>
              <w:snapToGrid w:val="0"/>
              <w:spacing w:line="360" w:lineRule="auto"/>
              <w:jc w:val="both"/>
              <w:rPr>
                <w:rFonts w:ascii="Book Antiqua" w:hAnsi="Book Antiqua" w:eastAsia="宋体"/>
                <w:b/>
                <w:bCs/>
                <w:lang w:val="en-GB" w:eastAsia="zh-CN"/>
              </w:rPr>
            </w:pPr>
            <w:r>
              <w:rPr>
                <w:rFonts w:hint="eastAsia" w:ascii="Book Antiqua" w:hAnsi="Book Antiqua" w:eastAsia="宋体"/>
                <w:b/>
                <w:bCs/>
                <w:color w:val="000000"/>
                <w:lang w:val="en-GB" w:eastAsia="zh-CN"/>
              </w:rPr>
              <w:t>m</w:t>
            </w:r>
            <w:r>
              <w:rPr>
                <w:rFonts w:ascii="Book Antiqua" w:hAnsi="Book Antiqua" w:eastAsia="宋体"/>
                <w:b/>
                <w:bCs/>
                <w:color w:val="000000"/>
                <w:lang w:val="en-GB" w:eastAsia="zh-CN"/>
              </w:rPr>
              <w:t>ean</w:t>
            </w:r>
            <w:r>
              <w:rPr>
                <w:rFonts w:hint="eastAsia" w:ascii="Book Antiqua" w:hAnsi="Book Antiqua" w:eastAsia="宋体"/>
                <w:b/>
                <w:bCs/>
                <w:lang w:val="en-GB" w:eastAsia="zh-CN"/>
              </w:rPr>
              <w:t xml:space="preserve"> </w:t>
            </w:r>
            <w:bookmarkStart w:id="99" w:name="OLE_LINK97"/>
            <w:bookmarkStart w:id="100" w:name="OLE_LINK98"/>
            <w:r>
              <w:rPr>
                <w:rFonts w:ascii="Book Antiqua" w:hAnsi="Book Antiqua" w:eastAsia="宋体"/>
                <w:b/>
                <w:bCs/>
                <w:lang w:val="en-GB" w:eastAsia="zh-CN"/>
              </w:rPr>
              <w:t>±</w:t>
            </w:r>
            <w:r>
              <w:rPr>
                <w:rFonts w:hint="eastAsia" w:ascii="Book Antiqua" w:hAnsi="Book Antiqua" w:eastAsia="宋体"/>
                <w:b/>
                <w:bCs/>
                <w:lang w:val="en-GB" w:eastAsia="zh-CN"/>
              </w:rPr>
              <w:t xml:space="preserve"> </w:t>
            </w:r>
            <w:bookmarkEnd w:id="99"/>
            <w:bookmarkEnd w:id="100"/>
            <w:r>
              <w:rPr>
                <w:rFonts w:ascii="Book Antiqua" w:hAnsi="Book Antiqua" w:eastAsia="宋体"/>
                <w:b/>
                <w:bCs/>
                <w:color w:val="000000"/>
                <w:lang w:val="en-GB" w:eastAsia="zh-CN"/>
              </w:rPr>
              <w:t>SD</w:t>
            </w:r>
          </w:p>
        </w:tc>
        <w:tc>
          <w:tcPr>
            <w:tcW w:w="1110" w:type="pct"/>
            <w:gridSpan w:val="2"/>
            <w:tcBorders>
              <w:top w:val="single" w:color="000000" w:sz="4" w:space="0"/>
              <w:bottom w:val="single" w:color="000000" w:sz="8" w:space="0"/>
            </w:tcBorders>
            <w:shd w:val="clear" w:color="auto" w:fill="auto"/>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color w:val="000000"/>
                <w:lang w:val="en-GB" w:eastAsia="zh-CN"/>
              </w:rPr>
              <w:t>95% CI</w:t>
            </w:r>
          </w:p>
        </w:tc>
        <w:tc>
          <w:tcPr>
            <w:tcW w:w="614" w:type="pct"/>
            <w:vMerge w:val="restart"/>
            <w:tcBorders>
              <w:top w:val="single" w:color="000000" w:sz="4" w:space="0"/>
              <w:bottom w:val="single" w:color="000000" w:sz="8" w:space="0"/>
            </w:tcBorders>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lang w:val="en-GB" w:eastAsia="zh-CN"/>
              </w:rPr>
              <w:t>One way ANOVA</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tcBorders>
              <w:top w:val="single" w:color="000000" w:sz="8" w:space="0"/>
              <w:bottom w:val="single" w:color="auto" w:sz="8" w:space="0"/>
            </w:tcBorders>
            <w:vAlign w:val="center"/>
          </w:tcPr>
          <w:p>
            <w:pPr>
              <w:adjustRightInd w:val="0"/>
              <w:snapToGrid w:val="0"/>
              <w:spacing w:line="360" w:lineRule="auto"/>
              <w:jc w:val="both"/>
              <w:rPr>
                <w:rFonts w:ascii="Book Antiqua" w:hAnsi="Book Antiqua" w:eastAsia="宋体"/>
                <w:lang w:val="en-GB" w:eastAsia="zh-CN"/>
              </w:rPr>
            </w:pPr>
          </w:p>
        </w:tc>
        <w:tc>
          <w:tcPr>
            <w:tcW w:w="1004" w:type="pct"/>
            <w:vMerge w:val="continue"/>
            <w:tcBorders>
              <w:top w:val="single" w:color="000000" w:sz="8" w:space="0"/>
              <w:bottom w:val="single" w:color="auto" w:sz="8" w:space="0"/>
            </w:tcBorders>
            <w:vAlign w:val="center"/>
          </w:tcPr>
          <w:p>
            <w:pPr>
              <w:adjustRightInd w:val="0"/>
              <w:snapToGrid w:val="0"/>
              <w:spacing w:line="360" w:lineRule="auto"/>
              <w:jc w:val="both"/>
              <w:rPr>
                <w:rFonts w:ascii="Book Antiqua" w:hAnsi="Book Antiqua" w:eastAsia="宋体"/>
                <w:lang w:val="en-GB" w:eastAsia="zh-CN"/>
              </w:rPr>
            </w:pPr>
          </w:p>
        </w:tc>
        <w:tc>
          <w:tcPr>
            <w:tcW w:w="305" w:type="pct"/>
            <w:vMerge w:val="continue"/>
            <w:tcBorders>
              <w:top w:val="single" w:color="000000" w:sz="8" w:space="0"/>
              <w:bottom w:val="single" w:color="auto" w:sz="8" w:space="0"/>
            </w:tcBorders>
            <w:vAlign w:val="center"/>
          </w:tcPr>
          <w:p>
            <w:pPr>
              <w:adjustRightInd w:val="0"/>
              <w:snapToGrid w:val="0"/>
              <w:spacing w:line="360" w:lineRule="auto"/>
              <w:jc w:val="both"/>
              <w:rPr>
                <w:rFonts w:ascii="Book Antiqua" w:hAnsi="Book Antiqua" w:eastAsia="宋体"/>
                <w:lang w:val="en-GB" w:eastAsia="zh-CN"/>
              </w:rPr>
            </w:pPr>
          </w:p>
        </w:tc>
        <w:tc>
          <w:tcPr>
            <w:tcW w:w="853" w:type="pct"/>
            <w:vMerge w:val="continue"/>
            <w:tcBorders>
              <w:bottom w:val="single" w:color="auto" w:sz="8" w:space="0"/>
            </w:tcBorders>
            <w:vAlign w:val="center"/>
          </w:tcPr>
          <w:p>
            <w:pPr>
              <w:adjustRightInd w:val="0"/>
              <w:snapToGrid w:val="0"/>
              <w:spacing w:line="360" w:lineRule="auto"/>
              <w:jc w:val="both"/>
              <w:rPr>
                <w:rFonts w:ascii="Book Antiqua" w:hAnsi="Book Antiqua" w:eastAsia="宋体"/>
                <w:lang w:val="en-GB" w:eastAsia="zh-CN"/>
              </w:rPr>
            </w:pPr>
          </w:p>
        </w:tc>
        <w:tc>
          <w:tcPr>
            <w:tcW w:w="529" w:type="pct"/>
            <w:tcBorders>
              <w:top w:val="single" w:color="000000" w:sz="8" w:space="0"/>
              <w:bottom w:val="single" w:color="auto" w:sz="8" w:space="0"/>
            </w:tcBorders>
            <w:shd w:val="clear" w:color="auto" w:fill="auto"/>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color w:val="000000"/>
                <w:lang w:val="en-GB" w:eastAsia="zh-CN"/>
              </w:rPr>
              <w:t>Lower</w:t>
            </w:r>
          </w:p>
        </w:tc>
        <w:tc>
          <w:tcPr>
            <w:tcW w:w="581" w:type="pct"/>
            <w:tcBorders>
              <w:top w:val="single" w:color="000000" w:sz="8" w:space="0"/>
              <w:bottom w:val="single" w:color="auto" w:sz="8" w:space="0"/>
            </w:tcBorders>
            <w:shd w:val="clear" w:color="auto" w:fill="auto"/>
            <w:vAlign w:val="center"/>
          </w:tcPr>
          <w:p>
            <w:pPr>
              <w:adjustRightInd w:val="0"/>
              <w:snapToGrid w:val="0"/>
              <w:spacing w:line="360" w:lineRule="auto"/>
              <w:jc w:val="both"/>
              <w:rPr>
                <w:rFonts w:ascii="Book Antiqua" w:hAnsi="Book Antiqua" w:eastAsia="宋体"/>
                <w:b/>
                <w:bCs/>
                <w:lang w:val="en-GB" w:eastAsia="zh-CN"/>
              </w:rPr>
            </w:pPr>
            <w:r>
              <w:rPr>
                <w:rFonts w:ascii="Book Antiqua" w:hAnsi="Book Antiqua" w:eastAsia="宋体"/>
                <w:b/>
                <w:bCs/>
                <w:color w:val="000000"/>
                <w:lang w:val="en-GB" w:eastAsia="zh-CN"/>
              </w:rPr>
              <w:t>Upper</w:t>
            </w:r>
          </w:p>
        </w:tc>
        <w:tc>
          <w:tcPr>
            <w:tcW w:w="614" w:type="pct"/>
            <w:vMerge w:val="continue"/>
            <w:tcBorders>
              <w:top w:val="single" w:color="000000" w:sz="8" w:space="0"/>
              <w:bottom w:val="single" w:color="auto" w:sz="8" w:space="0"/>
            </w:tcBorders>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restar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PF (m</w:t>
            </w:r>
            <w:r>
              <w:rPr>
                <w:rFonts w:hint="eastAsia" w:ascii="Book Antiqua" w:hAnsi="Book Antiqua" w:eastAsia="宋体"/>
                <w:color w:val="000000"/>
                <w:lang w:val="en-GB" w:eastAsia="zh-CN"/>
              </w:rPr>
              <w:t>L</w:t>
            </w:r>
            <w:r>
              <w:rPr>
                <w:rFonts w:ascii="Book Antiqua" w:hAnsi="Book Antiqua" w:eastAsia="宋体"/>
                <w:color w:val="000000"/>
                <w:lang w:val="en-GB" w:eastAsia="zh-CN"/>
              </w:rPr>
              <w:t>/min/100</w:t>
            </w:r>
            <w:r>
              <w:rPr>
                <w:rFonts w:hint="eastAsia" w:ascii="Book Antiqua" w:hAnsi="Book Antiqua" w:eastAsia="宋体"/>
                <w:color w:val="000000"/>
                <w:lang w:val="en-GB" w:eastAsia="zh-CN"/>
              </w:rPr>
              <w:t xml:space="preserve"> </w:t>
            </w:r>
            <w:r>
              <w:rPr>
                <w:rFonts w:ascii="Book Antiqua" w:hAnsi="Book Antiqua" w:eastAsia="宋体"/>
                <w:color w:val="000000"/>
                <w:lang w:val="en-GB" w:eastAsia="zh-CN"/>
              </w:rPr>
              <w:t>m</w:t>
            </w:r>
            <w:r>
              <w:rPr>
                <w:rFonts w:hint="eastAsia" w:ascii="Book Antiqua" w:hAnsi="Book Antiqua" w:eastAsia="宋体"/>
                <w:color w:val="000000"/>
                <w:lang w:val="en-GB" w:eastAsia="zh-CN"/>
              </w:rPr>
              <w:t>L</w:t>
            </w:r>
            <w:r>
              <w:rPr>
                <w:rFonts w:ascii="Book Antiqua" w:hAnsi="Book Antiqua" w:eastAsia="宋体"/>
                <w:color w:val="000000"/>
                <w:lang w:val="en-GB" w:eastAsia="zh-CN"/>
              </w:rPr>
              <w:t>)</w:t>
            </w:r>
          </w:p>
        </w:tc>
        <w:tc>
          <w:tcPr>
            <w:tcW w:w="1004" w:type="pc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Carcinoma</w:t>
            </w:r>
          </w:p>
        </w:tc>
        <w:tc>
          <w:tcPr>
            <w:tcW w:w="305" w:type="pc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30</w:t>
            </w:r>
          </w:p>
        </w:tc>
        <w:tc>
          <w:tcPr>
            <w:tcW w:w="853" w:type="pc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135.54</w:t>
            </w:r>
            <w:r>
              <w:rPr>
                <w:rFonts w:hint="eastAsia" w:ascii="Book Antiqua" w:hAnsi="Book Antiqua" w:eastAsia="宋体"/>
                <w:lang w:eastAsia="zh-CN"/>
              </w:rPr>
              <w:t xml:space="preserve"> </w:t>
            </w:r>
            <w:bookmarkStart w:id="101" w:name="OLE_LINK99"/>
            <w:r>
              <w:rPr>
                <w:rFonts w:ascii="Book Antiqua" w:hAnsi="Book Antiqua" w:eastAsia="宋体"/>
                <w:bCs/>
                <w:lang w:val="en-GB" w:eastAsia="zh-CN"/>
              </w:rPr>
              <w:t>±</w:t>
            </w:r>
            <w:r>
              <w:rPr>
                <w:rFonts w:hint="eastAsia" w:ascii="Book Antiqua" w:hAnsi="Book Antiqua" w:eastAsia="宋体"/>
                <w:b/>
                <w:bCs/>
                <w:lang w:val="en-GB" w:eastAsia="zh-CN"/>
              </w:rPr>
              <w:t xml:space="preserve"> </w:t>
            </w:r>
            <w:bookmarkEnd w:id="101"/>
            <w:r>
              <w:rPr>
                <w:rFonts w:ascii="Book Antiqua" w:hAnsi="Book Antiqua" w:eastAsia="宋体"/>
                <w:lang w:eastAsia="zh-CN"/>
              </w:rPr>
              <w:t>46.58</w:t>
            </w:r>
          </w:p>
        </w:tc>
        <w:tc>
          <w:tcPr>
            <w:tcW w:w="529" w:type="pc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118.15</w:t>
            </w:r>
          </w:p>
        </w:tc>
        <w:tc>
          <w:tcPr>
            <w:tcW w:w="581" w:type="pc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152.93</w:t>
            </w:r>
          </w:p>
        </w:tc>
        <w:tc>
          <w:tcPr>
            <w:tcW w:w="614" w:type="pct"/>
            <w:vMerge w:val="restart"/>
            <w:tcBorders>
              <w:top w:val="single" w:color="auto" w:sz="8" w:space="0"/>
              <w:bottom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i/>
                <w:color w:val="000000"/>
                <w:lang w:val="en-GB" w:eastAsia="zh-CN"/>
              </w:rPr>
              <w:t>P</w:t>
            </w:r>
            <w:r>
              <w:rPr>
                <w:rFonts w:hint="eastAsia" w:ascii="Book Antiqua" w:hAnsi="Book Antiqua" w:eastAsia="宋体"/>
                <w:i/>
                <w:color w:val="000000"/>
                <w:lang w:val="en-GB" w:eastAsia="zh-CN"/>
              </w:rPr>
              <w:t xml:space="preserve"> </w:t>
            </w:r>
            <w:r>
              <w:rPr>
                <w:rFonts w:ascii="Book Antiqua" w:hAnsi="Book Antiqua" w:eastAsia="宋体"/>
                <w:color w:val="000000"/>
                <w:lang w:val="en-GB" w:eastAsia="zh-CN"/>
              </w:rPr>
              <w:t>=</w:t>
            </w:r>
            <w:r>
              <w:rPr>
                <w:rFonts w:hint="eastAsia" w:ascii="Book Antiqua" w:hAnsi="Book Antiqua" w:eastAsia="宋体"/>
                <w:color w:val="000000"/>
                <w:lang w:val="en-GB" w:eastAsia="zh-CN"/>
              </w:rPr>
              <w:t xml:space="preserve"> </w:t>
            </w:r>
            <w:r>
              <w:rPr>
                <w:rFonts w:ascii="Book Antiqua" w:hAnsi="Book Antiqua" w:eastAsia="宋体"/>
                <w:color w:val="000000"/>
                <w:lang w:val="en-GB" w:eastAsia="zh-CN"/>
              </w:rPr>
              <w:t>0.435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tcBorders>
              <w:top w:val="nil"/>
            </w:tcBorders>
            <w:vAlign w:val="center"/>
          </w:tcPr>
          <w:p>
            <w:pPr>
              <w:adjustRightInd w:val="0"/>
              <w:snapToGrid w:val="0"/>
              <w:spacing w:line="360" w:lineRule="auto"/>
              <w:jc w:val="both"/>
              <w:rPr>
                <w:rFonts w:ascii="Book Antiqua" w:hAnsi="Book Antiqua" w:eastAsia="宋体"/>
                <w:lang w:val="en-GB" w:eastAsia="zh-CN"/>
              </w:rPr>
            </w:pPr>
          </w:p>
        </w:tc>
        <w:tc>
          <w:tcPr>
            <w:tcW w:w="1004" w:type="pct"/>
            <w:tcBorders>
              <w:top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Adenomatous hyperplasia</w:t>
            </w:r>
          </w:p>
        </w:tc>
        <w:tc>
          <w:tcPr>
            <w:tcW w:w="305" w:type="pct"/>
            <w:tcBorders>
              <w:top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6</w:t>
            </w:r>
          </w:p>
        </w:tc>
        <w:tc>
          <w:tcPr>
            <w:tcW w:w="853" w:type="pct"/>
            <w:tcBorders>
              <w:top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121.51</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40.56</w:t>
            </w:r>
          </w:p>
        </w:tc>
        <w:tc>
          <w:tcPr>
            <w:tcW w:w="529" w:type="pct"/>
            <w:tcBorders>
              <w:top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78.94</w:t>
            </w:r>
          </w:p>
        </w:tc>
        <w:tc>
          <w:tcPr>
            <w:tcW w:w="581" w:type="pct"/>
            <w:tcBorders>
              <w:top w:val="nil"/>
            </w:tcBorders>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164.08</w:t>
            </w:r>
          </w:p>
        </w:tc>
        <w:tc>
          <w:tcPr>
            <w:tcW w:w="614" w:type="pct"/>
            <w:vMerge w:val="continue"/>
            <w:tcBorders>
              <w:top w:val="nil"/>
            </w:tcBorders>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vAlign w:val="center"/>
          </w:tcPr>
          <w:p>
            <w:pPr>
              <w:adjustRightInd w:val="0"/>
              <w:snapToGrid w:val="0"/>
              <w:spacing w:line="360" w:lineRule="auto"/>
              <w:jc w:val="both"/>
              <w:rPr>
                <w:rFonts w:ascii="Book Antiqua" w:hAnsi="Book Antiqua" w:eastAsia="宋体"/>
                <w:lang w:val="en-GB" w:eastAsia="zh-CN"/>
              </w:rPr>
            </w:pP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Organizing pneumonia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11</w:t>
            </w:r>
          </w:p>
        </w:tc>
        <w:tc>
          <w:tcPr>
            <w:tcW w:w="853"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116.06</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43.15</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87.07</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145.05</w:t>
            </w:r>
          </w:p>
        </w:tc>
        <w:tc>
          <w:tcPr>
            <w:tcW w:w="614" w:type="pct"/>
            <w:vMerge w:val="continue"/>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restar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BF (m</w:t>
            </w:r>
            <w:r>
              <w:rPr>
                <w:rFonts w:hint="eastAsia" w:ascii="Book Antiqua" w:hAnsi="Book Antiqua" w:eastAsia="宋体"/>
                <w:color w:val="000000"/>
                <w:lang w:val="en-GB" w:eastAsia="zh-CN"/>
              </w:rPr>
              <w:t>L</w:t>
            </w:r>
            <w:r>
              <w:rPr>
                <w:rFonts w:ascii="Book Antiqua" w:hAnsi="Book Antiqua" w:eastAsia="宋体"/>
                <w:color w:val="000000"/>
                <w:lang w:val="en-GB" w:eastAsia="zh-CN"/>
              </w:rPr>
              <w:t>/min/100</w:t>
            </w:r>
            <w:r>
              <w:rPr>
                <w:rFonts w:hint="eastAsia" w:ascii="Book Antiqua" w:hAnsi="Book Antiqua" w:eastAsia="宋体"/>
                <w:color w:val="000000"/>
                <w:lang w:val="en-GB" w:eastAsia="zh-CN"/>
              </w:rPr>
              <w:t xml:space="preserve"> </w:t>
            </w:r>
            <w:r>
              <w:rPr>
                <w:rFonts w:ascii="Book Antiqua" w:hAnsi="Book Antiqua" w:eastAsia="宋体"/>
                <w:color w:val="000000"/>
                <w:lang w:val="en-GB" w:eastAsia="zh-CN"/>
              </w:rPr>
              <w:t>m</w:t>
            </w:r>
            <w:r>
              <w:rPr>
                <w:rFonts w:hint="eastAsia" w:ascii="Book Antiqua" w:hAnsi="Book Antiqua" w:eastAsia="宋体"/>
                <w:color w:val="000000"/>
                <w:lang w:val="en-GB" w:eastAsia="zh-CN"/>
              </w:rPr>
              <w:t>L</w:t>
            </w:r>
            <w:r>
              <w:rPr>
                <w:rFonts w:ascii="Book Antiqua" w:hAnsi="Book Antiqua" w:eastAsia="宋体"/>
                <w:color w:val="000000"/>
                <w:lang w:val="en-GB" w:eastAsia="zh-CN"/>
              </w:rPr>
              <w:t>)</w:t>
            </w: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Carcinoma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30</w:t>
            </w:r>
          </w:p>
        </w:tc>
        <w:tc>
          <w:tcPr>
            <w:tcW w:w="853"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33.21</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12.12</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28.68</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37.74</w:t>
            </w:r>
          </w:p>
        </w:tc>
        <w:tc>
          <w:tcPr>
            <w:tcW w:w="614" w:type="pct"/>
            <w:vMerge w:val="restar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i/>
                <w:color w:val="000000"/>
                <w:lang w:val="en-GB" w:eastAsia="zh-CN"/>
              </w:rPr>
              <w:t>P</w:t>
            </w:r>
            <w:r>
              <w:rPr>
                <w:rFonts w:hint="eastAsia" w:ascii="Book Antiqua" w:hAnsi="Book Antiqua" w:eastAsia="宋体"/>
                <w:i/>
                <w:color w:val="000000"/>
                <w:lang w:val="en-GB" w:eastAsia="zh-CN"/>
              </w:rPr>
              <w:t xml:space="preserve"> </w:t>
            </w:r>
            <w:r>
              <w:rPr>
                <w:rFonts w:ascii="Book Antiqua" w:hAnsi="Book Antiqua" w:eastAsia="宋体"/>
                <w:color w:val="000000"/>
                <w:lang w:val="en-GB" w:eastAsia="zh-CN"/>
              </w:rPr>
              <w:t>=</w:t>
            </w:r>
            <w:r>
              <w:rPr>
                <w:rFonts w:hint="eastAsia" w:ascii="Book Antiqua" w:hAnsi="Book Antiqua" w:eastAsia="宋体"/>
                <w:color w:val="000000"/>
                <w:lang w:val="en-GB" w:eastAsia="zh-CN"/>
              </w:rPr>
              <w:t xml:space="preserve"> </w:t>
            </w:r>
            <w:r>
              <w:rPr>
                <w:rFonts w:ascii="Book Antiqua" w:hAnsi="Book Antiqua" w:eastAsia="宋体"/>
                <w:color w:val="000000"/>
                <w:lang w:val="en-GB" w:eastAsia="zh-CN"/>
              </w:rPr>
              <w:t>0.079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vAlign w:val="center"/>
          </w:tcPr>
          <w:p>
            <w:pPr>
              <w:adjustRightInd w:val="0"/>
              <w:snapToGrid w:val="0"/>
              <w:spacing w:line="360" w:lineRule="auto"/>
              <w:jc w:val="both"/>
              <w:rPr>
                <w:rFonts w:ascii="Book Antiqua" w:hAnsi="Book Antiqua" w:eastAsia="宋体"/>
                <w:lang w:val="en-GB" w:eastAsia="zh-CN"/>
              </w:rPr>
            </w:pP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Adenomatous hyperplasia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6</w:t>
            </w:r>
          </w:p>
        </w:tc>
        <w:tc>
          <w:tcPr>
            <w:tcW w:w="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26.55</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4.08</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22.26</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30.83</w:t>
            </w:r>
          </w:p>
        </w:tc>
        <w:tc>
          <w:tcPr>
            <w:tcW w:w="614" w:type="pct"/>
            <w:vMerge w:val="continue"/>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vAlign w:val="center"/>
          </w:tcPr>
          <w:p>
            <w:pPr>
              <w:adjustRightInd w:val="0"/>
              <w:snapToGrid w:val="0"/>
              <w:spacing w:line="360" w:lineRule="auto"/>
              <w:jc w:val="both"/>
              <w:rPr>
                <w:rFonts w:ascii="Book Antiqua" w:hAnsi="Book Antiqua" w:eastAsia="宋体"/>
                <w:lang w:val="en-GB" w:eastAsia="zh-CN"/>
              </w:rPr>
            </w:pP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Organizing pneumonia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11</w:t>
            </w:r>
          </w:p>
        </w:tc>
        <w:tc>
          <w:tcPr>
            <w:tcW w:w="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24.96</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9.90</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18.31</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31.61</w:t>
            </w:r>
          </w:p>
        </w:tc>
        <w:tc>
          <w:tcPr>
            <w:tcW w:w="614" w:type="pct"/>
            <w:vMerge w:val="continue"/>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restar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PI (100%)</w:t>
            </w: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Carcinoma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30</w:t>
            </w:r>
          </w:p>
        </w:tc>
        <w:tc>
          <w:tcPr>
            <w:tcW w:w="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0.79</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0.09</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0.75</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0.82</w:t>
            </w:r>
          </w:p>
        </w:tc>
        <w:tc>
          <w:tcPr>
            <w:tcW w:w="614" w:type="pct"/>
            <w:vMerge w:val="restar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i/>
                <w:color w:val="000000"/>
                <w:lang w:val="en-GB" w:eastAsia="zh-CN"/>
              </w:rPr>
              <w:t>P</w:t>
            </w:r>
            <w:r>
              <w:rPr>
                <w:rFonts w:hint="eastAsia" w:ascii="Book Antiqua" w:hAnsi="Book Antiqua" w:eastAsia="宋体"/>
                <w:i/>
                <w:color w:val="000000"/>
                <w:lang w:val="en-GB" w:eastAsia="zh-CN"/>
              </w:rPr>
              <w:t xml:space="preserve"> </w:t>
            </w:r>
            <w:r>
              <w:rPr>
                <w:rFonts w:ascii="Book Antiqua" w:hAnsi="Book Antiqua" w:eastAsia="宋体"/>
                <w:color w:val="000000"/>
                <w:lang w:val="en-GB" w:eastAsia="zh-CN"/>
              </w:rPr>
              <w:t>=</w:t>
            </w:r>
            <w:r>
              <w:rPr>
                <w:rFonts w:hint="eastAsia" w:ascii="Book Antiqua" w:hAnsi="Book Antiqua" w:eastAsia="宋体"/>
                <w:color w:val="000000"/>
                <w:lang w:val="en-GB" w:eastAsia="zh-CN"/>
              </w:rPr>
              <w:t xml:space="preserve"> </w:t>
            </w:r>
            <w:r>
              <w:rPr>
                <w:rFonts w:ascii="Book Antiqua" w:hAnsi="Book Antiqua" w:eastAsia="宋体"/>
                <w:color w:val="000000"/>
                <w:lang w:val="en-GB" w:eastAsia="zh-CN"/>
              </w:rPr>
              <w:t>0.657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vAlign w:val="center"/>
          </w:tcPr>
          <w:p>
            <w:pPr>
              <w:adjustRightInd w:val="0"/>
              <w:snapToGrid w:val="0"/>
              <w:spacing w:line="360" w:lineRule="auto"/>
              <w:jc w:val="both"/>
              <w:rPr>
                <w:rFonts w:ascii="Book Antiqua" w:hAnsi="Book Antiqua" w:eastAsia="宋体"/>
                <w:lang w:val="en-GB" w:eastAsia="zh-CN"/>
              </w:rPr>
            </w:pP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Adenomatous hyperplasia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6</w:t>
            </w:r>
          </w:p>
        </w:tc>
        <w:tc>
          <w:tcPr>
            <w:tcW w:w="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0.80</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0.07</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0.73</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0.88</w:t>
            </w:r>
          </w:p>
        </w:tc>
        <w:tc>
          <w:tcPr>
            <w:tcW w:w="614" w:type="pct"/>
            <w:vMerge w:val="continue"/>
            <w:vAlign w:val="center"/>
          </w:tcPr>
          <w:p>
            <w:pPr>
              <w:adjustRightInd w:val="0"/>
              <w:snapToGrid w:val="0"/>
              <w:spacing w:line="360" w:lineRule="auto"/>
              <w:jc w:val="both"/>
              <w:rPr>
                <w:rFonts w:ascii="Book Antiqua" w:hAnsi="Book Antiqua" w:eastAsia="宋体"/>
                <w:lang w:val="en-GB" w:eastAsia="zh-CN"/>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4" w:type="pct"/>
            <w:vMerge w:val="continue"/>
            <w:vAlign w:val="center"/>
          </w:tcPr>
          <w:p>
            <w:pPr>
              <w:adjustRightInd w:val="0"/>
              <w:snapToGrid w:val="0"/>
              <w:spacing w:line="360" w:lineRule="auto"/>
              <w:jc w:val="both"/>
              <w:rPr>
                <w:rFonts w:ascii="Book Antiqua" w:hAnsi="Book Antiqua" w:eastAsia="宋体"/>
                <w:lang w:val="en-GB" w:eastAsia="zh-CN"/>
              </w:rPr>
            </w:pPr>
          </w:p>
        </w:tc>
        <w:tc>
          <w:tcPr>
            <w:tcW w:w="1004"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Organizing pneumonia</w:t>
            </w:r>
          </w:p>
        </w:tc>
        <w:tc>
          <w:tcPr>
            <w:tcW w:w="305"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color w:val="000000"/>
                <w:lang w:val="en-GB" w:eastAsia="zh-CN"/>
              </w:rPr>
              <w:t>11</w:t>
            </w:r>
          </w:p>
        </w:tc>
        <w:tc>
          <w:tcPr>
            <w:tcW w:w="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0.81</w:t>
            </w:r>
            <w:r>
              <w:rPr>
                <w:rFonts w:hint="eastAsia" w:ascii="Book Antiqua" w:hAnsi="Book Antiqua" w:eastAsia="宋体"/>
                <w:lang w:val="en-GB" w:eastAsia="zh-CN"/>
              </w:rPr>
              <w:t xml:space="preserve"> </w:t>
            </w:r>
            <w:r>
              <w:rPr>
                <w:rFonts w:ascii="Book Antiqua" w:hAnsi="Book Antiqua" w:eastAsia="宋体"/>
                <w:bCs/>
                <w:lang w:val="en-GB" w:eastAsia="zh-CN"/>
              </w:rPr>
              <w:t>±</w:t>
            </w:r>
            <w:r>
              <w:rPr>
                <w:rFonts w:hint="eastAsia" w:ascii="Book Antiqua" w:hAnsi="Book Antiqua" w:eastAsia="宋体"/>
                <w:b/>
                <w:bCs/>
                <w:lang w:val="en-GB" w:eastAsia="zh-CN"/>
              </w:rPr>
              <w:t xml:space="preserve"> </w:t>
            </w:r>
            <w:r>
              <w:rPr>
                <w:rFonts w:ascii="Book Antiqua" w:hAnsi="Book Antiqua" w:eastAsia="宋体"/>
                <w:lang w:eastAsia="zh-CN"/>
              </w:rPr>
              <w:t>0.69</w:t>
            </w:r>
          </w:p>
        </w:tc>
        <w:tc>
          <w:tcPr>
            <w:tcW w:w="529"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0.76</w:t>
            </w:r>
          </w:p>
        </w:tc>
        <w:tc>
          <w:tcPr>
            <w:tcW w:w="581" w:type="pct"/>
            <w:shd w:val="clear" w:color="auto" w:fill="auto"/>
            <w:vAlign w:val="center"/>
          </w:tcPr>
          <w:p>
            <w:pPr>
              <w:adjustRightInd w:val="0"/>
              <w:snapToGrid w:val="0"/>
              <w:spacing w:line="360" w:lineRule="auto"/>
              <w:jc w:val="both"/>
              <w:rPr>
                <w:rFonts w:ascii="Book Antiqua" w:hAnsi="Book Antiqua" w:eastAsia="宋体"/>
                <w:lang w:val="en-GB" w:eastAsia="zh-CN"/>
              </w:rPr>
            </w:pPr>
            <w:r>
              <w:rPr>
                <w:rFonts w:ascii="Book Antiqua" w:hAnsi="Book Antiqua" w:eastAsia="宋体"/>
                <w:lang w:eastAsia="zh-CN"/>
              </w:rPr>
              <w:t>0.86</w:t>
            </w:r>
          </w:p>
        </w:tc>
        <w:tc>
          <w:tcPr>
            <w:tcW w:w="614" w:type="pct"/>
            <w:vMerge w:val="continue"/>
            <w:vAlign w:val="center"/>
          </w:tcPr>
          <w:p>
            <w:pPr>
              <w:adjustRightInd w:val="0"/>
              <w:snapToGrid w:val="0"/>
              <w:spacing w:line="360" w:lineRule="auto"/>
              <w:jc w:val="both"/>
              <w:rPr>
                <w:rFonts w:ascii="Book Antiqua" w:hAnsi="Book Antiqua" w:eastAsia="宋体"/>
                <w:lang w:val="en-GB" w:eastAsia="zh-CN"/>
              </w:rPr>
            </w:pPr>
          </w:p>
        </w:tc>
      </w:tr>
    </w:tbl>
    <w:p>
      <w:pPr>
        <w:tabs>
          <w:tab w:val="center" w:pos="6422"/>
        </w:tabs>
        <w:autoSpaceDE w:val="0"/>
        <w:autoSpaceDN w:val="0"/>
        <w:adjustRightInd w:val="0"/>
        <w:snapToGrid w:val="0"/>
        <w:spacing w:line="360" w:lineRule="auto"/>
        <w:jc w:val="both"/>
        <w:rPr>
          <w:rFonts w:hint="eastAsia" w:ascii="Book Antiqua" w:hAnsi="Book Antiqua"/>
          <w:lang w:val="en-GB" w:eastAsia="zh-CN"/>
        </w:rPr>
        <w:sectPr>
          <w:pgSz w:w="12240" w:h="15840"/>
          <w:pgMar w:top="1440" w:right="1440" w:bottom="1440" w:left="1440" w:header="720" w:footer="720" w:gutter="0"/>
          <w:cols w:space="720" w:num="1"/>
          <w:docGrid w:linePitch="360" w:charSpace="0"/>
        </w:sectPr>
      </w:pPr>
      <w:r>
        <w:rPr>
          <w:rFonts w:ascii="Book Antiqua" w:hAnsi="Book Antiqua"/>
          <w:lang w:val="en-GB"/>
        </w:rPr>
        <w:t xml:space="preserve">PF: </w:t>
      </w:r>
      <w:r>
        <w:rPr>
          <w:rFonts w:hint="eastAsia" w:ascii="Book Antiqua" w:hAnsi="Book Antiqua"/>
          <w:lang w:val="en-GB" w:eastAsia="zh-CN"/>
        </w:rPr>
        <w:t>P</w:t>
      </w:r>
      <w:r>
        <w:rPr>
          <w:rFonts w:ascii="Book Antiqua" w:hAnsi="Book Antiqua"/>
          <w:lang w:val="en-GB"/>
        </w:rPr>
        <w:t xml:space="preserve">ulmonary flow; BF: </w:t>
      </w:r>
      <w:r>
        <w:rPr>
          <w:rFonts w:hint="eastAsia" w:ascii="Book Antiqua" w:hAnsi="Book Antiqua"/>
          <w:lang w:val="en-GB" w:eastAsia="zh-CN"/>
        </w:rPr>
        <w:t>B</w:t>
      </w:r>
      <w:r>
        <w:rPr>
          <w:rFonts w:ascii="Book Antiqua" w:hAnsi="Book Antiqua"/>
          <w:lang w:val="en-GB"/>
        </w:rPr>
        <w:t xml:space="preserve">ronchial flow; PI: </w:t>
      </w:r>
      <w:r>
        <w:rPr>
          <w:rFonts w:hint="eastAsia" w:ascii="Book Antiqua" w:hAnsi="Book Antiqua"/>
          <w:lang w:val="en-GB" w:eastAsia="zh-CN"/>
        </w:rPr>
        <w:t>P</w:t>
      </w:r>
      <w:r>
        <w:rPr>
          <w:rFonts w:ascii="Book Antiqua" w:hAnsi="Book Antiqua"/>
          <w:lang w:val="en-GB"/>
        </w:rPr>
        <w:t>erfusion index</w:t>
      </w:r>
      <w:r>
        <w:rPr>
          <w:rFonts w:hint="eastAsia" w:ascii="Book Antiqua" w:hAnsi="Book Antiqua"/>
          <w:lang w:val="en-GB"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tabs>
          <w:tab w:val="center" w:pos="6422"/>
        </w:tabs>
        <w:autoSpaceDE w:val="0"/>
        <w:autoSpaceDN w:val="0"/>
        <w:adjustRightInd w:val="0"/>
        <w:snapToGrid w:val="0"/>
        <w:spacing w:line="360" w:lineRule="auto"/>
        <w:jc w:val="both"/>
        <w:rPr>
          <w:rFonts w:hint="eastAsia" w:ascii="Book Antiqua" w:hAnsi="Book Antiqua"/>
          <w:lang w:val="en-GB"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629070"/>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25</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04B"/>
    <w:rsid w:val="00012AC2"/>
    <w:rsid w:val="00042E37"/>
    <w:rsid w:val="00050335"/>
    <w:rsid w:val="000A31C3"/>
    <w:rsid w:val="00100EF1"/>
    <w:rsid w:val="00131043"/>
    <w:rsid w:val="00185A87"/>
    <w:rsid w:val="001D528C"/>
    <w:rsid w:val="001E26B1"/>
    <w:rsid w:val="001F26CC"/>
    <w:rsid w:val="00233BD8"/>
    <w:rsid w:val="00235CFE"/>
    <w:rsid w:val="00250ADC"/>
    <w:rsid w:val="00252BF1"/>
    <w:rsid w:val="002636F0"/>
    <w:rsid w:val="002A3D60"/>
    <w:rsid w:val="002C63EA"/>
    <w:rsid w:val="00330E91"/>
    <w:rsid w:val="003368A8"/>
    <w:rsid w:val="0035442E"/>
    <w:rsid w:val="003D0681"/>
    <w:rsid w:val="003E6E3A"/>
    <w:rsid w:val="003E7252"/>
    <w:rsid w:val="003F1ABA"/>
    <w:rsid w:val="00414FDF"/>
    <w:rsid w:val="00445172"/>
    <w:rsid w:val="00462DF8"/>
    <w:rsid w:val="004A58EF"/>
    <w:rsid w:val="005353D5"/>
    <w:rsid w:val="00552461"/>
    <w:rsid w:val="005668C5"/>
    <w:rsid w:val="005864D2"/>
    <w:rsid w:val="00587649"/>
    <w:rsid w:val="005A1421"/>
    <w:rsid w:val="005D4A93"/>
    <w:rsid w:val="005E10E5"/>
    <w:rsid w:val="005E4511"/>
    <w:rsid w:val="005F16B1"/>
    <w:rsid w:val="00613AF2"/>
    <w:rsid w:val="00616079"/>
    <w:rsid w:val="00661E6C"/>
    <w:rsid w:val="0066265C"/>
    <w:rsid w:val="00676480"/>
    <w:rsid w:val="00695420"/>
    <w:rsid w:val="006B4ED1"/>
    <w:rsid w:val="006D0536"/>
    <w:rsid w:val="006F74C9"/>
    <w:rsid w:val="00721D32"/>
    <w:rsid w:val="007247D3"/>
    <w:rsid w:val="007459E2"/>
    <w:rsid w:val="007B132E"/>
    <w:rsid w:val="007B2DBA"/>
    <w:rsid w:val="007B39F7"/>
    <w:rsid w:val="007D7627"/>
    <w:rsid w:val="00804EFA"/>
    <w:rsid w:val="008427D0"/>
    <w:rsid w:val="008A500B"/>
    <w:rsid w:val="008F274C"/>
    <w:rsid w:val="00907DE1"/>
    <w:rsid w:val="00917AD3"/>
    <w:rsid w:val="00945959"/>
    <w:rsid w:val="00961033"/>
    <w:rsid w:val="00967E55"/>
    <w:rsid w:val="00975291"/>
    <w:rsid w:val="009851A3"/>
    <w:rsid w:val="009E53E1"/>
    <w:rsid w:val="009E7648"/>
    <w:rsid w:val="00A21466"/>
    <w:rsid w:val="00A22DAF"/>
    <w:rsid w:val="00A37572"/>
    <w:rsid w:val="00A63F15"/>
    <w:rsid w:val="00A77B3E"/>
    <w:rsid w:val="00AC1BFE"/>
    <w:rsid w:val="00AD2D44"/>
    <w:rsid w:val="00AF5DCC"/>
    <w:rsid w:val="00B32980"/>
    <w:rsid w:val="00B446EF"/>
    <w:rsid w:val="00B5755C"/>
    <w:rsid w:val="00B57808"/>
    <w:rsid w:val="00B743AD"/>
    <w:rsid w:val="00B74FB4"/>
    <w:rsid w:val="00B81749"/>
    <w:rsid w:val="00BA0780"/>
    <w:rsid w:val="00BB3C85"/>
    <w:rsid w:val="00BE010C"/>
    <w:rsid w:val="00BF49DB"/>
    <w:rsid w:val="00C25E17"/>
    <w:rsid w:val="00C25FA6"/>
    <w:rsid w:val="00CA2A55"/>
    <w:rsid w:val="00CD6705"/>
    <w:rsid w:val="00CE7CFD"/>
    <w:rsid w:val="00CF1CE8"/>
    <w:rsid w:val="00CF5E0E"/>
    <w:rsid w:val="00D0770C"/>
    <w:rsid w:val="00D44D2A"/>
    <w:rsid w:val="00D57318"/>
    <w:rsid w:val="00D575DA"/>
    <w:rsid w:val="00D77973"/>
    <w:rsid w:val="00DC61E2"/>
    <w:rsid w:val="00DE3160"/>
    <w:rsid w:val="00DF143A"/>
    <w:rsid w:val="00E372FA"/>
    <w:rsid w:val="00E438D5"/>
    <w:rsid w:val="00E448EF"/>
    <w:rsid w:val="00E44A36"/>
    <w:rsid w:val="00E44A43"/>
    <w:rsid w:val="00E46DE1"/>
    <w:rsid w:val="00E7341D"/>
    <w:rsid w:val="00E82F24"/>
    <w:rsid w:val="00E93F09"/>
    <w:rsid w:val="00EB62BA"/>
    <w:rsid w:val="00EC3F3B"/>
    <w:rsid w:val="00ED6629"/>
    <w:rsid w:val="00EE7803"/>
    <w:rsid w:val="00EF46F7"/>
    <w:rsid w:val="00F1267A"/>
    <w:rsid w:val="00F12C2C"/>
    <w:rsid w:val="00F13FDB"/>
    <w:rsid w:val="00F359F5"/>
    <w:rsid w:val="00F36043"/>
    <w:rsid w:val="00F454C6"/>
    <w:rsid w:val="00F54894"/>
    <w:rsid w:val="00F7423F"/>
    <w:rsid w:val="00F82520"/>
    <w:rsid w:val="00F86B1F"/>
    <w:rsid w:val="110B00BD"/>
    <w:rsid w:val="14504752"/>
    <w:rsid w:val="25633857"/>
    <w:rsid w:val="2AC47ECB"/>
    <w:rsid w:val="31AD4D17"/>
    <w:rsid w:val="4D6B42DC"/>
    <w:rsid w:val="54921F3C"/>
    <w:rsid w:val="652A7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2"/>
    <w:qFormat/>
    <w:uiPriority w:val="99"/>
    <w:pPr>
      <w:tabs>
        <w:tab w:val="center" w:pos="4153"/>
        <w:tab w:val="right" w:pos="8306"/>
      </w:tabs>
      <w:snapToGrid w:val="0"/>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qFormat/>
    <w:uiPriority w:val="0"/>
    <w:rPr>
      <w:rFonts w:ascii="Calibri" w:hAnsi="Calibri" w:eastAsia="宋体"/>
      <w:lang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customStyle="1" w:styleId="10">
    <w:name w:val="批注框文本 字符"/>
    <w:basedOn w:val="8"/>
    <w:link w:val="2"/>
    <w:qFormat/>
    <w:uiPriority w:val="0"/>
    <w:rPr>
      <w:sz w:val="18"/>
      <w:szCs w:val="18"/>
    </w:rPr>
  </w:style>
  <w:style w:type="character" w:customStyle="1" w:styleId="11">
    <w:name w:val="页眉 字符"/>
    <w:basedOn w:val="8"/>
    <w:link w:val="4"/>
    <w:qFormat/>
    <w:uiPriority w:val="0"/>
    <w:rPr>
      <w:sz w:val="18"/>
      <w:szCs w:val="18"/>
    </w:rPr>
  </w:style>
  <w:style w:type="character" w:customStyle="1" w:styleId="12">
    <w:name w:val="页脚 字符"/>
    <w:basedOn w:val="8"/>
    <w:link w:val="3"/>
    <w:qFormat/>
    <w:uiPriority w:val="99"/>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5301</Words>
  <Characters>30222</Characters>
  <Lines>251</Lines>
  <Paragraphs>70</Paragraphs>
  <TotalTime>4</TotalTime>
  <ScaleCrop>false</ScaleCrop>
  <LinksUpToDate>false</LinksUpToDate>
  <CharactersWithSpaces>35453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2022-06-16T05:14:00Z</dcterms:created>
  <dc:creator>张晗</dc:creator>
  <cp:lastModifiedBy>千</cp:lastModifiedBy>
  <dcterms:modified xsi:type="dcterms:W3CDTF">2022-06-28T12:57:17Z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3358E504A4CB46AE9BBC18D5094C47BB</vt:lpwstr>
  </property>
</Properties>
</file>