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Hepatology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73697</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Observational Study</w:t>
      </w:r>
    </w:p>
    <w:p>
      <w:pPr>
        <w:spacing w:line="360" w:lineRule="auto"/>
        <w:jc w:val="both"/>
        <w:rPr>
          <w:rFonts w:ascii="Book Antiqua" w:hAnsi="Book Antiqua"/>
        </w:rPr>
      </w:pPr>
      <w:r>
        <w:rPr>
          <w:rFonts w:ascii="Book Antiqua" w:hAnsi="Book Antiqua" w:eastAsia="Book Antiqua" w:cs="Book Antiqua"/>
          <w:b/>
          <w:color w:val="000000"/>
        </w:rPr>
        <w:t>Assessment of resting energy expenditure in patients with cirrhosis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Ferreira </w:t>
      </w:r>
      <w:r>
        <w:rPr>
          <w:rFonts w:ascii="Book Antiqua" w:hAnsi="Book Antiqua" w:eastAsia="Book Antiqua" w:cs="Book Antiqua"/>
          <w:i/>
          <w:color w:val="000000"/>
        </w:rPr>
        <w:t>et al</w:t>
      </w:r>
      <w:r>
        <w:rPr>
          <w:rFonts w:ascii="Book Antiqua" w:hAnsi="Book Antiqua" w:eastAsia="Book Antiqua" w:cs="Book Antiqua"/>
          <w:color w:val="000000"/>
        </w:rPr>
        <w:t>. Energy expenditure in cirrhosis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Shaiane Ferreira, Cláudio Augusto Marroni, Jessica Taina Stein, Roberta Rayn, Ana Cristhina Henz, Natália P Schmidt, Randhall B Carteri, Sabrina Alves Fernandes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Shaiane Ferreira, Cláudio Augusto Marroni, Jessica Taina Stein, Roberta Rayn, Ana Cristhina Henz, Natália P Schmidt, Sabrina Alves Fernandes, </w:t>
      </w:r>
      <w:r>
        <w:rPr>
          <w:rFonts w:ascii="Book Antiqua" w:hAnsi="Book Antiqua" w:eastAsia="Book Antiqua" w:cs="Book Antiqua"/>
          <w:color w:val="000000"/>
        </w:rPr>
        <w:t>Postgraduate Program in Hepatology, Federal University of Health Sciences of Porto Alegre (UFCSPA), Porto Alegre 90050-170, Brazil</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Randhall B Carteri, </w:t>
      </w:r>
      <w:r>
        <w:rPr>
          <w:rFonts w:ascii="Book Antiqua" w:hAnsi="Book Antiqua" w:eastAsia="Book Antiqua" w:cs="Book Antiqua"/>
          <w:color w:val="000000"/>
        </w:rPr>
        <w:t>Department of Nutrition, Centro Universitário Metodista - IPA, Porto Alegre 90420-060, Brazil</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rPr>
      </w:pPr>
      <w:r>
        <w:rPr>
          <w:rFonts w:ascii="Book Antiqua" w:hAnsi="Book Antiqua" w:eastAsia="Book Antiqua" w:cs="Book Antiqua"/>
          <w:b/>
          <w:bCs/>
          <w:color w:val="000000"/>
        </w:rPr>
        <w:t>Randhall B Carteri,</w:t>
      </w:r>
      <w:r>
        <w:rPr>
          <w:rFonts w:ascii="Book Antiqua" w:hAnsi="Book Antiqua" w:eastAsia="Book Antiqua" w:cs="Book Antiqua"/>
          <w:color w:val="000000"/>
        </w:rPr>
        <w:t xml:space="preserve"> Department of Health and Behavior, Catholic University of Pelotas, Pelotas 96015-560, Brazil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Author contributions:</w:t>
      </w:r>
      <w:r>
        <w:rPr>
          <w:rFonts w:ascii="Book Antiqua" w:hAnsi="Book Antiqua" w:eastAsia="Book Antiqua" w:cs="Book Antiqua"/>
          <w:bCs/>
          <w:color w:val="000000"/>
        </w:rPr>
        <w:t xml:space="preserve"> </w:t>
      </w:r>
      <w:r>
        <w:rPr>
          <w:rFonts w:ascii="Book Antiqua" w:hAnsi="Book Antiqua" w:eastAsia="Microsoft YaHei UI"/>
          <w:bCs/>
          <w:color w:val="000000"/>
          <w:shd w:val="clear" w:color="auto" w:fill="FFFFFF"/>
        </w:rPr>
        <w:t>Ferreira S contributed to the conception and design of the study, data collection, statistical analysis and writing of the manuscript; Marroni CA contributed to the conception and design of the study and writing of the manuscript; Stein JT, Henz AC and Rayn RG collected the data; Schmidt NP contributed to the conception and design of the study, data collection; Carteri RB statistical analysis and manuscript writing; Fernandes SA manuscript writing and critical review.</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Sabrina Alves Fernandes, PhD, Postdoc, Research Scientist, </w:t>
      </w:r>
      <w:r>
        <w:rPr>
          <w:rFonts w:ascii="Book Antiqua" w:hAnsi="Book Antiqua" w:eastAsia="Book Antiqua" w:cs="Book Antiqua"/>
          <w:color w:val="000000"/>
        </w:rPr>
        <w:t>Postgraduate Program in Hepatology, Federal University of Health Sciences of Porto Alegre (UFCSPA), Rua Professor Duplan, 72 apto 01, Porto Alegre 90420-030, Brazil. sabrinaafernandes@gmail.com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1,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January 13,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March 26,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April 27,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Malnutrition affects 20% to 50% of patients with cirrhosis. It may be associated with serious complications and has a direct impact on prognosis. Resting energy expenditure (REE) is an important parameter to guide the optimization of therapy and recovery of nutritional status in patients with cirrhosis.</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 xml:space="preserve">However, the REE of patients with cirrhosis is still unclear, casting doubt upon the optimal nutritional management approach.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color w:val="000000"/>
        </w:rPr>
        <w:t>To identify the best method that predicts the REE of cirrhotic patients, using indirect calorimetry (IC) as the gold standard.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 xml:space="preserve">An observational study was performed on 90 patients with cirrhosis. REE was assessed by IC, bioelectrical impedance analysis (BIA), and predictive formulas, which were compared using Bland-Altman plots and the Student’s </w:t>
      </w:r>
      <w:r>
        <w:rPr>
          <w:rFonts w:ascii="Book Antiqua" w:hAnsi="Book Antiqua" w:eastAsia="Book Antiqua" w:cs="Book Antiqua"/>
          <w:i/>
          <w:color w:val="000000"/>
        </w:rPr>
        <w:t>t</w:t>
      </w:r>
      <w:r>
        <w:rPr>
          <w:rFonts w:ascii="Book Antiqua" w:hAnsi="Book Antiqua" w:eastAsia="Book Antiqua" w:cs="Book Antiqua"/>
          <w:color w:val="000000"/>
        </w:rPr>
        <w:t>-test.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 xml:space="preserve">REE values measured by IC (1607.72 ± 257.4 kcal) differed significantly from those determined by all other methods (BIA: 1790.48 ± 352.1 kcal; Harris &amp; Benedict equation: 2373.54 ± 254.9 kcal; IOM equation: 1648.95 ± 185.6 kcal; Cunningham equation: 1764.29 ± 246.2 kcal), except the </w:t>
      </w:r>
      <w:r>
        <w:rPr>
          <w:rFonts w:ascii="Book Antiqua" w:hAnsi="Book Antiqua" w:eastAsia="Book Antiqua" w:cs="Book Antiqua"/>
        </w:rPr>
        <w:t>Food and Agriculture Organization of the United Nations, World Health Organization, and United Nations University (FAO/WHO/UNU)</w:t>
      </w:r>
      <w:r>
        <w:rPr>
          <w:rFonts w:ascii="Book Antiqua" w:hAnsi="Book Antiqua" w:eastAsia="Book Antiqua" w:cs="Book Antiqua"/>
          <w:color w:val="000000"/>
        </w:rPr>
        <w:t xml:space="preserve"> (1616.07 ± 214.6 kcal) and McArdle</w:t>
      </w:r>
      <w:r>
        <w:rPr>
          <w:rFonts w:ascii="Book Antiqua" w:hAnsi="Book Antiqua" w:eastAsia="Book Antiqua" w:cs="Book Antiqua"/>
          <w:i/>
          <w:color w:val="000000"/>
        </w:rPr>
        <w:t xml:space="preserve"> </w:t>
      </w:r>
      <w:r>
        <w:rPr>
          <w:rFonts w:ascii="Book Antiqua" w:hAnsi="Book Antiqua" w:eastAsia="Book Antiqua" w:cs="Book Antiqua"/>
          <w:color w:val="000000"/>
        </w:rPr>
        <w:t>(1611.30 ± 241.8 kcal) equations. We found no significant association when comparing IC and 24-h dietary recall among different Child-Pugh classes of cirrhosis.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The IOM and FAO/WHO/UNU equations have the best agreement with the CI. These results indicate a possibility of different tools for the clinical practice on cirrhotic patients.</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Liver cirrhosis; Calorimetry; Indirect; Energy metabolism; Malnutrition</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b/>
          <w:bCs/>
          <w:lang w:val="en-US" w:eastAsia="zh-CN"/>
        </w:rPr>
        <w:t>Citation</w:t>
      </w:r>
      <w:r>
        <w:rPr>
          <w:rFonts w:hint="eastAsia" w:ascii="Book Antiqua" w:hAnsi="Book Antiqua"/>
          <w:b w:val="0"/>
          <w:bCs w:val="0"/>
          <w:lang w:val="en-US" w:eastAsia="zh-CN"/>
        </w:rPr>
        <w:t xml:space="preserve">: </w:t>
      </w:r>
      <w:r>
        <w:rPr>
          <w:rFonts w:ascii="Book Antiqua" w:hAnsi="Book Antiqua" w:eastAsia="Book Antiqua" w:cs="Book Antiqua"/>
          <w:color w:val="000000"/>
        </w:rPr>
        <w:t xml:space="preserve">Ferreira S, Marroni CA, Stein JT, Rayn R, Henz AC, Schmidt NP, Carteri RB, Fernandes SA. Assessment of resting energy expenditure in patients with cirrhosis. </w:t>
      </w:r>
      <w:r>
        <w:rPr>
          <w:rFonts w:ascii="Book Antiqua" w:hAnsi="Book Antiqua" w:eastAsia="Book Antiqua" w:cs="Book Antiqua"/>
          <w:i/>
          <w:iCs/>
          <w:color w:val="000000"/>
        </w:rPr>
        <w:t>World J Hepatol</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14(4): </w:t>
      </w:r>
      <w:r>
        <w:rPr>
          <w:rFonts w:hint="eastAsia" w:ascii="Book Antiqua" w:hAnsi="Book Antiqua" w:eastAsia="宋体" w:cs="Book Antiqua"/>
          <w:color w:val="000000"/>
          <w:lang w:val="en-US" w:eastAsia="zh-CN"/>
        </w:rPr>
        <w:t>802</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811</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https://www.wjgnet.com/1948-5182/full/v14/i4/</w:t>
      </w:r>
      <w:r>
        <w:rPr>
          <w:rFonts w:hint="eastAsia" w:ascii="Book Antiqua" w:hAnsi="Book Antiqua" w:eastAsia="宋体" w:cs="Book Antiqua"/>
          <w:color w:val="000000"/>
          <w:lang w:val="en-US" w:eastAsia="zh-CN"/>
        </w:rPr>
        <w:t>802</w:t>
      </w:r>
      <w:r>
        <w:rPr>
          <w:rFonts w:hint="eastAsia" w:ascii="Book Antiqua" w:hAnsi="Book Antiqua" w:eastAsia="Book Antiqua" w:cs="Book Antiqua"/>
          <w:color w:val="000000"/>
        </w:rPr>
        <w:t xml:space="preserve">.htm </w:t>
      </w:r>
    </w:p>
    <w:p>
      <w:pPr>
        <w:spacing w:line="360" w:lineRule="auto"/>
        <w:jc w:val="both"/>
        <w:rPr>
          <w:rFonts w:hint="default" w:ascii="Book Antiqua" w:hAnsi="Book Antiqua" w:eastAsia="宋体" w:cs="Book Antiqua"/>
          <w:color w:val="000000"/>
          <w:lang w:val="en-US" w:eastAsia="zh-CN"/>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https://dx.doi.org/10.4254/wjh.v14.i4.</w:t>
      </w:r>
      <w:r>
        <w:rPr>
          <w:rFonts w:hint="eastAsia" w:ascii="Book Antiqua" w:hAnsi="Book Antiqua" w:eastAsia="宋体" w:cs="Book Antiqua"/>
          <w:color w:val="000000"/>
          <w:lang w:val="en-US" w:eastAsia="zh-CN"/>
        </w:rPr>
        <w:t>802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Patients with cirrhosis usually have a poor nutritional status, associated with complications of liver disease, which is an independent factor for mortality. Identifying the metabolic energy expenditure of these patients is the main guide for a more assertive nutritional and clinical application. The objective of this study was to recognize the best method for estimating resting energy expenditure between bioelectrical impedance analysis and predictive formulas, compared to the gold standard, indirect calorimetry (IC). Ninety cirrhotic patients were included</w:t>
      </w:r>
      <w:r>
        <w:rPr>
          <w:rFonts w:ascii="Book Antiqua" w:hAnsi="Book Antiqua" w:eastAsia="Book Antiqua" w:cs="Book Antiqua"/>
        </w:rPr>
        <w:t xml:space="preserve">. The Food and Agriculture Organization of the United Nations, World Health Organization and United Nations University (FAO/WHO/UNU) equation </w:t>
      </w:r>
      <w:r>
        <w:rPr>
          <w:rFonts w:ascii="Book Antiqua" w:hAnsi="Book Antiqua" w:eastAsia="Book Antiqua" w:cs="Book Antiqua"/>
          <w:color w:val="000000"/>
        </w:rPr>
        <w:t>showed the best agreement with the IC. These results indicate a possibility of different tools for the clinical practice on cirrhotic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The liver plays a key role in maintaining homeostasis and is the fundamental site of the metabolism of nutrients and other exogenous substances. Liver cirrhosis is the final stage of a chronic disease characterized by a process of disorganization in the lobular and vascular architecture of the liver, with fibrosis and diffuse nodular formation</w:t>
      </w:r>
      <w:r>
        <w:rPr>
          <w:rFonts w:ascii="Book Antiqua" w:hAnsi="Book Antiqua" w:eastAsia="Book Antiqua" w:cs="Book Antiqua"/>
          <w:color w:val="000000"/>
          <w:vertAlign w:val="superscript"/>
        </w:rPr>
        <w:t>[1]</w:t>
      </w:r>
      <w:r>
        <w:rPr>
          <w:rFonts w:ascii="Book Antiqua" w:hAnsi="Book Antiqua" w:eastAsia="Book Antiqua" w:cs="Book Antiqua"/>
          <w:color w:val="000000"/>
        </w:rPr>
        <w:t>. Importantly, it is estimated that there are 1.5 billion people diagnosed with chronic liver diseases, with an age-standardized incidence rate of 27.7/100000 for cirrhosis in these patients</w:t>
      </w:r>
      <w:r>
        <w:rPr>
          <w:rFonts w:ascii="Book Antiqua" w:hAnsi="Book Antiqua" w:eastAsia="Book Antiqua" w:cs="Book Antiqua"/>
          <w:color w:val="000000"/>
          <w:vertAlign w:val="superscript"/>
        </w:rPr>
        <w:t>[2]</w:t>
      </w:r>
      <w:r>
        <w:rPr>
          <w:rFonts w:ascii="Book Antiqua" w:hAnsi="Book Antiqua" w:eastAsia="Book Antiqua" w:cs="Book Antiqua"/>
          <w:color w:val="000000"/>
        </w:rPr>
        <w:t>. Patients with cirrhosis, regardless of etiology, commonly present malnutrition, resulting in a significant imbalance in energy metabolism that negatively impacts their prognosis and quality of life</w:t>
      </w:r>
      <w:r>
        <w:rPr>
          <w:rFonts w:ascii="Book Antiqua" w:hAnsi="Book Antiqua" w:eastAsia="Book Antiqua" w:cs="Book Antiqua"/>
          <w:color w:val="000000"/>
          <w:vertAlign w:val="superscript"/>
        </w:rPr>
        <w:t>[3-5]</w:t>
      </w:r>
      <w:r>
        <w:rPr>
          <w:rFonts w:ascii="Book Antiqua" w:hAnsi="Book Antiqua" w:eastAsia="Book Antiqua" w:cs="Book Antiqua"/>
          <w:color w:val="000000"/>
        </w:rPr>
        <w:t>. In this context, it is well established that cirrhotic patients benefit from improvements in dietary habits and nutritional interventions, and adequate dietary prescription depends on the precision of the protocols for energy requirement estimation.</w:t>
      </w:r>
    </w:p>
    <w:p>
      <w:pPr>
        <w:spacing w:line="360" w:lineRule="auto"/>
        <w:ind w:firstLine="851"/>
        <w:jc w:val="both"/>
        <w:rPr>
          <w:rFonts w:ascii="Book Antiqua" w:hAnsi="Book Antiqua"/>
        </w:rPr>
      </w:pPr>
      <w:r>
        <w:rPr>
          <w:rFonts w:ascii="Book Antiqua" w:hAnsi="Book Antiqua" w:eastAsia="Book Antiqua" w:cs="Book Antiqua"/>
          <w:color w:val="000000"/>
        </w:rPr>
        <w:t>The resting metabolic rate (RMR) reflects the energy required to maintain physiological processes, representing approximately 60% to 70% of the total daily energy requirement, whilst hepatic tissue metabolism accounts for almost 20% of the RMR in most patients</w:t>
      </w:r>
      <w:r>
        <w:rPr>
          <w:rFonts w:ascii="Book Antiqua" w:hAnsi="Book Antiqua" w:eastAsia="Book Antiqua" w:cs="Book Antiqua"/>
          <w:color w:val="000000"/>
          <w:vertAlign w:val="superscript"/>
        </w:rPr>
        <w:t>[6,7]</w:t>
      </w:r>
      <w:r>
        <w:rPr>
          <w:rFonts w:ascii="Book Antiqua" w:hAnsi="Book Antiqua" w:eastAsia="Book Antiqua" w:cs="Book Antiqua"/>
          <w:color w:val="000000"/>
        </w:rPr>
        <w:t>. RMR is influenced by different aspects of body composition, which could be drastically changed in the cirrhotic patient, due to hypercatabolism which is proportional to the disease progression</w:t>
      </w:r>
      <w:r>
        <w:rPr>
          <w:rFonts w:ascii="Book Antiqua" w:hAnsi="Book Antiqua" w:eastAsia="Book Antiqua" w:cs="Book Antiqua"/>
          <w:color w:val="000000"/>
          <w:vertAlign w:val="superscript"/>
        </w:rPr>
        <w:t>[8]</w:t>
      </w:r>
      <w:r>
        <w:rPr>
          <w:rFonts w:ascii="Book Antiqua" w:hAnsi="Book Antiqua" w:eastAsia="Book Antiqua" w:cs="Book Antiqua"/>
          <w:color w:val="000000"/>
        </w:rPr>
        <w:t>. Different studies show that protein degradation is measured by increased oxygen consumption through indirect calorimetry (IC), where an increase in resting energy expenditure (REE) is observed in 35% of people with cirrhosis compared to the healthy population</w:t>
      </w:r>
      <w:r>
        <w:rPr>
          <w:rFonts w:ascii="Book Antiqua" w:hAnsi="Book Antiqua" w:eastAsia="Book Antiqua" w:cs="Book Antiqua"/>
          <w:color w:val="000000"/>
          <w:vertAlign w:val="superscript"/>
        </w:rPr>
        <w:t>[9-11]</w:t>
      </w:r>
      <w:r>
        <w:rPr>
          <w:rFonts w:ascii="Book Antiqua" w:hAnsi="Book Antiqua" w:eastAsia="Book Antiqua" w:cs="Book Antiqua"/>
          <w:color w:val="000000"/>
        </w:rPr>
        <w:t>. This conflict could be explained by several confounding factors, such as the use of medication, the patient’s body composition, and the presence of comorbidities</w:t>
      </w:r>
      <w:r>
        <w:rPr>
          <w:rFonts w:ascii="Book Antiqua" w:hAnsi="Book Antiqua" w:eastAsia="Book Antiqua" w:cs="Book Antiqua"/>
          <w:color w:val="000000"/>
          <w:vertAlign w:val="superscript"/>
        </w:rPr>
        <w:t>[12]</w:t>
      </w:r>
      <w:r>
        <w:rPr>
          <w:rFonts w:ascii="Book Antiqua" w:hAnsi="Book Antiqua" w:eastAsia="Book Antiqua" w:cs="Book Antiqua"/>
          <w:color w:val="000000"/>
        </w:rPr>
        <w:t>. However, the current literature is still conflicting regarding the relationship between cirrhosis progression and RMR alterations. Some studies have reported an increase in REE compared to the healthy population</w:t>
      </w:r>
      <w:r>
        <w:rPr>
          <w:rFonts w:ascii="Book Antiqua" w:hAnsi="Book Antiqua" w:eastAsia="Book Antiqua" w:cs="Book Antiqua"/>
          <w:color w:val="000000"/>
          <w:vertAlign w:val="superscript"/>
        </w:rPr>
        <w:t>[13,14]</w:t>
      </w:r>
      <w:r>
        <w:rPr>
          <w:rFonts w:ascii="Book Antiqua" w:hAnsi="Book Antiqua" w:eastAsia="Book Antiqua" w:cs="Book Antiqua"/>
          <w:color w:val="000000"/>
        </w:rPr>
        <w:t xml:space="preserve"> while others have reported a decrease in REE</w:t>
      </w:r>
      <w:r>
        <w:rPr>
          <w:rFonts w:ascii="Book Antiqua" w:hAnsi="Book Antiqua" w:eastAsia="Book Antiqua" w:cs="Book Antiqua"/>
          <w:color w:val="000000"/>
          <w:vertAlign w:val="superscript"/>
        </w:rPr>
        <w:t>[15,16]</w:t>
      </w:r>
      <w:r>
        <w:rPr>
          <w:rFonts w:ascii="Book Antiqua" w:hAnsi="Book Antiqua" w:eastAsia="Book Antiqua" w:cs="Book Antiqua"/>
          <w:color w:val="000000"/>
        </w:rPr>
        <w:t>. Therefore, since the nutritional prescription is crucial to mitigate the progression of liver malfunction and/or alleviate complications characteristic of cirrhosis, appropriate estimation of patients' energy requirements is vital.</w:t>
      </w:r>
    </w:p>
    <w:p>
      <w:pPr>
        <w:spacing w:line="360" w:lineRule="auto"/>
        <w:ind w:firstLine="851"/>
        <w:jc w:val="both"/>
        <w:rPr>
          <w:rFonts w:ascii="Book Antiqua" w:hAnsi="Book Antiqua"/>
        </w:rPr>
      </w:pPr>
      <w:r>
        <w:rPr>
          <w:rFonts w:ascii="Book Antiqua" w:hAnsi="Book Antiqua" w:eastAsia="Book Antiqua" w:cs="Book Antiqua"/>
          <w:color w:val="000000"/>
        </w:rPr>
        <w:t>IC is the most reliable method to estimate the RMR, but it is expensive and time-consuming, and requires trained personnel and specific apparatus</w:t>
      </w:r>
      <w:r>
        <w:rPr>
          <w:rFonts w:ascii="Book Antiqua" w:hAnsi="Book Antiqua" w:eastAsia="Book Antiqua" w:cs="Book Antiqua"/>
          <w:color w:val="000000"/>
          <w:vertAlign w:val="superscript"/>
        </w:rPr>
        <w:t>[17]</w:t>
      </w:r>
      <w:r>
        <w:rPr>
          <w:rFonts w:ascii="Book Antiqua" w:hAnsi="Book Antiqua" w:eastAsia="Book Antiqua" w:cs="Book Antiqua"/>
          <w:color w:val="000000"/>
        </w:rPr>
        <w:t>. Alternatively, several predictive equations were developed to estimate the REE using specific individual characteristics</w:t>
      </w:r>
      <w:r>
        <w:rPr>
          <w:rFonts w:ascii="Book Antiqua" w:hAnsi="Book Antiqua" w:eastAsia="Book Antiqua" w:cs="Book Antiqua"/>
          <w:color w:val="000000"/>
          <w:vertAlign w:val="superscript"/>
        </w:rPr>
        <w:t>[18]</w:t>
      </w:r>
      <w:r>
        <w:rPr>
          <w:rFonts w:ascii="Book Antiqua" w:hAnsi="Book Antiqua" w:eastAsia="Book Antiqua" w:cs="Book Antiqua"/>
          <w:color w:val="000000"/>
        </w:rPr>
        <w:t>. Although most of the equations were developed in different populations, their accuracy in clinical practice is widely variable. It is a feasible method for RMR estimation when the proper equation for the individual is applied</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w:t>
      </w:r>
    </w:p>
    <w:p>
      <w:pPr>
        <w:spacing w:line="360" w:lineRule="auto"/>
        <w:ind w:firstLine="851"/>
        <w:jc w:val="both"/>
        <w:rPr>
          <w:rFonts w:ascii="Book Antiqua" w:hAnsi="Book Antiqua"/>
        </w:rPr>
      </w:pPr>
      <w:r>
        <w:rPr>
          <w:rFonts w:ascii="Book Antiqua" w:hAnsi="Book Antiqua" w:eastAsia="Book Antiqua" w:cs="Book Antiqua"/>
          <w:color w:val="000000"/>
        </w:rPr>
        <w:t xml:space="preserve">Currently, there is still no predictive equation considered the most accurate for cirrhotic patients. So much so that in the meta-analysis by Eslamparast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[19]</w:t>
      </w:r>
      <w:r>
        <w:rPr>
          <w:rFonts w:ascii="Book Antiqua" w:hAnsi="Book Antiqua" w:eastAsia="Book Antiqua" w:cs="Book Antiqua"/>
          <w:color w:val="000000"/>
        </w:rPr>
        <w:t>, when analyzing 17 articles on the estimation of RMR in cirrhotic patients, which compared IC with different predictive formulas, they observed that the RMR values are underestimated, especially in males and in the Western population. Furthermore, there are insufficient data regarding the value of RMR according to the severity of chronic liver disease.</w:t>
      </w:r>
    </w:p>
    <w:p>
      <w:pPr>
        <w:spacing w:line="360" w:lineRule="auto"/>
        <w:ind w:firstLine="851"/>
        <w:jc w:val="both"/>
        <w:rPr>
          <w:rFonts w:ascii="Book Antiqua" w:hAnsi="Book Antiqua"/>
        </w:rPr>
      </w:pPr>
      <w:r>
        <w:rPr>
          <w:rFonts w:ascii="Book Antiqua" w:hAnsi="Book Antiqua" w:eastAsia="Book Antiqua" w:cs="Book Antiqua"/>
          <w:color w:val="000000"/>
        </w:rPr>
        <w:t>Noteworthy, miscalculation of REE in patients with cirrhosis can lead to inaccurate or inappropriate therapeutic management and worsening symptoms such as anorexia, dysgeusia, early satiety, nausea, and vomiting (especially in the presence of hepatic encephalopathy), and may potentiate adverse drug reactions</w:t>
      </w:r>
      <w:r>
        <w:rPr>
          <w:rFonts w:ascii="Book Antiqua" w:hAnsi="Book Antiqua" w:eastAsia="Book Antiqua" w:cs="Book Antiqua"/>
          <w:color w:val="000000"/>
          <w:vertAlign w:val="superscript"/>
        </w:rPr>
        <w:t>[20,21]</w:t>
      </w:r>
      <w:r>
        <w:rPr>
          <w:rFonts w:ascii="Book Antiqua" w:hAnsi="Book Antiqua" w:eastAsia="Book Antiqua" w:cs="Book Antiqua"/>
          <w:color w:val="000000"/>
        </w:rPr>
        <w:t>. In this context, the objective of the present study was to determine the REE of patients with cirrhosis by IC and compare the values thus obtained to those estimated by bioelectrical impedance analysis (BIA) and common predictive equations, in order to identify a reliable method for calculating energy expenditure applicable in clinical practice.</w:t>
      </w:r>
    </w:p>
    <w:p>
      <w:pPr>
        <w:spacing w:line="360" w:lineRule="auto"/>
        <w:ind w:firstLine="851"/>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color w:val="000000"/>
        </w:rPr>
        <w:t xml:space="preserve">This was an observational study. We included 90 patients who were receiving clinical management of liver cirrhosis at the Outpatient Gastroenterology and Liver Transplantation Clinics of Santa Casa de Misericórdia de Porto Alegre, Rio Grande do Sul, Brazil from March 2017 to July 2018. All patients included in this study agreed to participate and provided written informed consent. The study protocol was approved by the Research Ethics Committees of Santa Casa de Misericórdia de Porto Alegre (No. 2.387.800). Sample size calculation was based on a previous study by Teramoto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which compared measured and predicted energy expenditure in patients with cirrhosis. Considering a statistical power of 80% and a significance level of 5%, the minimum sample size was estimated at 90 patients.</w:t>
      </w:r>
    </w:p>
    <w:p>
      <w:pPr>
        <w:spacing w:line="360" w:lineRule="auto"/>
        <w:ind w:firstLine="851"/>
        <w:jc w:val="both"/>
        <w:rPr>
          <w:rFonts w:ascii="Book Antiqua" w:hAnsi="Book Antiqua"/>
        </w:rPr>
      </w:pPr>
      <w:r>
        <w:rPr>
          <w:rFonts w:ascii="Book Antiqua" w:hAnsi="Book Antiqua" w:eastAsia="Book Antiqua" w:cs="Book Antiqua"/>
          <w:color w:val="000000"/>
        </w:rPr>
        <w:t>Adult patients (age 18 years or older) of both sexes with cirrhosis of the liver were eligible for inclusion. Patients on enteral feeding were excluded, as were those with amputation of any limb and those unable to complete the proposed evaluations (</w:t>
      </w:r>
      <w:r>
        <w:rPr>
          <w:rFonts w:ascii="Book Antiqua" w:hAnsi="Book Antiqua" w:eastAsia="Book Antiqua" w:cs="Book Antiqua"/>
          <w:i/>
          <w:color w:val="000000"/>
        </w:rPr>
        <w:t>e.g</w:t>
      </w:r>
      <w:r>
        <w:rPr>
          <w:rFonts w:ascii="Book Antiqua" w:hAnsi="Book Antiqua" w:eastAsia="Book Antiqua" w:cs="Book Antiqua"/>
          <w:color w:val="000000"/>
        </w:rPr>
        <w:t>., those who reported discomfort during IC, who could not remain in position, or who had a pacemaker which precluded BIA). Data from the electronic medical records of the patients, related to the diagnosis, staging by the Child-Pugh score, age, and sex of the participants, were collected. The diagnosis of cirrhosis was made by clinical, laboratory, imaging, and/or, eventually, liver biopsy in accordance with the hospital liver transplant group standards</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w:t>
      </w:r>
    </w:p>
    <w:p>
      <w:pPr>
        <w:spacing w:line="360" w:lineRule="auto"/>
        <w:ind w:firstLine="851"/>
        <w:jc w:val="both"/>
        <w:rPr>
          <w:rFonts w:ascii="Book Antiqua" w:hAnsi="Book Antiqua"/>
        </w:rPr>
      </w:pPr>
      <w:r>
        <w:rPr>
          <w:rFonts w:ascii="Book Antiqua" w:hAnsi="Book Antiqua" w:eastAsia="Book Antiqua" w:cs="Book Antiqua"/>
          <w:color w:val="000000"/>
        </w:rPr>
        <w:t>Current body weight was measured on a calibrated Filizola anthropometric scale (precision 0.1 kg). Height was measured with a wall-mounted stadiometer, with the patient standing upright and barefoot. Body mass index (BMI) was calculated as {BMI = weight (kg)/[height (cm)]</w:t>
      </w:r>
      <w:r>
        <w:rPr>
          <w:rFonts w:ascii="Book Antiqua" w:hAnsi="Book Antiqua" w:eastAsia="Book Antiqua" w:cs="Book Antiqua"/>
          <w:color w:val="000000"/>
          <w:vertAlign w:val="superscript"/>
        </w:rPr>
        <w:t>2</w:t>
      </w:r>
      <w:r>
        <w:rPr>
          <w:rFonts w:ascii="Book Antiqua" w:hAnsi="Book Antiqua" w:eastAsia="Book Antiqua" w:cs="Book Antiqua"/>
          <w:color w:val="000000"/>
        </w:rPr>
        <w:t>} and classified according to the World Health Organization curves</w:t>
      </w:r>
      <w:r>
        <w:rPr>
          <w:rFonts w:ascii="Book Antiqua" w:hAnsi="Book Antiqua" w:eastAsia="Book Antiqua" w:cs="Book Antiqua"/>
          <w:color w:val="000000"/>
          <w:vertAlign w:val="superscript"/>
        </w:rPr>
        <w:t>[23]</w:t>
      </w:r>
      <w:r>
        <w:rPr>
          <w:rFonts w:ascii="Book Antiqua" w:hAnsi="Book Antiqua" w:eastAsia="Book Antiqua" w:cs="Book Antiqua"/>
          <w:color w:val="000000"/>
        </w:rPr>
        <w:t>.</w:t>
      </w:r>
    </w:p>
    <w:p>
      <w:pPr>
        <w:spacing w:line="360" w:lineRule="auto"/>
        <w:ind w:firstLine="851"/>
        <w:jc w:val="both"/>
        <w:rPr>
          <w:rFonts w:ascii="Book Antiqua" w:hAnsi="Book Antiqua"/>
        </w:rPr>
      </w:pPr>
      <w:r>
        <w:rPr>
          <w:rFonts w:ascii="Book Antiqua" w:hAnsi="Book Antiqua" w:eastAsia="Book Antiqua" w:cs="Book Antiqua"/>
          <w:color w:val="000000"/>
        </w:rPr>
        <w:t>BIA was performed as described elsewhere using a Biodynamics model 450 BIA device (current 800 µA, frequency 50 kHz), with electrodes placed on the hand/wrist and foot/ankle.</w:t>
      </w:r>
    </w:p>
    <w:p>
      <w:pPr>
        <w:spacing w:line="360" w:lineRule="auto"/>
        <w:ind w:firstLine="851"/>
        <w:jc w:val="both"/>
        <w:rPr>
          <w:rFonts w:ascii="Book Antiqua" w:hAnsi="Book Antiqua"/>
        </w:rPr>
      </w:pPr>
      <w:r>
        <w:rPr>
          <w:rFonts w:ascii="Book Antiqua" w:hAnsi="Book Antiqua" w:eastAsia="Book Antiqua" w:cs="Book Antiqua"/>
          <w:color w:val="000000"/>
        </w:rPr>
        <w:t>IC was performed by the same investigator, using a Korr MetaCheck calorimeter. The assessment was begun after a minimum of 4 h and a 30-min rest. Measurement was performed with the patient perfectly still in the supine position, for 10 to 30 min, wearing a rigid face mask. The formula described by Weir (14) was used to calculate REE during the most stable period of analysis, based on O</w:t>
      </w:r>
      <w:r>
        <w:rPr>
          <w:rFonts w:ascii="Book Antiqua" w:hAnsi="Book Antiqua" w:eastAsia="Book Antiqua" w:cs="Book Antiqua"/>
          <w:color w:val="000000"/>
          <w:vertAlign w:val="subscript"/>
        </w:rPr>
        <w:t>2</w:t>
      </w:r>
      <w:r>
        <w:rPr>
          <w:rFonts w:ascii="Book Antiqua" w:hAnsi="Book Antiqua" w:eastAsia="Book Antiqua" w:cs="Book Antiqua"/>
          <w:color w:val="000000"/>
        </w:rPr>
        <w:t xml:space="preserve"> consumption (VO</w:t>
      </w:r>
      <w:r>
        <w:rPr>
          <w:rFonts w:ascii="Book Antiqua" w:hAnsi="Book Antiqua" w:eastAsia="Book Antiqua" w:cs="Book Antiqua"/>
          <w:color w:val="000000"/>
          <w:vertAlign w:val="subscript"/>
        </w:rPr>
        <w:t>2</w:t>
      </w:r>
      <w:r>
        <w:rPr>
          <w:rFonts w:ascii="Book Antiqua" w:hAnsi="Book Antiqua" w:eastAsia="Book Antiqua" w:cs="Book Antiqua"/>
          <w:color w:val="000000"/>
        </w:rPr>
        <w:t>), CO</w:t>
      </w:r>
      <w:r>
        <w:rPr>
          <w:rFonts w:ascii="Book Antiqua" w:hAnsi="Book Antiqua" w:eastAsia="Book Antiqua" w:cs="Book Antiqua"/>
          <w:color w:val="000000"/>
          <w:vertAlign w:val="subscript"/>
        </w:rPr>
        <w:t>2</w:t>
      </w:r>
      <w:r>
        <w:rPr>
          <w:rFonts w:ascii="Book Antiqua" w:hAnsi="Book Antiqua" w:eastAsia="Book Antiqua" w:cs="Book Antiqua"/>
          <w:color w:val="000000"/>
        </w:rPr>
        <w:t xml:space="preserve"> output (VCO</w:t>
      </w:r>
      <w:r>
        <w:rPr>
          <w:rFonts w:ascii="Book Antiqua" w:hAnsi="Book Antiqua" w:eastAsia="Book Antiqua" w:cs="Book Antiqua"/>
          <w:color w:val="000000"/>
          <w:vertAlign w:val="subscript"/>
        </w:rPr>
        <w:t>2</w:t>
      </w:r>
      <w:r>
        <w:rPr>
          <w:rFonts w:ascii="Book Antiqua" w:hAnsi="Book Antiqua" w:eastAsia="Book Antiqua" w:cs="Book Antiqua"/>
          <w:color w:val="000000"/>
        </w:rPr>
        <w:t>), and urine urea nitrogen, as follows: REE = [3.9 (VO</w:t>
      </w:r>
      <w:r>
        <w:rPr>
          <w:rFonts w:ascii="Book Antiqua" w:hAnsi="Book Antiqua" w:eastAsia="Book Antiqua" w:cs="Book Antiqua"/>
          <w:color w:val="000000"/>
          <w:vertAlign w:val="subscript"/>
        </w:rPr>
        <w:t>2</w:t>
      </w:r>
      <w:r>
        <w:rPr>
          <w:rFonts w:ascii="Book Antiqua" w:hAnsi="Book Antiqua" w:eastAsia="Book Antiqua" w:cs="Book Antiqua"/>
          <w:color w:val="000000"/>
        </w:rPr>
        <w:t>)] + [1.1 (VCO</w:t>
      </w:r>
      <w:r>
        <w:rPr>
          <w:rFonts w:ascii="Book Antiqua" w:hAnsi="Book Antiqua" w:eastAsia="Book Antiqua" w:cs="Book Antiqua"/>
          <w:color w:val="000000"/>
          <w:vertAlign w:val="subscript"/>
        </w:rPr>
        <w:t>2</w:t>
      </w:r>
      <w:r>
        <w:rPr>
          <w:rFonts w:ascii="Book Antiqua" w:hAnsi="Book Antiqua" w:eastAsia="Book Antiqua" w:cs="Book Antiqua"/>
          <w:color w:val="000000"/>
        </w:rPr>
        <w:t>)]</w:t>
      </w:r>
      <w:r>
        <w:rPr>
          <w:rFonts w:ascii="Book Antiqua" w:hAnsi="Book Antiqua" w:eastAsia="Book Antiqua" w:cs="Book Antiqua"/>
          <w:color w:val="000000"/>
          <w:vertAlign w:val="superscript"/>
        </w:rPr>
        <w:t>[24]</w:t>
      </w:r>
      <w:r>
        <w:rPr>
          <w:rFonts w:ascii="Book Antiqua" w:hAnsi="Book Antiqua" w:eastAsia="Book Antiqua" w:cs="Book Antiqua"/>
          <w:color w:val="000000"/>
        </w:rPr>
        <w:t xml:space="preserve">. </w:t>
      </w:r>
    </w:p>
    <w:p>
      <w:pPr>
        <w:spacing w:line="360" w:lineRule="auto"/>
        <w:ind w:firstLine="851"/>
        <w:jc w:val="both"/>
        <w:rPr>
          <w:rFonts w:ascii="Book Antiqua" w:hAnsi="Book Antiqua"/>
        </w:rPr>
      </w:pPr>
      <w:r>
        <w:rPr>
          <w:rFonts w:ascii="Book Antiqua" w:hAnsi="Book Antiqua" w:eastAsia="Book Antiqua" w:cs="Book Antiqua"/>
          <w:color w:val="000000"/>
        </w:rPr>
        <w:t>Table 1 describes the energy expenditure predictive equations used in the study: BIA - Based on Grande &amp; Keys</w:t>
      </w:r>
      <w:r>
        <w:rPr>
          <w:rFonts w:ascii="Book Antiqua" w:hAnsi="Book Antiqua" w:eastAsia="Book Antiqua" w:cs="Book Antiqua"/>
          <w:color w:val="000000"/>
          <w:vertAlign w:val="superscript"/>
        </w:rPr>
        <w:t>[25]</w:t>
      </w:r>
      <w:r>
        <w:rPr>
          <w:rFonts w:ascii="Book Antiqua" w:hAnsi="Book Antiqua" w:eastAsia="Book Antiqua" w:cs="Book Antiqua"/>
          <w:color w:val="000000"/>
        </w:rPr>
        <w:t>; Cunningham</w:t>
      </w:r>
      <w:r>
        <w:rPr>
          <w:rFonts w:ascii="Book Antiqua" w:hAnsi="Book Antiqua" w:eastAsia="Book Antiqua" w:cs="Book Antiqua"/>
          <w:color w:val="000000"/>
          <w:vertAlign w:val="superscript"/>
        </w:rPr>
        <w:t>[26]</w:t>
      </w:r>
      <w:r>
        <w:rPr>
          <w:rFonts w:ascii="Book Antiqua" w:hAnsi="Book Antiqua" w:eastAsia="Book Antiqua" w:cs="Book Antiqua"/>
          <w:color w:val="000000"/>
        </w:rPr>
        <w:t>; Harris and Bennedict</w:t>
      </w:r>
      <w:r>
        <w:rPr>
          <w:rFonts w:ascii="Book Antiqua" w:hAnsi="Book Antiqua" w:eastAsia="Book Antiqua" w:cs="Book Antiqua"/>
          <w:color w:val="000000"/>
          <w:vertAlign w:val="superscript"/>
        </w:rPr>
        <w:t>[27]</w:t>
      </w:r>
      <w:r>
        <w:rPr>
          <w:rFonts w:ascii="Book Antiqua" w:hAnsi="Book Antiqua" w:eastAsia="Book Antiqua" w:cs="Book Antiqua"/>
          <w:color w:val="000000"/>
        </w:rPr>
        <w:t>; Food and Agriculture Organization of the United Nations, World Health Organization and United Nations University [</w:t>
      </w:r>
      <w:r>
        <w:rPr>
          <w:rFonts w:ascii="Book Antiqua" w:hAnsi="Book Antiqua" w:eastAsia="Book Antiqua" w:cs="Book Antiqua"/>
        </w:rPr>
        <w:t>Food and Agriculture Organization of the United Nations, World Health Organization and United Nations University (FAO/WHO/UNU)</w:t>
      </w:r>
      <w:r>
        <w:rPr>
          <w:rFonts w:ascii="Book Antiqua" w:hAnsi="Book Antiqua" w:eastAsia="Book Antiqua" w:cs="Book Antiqua"/>
          <w:color w:val="000000"/>
        </w:rPr>
        <w:t>]</w:t>
      </w:r>
      <w:r>
        <w:rPr>
          <w:rFonts w:ascii="Book Antiqua" w:hAnsi="Book Antiqua" w:eastAsia="Book Antiqua" w:cs="Book Antiqua"/>
          <w:color w:val="000000"/>
          <w:vertAlign w:val="superscript"/>
        </w:rPr>
        <w:t>[23]</w:t>
      </w:r>
      <w:r>
        <w:rPr>
          <w:rFonts w:ascii="Book Antiqua" w:hAnsi="Book Antiqua" w:eastAsia="Book Antiqua" w:cs="Book Antiqua"/>
          <w:color w:val="000000"/>
        </w:rPr>
        <w:t>; Institute of Medicine</w:t>
      </w:r>
      <w:r>
        <w:rPr>
          <w:rFonts w:ascii="Book Antiqua" w:hAnsi="Book Antiqua" w:eastAsia="Book Antiqua" w:cs="Book Antiqua"/>
          <w:color w:val="000000"/>
          <w:vertAlign w:val="superscript"/>
        </w:rPr>
        <w:t>[28]</w:t>
      </w:r>
      <w:r>
        <w:rPr>
          <w:rFonts w:ascii="Book Antiqua" w:hAnsi="Book Antiqua" w:eastAsia="Book Antiqua" w:cs="Book Antiqua"/>
          <w:color w:val="000000"/>
        </w:rPr>
        <w:t>; McArdle</w:t>
      </w:r>
      <w:r>
        <w:rPr>
          <w:rFonts w:ascii="Book Antiqua" w:hAnsi="Book Antiqua" w:eastAsia="Book Antiqua" w:cs="Book Antiqua"/>
          <w:color w:val="000000"/>
          <w:vertAlign w:val="superscript"/>
        </w:rPr>
        <w:t>[29]</w:t>
      </w:r>
      <w:r>
        <w:rPr>
          <w:rFonts w:ascii="Book Antiqua" w:hAnsi="Book Antiqua" w:eastAsia="Book Antiqua" w:cs="Book Antiqua"/>
          <w:color w:val="000000"/>
        </w:rPr>
        <w:t>; and Mifflin</w:t>
      </w:r>
      <w:r>
        <w:rPr>
          <w:rFonts w:ascii="Book Antiqua" w:hAnsi="Book Antiqua" w:eastAsia="Book Antiqua" w:cs="Book Antiqua"/>
          <w:color w:val="000000"/>
          <w:vertAlign w:val="superscript"/>
        </w:rPr>
        <w:t>[30]</w:t>
      </w:r>
      <w:r>
        <w:rPr>
          <w:rFonts w:ascii="Book Antiqua" w:hAnsi="Book Antiqua" w:eastAsia="Book Antiqua" w:cs="Book Antiqua"/>
          <w:color w:val="000000"/>
        </w:rPr>
        <w:t>.</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b/>
          <w:i/>
        </w:rPr>
      </w:pPr>
      <w:r>
        <w:rPr>
          <w:rFonts w:ascii="Book Antiqua" w:hAnsi="Book Antiqua" w:eastAsia="Book Antiqua" w:cs="Book Antiqua"/>
          <w:b/>
          <w:i/>
          <w:color w:val="000000"/>
        </w:rPr>
        <w:t>Statistical analysis</w:t>
      </w:r>
    </w:p>
    <w:p>
      <w:pPr>
        <w:spacing w:line="360" w:lineRule="auto"/>
        <w:jc w:val="both"/>
        <w:rPr>
          <w:rFonts w:ascii="Book Antiqua" w:hAnsi="Book Antiqua"/>
        </w:rPr>
      </w:pPr>
      <w:r>
        <w:rPr>
          <w:rFonts w:ascii="Book Antiqua" w:hAnsi="Book Antiqua" w:eastAsia="Book Antiqua" w:cs="Book Antiqua"/>
          <w:color w:val="000000"/>
          <w:shd w:val="clear" w:color="auto" w:fill="FFFFFF"/>
        </w:rPr>
        <w:t>Quantitative variables are expressed as the mean and standard deviation, and categorical variables</w:t>
      </w:r>
      <w:r>
        <w:rPr>
          <w:rFonts w:ascii="Book Antiqua" w:hAnsi="Book Antiqua" w:eastAsia="Book Antiqua" w:cs="Book Antiqua"/>
          <w:color w:val="000000"/>
        </w:rPr>
        <w:t>, as absolute and relative frequencies. The equations were compared with IC using the Bland-Altman method</w:t>
      </w:r>
      <w:r>
        <w:rPr>
          <w:rFonts w:ascii="Book Antiqua" w:hAnsi="Book Antiqua" w:eastAsia="Book Antiqua" w:cs="Book Antiqua"/>
          <w:color w:val="000000"/>
          <w:vertAlign w:val="superscript"/>
        </w:rPr>
        <w:t>[31]</w:t>
      </w:r>
      <w:r>
        <w:rPr>
          <w:rFonts w:ascii="Book Antiqua" w:hAnsi="Book Antiqua" w:eastAsia="Book Antiqua" w:cs="Book Antiqua"/>
          <w:color w:val="000000"/>
        </w:rPr>
        <w:t xml:space="preserve">, and also the Student’s </w:t>
      </w:r>
      <w:r>
        <w:rPr>
          <w:rFonts w:ascii="Book Antiqua" w:hAnsi="Book Antiqua" w:eastAsia="Book Antiqua" w:cs="Book Antiqua"/>
          <w:i/>
          <w:iCs/>
          <w:color w:val="000000"/>
        </w:rPr>
        <w:t>t</w:t>
      </w:r>
      <w:r>
        <w:rPr>
          <w:rFonts w:ascii="Book Antiqua" w:hAnsi="Book Antiqua" w:eastAsia="Book Antiqua" w:cs="Book Antiqua"/>
          <w:color w:val="000000"/>
        </w:rPr>
        <w:t xml:space="preserve">-test for paired samples. The Student’s </w:t>
      </w:r>
      <w:r>
        <w:rPr>
          <w:rFonts w:ascii="Book Antiqua" w:hAnsi="Book Antiqua" w:eastAsia="Book Antiqua" w:cs="Book Antiqua"/>
          <w:i/>
          <w:iCs/>
          <w:color w:val="000000"/>
        </w:rPr>
        <w:t>t</w:t>
      </w:r>
      <w:r>
        <w:rPr>
          <w:rFonts w:ascii="Book Antiqua" w:hAnsi="Book Antiqua" w:eastAsia="Book Antiqua" w:cs="Book Antiqua"/>
          <w:color w:val="000000"/>
        </w:rPr>
        <w:t xml:space="preserve">-test for paired samples was also used for comparison between IC and 24 h dietary recall findings. The correlation between BMI and IC was assessed by Pearson’s correlation coefficient. Analysis </w:t>
      </w:r>
      <w:r>
        <w:rPr>
          <w:rFonts w:ascii="Book Antiqua" w:hAnsi="Book Antiqua" w:eastAsia="Book Antiqua" w:cs="Book Antiqua"/>
          <w:color w:val="000000"/>
          <w:shd w:val="clear" w:color="auto" w:fill="FFFFFF"/>
        </w:rPr>
        <w:t>of variance (ANOVA) with Tukey’s post-hoc test was used for comparison of mean 24-h dietary recall and REE-IC according to Child-Pugh class. The significance level was set at 5% (</w:t>
      </w:r>
      <w:r>
        <w:rPr>
          <w:rFonts w:ascii="Book Antiqua" w:hAnsi="Book Antiqua" w:eastAsia="Book Antiqua" w:cs="Book Antiqua"/>
          <w:i/>
          <w:iCs/>
          <w:color w:val="000000"/>
          <w:shd w:val="clear" w:color="auto" w:fill="FFFFFF"/>
        </w:rPr>
        <w:t xml:space="preserve">P </w:t>
      </w:r>
      <w:r>
        <w:rPr>
          <w:rFonts w:ascii="Book Antiqua" w:hAnsi="Book Antiqua" w:eastAsia="Book Antiqua" w:cs="Book Antiqua"/>
          <w:color w:val="000000"/>
          <w:shd w:val="clear" w:color="auto" w:fill="FFFFFF"/>
        </w:rPr>
        <w:t>&lt; 0.05). All analyses were performed with PASW Statistics, Version 18.0.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color w:val="000000"/>
        </w:rPr>
        <w:t xml:space="preserve">Ninety patients, with a mean age of 57.1 (± 9.3) years, were assessed. Of these, 52 (57.8%) were male. The clinical profile of the sample is described in Table 2. </w:t>
      </w:r>
    </w:p>
    <w:p>
      <w:pPr>
        <w:spacing w:line="360" w:lineRule="auto"/>
        <w:ind w:firstLine="720"/>
        <w:jc w:val="both"/>
        <w:rPr>
          <w:rFonts w:ascii="Book Antiqua" w:hAnsi="Book Antiqua"/>
        </w:rPr>
      </w:pPr>
      <w:r>
        <w:rPr>
          <w:rFonts w:ascii="Book Antiqua" w:hAnsi="Book Antiqua" w:eastAsia="Book Antiqua" w:cs="Book Antiqua"/>
          <w:color w:val="000000"/>
        </w:rPr>
        <w:t>Table 3 shows the values of REE in kilocalories, measured by IC and predictive methods. The mean REE measured by IC was 1607.72 ± 257.4. A correlation between REE measured by IC and muscle mass in kilograms (</w:t>
      </w:r>
      <w:r>
        <w:rPr>
          <w:rFonts w:ascii="Book Antiqua" w:hAnsi="Book Antiqua" w:eastAsia="Book Antiqua" w:cs="Book Antiqua"/>
          <w:i/>
          <w:color w:val="000000"/>
        </w:rPr>
        <w:t>R</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0.353, </w:t>
      </w:r>
      <w:r>
        <w:rPr>
          <w:rFonts w:ascii="Book Antiqua" w:hAnsi="Book Antiqua" w:eastAsia="Book Antiqua" w:cs="Book Antiqua"/>
          <w:i/>
          <w:iCs/>
          <w:color w:val="000000"/>
        </w:rPr>
        <w:t>P</w:t>
      </w:r>
      <w:r>
        <w:rPr>
          <w:rFonts w:ascii="Book Antiqua" w:hAnsi="Book Antiqua" w:eastAsia="Book Antiqua" w:cs="Book Antiqua"/>
          <w:color w:val="000000"/>
        </w:rPr>
        <w:t xml:space="preserve"> = 0.001) was found. Also, the IC values were not different between patients classified in groups in accordance with their Child-Pugh scores (</w:t>
      </w:r>
      <w:r>
        <w:rPr>
          <w:rFonts w:ascii="Book Antiqua" w:hAnsi="Book Antiqua" w:eastAsia="Book Antiqua" w:cs="Book Antiqua"/>
          <w:i/>
          <w:iCs/>
          <w:color w:val="000000"/>
        </w:rPr>
        <w:t>P</w:t>
      </w:r>
      <w:r>
        <w:rPr>
          <w:rFonts w:ascii="Book Antiqua" w:hAnsi="Book Antiqua" w:eastAsia="Book Antiqua" w:cs="Book Antiqua"/>
          <w:color w:val="000000"/>
        </w:rPr>
        <w:t xml:space="preserve"> = 0.885). Although the IC values showed a positive correlation with predictive methods, the IC values were significantly different when compared to predictive methods, except for the McArdle and FAO/WHO/UNU predictive equations. </w:t>
      </w:r>
    </w:p>
    <w:p>
      <w:pPr>
        <w:spacing w:line="360" w:lineRule="auto"/>
        <w:ind w:firstLine="720"/>
        <w:jc w:val="both"/>
        <w:rPr>
          <w:rFonts w:ascii="Book Antiqua" w:hAnsi="Book Antiqua"/>
        </w:rPr>
      </w:pPr>
      <w:r>
        <w:rPr>
          <w:rFonts w:ascii="Book Antiqua" w:hAnsi="Book Antiqua" w:eastAsia="Book Antiqua" w:cs="Book Antiqua"/>
          <w:color w:val="000000"/>
        </w:rPr>
        <w:t>As shown in Figure 1, we found differences in agreement between IC and the predictive methods. The best agreement was found between IC and the IOM equation, followed by FAO/WHO/UNU and McArdle equations. The agreement between IC and BIA was below 10% of the mean difference. The Harris and Benedict and the Mifflin equations showed less agreement with the IC values. The ANOVA analysis showed no differences of IC or REE estimated by different methods when patients were grouped by their Child-Pugh scores (data not showed).</w:t>
      </w:r>
    </w:p>
    <w:p>
      <w:pPr>
        <w:spacing w:line="360" w:lineRule="auto"/>
        <w:ind w:firstLine="7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The present study aimed to determine the REE of patients with cirrhosis by IC and compare the values thus obtained to those estimated by BIA and common predictive equations. The IOM and FAO/WHO/UNU equations showed the best agreement with IC, whilst the McArdle equation and BIA could also be considered appropriate for REE estimation. </w:t>
      </w:r>
    </w:p>
    <w:p>
      <w:pPr>
        <w:spacing w:line="360" w:lineRule="auto"/>
        <w:ind w:firstLine="851"/>
        <w:jc w:val="both"/>
        <w:rPr>
          <w:rFonts w:ascii="Book Antiqua" w:hAnsi="Book Antiqua"/>
        </w:rPr>
      </w:pPr>
      <w:r>
        <w:rPr>
          <w:rFonts w:ascii="Book Antiqua" w:hAnsi="Book Antiqua" w:eastAsia="Book Antiqua" w:cs="Book Antiqua"/>
          <w:color w:val="000000"/>
        </w:rPr>
        <w:t>The present study evaluated 90 patients, with a mean age of 57 (± 9.3) years, which is close to that previously reported</w:t>
      </w:r>
      <w:r>
        <w:rPr>
          <w:rFonts w:ascii="Book Antiqua" w:hAnsi="Book Antiqua" w:eastAsia="Book Antiqua" w:cs="Book Antiqua"/>
          <w:color w:val="000000"/>
          <w:vertAlign w:val="superscript"/>
        </w:rPr>
        <w:t>[32]</w:t>
      </w:r>
      <w:r>
        <w:rPr>
          <w:rFonts w:ascii="Book Antiqua" w:hAnsi="Book Antiqua" w:eastAsia="Book Antiqua" w:cs="Book Antiqua"/>
          <w:color w:val="000000"/>
        </w:rPr>
        <w:t xml:space="preserve"> whilst the male predominance of the sample is also consistent with prior work by Tajika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w:t>
      </w:r>
      <w:r>
        <w:rPr>
          <w:rFonts w:ascii="Book Antiqua" w:hAnsi="Book Antiqua" w:eastAsia="Book Antiqua" w:cs="Book Antiqua"/>
          <w:color w:val="000000"/>
        </w:rPr>
        <w:t xml:space="preserve"> and Wilkens Knudsen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[33]</w:t>
      </w:r>
      <w:r>
        <w:rPr>
          <w:rFonts w:ascii="Book Antiqua" w:hAnsi="Book Antiqua" w:eastAsia="Book Antiqua" w:cs="Book Antiqua"/>
          <w:color w:val="000000"/>
        </w:rPr>
        <w:t>. Regarding Child-Pugh classification, our sample was homogeneous, with 33 patients in class A, 36 in class B, and 21 identified as having class C; this proportion differs from that reported by Qing-Hua Meng, where 60% of patients had Child-Pugh A and only eight had class C</w:t>
      </w:r>
      <w:r>
        <w:rPr>
          <w:rFonts w:ascii="Book Antiqua" w:hAnsi="Book Antiqua" w:eastAsia="Book Antiqua" w:cs="Book Antiqua"/>
          <w:color w:val="000000"/>
          <w:vertAlign w:val="superscript"/>
        </w:rPr>
        <w:t>[34]</w:t>
      </w:r>
      <w:r>
        <w:rPr>
          <w:rFonts w:ascii="Book Antiqua" w:hAnsi="Book Antiqua" w:eastAsia="Book Antiqua" w:cs="Book Antiqua"/>
          <w:color w:val="000000"/>
        </w:rPr>
        <w:t>. Regarding nutritional status, the mean BMI of patients in our study was 28.6 ± 5.6 kg/m</w:t>
      </w:r>
      <w:r>
        <w:rPr>
          <w:rFonts w:ascii="Book Antiqua" w:hAnsi="Book Antiqua" w:eastAsia="Book Antiqua" w:cs="Book Antiqua"/>
          <w:color w:val="000000"/>
          <w:vertAlign w:val="superscript"/>
        </w:rPr>
        <w:t>2</w:t>
      </w:r>
      <w:r>
        <w:rPr>
          <w:rFonts w:ascii="Book Antiqua" w:hAnsi="Book Antiqua" w:eastAsia="Book Antiqua" w:cs="Book Antiqua"/>
          <w:color w:val="000000"/>
        </w:rPr>
        <w:t>, which would classify them as overweight</w:t>
      </w:r>
      <w:r>
        <w:rPr>
          <w:rFonts w:ascii="Book Antiqua" w:hAnsi="Book Antiqua" w:eastAsia="Book Antiqua" w:cs="Book Antiqua"/>
          <w:color w:val="000000"/>
          <w:vertAlign w:val="superscript"/>
        </w:rPr>
        <w:t>[23]</w:t>
      </w:r>
      <w:r>
        <w:rPr>
          <w:rFonts w:ascii="Book Antiqua" w:hAnsi="Book Antiqua" w:eastAsia="Book Antiqua" w:cs="Book Antiqua"/>
          <w:color w:val="000000"/>
        </w:rPr>
        <w:t>. This result is in line with Brazilian studies of patients with cirrhosis which confirmed the same classification</w:t>
      </w:r>
      <w:r>
        <w:rPr>
          <w:rFonts w:ascii="Book Antiqua" w:hAnsi="Book Antiqua" w:eastAsia="Book Antiqua" w:cs="Book Antiqua"/>
          <w:color w:val="000000"/>
          <w:vertAlign w:val="superscript"/>
        </w:rPr>
        <w:t>[3,35]</w:t>
      </w:r>
      <w:r>
        <w:rPr>
          <w:rFonts w:ascii="Book Antiqua" w:hAnsi="Book Antiqua" w:eastAsia="Book Antiqua" w:cs="Book Antiqua"/>
          <w:color w:val="000000"/>
        </w:rPr>
        <w:t xml:space="preserve">. Like Fernandes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w:t>
      </w:r>
      <w:r>
        <w:rPr>
          <w:rFonts w:ascii="Book Antiqua" w:hAnsi="Book Antiqua" w:eastAsia="Book Antiqua" w:cs="Book Antiqua"/>
          <w:color w:val="000000"/>
        </w:rPr>
        <w:t>, we did not find BMI to be a reliable method of estimating nutritional status in this population, due to the distortion of body weight inherent to the underlying disorder. Strikingly, we did not identify a correlation between BMI and REE, albeit we report a correlation between REE and muscle mass (in kilograms).</w:t>
      </w:r>
    </w:p>
    <w:p>
      <w:pPr>
        <w:spacing w:line="360" w:lineRule="auto"/>
        <w:ind w:firstLine="851"/>
        <w:jc w:val="both"/>
        <w:rPr>
          <w:rFonts w:ascii="Book Antiqua" w:hAnsi="Book Antiqua"/>
        </w:rPr>
      </w:pPr>
      <w:r>
        <w:rPr>
          <w:rFonts w:ascii="Book Antiqua" w:hAnsi="Book Antiqua" w:eastAsia="Book Antiqua" w:cs="Book Antiqua"/>
          <w:color w:val="000000"/>
        </w:rPr>
        <w:t>IC is considered by many researchers as the gold standard for measuring REE. It is a non-invasive method, capable of measuring basal energy expenditure by means of gas exchange, thus ensuring greater precision in measurement</w:t>
      </w:r>
      <w:r>
        <w:rPr>
          <w:rFonts w:ascii="Book Antiqua" w:hAnsi="Book Antiqua" w:eastAsia="Book Antiqua" w:cs="Book Antiqua"/>
          <w:color w:val="000000"/>
          <w:vertAlign w:val="superscript"/>
        </w:rPr>
        <w:t>[35-37]</w:t>
      </w:r>
      <w:r>
        <w:rPr>
          <w:rFonts w:ascii="Book Antiqua" w:hAnsi="Book Antiqua" w:eastAsia="Book Antiqua" w:cs="Book Antiqua"/>
          <w:color w:val="000000"/>
        </w:rPr>
        <w:t xml:space="preserve">. In our study, the average REE-IC was 1522 ± 271 kcal, very close to the result reported by Pinto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[36]</w:t>
      </w:r>
      <w:r>
        <w:rPr>
          <w:rFonts w:ascii="Book Antiqua" w:hAnsi="Book Antiqua" w:eastAsia="Book Antiqua" w:cs="Book Antiqua"/>
          <w:color w:val="000000"/>
        </w:rPr>
        <w:t xml:space="preserve"> of 1534 ± 300 kcal in a sample of 45 patients waitlisted for liver transplantation, which corroborates the expectation of accuracy of caloric prediction by this method.</w:t>
      </w:r>
    </w:p>
    <w:p>
      <w:pPr>
        <w:spacing w:line="360" w:lineRule="auto"/>
        <w:ind w:firstLine="851"/>
        <w:jc w:val="both"/>
        <w:rPr>
          <w:rFonts w:ascii="Book Antiqua" w:hAnsi="Book Antiqua"/>
        </w:rPr>
      </w:pPr>
      <w:r>
        <w:rPr>
          <w:rFonts w:ascii="Book Antiqua" w:hAnsi="Book Antiqua" w:eastAsia="Book Antiqua" w:cs="Book Antiqua"/>
          <w:color w:val="000000"/>
        </w:rPr>
        <w:t>Comparison of REE-IC values with those calculated by the Harris and Benedict (HB) equation revealed super estimated values. Consistent with other studies</w:t>
      </w:r>
      <w:r>
        <w:rPr>
          <w:rFonts w:ascii="Book Antiqua" w:hAnsi="Book Antiqua" w:eastAsia="Book Antiqua" w:cs="Book Antiqua"/>
          <w:color w:val="000000"/>
          <w:vertAlign w:val="superscript"/>
        </w:rPr>
        <w:t>[22,34,35]</w:t>
      </w:r>
      <w:r>
        <w:rPr>
          <w:rFonts w:ascii="Book Antiqua" w:hAnsi="Book Antiqua" w:eastAsia="Book Antiqua" w:cs="Book Antiqua"/>
          <w:color w:val="000000"/>
        </w:rPr>
        <w:t>, our findings suggest that common predictive equations for estimation of REE could be clinically inaccurate in cirrhotic patients, since they are usually based on body weight, a parameter that can be altered by several factors—such as ascites and fluid retention—and thus directly affect the energy expenditure estimated by the equation</w:t>
      </w:r>
      <w:r>
        <w:rPr>
          <w:rFonts w:ascii="Book Antiqua" w:hAnsi="Book Antiqua" w:eastAsia="Book Antiqua" w:cs="Book Antiqua"/>
          <w:color w:val="000000"/>
          <w:vertAlign w:val="superscript"/>
        </w:rPr>
        <w:t>[33]</w:t>
      </w:r>
      <w:r>
        <w:rPr>
          <w:rFonts w:ascii="Book Antiqua" w:hAnsi="Book Antiqua" w:eastAsia="Book Antiqua" w:cs="Book Antiqua"/>
          <w:color w:val="000000"/>
        </w:rPr>
        <w:t>. Thus, even considering their low cost and applicability, using predictive equation should consider the aforementioned aspects, since overestimation of REE has been reported in many previously published comparisons</w:t>
      </w:r>
      <w:r>
        <w:rPr>
          <w:rFonts w:ascii="Book Antiqua" w:hAnsi="Book Antiqua" w:eastAsia="Book Antiqua" w:cs="Book Antiqua"/>
          <w:color w:val="000000"/>
          <w:vertAlign w:val="superscript"/>
        </w:rPr>
        <w:t>[22,34,35]</w:t>
      </w:r>
      <w:r>
        <w:rPr>
          <w:rFonts w:ascii="Book Antiqua" w:hAnsi="Book Antiqua" w:eastAsia="Book Antiqua" w:cs="Book Antiqua"/>
          <w:color w:val="000000"/>
        </w:rPr>
        <w:t>.</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 xml:space="preserve">Corroborating our line of thought, Meng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[34]</w:t>
      </w:r>
      <w:r>
        <w:rPr>
          <w:rFonts w:ascii="Book Antiqua" w:hAnsi="Book Antiqua" w:eastAsia="Book Antiqua" w:cs="Book Antiqua"/>
          <w:color w:val="000000"/>
        </w:rPr>
        <w:t xml:space="preserve"> found a reduced REE in 53% of their sample of 153 patients with liver cirrhosis when REE measured by IC as compared to REE estimated by the HB equation. Likewise, Teramoto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evaluated 488 patients and found that the estimated REE was 1256 kcal by IC </w:t>
      </w:r>
      <w:r>
        <w:rPr>
          <w:rFonts w:ascii="Book Antiqua" w:hAnsi="Book Antiqua" w:eastAsia="Book Antiqua" w:cs="Book Antiqua"/>
          <w:i/>
          <w:iCs/>
          <w:color w:val="000000"/>
        </w:rPr>
        <w:t>vs</w:t>
      </w:r>
      <w:r>
        <w:rPr>
          <w:rFonts w:ascii="Book Antiqua" w:hAnsi="Book Antiqua" w:eastAsia="Book Antiqua" w:cs="Book Antiqua"/>
          <w:color w:val="000000"/>
        </w:rPr>
        <w:t xml:space="preserve"> 1279 kcal by the HB formula.</w:t>
      </w:r>
      <w:r>
        <w:rPr>
          <w:rFonts w:ascii="Book Antiqua" w:hAnsi="Book Antiqua" w:eastAsia="Book Antiqua" w:cs="Book Antiqua"/>
          <w:b/>
          <w:bCs/>
          <w:color w:val="000000"/>
        </w:rPr>
        <w:t xml:space="preserve"> </w:t>
      </w:r>
    </w:p>
    <w:p>
      <w:pPr>
        <w:spacing w:line="360" w:lineRule="auto"/>
        <w:ind w:firstLine="851"/>
        <w:jc w:val="both"/>
        <w:rPr>
          <w:rFonts w:ascii="Book Antiqua" w:hAnsi="Book Antiqua"/>
        </w:rPr>
      </w:pPr>
      <w:r>
        <w:rPr>
          <w:rFonts w:ascii="Book Antiqua" w:hAnsi="Book Antiqua" w:eastAsia="Book Antiqua" w:cs="Book Antiqua"/>
          <w:color w:val="000000"/>
        </w:rPr>
        <w:t xml:space="preserve">Boullata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[38]</w:t>
      </w:r>
      <w:r>
        <w:rPr>
          <w:rFonts w:ascii="Book Antiqua" w:hAnsi="Book Antiqua" w:eastAsia="Book Antiqua" w:cs="Book Antiqua"/>
          <w:color w:val="000000"/>
        </w:rPr>
        <w:t xml:space="preserve"> aimed to compare the accuracy of seven predictive equations, including the Harris-Benedict and the Mifflin equations, against measured REE in hospitalized patients, including patients with obesity and critical illness. The authors concluded that no predictive method was accurate when considering accuracy as 90% to 110% of the value obtained by IC. In our study, most of the evaluated predictive methods resulted in an error below 10%. Further, based on our findings, in circumstances where IC is not available, the FAO/WHO/UNU or McArdle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[29]</w:t>
      </w:r>
      <w:r>
        <w:rPr>
          <w:rFonts w:ascii="Book Antiqua" w:hAnsi="Book Antiqua" w:eastAsia="Book Antiqua" w:cs="Book Antiqua"/>
          <w:color w:val="000000"/>
        </w:rPr>
        <w:t xml:space="preserve"> equations can be used to accurately estimate REE, since they may yield values closer to those of IC in patients with cirrhosis. Also, the IOM equation could be used, since it also showed good agreement in the Bland-Altman analysis, albeit it was significantly different in the </w:t>
      </w:r>
      <w:r>
        <w:rPr>
          <w:rFonts w:ascii="Book Antiqua" w:hAnsi="Book Antiqua" w:eastAsia="Book Antiqua" w:cs="Book Antiqua"/>
          <w:i/>
          <w:color w:val="000000"/>
        </w:rPr>
        <w:t>t</w:t>
      </w:r>
      <w:r>
        <w:rPr>
          <w:rFonts w:ascii="Book Antiqua" w:hAnsi="Book Antiqua" w:eastAsia="Book Antiqua" w:cs="Book Antiqua"/>
          <w:color w:val="000000"/>
        </w:rPr>
        <w:t xml:space="preserve">-test. Noteworthy, a previous study including patients with portal hypertension reported that the Zanella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[39]</w:t>
      </w:r>
      <w:r>
        <w:rPr>
          <w:rFonts w:ascii="Book Antiqua" w:hAnsi="Book Antiqua" w:eastAsia="Book Antiqua" w:cs="Book Antiqua"/>
          <w:color w:val="000000"/>
        </w:rPr>
        <w:t xml:space="preserve"> equation was one of the predictive methods that differed most in REE estimates in the study population. As in our study, IC yielded a higher value than all other methods. The authors noted that all other methods underestimated the predicted REE by more than 200 kcal when compared to IC, except Cunningham’s predictive equation. Therefore, it bears stressing that the same method of assessment in different populations can present different correlations with the available predictive equations.</w:t>
      </w:r>
    </w:p>
    <w:p>
      <w:pPr>
        <w:spacing w:line="360" w:lineRule="auto"/>
        <w:ind w:firstLine="851"/>
        <w:jc w:val="both"/>
        <w:rPr>
          <w:rFonts w:ascii="Book Antiqua" w:hAnsi="Book Antiqua"/>
        </w:rPr>
      </w:pPr>
      <w:r>
        <w:rPr>
          <w:rFonts w:ascii="Book Antiqua" w:hAnsi="Book Antiqua" w:eastAsia="Book Antiqua" w:cs="Book Antiqua"/>
          <w:color w:val="000000"/>
        </w:rPr>
        <w:t xml:space="preserve">Although we have not found prior publications supporting the use of BIA to determine REE as a means of extrapolating energy expenditure in patients with cirrhosis, this method was used in a study by Strain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[40]</w:t>
      </w:r>
      <w:r>
        <w:rPr>
          <w:rFonts w:ascii="Book Antiqua" w:hAnsi="Book Antiqua" w:eastAsia="Book Antiqua" w:cs="Book Antiqua"/>
          <w:color w:val="000000"/>
        </w:rPr>
        <w:t xml:space="preserve"> of morbidly obese patients. There was no significant difference between the value predicted by BIA (which was based on the HB equation) and IC, which could support the indication of BIA as a good predictor of energy expenditure in this population</w:t>
      </w:r>
      <w:r>
        <w:rPr>
          <w:rFonts w:ascii="Book Antiqua" w:hAnsi="Book Antiqua" w:eastAsia="Book Antiqua" w:cs="Book Antiqua"/>
          <w:color w:val="000000"/>
          <w:vertAlign w:val="superscript"/>
        </w:rPr>
        <w:t>[40]</w:t>
      </w:r>
      <w:r>
        <w:rPr>
          <w:rFonts w:ascii="Book Antiqua" w:hAnsi="Book Antiqua" w:eastAsia="Book Antiqua" w:cs="Book Antiqua"/>
          <w:color w:val="000000"/>
        </w:rPr>
        <w:t>. Our study also found that the BIA equipment was able to predict REE, albeit different BIA equipment applies different equations to predict REE using body composition parameters, and users should observe which equation is being applied.</w:t>
      </w:r>
    </w:p>
    <w:p>
      <w:pPr>
        <w:spacing w:line="360" w:lineRule="auto"/>
        <w:ind w:firstLine="851"/>
        <w:jc w:val="both"/>
        <w:rPr>
          <w:rFonts w:ascii="Book Antiqua" w:hAnsi="Book Antiqua"/>
        </w:rPr>
      </w:pPr>
      <w:r>
        <w:rPr>
          <w:rFonts w:ascii="Book Antiqua" w:hAnsi="Book Antiqua" w:eastAsia="Book Antiqua" w:cs="Book Antiqua"/>
          <w:color w:val="000000"/>
        </w:rPr>
        <w:t xml:space="preserve">We found no significant differences in IC between patients classified as Child-Pugh A and those classified as Child-Pugh B. In this respect, our findings corroborate those of Teramoto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and Meng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[34]</w:t>
      </w:r>
      <w:r>
        <w:rPr>
          <w:rFonts w:ascii="Book Antiqua" w:hAnsi="Book Antiqua" w:eastAsia="Book Antiqua" w:cs="Book Antiqua"/>
          <w:color w:val="000000"/>
        </w:rPr>
        <w:t xml:space="preserve">, who found no statistically significant difference in IC when comparing the three Child-Pugh prognostic classes. Moreover, Belarmino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[32]</w:t>
      </w:r>
      <w:r>
        <w:rPr>
          <w:rFonts w:ascii="Book Antiqua" w:hAnsi="Book Antiqua" w:eastAsia="Book Antiqua" w:cs="Book Antiqua"/>
          <w:color w:val="000000"/>
        </w:rPr>
        <w:t xml:space="preserve"> reported that the dietary intake of patients with cirrhosis in their sample was 1.4 times greater than that predicted by IC, while in our study, it was 1.14 times greater. Teramoto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found that most patients in their sample had adequate dietary intake and there was no statistically significant difference between Child-Pugh classes, corroborating the findings in the present study. Meng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[34]</w:t>
      </w:r>
      <w:r>
        <w:rPr>
          <w:rFonts w:ascii="Book Antiqua" w:hAnsi="Book Antiqua" w:eastAsia="Book Antiqua" w:cs="Book Antiqua"/>
          <w:color w:val="000000"/>
        </w:rPr>
        <w:t xml:space="preserve"> highlighted that dietary intake can be impaired by factors such as anorexia, weakness, fatigue, low-grade encephalopathy, and restrictions on sodium, protein, and fluid intake. These data, in addition to the insufficient energy intake in 48% of the patients studied by Nunes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[41]</w:t>
      </w:r>
      <w:r>
        <w:rPr>
          <w:rFonts w:ascii="Book Antiqua" w:hAnsi="Book Antiqua" w:eastAsia="Book Antiqua" w:cs="Book Antiqua"/>
          <w:color w:val="000000"/>
        </w:rPr>
        <w:t xml:space="preserve">, who evaluated a sample of 25 cirrhotic patients and found an average of 2012 ± 720 kcal, highlight the importance of adequate estimation of REE in these patients, to prevent malnutrition and improve prognosis and outcomes. </w:t>
      </w:r>
    </w:p>
    <w:p>
      <w:pPr>
        <w:spacing w:line="360" w:lineRule="auto"/>
        <w:ind w:firstLine="851"/>
        <w:jc w:val="both"/>
        <w:rPr>
          <w:rFonts w:ascii="Book Antiqua" w:hAnsi="Book Antiqua"/>
        </w:rPr>
      </w:pPr>
      <w:r>
        <w:rPr>
          <w:rFonts w:ascii="Book Antiqua" w:hAnsi="Book Antiqua" w:eastAsia="Book Antiqua" w:cs="Book Antiqua"/>
          <w:color w:val="000000"/>
        </w:rPr>
        <w:t>Limitations of the present study include the absence of a healthy control group for comparison and the possibility of recall bias interfering with the 24 h dietary recall, despite this being a validated method.</w:t>
      </w:r>
    </w:p>
    <w:p>
      <w:pPr>
        <w:spacing w:line="360" w:lineRule="auto"/>
        <w:ind w:firstLine="851"/>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The present study aimed to determine the REE of patients with cirrhosis by IC and compare the values thus obtained to those estimated by BIA and common predictive equations. The McArdle and FAO/WHO/UNU equations showed the best agreement with IC, whilst the IOM equation and BIA could also be considered appropriate for REE estimation. Further studies in different populations of patients with cirrhosis, including different severity profiles, are needed to determine the best methods for REE estimation in clinical practice.</w:t>
      </w:r>
    </w:p>
    <w:p>
      <w:pPr>
        <w:spacing w:line="360" w:lineRule="auto"/>
        <w:ind w:firstLine="7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 xml:space="preserve">Patients with cirrhosis commonly present malnutrition, resulting in a significant imbalance in energy metabolism that negatively impacts their prognosis and quality of life. However, adequate dietary prescription depends on the precision of the protocols for energy requirement estimation, and the current literature is still conflicting regarding the relationship between cirrhosis progression and resting metabolic rate alterations.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Reliable calculation of resting energy expenditure (REE) in patients with cirrhosis is pivotal to appropriate therapeutic management. However, there is still a need to evaluate which of the predictive equations is more effective in the clinical setting.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The objective of the present study was to determine the REE of patients with cirrhosis by indirect calorimetry (IC) and compare the values thus obtained to those estimated by bioelectrical impedance analysis (BIA) and common predictive equations.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This was an observational study performed at the Outpatient Gastroenterology and Liver Transplantation Clinics of Santa Casa de Misericórdia de Porto Alegre, Rio Grande do Sul, Brazil.</w:t>
      </w:r>
      <w:r>
        <w:rPr>
          <w:rFonts w:ascii="Book Antiqua" w:hAnsi="Book Antiqua" w:cs="Book Antiqua"/>
          <w:color w:val="000000"/>
          <w:lang w:eastAsia="zh-CN"/>
        </w:rPr>
        <w:t xml:space="preserve"> </w:t>
      </w:r>
      <w:r>
        <w:rPr>
          <w:rFonts w:ascii="Book Antiqua" w:hAnsi="Book Antiqua" w:eastAsia="Book Antiqua" w:cs="Book Antiqua"/>
          <w:color w:val="000000"/>
        </w:rPr>
        <w:t xml:space="preserve">Data from the electronic medical records of the patients, related to the diagnosis, staging by the Child-Pugh score, age, and sex of the participants, were collected. The diagnosis of cirrhosis was made by clinical, laboratory, imaging, and/or, eventually, liver biopsy in accordance with the hospital liver transplant group standards. BIA and IC were performed and the results were compared to energy expenditure predictive equations using the Bland-Altman method, and also the Student’s </w:t>
      </w:r>
      <w:r>
        <w:rPr>
          <w:rFonts w:ascii="Book Antiqua" w:hAnsi="Book Antiqua" w:eastAsia="Book Antiqua" w:cs="Book Antiqua"/>
          <w:i/>
          <w:color w:val="000000"/>
        </w:rPr>
        <w:t>t</w:t>
      </w:r>
      <w:r>
        <w:rPr>
          <w:rFonts w:ascii="Book Antiqua" w:hAnsi="Book Antiqua" w:eastAsia="Book Antiqua" w:cs="Book Antiqua"/>
          <w:color w:val="000000"/>
        </w:rPr>
        <w:t>-test for paired samples.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 xml:space="preserve">Ninety patients, with a mean age of 57.1 years, were assessed. The mean REE measured by IC was 1607.72 and there were no differences in REE when comparing groups with different Child-Pugh scores. The IC values were significantly different when compared to predictive methods, except for the McArdle and </w:t>
      </w:r>
      <w:r>
        <w:rPr>
          <w:rFonts w:ascii="Book Antiqua" w:hAnsi="Book Antiqua" w:eastAsia="Book Antiqua" w:cs="Book Antiqua"/>
        </w:rPr>
        <w:t>Food and Agriculture Organization of the United Nations, World Health Organization and United Nations University (FAO/WHO/UNU)</w:t>
      </w:r>
      <w:r>
        <w:rPr>
          <w:rFonts w:ascii="Book Antiqua" w:hAnsi="Book Antiqua" w:eastAsia="Book Antiqua" w:cs="Book Antiqua"/>
          <w:color w:val="000000"/>
        </w:rPr>
        <w:t xml:space="preserve"> predictive equations. The best agreement was found between IC and the IOM equation, followed by the FAO/WHO/UNU and McArdle equations. The agreement between IC and BIA was below 10% of the mean difference. The Harris and Benedict and the Mifflin equations showed less agreement with the IC values.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 xml:space="preserve">The present study determined the REE of patients with cirrhosis, indicating that the McArdle and FAO/WHO/UNU equations showed the best agreement with IC, whilst the IOM and BIA could also be considered appropriate for REE estimation.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Further studies in different populations of patients with cirrhosis, including different severity profiles, are needed to determine the best methods for REE estimation in clinical practice.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Muir AJ</w:t>
      </w:r>
      <w:r>
        <w:rPr>
          <w:rFonts w:ascii="Book Antiqua" w:hAnsi="Book Antiqua" w:eastAsia="Book Antiqua" w:cs="Book Antiqua"/>
          <w:color w:val="000000"/>
        </w:rPr>
        <w:t xml:space="preserve">. Understanding the Complexities of Cirrhosis. </w:t>
      </w:r>
      <w:r>
        <w:rPr>
          <w:rFonts w:ascii="Book Antiqua" w:hAnsi="Book Antiqua" w:eastAsia="Book Antiqua" w:cs="Book Antiqua"/>
          <w:i/>
          <w:iCs/>
          <w:color w:val="000000"/>
        </w:rPr>
        <w:t>Clin Ther</w:t>
      </w:r>
      <w:r>
        <w:rPr>
          <w:rFonts w:ascii="Book Antiqua" w:hAnsi="Book Antiqua" w:eastAsia="Book Antiqua" w:cs="Book Antiqua"/>
          <w:color w:val="000000"/>
        </w:rPr>
        <w:t xml:space="preserve"> 2015; </w:t>
      </w:r>
      <w:r>
        <w:rPr>
          <w:rFonts w:ascii="Book Antiqua" w:hAnsi="Book Antiqua" w:eastAsia="Book Antiqua" w:cs="Book Antiqua"/>
          <w:b/>
          <w:bCs/>
          <w:color w:val="000000"/>
        </w:rPr>
        <w:t>37</w:t>
      </w:r>
      <w:r>
        <w:rPr>
          <w:rFonts w:ascii="Book Antiqua" w:hAnsi="Book Antiqua" w:eastAsia="Book Antiqua" w:cs="Book Antiqua"/>
          <w:color w:val="000000"/>
        </w:rPr>
        <w:t>: 1822-1836 [PMID: 26188836 DOI: 10.1016/j.clinthera.2015.05.507]</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Moon AM</w:t>
      </w:r>
      <w:r>
        <w:rPr>
          <w:rFonts w:ascii="Book Antiqua" w:hAnsi="Book Antiqua" w:eastAsia="Book Antiqua" w:cs="Book Antiqua"/>
          <w:color w:val="000000"/>
        </w:rPr>
        <w:t xml:space="preserve">, Singal AG, Tapper EB. Contemporary Epidemiology of Chronic Liver Disease and Cirrhosis. </w:t>
      </w:r>
      <w:r>
        <w:rPr>
          <w:rFonts w:ascii="Book Antiqua" w:hAnsi="Book Antiqua" w:eastAsia="Book Antiqua" w:cs="Book Antiqua"/>
          <w:i/>
          <w:iCs/>
          <w:color w:val="000000"/>
        </w:rPr>
        <w:t>Clin Gastroenterol Hepatol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18</w:t>
      </w:r>
      <w:r>
        <w:rPr>
          <w:rFonts w:ascii="Book Antiqua" w:hAnsi="Book Antiqua" w:eastAsia="Book Antiqua" w:cs="Book Antiqua"/>
          <w:color w:val="000000"/>
        </w:rPr>
        <w:t>: 2650-2666 [PMID: 31401364 DOI: 10.1016/j.cgh.2019.07.060]</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Fernandes SA</w:t>
      </w:r>
      <w:r>
        <w:rPr>
          <w:rFonts w:ascii="Book Antiqua" w:hAnsi="Book Antiqua" w:eastAsia="Book Antiqua" w:cs="Book Antiqua"/>
          <w:color w:val="000000"/>
        </w:rPr>
        <w:t xml:space="preserve">, de Mattos AA, Tovo CV, Marroni CA. Nutritional evaluation in cirrhosis: Emphasis on the phase angle. </w:t>
      </w:r>
      <w:r>
        <w:rPr>
          <w:rFonts w:ascii="Book Antiqua" w:hAnsi="Book Antiqua" w:eastAsia="Book Antiqua" w:cs="Book Antiqua"/>
          <w:i/>
          <w:iCs/>
          <w:color w:val="000000"/>
        </w:rPr>
        <w:t>World J Hepatol</w:t>
      </w:r>
      <w:r>
        <w:rPr>
          <w:rFonts w:ascii="Book Antiqua" w:hAnsi="Book Antiqua" w:eastAsia="Book Antiqua" w:cs="Book Antiqua"/>
          <w:color w:val="000000"/>
        </w:rPr>
        <w:t xml:space="preserve"> 2016; </w:t>
      </w:r>
      <w:r>
        <w:rPr>
          <w:rFonts w:ascii="Book Antiqua" w:hAnsi="Book Antiqua" w:eastAsia="Book Antiqua" w:cs="Book Antiqua"/>
          <w:b/>
          <w:bCs/>
          <w:color w:val="000000"/>
        </w:rPr>
        <w:t>8</w:t>
      </w:r>
      <w:r>
        <w:rPr>
          <w:rFonts w:ascii="Book Antiqua" w:hAnsi="Book Antiqua" w:eastAsia="Book Antiqua" w:cs="Book Antiqua"/>
          <w:color w:val="000000"/>
        </w:rPr>
        <w:t>: 1205-1211 [PMID: 27803765 DOI: 10.4254/wjh.v8.i29.1205]</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Lautz HU</w:t>
      </w:r>
      <w:r>
        <w:rPr>
          <w:rFonts w:ascii="Book Antiqua" w:hAnsi="Book Antiqua" w:eastAsia="Book Antiqua" w:cs="Book Antiqua"/>
          <w:color w:val="000000"/>
        </w:rPr>
        <w:t xml:space="preserve">, Selberg O, Körber J, Bürger M, Müller MJ. Protein-calorie malnutrition in liver cirrhosis. </w:t>
      </w:r>
      <w:r>
        <w:rPr>
          <w:rFonts w:ascii="Book Antiqua" w:hAnsi="Book Antiqua" w:eastAsia="Book Antiqua" w:cs="Book Antiqua"/>
          <w:i/>
          <w:iCs/>
          <w:color w:val="000000"/>
        </w:rPr>
        <w:t>Clin Investig</w:t>
      </w:r>
      <w:r>
        <w:rPr>
          <w:rFonts w:ascii="Book Antiqua" w:hAnsi="Book Antiqua" w:eastAsia="Book Antiqua" w:cs="Book Antiqua"/>
          <w:color w:val="000000"/>
        </w:rPr>
        <w:t xml:space="preserve"> 1992; </w:t>
      </w:r>
      <w:r>
        <w:rPr>
          <w:rFonts w:ascii="Book Antiqua" w:hAnsi="Book Antiqua" w:eastAsia="Book Antiqua" w:cs="Book Antiqua"/>
          <w:b/>
          <w:bCs/>
          <w:color w:val="000000"/>
        </w:rPr>
        <w:t>70</w:t>
      </w:r>
      <w:r>
        <w:rPr>
          <w:rFonts w:ascii="Book Antiqua" w:hAnsi="Book Antiqua" w:eastAsia="Book Antiqua" w:cs="Book Antiqua"/>
          <w:color w:val="000000"/>
        </w:rPr>
        <w:t>: 478-486 [PMID: 1392415 DOI: 10.1007/BF00210228]</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Tajika M</w:t>
      </w:r>
      <w:r>
        <w:rPr>
          <w:rFonts w:ascii="Book Antiqua" w:hAnsi="Book Antiqua" w:eastAsia="Book Antiqua" w:cs="Book Antiqua"/>
          <w:color w:val="000000"/>
        </w:rPr>
        <w:t xml:space="preserve">, Kato M, Mohri H, Miwa Y, Kato T, Ohnishi H, Moriwaki H. Prognostic value of energy metabolism in patients with viral liver cirrhosis. </w:t>
      </w:r>
      <w:r>
        <w:rPr>
          <w:rFonts w:ascii="Book Antiqua" w:hAnsi="Book Antiqua" w:eastAsia="Book Antiqua" w:cs="Book Antiqua"/>
          <w:i/>
          <w:iCs/>
          <w:color w:val="000000"/>
        </w:rPr>
        <w:t>Nutrition</w:t>
      </w:r>
      <w:r>
        <w:rPr>
          <w:rFonts w:ascii="Book Antiqua" w:hAnsi="Book Antiqua" w:eastAsia="Book Antiqua" w:cs="Book Antiqua"/>
          <w:color w:val="000000"/>
        </w:rPr>
        <w:t xml:space="preserve"> 2002; </w:t>
      </w:r>
      <w:r>
        <w:rPr>
          <w:rFonts w:ascii="Book Antiqua" w:hAnsi="Book Antiqua" w:eastAsia="Book Antiqua" w:cs="Book Antiqua"/>
          <w:b/>
          <w:bCs/>
          <w:color w:val="000000"/>
        </w:rPr>
        <w:t>18</w:t>
      </w:r>
      <w:r>
        <w:rPr>
          <w:rFonts w:ascii="Book Antiqua" w:hAnsi="Book Antiqua" w:eastAsia="Book Antiqua" w:cs="Book Antiqua"/>
          <w:color w:val="000000"/>
        </w:rPr>
        <w:t>: 229-234 [PMID: 11882395 DOI: 10.1016/s0899-9007(01)00754-7]</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Hills AP</w:t>
      </w:r>
      <w:r>
        <w:rPr>
          <w:rFonts w:ascii="Book Antiqua" w:hAnsi="Book Antiqua" w:eastAsia="Book Antiqua" w:cs="Book Antiqua"/>
          <w:color w:val="000000"/>
        </w:rPr>
        <w:t xml:space="preserve">, Mokhtar N, Byrne NM. Assessment of physical activity and energy expenditure: an overview of objective measures. </w:t>
      </w:r>
      <w:r>
        <w:rPr>
          <w:rFonts w:ascii="Book Antiqua" w:hAnsi="Book Antiqua" w:eastAsia="Book Antiqua" w:cs="Book Antiqua"/>
          <w:i/>
          <w:iCs/>
          <w:color w:val="000000"/>
        </w:rPr>
        <w:t>Front Nutr</w:t>
      </w:r>
      <w:r>
        <w:rPr>
          <w:rFonts w:ascii="Book Antiqua" w:hAnsi="Book Antiqua" w:eastAsia="Book Antiqua" w:cs="Book Antiqua"/>
          <w:color w:val="000000"/>
        </w:rPr>
        <w:t xml:space="preserve"> 2014; </w:t>
      </w:r>
      <w:r>
        <w:rPr>
          <w:rFonts w:ascii="Book Antiqua" w:hAnsi="Book Antiqua" w:eastAsia="Book Antiqua" w:cs="Book Antiqua"/>
          <w:b/>
          <w:bCs/>
          <w:color w:val="000000"/>
        </w:rPr>
        <w:t>1</w:t>
      </w:r>
      <w:r>
        <w:rPr>
          <w:rFonts w:ascii="Book Antiqua" w:hAnsi="Book Antiqua" w:eastAsia="Book Antiqua" w:cs="Book Antiqua"/>
          <w:color w:val="000000"/>
        </w:rPr>
        <w:t>: 5 [PMID: 25988109 DOI: 10.3389/fnut.2014.00005]</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McClave SA</w:t>
      </w:r>
      <w:r>
        <w:rPr>
          <w:rFonts w:ascii="Book Antiqua" w:hAnsi="Book Antiqua" w:eastAsia="Book Antiqua" w:cs="Book Antiqua"/>
          <w:color w:val="000000"/>
        </w:rPr>
        <w:t xml:space="preserve">, Snider HL. Dissecting the energy needs of the body. </w:t>
      </w:r>
      <w:r>
        <w:rPr>
          <w:rFonts w:ascii="Book Antiqua" w:hAnsi="Book Antiqua" w:eastAsia="Book Antiqua" w:cs="Book Antiqua"/>
          <w:i/>
          <w:iCs/>
          <w:color w:val="000000"/>
        </w:rPr>
        <w:t>Curr Opin Clin Nutr Metab Care</w:t>
      </w:r>
      <w:r>
        <w:rPr>
          <w:rFonts w:ascii="Book Antiqua" w:hAnsi="Book Antiqua" w:eastAsia="Book Antiqua" w:cs="Book Antiqua"/>
          <w:color w:val="000000"/>
        </w:rPr>
        <w:t xml:space="preserve"> 2001; </w:t>
      </w:r>
      <w:r>
        <w:rPr>
          <w:rFonts w:ascii="Book Antiqua" w:hAnsi="Book Antiqua" w:eastAsia="Book Antiqua" w:cs="Book Antiqua"/>
          <w:b/>
          <w:bCs/>
          <w:color w:val="000000"/>
        </w:rPr>
        <w:t>4</w:t>
      </w:r>
      <w:r>
        <w:rPr>
          <w:rFonts w:ascii="Book Antiqua" w:hAnsi="Book Antiqua" w:eastAsia="Book Antiqua" w:cs="Book Antiqua"/>
          <w:color w:val="000000"/>
        </w:rPr>
        <w:t>: 143-147 [PMID: 11224660 DOI: 10.1097/00075197-200103000-00011]</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D'Amico G</w:t>
      </w:r>
      <w:r>
        <w:rPr>
          <w:rFonts w:ascii="Book Antiqua" w:hAnsi="Book Antiqua" w:eastAsia="Book Antiqua" w:cs="Book Antiqua"/>
          <w:color w:val="000000"/>
        </w:rPr>
        <w:t xml:space="preserve">, Garcia-Tsao G, Pagliaro L. Natural history and prognostic indicators of survival in cirrhosis: a systematic review of 118 studies. </w:t>
      </w:r>
      <w:r>
        <w:rPr>
          <w:rFonts w:ascii="Book Antiqua" w:hAnsi="Book Antiqua" w:eastAsia="Book Antiqua" w:cs="Book Antiqua"/>
          <w:i/>
          <w:iCs/>
          <w:color w:val="000000"/>
        </w:rPr>
        <w:t>J Hepatol</w:t>
      </w:r>
      <w:r>
        <w:rPr>
          <w:rFonts w:ascii="Book Antiqua" w:hAnsi="Book Antiqua" w:eastAsia="Book Antiqua" w:cs="Book Antiqua"/>
          <w:color w:val="000000"/>
        </w:rPr>
        <w:t xml:space="preserve"> 2006; </w:t>
      </w:r>
      <w:r>
        <w:rPr>
          <w:rFonts w:ascii="Book Antiqua" w:hAnsi="Book Antiqua" w:eastAsia="Book Antiqua" w:cs="Book Antiqua"/>
          <w:b/>
          <w:bCs/>
          <w:color w:val="000000"/>
        </w:rPr>
        <w:t>44</w:t>
      </w:r>
      <w:r>
        <w:rPr>
          <w:rFonts w:ascii="Book Antiqua" w:hAnsi="Book Antiqua" w:eastAsia="Book Antiqua" w:cs="Book Antiqua"/>
          <w:color w:val="000000"/>
        </w:rPr>
        <w:t>: 217-231 [PMID: 16298014 DOI: 10.1016/j.jhep.2005.10.013]</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Plauth M</w:t>
      </w:r>
      <w:r>
        <w:rPr>
          <w:rFonts w:ascii="Book Antiqua" w:hAnsi="Book Antiqua" w:eastAsia="Book Antiqua" w:cs="Book Antiqua"/>
          <w:color w:val="000000"/>
        </w:rPr>
        <w:t xml:space="preserve">, Bernal W, Dasarathy S, Merli M, Plank LD, Schütz T, Bischoff SC. ESPEN guideline on clinical nutrition in liver disease. </w:t>
      </w:r>
      <w:r>
        <w:rPr>
          <w:rFonts w:ascii="Book Antiqua" w:hAnsi="Book Antiqua" w:eastAsia="Book Antiqua" w:cs="Book Antiqua"/>
          <w:i/>
          <w:iCs/>
          <w:color w:val="000000"/>
        </w:rPr>
        <w:t>Clin Nutr</w:t>
      </w:r>
      <w:r>
        <w:rPr>
          <w:rFonts w:ascii="Book Antiqua" w:hAnsi="Book Antiqua" w:eastAsia="Book Antiqua" w:cs="Book Antiqua"/>
          <w:color w:val="000000"/>
        </w:rPr>
        <w:t xml:space="preserve"> 2019; </w:t>
      </w:r>
      <w:r>
        <w:rPr>
          <w:rFonts w:ascii="Book Antiqua" w:hAnsi="Book Antiqua" w:eastAsia="Book Antiqua" w:cs="Book Antiqua"/>
          <w:b/>
          <w:bCs/>
          <w:color w:val="000000"/>
        </w:rPr>
        <w:t>38</w:t>
      </w:r>
      <w:r>
        <w:rPr>
          <w:rFonts w:ascii="Book Antiqua" w:hAnsi="Book Antiqua" w:eastAsia="Book Antiqua" w:cs="Book Antiqua"/>
          <w:color w:val="000000"/>
        </w:rPr>
        <w:t>: 485-521 [PMID: 30712783 DOI: 10.1016/j.clnu.2018.12.022]</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European Association for the Study of the Liver. Electronic address: easloffice@easloffice.eu.</w:t>
      </w:r>
      <w:r>
        <w:rPr>
          <w:rFonts w:ascii="Book Antiqua" w:hAnsi="Book Antiqua" w:eastAsia="Book Antiqua" w:cs="Book Antiqua"/>
          <w:color w:val="000000"/>
        </w:rPr>
        <w:t xml:space="preserve">; European Association for the Study of the Liver. EASL Clinical Practice Guidelines on nutrition in chronic liver disease. </w:t>
      </w:r>
      <w:r>
        <w:rPr>
          <w:rFonts w:ascii="Book Antiqua" w:hAnsi="Book Antiqua" w:eastAsia="Book Antiqua" w:cs="Book Antiqua"/>
          <w:i/>
          <w:iCs/>
          <w:color w:val="000000"/>
        </w:rPr>
        <w:t>J Hepatol</w:t>
      </w:r>
      <w:r>
        <w:rPr>
          <w:rFonts w:ascii="Book Antiqua" w:hAnsi="Book Antiqua" w:eastAsia="Book Antiqua" w:cs="Book Antiqua"/>
          <w:color w:val="000000"/>
        </w:rPr>
        <w:t xml:space="preserve"> 2019; </w:t>
      </w:r>
      <w:r>
        <w:rPr>
          <w:rFonts w:ascii="Book Antiqua" w:hAnsi="Book Antiqua" w:eastAsia="Book Antiqua" w:cs="Book Antiqua"/>
          <w:b/>
          <w:bCs/>
          <w:color w:val="000000"/>
        </w:rPr>
        <w:t>70</w:t>
      </w:r>
      <w:r>
        <w:rPr>
          <w:rFonts w:ascii="Book Antiqua" w:hAnsi="Book Antiqua" w:eastAsia="Book Antiqua" w:cs="Book Antiqua"/>
          <w:color w:val="000000"/>
        </w:rPr>
        <w:t>: 172-193 [PMID: 30144956 DOI: 10.1016/j.jhep.2018.06.024]</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Dasarathy S</w:t>
      </w:r>
      <w:r>
        <w:rPr>
          <w:rFonts w:ascii="Book Antiqua" w:hAnsi="Book Antiqua" w:eastAsia="Book Antiqua" w:cs="Book Antiqua"/>
          <w:color w:val="000000"/>
        </w:rPr>
        <w:t xml:space="preserve">, Merli M. Sarcopenia from mechanism to diagnosis and treatment in liver disease. </w:t>
      </w:r>
      <w:r>
        <w:rPr>
          <w:rFonts w:ascii="Book Antiqua" w:hAnsi="Book Antiqua" w:eastAsia="Book Antiqua" w:cs="Book Antiqua"/>
          <w:i/>
          <w:iCs/>
          <w:color w:val="000000"/>
        </w:rPr>
        <w:t>J Hepatol</w:t>
      </w:r>
      <w:r>
        <w:rPr>
          <w:rFonts w:ascii="Book Antiqua" w:hAnsi="Book Antiqua" w:eastAsia="Book Antiqua" w:cs="Book Antiqua"/>
          <w:color w:val="000000"/>
        </w:rPr>
        <w:t xml:space="preserve"> 2016; </w:t>
      </w:r>
      <w:r>
        <w:rPr>
          <w:rFonts w:ascii="Book Antiqua" w:hAnsi="Book Antiqua" w:eastAsia="Book Antiqua" w:cs="Book Antiqua"/>
          <w:b/>
          <w:bCs/>
          <w:color w:val="000000"/>
        </w:rPr>
        <w:t>65</w:t>
      </w:r>
      <w:r>
        <w:rPr>
          <w:rFonts w:ascii="Book Antiqua" w:hAnsi="Book Antiqua" w:eastAsia="Book Antiqua" w:cs="Book Antiqua"/>
          <w:color w:val="000000"/>
        </w:rPr>
        <w:t>: 1232-1244 [PMID: 27515775 DOI: 10.1016/j.jhep.2016.07.040]</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Henz AC</w:t>
      </w:r>
      <w:r>
        <w:rPr>
          <w:rFonts w:ascii="Book Antiqua" w:hAnsi="Book Antiqua" w:eastAsia="Book Antiqua" w:cs="Book Antiqua"/>
          <w:color w:val="000000"/>
        </w:rPr>
        <w:t xml:space="preserve">, Marroni CA, da Silva DM, Teixeira JM, Silveira TT, Ferreira S, Silveira AT, Schmidt NP, Stein JT, Rayn RG, Fernandes SA. Resting energy expenditure in cirrhotic patients with and without hepatocellular carcinoma. </w:t>
      </w:r>
      <w:r>
        <w:rPr>
          <w:rFonts w:ascii="Book Antiqua" w:hAnsi="Book Antiqua" w:eastAsia="Book Antiqua" w:cs="Book Antiqua"/>
          <w:i/>
          <w:iCs/>
          <w:color w:val="000000"/>
        </w:rPr>
        <w:t>World J Gastrointest Pharmacol Ther</w:t>
      </w:r>
      <w:r>
        <w:rPr>
          <w:rFonts w:ascii="Book Antiqua" w:hAnsi="Book Antiqua" w:eastAsia="Book Antiqua" w:cs="Book Antiqua"/>
          <w:color w:val="000000"/>
        </w:rPr>
        <w:t xml:space="preserve"> 2021; </w:t>
      </w:r>
      <w:r>
        <w:rPr>
          <w:rFonts w:ascii="Book Antiqua" w:hAnsi="Book Antiqua" w:eastAsia="Book Antiqua" w:cs="Book Antiqua"/>
          <w:b/>
          <w:bCs/>
          <w:color w:val="000000"/>
        </w:rPr>
        <w:t>12</w:t>
      </w:r>
      <w:r>
        <w:rPr>
          <w:rFonts w:ascii="Book Antiqua" w:hAnsi="Book Antiqua" w:eastAsia="Book Antiqua" w:cs="Book Antiqua"/>
          <w:color w:val="000000"/>
        </w:rPr>
        <w:t>: 1-12 [PMID: 33564492 DOI: 10.4292/wjgpt.v12.i1.1]</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Müller MJ</w:t>
      </w:r>
      <w:r>
        <w:rPr>
          <w:rFonts w:ascii="Book Antiqua" w:hAnsi="Book Antiqua" w:eastAsia="Book Antiqua" w:cs="Book Antiqua"/>
          <w:color w:val="000000"/>
        </w:rPr>
        <w:t xml:space="preserve">, Fenk A, Lautz HU, Selberg O, Canzler H, Balks HJ, von zur Mühlen A, Schmidt E, Schmidt FW. Energy expenditure and substrate metabolism in ethanol-induced liver cirrhosis. </w:t>
      </w:r>
      <w:r>
        <w:rPr>
          <w:rFonts w:ascii="Book Antiqua" w:hAnsi="Book Antiqua" w:eastAsia="Book Antiqua" w:cs="Book Antiqua"/>
          <w:i/>
          <w:iCs/>
          <w:color w:val="000000"/>
        </w:rPr>
        <w:t>Am J Physiol</w:t>
      </w:r>
      <w:r>
        <w:rPr>
          <w:rFonts w:ascii="Book Antiqua" w:hAnsi="Book Antiqua" w:eastAsia="Book Antiqua" w:cs="Book Antiqua"/>
          <w:color w:val="000000"/>
        </w:rPr>
        <w:t xml:space="preserve"> 1991; </w:t>
      </w:r>
      <w:r>
        <w:rPr>
          <w:rFonts w:ascii="Book Antiqua" w:hAnsi="Book Antiqua" w:eastAsia="Book Antiqua" w:cs="Book Antiqua"/>
          <w:b/>
          <w:bCs/>
          <w:color w:val="000000"/>
        </w:rPr>
        <w:t>260</w:t>
      </w:r>
      <w:r>
        <w:rPr>
          <w:rFonts w:ascii="Book Antiqua" w:hAnsi="Book Antiqua" w:eastAsia="Book Antiqua" w:cs="Book Antiqua"/>
          <w:color w:val="000000"/>
        </w:rPr>
        <w:t>: E338-E344 [PMID: 2003588 DOI: 10.1152/ajpendo.1991.260.3.E338]</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Kato M</w:t>
      </w:r>
      <w:r>
        <w:rPr>
          <w:rFonts w:ascii="Book Antiqua" w:hAnsi="Book Antiqua" w:eastAsia="Book Antiqua" w:cs="Book Antiqua"/>
          <w:color w:val="000000"/>
        </w:rPr>
        <w:t xml:space="preserve">, Miwa Y, Tajika M, Hiraoka T, Muto Y, Moriwaki H. Preferential use of branched-chain amino acids as an energy substrate in patients with liver cirrhosis. </w:t>
      </w:r>
      <w:r>
        <w:rPr>
          <w:rFonts w:ascii="Book Antiqua" w:hAnsi="Book Antiqua" w:eastAsia="Book Antiqua" w:cs="Book Antiqua"/>
          <w:i/>
          <w:iCs/>
          <w:color w:val="000000"/>
        </w:rPr>
        <w:t>Intern Med</w:t>
      </w:r>
      <w:r>
        <w:rPr>
          <w:rFonts w:ascii="Book Antiqua" w:hAnsi="Book Antiqua" w:eastAsia="Book Antiqua" w:cs="Book Antiqua"/>
          <w:color w:val="000000"/>
        </w:rPr>
        <w:t xml:space="preserve"> 1998; </w:t>
      </w:r>
      <w:r>
        <w:rPr>
          <w:rFonts w:ascii="Book Antiqua" w:hAnsi="Book Antiqua" w:eastAsia="Book Antiqua" w:cs="Book Antiqua"/>
          <w:b/>
          <w:bCs/>
          <w:color w:val="000000"/>
        </w:rPr>
        <w:t>37</w:t>
      </w:r>
      <w:r>
        <w:rPr>
          <w:rFonts w:ascii="Book Antiqua" w:hAnsi="Book Antiqua" w:eastAsia="Book Antiqua" w:cs="Book Antiqua"/>
          <w:color w:val="000000"/>
        </w:rPr>
        <w:t>: 429-434 [PMID: 9652895 DOI: 10.2169/internalmedicine.37.429]</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Owen OE,</w:t>
      </w:r>
      <w:r>
        <w:rPr>
          <w:rFonts w:ascii="Book Antiqua" w:hAnsi="Book Antiqua" w:eastAsia="Book Antiqua" w:cs="Book Antiqua"/>
          <w:color w:val="000000"/>
        </w:rPr>
        <w:t xml:space="preserve"> Trapp VE, Reichard GA, Jr., Mozzoli MA, Moctezuma J, Paul P, Skutches CL, Boden G. Nature and quantity of fuels consumed in patients with alcoholic cirrhosis. J Clin Invest 1983; 72 (5): 1821–32 [PMID: 6630528 DOI: 10.1172/JCI111142]</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Riggio O</w:t>
      </w:r>
      <w:r>
        <w:rPr>
          <w:rFonts w:ascii="Book Antiqua" w:hAnsi="Book Antiqua" w:eastAsia="Book Antiqua" w:cs="Book Antiqua"/>
          <w:color w:val="000000"/>
        </w:rPr>
        <w:t xml:space="preserve">, Angeloni S, Ciuffa L, Nicolini G, Attili AF, Albanese C, Merli M. Malnutrition is not related to alterations in energy balance in patients with stable liver cirrhosis. </w:t>
      </w:r>
      <w:r>
        <w:rPr>
          <w:rFonts w:ascii="Book Antiqua" w:hAnsi="Book Antiqua" w:eastAsia="Book Antiqua" w:cs="Book Antiqua"/>
          <w:i/>
          <w:iCs/>
          <w:color w:val="000000"/>
        </w:rPr>
        <w:t>Clin Nutr</w:t>
      </w:r>
      <w:r>
        <w:rPr>
          <w:rFonts w:ascii="Book Antiqua" w:hAnsi="Book Antiqua" w:eastAsia="Book Antiqua" w:cs="Book Antiqua"/>
          <w:color w:val="000000"/>
        </w:rPr>
        <w:t xml:space="preserve"> 2003; </w:t>
      </w:r>
      <w:r>
        <w:rPr>
          <w:rFonts w:ascii="Book Antiqua" w:hAnsi="Book Antiqua" w:eastAsia="Book Antiqua" w:cs="Book Antiqua"/>
          <w:b/>
          <w:bCs/>
          <w:color w:val="000000"/>
        </w:rPr>
        <w:t>22</w:t>
      </w:r>
      <w:r>
        <w:rPr>
          <w:rFonts w:ascii="Book Antiqua" w:hAnsi="Book Antiqua" w:eastAsia="Book Antiqua" w:cs="Book Antiqua"/>
          <w:color w:val="000000"/>
        </w:rPr>
        <w:t>: 553-559 [PMID: 14613758 DOI: 10.1016/s0261-5614(03)00058-x]</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Carteri RB,</w:t>
      </w:r>
      <w:r>
        <w:rPr>
          <w:rFonts w:ascii="Book Antiqua" w:hAnsi="Book Antiqua" w:eastAsia="Book Antiqua" w:cs="Book Antiqua"/>
          <w:color w:val="000000"/>
        </w:rPr>
        <w:t xml:space="preserve"> Feldmann M. Energy Expenditure Assessment in Nutritional Practice. In: Wrigley O. A Closer Look at Calorimetry. Hauppauge: Nova Science Publishers. 2019; [DOI: 10.1002/mp.13038]</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Carteri RB,</w:t>
      </w:r>
      <w:r>
        <w:rPr>
          <w:rFonts w:ascii="Book Antiqua" w:hAnsi="Book Antiqua" w:eastAsia="Book Antiqua" w:cs="Book Antiqua"/>
          <w:color w:val="000000"/>
        </w:rPr>
        <w:t xml:space="preserve"> Feldmann M, Gross JS, Kruger RL, Lopes AL, Reischak-Oliveira Á. Comparison between resting metabolic rate and indirect calorimetry in postmenopausal women. </w:t>
      </w:r>
      <w:r>
        <w:rPr>
          <w:rFonts w:ascii="Book Antiqua" w:hAnsi="Book Antiqua" w:eastAsia="Book Antiqua" w:cs="Book Antiqua"/>
          <w:i/>
          <w:color w:val="000000"/>
        </w:rPr>
        <w:t>Rev Nutr</w:t>
      </w:r>
      <w:r>
        <w:rPr>
          <w:rFonts w:ascii="Book Antiqua" w:hAnsi="Book Antiqua" w:eastAsia="Book Antiqua" w:cs="Book Antiqua"/>
          <w:color w:val="000000"/>
        </w:rPr>
        <w:t xml:space="preserve"> 2017; </w:t>
      </w:r>
      <w:r>
        <w:rPr>
          <w:rFonts w:ascii="Book Antiqua" w:hAnsi="Book Antiqua" w:eastAsia="Book Antiqua" w:cs="Book Antiqua"/>
          <w:b/>
          <w:color w:val="000000"/>
        </w:rPr>
        <w:t>30:</w:t>
      </w:r>
      <w:r>
        <w:rPr>
          <w:rFonts w:ascii="Book Antiqua" w:hAnsi="Book Antiqua" w:eastAsia="Book Antiqua" w:cs="Book Antiqua"/>
          <w:color w:val="000000"/>
        </w:rPr>
        <w:t xml:space="preserve"> 583-591 [DOI: 10.1590/1678-98652017000500004]</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Eslamparast T</w:t>
      </w:r>
      <w:r>
        <w:rPr>
          <w:rFonts w:ascii="Book Antiqua" w:hAnsi="Book Antiqua" w:eastAsia="Book Antiqua" w:cs="Book Antiqua"/>
          <w:color w:val="000000"/>
        </w:rPr>
        <w:t xml:space="preserve">, Vandermeer B, Raman M, Gramlich L, Den Heyer V, Belland D, Ma M, Tandon P. Are Predictive Energy Expenditure Equations Accurate in Cirrhosis? </w:t>
      </w:r>
      <w:r>
        <w:rPr>
          <w:rFonts w:ascii="Book Antiqua" w:hAnsi="Book Antiqua" w:eastAsia="Book Antiqua" w:cs="Book Antiqua"/>
          <w:i/>
          <w:iCs/>
          <w:color w:val="000000"/>
        </w:rPr>
        <w:t>Nutrients</w:t>
      </w:r>
      <w:r>
        <w:rPr>
          <w:rFonts w:ascii="Book Antiqua" w:hAnsi="Book Antiqua" w:eastAsia="Book Antiqua" w:cs="Book Antiqua"/>
          <w:color w:val="000000"/>
        </w:rPr>
        <w:t xml:space="preserve"> 2019; </w:t>
      </w:r>
      <w:r>
        <w:rPr>
          <w:rFonts w:ascii="Book Antiqua" w:hAnsi="Book Antiqua" w:eastAsia="Book Antiqua" w:cs="Book Antiqua"/>
          <w:b/>
          <w:bCs/>
          <w:color w:val="000000"/>
        </w:rPr>
        <w:t>11</w:t>
      </w:r>
      <w:r>
        <w:rPr>
          <w:rFonts w:ascii="Book Antiqua" w:hAnsi="Book Antiqua" w:eastAsia="Book Antiqua" w:cs="Book Antiqua"/>
          <w:color w:val="000000"/>
        </w:rPr>
        <w:t xml:space="preserve"> [PMID: 30720726 DOI: 10.3390/nu11020334]</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Fernandes SA</w:t>
      </w:r>
      <w:r>
        <w:rPr>
          <w:rFonts w:ascii="Book Antiqua" w:hAnsi="Book Antiqua" w:eastAsia="Book Antiqua" w:cs="Book Antiqua"/>
          <w:color w:val="000000"/>
        </w:rPr>
        <w:t xml:space="preserve">, Bassani L, Nunes FF, Aydos ME, Alves AV, Marroni CA. Nutritional assessment in patients with cirrhosis. </w:t>
      </w:r>
      <w:r>
        <w:rPr>
          <w:rFonts w:ascii="Book Antiqua" w:hAnsi="Book Antiqua" w:eastAsia="Book Antiqua" w:cs="Book Antiqua"/>
          <w:i/>
          <w:iCs/>
          <w:color w:val="000000"/>
        </w:rPr>
        <w:t>Arq Gastroenterol</w:t>
      </w:r>
      <w:r>
        <w:rPr>
          <w:rFonts w:ascii="Book Antiqua" w:hAnsi="Book Antiqua" w:eastAsia="Book Antiqua" w:cs="Book Antiqua"/>
          <w:color w:val="000000"/>
        </w:rPr>
        <w:t xml:space="preserve"> 2012; </w:t>
      </w:r>
      <w:r>
        <w:rPr>
          <w:rFonts w:ascii="Book Antiqua" w:hAnsi="Book Antiqua" w:eastAsia="Book Antiqua" w:cs="Book Antiqua"/>
          <w:b/>
          <w:bCs/>
          <w:color w:val="000000"/>
        </w:rPr>
        <w:t>49</w:t>
      </w:r>
      <w:r>
        <w:rPr>
          <w:rFonts w:ascii="Book Antiqua" w:hAnsi="Book Antiqua" w:eastAsia="Book Antiqua" w:cs="Book Antiqua"/>
          <w:color w:val="000000"/>
        </w:rPr>
        <w:t>: 19-27 [PMID: 22481682 DOI: 10.1590/s0004-28032012000100005]</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Figueiredo F</w:t>
      </w:r>
      <w:r>
        <w:rPr>
          <w:rFonts w:ascii="Book Antiqua" w:hAnsi="Book Antiqua" w:eastAsia="Book Antiqua" w:cs="Book Antiqua"/>
          <w:color w:val="000000"/>
        </w:rPr>
        <w:t xml:space="preserve">, Dickson ER, Pasha T, Kasparova P, Therneau T, Malinchoc M, DiCecco S, Francisco-Ziller N, Charlton M. Impact of nutritional status on outcomes after liver transplantation. </w:t>
      </w:r>
      <w:r>
        <w:rPr>
          <w:rFonts w:ascii="Book Antiqua" w:hAnsi="Book Antiqua" w:eastAsia="Book Antiqua" w:cs="Book Antiqua"/>
          <w:i/>
          <w:iCs/>
          <w:color w:val="000000"/>
        </w:rPr>
        <w:t>Transplantation</w:t>
      </w:r>
      <w:r>
        <w:rPr>
          <w:rFonts w:ascii="Book Antiqua" w:hAnsi="Book Antiqua" w:eastAsia="Book Antiqua" w:cs="Book Antiqua"/>
          <w:color w:val="000000"/>
        </w:rPr>
        <w:t xml:space="preserve"> 2000; </w:t>
      </w:r>
      <w:r>
        <w:rPr>
          <w:rFonts w:ascii="Book Antiqua" w:hAnsi="Book Antiqua" w:eastAsia="Book Antiqua" w:cs="Book Antiqua"/>
          <w:b/>
          <w:bCs/>
          <w:color w:val="000000"/>
        </w:rPr>
        <w:t>70</w:t>
      </w:r>
      <w:r>
        <w:rPr>
          <w:rFonts w:ascii="Book Antiqua" w:hAnsi="Book Antiqua" w:eastAsia="Book Antiqua" w:cs="Book Antiqua"/>
          <w:color w:val="000000"/>
        </w:rPr>
        <w:t>: 1347-1352 [PMID: 11087151 DOI: 10.1097/00007890-200011150-00014]</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Teramoto A</w:t>
      </w:r>
      <w:r>
        <w:rPr>
          <w:rFonts w:ascii="Book Antiqua" w:hAnsi="Book Antiqua" w:eastAsia="Book Antiqua" w:cs="Book Antiqua"/>
          <w:color w:val="000000"/>
        </w:rPr>
        <w:t xml:space="preserve">, Yamanaka-Okumura H, Urano E, Nakamura-Kutsuzawa T, Sugihara K, Katayama T, Miyake H, Imura S, Utsunomiya T, Shimada M, Takeda E. Comparison of measured and predicted energy expenditure in patients with liver cirrhosis. </w:t>
      </w:r>
      <w:r>
        <w:rPr>
          <w:rFonts w:ascii="Book Antiqua" w:hAnsi="Book Antiqua" w:eastAsia="Book Antiqua" w:cs="Book Antiqua"/>
          <w:i/>
          <w:iCs/>
          <w:color w:val="000000"/>
        </w:rPr>
        <w:t>Asia Pac J Clin Nutr</w:t>
      </w:r>
      <w:r>
        <w:rPr>
          <w:rFonts w:ascii="Book Antiqua" w:hAnsi="Book Antiqua" w:eastAsia="Book Antiqua" w:cs="Book Antiqua"/>
          <w:color w:val="000000"/>
        </w:rPr>
        <w:t xml:space="preserve"> 2014; </w:t>
      </w:r>
      <w:r>
        <w:rPr>
          <w:rFonts w:ascii="Book Antiqua" w:hAnsi="Book Antiqua" w:eastAsia="Book Antiqua" w:cs="Book Antiqua"/>
          <w:b/>
          <w:bCs/>
          <w:color w:val="000000"/>
        </w:rPr>
        <w:t>23</w:t>
      </w:r>
      <w:r>
        <w:rPr>
          <w:rFonts w:ascii="Book Antiqua" w:hAnsi="Book Antiqua" w:eastAsia="Book Antiqua" w:cs="Book Antiqua"/>
          <w:color w:val="000000"/>
        </w:rPr>
        <w:t>: 197-204 [PMID: 24901087 DOI: 10.6133/apjcn.2014.23.2.12]</w:t>
      </w:r>
    </w:p>
    <w:p>
      <w:pPr>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Food and Agriculture Organization of the United Nations,</w:t>
      </w:r>
      <w:r>
        <w:rPr>
          <w:rFonts w:ascii="Book Antiqua" w:hAnsi="Book Antiqua" w:eastAsia="Book Antiqua" w:cs="Book Antiqua"/>
          <w:color w:val="000000"/>
        </w:rPr>
        <w:t xml:space="preserve"> World Health Organization, United Nations University. Protein and amino acid requirements in human nutrition: report of a joint FAO/WHO/UNU expert consultation. Geneva: World Health Organization. 2007 [DOI: 10.18356/675a756a-en-fr]</w:t>
      </w:r>
    </w:p>
    <w:p>
      <w:pPr>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WEIR JB</w:t>
      </w:r>
      <w:r>
        <w:rPr>
          <w:rFonts w:ascii="Book Antiqua" w:hAnsi="Book Antiqua" w:eastAsia="Book Antiqua" w:cs="Book Antiqua"/>
          <w:color w:val="000000"/>
        </w:rPr>
        <w:t xml:space="preserve">. New methods for calculating metabolic rate with special reference to protein metabolism. </w:t>
      </w:r>
      <w:r>
        <w:rPr>
          <w:rFonts w:ascii="Book Antiqua" w:hAnsi="Book Antiqua" w:eastAsia="Book Antiqua" w:cs="Book Antiqua"/>
          <w:i/>
          <w:iCs/>
          <w:color w:val="000000"/>
        </w:rPr>
        <w:t>J Physiol</w:t>
      </w:r>
      <w:r>
        <w:rPr>
          <w:rFonts w:ascii="Book Antiqua" w:hAnsi="Book Antiqua" w:eastAsia="Book Antiqua" w:cs="Book Antiqua"/>
          <w:color w:val="000000"/>
        </w:rPr>
        <w:t xml:space="preserve"> 1949; </w:t>
      </w:r>
      <w:r>
        <w:rPr>
          <w:rFonts w:ascii="Book Antiqua" w:hAnsi="Book Antiqua" w:eastAsia="Book Antiqua" w:cs="Book Antiqua"/>
          <w:b/>
          <w:bCs/>
          <w:color w:val="000000"/>
        </w:rPr>
        <w:t>109</w:t>
      </w:r>
      <w:r>
        <w:rPr>
          <w:rFonts w:ascii="Book Antiqua" w:hAnsi="Book Antiqua" w:eastAsia="Book Antiqua" w:cs="Book Antiqua"/>
          <w:color w:val="000000"/>
        </w:rPr>
        <w:t>: 1-9 [PMID: 15394301 DOI: 10.1113/jphysiol.1949.sp004363]</w:t>
      </w:r>
    </w:p>
    <w:p>
      <w:pPr>
        <w:spacing w:line="360" w:lineRule="auto"/>
        <w:jc w:val="both"/>
        <w:rPr>
          <w:rFonts w:ascii="Book Antiqua" w:hAnsi="Book Antiqua"/>
        </w:rPr>
      </w:pPr>
      <w:r>
        <w:rPr>
          <w:rFonts w:ascii="Book Antiqua" w:hAnsi="Book Antiqua" w:eastAsia="Book Antiqua" w:cs="Book Antiqua"/>
          <w:color w:val="000000"/>
        </w:rPr>
        <w:t xml:space="preserve">25 </w:t>
      </w:r>
      <w:r>
        <w:rPr>
          <w:rFonts w:ascii="Book Antiqua" w:hAnsi="Book Antiqua" w:eastAsia="Book Antiqua" w:cs="Book Antiqua"/>
          <w:b/>
          <w:bCs/>
          <w:color w:val="000000"/>
        </w:rPr>
        <w:t>Grande F,</w:t>
      </w:r>
      <w:r>
        <w:rPr>
          <w:rFonts w:ascii="Book Antiqua" w:hAnsi="Book Antiqua" w:eastAsia="Book Antiqua" w:cs="Book Antiqua"/>
          <w:color w:val="000000"/>
        </w:rPr>
        <w:t xml:space="preserve"> Keys A. Body weight, body composition, and calorie status. In: Goodhart R, Shils M. Modern nutrition in health and disease. Philadelphia: Lea &amp; Febiger. 1980 [DOI: 10.1016/0091-2182(81)90186-5]</w:t>
      </w:r>
    </w:p>
    <w:p>
      <w:pPr>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Cunningham JJ</w:t>
      </w:r>
      <w:r>
        <w:rPr>
          <w:rFonts w:ascii="Book Antiqua" w:hAnsi="Book Antiqua" w:eastAsia="Book Antiqua" w:cs="Book Antiqua"/>
          <w:color w:val="000000"/>
        </w:rPr>
        <w:t xml:space="preserve">. A reanalysis of the factors influencing basal metabolic rate in normal adults. </w:t>
      </w:r>
      <w:r>
        <w:rPr>
          <w:rFonts w:ascii="Book Antiqua" w:hAnsi="Book Antiqua" w:eastAsia="Book Antiqua" w:cs="Book Antiqua"/>
          <w:i/>
          <w:iCs/>
          <w:color w:val="000000"/>
        </w:rPr>
        <w:t>Am J Clin Nutr</w:t>
      </w:r>
      <w:r>
        <w:rPr>
          <w:rFonts w:ascii="Book Antiqua" w:hAnsi="Book Antiqua" w:eastAsia="Book Antiqua" w:cs="Book Antiqua"/>
          <w:color w:val="000000"/>
        </w:rPr>
        <w:t xml:space="preserve"> 1980; </w:t>
      </w:r>
      <w:r>
        <w:rPr>
          <w:rFonts w:ascii="Book Antiqua" w:hAnsi="Book Antiqua" w:eastAsia="Book Antiqua" w:cs="Book Antiqua"/>
          <w:b/>
          <w:bCs/>
          <w:color w:val="000000"/>
        </w:rPr>
        <w:t>33</w:t>
      </w:r>
      <w:r>
        <w:rPr>
          <w:rFonts w:ascii="Book Antiqua" w:hAnsi="Book Antiqua" w:eastAsia="Book Antiqua" w:cs="Book Antiqua"/>
          <w:color w:val="000000"/>
        </w:rPr>
        <w:t>: 2372-2374 [PMID: 7435418 DOI: 10.1093/ajcn/33.11.2372]</w:t>
      </w:r>
    </w:p>
    <w:p>
      <w:pPr>
        <w:spacing w:line="360" w:lineRule="auto"/>
        <w:jc w:val="both"/>
        <w:rPr>
          <w:rFonts w:ascii="Book Antiqua" w:hAnsi="Book Antiqua"/>
        </w:rPr>
      </w:pPr>
      <w:r>
        <w:rPr>
          <w:rFonts w:ascii="Book Antiqua" w:hAnsi="Book Antiqua" w:eastAsia="Book Antiqua" w:cs="Book Antiqua"/>
          <w:color w:val="000000"/>
        </w:rPr>
        <w:t xml:space="preserve">27 </w:t>
      </w:r>
      <w:r>
        <w:rPr>
          <w:rFonts w:ascii="Book Antiqua" w:hAnsi="Book Antiqua" w:eastAsia="Book Antiqua" w:cs="Book Antiqua"/>
          <w:b/>
          <w:bCs/>
          <w:color w:val="000000"/>
        </w:rPr>
        <w:t>Harris JA</w:t>
      </w:r>
      <w:r>
        <w:rPr>
          <w:rFonts w:ascii="Book Antiqua" w:hAnsi="Book Antiqua" w:eastAsia="Book Antiqua" w:cs="Book Antiqua"/>
          <w:color w:val="000000"/>
        </w:rPr>
        <w:t xml:space="preserve">, Benedict FG. A Biometric Study of Human Basal Metabolism. </w:t>
      </w:r>
      <w:r>
        <w:rPr>
          <w:rFonts w:ascii="Book Antiqua" w:hAnsi="Book Antiqua" w:eastAsia="Book Antiqua" w:cs="Book Antiqua"/>
          <w:i/>
          <w:iCs/>
          <w:color w:val="000000"/>
        </w:rPr>
        <w:t>Proc Natl Acad Sci U S A</w:t>
      </w:r>
      <w:r>
        <w:rPr>
          <w:rFonts w:ascii="Book Antiqua" w:hAnsi="Book Antiqua" w:eastAsia="Book Antiqua" w:cs="Book Antiqua"/>
          <w:color w:val="000000"/>
        </w:rPr>
        <w:t xml:space="preserve"> 1918; </w:t>
      </w:r>
      <w:r>
        <w:rPr>
          <w:rFonts w:ascii="Book Antiqua" w:hAnsi="Book Antiqua" w:eastAsia="Book Antiqua" w:cs="Book Antiqua"/>
          <w:b/>
          <w:bCs/>
          <w:color w:val="000000"/>
        </w:rPr>
        <w:t>4</w:t>
      </w:r>
      <w:r>
        <w:rPr>
          <w:rFonts w:ascii="Book Antiqua" w:hAnsi="Book Antiqua" w:eastAsia="Book Antiqua" w:cs="Book Antiqua"/>
          <w:color w:val="000000"/>
        </w:rPr>
        <w:t>: 370-373 [PMID: 16576330 DOI: 10.1073/pnas.4.12.370]</w:t>
      </w:r>
    </w:p>
    <w:p>
      <w:pPr>
        <w:spacing w:line="360" w:lineRule="auto"/>
        <w:jc w:val="both"/>
        <w:rPr>
          <w:rFonts w:ascii="Book Antiqua" w:hAnsi="Book Antiqua"/>
        </w:rPr>
      </w:pPr>
      <w:r>
        <w:rPr>
          <w:rFonts w:ascii="Book Antiqua" w:hAnsi="Book Antiqua" w:eastAsia="Book Antiqua" w:cs="Book Antiqua"/>
          <w:color w:val="000000"/>
        </w:rPr>
        <w:t xml:space="preserve">28 </w:t>
      </w:r>
      <w:r>
        <w:rPr>
          <w:rFonts w:ascii="Book Antiqua" w:hAnsi="Book Antiqua" w:eastAsia="Book Antiqua" w:cs="Book Antiqua"/>
          <w:b/>
          <w:bCs/>
          <w:color w:val="000000"/>
        </w:rPr>
        <w:t>Trumbo P</w:t>
      </w:r>
      <w:r>
        <w:rPr>
          <w:rFonts w:ascii="Book Antiqua" w:hAnsi="Book Antiqua" w:eastAsia="Book Antiqua" w:cs="Book Antiqua"/>
          <w:color w:val="000000"/>
        </w:rPr>
        <w:t xml:space="preserve">, Schlicker S, Yates AA, Poos M; Food and Nutrition Board of the Institute of Medicine, The National Academies. Dietary reference intakes for energy, carbohydrate, fiber, fat, fatty acids, cholesterol, protein and amino acids. </w:t>
      </w:r>
      <w:r>
        <w:rPr>
          <w:rFonts w:ascii="Book Antiqua" w:hAnsi="Book Antiqua" w:eastAsia="Book Antiqua" w:cs="Book Antiqua"/>
          <w:i/>
          <w:iCs/>
          <w:color w:val="000000"/>
        </w:rPr>
        <w:t>J Am Diet Assoc</w:t>
      </w:r>
      <w:r>
        <w:rPr>
          <w:rFonts w:ascii="Book Antiqua" w:hAnsi="Book Antiqua" w:eastAsia="Book Antiqua" w:cs="Book Antiqua"/>
          <w:color w:val="000000"/>
        </w:rPr>
        <w:t xml:space="preserve"> 2002; </w:t>
      </w:r>
      <w:r>
        <w:rPr>
          <w:rFonts w:ascii="Book Antiqua" w:hAnsi="Book Antiqua" w:eastAsia="Book Antiqua" w:cs="Book Antiqua"/>
          <w:b/>
          <w:bCs/>
          <w:color w:val="000000"/>
        </w:rPr>
        <w:t>102</w:t>
      </w:r>
      <w:r>
        <w:rPr>
          <w:rFonts w:ascii="Book Antiqua" w:hAnsi="Book Antiqua" w:eastAsia="Book Antiqua" w:cs="Book Antiqua"/>
          <w:color w:val="000000"/>
        </w:rPr>
        <w:t>: 1621-1630 [PMID: 12449285 DOI: 10.1016/s0002-8223(02)90346-9]</w:t>
      </w:r>
    </w:p>
    <w:p>
      <w:pPr>
        <w:spacing w:line="360" w:lineRule="auto"/>
        <w:jc w:val="both"/>
        <w:rPr>
          <w:rFonts w:ascii="Book Antiqua" w:hAnsi="Book Antiqua"/>
        </w:rPr>
      </w:pPr>
      <w:r>
        <w:rPr>
          <w:rFonts w:ascii="Book Antiqua" w:hAnsi="Book Antiqua" w:eastAsia="Book Antiqua" w:cs="Book Antiqua"/>
          <w:color w:val="000000"/>
        </w:rPr>
        <w:t xml:space="preserve">29 </w:t>
      </w:r>
      <w:r>
        <w:rPr>
          <w:rFonts w:ascii="Book Antiqua" w:hAnsi="Book Antiqua" w:eastAsia="Book Antiqua" w:cs="Book Antiqua"/>
          <w:b/>
          <w:bCs/>
          <w:color w:val="000000"/>
        </w:rPr>
        <w:t>McArdle WD,</w:t>
      </w:r>
      <w:r>
        <w:rPr>
          <w:rFonts w:ascii="Book Antiqua" w:hAnsi="Book Antiqua" w:eastAsia="Book Antiqua" w:cs="Book Antiqua"/>
          <w:color w:val="000000"/>
        </w:rPr>
        <w:t xml:space="preserve"> Katch FI, Katch VL. Exercise Phisiology: energy, nutrition and human performance. Williams &amp; Wilkins. 1996 [DOI: 10.1097/00001416-199107000-00024]</w:t>
      </w:r>
    </w:p>
    <w:p>
      <w:pPr>
        <w:spacing w:line="360" w:lineRule="auto"/>
        <w:jc w:val="both"/>
        <w:rPr>
          <w:rFonts w:ascii="Book Antiqua" w:hAnsi="Book Antiqua"/>
        </w:rPr>
      </w:pPr>
      <w:r>
        <w:rPr>
          <w:rFonts w:ascii="Book Antiqua" w:hAnsi="Book Antiqua" w:eastAsia="Book Antiqua" w:cs="Book Antiqua"/>
          <w:color w:val="000000"/>
        </w:rPr>
        <w:t xml:space="preserve">30 </w:t>
      </w:r>
      <w:r>
        <w:rPr>
          <w:rFonts w:ascii="Book Antiqua" w:hAnsi="Book Antiqua" w:eastAsia="Book Antiqua" w:cs="Book Antiqua"/>
          <w:b/>
          <w:bCs/>
          <w:color w:val="000000"/>
        </w:rPr>
        <w:t>Mifflin MD</w:t>
      </w:r>
      <w:r>
        <w:rPr>
          <w:rFonts w:ascii="Book Antiqua" w:hAnsi="Book Antiqua" w:eastAsia="Book Antiqua" w:cs="Book Antiqua"/>
          <w:color w:val="000000"/>
        </w:rPr>
        <w:t xml:space="preserve">, St Jeor ST, Hill LA, Scott BJ, Daugherty SA, Koh YO. A new predictive equation for resting energy expenditure in healthy individuals. </w:t>
      </w:r>
      <w:r>
        <w:rPr>
          <w:rFonts w:ascii="Book Antiqua" w:hAnsi="Book Antiqua" w:eastAsia="Book Antiqua" w:cs="Book Antiqua"/>
          <w:i/>
          <w:iCs/>
          <w:color w:val="000000"/>
        </w:rPr>
        <w:t>Am J Clin Nutr</w:t>
      </w:r>
      <w:r>
        <w:rPr>
          <w:rFonts w:ascii="Book Antiqua" w:hAnsi="Book Antiqua" w:eastAsia="Book Antiqua" w:cs="Book Antiqua"/>
          <w:color w:val="000000"/>
        </w:rPr>
        <w:t xml:space="preserve"> 1990; </w:t>
      </w:r>
      <w:r>
        <w:rPr>
          <w:rFonts w:ascii="Book Antiqua" w:hAnsi="Book Antiqua" w:eastAsia="Book Antiqua" w:cs="Book Antiqua"/>
          <w:b/>
          <w:bCs/>
          <w:color w:val="000000"/>
        </w:rPr>
        <w:t>51</w:t>
      </w:r>
      <w:r>
        <w:rPr>
          <w:rFonts w:ascii="Book Antiqua" w:hAnsi="Book Antiqua" w:eastAsia="Book Antiqua" w:cs="Book Antiqua"/>
          <w:color w:val="000000"/>
        </w:rPr>
        <w:t>: 241-247 [PMID: 2305711 DOI: 10.1093/ajcn/51.2.241]</w:t>
      </w:r>
    </w:p>
    <w:p>
      <w:pPr>
        <w:spacing w:line="360" w:lineRule="auto"/>
        <w:jc w:val="both"/>
        <w:rPr>
          <w:rFonts w:ascii="Book Antiqua" w:hAnsi="Book Antiqua"/>
        </w:rPr>
      </w:pPr>
      <w:r>
        <w:rPr>
          <w:rFonts w:ascii="Book Antiqua" w:hAnsi="Book Antiqua" w:eastAsia="Book Antiqua" w:cs="Book Antiqua"/>
          <w:color w:val="000000"/>
        </w:rPr>
        <w:t xml:space="preserve">31 </w:t>
      </w:r>
      <w:r>
        <w:rPr>
          <w:rFonts w:ascii="Book Antiqua" w:hAnsi="Book Antiqua" w:eastAsia="Book Antiqua" w:cs="Book Antiqua"/>
          <w:b/>
          <w:bCs/>
          <w:color w:val="000000"/>
        </w:rPr>
        <w:t>Bland JM</w:t>
      </w:r>
      <w:r>
        <w:rPr>
          <w:rFonts w:ascii="Book Antiqua" w:hAnsi="Book Antiqua" w:eastAsia="Book Antiqua" w:cs="Book Antiqua"/>
          <w:color w:val="000000"/>
        </w:rPr>
        <w:t xml:space="preserve">, Altman DG. Statistical methods for assessing agreement between two methods of clinical measurement. </w:t>
      </w:r>
      <w:r>
        <w:rPr>
          <w:rFonts w:ascii="Book Antiqua" w:hAnsi="Book Antiqua" w:eastAsia="Book Antiqua" w:cs="Book Antiqua"/>
          <w:i/>
          <w:iCs/>
          <w:color w:val="000000"/>
        </w:rPr>
        <w:t>Lancet</w:t>
      </w:r>
      <w:r>
        <w:rPr>
          <w:rFonts w:ascii="Book Antiqua" w:hAnsi="Book Antiqua" w:eastAsia="Book Antiqua" w:cs="Book Antiqua"/>
          <w:color w:val="000000"/>
        </w:rPr>
        <w:t xml:space="preserve"> 1986; </w:t>
      </w:r>
      <w:r>
        <w:rPr>
          <w:rFonts w:ascii="Book Antiqua" w:hAnsi="Book Antiqua" w:eastAsia="Book Antiqua" w:cs="Book Antiqua"/>
          <w:b/>
          <w:bCs/>
          <w:color w:val="000000"/>
        </w:rPr>
        <w:t>1</w:t>
      </w:r>
      <w:r>
        <w:rPr>
          <w:rFonts w:ascii="Book Antiqua" w:hAnsi="Book Antiqua" w:eastAsia="Book Antiqua" w:cs="Book Antiqua"/>
          <w:color w:val="000000"/>
        </w:rPr>
        <w:t>: 307-310 [PMID: 2868172]</w:t>
      </w:r>
    </w:p>
    <w:p>
      <w:pPr>
        <w:spacing w:line="360" w:lineRule="auto"/>
        <w:jc w:val="both"/>
        <w:rPr>
          <w:rFonts w:ascii="Book Antiqua" w:hAnsi="Book Antiqua"/>
        </w:rPr>
      </w:pPr>
      <w:r>
        <w:rPr>
          <w:rFonts w:ascii="Book Antiqua" w:hAnsi="Book Antiqua" w:eastAsia="Book Antiqua" w:cs="Book Antiqua"/>
          <w:color w:val="000000"/>
        </w:rPr>
        <w:t xml:space="preserve">32 </w:t>
      </w:r>
      <w:r>
        <w:rPr>
          <w:rFonts w:ascii="Book Antiqua" w:hAnsi="Book Antiqua" w:eastAsia="Book Antiqua" w:cs="Book Antiqua"/>
          <w:b/>
          <w:bCs/>
          <w:color w:val="000000"/>
        </w:rPr>
        <w:t>Belarmino G</w:t>
      </w:r>
      <w:r>
        <w:rPr>
          <w:rFonts w:ascii="Book Antiqua" w:hAnsi="Book Antiqua" w:eastAsia="Book Antiqua" w:cs="Book Antiqua"/>
          <w:color w:val="000000"/>
        </w:rPr>
        <w:t xml:space="preserve">, Singer P, Gonzalez MC, Machado NM, Cardinelli CS, Barcelos S, Andraus W, D'Albuquerque LAC, Damiani L, Costa AC, Pereira RMR, Heymsfield SB, Sala P, Torrinhas RSM, Waitzberg DL. Prognostic value of energy expenditure and respiratory quotient measuring in patients with liver cirrhosis. </w:t>
      </w:r>
      <w:r>
        <w:rPr>
          <w:rFonts w:ascii="Book Antiqua" w:hAnsi="Book Antiqua" w:eastAsia="Book Antiqua" w:cs="Book Antiqua"/>
          <w:i/>
          <w:iCs/>
          <w:color w:val="000000"/>
        </w:rPr>
        <w:t>Clin Nutr</w:t>
      </w:r>
      <w:r>
        <w:rPr>
          <w:rFonts w:ascii="Book Antiqua" w:hAnsi="Book Antiqua" w:eastAsia="Book Antiqua" w:cs="Book Antiqua"/>
          <w:color w:val="000000"/>
        </w:rPr>
        <w:t xml:space="preserve"> 2019; </w:t>
      </w:r>
      <w:r>
        <w:rPr>
          <w:rFonts w:ascii="Book Antiqua" w:hAnsi="Book Antiqua" w:eastAsia="Book Antiqua" w:cs="Book Antiqua"/>
          <w:b/>
          <w:bCs/>
          <w:color w:val="000000"/>
        </w:rPr>
        <w:t>38</w:t>
      </w:r>
      <w:r>
        <w:rPr>
          <w:rFonts w:ascii="Book Antiqua" w:hAnsi="Book Antiqua" w:eastAsia="Book Antiqua" w:cs="Book Antiqua"/>
          <w:color w:val="000000"/>
        </w:rPr>
        <w:t>: 1899-1904 [PMID: 30007480 DOI: 10.1016/j.clnu.2018.07.001]</w:t>
      </w:r>
    </w:p>
    <w:p>
      <w:pPr>
        <w:spacing w:line="360" w:lineRule="auto"/>
        <w:jc w:val="both"/>
        <w:rPr>
          <w:rFonts w:ascii="Book Antiqua" w:hAnsi="Book Antiqua"/>
        </w:rPr>
      </w:pPr>
      <w:r>
        <w:rPr>
          <w:rFonts w:ascii="Book Antiqua" w:hAnsi="Book Antiqua" w:eastAsia="Book Antiqua" w:cs="Book Antiqua"/>
          <w:color w:val="000000"/>
        </w:rPr>
        <w:t xml:space="preserve">33 </w:t>
      </w:r>
      <w:r>
        <w:rPr>
          <w:rFonts w:ascii="Book Antiqua" w:hAnsi="Book Antiqua" w:eastAsia="Book Antiqua" w:cs="Book Antiqua"/>
          <w:b/>
          <w:bCs/>
          <w:color w:val="000000"/>
        </w:rPr>
        <w:t>Knudsen AW</w:t>
      </w:r>
      <w:r>
        <w:rPr>
          <w:rFonts w:ascii="Book Antiqua" w:hAnsi="Book Antiqua" w:eastAsia="Book Antiqua" w:cs="Book Antiqua"/>
          <w:color w:val="000000"/>
        </w:rPr>
        <w:t xml:space="preserve">, Krag A, Nordgaard-Lassen I, Frandsen E, Tofteng F, Mortensen C, Becker U. Effect of paracentesis on metabolic activity in patients with advanced cirrhosis and ascites. </w:t>
      </w:r>
      <w:r>
        <w:rPr>
          <w:rFonts w:ascii="Book Antiqua" w:hAnsi="Book Antiqua" w:eastAsia="Book Antiqua" w:cs="Book Antiqua"/>
          <w:i/>
          <w:iCs/>
          <w:color w:val="000000"/>
        </w:rPr>
        <w:t>Scand J Gastroenterol</w:t>
      </w:r>
      <w:r>
        <w:rPr>
          <w:rFonts w:ascii="Book Antiqua" w:hAnsi="Book Antiqua" w:eastAsia="Book Antiqua" w:cs="Book Antiqua"/>
          <w:color w:val="000000"/>
        </w:rPr>
        <w:t xml:space="preserve"> 2016; </w:t>
      </w:r>
      <w:r>
        <w:rPr>
          <w:rFonts w:ascii="Book Antiqua" w:hAnsi="Book Antiqua" w:eastAsia="Book Antiqua" w:cs="Book Antiqua"/>
          <w:b/>
          <w:bCs/>
          <w:color w:val="000000"/>
        </w:rPr>
        <w:t>51</w:t>
      </w:r>
      <w:r>
        <w:rPr>
          <w:rFonts w:ascii="Book Antiqua" w:hAnsi="Book Antiqua" w:eastAsia="Book Antiqua" w:cs="Book Antiqua"/>
          <w:color w:val="000000"/>
        </w:rPr>
        <w:t>: 601-609 [PMID: 26673350 DOI: 10.3109/00365521.2015.1124282]</w:t>
      </w:r>
    </w:p>
    <w:p>
      <w:pPr>
        <w:spacing w:line="360" w:lineRule="auto"/>
        <w:jc w:val="both"/>
        <w:rPr>
          <w:rFonts w:ascii="Book Antiqua" w:hAnsi="Book Antiqua"/>
        </w:rPr>
      </w:pPr>
      <w:r>
        <w:rPr>
          <w:rFonts w:ascii="Book Antiqua" w:hAnsi="Book Antiqua" w:eastAsia="Book Antiqua" w:cs="Book Antiqua"/>
          <w:color w:val="000000"/>
        </w:rPr>
        <w:t xml:space="preserve">34 </w:t>
      </w:r>
      <w:r>
        <w:rPr>
          <w:rFonts w:ascii="Book Antiqua" w:hAnsi="Book Antiqua" w:eastAsia="Book Antiqua" w:cs="Book Antiqua"/>
          <w:b/>
          <w:bCs/>
          <w:color w:val="000000"/>
        </w:rPr>
        <w:t>Meng QH</w:t>
      </w:r>
      <w:r>
        <w:rPr>
          <w:rFonts w:ascii="Book Antiqua" w:hAnsi="Book Antiqua" w:eastAsia="Book Antiqua" w:cs="Book Antiqua"/>
          <w:color w:val="000000"/>
        </w:rPr>
        <w:t xml:space="preserve">, Wang JH, Yu HW, Li J, Feng YM, Hou W, Zhang J, Zhang Q, Wang X, Wang X, Liu Y. Resting energy expenditure and substrate metabolism in Chinese patients with acute or chronic hepatitis B or liver cirrhosis. </w:t>
      </w:r>
      <w:r>
        <w:rPr>
          <w:rFonts w:ascii="Book Antiqua" w:hAnsi="Book Antiqua" w:eastAsia="Book Antiqua" w:cs="Book Antiqua"/>
          <w:i/>
          <w:iCs/>
          <w:color w:val="000000"/>
        </w:rPr>
        <w:t>Intern Med</w:t>
      </w:r>
      <w:r>
        <w:rPr>
          <w:rFonts w:ascii="Book Antiqua" w:hAnsi="Book Antiqua" w:eastAsia="Book Antiqua" w:cs="Book Antiqua"/>
          <w:color w:val="000000"/>
        </w:rPr>
        <w:t xml:space="preserve"> 2010; </w:t>
      </w:r>
      <w:r>
        <w:rPr>
          <w:rFonts w:ascii="Book Antiqua" w:hAnsi="Book Antiqua" w:eastAsia="Book Antiqua" w:cs="Book Antiqua"/>
          <w:b/>
          <w:bCs/>
          <w:color w:val="000000"/>
        </w:rPr>
        <w:t>49</w:t>
      </w:r>
      <w:r>
        <w:rPr>
          <w:rFonts w:ascii="Book Antiqua" w:hAnsi="Book Antiqua" w:eastAsia="Book Antiqua" w:cs="Book Antiqua"/>
          <w:color w:val="000000"/>
        </w:rPr>
        <w:t>: 2085-2091 [PMID: 20930434 DOI: 10.2169/internalmedicine.49.3967]</w:t>
      </w:r>
    </w:p>
    <w:p>
      <w:pPr>
        <w:spacing w:line="360" w:lineRule="auto"/>
        <w:jc w:val="both"/>
        <w:rPr>
          <w:rFonts w:ascii="Book Antiqua" w:hAnsi="Book Antiqua"/>
        </w:rPr>
      </w:pPr>
      <w:r>
        <w:rPr>
          <w:rFonts w:ascii="Book Antiqua" w:hAnsi="Book Antiqua" w:eastAsia="Book Antiqua" w:cs="Book Antiqua"/>
          <w:color w:val="000000"/>
        </w:rPr>
        <w:t xml:space="preserve">35 </w:t>
      </w:r>
      <w:r>
        <w:rPr>
          <w:rFonts w:ascii="Book Antiqua" w:hAnsi="Book Antiqua" w:eastAsia="Book Antiqua" w:cs="Book Antiqua"/>
          <w:b/>
          <w:bCs/>
          <w:color w:val="000000"/>
        </w:rPr>
        <w:t>Gottschall CB</w:t>
      </w:r>
      <w:r>
        <w:rPr>
          <w:rFonts w:ascii="Book Antiqua" w:hAnsi="Book Antiqua" w:eastAsia="Book Antiqua" w:cs="Book Antiqua"/>
          <w:color w:val="000000"/>
        </w:rPr>
        <w:t xml:space="preserve">, Alvares-da-Silva MR, Camargo AC, Burtett RM, da Silveira TR. [Nutritional assessment in patients with cirrhosis: the use of indirect calorimetry]. </w:t>
      </w:r>
      <w:r>
        <w:rPr>
          <w:rFonts w:ascii="Book Antiqua" w:hAnsi="Book Antiqua" w:eastAsia="Book Antiqua" w:cs="Book Antiqua"/>
          <w:i/>
          <w:iCs/>
          <w:color w:val="000000"/>
        </w:rPr>
        <w:t>Arq Gastroenterol</w:t>
      </w:r>
      <w:r>
        <w:rPr>
          <w:rFonts w:ascii="Book Antiqua" w:hAnsi="Book Antiqua" w:eastAsia="Book Antiqua" w:cs="Book Antiqua"/>
          <w:color w:val="000000"/>
        </w:rPr>
        <w:t xml:space="preserve"> 2004; </w:t>
      </w:r>
      <w:r>
        <w:rPr>
          <w:rFonts w:ascii="Book Antiqua" w:hAnsi="Book Antiqua" w:eastAsia="Book Antiqua" w:cs="Book Antiqua"/>
          <w:b/>
          <w:bCs/>
          <w:color w:val="000000"/>
        </w:rPr>
        <w:t>41</w:t>
      </w:r>
      <w:r>
        <w:rPr>
          <w:rFonts w:ascii="Book Antiqua" w:hAnsi="Book Antiqua" w:eastAsia="Book Antiqua" w:cs="Book Antiqua"/>
          <w:color w:val="000000"/>
        </w:rPr>
        <w:t>: 220-224 [PMID: 15806264 DOI: 10.1590/s0004-28032004000400004]</w:t>
      </w:r>
    </w:p>
    <w:p>
      <w:pPr>
        <w:spacing w:line="360" w:lineRule="auto"/>
        <w:jc w:val="both"/>
        <w:rPr>
          <w:rFonts w:ascii="Book Antiqua" w:hAnsi="Book Antiqua"/>
        </w:rPr>
      </w:pPr>
      <w:r>
        <w:rPr>
          <w:rFonts w:ascii="Book Antiqua" w:hAnsi="Book Antiqua" w:eastAsia="Book Antiqua" w:cs="Book Antiqua"/>
          <w:color w:val="000000"/>
        </w:rPr>
        <w:t xml:space="preserve">36 </w:t>
      </w:r>
      <w:r>
        <w:rPr>
          <w:rFonts w:ascii="Book Antiqua" w:hAnsi="Book Antiqua" w:eastAsia="Book Antiqua" w:cs="Book Antiqua"/>
          <w:b/>
          <w:bCs/>
          <w:color w:val="000000"/>
        </w:rPr>
        <w:t>Pinto AS</w:t>
      </w:r>
      <w:r>
        <w:rPr>
          <w:rFonts w:ascii="Book Antiqua" w:hAnsi="Book Antiqua" w:eastAsia="Book Antiqua" w:cs="Book Antiqua"/>
          <w:color w:val="000000"/>
        </w:rPr>
        <w:t xml:space="preserve">, Chedid MF, Guerra LT, Álvares-DA-Silva MR, Araújo A, Guimarães LS, Leipnitz I, Chedid AD, Kruel CR, Grezzana-Filho TJ, Kruel CD. Estimating Basal Energy Expenditure in Liver Transplant Recipients: The Value of the Harris-Benedict Equation. </w:t>
      </w:r>
      <w:r>
        <w:rPr>
          <w:rFonts w:ascii="Book Antiqua" w:hAnsi="Book Antiqua" w:eastAsia="Book Antiqua" w:cs="Book Antiqua"/>
          <w:i/>
          <w:iCs/>
          <w:color w:val="000000"/>
        </w:rPr>
        <w:t>Arq Bras Cir Dig</w:t>
      </w:r>
      <w:r>
        <w:rPr>
          <w:rFonts w:ascii="Book Antiqua" w:hAnsi="Book Antiqua" w:eastAsia="Book Antiqua" w:cs="Book Antiqua"/>
          <w:color w:val="000000"/>
        </w:rPr>
        <w:t xml:space="preserve"> 2016; </w:t>
      </w:r>
      <w:r>
        <w:rPr>
          <w:rFonts w:ascii="Book Antiqua" w:hAnsi="Book Antiqua" w:eastAsia="Book Antiqua" w:cs="Book Antiqua"/>
          <w:b/>
          <w:bCs/>
          <w:color w:val="000000"/>
        </w:rPr>
        <w:t>29</w:t>
      </w:r>
      <w:r>
        <w:rPr>
          <w:rFonts w:ascii="Book Antiqua" w:hAnsi="Book Antiqua" w:eastAsia="Book Antiqua" w:cs="Book Antiqua"/>
          <w:color w:val="000000"/>
        </w:rPr>
        <w:t>: 185-188 [PMID: 27759783 DOI: 10.1590/0102-6720201600030013]</w:t>
      </w:r>
    </w:p>
    <w:p>
      <w:pPr>
        <w:spacing w:line="360" w:lineRule="auto"/>
        <w:jc w:val="both"/>
        <w:rPr>
          <w:rFonts w:ascii="Book Antiqua" w:hAnsi="Book Antiqua" w:eastAsia="Book Antiqua" w:cs="Book Antiqua"/>
          <w:b/>
          <w:bCs/>
          <w:color w:val="000000"/>
          <w:highlight w:val="yellow"/>
        </w:rPr>
      </w:pPr>
      <w:r>
        <w:rPr>
          <w:rFonts w:ascii="Book Antiqua" w:hAnsi="Book Antiqua" w:eastAsia="Book Antiqua" w:cs="Book Antiqua"/>
          <w:color w:val="000000"/>
        </w:rPr>
        <w:t xml:space="preserve">37 </w:t>
      </w:r>
      <w:r>
        <w:rPr>
          <w:rFonts w:ascii="Book Antiqua" w:hAnsi="Book Antiqua"/>
          <w:b/>
        </w:rPr>
        <w:t>Becker Veronese CB</w:t>
      </w:r>
      <w:r>
        <w:rPr>
          <w:rFonts w:ascii="Book Antiqua" w:hAnsi="Book Antiqua"/>
        </w:rPr>
        <w:t xml:space="preserve">, Guerra LT, Souza Grigolleti S, Vargas J, Pereira da Rosa AR, Pinto Kruel CD. Basal energy expenditure measured by indirect calorimetry in patients with squamous cell carcinoma of the esophagus. </w:t>
      </w:r>
      <w:r>
        <w:rPr>
          <w:rFonts w:ascii="Book Antiqua" w:hAnsi="Book Antiqua"/>
          <w:i/>
        </w:rPr>
        <w:t>Nutr Hosp</w:t>
      </w:r>
      <w:r>
        <w:rPr>
          <w:rFonts w:ascii="Book Antiqua" w:hAnsi="Book Antiqua"/>
        </w:rPr>
        <w:t xml:space="preserve"> 2013; </w:t>
      </w:r>
      <w:r>
        <w:rPr>
          <w:rFonts w:ascii="Book Antiqua" w:hAnsi="Book Antiqua"/>
          <w:b/>
        </w:rPr>
        <w:t>28:</w:t>
      </w:r>
      <w:r>
        <w:rPr>
          <w:rFonts w:ascii="Book Antiqua" w:hAnsi="Book Antiqua"/>
        </w:rPr>
        <w:t xml:space="preserve"> 142-147 [PMID: 23808442 DOI: 10.3305/nh.2013.28.1.6152]</w:t>
      </w:r>
      <w:r>
        <w:rPr>
          <w:rFonts w:ascii="Book Antiqua" w:hAnsi="Book Antiqua" w:eastAsia="Book Antiqua" w:cs="Book Antiqua"/>
          <w:b/>
          <w:bCs/>
          <w:color w:val="000000"/>
          <w:highlight w:val="yellow"/>
        </w:rPr>
        <w:t xml:space="preserve"> </w:t>
      </w:r>
    </w:p>
    <w:p>
      <w:pPr>
        <w:spacing w:line="360" w:lineRule="auto"/>
        <w:jc w:val="both"/>
        <w:rPr>
          <w:rFonts w:ascii="Book Antiqua" w:hAnsi="Book Antiqua"/>
        </w:rPr>
      </w:pPr>
      <w:r>
        <w:rPr>
          <w:rFonts w:ascii="Book Antiqua" w:hAnsi="Book Antiqua" w:eastAsia="Book Antiqua" w:cs="Book Antiqua"/>
          <w:color w:val="000000"/>
        </w:rPr>
        <w:t xml:space="preserve">38 </w:t>
      </w:r>
      <w:r>
        <w:rPr>
          <w:rFonts w:ascii="Book Antiqua" w:hAnsi="Book Antiqua" w:eastAsia="Book Antiqua" w:cs="Book Antiqua"/>
          <w:b/>
          <w:bCs/>
          <w:color w:val="000000"/>
        </w:rPr>
        <w:t>Boullata J</w:t>
      </w:r>
      <w:r>
        <w:rPr>
          <w:rFonts w:ascii="Book Antiqua" w:hAnsi="Book Antiqua" w:eastAsia="Book Antiqua" w:cs="Book Antiqua"/>
          <w:color w:val="000000"/>
        </w:rPr>
        <w:t xml:space="preserve">, Williams J, Cottrell F, Hudson L, Compher C. Accurate determination of energy needs in hospitalized patients. </w:t>
      </w:r>
      <w:r>
        <w:rPr>
          <w:rFonts w:ascii="Book Antiqua" w:hAnsi="Book Antiqua" w:eastAsia="Book Antiqua" w:cs="Book Antiqua"/>
          <w:i/>
          <w:iCs/>
          <w:color w:val="000000"/>
        </w:rPr>
        <w:t>J Am Diet Assoc</w:t>
      </w:r>
      <w:r>
        <w:rPr>
          <w:rFonts w:ascii="Book Antiqua" w:hAnsi="Book Antiqua" w:eastAsia="Book Antiqua" w:cs="Book Antiqua"/>
          <w:color w:val="000000"/>
        </w:rPr>
        <w:t xml:space="preserve"> 2007; </w:t>
      </w:r>
      <w:r>
        <w:rPr>
          <w:rFonts w:ascii="Book Antiqua" w:hAnsi="Book Antiqua" w:eastAsia="Book Antiqua" w:cs="Book Antiqua"/>
          <w:b/>
          <w:bCs/>
          <w:color w:val="000000"/>
        </w:rPr>
        <w:t>107</w:t>
      </w:r>
      <w:r>
        <w:rPr>
          <w:rFonts w:ascii="Book Antiqua" w:hAnsi="Book Antiqua" w:eastAsia="Book Antiqua" w:cs="Book Antiqua"/>
          <w:color w:val="000000"/>
        </w:rPr>
        <w:t>: 393-401 [PMID: 17324656 DOI: 10.1016/j.jada.2006.12.014]</w:t>
      </w:r>
    </w:p>
    <w:p>
      <w:pPr>
        <w:spacing w:line="360" w:lineRule="auto"/>
        <w:jc w:val="both"/>
        <w:rPr>
          <w:rFonts w:ascii="Book Antiqua" w:hAnsi="Book Antiqua"/>
        </w:rPr>
      </w:pPr>
      <w:r>
        <w:rPr>
          <w:rFonts w:ascii="Book Antiqua" w:hAnsi="Book Antiqua" w:eastAsia="Book Antiqua" w:cs="Book Antiqua"/>
          <w:color w:val="000000"/>
        </w:rPr>
        <w:t xml:space="preserve">39 </w:t>
      </w:r>
      <w:r>
        <w:rPr>
          <w:rFonts w:ascii="Book Antiqua" w:hAnsi="Book Antiqua" w:eastAsia="Book Antiqua" w:cs="Book Antiqua"/>
          <w:b/>
          <w:bCs/>
          <w:color w:val="000000"/>
        </w:rPr>
        <w:t>Zanella PB</w:t>
      </w:r>
      <w:r>
        <w:rPr>
          <w:rFonts w:ascii="Book Antiqua" w:hAnsi="Book Antiqua" w:eastAsia="Book Antiqua" w:cs="Book Antiqua"/>
          <w:color w:val="000000"/>
        </w:rPr>
        <w:t xml:space="preserve">, Ávila CC, de Souza CG. Estimating Resting Energy Expenditure by Different Methods as Compared With Indirect Calorimetry for Patients With Pulmonary Hypertension. </w:t>
      </w:r>
      <w:r>
        <w:rPr>
          <w:rFonts w:ascii="Book Antiqua" w:hAnsi="Book Antiqua" w:eastAsia="Book Antiqua" w:cs="Book Antiqua"/>
          <w:i/>
          <w:iCs/>
          <w:color w:val="000000"/>
        </w:rPr>
        <w:t>Nutr Clin Pract</w:t>
      </w:r>
      <w:r>
        <w:rPr>
          <w:rFonts w:ascii="Book Antiqua" w:hAnsi="Book Antiqua" w:eastAsia="Book Antiqua" w:cs="Book Antiqua"/>
          <w:color w:val="000000"/>
        </w:rPr>
        <w:t xml:space="preserve"> 2018; </w:t>
      </w:r>
      <w:r>
        <w:rPr>
          <w:rFonts w:ascii="Book Antiqua" w:hAnsi="Book Antiqua" w:eastAsia="Book Antiqua" w:cs="Book Antiqua"/>
          <w:b/>
          <w:bCs/>
          <w:color w:val="000000"/>
        </w:rPr>
        <w:t>33</w:t>
      </w:r>
      <w:r>
        <w:rPr>
          <w:rFonts w:ascii="Book Antiqua" w:hAnsi="Book Antiqua" w:eastAsia="Book Antiqua" w:cs="Book Antiqua"/>
          <w:color w:val="000000"/>
        </w:rPr>
        <w:t>: 217-223 [PMID: 29596719 DOI: 10.1177/0884533617727731]</w:t>
      </w:r>
    </w:p>
    <w:p>
      <w:pPr>
        <w:spacing w:line="360" w:lineRule="auto"/>
        <w:jc w:val="both"/>
        <w:rPr>
          <w:rFonts w:ascii="Book Antiqua" w:hAnsi="Book Antiqua"/>
        </w:rPr>
      </w:pPr>
      <w:r>
        <w:rPr>
          <w:rFonts w:ascii="Book Antiqua" w:hAnsi="Book Antiqua" w:eastAsia="Book Antiqua" w:cs="Book Antiqua"/>
          <w:color w:val="000000"/>
        </w:rPr>
        <w:t xml:space="preserve">40 </w:t>
      </w:r>
      <w:r>
        <w:rPr>
          <w:rFonts w:ascii="Book Antiqua" w:hAnsi="Book Antiqua" w:eastAsia="Book Antiqua" w:cs="Book Antiqua"/>
          <w:b/>
          <w:bCs/>
          <w:color w:val="000000"/>
        </w:rPr>
        <w:t>Strain GW</w:t>
      </w:r>
      <w:r>
        <w:rPr>
          <w:rFonts w:ascii="Book Antiqua" w:hAnsi="Book Antiqua" w:eastAsia="Book Antiqua" w:cs="Book Antiqua"/>
          <w:color w:val="000000"/>
        </w:rPr>
        <w:t xml:space="preserve">, Wang J, Gagner M, Pomp A, Inabnet WB, Heymsfield SB. Bioimpedance for severe obesity: comparing research methods for total body water and resting energy expenditure. </w:t>
      </w:r>
      <w:r>
        <w:rPr>
          <w:rFonts w:ascii="Book Antiqua" w:hAnsi="Book Antiqua" w:eastAsia="Book Antiqua" w:cs="Book Antiqua"/>
          <w:i/>
          <w:iCs/>
          <w:color w:val="000000"/>
        </w:rPr>
        <w:t>Obesity (Silver Spring)</w:t>
      </w:r>
      <w:r>
        <w:rPr>
          <w:rFonts w:ascii="Book Antiqua" w:hAnsi="Book Antiqua" w:eastAsia="Book Antiqua" w:cs="Book Antiqua"/>
          <w:color w:val="000000"/>
        </w:rPr>
        <w:t xml:space="preserve"> 2008; </w:t>
      </w:r>
      <w:r>
        <w:rPr>
          <w:rFonts w:ascii="Book Antiqua" w:hAnsi="Book Antiqua" w:eastAsia="Book Antiqua" w:cs="Book Antiqua"/>
          <w:b/>
          <w:bCs/>
          <w:color w:val="000000"/>
        </w:rPr>
        <w:t>16</w:t>
      </w:r>
      <w:r>
        <w:rPr>
          <w:rFonts w:ascii="Book Antiqua" w:hAnsi="Book Antiqua" w:eastAsia="Book Antiqua" w:cs="Book Antiqua"/>
          <w:color w:val="000000"/>
        </w:rPr>
        <w:t>: 1953-1956 [PMID: 18551107 DOI: 10.1038/oby.2008.321]</w:t>
      </w:r>
    </w:p>
    <w:p>
      <w:pPr>
        <w:spacing w:line="360" w:lineRule="auto"/>
        <w:jc w:val="both"/>
        <w:rPr>
          <w:rFonts w:ascii="Book Antiqua" w:hAnsi="Book Antiqua"/>
        </w:rPr>
      </w:pPr>
      <w:r>
        <w:rPr>
          <w:rFonts w:ascii="Book Antiqua" w:hAnsi="Book Antiqua" w:eastAsia="Book Antiqua" w:cs="Book Antiqua"/>
          <w:color w:val="000000"/>
        </w:rPr>
        <w:t xml:space="preserve">41 </w:t>
      </w:r>
      <w:r>
        <w:rPr>
          <w:rFonts w:ascii="Book Antiqua" w:hAnsi="Book Antiqua" w:eastAsia="Book Antiqua" w:cs="Book Antiqua"/>
          <w:b/>
          <w:bCs/>
          <w:color w:val="000000"/>
        </w:rPr>
        <w:t>Nunes FF</w:t>
      </w:r>
      <w:r>
        <w:rPr>
          <w:rFonts w:ascii="Book Antiqua" w:hAnsi="Book Antiqua" w:eastAsia="Book Antiqua" w:cs="Book Antiqua"/>
          <w:color w:val="000000"/>
        </w:rPr>
        <w:t xml:space="preserve">, Bassani L, Fernandes SA, Deutrich ME, Pivatto BC, Marroni CA. Food Consumption of Cirrhotic Patients, Comparison with the Nutritional Status and Disease Staging. </w:t>
      </w:r>
      <w:r>
        <w:rPr>
          <w:rFonts w:ascii="Book Antiqua" w:hAnsi="Book Antiqua" w:eastAsia="Book Antiqua" w:cs="Book Antiqua"/>
          <w:i/>
          <w:iCs/>
          <w:color w:val="000000"/>
        </w:rPr>
        <w:t>Arq Gastroenterol</w:t>
      </w:r>
      <w:r>
        <w:rPr>
          <w:rFonts w:ascii="Book Antiqua" w:hAnsi="Book Antiqua" w:eastAsia="Book Antiqua" w:cs="Book Antiqua"/>
          <w:color w:val="000000"/>
        </w:rPr>
        <w:t xml:space="preserve"> 2016; </w:t>
      </w:r>
      <w:r>
        <w:rPr>
          <w:rFonts w:ascii="Book Antiqua" w:hAnsi="Book Antiqua" w:eastAsia="Book Antiqua" w:cs="Book Antiqua"/>
          <w:b/>
          <w:bCs/>
          <w:color w:val="000000"/>
        </w:rPr>
        <w:t>53</w:t>
      </w:r>
      <w:r>
        <w:rPr>
          <w:rFonts w:ascii="Book Antiqua" w:hAnsi="Book Antiqua" w:eastAsia="Book Antiqua" w:cs="Book Antiqua"/>
          <w:color w:val="000000"/>
        </w:rPr>
        <w:t>: 250-256 [PMID: 27706455 DOI: 10.1590/S0004-28032016000400008]</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rPr>
        <w:t>This study was approved by the Research Ethics Committee of Irmandade Santa Casa de Misericórdia de Porto Alegre (No. 2.387.800).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Patients who agreed to participate in the study signed the Free and Informed Consent Form.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All authors declare that there are no conflicts of interest related to this article.</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rPr>
        <w:t>No additional data is available for sharing.</w:t>
      </w:r>
    </w:p>
    <w:p>
      <w:pPr>
        <w:spacing w:line="360" w:lineRule="auto"/>
        <w:jc w:val="both"/>
        <w:rPr>
          <w:rFonts w:ascii="Book Antiqua" w:hAnsi="Book Antiqua" w:eastAsia="Book Antiqua" w:cs="Book Antiqua"/>
          <w:color w:val="000000"/>
        </w:rPr>
      </w:pPr>
    </w:p>
    <w:p>
      <w:pPr>
        <w:spacing w:line="360" w:lineRule="auto"/>
        <w:jc w:val="both"/>
        <w:rPr>
          <w:rStyle w:val="10"/>
          <w:rFonts w:ascii="Book Antiqua" w:hAnsi="Book Antiqua" w:eastAsia="宋体"/>
          <w:lang w:eastAsia="zh-CN"/>
        </w:rPr>
      </w:pPr>
      <w:r>
        <w:rPr>
          <w:rStyle w:val="10"/>
          <w:rFonts w:ascii="Book Antiqua" w:hAnsi="Book Antiqua"/>
        </w:rPr>
        <w:t>STROBE statement</w:t>
      </w:r>
      <w:r>
        <w:rPr>
          <w:rStyle w:val="10"/>
          <w:rFonts w:hint="eastAsia" w:ascii="Book Antiqua" w:hAnsi="Book Antiqua" w:eastAsia="宋体"/>
          <w:lang w:eastAsia="zh-CN"/>
        </w:rPr>
        <w:t>:</w:t>
      </w:r>
      <w:r>
        <w:rPr>
          <w:rStyle w:val="10"/>
          <w:rFonts w:ascii="Book Antiqua" w:hAnsi="Book Antiqua" w:eastAsia="宋体"/>
          <w:lang w:eastAsia="zh-CN"/>
        </w:rPr>
        <w:t xml:space="preserve"> </w:t>
      </w:r>
      <w:r>
        <w:rPr>
          <w:rFonts w:ascii="Book Antiqua" w:hAnsi="Book Antiqua" w:cs="Garamond-Bold"/>
          <w:bCs/>
          <w:color w:val="000000"/>
        </w:rPr>
        <w:t>The authors have read the STROBE Statement—checklist of items, and the manuscript was prepared and revised according to the STROBE Statement—checklist of items.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1,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12,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March 26,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Brazil</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Bataga SM,</w:t>
      </w:r>
      <w:r>
        <w:rPr>
          <w:rFonts w:ascii="Book Antiqua" w:hAnsi="Book Antiqua"/>
        </w:rPr>
        <w:t xml:space="preserve"> </w:t>
      </w:r>
      <w:r>
        <w:rPr>
          <w:rFonts w:ascii="Book Antiqua" w:hAnsi="Book Antiqua" w:eastAsia="Book Antiqua" w:cs="Book Antiqua"/>
          <w:color w:val="000000"/>
        </w:rPr>
        <w:t>Romania; Cheng L,</w:t>
      </w:r>
      <w:r>
        <w:rPr>
          <w:rFonts w:ascii="Book Antiqua" w:hAnsi="Book Antiqua"/>
        </w:rPr>
        <w:t xml:space="preserve"> </w:t>
      </w:r>
      <w:r>
        <w:rPr>
          <w:rFonts w:ascii="Book Antiqua" w:hAnsi="Book Antiqua" w:eastAsia="Book Antiqua" w:cs="Book Antiqua"/>
          <w:color w:val="000000"/>
        </w:rPr>
        <w:t>China</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Wang TQ</w:t>
      </w:r>
      <w:r>
        <w:rPr>
          <w:rFonts w:ascii="Book Antiqua" w:hAnsi="Book Antiqua" w:eastAsia="Book Antiqua" w:cs="Book Antiqua"/>
          <w:b/>
          <w:color w:val="000000"/>
        </w:rPr>
        <w:t xml:space="preserve"> P-Editor: </w:t>
      </w:r>
      <w:r>
        <w:rPr>
          <w:rFonts w:hint="eastAsia" w:ascii="Book Antiqua" w:hAnsi="Book Antiqua" w:eastAsia="Book Antiqua" w:cs="Book Antiqua"/>
          <w:b w:val="0"/>
          <w:bCs/>
          <w:color w:val="000000"/>
        </w:rPr>
        <w:t>Liu JH</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drawing>
          <wp:inline distT="0" distB="0" distL="114300" distR="114300">
            <wp:extent cx="5184775" cy="8129270"/>
            <wp:effectExtent l="0" t="0" r="12065" b="8890"/>
            <wp:docPr id="2" name="图片 2" descr="WJH-14-80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H-14-802-g001"/>
                    <pic:cNvPicPr>
                      <a:picLocks noChangeAspect="1"/>
                    </pic:cNvPicPr>
                  </pic:nvPicPr>
                  <pic:blipFill>
                    <a:blip r:embed="rId5"/>
                    <a:stretch>
                      <a:fillRect/>
                    </a:stretch>
                  </pic:blipFill>
                  <pic:spPr>
                    <a:xfrm>
                      <a:off x="0" y="0"/>
                      <a:ext cx="5184775" cy="8129270"/>
                    </a:xfrm>
                    <a:prstGeom prst="rect">
                      <a:avLst/>
                    </a:prstGeom>
                  </pic:spPr>
                </pic:pic>
              </a:graphicData>
            </a:graphic>
          </wp:inline>
        </w:drawing>
      </w:r>
      <w:bookmarkStart w:id="2" w:name="_GoBack"/>
      <w:bookmarkEnd w:id="2"/>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Figure 1 Bland-Altman plots comparing indirect calorimetry with predictive methods. </w:t>
      </w:r>
      <w:r>
        <w:rPr>
          <w:rFonts w:ascii="Book Antiqua" w:hAnsi="Book Antiqua" w:eastAsia="Book Antiqua" w:cs="Book Antiqua"/>
          <w:bCs/>
          <w:color w:val="000000"/>
        </w:rPr>
        <w:t xml:space="preserve">A: </w:t>
      </w:r>
      <w:r>
        <w:rPr>
          <w:rFonts w:ascii="Book Antiqua" w:hAnsi="Book Antiqua" w:eastAsia="Book Antiqua" w:cs="Book Antiqua"/>
          <w:bCs/>
          <w:color w:val="000000"/>
          <w:lang w:eastAsia="zh-CN"/>
        </w:rPr>
        <w:t>M</w:t>
      </w:r>
      <w:r>
        <w:rPr>
          <w:rFonts w:hint="eastAsia" w:ascii="Book Antiqua" w:hAnsi="Book Antiqua" w:eastAsia="Book Antiqua" w:cs="Book Antiqua"/>
          <w:bCs/>
          <w:color w:val="000000"/>
          <w:lang w:eastAsia="zh-CN"/>
        </w:rPr>
        <w:t>e</w:t>
      </w:r>
      <w:r>
        <w:rPr>
          <w:rFonts w:ascii="Book Antiqua" w:hAnsi="Book Antiqua" w:eastAsia="Book Antiqua" w:cs="Book Antiqua"/>
          <w:bCs/>
          <w:color w:val="000000"/>
          <w:lang w:eastAsia="zh-CN"/>
        </w:rPr>
        <w:t xml:space="preserve">an of indirect calorimetry (IC) and </w:t>
      </w:r>
      <w:r>
        <w:rPr>
          <w:rFonts w:ascii="Book Antiqua" w:hAnsi="Book Antiqua" w:eastAsia="Book Antiqua" w:cs="Book Antiqua"/>
          <w:color w:val="000000"/>
        </w:rPr>
        <w:t>bioelectrical impedance analysis</w:t>
      </w:r>
      <w:r>
        <w:rPr>
          <w:rFonts w:ascii="Book Antiqua" w:hAnsi="Book Antiqua" w:eastAsia="Book Antiqua" w:cs="Book Antiqua"/>
          <w:bCs/>
          <w:color w:val="000000"/>
          <w:lang w:eastAsia="zh-CN"/>
        </w:rPr>
        <w:t xml:space="preserve"> (BIA);</w:t>
      </w:r>
      <w:r>
        <w:rPr>
          <w:rFonts w:hint="eastAsia" w:ascii="Book Antiqua" w:hAnsi="Book Antiqua" w:eastAsia="Book Antiqua" w:cs="Book Antiqua"/>
          <w:b/>
          <w:color w:val="000000"/>
          <w:lang w:eastAsia="zh-CN"/>
        </w:rPr>
        <w:t xml:space="preserve"> </w:t>
      </w:r>
      <w:r>
        <w:rPr>
          <w:rFonts w:ascii="Book Antiqua" w:hAnsi="Book Antiqua" w:eastAsia="Book Antiqua" w:cs="Book Antiqua"/>
          <w:bCs/>
          <w:color w:val="000000"/>
          <w:lang w:eastAsia="zh-CN"/>
        </w:rPr>
        <w:t>B: Mean of IC and Harris &amp; Bennedict; C:</w:t>
      </w:r>
      <w:r>
        <w:t xml:space="preserve"> </w:t>
      </w:r>
      <w:r>
        <w:rPr>
          <w:rFonts w:ascii="Book Antiqua" w:hAnsi="Book Antiqua" w:eastAsia="Book Antiqua" w:cs="Book Antiqua"/>
          <w:bCs/>
          <w:color w:val="000000"/>
          <w:lang w:eastAsia="zh-CN"/>
        </w:rPr>
        <w:t xml:space="preserve">Mean of IC and IOM; D: Mean of IC and FAO/WHO; E: Mean of IC and McArdle; F: Mean of IC and Cunningham; G: Mean of IC and Mifflin. </w:t>
      </w:r>
      <w:r>
        <w:rPr>
          <w:rFonts w:ascii="Book Antiqua" w:hAnsi="Book Antiqua"/>
        </w:rPr>
        <w:t xml:space="preserve">BIA: </w:t>
      </w:r>
      <w:r>
        <w:rPr>
          <w:rFonts w:ascii="Book Antiqua" w:hAnsi="Book Antiqua" w:eastAsia="Book Antiqua" w:cs="Book Antiqua"/>
          <w:color w:val="000000"/>
        </w:rPr>
        <w:t xml:space="preserve">Bioelectrical impedance analysis; FAO: </w:t>
      </w:r>
      <w:r>
        <w:rPr>
          <w:rFonts w:ascii="Book Antiqua" w:hAnsi="Book Antiqua" w:eastAsia="Book Antiqua" w:cs="Book Antiqua"/>
        </w:rPr>
        <w:t xml:space="preserve">Food and Agriculture </w:t>
      </w:r>
      <w:r>
        <w:rPr>
          <w:rFonts w:ascii="Book Antiqua" w:hAnsi="Book Antiqua" w:eastAsia="Book Antiqua" w:cs="Book Antiqua"/>
          <w:color w:val="000000"/>
        </w:rPr>
        <w:t>indirect calorimetry</w:t>
      </w:r>
      <w:r>
        <w:rPr>
          <w:rFonts w:ascii="Book Antiqua" w:hAnsi="Book Antiqua" w:eastAsia="Book Antiqua" w:cs="Book Antiqua"/>
        </w:rPr>
        <w:t xml:space="preserve"> Organization of the United Nations; IC: </w:t>
      </w:r>
      <w:r>
        <w:rPr>
          <w:rFonts w:ascii="Book Antiqua" w:hAnsi="Book Antiqua" w:eastAsia="Book Antiqua" w:cs="Book Antiqua"/>
          <w:color w:val="000000"/>
        </w:rPr>
        <w:t>Indirect calorimetry</w:t>
      </w:r>
      <w:r>
        <w:rPr>
          <w:rFonts w:hint="eastAsia" w:ascii="Book Antiqua" w:hAnsi="Book Antiqua" w:cs="Book Antiqua"/>
          <w:lang w:eastAsia="zh-CN"/>
        </w:rPr>
        <w:t>;</w:t>
      </w:r>
      <w:r>
        <w:rPr>
          <w:rFonts w:ascii="Book Antiqua" w:hAnsi="Book Antiqua" w:cs="Book Antiqua"/>
          <w:lang w:eastAsia="zh-CN"/>
        </w:rPr>
        <w:t xml:space="preserve"> </w:t>
      </w:r>
      <w:r>
        <w:rPr>
          <w:rFonts w:ascii="Book Antiqua" w:hAnsi="Book Antiqua" w:eastAsia="Book Antiqua" w:cs="Book Antiqua"/>
        </w:rPr>
        <w:t>WHO: World Health Organization.</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br w:type="page"/>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Table 1 Predictive equations for derivation of energy expenditure</w:t>
      </w:r>
      <w:r>
        <w:rPr>
          <w:rFonts w:ascii="Book Antiqua" w:hAnsi="Book Antiqua"/>
          <w:b/>
        </w:rPr>
        <w:t>, all values obtained in kilocalories</w:t>
      </w:r>
    </w:p>
    <w:tbl>
      <w:tblPr>
        <w:tblStyle w:val="8"/>
        <w:tblW w:w="5000" w:type="pct"/>
        <w:tblInd w:w="0" w:type="dxa"/>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48"/>
        <w:gridCol w:w="6828"/>
      </w:tblGrid>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5000" w:type="pct"/>
            <w:gridSpan w:val="2"/>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hd w:val="clear" w:color="auto" w:fill="F1F1F1" w:themeFill="background1" w:themeFillShade="F2"/>
              <w:spacing w:line="360" w:lineRule="auto"/>
              <w:jc w:val="both"/>
              <w:rPr>
                <w:rFonts w:ascii="Book Antiqua" w:hAnsi="Book Antiqua" w:eastAsia="Cambria"/>
                <w:b/>
                <w:bCs/>
              </w:rPr>
            </w:pPr>
            <w:r>
              <w:rPr>
                <w:rFonts w:ascii="Book Antiqua" w:hAnsi="Book Antiqua" w:eastAsia="Cambria"/>
                <w:b/>
                <w:bCs/>
              </w:rPr>
              <w:t>BIA</w:t>
            </w:r>
            <w:r>
              <w:rPr>
                <w:rFonts w:ascii="Book Antiqua" w:hAnsi="Book Antiqua" w:eastAsia="Cambria"/>
                <w:b/>
                <w:bCs/>
                <w:vertAlign w:val="superscript"/>
              </w:rPr>
              <w:t>[25]</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1435" w:type="pct"/>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mbria"/>
                <w:b/>
                <w:bCs/>
              </w:rPr>
            </w:pPr>
            <w:r>
              <w:rPr>
                <w:rFonts w:ascii="Book Antiqua" w:hAnsi="Book Antiqua" w:eastAsia="Cambria"/>
                <w:b/>
                <w:bCs/>
              </w:rPr>
              <w:t>Women and men</w:t>
            </w:r>
          </w:p>
        </w:tc>
        <w:tc>
          <w:tcPr>
            <w:tcW w:w="3565" w:type="pct"/>
            <w:shd w:val="clear" w:color="auto" w:fill="auto"/>
          </w:tcPr>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mbria"/>
                <w:bCs/>
              </w:rPr>
            </w:pPr>
            <w:r>
              <w:rPr>
                <w:rFonts w:ascii="Book Antiqua" w:hAnsi="Book Antiqua" w:eastAsia="Cambria"/>
                <w:bCs/>
              </w:rPr>
              <w:t>31.2 × fat-free mass in kilograms</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5000" w:type="pct"/>
            <w:gridSpan w:val="2"/>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mbria"/>
                <w:b/>
                <w:bCs/>
              </w:rPr>
            </w:pPr>
            <w:r>
              <w:rPr>
                <w:rFonts w:ascii="Book Antiqua" w:hAnsi="Book Antiqua" w:eastAsia="Cambria"/>
                <w:b/>
                <w:bCs/>
              </w:rPr>
              <w:t>Cunningham</w:t>
            </w:r>
            <w:r>
              <w:rPr>
                <w:rFonts w:ascii="Book Antiqua" w:hAnsi="Book Antiqua" w:eastAsia="Cambria"/>
                <w:b/>
                <w:bCs/>
                <w:vertAlign w:val="superscript"/>
              </w:rPr>
              <w:t>[26]</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1435" w:type="pct"/>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mbria"/>
                <w:b/>
                <w:bCs/>
              </w:rPr>
            </w:pPr>
            <w:r>
              <w:rPr>
                <w:rFonts w:ascii="Book Antiqua" w:hAnsi="Book Antiqua" w:eastAsia="Cambria"/>
                <w:b/>
                <w:bCs/>
              </w:rPr>
              <w:t>Women and men</w:t>
            </w:r>
          </w:p>
        </w:tc>
        <w:tc>
          <w:tcPr>
            <w:tcW w:w="3565" w:type="pct"/>
            <w:shd w:val="clear" w:color="auto" w:fill="auto"/>
          </w:tcPr>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mbria"/>
                <w:bCs/>
              </w:rPr>
            </w:pPr>
            <w:r>
              <w:rPr>
                <w:rFonts w:ascii="Book Antiqua" w:hAnsi="Book Antiqua" w:eastAsia="Cambria"/>
                <w:bCs/>
              </w:rPr>
              <w:t>22 × fat-free mass in kilograms + 500</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5000" w:type="pct"/>
            <w:gridSpan w:val="2"/>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hd w:val="clear" w:color="auto" w:fill="F1F1F1" w:themeFill="background1" w:themeFillShade="F2"/>
              <w:spacing w:line="360" w:lineRule="auto"/>
              <w:jc w:val="both"/>
              <w:rPr>
                <w:rFonts w:ascii="Book Antiqua" w:hAnsi="Book Antiqua" w:eastAsia="Cambria"/>
                <w:bCs/>
              </w:rPr>
            </w:pPr>
            <w:r>
              <w:rPr>
                <w:rFonts w:ascii="Book Antiqua" w:hAnsi="Book Antiqua" w:eastAsia="Cambria"/>
                <w:b/>
                <w:bCs/>
              </w:rPr>
              <w:t>Harris and Benedict</w:t>
            </w:r>
            <w:r>
              <w:rPr>
                <w:rFonts w:ascii="Book Antiqua" w:hAnsi="Book Antiqua" w:eastAsia="Cambria"/>
                <w:b/>
                <w:bCs/>
                <w:vertAlign w:val="superscript"/>
              </w:rPr>
              <w:t>[27]</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1435" w:type="pct"/>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mbria"/>
                <w:b/>
              </w:rPr>
            </w:pPr>
            <w:r>
              <w:rPr>
                <w:rFonts w:ascii="Book Antiqua" w:hAnsi="Book Antiqua" w:eastAsia="Cambria"/>
                <w:b/>
                <w:bCs/>
              </w:rPr>
              <w:t>Women</w:t>
            </w:r>
          </w:p>
        </w:tc>
        <w:tc>
          <w:tcPr>
            <w:tcW w:w="3565" w:type="pct"/>
            <w:shd w:val="clear" w:color="auto" w:fill="auto"/>
          </w:tcPr>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mbria"/>
                <w:bCs/>
              </w:rPr>
            </w:pPr>
            <w:r>
              <w:rPr>
                <w:rFonts w:ascii="Book Antiqua" w:hAnsi="Book Antiqua" w:eastAsia="Cambria"/>
                <w:bCs/>
              </w:rPr>
              <w:t>655 + 9.56 × weight + 1.85 × height − 4.68 × age</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1435" w:type="pct"/>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mbria"/>
                <w:b/>
              </w:rPr>
            </w:pPr>
            <w:r>
              <w:rPr>
                <w:rFonts w:ascii="Book Antiqua" w:hAnsi="Book Antiqua" w:eastAsia="Cambria"/>
                <w:b/>
                <w:bCs/>
              </w:rPr>
              <w:t xml:space="preserve">Men </w:t>
            </w:r>
          </w:p>
        </w:tc>
        <w:tc>
          <w:tcPr>
            <w:tcW w:w="3565" w:type="pct"/>
            <w:shd w:val="clear" w:color="auto" w:fill="auto"/>
          </w:tcPr>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mbria"/>
                <w:bCs/>
              </w:rPr>
            </w:pPr>
            <w:r>
              <w:rPr>
                <w:rFonts w:ascii="Book Antiqua" w:hAnsi="Book Antiqua" w:eastAsia="Cambria"/>
              </w:rPr>
              <w:t>66.5 + 13.75 × weight + 5.0 × height − 6.78 × age</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5000" w:type="pct"/>
            <w:gridSpan w:val="2"/>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mbria"/>
                <w:b/>
                <w:bCs/>
              </w:rPr>
            </w:pPr>
            <w:r>
              <w:rPr>
                <w:rFonts w:ascii="Book Antiqua" w:hAnsi="Book Antiqua" w:eastAsia="Cambria"/>
                <w:b/>
                <w:bCs/>
              </w:rPr>
              <w:t>FAO/WHO/UNU</w:t>
            </w:r>
            <w:r>
              <w:rPr>
                <w:rFonts w:ascii="Book Antiqua" w:hAnsi="Book Antiqua" w:eastAsia="Cambria"/>
                <w:b/>
                <w:bCs/>
                <w:vertAlign w:val="superscript"/>
              </w:rPr>
              <w:t>[23]</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1435" w:type="pct"/>
            <w:vMerge w:val="restart"/>
            <w:shd w:val="clear" w:color="auto" w:fill="auto"/>
          </w:tcPr>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mbria"/>
                <w:b/>
              </w:rPr>
            </w:pPr>
            <w:r>
              <w:rPr>
                <w:rFonts w:ascii="Book Antiqua" w:hAnsi="Book Antiqua" w:eastAsia="Cambria"/>
                <w:b/>
                <w:bCs/>
              </w:rPr>
              <w:t xml:space="preserve">Women </w:t>
            </w:r>
          </w:p>
        </w:tc>
        <w:tc>
          <w:tcPr>
            <w:tcW w:w="3565" w:type="pct"/>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mbria"/>
              </w:rPr>
            </w:pPr>
            <w:r>
              <w:rPr>
                <w:rFonts w:ascii="Book Antiqua" w:hAnsi="Book Antiqua" w:eastAsia="Cambria"/>
                <w:bCs/>
              </w:rPr>
              <w:t>Age 30–60 years: 8.7 × weight + 829</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1435" w:type="pct"/>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mbria"/>
                <w:b/>
              </w:rPr>
            </w:pPr>
          </w:p>
        </w:tc>
        <w:tc>
          <w:tcPr>
            <w:tcW w:w="3565" w:type="pct"/>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mbria"/>
              </w:rPr>
            </w:pPr>
            <w:r>
              <w:rPr>
                <w:rFonts w:ascii="Book Antiqua" w:hAnsi="Book Antiqua" w:eastAsia="Cambria"/>
                <w:bCs/>
              </w:rPr>
              <w:t>Age &gt; 60 years: 10.5 × weight + 596</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1435" w:type="pct"/>
            <w:vMerge w:val="restart"/>
            <w:shd w:val="clear" w:color="auto" w:fill="auto"/>
          </w:tcPr>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mbria"/>
                <w:b/>
              </w:rPr>
            </w:pPr>
            <w:r>
              <w:rPr>
                <w:rFonts w:ascii="Book Antiqua" w:hAnsi="Book Antiqua" w:eastAsia="Cambria"/>
                <w:b/>
                <w:bCs/>
              </w:rPr>
              <w:t>Men</w:t>
            </w:r>
          </w:p>
        </w:tc>
        <w:tc>
          <w:tcPr>
            <w:tcW w:w="3565" w:type="pct"/>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mbria"/>
              </w:rPr>
            </w:pPr>
            <w:r>
              <w:rPr>
                <w:rFonts w:ascii="Book Antiqua" w:hAnsi="Book Antiqua" w:eastAsia="Cambria"/>
              </w:rPr>
              <w:t>Age 30–60 years: 11.6 × weight + 879</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1435" w:type="pct"/>
            <w:vMerge w:val="continue"/>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mbria"/>
              </w:rPr>
            </w:pPr>
          </w:p>
        </w:tc>
        <w:tc>
          <w:tcPr>
            <w:tcW w:w="3565" w:type="pct"/>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mbria"/>
              </w:rPr>
            </w:pPr>
            <w:r>
              <w:rPr>
                <w:rFonts w:ascii="Book Antiqua" w:hAnsi="Book Antiqua" w:eastAsia="Cambria"/>
              </w:rPr>
              <w:t>Age &gt; 60 years: 13.5 × weight + 487</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5000" w:type="pct"/>
            <w:gridSpan w:val="2"/>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mbria"/>
                <w:b/>
                <w:bCs/>
              </w:rPr>
            </w:pPr>
            <w:r>
              <w:rPr>
                <w:rFonts w:ascii="Book Antiqua" w:hAnsi="Book Antiqua" w:eastAsia="Cambria"/>
                <w:b/>
                <w:bCs/>
              </w:rPr>
              <w:t>IOM</w:t>
            </w:r>
            <w:r>
              <w:rPr>
                <w:rFonts w:ascii="Book Antiqua" w:hAnsi="Book Antiqua" w:eastAsia="Cambria"/>
                <w:b/>
                <w:bCs/>
                <w:vertAlign w:val="superscript"/>
              </w:rPr>
              <w:t>[28]</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1435" w:type="pct"/>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mbria"/>
                <w:b/>
              </w:rPr>
            </w:pPr>
            <w:r>
              <w:rPr>
                <w:rFonts w:ascii="Book Antiqua" w:hAnsi="Book Antiqua" w:eastAsia="Cambria"/>
                <w:b/>
                <w:bCs/>
              </w:rPr>
              <w:t xml:space="preserve">Women </w:t>
            </w:r>
          </w:p>
        </w:tc>
        <w:tc>
          <w:tcPr>
            <w:tcW w:w="3565" w:type="pct"/>
            <w:shd w:val="clear" w:color="auto" w:fill="auto"/>
          </w:tcPr>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mbria"/>
                <w:bCs/>
              </w:rPr>
            </w:pPr>
            <w:r>
              <w:rPr>
                <w:rFonts w:ascii="Book Antiqua" w:hAnsi="Book Antiqua" w:eastAsia="Cambria"/>
                <w:bCs/>
              </w:rPr>
              <w:t>[247 − (2.67 × age) + (401.5 × height)] + [8.6 × weight]</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1435" w:type="pct"/>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mbria"/>
                <w:b/>
              </w:rPr>
            </w:pPr>
            <w:r>
              <w:rPr>
                <w:rFonts w:ascii="Book Antiqua" w:hAnsi="Book Antiqua" w:eastAsia="Cambria"/>
                <w:b/>
                <w:bCs/>
              </w:rPr>
              <w:t>Men</w:t>
            </w:r>
          </w:p>
        </w:tc>
        <w:tc>
          <w:tcPr>
            <w:tcW w:w="3565" w:type="pct"/>
            <w:shd w:val="clear" w:color="auto" w:fill="auto"/>
          </w:tcPr>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mbria"/>
                <w:bCs/>
              </w:rPr>
            </w:pPr>
            <w:r>
              <w:rPr>
                <w:rFonts w:ascii="Book Antiqua" w:hAnsi="Book Antiqua" w:eastAsia="Cambria"/>
                <w:bCs/>
              </w:rPr>
              <w:t>[293 − (3.8 × age) + (456.4 × height)] + [10.12 × weight]</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5000" w:type="pct"/>
            <w:gridSpan w:val="2"/>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mbria"/>
                <w:b/>
                <w:bCs/>
              </w:rPr>
            </w:pPr>
            <w:r>
              <w:rPr>
                <w:rFonts w:ascii="Book Antiqua" w:hAnsi="Book Antiqua" w:eastAsia="Cambria"/>
                <w:b/>
                <w:bCs/>
              </w:rPr>
              <w:t xml:space="preserve">McArdle </w:t>
            </w:r>
            <w:r>
              <w:rPr>
                <w:rFonts w:ascii="Book Antiqua" w:hAnsi="Book Antiqua" w:eastAsia="Cambria"/>
                <w:b/>
                <w:bCs/>
                <w:i/>
              </w:rPr>
              <w:t>et al</w:t>
            </w:r>
            <w:r>
              <w:rPr>
                <w:rFonts w:ascii="Book Antiqua" w:hAnsi="Book Antiqua" w:eastAsia="Cambria"/>
                <w:b/>
                <w:bCs/>
                <w:vertAlign w:val="superscript"/>
              </w:rPr>
              <w:t>[29]</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1435" w:type="pct"/>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mbria"/>
                <w:b/>
              </w:rPr>
            </w:pPr>
            <w:r>
              <w:rPr>
                <w:rFonts w:ascii="Book Antiqua" w:hAnsi="Book Antiqua" w:eastAsia="Cambria"/>
                <w:b/>
                <w:bCs/>
              </w:rPr>
              <w:t>Women and men</w:t>
            </w:r>
          </w:p>
        </w:tc>
        <w:tc>
          <w:tcPr>
            <w:tcW w:w="3565" w:type="pct"/>
            <w:shd w:val="clear" w:color="auto" w:fill="auto"/>
          </w:tcPr>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mbria"/>
                <w:bCs/>
              </w:rPr>
            </w:pPr>
            <w:r>
              <w:rPr>
                <w:rFonts w:ascii="Book Antiqua" w:hAnsi="Book Antiqua" w:eastAsia="Cambria"/>
                <w:bCs/>
              </w:rPr>
              <w:t>[(lean body mass in kilograms) × 21.6] + 370</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5000" w:type="pct"/>
            <w:gridSpan w:val="2"/>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mbria"/>
                <w:b/>
                <w:bCs/>
              </w:rPr>
            </w:pPr>
            <w:r>
              <w:rPr>
                <w:rFonts w:ascii="Book Antiqua" w:hAnsi="Book Antiqua" w:eastAsia="Cambria"/>
                <w:b/>
                <w:bCs/>
              </w:rPr>
              <w:t xml:space="preserve">Mifflin </w:t>
            </w:r>
            <w:r>
              <w:rPr>
                <w:rFonts w:ascii="Book Antiqua" w:hAnsi="Book Antiqua" w:eastAsia="Cambria"/>
                <w:b/>
                <w:bCs/>
                <w:i/>
              </w:rPr>
              <w:t>et al</w:t>
            </w:r>
            <w:r>
              <w:rPr>
                <w:rFonts w:ascii="Book Antiqua" w:hAnsi="Book Antiqua" w:eastAsia="Cambria"/>
                <w:b/>
                <w:bCs/>
                <w:vertAlign w:val="superscript"/>
              </w:rPr>
              <w:t>[30]</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1435" w:type="pct"/>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mbria"/>
                <w:b/>
              </w:rPr>
            </w:pPr>
            <w:r>
              <w:rPr>
                <w:rFonts w:ascii="Book Antiqua" w:hAnsi="Book Antiqua" w:eastAsia="Cambria"/>
                <w:b/>
                <w:bCs/>
              </w:rPr>
              <w:t>Women</w:t>
            </w:r>
          </w:p>
        </w:tc>
        <w:tc>
          <w:tcPr>
            <w:tcW w:w="3565" w:type="pct"/>
            <w:shd w:val="clear" w:color="auto" w:fill="auto"/>
          </w:tcPr>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mbria"/>
                <w:bCs/>
              </w:rPr>
            </w:pPr>
            <w:r>
              <w:rPr>
                <w:rFonts w:ascii="Book Antiqua" w:hAnsi="Book Antiqua" w:eastAsia="Cambria"/>
                <w:bCs/>
              </w:rPr>
              <w:t>10 × weight in kilograms + 6.25 × height − 5 × age -161</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1435" w:type="pct"/>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mbria"/>
                <w:b/>
                <w:bCs/>
              </w:rPr>
            </w:pPr>
            <w:r>
              <w:rPr>
                <w:rFonts w:ascii="Book Antiqua" w:hAnsi="Book Antiqua" w:eastAsia="Cambria"/>
                <w:b/>
                <w:bCs/>
              </w:rPr>
              <w:t xml:space="preserve">Men </w:t>
            </w:r>
          </w:p>
        </w:tc>
        <w:tc>
          <w:tcPr>
            <w:tcW w:w="3565" w:type="pct"/>
            <w:shd w:val="clear" w:color="auto" w:fill="auto"/>
          </w:tcPr>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mbria"/>
                <w:bCs/>
              </w:rPr>
            </w:pPr>
            <w:r>
              <w:rPr>
                <w:rFonts w:ascii="Book Antiqua" w:hAnsi="Book Antiqua" w:eastAsia="Cambria"/>
                <w:bCs/>
              </w:rPr>
              <w:t>10 × weight in kilograms + 6.25 × height − 5 × age +5</w:t>
            </w:r>
          </w:p>
        </w:tc>
      </w:tr>
    </w:tbl>
    <w:p>
      <w:pPr>
        <w:spacing w:line="360" w:lineRule="auto"/>
        <w:jc w:val="both"/>
        <w:rPr>
          <w:rFonts w:ascii="Book Antiqua" w:hAnsi="Book Antiqua"/>
        </w:rPr>
      </w:pPr>
      <w:r>
        <w:rPr>
          <w:rFonts w:ascii="Book Antiqua" w:hAnsi="Book Antiqua"/>
        </w:rPr>
        <w:t xml:space="preserve">BIA: </w:t>
      </w:r>
      <w:r>
        <w:rPr>
          <w:rFonts w:ascii="Book Antiqua" w:hAnsi="Book Antiqua" w:eastAsia="Book Antiqua" w:cs="Book Antiqua"/>
          <w:color w:val="000000"/>
        </w:rPr>
        <w:t xml:space="preserve">Bioelectrical impedance analysis; FAO: </w:t>
      </w:r>
      <w:r>
        <w:rPr>
          <w:rFonts w:ascii="Book Antiqua" w:hAnsi="Book Antiqua" w:eastAsia="Book Antiqua" w:cs="Book Antiqua"/>
        </w:rPr>
        <w:t>Food and Agriculture Organization of the United Nations; WHO: World Health Organization; UNU: United Nations University.</w:t>
      </w:r>
    </w:p>
    <w:p>
      <w:pPr>
        <w:spacing w:line="360" w:lineRule="auto"/>
        <w:jc w:val="both"/>
        <w:rPr>
          <w:rFonts w:ascii="Book Antiqua" w:hAnsi="Book Antiqua"/>
          <w:b/>
        </w:rPr>
      </w:pPr>
    </w:p>
    <w:p>
      <w:pPr>
        <w:spacing w:line="360" w:lineRule="auto"/>
        <w:jc w:val="both"/>
        <w:rPr>
          <w:rFonts w:ascii="Book Antiqua" w:hAnsi="Book Antiqua"/>
          <w:b/>
        </w:rPr>
      </w:pPr>
      <w:r>
        <w:rPr>
          <w:rFonts w:ascii="Book Antiqua" w:hAnsi="Book Antiqua"/>
          <w:b/>
        </w:rPr>
        <w:br w:type="page"/>
      </w:r>
    </w:p>
    <w:p>
      <w:pPr>
        <w:spacing w:line="360" w:lineRule="auto"/>
        <w:jc w:val="both"/>
        <w:rPr>
          <w:rFonts w:ascii="Book Antiqua" w:hAnsi="Book Antiqua"/>
          <w:b/>
        </w:rPr>
      </w:pPr>
      <w:r>
        <w:rPr>
          <w:rFonts w:ascii="Book Antiqua" w:hAnsi="Book Antiqua"/>
          <w:b/>
        </w:rPr>
        <w:t>Table 2 Sample characteristics</w:t>
      </w:r>
    </w:p>
    <w:tbl>
      <w:tblPr>
        <w:tblStyle w:val="7"/>
        <w:tblW w:w="0" w:type="auto"/>
        <w:jc w:val="center"/>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autofit"/>
        <w:tblCellMar>
          <w:top w:w="5" w:type="dxa"/>
          <w:left w:w="108" w:type="dxa"/>
          <w:bottom w:w="0" w:type="dxa"/>
          <w:right w:w="108" w:type="dxa"/>
        </w:tblCellMar>
      </w:tblPr>
      <w:tblGrid>
        <w:gridCol w:w="2930"/>
        <w:gridCol w:w="4241"/>
      </w:tblGrid>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5" w:type="dxa"/>
            <w:left w:w="108" w:type="dxa"/>
            <w:bottom w:w="0" w:type="dxa"/>
            <w:right w:w="108" w:type="dxa"/>
          </w:tblCellMar>
        </w:tblPrEx>
        <w:trPr>
          <w:jc w:val="center"/>
        </w:trPr>
        <w:tc>
          <w:tcPr>
            <w:tcW w:w="2930" w:type="dxa"/>
            <w:tcBorders>
              <w:top w:val="single" w:color="auto" w:sz="18" w:space="0"/>
              <w:bottom w:val="single" w:color="auto" w:sz="18" w:space="0"/>
            </w:tcBorders>
            <w:shd w:val="clear" w:color="auto" w:fill="auto"/>
          </w:tcPr>
          <w:p>
            <w:pPr>
              <w:spacing w:line="360" w:lineRule="auto"/>
              <w:jc w:val="both"/>
              <w:rPr>
                <w:rFonts w:ascii="Book Antiqua" w:hAnsi="Book Antiqua"/>
              </w:rPr>
            </w:pPr>
            <w:r>
              <w:rPr>
                <w:rFonts w:ascii="Book Antiqua" w:hAnsi="Book Antiqua"/>
                <w:b/>
              </w:rPr>
              <w:t>Characteristic</w:t>
            </w:r>
          </w:p>
        </w:tc>
        <w:tc>
          <w:tcPr>
            <w:tcW w:w="4241" w:type="dxa"/>
            <w:tcBorders>
              <w:top w:val="single" w:color="auto" w:sz="18" w:space="0"/>
              <w:bottom w:val="single" w:color="auto" w:sz="18" w:space="0"/>
            </w:tcBorders>
            <w:shd w:val="clear" w:color="auto" w:fill="auto"/>
          </w:tcPr>
          <w:p>
            <w:pPr>
              <w:spacing w:line="360" w:lineRule="auto"/>
              <w:jc w:val="both"/>
              <w:rPr>
                <w:rFonts w:ascii="Book Antiqua" w:hAnsi="Book Antiqua"/>
                <w:b/>
                <w:i/>
              </w:rPr>
            </w:pPr>
            <w:r>
              <w:rPr>
                <w:rFonts w:ascii="Book Antiqua" w:hAnsi="Book Antiqua"/>
                <w:b/>
                <w:i/>
              </w:rPr>
              <w:t>n</w:t>
            </w:r>
            <w:r>
              <w:rPr>
                <w:rFonts w:ascii="Book Antiqua" w:hAnsi="Book Antiqua"/>
                <w:b/>
              </w:rPr>
              <w:t xml:space="preserve"> = 90</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5" w:type="dxa"/>
            <w:left w:w="108" w:type="dxa"/>
            <w:bottom w:w="0" w:type="dxa"/>
            <w:right w:w="108" w:type="dxa"/>
          </w:tblCellMar>
        </w:tblPrEx>
        <w:trPr>
          <w:jc w:val="center"/>
        </w:trPr>
        <w:tc>
          <w:tcPr>
            <w:tcW w:w="2930" w:type="dxa"/>
            <w:shd w:val="clear" w:color="auto" w:fill="auto"/>
          </w:tcPr>
          <w:p>
            <w:pPr>
              <w:spacing w:line="360" w:lineRule="auto"/>
              <w:jc w:val="both"/>
              <w:rPr>
                <w:rFonts w:ascii="Book Antiqua" w:hAnsi="Book Antiqua"/>
              </w:rPr>
            </w:pPr>
            <w:r>
              <w:rPr>
                <w:rFonts w:ascii="Book Antiqua" w:hAnsi="Book Antiqua"/>
              </w:rPr>
              <w:t>Female</w:t>
            </w:r>
          </w:p>
        </w:tc>
        <w:tc>
          <w:tcPr>
            <w:tcW w:w="4241" w:type="dxa"/>
            <w:shd w:val="clear" w:color="auto" w:fill="auto"/>
          </w:tcPr>
          <w:p>
            <w:pPr>
              <w:spacing w:line="360" w:lineRule="auto"/>
              <w:jc w:val="both"/>
              <w:rPr>
                <w:rFonts w:ascii="Book Antiqua" w:hAnsi="Book Antiqua"/>
              </w:rPr>
            </w:pPr>
            <w:r>
              <w:rPr>
                <w:rFonts w:ascii="Book Antiqua" w:hAnsi="Book Antiqua"/>
              </w:rPr>
              <w:t>38 (42.2)</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5" w:type="dxa"/>
            <w:left w:w="108" w:type="dxa"/>
            <w:bottom w:w="0" w:type="dxa"/>
            <w:right w:w="108" w:type="dxa"/>
          </w:tblCellMar>
        </w:tblPrEx>
        <w:trPr>
          <w:jc w:val="center"/>
        </w:trPr>
        <w:tc>
          <w:tcPr>
            <w:tcW w:w="2930" w:type="dxa"/>
            <w:shd w:val="clear" w:color="auto" w:fill="auto"/>
          </w:tcPr>
          <w:p>
            <w:pPr>
              <w:spacing w:line="360" w:lineRule="auto"/>
              <w:jc w:val="both"/>
              <w:rPr>
                <w:rFonts w:ascii="Book Antiqua" w:hAnsi="Book Antiqua"/>
              </w:rPr>
            </w:pPr>
            <w:r>
              <w:rPr>
                <w:rFonts w:ascii="Book Antiqua" w:hAnsi="Book Antiqua"/>
              </w:rPr>
              <w:t>Male</w:t>
            </w:r>
          </w:p>
        </w:tc>
        <w:tc>
          <w:tcPr>
            <w:tcW w:w="4241" w:type="dxa"/>
            <w:shd w:val="clear" w:color="auto" w:fill="auto"/>
          </w:tcPr>
          <w:p>
            <w:pPr>
              <w:spacing w:line="360" w:lineRule="auto"/>
              <w:jc w:val="both"/>
              <w:rPr>
                <w:rFonts w:ascii="Book Antiqua" w:hAnsi="Book Antiqua"/>
              </w:rPr>
            </w:pPr>
            <w:r>
              <w:rPr>
                <w:rFonts w:ascii="Book Antiqua" w:hAnsi="Book Antiqua"/>
              </w:rPr>
              <w:t>52 (57.8)</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5" w:type="dxa"/>
            <w:left w:w="108" w:type="dxa"/>
            <w:bottom w:w="0" w:type="dxa"/>
            <w:right w:w="108" w:type="dxa"/>
          </w:tblCellMar>
        </w:tblPrEx>
        <w:trPr>
          <w:jc w:val="center"/>
        </w:trPr>
        <w:tc>
          <w:tcPr>
            <w:tcW w:w="2930" w:type="dxa"/>
            <w:shd w:val="clear" w:color="auto" w:fill="auto"/>
          </w:tcPr>
          <w:p>
            <w:pPr>
              <w:spacing w:line="360" w:lineRule="auto"/>
              <w:jc w:val="both"/>
              <w:rPr>
                <w:rFonts w:ascii="Book Antiqua" w:hAnsi="Book Antiqua"/>
              </w:rPr>
            </w:pPr>
            <w:r>
              <w:rPr>
                <w:rFonts w:ascii="Book Antiqua" w:hAnsi="Book Antiqua"/>
              </w:rPr>
              <w:t>Age (years), mean ± SD</w:t>
            </w:r>
          </w:p>
        </w:tc>
        <w:tc>
          <w:tcPr>
            <w:tcW w:w="4241" w:type="dxa"/>
            <w:shd w:val="clear" w:color="auto" w:fill="auto"/>
          </w:tcPr>
          <w:p>
            <w:pPr>
              <w:spacing w:line="360" w:lineRule="auto"/>
              <w:jc w:val="both"/>
              <w:rPr>
                <w:rFonts w:ascii="Book Antiqua" w:hAnsi="Book Antiqua"/>
                <w:bCs/>
              </w:rPr>
            </w:pPr>
            <w:r>
              <w:rPr>
                <w:rFonts w:ascii="Book Antiqua" w:hAnsi="Book Antiqua"/>
                <w:bCs/>
              </w:rPr>
              <w:t>57.1 ± 9.3</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5" w:type="dxa"/>
            <w:left w:w="108" w:type="dxa"/>
            <w:bottom w:w="0" w:type="dxa"/>
            <w:right w:w="108" w:type="dxa"/>
          </w:tblCellMar>
        </w:tblPrEx>
        <w:trPr>
          <w:jc w:val="center"/>
        </w:trPr>
        <w:tc>
          <w:tcPr>
            <w:tcW w:w="2930" w:type="dxa"/>
            <w:shd w:val="clear" w:color="auto" w:fill="auto"/>
          </w:tcPr>
          <w:p>
            <w:pPr>
              <w:spacing w:line="360" w:lineRule="auto"/>
              <w:jc w:val="both"/>
              <w:rPr>
                <w:rFonts w:ascii="Book Antiqua" w:hAnsi="Book Antiqua"/>
              </w:rPr>
            </w:pPr>
            <w:r>
              <w:rPr>
                <w:rFonts w:ascii="Book Antiqua" w:hAnsi="Book Antiqua"/>
              </w:rPr>
              <w:t>BMI (kg/m</w:t>
            </w:r>
            <w:r>
              <w:rPr>
                <w:rFonts w:ascii="Book Antiqua" w:hAnsi="Book Antiqua"/>
                <w:vertAlign w:val="superscript"/>
              </w:rPr>
              <w:t>2</w:t>
            </w:r>
            <w:r>
              <w:rPr>
                <w:rFonts w:ascii="Book Antiqua" w:hAnsi="Book Antiqua"/>
              </w:rPr>
              <w:t>), mean ± SD</w:t>
            </w:r>
          </w:p>
        </w:tc>
        <w:tc>
          <w:tcPr>
            <w:tcW w:w="4241" w:type="dxa"/>
            <w:shd w:val="clear" w:color="auto" w:fill="auto"/>
          </w:tcPr>
          <w:p>
            <w:pPr>
              <w:spacing w:line="360" w:lineRule="auto"/>
              <w:jc w:val="both"/>
              <w:rPr>
                <w:rFonts w:ascii="Book Antiqua" w:hAnsi="Book Antiqua"/>
                <w:bCs/>
              </w:rPr>
            </w:pPr>
            <w:r>
              <w:rPr>
                <w:rFonts w:ascii="Book Antiqua" w:hAnsi="Book Antiqua"/>
                <w:bCs/>
              </w:rPr>
              <w:t>28.6 ± 5.6</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5" w:type="dxa"/>
            <w:left w:w="108" w:type="dxa"/>
            <w:bottom w:w="0" w:type="dxa"/>
            <w:right w:w="108" w:type="dxa"/>
          </w:tblCellMar>
        </w:tblPrEx>
        <w:trPr>
          <w:jc w:val="center"/>
        </w:trPr>
        <w:tc>
          <w:tcPr>
            <w:tcW w:w="2930" w:type="dxa"/>
            <w:shd w:val="clear" w:color="auto" w:fill="auto"/>
          </w:tcPr>
          <w:p>
            <w:pPr>
              <w:spacing w:line="360" w:lineRule="auto"/>
              <w:jc w:val="both"/>
              <w:rPr>
                <w:rFonts w:ascii="Book Antiqua" w:hAnsi="Book Antiqua"/>
              </w:rPr>
            </w:pPr>
            <w:r>
              <w:rPr>
                <w:rFonts w:ascii="Book Antiqua" w:hAnsi="Book Antiqua"/>
              </w:rPr>
              <w:t xml:space="preserve">Child-Pugh, </w:t>
            </w:r>
            <w:r>
              <w:rPr>
                <w:rFonts w:ascii="Book Antiqua" w:hAnsi="Book Antiqua"/>
                <w:i/>
              </w:rPr>
              <w:t>n</w:t>
            </w:r>
            <w:r>
              <w:rPr>
                <w:rFonts w:ascii="Book Antiqua" w:hAnsi="Book Antiqua"/>
              </w:rPr>
              <w:t xml:space="preserve"> (%)</w:t>
            </w:r>
          </w:p>
        </w:tc>
        <w:tc>
          <w:tcPr>
            <w:tcW w:w="4241" w:type="dxa"/>
            <w:shd w:val="clear" w:color="auto" w:fill="auto"/>
          </w:tcPr>
          <w:p>
            <w:pPr>
              <w:spacing w:line="360" w:lineRule="auto"/>
              <w:jc w:val="both"/>
              <w:rPr>
                <w:rFonts w:ascii="Book Antiqua" w:hAnsi="Book Antiqua"/>
                <w:bCs/>
              </w:rPr>
            </w:pP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5" w:type="dxa"/>
            <w:left w:w="108" w:type="dxa"/>
            <w:bottom w:w="0" w:type="dxa"/>
            <w:right w:w="108" w:type="dxa"/>
          </w:tblCellMar>
        </w:tblPrEx>
        <w:trPr>
          <w:jc w:val="center"/>
        </w:trPr>
        <w:tc>
          <w:tcPr>
            <w:tcW w:w="2930" w:type="dxa"/>
            <w:shd w:val="clear" w:color="auto" w:fill="auto"/>
          </w:tcPr>
          <w:p>
            <w:pPr>
              <w:spacing w:line="360" w:lineRule="auto"/>
              <w:ind w:firstLine="306"/>
              <w:jc w:val="both"/>
              <w:rPr>
                <w:rFonts w:ascii="Book Antiqua" w:hAnsi="Book Antiqua"/>
              </w:rPr>
            </w:pPr>
            <w:r>
              <w:rPr>
                <w:rFonts w:ascii="Book Antiqua" w:hAnsi="Book Antiqua"/>
              </w:rPr>
              <w:t>A</w:t>
            </w:r>
          </w:p>
        </w:tc>
        <w:tc>
          <w:tcPr>
            <w:tcW w:w="4241" w:type="dxa"/>
            <w:shd w:val="clear" w:color="auto" w:fill="auto"/>
          </w:tcPr>
          <w:p>
            <w:pPr>
              <w:spacing w:line="360" w:lineRule="auto"/>
              <w:jc w:val="both"/>
              <w:rPr>
                <w:rFonts w:ascii="Book Antiqua" w:hAnsi="Book Antiqua"/>
              </w:rPr>
            </w:pPr>
            <w:r>
              <w:rPr>
                <w:rFonts w:ascii="Book Antiqua" w:hAnsi="Book Antiqua"/>
              </w:rPr>
              <w:t>33 (36.7)</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5" w:type="dxa"/>
            <w:left w:w="108" w:type="dxa"/>
            <w:bottom w:w="0" w:type="dxa"/>
            <w:right w:w="108" w:type="dxa"/>
          </w:tblCellMar>
        </w:tblPrEx>
        <w:trPr>
          <w:jc w:val="center"/>
        </w:trPr>
        <w:tc>
          <w:tcPr>
            <w:tcW w:w="2930" w:type="dxa"/>
            <w:shd w:val="clear" w:color="auto" w:fill="auto"/>
          </w:tcPr>
          <w:p>
            <w:pPr>
              <w:spacing w:line="360" w:lineRule="auto"/>
              <w:ind w:firstLine="306"/>
              <w:jc w:val="both"/>
              <w:rPr>
                <w:rFonts w:ascii="Book Antiqua" w:hAnsi="Book Antiqua"/>
              </w:rPr>
            </w:pPr>
            <w:r>
              <w:rPr>
                <w:rFonts w:ascii="Book Antiqua" w:hAnsi="Book Antiqua"/>
              </w:rPr>
              <w:t>B</w:t>
            </w:r>
          </w:p>
        </w:tc>
        <w:tc>
          <w:tcPr>
            <w:tcW w:w="4241" w:type="dxa"/>
            <w:shd w:val="clear" w:color="auto" w:fill="auto"/>
          </w:tcPr>
          <w:p>
            <w:pPr>
              <w:spacing w:line="360" w:lineRule="auto"/>
              <w:jc w:val="both"/>
              <w:rPr>
                <w:rFonts w:ascii="Book Antiqua" w:hAnsi="Book Antiqua"/>
              </w:rPr>
            </w:pPr>
            <w:r>
              <w:rPr>
                <w:rFonts w:ascii="Book Antiqua" w:hAnsi="Book Antiqua"/>
              </w:rPr>
              <w:t>36 (40.0)</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5" w:type="dxa"/>
            <w:left w:w="108" w:type="dxa"/>
            <w:bottom w:w="0" w:type="dxa"/>
            <w:right w:w="108" w:type="dxa"/>
          </w:tblCellMar>
        </w:tblPrEx>
        <w:trPr>
          <w:trHeight w:val="228" w:hRule="atLeast"/>
          <w:jc w:val="center"/>
        </w:trPr>
        <w:tc>
          <w:tcPr>
            <w:tcW w:w="2930" w:type="dxa"/>
            <w:shd w:val="clear" w:color="auto" w:fill="auto"/>
          </w:tcPr>
          <w:p>
            <w:pPr>
              <w:spacing w:line="360" w:lineRule="auto"/>
              <w:ind w:firstLine="306"/>
              <w:jc w:val="both"/>
              <w:rPr>
                <w:rFonts w:ascii="Book Antiqua" w:hAnsi="Book Antiqua"/>
              </w:rPr>
            </w:pPr>
            <w:r>
              <w:rPr>
                <w:rFonts w:ascii="Book Antiqua" w:hAnsi="Book Antiqua"/>
                <w:lang w:val="pt-BR"/>
              </w:rPr>
              <w:t>C</w:t>
            </w:r>
          </w:p>
        </w:tc>
        <w:tc>
          <w:tcPr>
            <w:tcW w:w="4241" w:type="dxa"/>
            <w:shd w:val="clear" w:color="auto" w:fill="auto"/>
          </w:tcPr>
          <w:p>
            <w:pPr>
              <w:spacing w:line="360" w:lineRule="auto"/>
              <w:jc w:val="both"/>
              <w:rPr>
                <w:rFonts w:ascii="Book Antiqua" w:hAnsi="Book Antiqua"/>
                <w:bCs/>
              </w:rPr>
            </w:pPr>
            <w:r>
              <w:rPr>
                <w:rFonts w:ascii="Book Antiqua" w:hAnsi="Book Antiqua"/>
                <w:bCs/>
              </w:rPr>
              <w:t>21 (23.3)</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5" w:type="dxa"/>
            <w:left w:w="108" w:type="dxa"/>
            <w:bottom w:w="0" w:type="dxa"/>
            <w:right w:w="108" w:type="dxa"/>
          </w:tblCellMar>
        </w:tblPrEx>
        <w:trPr>
          <w:trHeight w:val="829" w:hRule="atLeast"/>
          <w:jc w:val="center"/>
        </w:trPr>
        <w:tc>
          <w:tcPr>
            <w:tcW w:w="2930" w:type="dxa"/>
            <w:shd w:val="clear" w:color="auto" w:fill="auto"/>
          </w:tcPr>
          <w:p>
            <w:pPr>
              <w:spacing w:line="360" w:lineRule="auto"/>
              <w:jc w:val="both"/>
              <w:rPr>
                <w:rFonts w:ascii="Book Antiqua" w:hAnsi="Book Antiqua"/>
                <w:lang w:val="pt-BR"/>
              </w:rPr>
            </w:pPr>
            <w:r>
              <w:rPr>
                <w:rFonts w:ascii="Book Antiqua" w:hAnsi="Book Antiqua"/>
                <w:lang w:val="pt-BR"/>
              </w:rPr>
              <w:t xml:space="preserve">Hepatic encephalopathy, </w:t>
            </w:r>
            <w:r>
              <w:rPr>
                <w:rFonts w:ascii="Book Antiqua" w:hAnsi="Book Antiqua"/>
                <w:i/>
                <w:lang w:val="pt-BR"/>
              </w:rPr>
              <w:t>n</w:t>
            </w:r>
            <w:r>
              <w:rPr>
                <w:rFonts w:ascii="Book Antiqua" w:hAnsi="Book Antiqua"/>
                <w:lang w:val="pt-BR"/>
              </w:rPr>
              <w:t xml:space="preserve"> (%)</w:t>
            </w:r>
          </w:p>
        </w:tc>
        <w:tc>
          <w:tcPr>
            <w:tcW w:w="4241" w:type="dxa"/>
            <w:shd w:val="clear" w:color="auto" w:fill="auto"/>
          </w:tcPr>
          <w:p>
            <w:pPr>
              <w:spacing w:line="360" w:lineRule="auto"/>
              <w:jc w:val="both"/>
              <w:rPr>
                <w:rFonts w:ascii="Book Antiqua" w:hAnsi="Book Antiqua"/>
                <w:bCs/>
              </w:rPr>
            </w:pPr>
            <w:r>
              <w:rPr>
                <w:rFonts w:ascii="Book Antiqua" w:hAnsi="Book Antiqua"/>
                <w:bCs/>
              </w:rPr>
              <w:t>5 (5.5)</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5" w:type="dxa"/>
            <w:left w:w="108" w:type="dxa"/>
            <w:bottom w:w="0" w:type="dxa"/>
            <w:right w:w="108" w:type="dxa"/>
          </w:tblCellMar>
        </w:tblPrEx>
        <w:trPr>
          <w:trHeight w:val="332" w:hRule="atLeast"/>
          <w:jc w:val="center"/>
        </w:trPr>
        <w:tc>
          <w:tcPr>
            <w:tcW w:w="2930" w:type="dxa"/>
            <w:shd w:val="clear" w:color="auto" w:fill="auto"/>
          </w:tcPr>
          <w:p>
            <w:pPr>
              <w:spacing w:line="360" w:lineRule="auto"/>
              <w:jc w:val="both"/>
              <w:rPr>
                <w:rFonts w:ascii="Book Antiqua" w:hAnsi="Book Antiqua"/>
                <w:lang w:val="pt-BR"/>
              </w:rPr>
            </w:pPr>
            <w:r>
              <w:rPr>
                <w:rFonts w:ascii="Book Antiqua" w:hAnsi="Book Antiqua"/>
                <w:lang w:val="pt-BR"/>
              </w:rPr>
              <w:t xml:space="preserve">Ascites, </w:t>
            </w:r>
            <w:r>
              <w:rPr>
                <w:rFonts w:ascii="Book Antiqua" w:hAnsi="Book Antiqua"/>
                <w:i/>
              </w:rPr>
              <w:t>n</w:t>
            </w:r>
            <w:r>
              <w:rPr>
                <w:rFonts w:ascii="Book Antiqua" w:hAnsi="Book Antiqua"/>
                <w:lang w:val="pt-BR"/>
              </w:rPr>
              <w:t xml:space="preserve"> (%)</w:t>
            </w:r>
          </w:p>
        </w:tc>
        <w:tc>
          <w:tcPr>
            <w:tcW w:w="4241" w:type="dxa"/>
            <w:shd w:val="clear" w:color="auto" w:fill="auto"/>
          </w:tcPr>
          <w:p>
            <w:pPr>
              <w:spacing w:line="360" w:lineRule="auto"/>
              <w:jc w:val="both"/>
              <w:rPr>
                <w:rFonts w:ascii="Book Antiqua" w:hAnsi="Book Antiqua"/>
                <w:bCs/>
              </w:rPr>
            </w:pPr>
            <w:r>
              <w:rPr>
                <w:rFonts w:ascii="Book Antiqua" w:hAnsi="Book Antiqua"/>
                <w:bCs/>
              </w:rPr>
              <w:t>17 (18.8)</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5" w:type="dxa"/>
            <w:left w:w="108" w:type="dxa"/>
            <w:bottom w:w="0" w:type="dxa"/>
            <w:right w:w="108" w:type="dxa"/>
          </w:tblCellMar>
        </w:tblPrEx>
        <w:trPr>
          <w:trHeight w:val="342" w:hRule="atLeast"/>
          <w:jc w:val="center"/>
        </w:trPr>
        <w:tc>
          <w:tcPr>
            <w:tcW w:w="2930" w:type="dxa"/>
            <w:shd w:val="clear" w:color="auto" w:fill="auto"/>
          </w:tcPr>
          <w:p>
            <w:pPr>
              <w:spacing w:line="360" w:lineRule="auto"/>
              <w:jc w:val="both"/>
              <w:rPr>
                <w:rFonts w:ascii="Book Antiqua" w:hAnsi="Book Antiqua"/>
                <w:lang w:val="pt-BR"/>
              </w:rPr>
            </w:pPr>
            <w:r>
              <w:rPr>
                <w:rFonts w:ascii="Book Antiqua" w:hAnsi="Book Antiqua"/>
              </w:rPr>
              <w:t xml:space="preserve">Edema, </w:t>
            </w:r>
            <w:r>
              <w:rPr>
                <w:rFonts w:ascii="Book Antiqua" w:hAnsi="Book Antiqua"/>
                <w:i/>
              </w:rPr>
              <w:t>n</w:t>
            </w:r>
            <w:r>
              <w:rPr>
                <w:rFonts w:ascii="Book Antiqua" w:hAnsi="Book Antiqua"/>
              </w:rPr>
              <w:t xml:space="preserve"> (%)</w:t>
            </w:r>
          </w:p>
        </w:tc>
        <w:tc>
          <w:tcPr>
            <w:tcW w:w="4241" w:type="dxa"/>
            <w:shd w:val="clear" w:color="auto" w:fill="auto"/>
          </w:tcPr>
          <w:p>
            <w:pPr>
              <w:spacing w:line="360" w:lineRule="auto"/>
              <w:jc w:val="both"/>
              <w:rPr>
                <w:rFonts w:ascii="Book Antiqua" w:hAnsi="Book Antiqua"/>
                <w:bCs/>
              </w:rPr>
            </w:pPr>
            <w:r>
              <w:rPr>
                <w:rFonts w:ascii="Book Antiqua" w:hAnsi="Book Antiqua"/>
                <w:bCs/>
              </w:rPr>
              <w:t>8 (8.8)</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5" w:type="dxa"/>
            <w:left w:w="108" w:type="dxa"/>
            <w:bottom w:w="0" w:type="dxa"/>
            <w:right w:w="108" w:type="dxa"/>
          </w:tblCellMar>
        </w:tblPrEx>
        <w:trPr>
          <w:jc w:val="center"/>
        </w:trPr>
        <w:tc>
          <w:tcPr>
            <w:tcW w:w="7171" w:type="dxa"/>
            <w:gridSpan w:val="2"/>
            <w:shd w:val="clear" w:color="auto" w:fill="auto"/>
          </w:tcPr>
          <w:p>
            <w:pPr>
              <w:spacing w:line="360" w:lineRule="auto"/>
              <w:jc w:val="both"/>
              <w:rPr>
                <w:rFonts w:ascii="Book Antiqua" w:hAnsi="Book Antiqua"/>
                <w:bCs/>
              </w:rPr>
            </w:pPr>
            <w:r>
              <w:rPr>
                <w:rFonts w:ascii="Book Antiqua" w:hAnsi="Book Antiqua"/>
              </w:rPr>
              <w:t xml:space="preserve">Etiology of cirrhosis, </w:t>
            </w:r>
            <w:r>
              <w:rPr>
                <w:rFonts w:ascii="Book Antiqua" w:hAnsi="Book Antiqua"/>
                <w:i/>
              </w:rPr>
              <w:t>n</w:t>
            </w:r>
            <w:r>
              <w:rPr>
                <w:rFonts w:ascii="Book Antiqua" w:hAnsi="Book Antiqua"/>
              </w:rPr>
              <w:t xml:space="preserve"> (%)</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5" w:type="dxa"/>
            <w:left w:w="108" w:type="dxa"/>
            <w:bottom w:w="0" w:type="dxa"/>
            <w:right w:w="108" w:type="dxa"/>
          </w:tblCellMar>
        </w:tblPrEx>
        <w:trPr>
          <w:jc w:val="center"/>
        </w:trPr>
        <w:tc>
          <w:tcPr>
            <w:tcW w:w="2930" w:type="dxa"/>
            <w:shd w:val="clear" w:color="auto" w:fill="auto"/>
          </w:tcPr>
          <w:p>
            <w:pPr>
              <w:spacing w:line="360" w:lineRule="auto"/>
              <w:ind w:firstLine="306"/>
              <w:jc w:val="both"/>
              <w:rPr>
                <w:rFonts w:ascii="Book Antiqua" w:hAnsi="Book Antiqua"/>
              </w:rPr>
            </w:pPr>
            <w:r>
              <w:rPr>
                <w:rFonts w:ascii="Book Antiqua" w:hAnsi="Book Antiqua"/>
              </w:rPr>
              <w:t>HCV</w:t>
            </w:r>
          </w:p>
        </w:tc>
        <w:tc>
          <w:tcPr>
            <w:tcW w:w="4241" w:type="dxa"/>
            <w:shd w:val="clear" w:color="auto" w:fill="auto"/>
          </w:tcPr>
          <w:p>
            <w:pPr>
              <w:spacing w:line="360" w:lineRule="auto"/>
              <w:jc w:val="both"/>
              <w:rPr>
                <w:rFonts w:ascii="Book Antiqua" w:hAnsi="Book Antiqua"/>
              </w:rPr>
            </w:pPr>
            <w:r>
              <w:rPr>
                <w:rFonts w:ascii="Book Antiqua" w:hAnsi="Book Antiqua"/>
              </w:rPr>
              <w:t>28 (31.1)</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5" w:type="dxa"/>
            <w:left w:w="108" w:type="dxa"/>
            <w:bottom w:w="0" w:type="dxa"/>
            <w:right w:w="108" w:type="dxa"/>
          </w:tblCellMar>
        </w:tblPrEx>
        <w:trPr>
          <w:jc w:val="center"/>
        </w:trPr>
        <w:tc>
          <w:tcPr>
            <w:tcW w:w="2930" w:type="dxa"/>
            <w:shd w:val="clear" w:color="auto" w:fill="auto"/>
          </w:tcPr>
          <w:p>
            <w:pPr>
              <w:spacing w:line="360" w:lineRule="auto"/>
              <w:ind w:firstLine="306"/>
              <w:jc w:val="both"/>
              <w:rPr>
                <w:rFonts w:ascii="Book Antiqua" w:hAnsi="Book Antiqua"/>
              </w:rPr>
            </w:pPr>
            <w:r>
              <w:rPr>
                <w:rFonts w:ascii="Book Antiqua" w:hAnsi="Book Antiqua"/>
              </w:rPr>
              <w:t>Alcohol</w:t>
            </w:r>
          </w:p>
        </w:tc>
        <w:tc>
          <w:tcPr>
            <w:tcW w:w="4241" w:type="dxa"/>
            <w:shd w:val="clear" w:color="auto" w:fill="auto"/>
          </w:tcPr>
          <w:p>
            <w:pPr>
              <w:spacing w:line="360" w:lineRule="auto"/>
              <w:jc w:val="both"/>
              <w:rPr>
                <w:rFonts w:ascii="Book Antiqua" w:hAnsi="Book Antiqua"/>
              </w:rPr>
            </w:pPr>
            <w:r>
              <w:rPr>
                <w:rFonts w:ascii="Book Antiqua" w:hAnsi="Book Antiqua"/>
              </w:rPr>
              <w:t>21 (23.3)</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5" w:type="dxa"/>
            <w:left w:w="108" w:type="dxa"/>
            <w:bottom w:w="0" w:type="dxa"/>
            <w:right w:w="108" w:type="dxa"/>
          </w:tblCellMar>
        </w:tblPrEx>
        <w:trPr>
          <w:jc w:val="center"/>
        </w:trPr>
        <w:tc>
          <w:tcPr>
            <w:tcW w:w="2930" w:type="dxa"/>
            <w:shd w:val="clear" w:color="auto" w:fill="auto"/>
          </w:tcPr>
          <w:p>
            <w:pPr>
              <w:spacing w:line="360" w:lineRule="auto"/>
              <w:ind w:firstLine="306"/>
              <w:jc w:val="both"/>
              <w:rPr>
                <w:rFonts w:ascii="Book Antiqua" w:hAnsi="Book Antiqua"/>
              </w:rPr>
            </w:pPr>
            <w:r>
              <w:rPr>
                <w:rFonts w:ascii="Book Antiqua" w:hAnsi="Book Antiqua"/>
              </w:rPr>
              <w:t>Cryptogenic</w:t>
            </w:r>
          </w:p>
        </w:tc>
        <w:tc>
          <w:tcPr>
            <w:tcW w:w="4241" w:type="dxa"/>
            <w:shd w:val="clear" w:color="auto" w:fill="auto"/>
          </w:tcPr>
          <w:p>
            <w:pPr>
              <w:spacing w:line="360" w:lineRule="auto"/>
              <w:jc w:val="both"/>
              <w:rPr>
                <w:rFonts w:ascii="Book Antiqua" w:hAnsi="Book Antiqua"/>
              </w:rPr>
            </w:pPr>
            <w:r>
              <w:rPr>
                <w:rFonts w:ascii="Book Antiqua" w:hAnsi="Book Antiqua"/>
              </w:rPr>
              <w:t>7 (7.8)</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5" w:type="dxa"/>
            <w:left w:w="108" w:type="dxa"/>
            <w:bottom w:w="0" w:type="dxa"/>
            <w:right w:w="108" w:type="dxa"/>
          </w:tblCellMar>
        </w:tblPrEx>
        <w:trPr>
          <w:jc w:val="center"/>
        </w:trPr>
        <w:tc>
          <w:tcPr>
            <w:tcW w:w="2930" w:type="dxa"/>
            <w:tcBorders>
              <w:bottom w:val="nil"/>
            </w:tcBorders>
            <w:shd w:val="clear" w:color="auto" w:fill="auto"/>
          </w:tcPr>
          <w:p>
            <w:pPr>
              <w:spacing w:line="360" w:lineRule="auto"/>
              <w:ind w:firstLine="306"/>
              <w:jc w:val="both"/>
              <w:rPr>
                <w:rFonts w:ascii="Book Antiqua" w:hAnsi="Book Antiqua"/>
              </w:rPr>
            </w:pPr>
            <w:r>
              <w:rPr>
                <w:rFonts w:ascii="Book Antiqua" w:hAnsi="Book Antiqua"/>
              </w:rPr>
              <w:t>NASH</w:t>
            </w:r>
          </w:p>
        </w:tc>
        <w:tc>
          <w:tcPr>
            <w:tcW w:w="4241" w:type="dxa"/>
            <w:tcBorders>
              <w:bottom w:val="nil"/>
            </w:tcBorders>
            <w:shd w:val="clear" w:color="auto" w:fill="auto"/>
          </w:tcPr>
          <w:p>
            <w:pPr>
              <w:spacing w:line="360" w:lineRule="auto"/>
              <w:jc w:val="both"/>
              <w:rPr>
                <w:rFonts w:ascii="Book Antiqua" w:hAnsi="Book Antiqua"/>
              </w:rPr>
            </w:pPr>
            <w:r>
              <w:rPr>
                <w:rFonts w:ascii="Book Antiqua" w:hAnsi="Book Antiqua"/>
              </w:rPr>
              <w:t>17 (18.9)</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5" w:type="dxa"/>
            <w:left w:w="108" w:type="dxa"/>
            <w:bottom w:w="0" w:type="dxa"/>
            <w:right w:w="108" w:type="dxa"/>
          </w:tblCellMar>
        </w:tblPrEx>
        <w:trPr>
          <w:jc w:val="center"/>
        </w:trPr>
        <w:tc>
          <w:tcPr>
            <w:tcW w:w="2930" w:type="dxa"/>
            <w:tcBorders>
              <w:top w:val="nil"/>
              <w:bottom w:val="nil"/>
            </w:tcBorders>
            <w:shd w:val="clear" w:color="auto" w:fill="auto"/>
          </w:tcPr>
          <w:p>
            <w:pPr>
              <w:spacing w:line="360" w:lineRule="auto"/>
              <w:ind w:firstLine="306"/>
              <w:jc w:val="both"/>
              <w:rPr>
                <w:rFonts w:ascii="Book Antiqua" w:hAnsi="Book Antiqua"/>
              </w:rPr>
            </w:pPr>
            <w:r>
              <w:rPr>
                <w:rFonts w:ascii="Book Antiqua" w:hAnsi="Book Antiqua"/>
              </w:rPr>
              <w:t>HCC</w:t>
            </w:r>
          </w:p>
        </w:tc>
        <w:tc>
          <w:tcPr>
            <w:tcW w:w="4241" w:type="dxa"/>
            <w:tcBorders>
              <w:top w:val="nil"/>
              <w:bottom w:val="nil"/>
            </w:tcBorders>
            <w:shd w:val="clear" w:color="auto" w:fill="auto"/>
          </w:tcPr>
          <w:p>
            <w:pPr>
              <w:spacing w:line="360" w:lineRule="auto"/>
              <w:jc w:val="both"/>
              <w:rPr>
                <w:rFonts w:ascii="Book Antiqua" w:hAnsi="Book Antiqua"/>
              </w:rPr>
            </w:pPr>
            <w:r>
              <w:rPr>
                <w:rFonts w:ascii="Book Antiqua" w:hAnsi="Book Antiqua"/>
              </w:rPr>
              <w:t>5 (5.5)</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5" w:type="dxa"/>
            <w:left w:w="108" w:type="dxa"/>
            <w:bottom w:w="0" w:type="dxa"/>
            <w:right w:w="108" w:type="dxa"/>
          </w:tblCellMar>
        </w:tblPrEx>
        <w:trPr>
          <w:trHeight w:val="373" w:hRule="atLeast"/>
          <w:jc w:val="center"/>
        </w:trPr>
        <w:tc>
          <w:tcPr>
            <w:tcW w:w="2930" w:type="dxa"/>
            <w:tcBorders>
              <w:top w:val="nil"/>
              <w:bottom w:val="nil"/>
            </w:tcBorders>
            <w:shd w:val="clear" w:color="auto" w:fill="auto"/>
          </w:tcPr>
          <w:p>
            <w:pPr>
              <w:spacing w:line="360" w:lineRule="auto"/>
              <w:ind w:firstLine="306"/>
              <w:jc w:val="both"/>
              <w:rPr>
                <w:rFonts w:ascii="Book Antiqua" w:hAnsi="Book Antiqua"/>
              </w:rPr>
            </w:pPr>
            <w:r>
              <w:rPr>
                <w:rFonts w:ascii="Book Antiqua" w:hAnsi="Book Antiqua"/>
              </w:rPr>
              <w:t>HBV</w:t>
            </w:r>
          </w:p>
        </w:tc>
        <w:tc>
          <w:tcPr>
            <w:tcW w:w="4241" w:type="dxa"/>
            <w:tcBorders>
              <w:top w:val="nil"/>
              <w:bottom w:val="nil"/>
            </w:tcBorders>
            <w:shd w:val="clear" w:color="auto" w:fill="auto"/>
          </w:tcPr>
          <w:p>
            <w:pPr>
              <w:spacing w:line="360" w:lineRule="auto"/>
              <w:jc w:val="both"/>
              <w:rPr>
                <w:rFonts w:ascii="Book Antiqua" w:hAnsi="Book Antiqua"/>
              </w:rPr>
            </w:pPr>
            <w:r>
              <w:rPr>
                <w:rFonts w:ascii="Book Antiqua" w:hAnsi="Book Antiqua"/>
              </w:rPr>
              <w:t>4 (4.4)</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5" w:type="dxa"/>
            <w:left w:w="108" w:type="dxa"/>
            <w:bottom w:w="0" w:type="dxa"/>
            <w:right w:w="108" w:type="dxa"/>
          </w:tblCellMar>
        </w:tblPrEx>
        <w:trPr>
          <w:trHeight w:val="539" w:hRule="atLeast"/>
          <w:jc w:val="center"/>
        </w:trPr>
        <w:tc>
          <w:tcPr>
            <w:tcW w:w="2930" w:type="dxa"/>
            <w:tcBorders>
              <w:top w:val="nil"/>
              <w:bottom w:val="single" w:color="auto" w:sz="18" w:space="0"/>
            </w:tcBorders>
            <w:shd w:val="clear" w:color="auto" w:fill="auto"/>
          </w:tcPr>
          <w:p>
            <w:pPr>
              <w:spacing w:line="360" w:lineRule="auto"/>
              <w:ind w:firstLine="306"/>
              <w:jc w:val="both"/>
              <w:rPr>
                <w:rFonts w:ascii="Book Antiqua" w:hAnsi="Book Antiqua"/>
              </w:rPr>
            </w:pPr>
            <w:r>
              <w:rPr>
                <w:rFonts w:ascii="Book Antiqua" w:hAnsi="Book Antiqua"/>
              </w:rPr>
              <w:t>Other</w:t>
            </w:r>
          </w:p>
        </w:tc>
        <w:tc>
          <w:tcPr>
            <w:tcW w:w="4241" w:type="dxa"/>
            <w:tcBorders>
              <w:top w:val="nil"/>
              <w:bottom w:val="single" w:color="auto" w:sz="18" w:space="0"/>
            </w:tcBorders>
            <w:shd w:val="clear" w:color="auto" w:fill="auto"/>
          </w:tcPr>
          <w:p>
            <w:pPr>
              <w:spacing w:line="360" w:lineRule="auto"/>
              <w:jc w:val="both"/>
              <w:rPr>
                <w:rFonts w:ascii="Book Antiqua" w:hAnsi="Book Antiqua"/>
              </w:rPr>
            </w:pPr>
            <w:r>
              <w:rPr>
                <w:rFonts w:ascii="Book Antiqua" w:hAnsi="Book Antiqua"/>
              </w:rPr>
              <w:t>8 (8.8)</w:t>
            </w:r>
          </w:p>
        </w:tc>
      </w:tr>
    </w:tbl>
    <w:p>
      <w:pPr>
        <w:spacing w:line="360" w:lineRule="auto"/>
        <w:jc w:val="both"/>
        <w:rPr>
          <w:rFonts w:ascii="Book Antiqua" w:hAnsi="Book Antiqua"/>
        </w:rPr>
      </w:pPr>
      <w:r>
        <w:rPr>
          <w:rFonts w:ascii="Book Antiqua" w:hAnsi="Book Antiqua"/>
        </w:rPr>
        <w:t>BMI: Body mass index; HCV: Hepatitis C virus; HCC: Hepatocellular carcinoma; NASH: Nonalcoholic steatohepatitis; HBV: Hepatitis B virus; REE: Resting energy expenditure; IC: Indirect calorimetry; SD: Standard deviation.</w:t>
      </w:r>
    </w:p>
    <w:p>
      <w:pPr>
        <w:spacing w:line="360" w:lineRule="auto"/>
        <w:jc w:val="both"/>
        <w:rPr>
          <w:rFonts w:ascii="Book Antiqua" w:hAnsi="Book Antiqua"/>
          <w:b/>
        </w:rPr>
      </w:pPr>
    </w:p>
    <w:p>
      <w:pPr>
        <w:spacing w:line="360" w:lineRule="auto"/>
        <w:jc w:val="both"/>
        <w:rPr>
          <w:rFonts w:ascii="Book Antiqua" w:hAnsi="Book Antiqua"/>
          <w:b/>
        </w:rPr>
      </w:pPr>
      <w:r>
        <w:rPr>
          <w:rFonts w:ascii="Book Antiqua" w:hAnsi="Book Antiqua"/>
          <w:b/>
        </w:rPr>
        <w:br w:type="page"/>
      </w:r>
    </w:p>
    <w:p>
      <w:pPr>
        <w:spacing w:line="360" w:lineRule="auto"/>
        <w:jc w:val="both"/>
        <w:rPr>
          <w:rFonts w:ascii="Book Antiqua" w:hAnsi="Book Antiqua"/>
          <w:b/>
        </w:rPr>
      </w:pPr>
      <w:r>
        <w:rPr>
          <w:rFonts w:ascii="Book Antiqua" w:hAnsi="Book Antiqua"/>
          <w:b/>
          <w:iCs/>
        </w:rPr>
        <w:t>Table 3 Comparisons and correlations between resting energy expenditure measured by indirect calorimetry and different predictive methods</w:t>
      </w:r>
    </w:p>
    <w:tbl>
      <w:tblPr>
        <w:tblStyle w:val="7"/>
        <w:tblW w:w="9639" w:type="dxa"/>
        <w:jc w:val="center"/>
        <w:tblLayout w:type="fixed"/>
        <w:tblCellMar>
          <w:top w:w="0" w:type="dxa"/>
          <w:left w:w="108" w:type="dxa"/>
          <w:bottom w:w="0" w:type="dxa"/>
          <w:right w:w="108" w:type="dxa"/>
        </w:tblCellMar>
      </w:tblPr>
      <w:tblGrid>
        <w:gridCol w:w="2410"/>
        <w:gridCol w:w="1843"/>
        <w:gridCol w:w="2551"/>
        <w:gridCol w:w="993"/>
        <w:gridCol w:w="1842"/>
      </w:tblGrid>
      <w:tr>
        <w:tblPrEx>
          <w:tblCellMar>
            <w:top w:w="0" w:type="dxa"/>
            <w:left w:w="108" w:type="dxa"/>
            <w:bottom w:w="0" w:type="dxa"/>
            <w:right w:w="108" w:type="dxa"/>
          </w:tblCellMar>
        </w:tblPrEx>
        <w:trPr>
          <w:jc w:val="center"/>
        </w:trPr>
        <w:tc>
          <w:tcPr>
            <w:tcW w:w="2410" w:type="dxa"/>
            <w:tcBorders>
              <w:top w:val="single" w:color="auto" w:sz="18" w:space="0"/>
              <w:bottom w:val="single" w:color="auto" w:sz="18" w:space="0"/>
            </w:tcBorders>
            <w:shd w:val="clear" w:color="auto" w:fill="auto"/>
            <w:vAlign w:val="center"/>
          </w:tcPr>
          <w:p>
            <w:pPr>
              <w:spacing w:line="360" w:lineRule="auto"/>
              <w:contextualSpacing/>
              <w:jc w:val="both"/>
              <w:rPr>
                <w:rFonts w:ascii="Book Antiqua" w:hAnsi="Book Antiqua"/>
                <w:b/>
              </w:rPr>
            </w:pPr>
            <w:bookmarkStart w:id="0" w:name="_Hlk46164273"/>
            <w:r>
              <w:rPr>
                <w:rFonts w:ascii="Book Antiqua" w:hAnsi="Book Antiqua"/>
                <w:b/>
              </w:rPr>
              <w:t>Variable</w:t>
            </w:r>
          </w:p>
        </w:tc>
        <w:tc>
          <w:tcPr>
            <w:tcW w:w="1843" w:type="dxa"/>
            <w:tcBorders>
              <w:top w:val="single" w:color="auto" w:sz="18" w:space="0"/>
              <w:bottom w:val="single" w:color="auto" w:sz="18" w:space="0"/>
            </w:tcBorders>
            <w:shd w:val="clear" w:color="auto" w:fill="auto"/>
            <w:vAlign w:val="center"/>
          </w:tcPr>
          <w:p>
            <w:pPr>
              <w:spacing w:line="360" w:lineRule="auto"/>
              <w:contextualSpacing/>
              <w:jc w:val="both"/>
              <w:rPr>
                <w:rFonts w:ascii="Book Antiqua" w:hAnsi="Book Antiqua"/>
                <w:b/>
              </w:rPr>
            </w:pPr>
            <w:r>
              <w:rPr>
                <w:rFonts w:ascii="Book Antiqua" w:hAnsi="Book Antiqua"/>
                <w:b/>
              </w:rPr>
              <w:t xml:space="preserve">mean </w:t>
            </w:r>
            <w:r>
              <w:rPr>
                <w:rFonts w:ascii="Book Antiqua" w:hAnsi="Book Antiqua"/>
                <w:bCs/>
              </w:rPr>
              <w:t xml:space="preserve">± </w:t>
            </w:r>
            <w:r>
              <w:rPr>
                <w:rFonts w:ascii="Book Antiqua" w:hAnsi="Book Antiqua"/>
                <w:b/>
                <w:bCs/>
              </w:rPr>
              <w:t>SD</w:t>
            </w:r>
            <w:r>
              <w:rPr>
                <w:rFonts w:ascii="Book Antiqua" w:hAnsi="Book Antiqua"/>
                <w:b/>
              </w:rPr>
              <w:t xml:space="preserve"> (kcal)</w:t>
            </w:r>
          </w:p>
        </w:tc>
        <w:tc>
          <w:tcPr>
            <w:tcW w:w="2551" w:type="dxa"/>
            <w:tcBorders>
              <w:top w:val="single" w:color="auto" w:sz="18" w:space="0"/>
              <w:bottom w:val="single" w:color="auto" w:sz="18" w:space="0"/>
            </w:tcBorders>
            <w:shd w:val="clear" w:color="auto" w:fill="auto"/>
            <w:vAlign w:val="center"/>
          </w:tcPr>
          <w:p>
            <w:pPr>
              <w:spacing w:line="360" w:lineRule="auto"/>
              <w:contextualSpacing/>
              <w:jc w:val="both"/>
              <w:rPr>
                <w:rFonts w:ascii="Book Antiqua" w:hAnsi="Book Antiqua"/>
                <w:b/>
              </w:rPr>
            </w:pPr>
            <w:r>
              <w:rPr>
                <w:rFonts w:ascii="Book Antiqua" w:hAnsi="Book Antiqua"/>
                <w:b/>
              </w:rPr>
              <w:t>Difference (95%CI)</w:t>
            </w:r>
          </w:p>
        </w:tc>
        <w:tc>
          <w:tcPr>
            <w:tcW w:w="993" w:type="dxa"/>
            <w:tcBorders>
              <w:top w:val="single" w:color="auto" w:sz="18" w:space="0"/>
              <w:bottom w:val="single" w:color="auto" w:sz="18" w:space="0"/>
            </w:tcBorders>
            <w:shd w:val="clear" w:color="auto" w:fill="auto"/>
            <w:vAlign w:val="center"/>
          </w:tcPr>
          <w:p>
            <w:pPr>
              <w:spacing w:line="360" w:lineRule="auto"/>
              <w:contextualSpacing/>
              <w:jc w:val="both"/>
              <w:rPr>
                <w:rFonts w:ascii="Book Antiqua" w:hAnsi="Book Antiqua"/>
                <w:b/>
                <w:i/>
                <w:iCs/>
              </w:rPr>
            </w:pPr>
            <w:r>
              <w:rPr>
                <w:rFonts w:ascii="Book Antiqua" w:hAnsi="Book Antiqua"/>
                <w:b/>
                <w:i/>
                <w:iCs/>
              </w:rPr>
              <w:t xml:space="preserve">P </w:t>
            </w:r>
            <w:r>
              <w:rPr>
                <w:rFonts w:ascii="Book Antiqua" w:hAnsi="Book Antiqua"/>
                <w:b/>
              </w:rPr>
              <w:t>value</w:t>
            </w:r>
          </w:p>
        </w:tc>
        <w:tc>
          <w:tcPr>
            <w:tcW w:w="1842" w:type="dxa"/>
            <w:tcBorders>
              <w:top w:val="single" w:color="auto" w:sz="18" w:space="0"/>
              <w:bottom w:val="single" w:color="auto" w:sz="18" w:space="0"/>
            </w:tcBorders>
            <w:shd w:val="clear" w:color="auto" w:fill="auto"/>
            <w:vAlign w:val="center"/>
          </w:tcPr>
          <w:p>
            <w:pPr>
              <w:spacing w:line="360" w:lineRule="auto"/>
              <w:contextualSpacing/>
              <w:jc w:val="both"/>
              <w:rPr>
                <w:rFonts w:ascii="Book Antiqua" w:hAnsi="Book Antiqua"/>
                <w:b/>
                <w:i/>
                <w:iCs/>
              </w:rPr>
            </w:pPr>
            <w:r>
              <w:rPr>
                <w:rFonts w:ascii="Book Antiqua" w:hAnsi="Book Antiqua"/>
                <w:b/>
                <w:i/>
                <w:iCs/>
              </w:rPr>
              <w:t>R</w:t>
            </w:r>
            <w:r>
              <w:rPr>
                <w:rFonts w:ascii="Book Antiqua" w:hAnsi="Book Antiqua"/>
                <w:b/>
                <w:i/>
                <w:iCs/>
                <w:vertAlign w:val="superscript"/>
              </w:rPr>
              <w:t xml:space="preserve">2 </w:t>
            </w:r>
            <w:r>
              <w:rPr>
                <w:rFonts w:ascii="Book Antiqua" w:hAnsi="Book Antiqua"/>
                <w:b/>
              </w:rPr>
              <w:t>(</w:t>
            </w:r>
            <w:r>
              <w:rPr>
                <w:rFonts w:ascii="Book Antiqua" w:hAnsi="Book Antiqua"/>
                <w:b/>
                <w:i/>
                <w:iCs/>
              </w:rPr>
              <w:t>P</w:t>
            </w:r>
            <w:r>
              <w:rPr>
                <w:rFonts w:ascii="Book Antiqua" w:hAnsi="Book Antiqua"/>
                <w:b/>
              </w:rPr>
              <w:t xml:space="preserve"> value)</w:t>
            </w:r>
          </w:p>
        </w:tc>
      </w:tr>
      <w:tr>
        <w:tblPrEx>
          <w:tblCellMar>
            <w:top w:w="0" w:type="dxa"/>
            <w:left w:w="108" w:type="dxa"/>
            <w:bottom w:w="0" w:type="dxa"/>
            <w:right w:w="108" w:type="dxa"/>
          </w:tblCellMar>
        </w:tblPrEx>
        <w:trPr>
          <w:jc w:val="center"/>
        </w:trPr>
        <w:tc>
          <w:tcPr>
            <w:tcW w:w="2410" w:type="dxa"/>
            <w:tcBorders>
              <w:top w:val="single" w:color="auto" w:sz="18" w:space="0"/>
            </w:tcBorders>
            <w:shd w:val="clear" w:color="auto" w:fill="auto"/>
          </w:tcPr>
          <w:p>
            <w:pPr>
              <w:spacing w:line="360" w:lineRule="auto"/>
              <w:contextualSpacing/>
              <w:jc w:val="both"/>
              <w:rPr>
                <w:rFonts w:ascii="Book Antiqua" w:hAnsi="Book Antiqua"/>
              </w:rPr>
            </w:pPr>
            <w:r>
              <w:rPr>
                <w:rFonts w:ascii="Book Antiqua" w:hAnsi="Book Antiqua"/>
              </w:rPr>
              <w:t>Indirect calorimetry</w:t>
            </w:r>
          </w:p>
        </w:tc>
        <w:tc>
          <w:tcPr>
            <w:tcW w:w="1843" w:type="dxa"/>
            <w:tcBorders>
              <w:top w:val="single" w:color="auto" w:sz="18" w:space="0"/>
            </w:tcBorders>
            <w:shd w:val="clear" w:color="auto" w:fill="auto"/>
          </w:tcPr>
          <w:p>
            <w:pPr>
              <w:spacing w:line="360" w:lineRule="auto"/>
              <w:contextualSpacing/>
              <w:jc w:val="both"/>
              <w:rPr>
                <w:rFonts w:ascii="Book Antiqua" w:hAnsi="Book Antiqua"/>
              </w:rPr>
            </w:pPr>
            <w:bookmarkStart w:id="1" w:name="OLE_LINK1"/>
            <w:r>
              <w:rPr>
                <w:rFonts w:ascii="Book Antiqua" w:hAnsi="Book Antiqua"/>
              </w:rPr>
              <w:t xml:space="preserve">1607.72 </w:t>
            </w:r>
            <w:r>
              <w:rPr>
                <w:rFonts w:ascii="Book Antiqua" w:hAnsi="Book Antiqua"/>
                <w:bCs/>
              </w:rPr>
              <w:t xml:space="preserve">± </w:t>
            </w:r>
            <w:r>
              <w:rPr>
                <w:rFonts w:ascii="Book Antiqua" w:hAnsi="Book Antiqua"/>
              </w:rPr>
              <w:t>257.4</w:t>
            </w:r>
            <w:bookmarkEnd w:id="1"/>
          </w:p>
        </w:tc>
        <w:tc>
          <w:tcPr>
            <w:tcW w:w="2551" w:type="dxa"/>
            <w:tcBorders>
              <w:top w:val="single" w:color="auto" w:sz="18" w:space="0"/>
            </w:tcBorders>
            <w:shd w:val="clear" w:color="auto" w:fill="auto"/>
          </w:tcPr>
          <w:p>
            <w:pPr>
              <w:spacing w:line="360" w:lineRule="auto"/>
              <w:contextualSpacing/>
              <w:jc w:val="both"/>
              <w:rPr>
                <w:rFonts w:ascii="Book Antiqua" w:hAnsi="Book Antiqua"/>
              </w:rPr>
            </w:pPr>
            <w:r>
              <w:rPr>
                <w:rFonts w:ascii="Book Antiqua" w:hAnsi="Book Antiqua"/>
              </w:rPr>
              <w:t>-</w:t>
            </w:r>
          </w:p>
        </w:tc>
        <w:tc>
          <w:tcPr>
            <w:tcW w:w="993" w:type="dxa"/>
            <w:tcBorders>
              <w:top w:val="single" w:color="auto" w:sz="18" w:space="0"/>
            </w:tcBorders>
            <w:shd w:val="clear" w:color="auto" w:fill="auto"/>
          </w:tcPr>
          <w:p>
            <w:pPr>
              <w:spacing w:line="360" w:lineRule="auto"/>
              <w:contextualSpacing/>
              <w:jc w:val="both"/>
              <w:rPr>
                <w:rFonts w:ascii="Book Antiqua" w:hAnsi="Book Antiqua"/>
              </w:rPr>
            </w:pPr>
            <w:r>
              <w:rPr>
                <w:rFonts w:ascii="Book Antiqua" w:hAnsi="Book Antiqua"/>
              </w:rPr>
              <w:t>-</w:t>
            </w:r>
          </w:p>
        </w:tc>
        <w:tc>
          <w:tcPr>
            <w:tcW w:w="1842" w:type="dxa"/>
            <w:tcBorders>
              <w:top w:val="single" w:color="auto" w:sz="18" w:space="0"/>
            </w:tcBorders>
            <w:shd w:val="clear" w:color="auto" w:fill="auto"/>
          </w:tcPr>
          <w:p>
            <w:pPr>
              <w:spacing w:line="360" w:lineRule="auto"/>
              <w:contextualSpacing/>
              <w:jc w:val="both"/>
              <w:rPr>
                <w:rFonts w:ascii="Book Antiqua" w:hAnsi="Book Antiqua"/>
              </w:rPr>
            </w:pPr>
            <w:r>
              <w:rPr>
                <w:rFonts w:ascii="Book Antiqua" w:hAnsi="Book Antiqua"/>
              </w:rPr>
              <w:t>-</w:t>
            </w:r>
          </w:p>
        </w:tc>
      </w:tr>
      <w:tr>
        <w:tblPrEx>
          <w:tblCellMar>
            <w:top w:w="0" w:type="dxa"/>
            <w:left w:w="108" w:type="dxa"/>
            <w:bottom w:w="0" w:type="dxa"/>
            <w:right w:w="108" w:type="dxa"/>
          </w:tblCellMar>
        </w:tblPrEx>
        <w:trPr>
          <w:trHeight w:val="204" w:hRule="atLeast"/>
          <w:jc w:val="center"/>
        </w:trPr>
        <w:tc>
          <w:tcPr>
            <w:tcW w:w="2410" w:type="dxa"/>
            <w:shd w:val="clear" w:color="auto" w:fill="auto"/>
          </w:tcPr>
          <w:p>
            <w:pPr>
              <w:spacing w:line="360" w:lineRule="auto"/>
              <w:contextualSpacing/>
              <w:jc w:val="both"/>
              <w:rPr>
                <w:rFonts w:ascii="Book Antiqua" w:hAnsi="Book Antiqua"/>
              </w:rPr>
            </w:pPr>
            <w:r>
              <w:rPr>
                <w:rFonts w:ascii="Book Antiqua" w:hAnsi="Book Antiqua"/>
              </w:rPr>
              <w:t>Bioelectrical impedance</w:t>
            </w:r>
          </w:p>
        </w:tc>
        <w:tc>
          <w:tcPr>
            <w:tcW w:w="1843" w:type="dxa"/>
            <w:shd w:val="clear" w:color="auto" w:fill="auto"/>
          </w:tcPr>
          <w:p>
            <w:pPr>
              <w:spacing w:line="360" w:lineRule="auto"/>
              <w:contextualSpacing/>
              <w:jc w:val="both"/>
              <w:rPr>
                <w:rFonts w:ascii="Book Antiqua" w:hAnsi="Book Antiqua"/>
              </w:rPr>
            </w:pPr>
            <w:r>
              <w:rPr>
                <w:rFonts w:ascii="Book Antiqua" w:hAnsi="Book Antiqua"/>
              </w:rPr>
              <w:t xml:space="preserve">1790.48 </w:t>
            </w:r>
            <w:r>
              <w:rPr>
                <w:rFonts w:ascii="Book Antiqua" w:hAnsi="Book Antiqua"/>
                <w:bCs/>
              </w:rPr>
              <w:t xml:space="preserve">± </w:t>
            </w:r>
            <w:r>
              <w:rPr>
                <w:rFonts w:ascii="Book Antiqua" w:hAnsi="Book Antiqua"/>
              </w:rPr>
              <w:t>352.1</w:t>
            </w:r>
          </w:p>
        </w:tc>
        <w:tc>
          <w:tcPr>
            <w:tcW w:w="2551" w:type="dxa"/>
            <w:shd w:val="clear" w:color="auto" w:fill="auto"/>
          </w:tcPr>
          <w:p>
            <w:pPr>
              <w:spacing w:line="360" w:lineRule="auto"/>
              <w:contextualSpacing/>
              <w:jc w:val="both"/>
              <w:rPr>
                <w:rFonts w:ascii="Book Antiqua" w:hAnsi="Book Antiqua"/>
              </w:rPr>
            </w:pPr>
            <w:r>
              <w:rPr>
                <w:rFonts w:ascii="Book Antiqua" w:hAnsi="Book Antiqua"/>
              </w:rPr>
              <w:t>-182.8 (-217.3 to -148.1)</w:t>
            </w:r>
          </w:p>
        </w:tc>
        <w:tc>
          <w:tcPr>
            <w:tcW w:w="993" w:type="dxa"/>
            <w:shd w:val="clear" w:color="auto" w:fill="auto"/>
          </w:tcPr>
          <w:p>
            <w:pPr>
              <w:spacing w:line="360" w:lineRule="auto"/>
              <w:contextualSpacing/>
              <w:jc w:val="both"/>
              <w:rPr>
                <w:rFonts w:ascii="Book Antiqua" w:hAnsi="Book Antiqua"/>
              </w:rPr>
            </w:pPr>
            <w:r>
              <w:rPr>
                <w:rFonts w:ascii="Book Antiqua" w:hAnsi="Book Antiqua"/>
              </w:rPr>
              <w:t>&lt; 0.001</w:t>
            </w:r>
          </w:p>
        </w:tc>
        <w:tc>
          <w:tcPr>
            <w:tcW w:w="1842" w:type="dxa"/>
            <w:shd w:val="clear" w:color="auto" w:fill="auto"/>
          </w:tcPr>
          <w:p>
            <w:pPr>
              <w:spacing w:line="360" w:lineRule="auto"/>
              <w:contextualSpacing/>
              <w:jc w:val="both"/>
              <w:rPr>
                <w:rFonts w:ascii="Book Antiqua" w:hAnsi="Book Antiqua"/>
              </w:rPr>
            </w:pPr>
            <w:r>
              <w:rPr>
                <w:rFonts w:ascii="Book Antiqua" w:hAnsi="Book Antiqua"/>
              </w:rPr>
              <w:t>0.899 (&lt; 0.001)</w:t>
            </w:r>
          </w:p>
        </w:tc>
      </w:tr>
      <w:tr>
        <w:tblPrEx>
          <w:tblCellMar>
            <w:top w:w="0" w:type="dxa"/>
            <w:left w:w="108" w:type="dxa"/>
            <w:bottom w:w="0" w:type="dxa"/>
            <w:right w:w="108" w:type="dxa"/>
          </w:tblCellMar>
        </w:tblPrEx>
        <w:trPr>
          <w:trHeight w:val="204" w:hRule="atLeast"/>
          <w:jc w:val="center"/>
        </w:trPr>
        <w:tc>
          <w:tcPr>
            <w:tcW w:w="2410" w:type="dxa"/>
            <w:shd w:val="clear" w:color="auto" w:fill="auto"/>
          </w:tcPr>
          <w:p>
            <w:pPr>
              <w:spacing w:line="360" w:lineRule="auto"/>
              <w:contextualSpacing/>
              <w:jc w:val="both"/>
              <w:rPr>
                <w:rFonts w:ascii="Book Antiqua" w:hAnsi="Book Antiqua"/>
              </w:rPr>
            </w:pPr>
            <w:r>
              <w:rPr>
                <w:rFonts w:ascii="Book Antiqua" w:hAnsi="Book Antiqua"/>
              </w:rPr>
              <w:t>Cunningham</w:t>
            </w:r>
          </w:p>
        </w:tc>
        <w:tc>
          <w:tcPr>
            <w:tcW w:w="1843" w:type="dxa"/>
            <w:shd w:val="clear" w:color="auto" w:fill="auto"/>
          </w:tcPr>
          <w:p>
            <w:pPr>
              <w:spacing w:line="360" w:lineRule="auto"/>
              <w:contextualSpacing/>
              <w:jc w:val="both"/>
              <w:rPr>
                <w:rFonts w:ascii="Book Antiqua" w:hAnsi="Book Antiqua"/>
              </w:rPr>
            </w:pPr>
            <w:r>
              <w:rPr>
                <w:rFonts w:ascii="Book Antiqua" w:hAnsi="Book Antiqua"/>
              </w:rPr>
              <w:t xml:space="preserve">1764.29 </w:t>
            </w:r>
            <w:r>
              <w:rPr>
                <w:rFonts w:ascii="Book Antiqua" w:hAnsi="Book Antiqua"/>
                <w:bCs/>
              </w:rPr>
              <w:t>± 246.2</w:t>
            </w:r>
          </w:p>
        </w:tc>
        <w:tc>
          <w:tcPr>
            <w:tcW w:w="2551" w:type="dxa"/>
            <w:shd w:val="clear" w:color="auto" w:fill="auto"/>
          </w:tcPr>
          <w:p>
            <w:pPr>
              <w:spacing w:line="360" w:lineRule="auto"/>
              <w:contextualSpacing/>
              <w:jc w:val="both"/>
              <w:rPr>
                <w:rFonts w:ascii="Book Antiqua" w:hAnsi="Book Antiqua"/>
              </w:rPr>
            </w:pPr>
            <w:r>
              <w:rPr>
                <w:rFonts w:ascii="Book Antiqua" w:hAnsi="Book Antiqua"/>
              </w:rPr>
              <w:t>-156.5 (-180.3 to -132.7)</w:t>
            </w:r>
          </w:p>
        </w:tc>
        <w:tc>
          <w:tcPr>
            <w:tcW w:w="993" w:type="dxa"/>
            <w:shd w:val="clear" w:color="auto" w:fill="auto"/>
          </w:tcPr>
          <w:p>
            <w:pPr>
              <w:spacing w:line="360" w:lineRule="auto"/>
              <w:contextualSpacing/>
              <w:jc w:val="both"/>
              <w:rPr>
                <w:rFonts w:ascii="Book Antiqua" w:hAnsi="Book Antiqua"/>
              </w:rPr>
            </w:pPr>
            <w:r>
              <w:rPr>
                <w:rFonts w:ascii="Book Antiqua" w:hAnsi="Book Antiqua"/>
              </w:rPr>
              <w:t>&lt; 0.001</w:t>
            </w:r>
          </w:p>
        </w:tc>
        <w:tc>
          <w:tcPr>
            <w:tcW w:w="1842" w:type="dxa"/>
            <w:shd w:val="clear" w:color="auto" w:fill="auto"/>
          </w:tcPr>
          <w:p>
            <w:pPr>
              <w:spacing w:line="360" w:lineRule="auto"/>
              <w:contextualSpacing/>
              <w:jc w:val="both"/>
              <w:rPr>
                <w:rFonts w:ascii="Book Antiqua" w:hAnsi="Book Antiqua"/>
              </w:rPr>
            </w:pPr>
            <w:r>
              <w:rPr>
                <w:rFonts w:ascii="Book Antiqua" w:hAnsi="Book Antiqua"/>
              </w:rPr>
              <w:t>0.899 (&lt; 0.001)</w:t>
            </w:r>
          </w:p>
        </w:tc>
      </w:tr>
      <w:tr>
        <w:tblPrEx>
          <w:tblCellMar>
            <w:top w:w="0" w:type="dxa"/>
            <w:left w:w="108" w:type="dxa"/>
            <w:bottom w:w="0" w:type="dxa"/>
            <w:right w:w="108" w:type="dxa"/>
          </w:tblCellMar>
        </w:tblPrEx>
        <w:trPr>
          <w:trHeight w:val="222" w:hRule="atLeast"/>
          <w:jc w:val="center"/>
        </w:trPr>
        <w:tc>
          <w:tcPr>
            <w:tcW w:w="2410" w:type="dxa"/>
            <w:shd w:val="clear" w:color="auto" w:fill="auto"/>
          </w:tcPr>
          <w:p>
            <w:pPr>
              <w:spacing w:line="360" w:lineRule="auto"/>
              <w:contextualSpacing/>
              <w:jc w:val="both"/>
              <w:rPr>
                <w:rFonts w:ascii="Book Antiqua" w:hAnsi="Book Antiqua"/>
              </w:rPr>
            </w:pPr>
            <w:r>
              <w:rPr>
                <w:rFonts w:ascii="Book Antiqua" w:hAnsi="Book Antiqua"/>
              </w:rPr>
              <w:t>Harris &amp; Benedict</w:t>
            </w:r>
          </w:p>
        </w:tc>
        <w:tc>
          <w:tcPr>
            <w:tcW w:w="1843" w:type="dxa"/>
            <w:shd w:val="clear" w:color="auto" w:fill="auto"/>
          </w:tcPr>
          <w:p>
            <w:pPr>
              <w:spacing w:line="360" w:lineRule="auto"/>
              <w:contextualSpacing/>
              <w:jc w:val="both"/>
              <w:rPr>
                <w:rFonts w:ascii="Book Antiqua" w:hAnsi="Book Antiqua"/>
              </w:rPr>
            </w:pPr>
            <w:r>
              <w:rPr>
                <w:rFonts w:ascii="Book Antiqua" w:hAnsi="Book Antiqua"/>
              </w:rPr>
              <w:t xml:space="preserve">2373.54 </w:t>
            </w:r>
            <w:r>
              <w:rPr>
                <w:rFonts w:ascii="Book Antiqua" w:hAnsi="Book Antiqua"/>
                <w:bCs/>
              </w:rPr>
              <w:t xml:space="preserve">± </w:t>
            </w:r>
            <w:r>
              <w:rPr>
                <w:rFonts w:ascii="Book Antiqua" w:hAnsi="Book Antiqua"/>
              </w:rPr>
              <w:t>254.9</w:t>
            </w:r>
          </w:p>
        </w:tc>
        <w:tc>
          <w:tcPr>
            <w:tcW w:w="2551" w:type="dxa"/>
            <w:shd w:val="clear" w:color="auto" w:fill="auto"/>
          </w:tcPr>
          <w:p>
            <w:pPr>
              <w:spacing w:line="360" w:lineRule="auto"/>
              <w:contextualSpacing/>
              <w:jc w:val="both"/>
              <w:rPr>
                <w:rFonts w:ascii="Book Antiqua" w:hAnsi="Book Antiqua"/>
              </w:rPr>
            </w:pPr>
            <w:r>
              <w:rPr>
                <w:rFonts w:ascii="Book Antiqua" w:hAnsi="Book Antiqua"/>
              </w:rPr>
              <w:t>-765.8 (-802.4 to -729.1)</w:t>
            </w:r>
          </w:p>
        </w:tc>
        <w:tc>
          <w:tcPr>
            <w:tcW w:w="993" w:type="dxa"/>
            <w:shd w:val="clear" w:color="auto" w:fill="auto"/>
          </w:tcPr>
          <w:p>
            <w:pPr>
              <w:spacing w:line="360" w:lineRule="auto"/>
              <w:contextualSpacing/>
              <w:jc w:val="both"/>
              <w:rPr>
                <w:rFonts w:ascii="Book Antiqua" w:hAnsi="Book Antiqua"/>
              </w:rPr>
            </w:pPr>
            <w:r>
              <w:rPr>
                <w:rFonts w:ascii="Book Antiqua" w:hAnsi="Book Antiqua"/>
              </w:rPr>
              <w:t>&lt; 0.001</w:t>
            </w:r>
          </w:p>
        </w:tc>
        <w:tc>
          <w:tcPr>
            <w:tcW w:w="1842" w:type="dxa"/>
            <w:shd w:val="clear" w:color="auto" w:fill="auto"/>
          </w:tcPr>
          <w:p>
            <w:pPr>
              <w:spacing w:line="360" w:lineRule="auto"/>
              <w:contextualSpacing/>
              <w:jc w:val="both"/>
              <w:rPr>
                <w:rFonts w:ascii="Book Antiqua" w:hAnsi="Book Antiqua"/>
              </w:rPr>
            </w:pPr>
            <w:r>
              <w:rPr>
                <w:rFonts w:ascii="Book Antiqua" w:hAnsi="Book Antiqua"/>
              </w:rPr>
              <w:t>0.767 (&lt; 0.001)</w:t>
            </w:r>
          </w:p>
        </w:tc>
      </w:tr>
      <w:tr>
        <w:tblPrEx>
          <w:tblCellMar>
            <w:top w:w="0" w:type="dxa"/>
            <w:left w:w="108" w:type="dxa"/>
            <w:bottom w:w="0" w:type="dxa"/>
            <w:right w:w="108" w:type="dxa"/>
          </w:tblCellMar>
        </w:tblPrEx>
        <w:trPr>
          <w:jc w:val="center"/>
        </w:trPr>
        <w:tc>
          <w:tcPr>
            <w:tcW w:w="2410" w:type="dxa"/>
            <w:shd w:val="clear" w:color="auto" w:fill="auto"/>
          </w:tcPr>
          <w:p>
            <w:pPr>
              <w:spacing w:line="360" w:lineRule="auto"/>
              <w:contextualSpacing/>
              <w:jc w:val="both"/>
              <w:rPr>
                <w:rFonts w:ascii="Book Antiqua" w:hAnsi="Book Antiqua"/>
              </w:rPr>
            </w:pPr>
            <w:r>
              <w:rPr>
                <w:rFonts w:ascii="Book Antiqua" w:hAnsi="Book Antiqua"/>
              </w:rPr>
              <w:t>FAO/WHO</w:t>
            </w:r>
          </w:p>
        </w:tc>
        <w:tc>
          <w:tcPr>
            <w:tcW w:w="1843" w:type="dxa"/>
            <w:shd w:val="clear" w:color="auto" w:fill="auto"/>
          </w:tcPr>
          <w:p>
            <w:pPr>
              <w:spacing w:line="360" w:lineRule="auto"/>
              <w:contextualSpacing/>
              <w:jc w:val="both"/>
              <w:rPr>
                <w:rFonts w:ascii="Book Antiqua" w:hAnsi="Book Antiqua"/>
              </w:rPr>
            </w:pPr>
            <w:r>
              <w:rPr>
                <w:rFonts w:ascii="Book Antiqua" w:hAnsi="Book Antiqua"/>
              </w:rPr>
              <w:t xml:space="preserve">1616.07 </w:t>
            </w:r>
            <w:r>
              <w:rPr>
                <w:rFonts w:ascii="Book Antiqua" w:hAnsi="Book Antiqua"/>
                <w:bCs/>
              </w:rPr>
              <w:t xml:space="preserve">± </w:t>
            </w:r>
            <w:r>
              <w:rPr>
                <w:rFonts w:ascii="Book Antiqua" w:hAnsi="Book Antiqua"/>
              </w:rPr>
              <w:t>214.6</w:t>
            </w:r>
          </w:p>
        </w:tc>
        <w:tc>
          <w:tcPr>
            <w:tcW w:w="2551" w:type="dxa"/>
            <w:shd w:val="clear" w:color="auto" w:fill="auto"/>
          </w:tcPr>
          <w:p>
            <w:pPr>
              <w:spacing w:line="360" w:lineRule="auto"/>
              <w:contextualSpacing/>
              <w:jc w:val="both"/>
              <w:rPr>
                <w:rFonts w:ascii="Book Antiqua" w:hAnsi="Book Antiqua"/>
              </w:rPr>
            </w:pPr>
            <w:r>
              <w:rPr>
                <w:rFonts w:ascii="Book Antiqua" w:hAnsi="Book Antiqua"/>
              </w:rPr>
              <w:t>-8.35 (-61.8 to 45.1)</w:t>
            </w:r>
          </w:p>
        </w:tc>
        <w:tc>
          <w:tcPr>
            <w:tcW w:w="993" w:type="dxa"/>
            <w:shd w:val="clear" w:color="auto" w:fill="auto"/>
          </w:tcPr>
          <w:p>
            <w:pPr>
              <w:spacing w:line="360" w:lineRule="auto"/>
              <w:contextualSpacing/>
              <w:jc w:val="both"/>
              <w:rPr>
                <w:rFonts w:ascii="Book Antiqua" w:hAnsi="Book Antiqua"/>
              </w:rPr>
            </w:pPr>
            <w:r>
              <w:rPr>
                <w:rFonts w:ascii="Book Antiqua" w:hAnsi="Book Antiqua"/>
              </w:rPr>
              <w:t>0.757</w:t>
            </w:r>
          </w:p>
        </w:tc>
        <w:tc>
          <w:tcPr>
            <w:tcW w:w="1842" w:type="dxa"/>
            <w:shd w:val="clear" w:color="auto" w:fill="auto"/>
          </w:tcPr>
          <w:p>
            <w:pPr>
              <w:spacing w:line="360" w:lineRule="auto"/>
              <w:contextualSpacing/>
              <w:jc w:val="both"/>
              <w:rPr>
                <w:rFonts w:ascii="Book Antiqua" w:hAnsi="Book Antiqua"/>
              </w:rPr>
            </w:pPr>
            <w:r>
              <w:rPr>
                <w:rFonts w:ascii="Book Antiqua" w:hAnsi="Book Antiqua"/>
              </w:rPr>
              <w:t>0.457 (&lt; 0.001)</w:t>
            </w:r>
          </w:p>
        </w:tc>
      </w:tr>
      <w:tr>
        <w:tblPrEx>
          <w:tblCellMar>
            <w:top w:w="0" w:type="dxa"/>
            <w:left w:w="108" w:type="dxa"/>
            <w:bottom w:w="0" w:type="dxa"/>
            <w:right w:w="108" w:type="dxa"/>
          </w:tblCellMar>
        </w:tblPrEx>
        <w:trPr>
          <w:jc w:val="center"/>
        </w:trPr>
        <w:tc>
          <w:tcPr>
            <w:tcW w:w="2410" w:type="dxa"/>
            <w:shd w:val="clear" w:color="auto" w:fill="auto"/>
          </w:tcPr>
          <w:p>
            <w:pPr>
              <w:spacing w:line="360" w:lineRule="auto"/>
              <w:contextualSpacing/>
              <w:jc w:val="both"/>
              <w:rPr>
                <w:rFonts w:ascii="Book Antiqua" w:hAnsi="Book Antiqua"/>
              </w:rPr>
            </w:pPr>
            <w:r>
              <w:rPr>
                <w:rFonts w:ascii="Book Antiqua" w:hAnsi="Book Antiqua"/>
              </w:rPr>
              <w:t>IOM</w:t>
            </w:r>
          </w:p>
        </w:tc>
        <w:tc>
          <w:tcPr>
            <w:tcW w:w="1843" w:type="dxa"/>
            <w:shd w:val="clear" w:color="auto" w:fill="auto"/>
          </w:tcPr>
          <w:p>
            <w:pPr>
              <w:spacing w:line="360" w:lineRule="auto"/>
              <w:contextualSpacing/>
              <w:jc w:val="both"/>
              <w:rPr>
                <w:rFonts w:ascii="Book Antiqua" w:hAnsi="Book Antiqua"/>
              </w:rPr>
            </w:pPr>
            <w:r>
              <w:rPr>
                <w:rFonts w:ascii="Book Antiqua" w:hAnsi="Book Antiqua"/>
              </w:rPr>
              <w:t xml:space="preserve">1648.95 </w:t>
            </w:r>
            <w:r>
              <w:rPr>
                <w:rFonts w:ascii="Book Antiqua" w:hAnsi="Book Antiqua"/>
                <w:bCs/>
              </w:rPr>
              <w:t xml:space="preserve">± </w:t>
            </w:r>
            <w:r>
              <w:rPr>
                <w:rFonts w:ascii="Book Antiqua" w:hAnsi="Book Antiqua"/>
              </w:rPr>
              <w:t>185.6</w:t>
            </w:r>
          </w:p>
        </w:tc>
        <w:tc>
          <w:tcPr>
            <w:tcW w:w="2551" w:type="dxa"/>
            <w:shd w:val="clear" w:color="auto" w:fill="auto"/>
          </w:tcPr>
          <w:p>
            <w:pPr>
              <w:spacing w:line="360" w:lineRule="auto"/>
              <w:contextualSpacing/>
              <w:jc w:val="both"/>
              <w:rPr>
                <w:rFonts w:ascii="Book Antiqua" w:hAnsi="Book Antiqua"/>
              </w:rPr>
            </w:pPr>
            <w:r>
              <w:rPr>
                <w:rFonts w:ascii="Book Antiqua" w:hAnsi="Book Antiqua"/>
              </w:rPr>
              <w:t>-41.23 (-61.6 to -20.8)</w:t>
            </w:r>
          </w:p>
        </w:tc>
        <w:tc>
          <w:tcPr>
            <w:tcW w:w="993" w:type="dxa"/>
            <w:shd w:val="clear" w:color="auto" w:fill="auto"/>
          </w:tcPr>
          <w:p>
            <w:pPr>
              <w:spacing w:line="360" w:lineRule="auto"/>
              <w:contextualSpacing/>
              <w:jc w:val="both"/>
              <w:rPr>
                <w:rFonts w:ascii="Book Antiqua" w:hAnsi="Book Antiqua"/>
              </w:rPr>
            </w:pPr>
            <w:r>
              <w:rPr>
                <w:rFonts w:ascii="Book Antiqua" w:hAnsi="Book Antiqua"/>
              </w:rPr>
              <w:t>&lt; 0.001</w:t>
            </w:r>
          </w:p>
        </w:tc>
        <w:tc>
          <w:tcPr>
            <w:tcW w:w="1842" w:type="dxa"/>
            <w:shd w:val="clear" w:color="auto" w:fill="auto"/>
          </w:tcPr>
          <w:p>
            <w:pPr>
              <w:spacing w:line="360" w:lineRule="auto"/>
              <w:contextualSpacing/>
              <w:jc w:val="both"/>
              <w:rPr>
                <w:rFonts w:ascii="Book Antiqua" w:hAnsi="Book Antiqua"/>
              </w:rPr>
            </w:pPr>
            <w:r>
              <w:rPr>
                <w:rFonts w:ascii="Book Antiqua" w:hAnsi="Book Antiqua"/>
              </w:rPr>
              <w:t>0.955 (&lt; 0.001)</w:t>
            </w:r>
          </w:p>
        </w:tc>
      </w:tr>
      <w:tr>
        <w:tblPrEx>
          <w:tblCellMar>
            <w:top w:w="0" w:type="dxa"/>
            <w:left w:w="108" w:type="dxa"/>
            <w:bottom w:w="0" w:type="dxa"/>
            <w:right w:w="108" w:type="dxa"/>
          </w:tblCellMar>
        </w:tblPrEx>
        <w:trPr>
          <w:jc w:val="center"/>
        </w:trPr>
        <w:tc>
          <w:tcPr>
            <w:tcW w:w="2410" w:type="dxa"/>
            <w:shd w:val="clear" w:color="auto" w:fill="auto"/>
          </w:tcPr>
          <w:p>
            <w:pPr>
              <w:spacing w:line="360" w:lineRule="auto"/>
              <w:contextualSpacing/>
              <w:jc w:val="both"/>
              <w:rPr>
                <w:rFonts w:ascii="Book Antiqua" w:hAnsi="Book Antiqua"/>
              </w:rPr>
            </w:pPr>
            <w:r>
              <w:rPr>
                <w:rFonts w:ascii="Book Antiqua" w:hAnsi="Book Antiqua"/>
              </w:rPr>
              <w:t xml:space="preserve">McArdle </w:t>
            </w:r>
            <w:r>
              <w:rPr>
                <w:rFonts w:ascii="Book Antiqua" w:hAnsi="Book Antiqua"/>
                <w:i/>
              </w:rPr>
              <w:t>et al</w:t>
            </w:r>
          </w:p>
        </w:tc>
        <w:tc>
          <w:tcPr>
            <w:tcW w:w="1843" w:type="dxa"/>
            <w:shd w:val="clear" w:color="auto" w:fill="auto"/>
          </w:tcPr>
          <w:p>
            <w:pPr>
              <w:spacing w:line="360" w:lineRule="auto"/>
              <w:contextualSpacing/>
              <w:jc w:val="both"/>
              <w:rPr>
                <w:rFonts w:ascii="Book Antiqua" w:hAnsi="Book Antiqua"/>
              </w:rPr>
            </w:pPr>
            <w:r>
              <w:rPr>
                <w:rFonts w:ascii="Book Antiqua" w:hAnsi="Book Antiqua"/>
              </w:rPr>
              <w:t xml:space="preserve">1611.30 </w:t>
            </w:r>
            <w:r>
              <w:rPr>
                <w:rFonts w:ascii="Book Antiqua" w:hAnsi="Book Antiqua"/>
                <w:bCs/>
              </w:rPr>
              <w:t xml:space="preserve">± </w:t>
            </w:r>
            <w:r>
              <w:rPr>
                <w:rFonts w:ascii="Book Antiqua" w:hAnsi="Book Antiqua"/>
              </w:rPr>
              <w:t>241.8</w:t>
            </w:r>
          </w:p>
        </w:tc>
        <w:tc>
          <w:tcPr>
            <w:tcW w:w="2551" w:type="dxa"/>
            <w:shd w:val="clear" w:color="auto" w:fill="auto"/>
          </w:tcPr>
          <w:p>
            <w:pPr>
              <w:spacing w:line="360" w:lineRule="auto"/>
              <w:contextualSpacing/>
              <w:jc w:val="both"/>
              <w:rPr>
                <w:rFonts w:ascii="Book Antiqua" w:hAnsi="Book Antiqua"/>
              </w:rPr>
            </w:pPr>
            <w:r>
              <w:rPr>
                <w:rFonts w:ascii="Book Antiqua" w:hAnsi="Book Antiqua"/>
              </w:rPr>
              <w:t>-3.58 (−27.3 to -20.1)</w:t>
            </w:r>
          </w:p>
        </w:tc>
        <w:tc>
          <w:tcPr>
            <w:tcW w:w="993" w:type="dxa"/>
            <w:shd w:val="clear" w:color="auto" w:fill="auto"/>
          </w:tcPr>
          <w:p>
            <w:pPr>
              <w:spacing w:line="360" w:lineRule="auto"/>
              <w:contextualSpacing/>
              <w:jc w:val="both"/>
              <w:rPr>
                <w:rFonts w:ascii="Book Antiqua" w:hAnsi="Book Antiqua"/>
              </w:rPr>
            </w:pPr>
            <w:r>
              <w:rPr>
                <w:rFonts w:ascii="Book Antiqua" w:hAnsi="Book Antiqua"/>
              </w:rPr>
              <w:t>0.765</w:t>
            </w:r>
          </w:p>
        </w:tc>
        <w:tc>
          <w:tcPr>
            <w:tcW w:w="1842" w:type="dxa"/>
            <w:shd w:val="clear" w:color="auto" w:fill="auto"/>
          </w:tcPr>
          <w:p>
            <w:pPr>
              <w:spacing w:line="360" w:lineRule="auto"/>
              <w:contextualSpacing/>
              <w:jc w:val="both"/>
              <w:rPr>
                <w:rFonts w:ascii="Book Antiqua" w:hAnsi="Book Antiqua"/>
              </w:rPr>
            </w:pPr>
            <w:r>
              <w:rPr>
                <w:rFonts w:ascii="Book Antiqua" w:hAnsi="Book Antiqua"/>
              </w:rPr>
              <w:t>0.899 (&lt; 0.001)</w:t>
            </w:r>
          </w:p>
        </w:tc>
      </w:tr>
      <w:tr>
        <w:tblPrEx>
          <w:tblCellMar>
            <w:top w:w="0" w:type="dxa"/>
            <w:left w:w="108" w:type="dxa"/>
            <w:bottom w:w="0" w:type="dxa"/>
            <w:right w:w="108" w:type="dxa"/>
          </w:tblCellMar>
        </w:tblPrEx>
        <w:trPr>
          <w:jc w:val="center"/>
        </w:trPr>
        <w:tc>
          <w:tcPr>
            <w:tcW w:w="2410" w:type="dxa"/>
            <w:tcBorders>
              <w:bottom w:val="single" w:color="auto" w:sz="18" w:space="0"/>
            </w:tcBorders>
            <w:shd w:val="clear" w:color="auto" w:fill="auto"/>
          </w:tcPr>
          <w:p>
            <w:pPr>
              <w:spacing w:line="360" w:lineRule="auto"/>
              <w:contextualSpacing/>
              <w:jc w:val="both"/>
              <w:rPr>
                <w:rFonts w:ascii="Book Antiqua" w:hAnsi="Book Antiqua"/>
              </w:rPr>
            </w:pPr>
            <w:r>
              <w:rPr>
                <w:rFonts w:ascii="Book Antiqua" w:hAnsi="Book Antiqua"/>
              </w:rPr>
              <w:t xml:space="preserve">Mifflin </w:t>
            </w:r>
            <w:r>
              <w:rPr>
                <w:rFonts w:ascii="Book Antiqua" w:hAnsi="Book Antiqua"/>
                <w:i/>
              </w:rPr>
              <w:t>et al</w:t>
            </w:r>
          </w:p>
        </w:tc>
        <w:tc>
          <w:tcPr>
            <w:tcW w:w="1843" w:type="dxa"/>
            <w:tcBorders>
              <w:bottom w:val="single" w:color="auto" w:sz="18" w:space="0"/>
            </w:tcBorders>
            <w:shd w:val="clear" w:color="auto" w:fill="auto"/>
          </w:tcPr>
          <w:p>
            <w:pPr>
              <w:spacing w:line="360" w:lineRule="auto"/>
              <w:contextualSpacing/>
              <w:jc w:val="both"/>
              <w:rPr>
                <w:rFonts w:ascii="Book Antiqua" w:hAnsi="Book Antiqua"/>
              </w:rPr>
            </w:pPr>
            <w:r>
              <w:rPr>
                <w:rFonts w:ascii="Book Antiqua" w:hAnsi="Book Antiqua"/>
              </w:rPr>
              <w:t xml:space="preserve">1558.71 </w:t>
            </w:r>
            <w:r>
              <w:rPr>
                <w:rFonts w:ascii="Book Antiqua" w:hAnsi="Book Antiqua"/>
                <w:bCs/>
              </w:rPr>
              <w:t xml:space="preserve">± </w:t>
            </w:r>
            <w:r>
              <w:rPr>
                <w:rFonts w:ascii="Book Antiqua" w:hAnsi="Book Antiqua"/>
              </w:rPr>
              <w:t>201.0</w:t>
            </w:r>
          </w:p>
        </w:tc>
        <w:tc>
          <w:tcPr>
            <w:tcW w:w="2551" w:type="dxa"/>
            <w:tcBorders>
              <w:bottom w:val="single" w:color="auto" w:sz="18" w:space="0"/>
            </w:tcBorders>
            <w:shd w:val="clear" w:color="auto" w:fill="auto"/>
          </w:tcPr>
          <w:p>
            <w:pPr>
              <w:spacing w:line="360" w:lineRule="auto"/>
              <w:contextualSpacing/>
              <w:jc w:val="both"/>
              <w:rPr>
                <w:rFonts w:ascii="Book Antiqua" w:hAnsi="Book Antiqua"/>
              </w:rPr>
            </w:pPr>
            <w:r>
              <w:rPr>
                <w:rFonts w:ascii="Book Antiqua" w:hAnsi="Book Antiqua"/>
              </w:rPr>
              <w:t>49.00 (30.4 to 67.58)</w:t>
            </w:r>
          </w:p>
        </w:tc>
        <w:tc>
          <w:tcPr>
            <w:tcW w:w="993" w:type="dxa"/>
            <w:tcBorders>
              <w:bottom w:val="single" w:color="auto" w:sz="18" w:space="0"/>
            </w:tcBorders>
            <w:shd w:val="clear" w:color="auto" w:fill="auto"/>
          </w:tcPr>
          <w:p>
            <w:pPr>
              <w:spacing w:line="360" w:lineRule="auto"/>
              <w:contextualSpacing/>
              <w:jc w:val="both"/>
              <w:rPr>
                <w:rFonts w:ascii="Book Antiqua" w:hAnsi="Book Antiqua"/>
              </w:rPr>
            </w:pPr>
            <w:r>
              <w:rPr>
                <w:rFonts w:ascii="Book Antiqua" w:hAnsi="Book Antiqua"/>
              </w:rPr>
              <w:t>&lt; 0.001</w:t>
            </w:r>
          </w:p>
        </w:tc>
        <w:tc>
          <w:tcPr>
            <w:tcW w:w="1842" w:type="dxa"/>
            <w:tcBorders>
              <w:bottom w:val="single" w:color="auto" w:sz="18" w:space="0"/>
            </w:tcBorders>
            <w:shd w:val="clear" w:color="auto" w:fill="auto"/>
          </w:tcPr>
          <w:p>
            <w:pPr>
              <w:spacing w:line="360" w:lineRule="auto"/>
              <w:contextualSpacing/>
              <w:jc w:val="both"/>
              <w:rPr>
                <w:rFonts w:ascii="Book Antiqua" w:hAnsi="Book Antiqua"/>
              </w:rPr>
            </w:pPr>
            <w:r>
              <w:rPr>
                <w:rFonts w:ascii="Book Antiqua" w:hAnsi="Book Antiqua"/>
              </w:rPr>
              <w:t>0.955 (&lt; 0.001)</w:t>
            </w:r>
          </w:p>
        </w:tc>
      </w:tr>
      <w:bookmarkEnd w:id="0"/>
    </w:tbl>
    <w:p>
      <w:pPr>
        <w:spacing w:line="360" w:lineRule="auto"/>
        <w:jc w:val="both"/>
        <w:rPr>
          <w:rFonts w:ascii="Book Antiqua" w:hAnsi="Book Antiqua" w:eastAsia="Book Antiqua" w:cs="Book Antiqua"/>
        </w:rPr>
      </w:pPr>
      <w:r>
        <w:rPr>
          <w:rFonts w:ascii="Book Antiqua" w:hAnsi="Book Antiqua" w:eastAsia="Book Antiqua" w:cs="Book Antiqua"/>
          <w:color w:val="000000"/>
        </w:rPr>
        <w:t xml:space="preserve">FAO: </w:t>
      </w:r>
      <w:r>
        <w:rPr>
          <w:rFonts w:ascii="Book Antiqua" w:hAnsi="Book Antiqua" w:eastAsia="Book Antiqua" w:cs="Book Antiqua"/>
        </w:rPr>
        <w:t>Food and Agriculture Organization of the United Nations; WHO: World Health Organization; UNU: United Nations University.</w:t>
      </w:r>
    </w:p>
    <w:p>
      <w:pPr>
        <w:spacing w:line="360" w:lineRule="auto"/>
        <w:jc w:val="both"/>
        <w:rPr>
          <w:rFonts w:ascii="Book Antiqua" w:hAnsi="Book Antiqua" w:eastAsia="Book Antiqua" w:cs="Book Antiqua"/>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ascii="Book Antiqua" w:hAnsi="Book Antiqua" w:eastAsia="Book Antiqua" w:cs="Book Antiqua"/>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Microsoft YaHei UI">
    <w:panose1 w:val="020B0503020204020204"/>
    <w:charset w:val="86"/>
    <w:family w:val="swiss"/>
    <w:pitch w:val="default"/>
    <w:sig w:usb0="80000287" w:usb1="2ACF3C50" w:usb2="00000016" w:usb3="00000000" w:csb0="0004001F" w:csb1="00000000"/>
  </w:font>
  <w:font w:name="Garamond-Bold">
    <w:altName w:val="Roanoke Script"/>
    <w:panose1 w:val="00000000000000000000"/>
    <w:charset w:val="00"/>
    <w:family w:val="auto"/>
    <w:pitch w:val="default"/>
    <w:sig w:usb0="00000000" w:usb1="00000000" w:usb2="00000000" w:usb3="00000000" w:csb0="0000009F" w:csb1="00000000"/>
  </w:font>
  <w:font w:name="Roanoke Script">
    <w:panose1 w:val="02000400000000000000"/>
    <w:charset w:val="00"/>
    <w:family w:val="auto"/>
    <w:pitch w:val="default"/>
    <w:sig w:usb0="80000027" w:usb1="00000000" w:usb2="00000000" w:usb3="00000000" w:csb0="20000111" w:csb1="4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13457012"/>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23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24</w:t>
            </w:r>
            <w:r>
              <w:rPr>
                <w:rFonts w:ascii="Book Antiqua" w:hAnsi="Book Antiqua"/>
                <w:b/>
                <w:bCs/>
                <w:sz w:val="24"/>
                <w:szCs w:val="24"/>
              </w:rPr>
              <w:fldChar w:fldCharType="end"/>
            </w:r>
          </w:p>
        </w:sdtContent>
      </w:sdt>
    </w:sdtContent>
  </w:sdt>
  <w:p>
    <w:pPr>
      <w:pStyle w:val="4"/>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425"/>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43DF"/>
    <w:rsid w:val="00023116"/>
    <w:rsid w:val="0003397E"/>
    <w:rsid w:val="00042419"/>
    <w:rsid w:val="000521B2"/>
    <w:rsid w:val="00052B98"/>
    <w:rsid w:val="00053FBF"/>
    <w:rsid w:val="00063F6B"/>
    <w:rsid w:val="00090F1F"/>
    <w:rsid w:val="00094C6D"/>
    <w:rsid w:val="000B5F81"/>
    <w:rsid w:val="000D50C9"/>
    <w:rsid w:val="000E7608"/>
    <w:rsid w:val="00102A54"/>
    <w:rsid w:val="001038D5"/>
    <w:rsid w:val="001039AD"/>
    <w:rsid w:val="00106BAE"/>
    <w:rsid w:val="00125570"/>
    <w:rsid w:val="001420F7"/>
    <w:rsid w:val="00142F98"/>
    <w:rsid w:val="00172150"/>
    <w:rsid w:val="00172781"/>
    <w:rsid w:val="00175E40"/>
    <w:rsid w:val="00186E5A"/>
    <w:rsid w:val="001B41CC"/>
    <w:rsid w:val="001B58FF"/>
    <w:rsid w:val="001C0547"/>
    <w:rsid w:val="001D6500"/>
    <w:rsid w:val="001E3A26"/>
    <w:rsid w:val="00220798"/>
    <w:rsid w:val="00221539"/>
    <w:rsid w:val="00234DC9"/>
    <w:rsid w:val="002352FD"/>
    <w:rsid w:val="0024776C"/>
    <w:rsid w:val="00266295"/>
    <w:rsid w:val="0029636A"/>
    <w:rsid w:val="002A0BB3"/>
    <w:rsid w:val="002B37BE"/>
    <w:rsid w:val="002C5E3A"/>
    <w:rsid w:val="002E0B37"/>
    <w:rsid w:val="002E5084"/>
    <w:rsid w:val="002E6DD8"/>
    <w:rsid w:val="003022B0"/>
    <w:rsid w:val="00307062"/>
    <w:rsid w:val="00313E60"/>
    <w:rsid w:val="00335F09"/>
    <w:rsid w:val="00342E9E"/>
    <w:rsid w:val="00343162"/>
    <w:rsid w:val="003715BD"/>
    <w:rsid w:val="00383A3D"/>
    <w:rsid w:val="00393F85"/>
    <w:rsid w:val="003A27ED"/>
    <w:rsid w:val="003B159D"/>
    <w:rsid w:val="003B3923"/>
    <w:rsid w:val="003C0BEE"/>
    <w:rsid w:val="003C643B"/>
    <w:rsid w:val="003E360F"/>
    <w:rsid w:val="003E43C1"/>
    <w:rsid w:val="003F5D0F"/>
    <w:rsid w:val="0041141C"/>
    <w:rsid w:val="004200AB"/>
    <w:rsid w:val="00424681"/>
    <w:rsid w:val="00424A48"/>
    <w:rsid w:val="00434EF2"/>
    <w:rsid w:val="004402E6"/>
    <w:rsid w:val="0046353D"/>
    <w:rsid w:val="00465E5E"/>
    <w:rsid w:val="00472DBB"/>
    <w:rsid w:val="00497454"/>
    <w:rsid w:val="004A3A73"/>
    <w:rsid w:val="004B13BB"/>
    <w:rsid w:val="004B495E"/>
    <w:rsid w:val="004B646F"/>
    <w:rsid w:val="004D2C1D"/>
    <w:rsid w:val="004E4212"/>
    <w:rsid w:val="004F5807"/>
    <w:rsid w:val="00510A35"/>
    <w:rsid w:val="0051510B"/>
    <w:rsid w:val="005340F1"/>
    <w:rsid w:val="00537CDF"/>
    <w:rsid w:val="00564334"/>
    <w:rsid w:val="00566960"/>
    <w:rsid w:val="005708E0"/>
    <w:rsid w:val="005970AF"/>
    <w:rsid w:val="005A208B"/>
    <w:rsid w:val="005A373A"/>
    <w:rsid w:val="005B4674"/>
    <w:rsid w:val="005D41E9"/>
    <w:rsid w:val="005E1514"/>
    <w:rsid w:val="005E58AF"/>
    <w:rsid w:val="005E6857"/>
    <w:rsid w:val="005F3B9C"/>
    <w:rsid w:val="005F3DA3"/>
    <w:rsid w:val="00607BB7"/>
    <w:rsid w:val="00652AA6"/>
    <w:rsid w:val="006610DC"/>
    <w:rsid w:val="00664F65"/>
    <w:rsid w:val="006711F7"/>
    <w:rsid w:val="006774F0"/>
    <w:rsid w:val="00684AD8"/>
    <w:rsid w:val="0069166F"/>
    <w:rsid w:val="0069744F"/>
    <w:rsid w:val="006B022E"/>
    <w:rsid w:val="006B0695"/>
    <w:rsid w:val="006C7A6E"/>
    <w:rsid w:val="006D32C5"/>
    <w:rsid w:val="006D41C7"/>
    <w:rsid w:val="006D7AF7"/>
    <w:rsid w:val="006E2E8E"/>
    <w:rsid w:val="006E6C82"/>
    <w:rsid w:val="006F3CB8"/>
    <w:rsid w:val="006F6140"/>
    <w:rsid w:val="0070143C"/>
    <w:rsid w:val="0071016F"/>
    <w:rsid w:val="007225C4"/>
    <w:rsid w:val="007252BF"/>
    <w:rsid w:val="0072654C"/>
    <w:rsid w:val="0074437E"/>
    <w:rsid w:val="0076690F"/>
    <w:rsid w:val="00773082"/>
    <w:rsid w:val="007A03FC"/>
    <w:rsid w:val="007A0719"/>
    <w:rsid w:val="007A242C"/>
    <w:rsid w:val="007A7A90"/>
    <w:rsid w:val="007C1CC9"/>
    <w:rsid w:val="007F1696"/>
    <w:rsid w:val="007F2EA1"/>
    <w:rsid w:val="007F3C8C"/>
    <w:rsid w:val="0080423A"/>
    <w:rsid w:val="0080710C"/>
    <w:rsid w:val="00810067"/>
    <w:rsid w:val="00823CE4"/>
    <w:rsid w:val="00837558"/>
    <w:rsid w:val="0085718F"/>
    <w:rsid w:val="008A20B1"/>
    <w:rsid w:val="008C06C9"/>
    <w:rsid w:val="008E4B76"/>
    <w:rsid w:val="008E4C09"/>
    <w:rsid w:val="008F45C3"/>
    <w:rsid w:val="00910F42"/>
    <w:rsid w:val="0092047A"/>
    <w:rsid w:val="00934134"/>
    <w:rsid w:val="009552CA"/>
    <w:rsid w:val="00955A53"/>
    <w:rsid w:val="009807AF"/>
    <w:rsid w:val="00984C99"/>
    <w:rsid w:val="009856C1"/>
    <w:rsid w:val="009A4329"/>
    <w:rsid w:val="009A56BD"/>
    <w:rsid w:val="009A76F0"/>
    <w:rsid w:val="009B0850"/>
    <w:rsid w:val="009C64A5"/>
    <w:rsid w:val="009F155E"/>
    <w:rsid w:val="009F3B03"/>
    <w:rsid w:val="00A020AF"/>
    <w:rsid w:val="00A05CC8"/>
    <w:rsid w:val="00A34174"/>
    <w:rsid w:val="00A54038"/>
    <w:rsid w:val="00A6061A"/>
    <w:rsid w:val="00A73B2F"/>
    <w:rsid w:val="00A75159"/>
    <w:rsid w:val="00A757D7"/>
    <w:rsid w:val="00A77B3E"/>
    <w:rsid w:val="00AA0698"/>
    <w:rsid w:val="00AA1CBC"/>
    <w:rsid w:val="00AB18C1"/>
    <w:rsid w:val="00AB5C0A"/>
    <w:rsid w:val="00AC4259"/>
    <w:rsid w:val="00AD2CC4"/>
    <w:rsid w:val="00AE4610"/>
    <w:rsid w:val="00AF2231"/>
    <w:rsid w:val="00AF6DA7"/>
    <w:rsid w:val="00B1046E"/>
    <w:rsid w:val="00B82F2D"/>
    <w:rsid w:val="00B872C0"/>
    <w:rsid w:val="00B95CBE"/>
    <w:rsid w:val="00BB336D"/>
    <w:rsid w:val="00BB6DE6"/>
    <w:rsid w:val="00BB7F77"/>
    <w:rsid w:val="00BC7ABB"/>
    <w:rsid w:val="00BE5BE4"/>
    <w:rsid w:val="00BF03C4"/>
    <w:rsid w:val="00BF3757"/>
    <w:rsid w:val="00C10871"/>
    <w:rsid w:val="00C32CE0"/>
    <w:rsid w:val="00C36059"/>
    <w:rsid w:val="00C4755D"/>
    <w:rsid w:val="00C54B78"/>
    <w:rsid w:val="00C61E27"/>
    <w:rsid w:val="00C73FBA"/>
    <w:rsid w:val="00C75953"/>
    <w:rsid w:val="00C76BF7"/>
    <w:rsid w:val="00C848BD"/>
    <w:rsid w:val="00C869F0"/>
    <w:rsid w:val="00C910ED"/>
    <w:rsid w:val="00CA2A55"/>
    <w:rsid w:val="00CA4A29"/>
    <w:rsid w:val="00CA65D3"/>
    <w:rsid w:val="00CA7E79"/>
    <w:rsid w:val="00CB5C43"/>
    <w:rsid w:val="00CD65E9"/>
    <w:rsid w:val="00D1003B"/>
    <w:rsid w:val="00D11EE0"/>
    <w:rsid w:val="00D162B8"/>
    <w:rsid w:val="00D3346A"/>
    <w:rsid w:val="00D524FE"/>
    <w:rsid w:val="00D87A73"/>
    <w:rsid w:val="00D905D0"/>
    <w:rsid w:val="00D925C5"/>
    <w:rsid w:val="00DA17BB"/>
    <w:rsid w:val="00DB1676"/>
    <w:rsid w:val="00DB36CE"/>
    <w:rsid w:val="00DC3A5B"/>
    <w:rsid w:val="00DD18CB"/>
    <w:rsid w:val="00DF7BDC"/>
    <w:rsid w:val="00E05F7A"/>
    <w:rsid w:val="00E15486"/>
    <w:rsid w:val="00E31552"/>
    <w:rsid w:val="00E44CC1"/>
    <w:rsid w:val="00E61730"/>
    <w:rsid w:val="00E63909"/>
    <w:rsid w:val="00E64EAC"/>
    <w:rsid w:val="00E67B0B"/>
    <w:rsid w:val="00E779CE"/>
    <w:rsid w:val="00E8352E"/>
    <w:rsid w:val="00E926CA"/>
    <w:rsid w:val="00E93B9B"/>
    <w:rsid w:val="00E96A26"/>
    <w:rsid w:val="00EA0618"/>
    <w:rsid w:val="00ED3E9E"/>
    <w:rsid w:val="00EE2536"/>
    <w:rsid w:val="00EF5F46"/>
    <w:rsid w:val="00F06F14"/>
    <w:rsid w:val="00F12EBC"/>
    <w:rsid w:val="00F21FD7"/>
    <w:rsid w:val="00F426DA"/>
    <w:rsid w:val="00F56D5B"/>
    <w:rsid w:val="00F61064"/>
    <w:rsid w:val="00F61ACB"/>
    <w:rsid w:val="00F66596"/>
    <w:rsid w:val="00F73E57"/>
    <w:rsid w:val="00F87360"/>
    <w:rsid w:val="00F90013"/>
    <w:rsid w:val="00FB1B59"/>
    <w:rsid w:val="00FB5B6D"/>
    <w:rsid w:val="00FC47FC"/>
    <w:rsid w:val="00FC7580"/>
    <w:rsid w:val="00FD636C"/>
    <w:rsid w:val="00FE5162"/>
    <w:rsid w:val="35382ACF"/>
    <w:rsid w:val="41813771"/>
    <w:rsid w:val="4A124BC8"/>
    <w:rsid w:val="74A135FF"/>
    <w:rsid w:val="7EFC42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4"/>
    <w:unhideWhenUsed/>
    <w:qFormat/>
    <w:uiPriority w:val="0"/>
  </w:style>
  <w:style w:type="paragraph" w:styleId="3">
    <w:name w:val="Balloon Text"/>
    <w:basedOn w:val="1"/>
    <w:link w:val="16"/>
    <w:semiHidden/>
    <w:unhideWhenUsed/>
    <w:qFormat/>
    <w:uiPriority w:val="0"/>
    <w:rPr>
      <w:sz w:val="18"/>
      <w:szCs w:val="18"/>
    </w:rPr>
  </w:style>
  <w:style w:type="paragraph" w:styleId="4">
    <w:name w:val="footer"/>
    <w:basedOn w:val="1"/>
    <w:link w:val="13"/>
    <w:unhideWhenUsed/>
    <w:uiPriority w:val="99"/>
    <w:pPr>
      <w:tabs>
        <w:tab w:val="center" w:pos="4153"/>
        <w:tab w:val="right" w:pos="8306"/>
      </w:tabs>
      <w:snapToGrid w:val="0"/>
    </w:pPr>
    <w:rPr>
      <w:sz w:val="18"/>
      <w:szCs w:val="18"/>
    </w:rPr>
  </w:style>
  <w:style w:type="paragraph" w:styleId="5">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semiHidden/>
    <w:unhideWhenUsed/>
    <w:qFormat/>
    <w:uiPriority w:val="0"/>
    <w:rPr>
      <w:b/>
      <w:bCs/>
    </w:rPr>
  </w:style>
  <w:style w:type="table" w:styleId="8">
    <w:name w:val="Table Grid"/>
    <w:basedOn w:val="7"/>
    <w:qFormat/>
    <w:uiPriority w:val="59"/>
    <w:rPr>
      <w:rFonts w:ascii="Cambria" w:hAnsi="Cambria" w:eastAsia="Cambria"/>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qFormat/>
    <w:uiPriority w:val="22"/>
    <w:rPr>
      <w:rFonts w:cs="Times New Roman"/>
      <w:b/>
    </w:rPr>
  </w:style>
  <w:style w:type="character" w:styleId="11">
    <w:name w:val="annotation reference"/>
    <w:basedOn w:val="9"/>
    <w:semiHidden/>
    <w:unhideWhenUsed/>
    <w:qFormat/>
    <w:uiPriority w:val="0"/>
    <w:rPr>
      <w:sz w:val="21"/>
      <w:szCs w:val="21"/>
    </w:rPr>
  </w:style>
  <w:style w:type="character" w:customStyle="1" w:styleId="12">
    <w:name w:val="页眉 字符"/>
    <w:basedOn w:val="9"/>
    <w:link w:val="5"/>
    <w:qFormat/>
    <w:uiPriority w:val="0"/>
    <w:rPr>
      <w:sz w:val="18"/>
      <w:szCs w:val="18"/>
    </w:rPr>
  </w:style>
  <w:style w:type="character" w:customStyle="1" w:styleId="13">
    <w:name w:val="页脚 字符"/>
    <w:basedOn w:val="9"/>
    <w:link w:val="4"/>
    <w:qFormat/>
    <w:uiPriority w:val="99"/>
    <w:rPr>
      <w:sz w:val="18"/>
      <w:szCs w:val="18"/>
    </w:rPr>
  </w:style>
  <w:style w:type="character" w:customStyle="1" w:styleId="14">
    <w:name w:val="批注文字 字符"/>
    <w:basedOn w:val="9"/>
    <w:link w:val="2"/>
    <w:qFormat/>
    <w:uiPriority w:val="0"/>
    <w:rPr>
      <w:sz w:val="24"/>
      <w:szCs w:val="24"/>
    </w:rPr>
  </w:style>
  <w:style w:type="character" w:customStyle="1" w:styleId="15">
    <w:name w:val="批注主题 字符"/>
    <w:basedOn w:val="14"/>
    <w:link w:val="6"/>
    <w:semiHidden/>
    <w:qFormat/>
    <w:uiPriority w:val="0"/>
    <w:rPr>
      <w:b/>
      <w:bCs/>
      <w:sz w:val="24"/>
      <w:szCs w:val="24"/>
    </w:rPr>
  </w:style>
  <w:style w:type="character" w:customStyle="1" w:styleId="16">
    <w:name w:val="批注框文本 字符"/>
    <w:basedOn w:val="9"/>
    <w:link w:val="3"/>
    <w:semiHidden/>
    <w:qFormat/>
    <w:uiPriority w:val="0"/>
    <w:rPr>
      <w:sz w:val="18"/>
      <w:szCs w:val="18"/>
    </w:rPr>
  </w:style>
  <w:style w:type="paragraph" w:customStyle="1" w:styleId="17">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5827</Words>
  <Characters>33183</Characters>
  <Lines>273</Lines>
  <Paragraphs>76</Paragraphs>
  <TotalTime>1</TotalTime>
  <ScaleCrop>false</ScaleCrop>
  <LinksUpToDate>false</LinksUpToDate>
  <CharactersWithSpaces>38723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2022-03-25T23:05:00Z</dcterms:created>
  <dc:creator>Sabrina Alves Fernandes</dc:creator>
  <cp:lastModifiedBy>超级喜欢粉红色</cp:lastModifiedBy>
  <dcterms:modified xsi:type="dcterms:W3CDTF">2022-04-20T07:24:14Z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E70A3ED827B749F0913962EA6B689D14</vt:lpwstr>
  </property>
</Properties>
</file>