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Radiology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73708</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LETTER TO THE EDITOR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Follow-up computed tomography scan in post-COVID-19 pneumonia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Chohan A </w:t>
      </w:r>
      <w:r>
        <w:rPr>
          <w:rFonts w:ascii="Book Antiqua" w:hAnsi="Book Antiqua" w:eastAsia="Book Antiqua" w:cs="Book Antiqua"/>
          <w:i/>
          <w:iCs/>
          <w:color w:val="000000"/>
        </w:rPr>
        <w:t>et al</w:t>
      </w:r>
      <w:r>
        <w:rPr>
          <w:rFonts w:ascii="Book Antiqua" w:hAnsi="Book Antiqua" w:eastAsia="Book Antiqua" w:cs="Book Antiqua"/>
          <w:color w:val="000000"/>
        </w:rPr>
        <w:t>. Follow-up CT scan in post COVID-19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Asad Chohan, Saiara Choudhury, Rahul Dadhwal, Abhay P Vakil, Rene Franco, Pahnwat Tonya Taweesedt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Asad Chohan, Saiara Choudhury, Rahul Dadhwal, Abhay P Vakil, Rene Franco, Pahnwat Tonya Taweesedt, </w:t>
      </w:r>
      <w:r>
        <w:rPr>
          <w:rFonts w:ascii="Book Antiqua" w:hAnsi="Book Antiqua" w:eastAsia="Book Antiqua" w:cs="Book Antiqua"/>
          <w:color w:val="000000"/>
        </w:rPr>
        <w:t>Pulmonary Medicine, Corpus Christi Medical Center, Corpus Christi, TX 78411,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Chohan A and Taweesedt PT wrote the letter; Choudhury S wrote the letter; Franco R, Dadhwal R, Vakil AP and Taweesedt PT revised the letter.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Pahnwat Tonya Taweesedt, MD, Academic Fellow, </w:t>
      </w:r>
      <w:r>
        <w:rPr>
          <w:rFonts w:ascii="Book Antiqua" w:hAnsi="Book Antiqua" w:eastAsia="Book Antiqua" w:cs="Book Antiqua"/>
          <w:color w:val="000000"/>
        </w:rPr>
        <w:t>Pulmonary Medicine, Corpus Christi Medical Center, 3315 S Alameda St, Corpus Christi, TX 78411, United States. pahnwatt@gmail.com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December 17,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February 24,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Accepted: </w:t>
      </w:r>
      <w:r>
        <w:rPr>
          <w:rFonts w:hint="eastAsia" w:ascii="Book Antiqua" w:hAnsi="Book Antiqua" w:cs="Book Antiqua"/>
          <w:bCs/>
          <w:color w:val="000000"/>
          <w:lang w:eastAsia="zh-CN"/>
        </w:rPr>
        <w:t>March 26, 2022</w:t>
      </w:r>
    </w:p>
    <w:p>
      <w:pPr>
        <w:spacing w:line="360" w:lineRule="auto"/>
        <w:jc w:val="both"/>
        <w:rPr>
          <w:rFonts w:ascii="Book Antiqua" w:hAnsi="Book Antiqua"/>
        </w:rPr>
      </w:pPr>
      <w:r>
        <w:rPr>
          <w:rFonts w:ascii="Book Antiqua" w:hAnsi="Book Antiqua" w:eastAsia="Book Antiqua" w:cs="Book Antiqua"/>
          <w:b/>
          <w:bCs/>
          <w:color w:val="000000"/>
        </w:rPr>
        <w:t>Published online:</w:t>
      </w:r>
      <w:r>
        <w:rPr>
          <w:rFonts w:hint="eastAsia" w:ascii="Book Antiqua" w:hAnsi="Book Antiqua" w:cs="Book Antiqua"/>
          <w:bCs/>
          <w:color w:val="000000"/>
          <w:lang w:eastAsia="zh-CN"/>
        </w:rPr>
        <w:t xml:space="preserve"> April 28, 2022</w:t>
      </w:r>
      <w:r>
        <w:rPr>
          <w:rFonts w:ascii="Book Antiqua" w:hAnsi="Book Antiqua" w:eastAsia="Book Antiqua" w:cs="Book Antiqua"/>
          <w:b/>
          <w:bCs/>
          <w:color w:val="000000"/>
        </w:rPr>
        <w:t xml:space="preserve"> </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 xml:space="preserve">The coronavirus disease 2019 (COVID-19) global pandemic can be a severe illness that leads to morbidity and mortality. With the increasing number of COVID-19 pneumonia survivors, several long-term changes may persist, including abnormal imaging of lung parenchyma. In addition to the clinical course, it is vital to follow up on pulmonary imaging during the post-infectious period, which is not routinely required in other common pulmonary diagnoses. </w:t>
      </w:r>
      <w:bookmarkStart w:id="0" w:name="_Hlk97534517"/>
      <w:r>
        <w:rPr>
          <w:rFonts w:ascii="Book Antiqua" w:hAnsi="Book Antiqua" w:eastAsia="Book Antiqua" w:cs="Book Antiqua"/>
          <w:color w:val="000000"/>
        </w:rPr>
        <w:t>Computed tomography</w:t>
      </w:r>
      <w:bookmarkEnd w:id="0"/>
      <w:r>
        <w:rPr>
          <w:rFonts w:ascii="Book Antiqua" w:hAnsi="Book Antiqua" w:eastAsia="Book Antiqua" w:cs="Book Antiqua"/>
          <w:color w:val="000000"/>
        </w:rPr>
        <w:t xml:space="preserve"> (CT) scan of the chest is an effective and diagnostic tool for pneumonia which gives an insight into structural abnormalities within the lungs, complications, and possible progression of the disease. Several studies have monitored COVID-19 pneumonia and its complications using serial CT chest imaging from the initial phase of infection, hospitalization, and post-discharge. Nonetheless, long-term follow-up imaging data in post-COVID-19 is still limited. We have summarized the findings utilizing a systematic review of the literature regarding COVID-19 pneumonia imaging, including long-term follow-up.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COVID-19; Pneumonia; Computed tomography; Evolution; Progression</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Chohan A, Choudhury S, Dadhwal R, Vakil AP, Franco R, Taweesedt PT. Follow-up computed tomography scan in post-COVID-19 pneumonia. 14(</w:t>
      </w:r>
      <w:r>
        <w:rPr>
          <w:rFonts w:hint="eastAsia" w:ascii="Book Antiqua" w:hAnsi="Book Antiqua" w:cs="Book Antiqua"/>
          <w:color w:val="000000"/>
          <w:lang w:eastAsia="zh-CN"/>
        </w:rPr>
        <w:t>4</w:t>
      </w:r>
      <w:r>
        <w:rPr>
          <w:rFonts w:ascii="Book Antiqua" w:hAnsi="Book Antiqua" w:eastAsia="Book Antiqua" w:cs="Book Antiqua"/>
          <w:color w:val="000000"/>
        </w:rPr>
        <w:t xml:space="preserve">): </w:t>
      </w:r>
      <w:r>
        <w:rPr>
          <w:rFonts w:hint="eastAsia" w:ascii="Book Antiqua" w:hAnsi="Book Antiqua" w:eastAsia="宋体" w:cs="Book Antiqua"/>
          <w:color w:val="000000"/>
          <w:lang w:val="en-US" w:eastAsia="zh-CN"/>
        </w:rPr>
        <w:t>104</w:t>
      </w:r>
      <w:r>
        <w:rPr>
          <w:rFonts w:ascii="Book Antiqua" w:hAnsi="Book Antiqua" w:eastAsia="Book Antiqua" w:cs="Book Antiqua"/>
          <w:color w:val="000000"/>
        </w:rPr>
        <w:t>-</w:t>
      </w:r>
      <w:r>
        <w:rPr>
          <w:rFonts w:hint="eastAsia" w:ascii="Book Antiqua" w:hAnsi="Book Antiqua" w:eastAsia="宋体" w:cs="Book Antiqua"/>
          <w:color w:val="000000"/>
          <w:lang w:val="en-US" w:eastAsia="zh-CN"/>
        </w:rPr>
        <w:t>106</w:t>
      </w:r>
      <w:r>
        <w:rPr>
          <w:rFonts w:ascii="Book Antiqua" w:hAnsi="Book Antiqua" w:eastAsia="Book Antiqua" w:cs="Book Antiqua"/>
          <w:color w:val="000000"/>
        </w:rPr>
        <w:t xml:space="preserve"> </w:t>
      </w:r>
      <w:r>
        <w:rPr>
          <w:rFonts w:ascii="Book Antiqua" w:hAnsi="Book Antiqua" w:eastAsia="Book Antiqua" w:cs="Book Antiqua"/>
          <w:b/>
          <w:bCs/>
          <w:color w:val="000000"/>
        </w:rPr>
        <w:t>URL</w:t>
      </w:r>
      <w:r>
        <w:rPr>
          <w:rFonts w:ascii="Book Antiqua" w:hAnsi="Book Antiqua" w:eastAsia="Book Antiqua" w:cs="Book Antiqua"/>
          <w:color w:val="000000"/>
        </w:rPr>
        <w:t>: https://www.wjgnet.com/1949-8470/full/v14/i</w:t>
      </w:r>
      <w:r>
        <w:rPr>
          <w:rFonts w:hint="eastAsia" w:ascii="Book Antiqua" w:hAnsi="Book Antiqua" w:cs="Book Antiqua"/>
          <w:color w:val="000000"/>
          <w:lang w:eastAsia="zh-CN"/>
        </w:rPr>
        <w:t>4</w:t>
      </w:r>
      <w:r>
        <w:rPr>
          <w:rFonts w:ascii="Book Antiqua" w:hAnsi="Book Antiqua" w:eastAsia="Book Antiqua" w:cs="Book Antiqua"/>
          <w:color w:val="000000"/>
        </w:rPr>
        <w:t>/</w:t>
      </w:r>
      <w:r>
        <w:rPr>
          <w:rFonts w:hint="eastAsia" w:ascii="Book Antiqua" w:hAnsi="Book Antiqua" w:eastAsia="宋体" w:cs="Book Antiqua"/>
          <w:color w:val="000000"/>
          <w:lang w:val="en-US" w:eastAsia="zh-CN"/>
        </w:rPr>
        <w:t>104</w:t>
      </w:r>
      <w:r>
        <w:rPr>
          <w:rFonts w:ascii="Book Antiqua" w:hAnsi="Book Antiqua" w:eastAsia="Book Antiqua" w:cs="Book Antiqua"/>
          <w:color w:val="000000"/>
        </w:rPr>
        <w:t xml:space="preserve">.htm </w:t>
      </w:r>
    </w:p>
    <w:p>
      <w:pPr>
        <w:spacing w:line="360" w:lineRule="auto"/>
        <w:jc w:val="both"/>
        <w:rPr>
          <w:rFonts w:ascii="Book Antiqua" w:hAnsi="Book Antiqua"/>
        </w:rPr>
      </w:pPr>
      <w:r>
        <w:rPr>
          <w:rFonts w:ascii="Book Antiqua" w:hAnsi="Book Antiqua" w:eastAsia="Book Antiqua" w:cs="Book Antiqua"/>
          <w:b/>
          <w:bCs/>
          <w:color w:val="000000"/>
        </w:rPr>
        <w:t>DOI</w:t>
      </w:r>
      <w:r>
        <w:rPr>
          <w:rFonts w:ascii="Book Antiqua" w:hAnsi="Book Antiqua" w:eastAsia="Book Antiqua" w:cs="Book Antiqua"/>
          <w:color w:val="000000"/>
        </w:rPr>
        <w:t>: https://dx.doi.org/10.4329/wjr.v14.i</w:t>
      </w:r>
      <w:r>
        <w:rPr>
          <w:rFonts w:hint="eastAsia" w:ascii="Book Antiqua" w:hAnsi="Book Antiqua" w:cs="Book Antiqua"/>
          <w:color w:val="000000"/>
          <w:lang w:eastAsia="zh-CN"/>
        </w:rPr>
        <w:t>4</w:t>
      </w:r>
      <w:r>
        <w:rPr>
          <w:rFonts w:ascii="Book Antiqua" w:hAnsi="Book Antiqua" w:eastAsia="Book Antiqua" w:cs="Book Antiqua"/>
          <w:color w:val="000000"/>
        </w:rPr>
        <w:t>.</w:t>
      </w:r>
      <w:r>
        <w:rPr>
          <w:rFonts w:hint="eastAsia" w:ascii="Book Antiqua" w:hAnsi="Book Antiqua" w:eastAsia="宋体" w:cs="Book Antiqua"/>
          <w:color w:val="000000"/>
          <w:lang w:val="en-US" w:eastAsia="zh-CN"/>
        </w:rPr>
        <w:t>104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Changes seen in computed tomography imaging related to coronavirus disease 2019 (COVID-19) pneumonia appear to progress and peak around two weeks post-hospitalization. Overall improvement and complete resolution of COVID-19 pneumonia-related changes imaging can be seen in the majority of the patients with long-term follow-up. We have summarized the findings utilizing a systematic review of the literature regarding COVID-19 pneumonia imaging, including long-term follow-up.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TO THE EDITOR</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We read the article titled “Review on radiological evolution of coronavirus disease 2019 (COVID-19) pneumonia using computed tomography” by Casartelli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 xml:space="preserve">[1] </w:t>
      </w:r>
      <w:r>
        <w:rPr>
          <w:rFonts w:ascii="Book Antiqua" w:hAnsi="Book Antiqua" w:eastAsia="Book Antiqua" w:cs="Book Antiqua"/>
          <w:color w:val="000000"/>
          <w:highlight w:val="none"/>
        </w:rPr>
        <w:t xml:space="preserve">with keen interest. A chest computed tomography </w:t>
      </w:r>
      <w:bookmarkStart w:id="5" w:name="_GoBack"/>
      <w:bookmarkEnd w:id="5"/>
      <w:r>
        <w:rPr>
          <w:rFonts w:ascii="Book Antiqua" w:hAnsi="Book Antiqua" w:eastAsia="Book Antiqua" w:cs="Book Antiqua"/>
          <w:color w:val="000000"/>
          <w:highlight w:val="none"/>
        </w:rPr>
        <w:t>(CT) scan can be a useful diagnostic tool in a high-prevalence or pandemic situation, especially with clinical correlation. Risk stratification and assessing the progression of disease are also effective uses of CT chest imaging in COVID-19 patients. Given the global spread of COVID-19 and the magnitude of both direct and indirect effects of the disease, a CT scan of the chest can help in long-term prognostication in patients who survive.</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Multiple studies have concluded that with disease progression, certain initial CT findings in COVID-19 can evolve with a specific pattern and regularity. COVID-19 pneumonia-related changes seen on CT chest imaging typically progress rapidly, plateau, and subsequently start to resolve thereafter. Changes in CT imaging vary widely from six to seventeen days but typically stabilize within the first two weeks of COVID-19 pneumonia. In the short term, some of the features seem to recur, with scans mostly showing consolidations and ground-glass opacities (GGO). Besides GGO, chest CT characteristics that indicate the reparation, including subpleural, linear opacities, and fibrotic changes, were also reported. A sign termed “fishing net on trees” has also been reported. Some reports have also mentioned interseptal thickening and fibrous streaks</w:t>
      </w:r>
      <w:r>
        <w:rPr>
          <w:rFonts w:ascii="Book Antiqua" w:hAnsi="Book Antiqua" w:eastAsia="Book Antiqua" w:cs="Book Antiqua"/>
          <w:color w:val="000000"/>
          <w:vertAlign w:val="superscript"/>
        </w:rPr>
        <w:t>[1,2]</w:t>
      </w:r>
      <w:r>
        <w:rPr>
          <w:rFonts w:ascii="Book Antiqua" w:hAnsi="Book Antiqua" w:eastAsia="Book Antiqua" w:cs="Book Antiqua"/>
          <w:color w:val="000000"/>
        </w:rPr>
        <w:t>. Three weeks post-discharge, GGO and fibrous stripes have been seen, while after four weeks, mostly linear opacities remained. The “tinted” sign and bronchovascular bundle distortion have also been mentioned. The bronchovascular bundle distortion could possibly be a result of inflammatory destruction or subsegmental atelectasis. The latter two signs mentioned above may signify the gradual resolution of inflammation with re-expansion of alveoli based on previous reports. This review included reports with follow-up durations of up to four months</w:t>
      </w:r>
      <w:r>
        <w:rPr>
          <w:rFonts w:ascii="Book Antiqua" w:hAnsi="Book Antiqua" w:eastAsia="Book Antiqua" w:cs="Book Antiqua"/>
          <w:color w:val="000000"/>
          <w:vertAlign w:val="superscript"/>
        </w:rPr>
        <w:t>[1]</w:t>
      </w:r>
      <w:r>
        <w:rPr>
          <w:rFonts w:ascii="Book Antiqua" w:hAnsi="Book Antiqua" w:eastAsia="Book Antiqua" w:cs="Book Antiqua"/>
          <w:color w:val="000000"/>
        </w:rPr>
        <w:t>.</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 xml:space="preserve">In a study conducted by Pan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w:t>
      </w:r>
      <w:r>
        <w:rPr>
          <w:rFonts w:ascii="Book Antiqua" w:hAnsi="Book Antiqua" w:eastAsia="Book Antiqua" w:cs="Book Antiqua"/>
          <w:color w:val="000000"/>
        </w:rPr>
        <w:t>, two hundred nine patients with COVID-19 infection, who had been admitted to the hospital, undertook serial chest CT at three, seven, and twelve months. One-year CT chest follow-up revealed residual linear lesions, multiple areas of reticular opacities/cysts, and complete resolution in 12%, 13%, and 75%, respectively</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In another study conducted by Guan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w:t>
      </w:r>
      <w:r>
        <w:rPr>
          <w:rFonts w:ascii="Book Antiqua" w:hAnsi="Book Antiqua" w:eastAsia="Book Antiqua" w:cs="Book Antiqua"/>
          <w:color w:val="000000"/>
        </w:rPr>
        <w:t>, CT results of 69 patients who had COVID-19 infection were assessed in three different phases: Initial CT, peak CT, and CT prior to discharge. Peak CT in this study was the highest attenuation of the density without alteration in size during COVID-19 progression or the maximal size of lesion on CT which is the most common pattern. The intervals were closely correlated to lobe scores and CT appearances; the higher the lobe score, the longer the intervals. The lobe score was calculated according to the percentage of the lesion in one lobe with the zero equals to no lesion, one equals more than 0% to less than 25%, two equals 25% to less than 50%, three equals 50% to less than 75%, and four equals to 75% or more. While the utilization of lobe score may be beneficial, further studies are necessary to assess its effectiveness on a larger scale.</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The duration of initial interval is inversely correlated with the amount of consolidations, air bronchograms, and irregular lines</w:t>
      </w:r>
      <w:r>
        <w:rPr>
          <w:rFonts w:ascii="Book Antiqua" w:hAnsi="Book Antiqua" w:eastAsia="Book Antiqua" w:cs="Book Antiqua"/>
          <w:color w:val="000000"/>
          <w:vertAlign w:val="superscript"/>
        </w:rPr>
        <w:t>[3]</w:t>
      </w:r>
      <w:r>
        <w:rPr>
          <w:rFonts w:ascii="Book Antiqua" w:hAnsi="Book Antiqua" w:eastAsia="Book Antiqua" w:cs="Book Antiqua"/>
          <w:color w:val="000000"/>
        </w:rPr>
        <w:t>. The intervals will be longer if irregular and reticular lines are seen on the peak CT and pre-discharge CT. After that, COVID-19 pneumonia lesions on the CT chest may resolve completely, while GGO, irregular and reticular lines may remain</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In a similar study conducted by Chen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w:t>
      </w:r>
      <w:r>
        <w:rPr>
          <w:rFonts w:ascii="Book Antiqua" w:hAnsi="Book Antiqua" w:eastAsia="Book Antiqua" w:cs="Book Antiqua"/>
          <w:color w:val="000000"/>
        </w:rPr>
        <w:t>, 41 patients were followed with chest CT during the hospital stay and at two</w:t>
      </w:r>
      <w:r>
        <w:rPr>
          <w:rFonts w:hint="eastAsia" w:ascii="MS Gothic" w:hAnsi="MS Gothic" w:eastAsia="MS Gothic" w:cs="MS Gothic"/>
          <w:color w:val="000000"/>
        </w:rPr>
        <w:t> </w:t>
      </w:r>
      <w:r>
        <w:rPr>
          <w:rFonts w:ascii="Book Antiqua" w:hAnsi="Book Antiqua" w:eastAsia="Book Antiqua" w:cs="Book Antiqua"/>
          <w:color w:val="000000"/>
        </w:rPr>
        <w:t>weeks, one</w:t>
      </w:r>
      <w:r>
        <w:rPr>
          <w:rFonts w:ascii="Book Antiqua" w:hAnsi="Book Antiqua" w:cs="MS Gothic"/>
          <w:color w:val="000000"/>
          <w:lang w:eastAsia="zh-CN"/>
        </w:rPr>
        <w:t xml:space="preserve"> </w:t>
      </w:r>
      <w:r>
        <w:rPr>
          <w:rFonts w:ascii="Book Antiqua" w:hAnsi="Book Antiqua" w:eastAsia="Book Antiqua" w:cs="Book Antiqua"/>
          <w:color w:val="000000"/>
        </w:rPr>
        <w:t>month, three</w:t>
      </w:r>
      <w:r>
        <w:rPr>
          <w:rFonts w:hint="eastAsia" w:ascii="MS Gothic" w:hAnsi="MS Gothic" w:eastAsia="MS Gothic" w:cs="MS Gothic"/>
          <w:color w:val="000000"/>
        </w:rPr>
        <w:t> </w:t>
      </w:r>
      <w:r>
        <w:rPr>
          <w:rFonts w:ascii="Book Antiqua" w:hAnsi="Book Antiqua" w:eastAsia="Book Antiqua" w:cs="Book Antiqua"/>
          <w:color w:val="000000"/>
        </w:rPr>
        <w:t>months, six</w:t>
      </w:r>
      <w:r>
        <w:rPr>
          <w:rFonts w:hint="eastAsia" w:ascii="MS Gothic" w:hAnsi="MS Gothic" w:eastAsia="MS Gothic" w:cs="MS Gothic"/>
          <w:color w:val="000000"/>
        </w:rPr>
        <w:t> </w:t>
      </w:r>
      <w:r>
        <w:rPr>
          <w:rFonts w:ascii="Book Antiqua" w:hAnsi="Book Antiqua" w:eastAsia="Book Antiqua" w:cs="Book Antiqua"/>
          <w:color w:val="000000"/>
        </w:rPr>
        <w:t>months, and one year after discharge. The study concluded that patients showed continuous improvement on lung CT scans during the 1-year follow-up time; however, residual lesions (GGO and reticular patterns) may still be found, which are associated with lung volume parameters and risk of developing lung opacities</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Liu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retrospectively evaluated chest CT follow-ups on 51 patients with COVID-19 performed on the day prior to discharge, two weeks post-discharge, and four weeks post-discharge. The results of this study indicated that changes seen were significantly reduced, including density reduction on follow-up scans as compared to the scans done at the time of discharge.</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 xml:space="preserve">Unlike the systematic review by Casartelli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w:t>
      </w:r>
      <w:r>
        <w:rPr>
          <w:rFonts w:ascii="Book Antiqua" w:hAnsi="Book Antiqua" w:eastAsia="Book Antiqua" w:cs="Book Antiqua"/>
          <w:color w:val="000000"/>
        </w:rPr>
        <w:t>, these results showed that 64.7% of discharged patients progressed to complete resolution of previously seen lung lesions at 4-wk follow-up, indicating that damaged lung tissue could heal in patients with COVID-19 pneumonia</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In another study conducted by Liu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w:t>
      </w:r>
      <w:r>
        <w:rPr>
          <w:rFonts w:ascii="Book Antiqua" w:hAnsi="Book Antiqua" w:eastAsia="Book Antiqua" w:cs="Book Antiqua"/>
          <w:color w:val="000000"/>
        </w:rPr>
        <w:t>, 41 patients diagnosed with COVID-19 were followed up after seven months with chest CT and cardiopulmonary exercise testing. The predominant chest CT patterns at seven months included parenchymal bands (41%), interlobular septal thickening (32%), and traction bronchiectasis (29%). Sixty-one percent of the patients achieved complete radiological resolution, while 29% went on to develop pulmonary fibrosis. Those patients who went on to develop fibrotic lung disease appeared to have an increased risk due to older age and comorbid conditions</w:t>
      </w:r>
      <w:r>
        <w:rPr>
          <w:rFonts w:ascii="Book Antiqua" w:hAnsi="Book Antiqua" w:eastAsia="Book Antiqua" w:cs="Book Antiqua"/>
          <w:color w:val="000000"/>
          <w:vertAlign w:val="superscript"/>
        </w:rPr>
        <w:t>[7]</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While CT scan of the chest is an effective tool in COVID-19 patients, the side effects to patients of repeat irradiation need to be kept in mind and the use of low dose CT to follow up these patients can be considered. In conclusion, CT scans of the chest are an effective diagnostic tool which can provide insight into the structural pathology of pulmonary disease, its progression, and its association with long-term effects. Future studies should be utilized to define its utility in determining long-term progression in patients with COVID-19 pneumonia.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1" w:name="OLE_LINK19"/>
      <w:bookmarkStart w:id="2" w:name="OLE_LINK20"/>
      <w:r>
        <w:rPr>
          <w:rFonts w:ascii="Book Antiqua" w:hAnsi="Book Antiqua" w:eastAsia="Book Antiqua" w:cs="Book Antiqua"/>
          <w:color w:val="000000"/>
        </w:rPr>
        <w:t xml:space="preserve">1 </w:t>
      </w:r>
      <w:r>
        <w:rPr>
          <w:rFonts w:ascii="Book Antiqua" w:hAnsi="Book Antiqua" w:eastAsia="Book Antiqua" w:cs="Book Antiqua"/>
          <w:b/>
          <w:bCs/>
          <w:color w:val="000000"/>
        </w:rPr>
        <w:t>Casartelli C</w:t>
      </w:r>
      <w:r>
        <w:rPr>
          <w:rFonts w:ascii="Book Antiqua" w:hAnsi="Book Antiqua" w:eastAsia="Book Antiqua" w:cs="Book Antiqua"/>
          <w:color w:val="000000"/>
        </w:rPr>
        <w:t xml:space="preserve">, Perrone F, Balbi M, Alfieri V, Milanese G, Buti S, Silva M, Sverzellati N, Bersanelli M. Review on radiological evolution of COVID-19 pneumonia using computed tomography. </w:t>
      </w:r>
      <w:r>
        <w:rPr>
          <w:rFonts w:ascii="Book Antiqua" w:hAnsi="Book Antiqua" w:eastAsia="Book Antiqua" w:cs="Book Antiqua"/>
          <w:i/>
          <w:iCs/>
          <w:color w:val="000000"/>
        </w:rPr>
        <w:t>World J Radiol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13</w:t>
      </w:r>
      <w:r>
        <w:rPr>
          <w:rFonts w:ascii="Book Antiqua" w:hAnsi="Book Antiqua" w:eastAsia="Book Antiqua" w:cs="Book Antiqua"/>
          <w:color w:val="000000"/>
        </w:rPr>
        <w:t>: 294-306 [PMID: 34630915 DOI: 10.4329/wjr.v13.i9.294]</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Mejía-Zambrano H</w:t>
      </w:r>
      <w:r>
        <w:rPr>
          <w:rFonts w:ascii="Book Antiqua" w:hAnsi="Book Antiqua" w:eastAsia="Book Antiqua" w:cs="Book Antiqua"/>
          <w:color w:val="000000"/>
        </w:rPr>
        <w:t xml:space="preserve">. Radiological and functional pulmonary complications in patients recovered from COVID-19. </w:t>
      </w:r>
      <w:r>
        <w:rPr>
          <w:rFonts w:ascii="Book Antiqua" w:hAnsi="Book Antiqua" w:eastAsia="Book Antiqua" w:cs="Book Antiqua"/>
          <w:i/>
          <w:iCs/>
          <w:color w:val="000000"/>
        </w:rPr>
        <w:t>Microb Infect Chemother</w:t>
      </w:r>
      <w:r>
        <w:rPr>
          <w:rFonts w:ascii="Book Antiqua" w:hAnsi="Book Antiqua" w:eastAsia="Book Antiqua" w:cs="Book Antiqua"/>
          <w:color w:val="000000"/>
        </w:rPr>
        <w:t xml:space="preserve"> 2021 [DOI: 10.54034/mic.e1217]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 </w:t>
      </w:r>
      <w:r>
        <w:rPr>
          <w:rFonts w:ascii="Book Antiqua" w:hAnsi="Book Antiqua" w:eastAsia="Book Antiqua" w:cs="Book Antiqua"/>
          <w:b/>
          <w:bCs/>
          <w:color w:val="000000"/>
        </w:rPr>
        <w:t>Pan F</w:t>
      </w:r>
      <w:r>
        <w:rPr>
          <w:rFonts w:ascii="Book Antiqua" w:hAnsi="Book Antiqua" w:eastAsia="Book Antiqua" w:cs="Book Antiqua"/>
          <w:color w:val="000000"/>
        </w:rPr>
        <w:t xml:space="preserve">, Yang L, Liang B, Ye T, Li L, Li L, Liu D, Wang J, Hesketh RL, Zheng C. Chest CT Patterns from Diagnosis to 1 Year of Follow-up in Patients with COVID-19. </w:t>
      </w:r>
      <w:r>
        <w:rPr>
          <w:rFonts w:ascii="Book Antiqua" w:hAnsi="Book Antiqua" w:eastAsia="Book Antiqua" w:cs="Book Antiqua"/>
          <w:i/>
          <w:iCs/>
          <w:color w:val="000000"/>
        </w:rPr>
        <w:t>Radiology</w:t>
      </w:r>
      <w:r>
        <w:rPr>
          <w:rFonts w:ascii="Book Antiqua" w:hAnsi="Book Antiqua" w:eastAsia="Book Antiqua" w:cs="Book Antiqua"/>
          <w:color w:val="000000"/>
        </w:rPr>
        <w:t xml:space="preserve"> 2022; </w:t>
      </w:r>
      <w:r>
        <w:rPr>
          <w:rFonts w:ascii="Book Antiqua" w:hAnsi="Book Antiqua" w:eastAsia="Book Antiqua" w:cs="Book Antiqua"/>
          <w:b/>
          <w:bCs/>
          <w:color w:val="000000"/>
        </w:rPr>
        <w:t>302</w:t>
      </w:r>
      <w:r>
        <w:rPr>
          <w:rFonts w:ascii="Book Antiqua" w:hAnsi="Book Antiqua" w:eastAsia="Book Antiqua" w:cs="Book Antiqua"/>
          <w:color w:val="000000"/>
        </w:rPr>
        <w:t>: 709-719 [PMID: 34609153 DOI: 10.1148/radiol.2021211199]</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Guan CS</w:t>
      </w:r>
      <w:r>
        <w:rPr>
          <w:rFonts w:ascii="Book Antiqua" w:hAnsi="Book Antiqua" w:eastAsia="Book Antiqua" w:cs="Book Antiqua"/>
          <w:color w:val="000000"/>
        </w:rPr>
        <w:t xml:space="preserve">, Lv ZB, Li JJ, Du YN, Chen H, Cui T, Guo N, Chen BD, Xie RM. CT appearances, patterns of progression, and follow-up of COVID-19: evaluation on thin-section CT. </w:t>
      </w:r>
      <w:r>
        <w:rPr>
          <w:rFonts w:ascii="Book Antiqua" w:hAnsi="Book Antiqua" w:eastAsia="Book Antiqua" w:cs="Book Antiqua"/>
          <w:i/>
          <w:iCs/>
          <w:color w:val="000000"/>
        </w:rPr>
        <w:t>Insights Imaging</w:t>
      </w:r>
      <w:r>
        <w:rPr>
          <w:rFonts w:ascii="Book Antiqua" w:hAnsi="Book Antiqua" w:eastAsia="Book Antiqua" w:cs="Book Antiqua"/>
          <w:color w:val="000000"/>
        </w:rPr>
        <w:t xml:space="preserve"> 2021; </w:t>
      </w:r>
      <w:r>
        <w:rPr>
          <w:rFonts w:ascii="Book Antiqua" w:hAnsi="Book Antiqua" w:eastAsia="Book Antiqua" w:cs="Book Antiqua"/>
          <w:b/>
          <w:bCs/>
          <w:color w:val="000000"/>
        </w:rPr>
        <w:t>12</w:t>
      </w:r>
      <w:r>
        <w:rPr>
          <w:rFonts w:ascii="Book Antiqua" w:hAnsi="Book Antiqua" w:eastAsia="Book Antiqua" w:cs="Book Antiqua"/>
          <w:color w:val="000000"/>
        </w:rPr>
        <w:t>: 73 [PMID: 34110540 DOI: 10.1186/s13244-021-01019-0]</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Chen Y</w:t>
      </w:r>
      <w:r>
        <w:rPr>
          <w:rFonts w:ascii="Book Antiqua" w:hAnsi="Book Antiqua" w:eastAsia="Book Antiqua" w:cs="Book Antiqua"/>
          <w:color w:val="000000"/>
        </w:rPr>
        <w:t xml:space="preserve">, Ding C, Yu L, Guo W, Feng X, Yu L, Su J, Xu T, Ren C, Shi D, Wu W, Yi P, Liu J, Tao J, Lang G, Li Y, Xu M, Sheng J, Li L, Xu K. One-year follow-up of chest CT findings in patients after SARS-CoV-2 infection. </w:t>
      </w:r>
      <w:r>
        <w:rPr>
          <w:rFonts w:ascii="Book Antiqua" w:hAnsi="Book Antiqua" w:eastAsia="Book Antiqua" w:cs="Book Antiqua"/>
          <w:i/>
          <w:iCs/>
          <w:color w:val="000000"/>
        </w:rPr>
        <w:t>BMC Med</w:t>
      </w:r>
      <w:r>
        <w:rPr>
          <w:rFonts w:ascii="Book Antiqua" w:hAnsi="Book Antiqua" w:eastAsia="Book Antiqua" w:cs="Book Antiqua"/>
          <w:color w:val="000000"/>
        </w:rPr>
        <w:t xml:space="preserve"> 2021; </w:t>
      </w:r>
      <w:r>
        <w:rPr>
          <w:rFonts w:ascii="Book Antiqua" w:hAnsi="Book Antiqua" w:eastAsia="Book Antiqua" w:cs="Book Antiqua"/>
          <w:b/>
          <w:bCs/>
          <w:color w:val="000000"/>
        </w:rPr>
        <w:t>19</w:t>
      </w:r>
      <w:r>
        <w:rPr>
          <w:rFonts w:ascii="Book Antiqua" w:hAnsi="Book Antiqua" w:eastAsia="Book Antiqua" w:cs="Book Antiqua"/>
          <w:color w:val="000000"/>
        </w:rPr>
        <w:t>: 191 [PMID: 34365975 DOI: 10.1186/s12916-021-02056-8]</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Liu C</w:t>
      </w:r>
      <w:r>
        <w:rPr>
          <w:rFonts w:ascii="Book Antiqua" w:hAnsi="Book Antiqua" w:eastAsia="Book Antiqua" w:cs="Book Antiqua"/>
          <w:color w:val="000000"/>
        </w:rPr>
        <w:t xml:space="preserve">, Ye L, Xia R, Zheng X, Yuan C, Wang Z, Lin R, Shi D, Gao Y, Yao J, Sun Q, Wang X, Jin M. Chest Computed Tomography and Clinical Follow-Up of Discharged Patients with COVID-19 in Wenzhou City, Zhejiang, China. </w:t>
      </w:r>
      <w:r>
        <w:rPr>
          <w:rFonts w:ascii="Book Antiqua" w:hAnsi="Book Antiqua" w:eastAsia="Book Antiqua" w:cs="Book Antiqua"/>
          <w:i/>
          <w:iCs/>
          <w:color w:val="000000"/>
        </w:rPr>
        <w:t>Ann Am Thorac Soc</w:t>
      </w:r>
      <w:r>
        <w:rPr>
          <w:rFonts w:ascii="Book Antiqua" w:hAnsi="Book Antiqua" w:eastAsia="Book Antiqua" w:cs="Book Antiqua"/>
          <w:color w:val="000000"/>
        </w:rPr>
        <w:t xml:space="preserve"> 2020; </w:t>
      </w:r>
      <w:r>
        <w:rPr>
          <w:rFonts w:ascii="Book Antiqua" w:hAnsi="Book Antiqua" w:eastAsia="Book Antiqua" w:cs="Book Antiqua"/>
          <w:b/>
          <w:bCs/>
          <w:color w:val="000000"/>
        </w:rPr>
        <w:t>17</w:t>
      </w:r>
      <w:r>
        <w:rPr>
          <w:rFonts w:ascii="Book Antiqua" w:hAnsi="Book Antiqua" w:eastAsia="Book Antiqua" w:cs="Book Antiqua"/>
          <w:color w:val="000000"/>
        </w:rPr>
        <w:t>: 1231-1237 [PMID: 32692945 DOI: 10.1513/AnnalsATS.202004-324OC]</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Liu M</w:t>
      </w:r>
      <w:r>
        <w:rPr>
          <w:rFonts w:ascii="Book Antiqua" w:hAnsi="Book Antiqua" w:eastAsia="Book Antiqua" w:cs="Book Antiqua"/>
          <w:color w:val="000000"/>
        </w:rPr>
        <w:t xml:space="preserve">, Lv F, Huang Y, Xiao K. Follow-Up Study of the Chest CT Characteristics of COVID-19 Survivors Seven Months After Recovery. </w:t>
      </w:r>
      <w:r>
        <w:rPr>
          <w:rFonts w:ascii="Book Antiqua" w:hAnsi="Book Antiqua" w:eastAsia="Book Antiqua" w:cs="Book Antiqua"/>
          <w:i/>
          <w:iCs/>
          <w:color w:val="000000"/>
        </w:rPr>
        <w:t>Front Med (Lausanne)</w:t>
      </w:r>
      <w:r>
        <w:rPr>
          <w:rFonts w:ascii="Book Antiqua" w:hAnsi="Book Antiqua" w:eastAsia="Book Antiqua" w:cs="Book Antiqua"/>
          <w:color w:val="000000"/>
        </w:rPr>
        <w:t xml:space="preserve"> 2021; </w:t>
      </w:r>
      <w:r>
        <w:rPr>
          <w:rFonts w:ascii="Book Antiqua" w:hAnsi="Book Antiqua" w:eastAsia="Book Antiqua" w:cs="Book Antiqua"/>
          <w:b/>
          <w:bCs/>
          <w:color w:val="000000"/>
        </w:rPr>
        <w:t>8</w:t>
      </w:r>
      <w:r>
        <w:rPr>
          <w:rFonts w:ascii="Book Antiqua" w:hAnsi="Book Antiqua" w:eastAsia="Book Antiqua" w:cs="Book Antiqua"/>
          <w:color w:val="000000"/>
        </w:rPr>
        <w:t>: 636298 [PMID: 33732719 DOI: 10.3389/fmed.2021.636298]</w:t>
      </w:r>
    </w:p>
    <w:bookmarkEnd w:id="1"/>
    <w:bookmarkEnd w:id="2"/>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All authors declare no conflicts-of-interest related to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rPr>
        <w:t>Unsolicited article</w:t>
      </w:r>
      <w:r>
        <w:rPr>
          <w:rFonts w:ascii="Book Antiqua" w:hAnsi="Book Antiqua" w:eastAsia="Book Antiqua" w:cs="Book Antiqua"/>
          <w:color w:val="000000"/>
        </w:rPr>
        <w:t>;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December 17,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February 21,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hint="eastAsia" w:ascii="Book Antiqua" w:hAnsi="Book Antiqua" w:cs="Book Antiqua"/>
          <w:bCs/>
          <w:color w:val="000000"/>
          <w:lang w:eastAsia="zh-CN"/>
        </w:rPr>
        <w:t>March 26,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微软雅黑" w:cs="宋体"/>
        </w:rPr>
        <w:t>Radiology, nuclear medicine and medical imaging</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A</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Arteaga-Livias K, Peru; Naswhan AJ, Qatar; Valencia GA, Peru</w:t>
      </w:r>
      <w:r>
        <w:rPr>
          <w:rFonts w:ascii="Book Antiqua" w:hAnsi="Book Antiqua" w:eastAsia="Book Antiqua" w:cs="Book Antiqua"/>
          <w:b/>
          <w:color w:val="000000"/>
        </w:rPr>
        <w:t xml:space="preserve"> S-Editor: </w:t>
      </w:r>
      <w:bookmarkStart w:id="3" w:name="OLE_LINK22"/>
      <w:bookmarkStart w:id="4" w:name="OLE_LINK21"/>
      <w:r>
        <w:rPr>
          <w:rFonts w:ascii="Book Antiqua" w:hAnsi="Book Antiqua" w:eastAsia="Book Antiqua" w:cs="Book Antiqua"/>
          <w:color w:val="000000"/>
        </w:rPr>
        <w:t>Wang JJ</w:t>
      </w:r>
      <w:bookmarkEnd w:id="3"/>
      <w:bookmarkEnd w:id="4"/>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ascii="Book Antiqua" w:hAnsi="Book Antiqua" w:eastAsia="Book Antiqua" w:cs="Book Antiqua"/>
          <w:color w:val="000000"/>
        </w:rPr>
        <w:t>Wang JJ</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color w:val="00000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color w:val="000000" w:themeColor="text1"/>
        <w:sz w:val="24"/>
        <w:szCs w:val="24"/>
        <w14:textFill>
          <w14:solidFill>
            <w14:schemeClr w14:val="tx1"/>
          </w14:solidFill>
        </w14:textFill>
      </w:rPr>
    </w:pPr>
    <w:r>
      <w:rPr>
        <w:rFonts w:ascii="Book Antiqua" w:hAnsi="Book Antiqua"/>
        <w:color w:val="4F81BD" w:themeColor="accent1"/>
        <w:sz w:val="24"/>
        <w:szCs w:val="24"/>
        <w:lang w:val="zh-CN" w:eastAsia="zh-CN"/>
        <w14:textFill>
          <w14:solidFill>
            <w14:schemeClr w14:val="accent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8</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8</w:t>
    </w:r>
    <w:r>
      <w:rPr>
        <w:rFonts w:ascii="Book Antiqua" w:hAnsi="Book Antiqua"/>
        <w:color w:val="000000" w:themeColor="text1"/>
        <w:sz w:val="24"/>
        <w:szCs w:val="24"/>
        <w14:textFill>
          <w14:solidFill>
            <w14:schemeClr w14:val="tx1"/>
          </w14:solidFill>
        </w14:textFill>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S3NDEzNja2MLEwMLZU0lEKTi0uzszPAykwqgUAoAZyoywAAAA="/>
  </w:docVars>
  <w:rsids>
    <w:rsidRoot w:val="00A77B3E"/>
    <w:rsid w:val="00003C59"/>
    <w:rsid w:val="0009410C"/>
    <w:rsid w:val="000A2913"/>
    <w:rsid w:val="000E59BA"/>
    <w:rsid w:val="0014144C"/>
    <w:rsid w:val="001B4909"/>
    <w:rsid w:val="002702FF"/>
    <w:rsid w:val="002D2426"/>
    <w:rsid w:val="00366A75"/>
    <w:rsid w:val="003D475A"/>
    <w:rsid w:val="00407CA0"/>
    <w:rsid w:val="0045490F"/>
    <w:rsid w:val="0049014C"/>
    <w:rsid w:val="004B730B"/>
    <w:rsid w:val="004F2F95"/>
    <w:rsid w:val="004F6D23"/>
    <w:rsid w:val="005152E1"/>
    <w:rsid w:val="00596536"/>
    <w:rsid w:val="006646E0"/>
    <w:rsid w:val="00757C04"/>
    <w:rsid w:val="00791646"/>
    <w:rsid w:val="00851FE1"/>
    <w:rsid w:val="008623B8"/>
    <w:rsid w:val="00865204"/>
    <w:rsid w:val="0092762B"/>
    <w:rsid w:val="0093532A"/>
    <w:rsid w:val="009C55FC"/>
    <w:rsid w:val="009C6BA0"/>
    <w:rsid w:val="009D2282"/>
    <w:rsid w:val="00A77B3E"/>
    <w:rsid w:val="00AA4F26"/>
    <w:rsid w:val="00AE5E9D"/>
    <w:rsid w:val="00B35C78"/>
    <w:rsid w:val="00C71E6D"/>
    <w:rsid w:val="00C941A1"/>
    <w:rsid w:val="00CA2A55"/>
    <w:rsid w:val="00D13F28"/>
    <w:rsid w:val="00E11B90"/>
    <w:rsid w:val="00ED6ADF"/>
    <w:rsid w:val="00F02C92"/>
    <w:rsid w:val="00FB3465"/>
    <w:rsid w:val="00FE494F"/>
    <w:rsid w:val="15080C4C"/>
    <w:rsid w:val="471A14EF"/>
    <w:rsid w:val="4B367719"/>
    <w:rsid w:val="4E5A52AA"/>
    <w:rsid w:val="58B410F7"/>
    <w:rsid w:val="5B6E55BD"/>
    <w:rsid w:val="62620EA5"/>
    <w:rsid w:val="66A71D49"/>
    <w:rsid w:val="6E237691"/>
    <w:rsid w:val="72A11576"/>
    <w:rsid w:val="73927111"/>
    <w:rsid w:val="796B0FC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8"/>
    <w:unhideWhenUsed/>
    <w:uiPriority w:val="99"/>
    <w:pPr>
      <w:tabs>
        <w:tab w:val="center" w:pos="4153"/>
        <w:tab w:val="right" w:pos="8306"/>
      </w:tabs>
      <w:snapToGrid w:val="0"/>
    </w:pPr>
    <w:rPr>
      <w:sz w:val="18"/>
      <w:szCs w:val="18"/>
    </w:rPr>
  </w:style>
  <w:style w:type="paragraph" w:styleId="4">
    <w:name w:val="header"/>
    <w:basedOn w:val="1"/>
    <w:link w:val="7"/>
    <w:unhideWhenUsed/>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sz w:val="18"/>
      <w:szCs w:val="18"/>
    </w:rPr>
  </w:style>
  <w:style w:type="character" w:customStyle="1" w:styleId="8">
    <w:name w:val="页脚 Char"/>
    <w:basedOn w:val="6"/>
    <w:link w:val="3"/>
    <w:qFormat/>
    <w:uiPriority w:val="99"/>
    <w:rPr>
      <w:sz w:val="18"/>
      <w:szCs w:val="18"/>
    </w:rPr>
  </w:style>
  <w:style w:type="paragraph" w:customStyle="1" w:styleId="9">
    <w:name w:val="Revision"/>
    <w:hidden/>
    <w:semiHidden/>
    <w:uiPriority w:val="99"/>
    <w:rPr>
      <w:rFonts w:ascii="Times New Roman" w:hAnsi="Times New Roman" w:cs="Times New Roman" w:eastAsiaTheme="minorEastAsia"/>
      <w:sz w:val="24"/>
      <w:szCs w:val="24"/>
      <w:lang w:val="en-US" w:eastAsia="en-US" w:bidi="ar-SA"/>
    </w:rPr>
  </w:style>
  <w:style w:type="character" w:customStyle="1" w:styleId="10">
    <w:name w:val="批注框文本 Char"/>
    <w:basedOn w:val="6"/>
    <w:link w:val="2"/>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1771</Words>
  <Characters>10070</Characters>
  <Lines>84</Lines>
  <Paragraphs>23</Paragraphs>
  <TotalTime>11</TotalTime>
  <ScaleCrop>false</ScaleCrop>
  <LinksUpToDate>false</LinksUpToDate>
  <CharactersWithSpaces>11786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2022-03-26T02:20:00Z</dcterms:created>
  <dc:creator>Pahnwat Taweesedt</dc:creator>
  <cp:lastModifiedBy>千</cp:lastModifiedBy>
  <dcterms:modified xsi:type="dcterms:W3CDTF">2022-04-24T08:01:47Z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A9C86153969F4F1D9BDC2A9C95FFFEDA</vt:lpwstr>
  </property>
</Properties>
</file>