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3E02" w14:textId="6A6AB2EC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t>Name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of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Journal: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i/>
        </w:rPr>
        <w:t>World</w:t>
      </w:r>
      <w:r w:rsidR="00A83FD2" w:rsidRPr="00A83FD2">
        <w:rPr>
          <w:rFonts w:ascii="Book Antiqua" w:eastAsia="Book Antiqua" w:hAnsi="Book Antiqua" w:cs="Book Antiqua"/>
          <w:i/>
        </w:rPr>
        <w:t xml:space="preserve"> </w:t>
      </w:r>
      <w:r w:rsidRPr="00A83FD2">
        <w:rPr>
          <w:rFonts w:ascii="Book Antiqua" w:eastAsia="Book Antiqua" w:hAnsi="Book Antiqua" w:cs="Book Antiqua"/>
          <w:i/>
        </w:rPr>
        <w:t>Journal</w:t>
      </w:r>
      <w:r w:rsidR="00A83FD2" w:rsidRPr="00A83FD2">
        <w:rPr>
          <w:rFonts w:ascii="Book Antiqua" w:eastAsia="Book Antiqua" w:hAnsi="Book Antiqua" w:cs="Book Antiqua"/>
          <w:i/>
        </w:rPr>
        <w:t xml:space="preserve"> </w:t>
      </w:r>
      <w:r w:rsidRPr="00A83FD2">
        <w:rPr>
          <w:rFonts w:ascii="Book Antiqua" w:eastAsia="Book Antiqua" w:hAnsi="Book Antiqua" w:cs="Book Antiqua"/>
          <w:i/>
        </w:rPr>
        <w:t>of</w:t>
      </w:r>
      <w:r w:rsidR="00A83FD2" w:rsidRPr="00A83FD2">
        <w:rPr>
          <w:rFonts w:ascii="Book Antiqua" w:eastAsia="Book Antiqua" w:hAnsi="Book Antiqua" w:cs="Book Antiqua"/>
          <w:i/>
        </w:rPr>
        <w:t xml:space="preserve"> </w:t>
      </w:r>
      <w:r w:rsidRPr="00A83FD2">
        <w:rPr>
          <w:rFonts w:ascii="Book Antiqua" w:eastAsia="Book Antiqua" w:hAnsi="Book Antiqua" w:cs="Book Antiqua"/>
          <w:i/>
        </w:rPr>
        <w:t>Gastroenterology</w:t>
      </w:r>
    </w:p>
    <w:p w14:paraId="62EEB1CF" w14:textId="45134AE2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t>Manuscript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NO: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</w:rPr>
        <w:t>73996</w:t>
      </w:r>
    </w:p>
    <w:p w14:paraId="7A283F4B" w14:textId="687C619E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t>Manuscript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Type: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</w:rPr>
        <w:t>MINIREVIEWS</w:t>
      </w:r>
    </w:p>
    <w:p w14:paraId="75110C11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2A08D0B4" w14:textId="3DAC7316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</w:rPr>
        <w:t>Serological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biomarkers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for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management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of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primary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sclerosing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cholangitis</w:t>
      </w:r>
    </w:p>
    <w:p w14:paraId="2F3B4BDA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10D9C875" w14:textId="526B83C9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proofErr w:type="spellStart"/>
      <w:r w:rsidRPr="00A83FD2">
        <w:rPr>
          <w:rFonts w:ascii="Book Antiqua" w:eastAsia="Book Antiqua" w:hAnsi="Book Antiqua" w:cs="Book Antiqua"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et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al</w:t>
      </w:r>
      <w:r w:rsidRPr="00A83FD2">
        <w:rPr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Serological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</w:p>
    <w:p w14:paraId="0DEBF751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307B847E" w14:textId="2FACE375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David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Tornai</w:t>
      </w:r>
      <w:proofErr w:type="spellEnd"/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Peter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Laszlo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Ven,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Peter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Laszlo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Lakatos,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Maria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Papp</w:t>
      </w:r>
    </w:p>
    <w:p w14:paraId="0D9693BE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32B5D22C" w14:textId="0067C0A1" w:rsidR="00A83FD2" w:rsidRPr="00A83FD2" w:rsidRDefault="00A83FD2" w:rsidP="00A83FD2">
      <w:pPr>
        <w:spacing w:line="360" w:lineRule="auto"/>
        <w:jc w:val="both"/>
        <w:rPr>
          <w:rFonts w:ascii="Book Antiqua" w:hAnsi="Book Antiqua"/>
          <w:lang w:eastAsia="zh-CN"/>
        </w:rPr>
      </w:pPr>
      <w:r w:rsidRPr="00A83FD2">
        <w:rPr>
          <w:rFonts w:ascii="Book Antiqua" w:hAnsi="Book Antiqua"/>
          <w:b/>
          <w:bCs/>
        </w:rPr>
        <w:t xml:space="preserve">David </w:t>
      </w:r>
      <w:proofErr w:type="spellStart"/>
      <w:r w:rsidRPr="00A83FD2">
        <w:rPr>
          <w:rFonts w:ascii="Book Antiqua" w:hAnsi="Book Antiqua"/>
          <w:b/>
          <w:bCs/>
        </w:rPr>
        <w:t>Tornai</w:t>
      </w:r>
      <w:proofErr w:type="spellEnd"/>
      <w:r w:rsidRPr="00A83FD2">
        <w:rPr>
          <w:rFonts w:ascii="Book Antiqua" w:hAnsi="Book Antiqua"/>
          <w:b/>
          <w:bCs/>
        </w:rPr>
        <w:t xml:space="preserve">, Maria Papp, </w:t>
      </w:r>
      <w:r w:rsidRPr="00A83FD2">
        <w:rPr>
          <w:rFonts w:ascii="Book Antiqua" w:hAnsi="Book Antiqua"/>
        </w:rPr>
        <w:t>Division of Gastroenterology, Department of Internal Medicine, Faculty of Medicine, University of Debrecen, Debrecen H</w:t>
      </w:r>
      <w:r w:rsidRPr="00A83FD2">
        <w:rPr>
          <w:rFonts w:ascii="Book Antiqua" w:hAnsi="Book Antiqua"/>
          <w:lang w:eastAsia="zh-CN"/>
        </w:rPr>
        <w:t>-</w:t>
      </w:r>
      <w:r w:rsidRPr="00A83FD2">
        <w:rPr>
          <w:rFonts w:ascii="Book Antiqua" w:hAnsi="Book Antiqua"/>
        </w:rPr>
        <w:t>4032, Hajdu-Bihar, Hungary</w:t>
      </w:r>
    </w:p>
    <w:p w14:paraId="15BCDD82" w14:textId="77777777" w:rsidR="00A83FD2" w:rsidRPr="00A83FD2" w:rsidRDefault="00A83FD2" w:rsidP="00A83FD2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4777BE30" w14:textId="098A711D" w:rsidR="00A83FD2" w:rsidRPr="00A83FD2" w:rsidRDefault="00A83FD2" w:rsidP="00A83FD2">
      <w:pPr>
        <w:spacing w:line="360" w:lineRule="auto"/>
        <w:jc w:val="both"/>
        <w:rPr>
          <w:rFonts w:ascii="Book Antiqua" w:hAnsi="Book Antiqua"/>
          <w:lang w:eastAsia="zh-CN"/>
        </w:rPr>
      </w:pPr>
      <w:r w:rsidRPr="00A83FD2">
        <w:rPr>
          <w:rFonts w:ascii="Book Antiqua" w:hAnsi="Book Antiqua"/>
          <w:b/>
          <w:bCs/>
        </w:rPr>
        <w:t xml:space="preserve">David </w:t>
      </w:r>
      <w:proofErr w:type="spellStart"/>
      <w:r w:rsidRPr="00A83FD2">
        <w:rPr>
          <w:rFonts w:ascii="Book Antiqua" w:hAnsi="Book Antiqua"/>
          <w:b/>
          <w:bCs/>
        </w:rPr>
        <w:t>Tornai</w:t>
      </w:r>
      <w:proofErr w:type="spellEnd"/>
      <w:r w:rsidRPr="00A83FD2">
        <w:rPr>
          <w:rFonts w:ascii="Book Antiqua" w:hAnsi="Book Antiqua"/>
          <w:b/>
          <w:bCs/>
        </w:rPr>
        <w:t xml:space="preserve">, Maria Papp, </w:t>
      </w:r>
      <w:r w:rsidRPr="00A83FD2">
        <w:rPr>
          <w:rFonts w:ascii="Book Antiqua" w:hAnsi="Book Antiqua"/>
        </w:rPr>
        <w:t>European Reference Network on Hepatological Diseases, ERN RARE-LIVER, Debrecen H-4032, Hajdu-Bihar, Hungary</w:t>
      </w:r>
    </w:p>
    <w:p w14:paraId="1F221172" w14:textId="77777777" w:rsidR="00A83FD2" w:rsidRPr="00A83FD2" w:rsidRDefault="00A83FD2" w:rsidP="00A83FD2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3F89A25C" w14:textId="790406D2" w:rsidR="00A83FD2" w:rsidRPr="00A83FD2" w:rsidRDefault="00A83FD2" w:rsidP="00A83FD2">
      <w:pPr>
        <w:spacing w:line="360" w:lineRule="auto"/>
        <w:jc w:val="both"/>
        <w:rPr>
          <w:rFonts w:ascii="Book Antiqua" w:hAnsi="Book Antiqua"/>
          <w:lang w:eastAsia="zh-CN"/>
        </w:rPr>
      </w:pPr>
      <w:r w:rsidRPr="00A83FD2">
        <w:rPr>
          <w:rFonts w:ascii="Book Antiqua" w:hAnsi="Book Antiqua"/>
          <w:b/>
          <w:bCs/>
        </w:rPr>
        <w:t xml:space="preserve">Peter Laszlo Ven, </w:t>
      </w:r>
      <w:r w:rsidRPr="00A83FD2">
        <w:rPr>
          <w:rFonts w:ascii="Book Antiqua" w:hAnsi="Book Antiqua"/>
        </w:rPr>
        <w:t xml:space="preserve">The First Department of Medicine, Division of Gastroenterology, University of </w:t>
      </w:r>
      <w:proofErr w:type="spellStart"/>
      <w:r w:rsidRPr="00A83FD2">
        <w:rPr>
          <w:rFonts w:ascii="Book Antiqua" w:hAnsi="Book Antiqua"/>
        </w:rPr>
        <w:t>Pécs</w:t>
      </w:r>
      <w:proofErr w:type="spellEnd"/>
      <w:r w:rsidRPr="00A83FD2">
        <w:rPr>
          <w:rFonts w:ascii="Book Antiqua" w:hAnsi="Book Antiqua"/>
        </w:rPr>
        <w:t xml:space="preserve">, </w:t>
      </w:r>
      <w:proofErr w:type="spellStart"/>
      <w:r w:rsidRPr="00A83FD2">
        <w:rPr>
          <w:rFonts w:ascii="Book Antiqua" w:hAnsi="Book Antiqua"/>
        </w:rPr>
        <w:t>Pécs</w:t>
      </w:r>
      <w:proofErr w:type="spellEnd"/>
      <w:r w:rsidRPr="00A83FD2">
        <w:rPr>
          <w:rFonts w:ascii="Book Antiqua" w:hAnsi="Book Antiqua"/>
        </w:rPr>
        <w:t xml:space="preserve"> H-7624, Baranya, Hungary</w:t>
      </w:r>
    </w:p>
    <w:p w14:paraId="2A86A046" w14:textId="77777777" w:rsidR="00A83FD2" w:rsidRPr="00A83FD2" w:rsidRDefault="00A83FD2" w:rsidP="00A83FD2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5D0ABDF1" w14:textId="09BF6C2F" w:rsidR="00A83FD2" w:rsidRPr="00A83FD2" w:rsidRDefault="00A83FD2" w:rsidP="00A83FD2">
      <w:pPr>
        <w:spacing w:line="360" w:lineRule="auto"/>
        <w:jc w:val="both"/>
        <w:rPr>
          <w:rFonts w:ascii="Book Antiqua" w:hAnsi="Book Antiqua"/>
          <w:lang w:eastAsia="zh-CN"/>
        </w:rPr>
      </w:pPr>
      <w:r w:rsidRPr="00A83FD2">
        <w:rPr>
          <w:rFonts w:ascii="Book Antiqua" w:hAnsi="Book Antiqua"/>
          <w:b/>
          <w:bCs/>
        </w:rPr>
        <w:t xml:space="preserve">Peter Laszlo Ven, </w:t>
      </w:r>
      <w:proofErr w:type="spellStart"/>
      <w:r w:rsidRPr="00A83FD2">
        <w:rPr>
          <w:rFonts w:ascii="Book Antiqua" w:hAnsi="Book Antiqua"/>
        </w:rPr>
        <w:t>Kálmán</w:t>
      </w:r>
      <w:proofErr w:type="spellEnd"/>
      <w:r w:rsidRPr="00A83FD2">
        <w:rPr>
          <w:rFonts w:ascii="Book Antiqua" w:hAnsi="Book Antiqua"/>
        </w:rPr>
        <w:t xml:space="preserve"> </w:t>
      </w:r>
      <w:proofErr w:type="spellStart"/>
      <w:r w:rsidRPr="00A83FD2">
        <w:rPr>
          <w:rFonts w:ascii="Book Antiqua" w:hAnsi="Book Antiqua"/>
        </w:rPr>
        <w:t>Laki</w:t>
      </w:r>
      <w:proofErr w:type="spellEnd"/>
      <w:r w:rsidRPr="00A83FD2">
        <w:rPr>
          <w:rFonts w:ascii="Book Antiqua" w:hAnsi="Book Antiqua"/>
        </w:rPr>
        <w:t xml:space="preserve"> Doctoral School of Biomedical and Clinical Sciences, Faculty of Medicine, University of Debrecen, Debrecen H-4032, Hajdu-Bihar, Hungary</w:t>
      </w:r>
    </w:p>
    <w:p w14:paraId="0FA5F6E2" w14:textId="77777777" w:rsidR="00A83FD2" w:rsidRPr="00A83FD2" w:rsidRDefault="00A83FD2" w:rsidP="00A83FD2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4F75B1BA" w14:textId="6CFCEB3B" w:rsidR="00A83FD2" w:rsidRPr="00A83FD2" w:rsidRDefault="00A83FD2" w:rsidP="00A83FD2">
      <w:pPr>
        <w:spacing w:line="360" w:lineRule="auto"/>
        <w:jc w:val="both"/>
        <w:rPr>
          <w:rFonts w:ascii="Book Antiqua" w:hAnsi="Book Antiqua"/>
          <w:lang w:eastAsia="zh-CN"/>
        </w:rPr>
      </w:pPr>
      <w:r w:rsidRPr="00A83FD2">
        <w:rPr>
          <w:rFonts w:ascii="Book Antiqua" w:hAnsi="Book Antiqua"/>
          <w:b/>
          <w:bCs/>
        </w:rPr>
        <w:t xml:space="preserve">Peter Laszlo Lakatos, </w:t>
      </w:r>
      <w:r w:rsidRPr="00A83FD2">
        <w:rPr>
          <w:rFonts w:ascii="Book Antiqua" w:hAnsi="Book Antiqua"/>
        </w:rPr>
        <w:t>Division of Gastroenterology, McGill University Health Centre, Montreal QC H4A 3J1, Quebec, Canada</w:t>
      </w:r>
    </w:p>
    <w:p w14:paraId="3DD919F0" w14:textId="77777777" w:rsidR="00A83FD2" w:rsidRPr="00A83FD2" w:rsidRDefault="00A83FD2" w:rsidP="00A83FD2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6B82A711" w14:textId="179EC1A7" w:rsidR="00A77B3E" w:rsidRPr="00A83FD2" w:rsidRDefault="00A83FD2" w:rsidP="00A83FD2">
      <w:pPr>
        <w:spacing w:line="360" w:lineRule="auto"/>
        <w:jc w:val="both"/>
        <w:rPr>
          <w:rFonts w:ascii="Book Antiqua" w:hAnsi="Book Antiqua"/>
          <w:lang w:eastAsia="zh-CN"/>
        </w:rPr>
      </w:pPr>
      <w:r w:rsidRPr="00A83FD2">
        <w:rPr>
          <w:rFonts w:ascii="Book Antiqua" w:hAnsi="Book Antiqua"/>
          <w:b/>
          <w:bCs/>
        </w:rPr>
        <w:t xml:space="preserve">Peter Laszlo Lakatos, </w:t>
      </w:r>
      <w:r w:rsidRPr="00A83FD2">
        <w:rPr>
          <w:rFonts w:ascii="Book Antiqua" w:hAnsi="Book Antiqua"/>
        </w:rPr>
        <w:t>The First Department of Medicine, Semmelweis University, Budapest H-1083, Pest, Hungary</w:t>
      </w:r>
    </w:p>
    <w:p w14:paraId="35EC90A4" w14:textId="77777777" w:rsidR="00A83FD2" w:rsidRPr="00A83FD2" w:rsidRDefault="00A83FD2" w:rsidP="00A83FD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503270" w14:textId="3684DDA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</w:rPr>
        <w:lastRenderedPageBreak/>
        <w:t>Author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contributions: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Style w:val="markedcontent"/>
          <w:rFonts w:ascii="Book Antiqua" w:eastAsia="Book Antiqua" w:hAnsi="Book Antiqua" w:cs="Book Antiqua"/>
        </w:rPr>
        <w:t>performed</w:t>
      </w:r>
      <w:r w:rsidR="00A83FD2" w:rsidRPr="00A83FD2">
        <w:rPr>
          <w:rStyle w:val="markedcontent"/>
          <w:rFonts w:ascii="Book Antiqua" w:eastAsia="Book Antiqua" w:hAnsi="Book Antiqua" w:cs="Book Antiqua"/>
        </w:rPr>
        <w:t xml:space="preserve"> </w:t>
      </w:r>
      <w:r w:rsidRPr="00A83FD2">
        <w:rPr>
          <w:rStyle w:val="markedcontent"/>
          <w:rFonts w:ascii="Book Antiqua" w:eastAsia="Book Antiqua" w:hAnsi="Book Antiqua" w:cs="Book Antiqua"/>
        </w:rPr>
        <w:t>the</w:t>
      </w:r>
      <w:r w:rsidR="00A83FD2" w:rsidRPr="00A83FD2">
        <w:rPr>
          <w:rStyle w:val="markedcontent"/>
          <w:rFonts w:ascii="Book Antiqua" w:eastAsia="Book Antiqua" w:hAnsi="Book Antiqua" w:cs="Book Antiqua"/>
        </w:rPr>
        <w:t xml:space="preserve"> </w:t>
      </w:r>
      <w:r w:rsidRPr="00A83FD2">
        <w:rPr>
          <w:rStyle w:val="markedcontent"/>
          <w:rFonts w:ascii="Book Antiqua" w:eastAsia="Book Antiqua" w:hAnsi="Book Antiqua" w:cs="Book Antiqua"/>
        </w:rPr>
        <w:t>literature</w:t>
      </w:r>
      <w:r w:rsidR="00A83FD2" w:rsidRPr="00A83FD2">
        <w:rPr>
          <w:rStyle w:val="markedcontent"/>
          <w:rFonts w:ascii="Book Antiqua" w:eastAsia="Book Antiqua" w:hAnsi="Book Antiqua" w:cs="Book Antiqua"/>
        </w:rPr>
        <w:t xml:space="preserve"> </w:t>
      </w:r>
      <w:r w:rsidRPr="00A83FD2">
        <w:rPr>
          <w:rStyle w:val="markedcontent"/>
          <w:rFonts w:ascii="Book Antiqua" w:eastAsia="Book Antiqua" w:hAnsi="Book Antiqua" w:cs="Book Antiqua"/>
        </w:rPr>
        <w:t>rev</w:t>
      </w:r>
      <w:r w:rsidRPr="00A83FD2">
        <w:rPr>
          <w:rFonts w:ascii="Book Antiqua" w:eastAsia="Book Antiqua" w:hAnsi="Book Antiqua" w:cs="Book Antiqua"/>
        </w:rPr>
        <w:t>iew;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wrote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manuscript;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Papp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Lakatos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supervised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work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provided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expert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insights;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authors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read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approve</w:t>
      </w:r>
      <w:r w:rsidR="001458D5" w:rsidRPr="00A83FD2">
        <w:rPr>
          <w:rFonts w:ascii="Book Antiqua" w:eastAsia="Book Antiqua" w:hAnsi="Book Antiqua" w:cs="Book Antiqua"/>
        </w:rPr>
        <w:t>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final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manuscript.</w:t>
      </w:r>
    </w:p>
    <w:p w14:paraId="35AB9E86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13ED3820" w14:textId="69946AE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</w:rPr>
        <w:t>Supported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by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Ministry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Innovation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Technology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Hungary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from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National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Research,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Innovation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Fund,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138041;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EFOP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projects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co-financed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European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Union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European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Social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Fund,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EFOP-3.6.1-16-2016-00022.</w:t>
      </w:r>
    </w:p>
    <w:p w14:paraId="0E8ED502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188E55BE" w14:textId="50242B00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</w:rPr>
        <w:t>Corresponding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author: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Maria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Papp,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DSc,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FEBG,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MD,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PhD,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Full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Professor,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="00A83FD2" w:rsidRPr="00A83FD2">
        <w:rPr>
          <w:rFonts w:ascii="Book Antiqua" w:eastAsia="Book Antiqua" w:hAnsi="Book Antiqua" w:cs="Book Antiqua"/>
        </w:rPr>
        <w:t xml:space="preserve">Division of Gastroenterology, Department of Internal Medicine, Faculty of Medicine, University of Debrecen, 98 </w:t>
      </w:r>
      <w:proofErr w:type="spellStart"/>
      <w:r w:rsidR="00A83FD2" w:rsidRPr="00A83FD2">
        <w:rPr>
          <w:rFonts w:ascii="Book Antiqua" w:eastAsia="Book Antiqua" w:hAnsi="Book Antiqua" w:cs="Book Antiqua"/>
        </w:rPr>
        <w:t>Nagyerdei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="00A83FD2" w:rsidRPr="00A83FD2">
        <w:rPr>
          <w:rFonts w:ascii="Book Antiqua" w:eastAsia="Book Antiqua" w:hAnsi="Book Antiqua" w:cs="Book Antiqua"/>
        </w:rPr>
        <w:t>krt</w:t>
      </w:r>
      <w:proofErr w:type="spellEnd"/>
      <w:r w:rsidR="00A83FD2" w:rsidRPr="00A83FD2">
        <w:rPr>
          <w:rFonts w:ascii="Book Antiqua" w:eastAsia="Book Antiqua" w:hAnsi="Book Antiqua" w:cs="Book Antiqua"/>
        </w:rPr>
        <w:t>, Debrecen H-4032, Hajdu-Bihar, Hungary. papp.maria@med.unideb.hu</w:t>
      </w:r>
    </w:p>
    <w:p w14:paraId="277C0D5A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5D18F96E" w14:textId="2596508E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</w:rPr>
        <w:t>Received: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</w:rPr>
        <w:t>December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13,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2021</w:t>
      </w:r>
    </w:p>
    <w:p w14:paraId="2225D298" w14:textId="5CDDA0F8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</w:rPr>
        <w:t>Revised: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</w:rPr>
        <w:t>February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2022</w:t>
      </w:r>
    </w:p>
    <w:p w14:paraId="200CDEB2" w14:textId="7072028E" w:rsidR="00A77B3E" w:rsidRPr="00A83FD2" w:rsidRDefault="00FA171B" w:rsidP="00A83FD2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A83FD2">
        <w:rPr>
          <w:rFonts w:ascii="Book Antiqua" w:eastAsia="Book Antiqua" w:hAnsi="Book Antiqua" w:cs="Book Antiqua"/>
          <w:b/>
          <w:bCs/>
        </w:rPr>
        <w:t>Accepted: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="003D66BD" w:rsidRPr="003D66BD">
        <w:rPr>
          <w:rFonts w:ascii="Book Antiqua" w:eastAsia="Book Antiqua" w:hAnsi="Book Antiqua" w:cs="Book Antiqua"/>
        </w:rPr>
        <w:t>April 25, 2022</w:t>
      </w:r>
    </w:p>
    <w:p w14:paraId="28C82576" w14:textId="2B1FB67D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</w:rPr>
        <w:t>Published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online: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</w:p>
    <w:p w14:paraId="2151EEB2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  <w:sectPr w:rsidR="00A77B3E" w:rsidRPr="00A83FD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3ED96F" w14:textId="7777777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lastRenderedPageBreak/>
        <w:t>Abstract</w:t>
      </w:r>
    </w:p>
    <w:p w14:paraId="09286F10" w14:textId="16484198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manifestations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progression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(PSC)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heterogeneous,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pathogenesis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poorly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understood.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CF14E5"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CF14E5" w:rsidRPr="00A83FD2">
        <w:rPr>
          <w:rFonts w:ascii="Book Antiqua" w:eastAsia="Book Antiqua" w:hAnsi="Book Antiqua" w:cs="Book Antiqua"/>
        </w:rPr>
        <w:t>i</w:t>
      </w:r>
      <w:r w:rsidRPr="00A83FD2">
        <w:rPr>
          <w:rFonts w:ascii="Book Antiqua" w:eastAsia="Book Antiqua" w:hAnsi="Book Antiqua" w:cs="Book Antiqua"/>
        </w:rPr>
        <w:t>mportance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gut-liver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interaction</w:t>
      </w:r>
      <w:r w:rsidR="00CF14E5" w:rsidRPr="00A83FD2">
        <w:rPr>
          <w:rFonts w:ascii="Book Antiqua" w:eastAsia="Book Antiqua" w:hAnsi="Book Antiqua" w:cs="Book Antiqua"/>
        </w:rPr>
        <w:t>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pathogenesis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confirmed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highlighted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different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theories.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advances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regarding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biliary-gut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crosstalk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</w:rPr>
        <w:t>may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help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identify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relevant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subgroups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assisting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everyday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work-up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</w:t>
      </w:r>
      <w:r w:rsidRPr="00A83FD2">
        <w:rPr>
          <w:rFonts w:ascii="Book Antiqua" w:eastAsia="Book Antiqua" w:hAnsi="Book Antiqua" w:cs="Book Antiqua"/>
          <w:i/>
          <w:iCs/>
        </w:rPr>
        <w:t>e.g.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diagnosis,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stratification</w:t>
      </w:r>
      <w:r w:rsidR="001458D5"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surveillance)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exploration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potential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therapeutic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targets.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Alkaline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phosphatase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produced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biliary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epithelium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consistently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prognosis.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However,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level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shows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natural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fluctuation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limiting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individual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</w:t>
      </w:r>
      <w:r w:rsidR="00CF14E5" w:rsidRPr="00A83FD2">
        <w:rPr>
          <w:rFonts w:ascii="Book Antiqua" w:eastAsia="Book Antiqua" w:hAnsi="Book Antiqua" w:cs="Book Antiqua"/>
        </w:rPr>
        <w:t>s</w:t>
      </w:r>
      <w:r w:rsidRPr="00A83FD2">
        <w:rPr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Inflammatory,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activation,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tissue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remodeling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reported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outcome.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Elevated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immunoglobulin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(Ig)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level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shorter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transplantation-free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type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atypical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perinuclear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anti-neutrophil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cytoplasmic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(P-ANCAs)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non-specific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various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autoimmune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reflect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8D4784" w:rsidRPr="00A83FD2">
        <w:rPr>
          <w:rFonts w:ascii="Book Antiqua" w:eastAsia="Book Antiqua" w:hAnsi="Book Antiqua" w:cs="Book Antiqua"/>
        </w:rPr>
        <w:t>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abnormal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B-cell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response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microbial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type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atypical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P-ANCA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identifies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particular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4B0C30" w:rsidRPr="00A83FD2">
        <w:rPr>
          <w:rFonts w:ascii="Book Antiqua" w:eastAsia="Book Antiqua" w:hAnsi="Book Antiqua" w:cs="Book Antiqua"/>
        </w:rPr>
        <w:t>genetic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4B0C30" w:rsidRPr="00A83FD2">
        <w:rPr>
          <w:rFonts w:ascii="Book Antiqua" w:eastAsia="Book Antiqua" w:hAnsi="Book Antiqua" w:cs="Book Antiqua"/>
        </w:rPr>
        <w:t>(for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human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leukocyte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antigens</w:t>
      </w:r>
      <w:r w:rsidR="004B0C30" w:rsidRPr="00A83FD2">
        <w:rPr>
          <w:rFonts w:ascii="Book Antiqua" w:eastAsia="Book Antiqua" w:hAnsi="Book Antiqua" w:cs="Book Antiqua"/>
        </w:rPr>
        <w:t>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characteristics.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presence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type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anti-F-actin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(AAA)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progressive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course,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enhanced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mucosal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response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various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microbial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enterocyte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damage.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type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anti-glycoprotein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(GP2)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identify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3714AD"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severe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phenotype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due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enhanced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fibrogenesis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development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cholangiocarcinoma.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Elevated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soluble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vascular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adhesion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protein-1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(sVAP-1)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adverse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outcomes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sVAP-1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correlate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mucosal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addressin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adhesion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molecule-1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(MAdCAM-1)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expression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contributes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activated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T-cell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homing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hepatobiliary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tract.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present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paper</w:t>
      </w:r>
      <w:r w:rsidR="001458D5"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review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evidence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possible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serological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624A5C" w:rsidRPr="00A83FD2">
        <w:rPr>
          <w:rFonts w:ascii="Book Antiqua" w:eastAsia="Book Antiqua" w:hAnsi="Book Antiqua" w:cs="Book Antiqua"/>
        </w:rPr>
        <w:t>that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624A5C" w:rsidRPr="00A83FD2">
        <w:rPr>
          <w:rFonts w:ascii="Book Antiqua" w:eastAsia="Book Antiqua" w:hAnsi="Book Antiqua" w:cs="Book Antiqua"/>
        </w:rPr>
        <w:t>could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potentially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help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270D80" w:rsidRPr="00A83FD2">
        <w:rPr>
          <w:rFonts w:ascii="Book Antiqua" w:eastAsia="Book Antiqua" w:hAnsi="Book Antiqua" w:cs="Book Antiqua"/>
        </w:rPr>
        <w:t>address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unmet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needs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PSC.</w:t>
      </w:r>
    </w:p>
    <w:p w14:paraId="6F397653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0A7D533B" w14:textId="006DC1C1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</w:rPr>
        <w:t>Key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Words: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Hepatobiliary;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Serological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Immunoglobulin;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Inflammatory;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Tissue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remodeling</w:t>
      </w:r>
    </w:p>
    <w:p w14:paraId="04EEA254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51D62437" w14:textId="57F74CE0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proofErr w:type="spellStart"/>
      <w:r w:rsidRPr="00A83FD2">
        <w:rPr>
          <w:rFonts w:ascii="Book Antiqua" w:eastAsia="Book Antiqua" w:hAnsi="Book Antiqua" w:cs="Book Antiqua"/>
        </w:rPr>
        <w:lastRenderedPageBreak/>
        <w:t>Tornai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Lakatos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Papp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Serological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management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World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2022;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press</w:t>
      </w:r>
    </w:p>
    <w:p w14:paraId="1F38388F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4ADE92FA" w14:textId="5B20BDBF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</w:rPr>
        <w:t>Core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Tip: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</w:rPr>
        <w:t>Recent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advances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research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help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clinicians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identify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relevant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subgroups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(PSC)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assist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everyday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work-up.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However,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diagnostic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still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unmet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need.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other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hand,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several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reported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outcome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  <w:r w:rsidR="001458D5" w:rsidRPr="00A83FD2">
        <w:rPr>
          <w:rFonts w:ascii="Book Antiqua" w:eastAsia="Book Antiqua" w:hAnsi="Book Antiqua" w:cs="Book Antiqua"/>
        </w:rPr>
        <w:t>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however</w:t>
      </w:r>
      <w:r w:rsidR="001458D5"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validated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subsequent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studies.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624A5C"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type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anti-glycoprotein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first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supported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satisfactory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number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studies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could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incorporated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practice.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discoveries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also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reveal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different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aspects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providing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potential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therapeutic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targets.</w:t>
      </w:r>
    </w:p>
    <w:p w14:paraId="57B9502B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7B45692B" w14:textId="7777777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30E097E0" w14:textId="59B63435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Primary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sclerosing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cholangitis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(PSC)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chronic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progressive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inflammatory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ducts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leading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formation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intermitting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duct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strictures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dilatations,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periductal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fibrosis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cases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progresses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cirrhosis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decompensated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stage.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Moreover,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cholangiocarcinoma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(CCA)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colorectal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cancer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1]</w:t>
      </w:r>
      <w:r w:rsidRPr="00A83FD2">
        <w:rPr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etiology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poorly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understood.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However,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gut-liver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interaction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seems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driving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factor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development.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hypothesized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that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interaction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microbiome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certain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genetically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determined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factors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[such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certain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human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leukocyte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(HLA)]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lead</w:t>
      </w:r>
      <w:r w:rsidR="001458D5" w:rsidRPr="00A83FD2">
        <w:rPr>
          <w:rFonts w:ascii="Book Antiqua" w:eastAsia="Book Antiqua" w:hAnsi="Book Antiqua" w:cs="Book Antiqua"/>
        </w:rPr>
        <w:t>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development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disrupted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immunological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pathways,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result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autoimmune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reaction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yet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unknown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antigen(s).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abnormalities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discovered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genetic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studies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support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disruption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functions.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Gut-derived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significantly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induce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presentation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major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histocompatibility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complexes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(MHCs)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surface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antigen-presenting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which,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following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clonal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expansion,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delivered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both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intestinal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</w:rPr>
        <w:t>liver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2]</w:t>
      </w:r>
      <w:r w:rsidRPr="00A83FD2">
        <w:rPr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Abnormal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activation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results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increased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release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various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cytokines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[such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transforming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growth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factor-β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(TGF-β)]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involved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development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fibrosis.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Activation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indicated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lastRenderedPageBreak/>
        <w:t>frequent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appearance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bacterial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translocation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(BT)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related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serological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</w:t>
      </w:r>
      <w:r w:rsidRPr="00A83FD2">
        <w:rPr>
          <w:rFonts w:ascii="Book Antiqua" w:eastAsia="Book Antiqua" w:hAnsi="Book Antiqua" w:cs="Book Antiqua"/>
          <w:i/>
          <w:iCs/>
        </w:rPr>
        <w:t>e.g.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anti-neutrophil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cytoplasmic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(ANCAs)].</w:t>
      </w:r>
    </w:p>
    <w:p w14:paraId="332F2C97" w14:textId="2E211AE9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diagnosis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difficult,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specific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identified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far.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presence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chronic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cholestasis,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diagnosis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based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magnetic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resonance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cholangiography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(MRCP)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much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less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frequently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today,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endoscopic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retrograde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cholangiopancreatography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(ERCP)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confirmation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biliary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lesions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strictures.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Careful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exclusion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known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causes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secondary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(SSC)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also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necessary.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Immunoglobulin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(Ig)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elevation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presence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atypical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perinuclear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ANCA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</w:t>
      </w:r>
      <w:r w:rsidRPr="00A83FD2">
        <w:rPr>
          <w:rFonts w:ascii="Book Antiqua" w:eastAsia="Book Antiqua" w:hAnsi="Book Antiqua" w:cs="Book Antiqua"/>
          <w:shd w:val="clear" w:color="auto" w:fill="FFFFFF"/>
        </w:rPr>
        <w:t>P-ANCA)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common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disease-specific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alterations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3]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Routine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biopsy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longer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routinely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performed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diagnosis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necessary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suspected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cases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small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duct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cholangiogram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normal,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confirm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overlap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syndrome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autoimmune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hepatitis.</w:t>
      </w:r>
    </w:p>
    <w:p w14:paraId="33CE69E2" w14:textId="30C47AFF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course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variable.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few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promising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activity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progression,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yet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almost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validated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subsequent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studies.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recently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discovered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serological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[IgA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type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against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pancreatic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glycoprotein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(anti-GP2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</w:t>
      </w:r>
      <w:proofErr w:type="gramStart"/>
      <w:r w:rsidRPr="00A83FD2">
        <w:rPr>
          <w:rFonts w:ascii="Book Antiqua" w:eastAsia="Book Antiqua" w:hAnsi="Book Antiqua" w:cs="Book Antiqua"/>
        </w:rPr>
        <w:t>)]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4,5]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first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value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confirmed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multiple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[6,7]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integrated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practice.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Consequently,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question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accurate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risk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assessment,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stratification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follow-up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strategy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still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unresolved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8]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10C0D274" w14:textId="546D570A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Studying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biomarkers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characterizing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dialogue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between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identify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clinically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relevant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subgroups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stratification,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unravel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new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pathogenesis-relevant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correlations.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could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turn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lead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discovery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new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therapeutic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targets.</w:t>
      </w:r>
    </w:p>
    <w:p w14:paraId="50566D54" w14:textId="6BD30A49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While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biomarkers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from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body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fluids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e.g.</w:t>
      </w:r>
      <w:r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bile)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reveal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important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BB2CAB" w:rsidRPr="00A83FD2">
        <w:rPr>
          <w:rFonts w:ascii="Book Antiqua" w:eastAsia="Book Antiqua" w:hAnsi="Book Antiqua" w:cs="Book Antiqua"/>
          <w:shd w:val="clear" w:color="auto" w:fill="FFFFFF"/>
        </w:rPr>
        <w:t>aspects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pathogenesis,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blood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readily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available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clinicians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obtained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controlled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fashion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contrast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e.g.</w:t>
      </w:r>
      <w:r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stool).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makes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biomarkers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appropriate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everyday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use,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therefore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focus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review.</w:t>
      </w:r>
    </w:p>
    <w:p w14:paraId="1EAD0A68" w14:textId="77777777" w:rsidR="00A77B3E" w:rsidRPr="00A83FD2" w:rsidRDefault="00A77B3E" w:rsidP="00A83FD2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6F74F7EB" w14:textId="42A0F751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Routine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laboratory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tests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and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composite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scores</w:t>
      </w:r>
    </w:p>
    <w:p w14:paraId="7557DECA" w14:textId="197E4E7B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lastRenderedPageBreak/>
        <w:t>Alkaline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phosphatase</w:t>
      </w:r>
    </w:p>
    <w:p w14:paraId="470AE54B" w14:textId="5F082EF1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Various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consistently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reported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correlation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between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alkaline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phosphatase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(ALP)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progression,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individual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application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difficult.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fluctuation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pattern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different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from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observed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primary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cholangitis,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degree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elevation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influenced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various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complications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(cholangitis,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gallstones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appearance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dominant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stricture).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Thus,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surprising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thresholds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values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change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outcomes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certain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confirmed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9]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certain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highlighted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importance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fluctuation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CCA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free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survival.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risk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CCA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significantly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constantly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without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reduction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10</w:t>
      </w:r>
      <w:r w:rsidR="009F0FD3">
        <w:rPr>
          <w:rFonts w:ascii="Book Antiqua" w:hAnsi="Book Antiqua" w:cs="Book Antiqua" w:hint="eastAsia"/>
          <w:shd w:val="clear" w:color="auto" w:fill="FFFFFF"/>
          <w:vertAlign w:val="superscript"/>
          <w:lang w:eastAsia="zh-CN"/>
        </w:rPr>
        <w:t>-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13]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Thus,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further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needed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determine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significance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variation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transplant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free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survival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(due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progression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fibrosis)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treatment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response.</w:t>
      </w:r>
    </w:p>
    <w:p w14:paraId="080B361B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312764B4" w14:textId="7DC44932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Mayo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risk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score</w:t>
      </w:r>
    </w:p>
    <w:p w14:paraId="4F4F1E63" w14:textId="31489FD3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absence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individual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researchers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tried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models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incorporating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multiple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scoring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systems,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contain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parameters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besides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first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still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widely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prognostic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model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Mayo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risk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score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(MRS)</w:t>
      </w:r>
      <w:r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which,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modified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2000,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longer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includes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invasive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subjective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parameters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14]</w:t>
      </w:r>
      <w:r w:rsidRPr="00A83FD2">
        <w:rPr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Abnormal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value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factors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included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[serum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bilirubin,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albumin</w:t>
      </w:r>
      <w:r w:rsidR="001458D5"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aspartate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aminotransferase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(AST)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levels,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esophageal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variceal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bleeding],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exception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age,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represents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advanced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Thus,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discriminatory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potential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scoring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system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inadequate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early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stages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addition,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predictable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time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period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progression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around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years.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model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also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able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adverse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outcome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high-dose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ursodeoxycholic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acid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treatment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(28-30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mg/kg/d)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</w:rPr>
        <w:t>either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15]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294DA35E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22811A1A" w14:textId="01ADA2E9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Amsterdam-Oxford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model</w:t>
      </w:r>
    </w:p>
    <w:p w14:paraId="4DD31FD3" w14:textId="2B19349E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lastRenderedPageBreak/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Amsterdam-Oxford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model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(AOM)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another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prognostic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scoring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system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16]</w:t>
      </w:r>
      <w:r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includes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seven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objective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parameters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subtype,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age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diagnosis,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platelet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count,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albumin,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ALP,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AST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bilirubin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scoring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system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overcome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limitations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transplant-free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estimate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longer-term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prognosis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(15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years)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recalculated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later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timepoint.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discriminative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power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model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moderate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(C-statistic: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0.68).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contrast,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advantage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widely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applicable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reliability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model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consistent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two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populations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different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timepoints</w:t>
      </w:r>
      <w:r w:rsidRPr="00A83FD2">
        <w:rPr>
          <w:rFonts w:ascii="Book Antiqua" w:eastAsia="Book Antiqua" w:hAnsi="Book Antiqua" w:cs="Book Antiqua"/>
          <w:shd w:val="clear" w:color="auto" w:fill="FFFFFF"/>
        </w:rPr>
        <w:t>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using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population-based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data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rather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data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from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transplant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centers.</w:t>
      </w:r>
    </w:p>
    <w:p w14:paraId="3778CD53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3069C3AB" w14:textId="1FCCA945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UK-PSC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scores</w:t>
      </w:r>
    </w:p>
    <w:p w14:paraId="64843AC8" w14:textId="0C372BD9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UK-PSC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scores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transplant-free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</w:rPr>
        <w:t>survival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17]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Two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models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created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2-year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10-year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prediction,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derived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from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cohort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1001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validated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two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independent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cohorts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451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incorporated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variables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bilirubin,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ALP,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albumin,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platelets,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presence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extrahepatic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variceal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hemorrhage.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“Both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short-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long-term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UK-PSC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risk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scores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better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performance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AST-to-platelet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ratio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index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when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outcomes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[C-statistics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2-year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(short-term)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0.81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vs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0.75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9F0FD3" w:rsidRPr="00A83FD2">
        <w:rPr>
          <w:rFonts w:ascii="Book Antiqua" w:eastAsia="Book Antiqua" w:hAnsi="Book Antiqua" w:cs="Book Antiqua"/>
        </w:rPr>
        <w:t xml:space="preserve">0.81 </w:t>
      </w:r>
      <w:r w:rsidR="009F0FD3" w:rsidRPr="00A83FD2">
        <w:rPr>
          <w:rFonts w:ascii="Book Antiqua" w:eastAsia="Book Antiqua" w:hAnsi="Book Antiqua" w:cs="Book Antiqua"/>
          <w:i/>
          <w:iCs/>
        </w:rPr>
        <w:t>vs</w:t>
      </w:r>
      <w:r w:rsidR="009F0FD3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0.63,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respectively;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10-year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(long-term)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0.80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vs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0.79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9F0FD3" w:rsidRPr="00A83FD2">
        <w:rPr>
          <w:rFonts w:ascii="Book Antiqua" w:eastAsia="Book Antiqua" w:hAnsi="Book Antiqua" w:cs="Book Antiqua"/>
        </w:rPr>
        <w:t>0.8</w:t>
      </w:r>
      <w:r w:rsidR="009F0FD3">
        <w:rPr>
          <w:rFonts w:ascii="Book Antiqua" w:hAnsi="Book Antiqua" w:cs="Book Antiqua" w:hint="eastAsia"/>
          <w:lang w:eastAsia="zh-CN"/>
        </w:rPr>
        <w:t>0</w:t>
      </w:r>
      <w:r w:rsidR="009F0FD3" w:rsidRPr="00A83FD2">
        <w:rPr>
          <w:rFonts w:ascii="Book Antiqua" w:eastAsia="Book Antiqua" w:hAnsi="Book Antiqua" w:cs="Book Antiqua"/>
        </w:rPr>
        <w:t xml:space="preserve"> </w:t>
      </w:r>
      <w:r w:rsidR="009F0FD3" w:rsidRPr="00A83FD2">
        <w:rPr>
          <w:rFonts w:ascii="Book Antiqua" w:eastAsia="Book Antiqua" w:hAnsi="Book Antiqua" w:cs="Book Antiqua"/>
          <w:i/>
          <w:iCs/>
        </w:rPr>
        <w:t>vs</w:t>
      </w:r>
      <w:r w:rsidR="009F0FD3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0.59,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respectively].”</w:t>
      </w:r>
    </w:p>
    <w:p w14:paraId="3FCFE552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259D4C63" w14:textId="230908C8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PSC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risk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estimate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tool</w:t>
      </w:r>
    </w:p>
    <w:p w14:paraId="1E884463" w14:textId="011CC61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risk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estimate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</w:t>
      </w:r>
      <w:proofErr w:type="spellStart"/>
      <w:r w:rsidRPr="00A83FD2">
        <w:rPr>
          <w:rFonts w:ascii="Book Antiqua" w:eastAsia="Book Antiqua" w:hAnsi="Book Antiqua" w:cs="Book Antiqua"/>
        </w:rPr>
        <w:t>PREsTo</w:t>
      </w:r>
      <w:proofErr w:type="spellEnd"/>
      <w:r w:rsidRPr="00A83FD2">
        <w:rPr>
          <w:rFonts w:ascii="Book Antiqua" w:eastAsia="Book Antiqua" w:hAnsi="Book Antiqua" w:cs="Book Antiqua"/>
        </w:rPr>
        <w:t>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advent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hepatic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decompensation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(ascites,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variceal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hemorrhage,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encephalopathy).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model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derived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from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data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multicenter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North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American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cohort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validated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international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multicenter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cohort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including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509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278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subjects,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respectively.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Individuals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advanced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CCA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baseline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excluded.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PREsTo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incorporates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variables: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Bilirubin,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albumin,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times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upper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limit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normal,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platelets,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AST,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hemoglobin,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sodium,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age,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number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years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since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diagnosis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lastRenderedPageBreak/>
        <w:t>predicting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hepatic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decompensation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PREsTo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performed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better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model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stage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(MELD)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score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(C-statistics: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0.9</w:t>
      </w:r>
      <w:r w:rsidR="009D1AF1">
        <w:rPr>
          <w:rFonts w:ascii="Book Antiqua" w:hAnsi="Book Antiqua" w:cs="Book Antiqua" w:hint="eastAsia"/>
          <w:shd w:val="clear" w:color="auto" w:fill="FFFFFF"/>
          <w:lang w:eastAsia="zh-CN"/>
        </w:rPr>
        <w:t>0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vs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0.72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9D1AF1" w:rsidRPr="00A83FD2">
        <w:rPr>
          <w:rFonts w:ascii="Book Antiqua" w:eastAsia="Book Antiqua" w:hAnsi="Book Antiqua" w:cs="Book Antiqua"/>
          <w:shd w:val="clear" w:color="auto" w:fill="FFFFFF"/>
        </w:rPr>
        <w:t>0.9</w:t>
      </w:r>
      <w:r w:rsidR="009D1AF1">
        <w:rPr>
          <w:rFonts w:ascii="Book Antiqua" w:hAnsi="Book Antiqua" w:cs="Book Antiqua" w:hint="eastAsia"/>
          <w:shd w:val="clear" w:color="auto" w:fill="FFFFFF"/>
          <w:lang w:eastAsia="zh-CN"/>
        </w:rPr>
        <w:t>0</w:t>
      </w:r>
      <w:r w:rsidR="009D1AF1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9D1AF1"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vs</w:t>
      </w:r>
      <w:r w:rsidR="009D1AF1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0.85,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respectively)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18]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equation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provided,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online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calculator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available.</w:t>
      </w:r>
    </w:p>
    <w:p w14:paraId="6CB45C4F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5E463470" w14:textId="5395CB12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Enhanced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liver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fibrosis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test</w:t>
      </w:r>
    </w:p>
    <w:p w14:paraId="4656A2B3" w14:textId="75555EDF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enhanced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fibrosis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(ELF)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test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(Siemens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ADVIA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Centaur)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purely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measurements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summarizing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three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direct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components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fibrogenesis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(hyaluronic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acid,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tissue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inhibitor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metalloproteinase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III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procollagen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amino-terminal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propeptide</w:t>
      </w:r>
      <w:proofErr w:type="spellEnd"/>
      <w:r w:rsidRPr="00A83FD2">
        <w:rPr>
          <w:rFonts w:ascii="Book Antiqua" w:eastAsia="Book Antiqua" w:hAnsi="Book Antiqua" w:cs="Book Antiqua"/>
          <w:shd w:val="clear" w:color="auto" w:fill="FFFFFF"/>
        </w:rPr>
        <w:t>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reported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strong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prognosis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(mortality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transplantation)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independently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MRS.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Validation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result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successful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multiple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(C-statistic: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0.79-0.81)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[19,20]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study,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score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slightly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5-year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follow-</w:t>
      </w:r>
      <w:r w:rsidRPr="00A83FD2">
        <w:rPr>
          <w:rFonts w:ascii="Book Antiqua" w:eastAsia="Book Antiqua" w:hAnsi="Book Antiqua" w:cs="Book Antiqua"/>
          <w:shd w:val="clear" w:color="auto" w:fill="FFFFFF"/>
        </w:rPr>
        <w:t>up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period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showed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low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intrapersonal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variability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supporting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consistency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score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[21]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04AC8A18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6A3A5EC2" w14:textId="7777777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Immunoglobulins</w:t>
      </w:r>
    </w:p>
    <w:p w14:paraId="5C52207A" w14:textId="77777777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IgG4</w:t>
      </w:r>
    </w:p>
    <w:p w14:paraId="55B4C6A7" w14:textId="3B99DE20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About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10%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elevated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IgG4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without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IgG4-associated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Recently,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IgG4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determination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recommended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least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22]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Elevated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IgG4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(&gt;</w:t>
      </w:r>
      <w:r w:rsidR="009F0FD3">
        <w:rPr>
          <w:rFonts w:ascii="Book Antiqua" w:hAnsi="Book Antiqua" w:cs="Book Antiqua" w:hint="eastAsia"/>
          <w:shd w:val="clear" w:color="auto" w:fill="FFFFFF"/>
          <w:lang w:eastAsia="zh-CN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140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mg/dL)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values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function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tests,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MRS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shorter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time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transplantation,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clearly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indicates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severe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course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subgroup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23]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unknown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whether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addition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systemic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glucocorticoid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treatment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IgG4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subtype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beneficial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curbing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progression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24]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1335E8CF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16311582" w14:textId="77777777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ANCAs</w:t>
      </w:r>
    </w:p>
    <w:p w14:paraId="7412DA90" w14:textId="04EE319D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Various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autoantibodies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described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considered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unspecific,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since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present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frequently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observed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antibodies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ANCAs,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antinuclear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anti-smooth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muscle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also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reported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frequently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</w:rPr>
        <w:t>PSC</w:t>
      </w:r>
      <w:r w:rsidRPr="00A83FD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vertAlign w:val="superscript"/>
        </w:rPr>
        <w:t>25]</w:t>
      </w:r>
      <w:r w:rsidRPr="00A83FD2">
        <w:rPr>
          <w:rFonts w:ascii="Book Antiqua" w:eastAsia="Book Antiqua" w:hAnsi="Book Antiqua" w:cs="Book Antiqua"/>
        </w:rPr>
        <w:t>.</w:t>
      </w:r>
    </w:p>
    <w:p w14:paraId="1257CB50" w14:textId="640FA584" w:rsidR="00A77B3E" w:rsidRPr="00A83FD2" w:rsidRDefault="00FA171B" w:rsidP="00655F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lastRenderedPageBreak/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occurrence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atypical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P-ANCAs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common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(</w:t>
      </w:r>
      <w:r w:rsidRPr="00A83FD2">
        <w:rPr>
          <w:rFonts w:ascii="Book Antiqua" w:eastAsia="Book Antiqua" w:hAnsi="Book Antiqua" w:cs="Book Antiqua"/>
          <w:shd w:val="clear" w:color="auto" w:fill="FFFFFF"/>
        </w:rPr>
        <w:t>up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80%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cases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)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putative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role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bacteria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ANCA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formation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(homology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between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human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beta-tubulin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5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bacterial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FtsZ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protein,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molecular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mimicry)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described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26]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Early,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small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scale,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case-control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27]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found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correlation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between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ANCA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formation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genetic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features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A83FD2"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28]</w:t>
      </w:r>
      <w:r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large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comprehensive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case-control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study,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demonstrated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risk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genes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strong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formation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(HLA-B*08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DRB1*03)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ANCA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formation.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Interestingly,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between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presence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related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HLA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alleles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(B*08,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C*07,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DRB1*03)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risk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acute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rejection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syndrome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transplant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recipients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reported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(while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DRB1*04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found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protecting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factor)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29]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4D1F7F6C" w14:textId="6C97A9B2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against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proteinase-3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(PR3)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type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cytoplasmic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ANCA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(C-ANCAs).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PR3-ANCA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typically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observed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small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vessel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</w:rPr>
        <w:t>vasculitis</w:t>
      </w:r>
      <w:r w:rsidRPr="00A83FD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vertAlign w:val="superscript"/>
        </w:rPr>
        <w:t>30]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recently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reported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ulcerative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colitis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(UC)</w:t>
      </w:r>
      <w:r w:rsidRPr="00A83FD2">
        <w:rPr>
          <w:rFonts w:ascii="Book Antiqua" w:eastAsia="Book Antiqua" w:hAnsi="Book Antiqua" w:cs="Book Antiqua"/>
          <w:vertAlign w:val="superscript"/>
        </w:rPr>
        <w:t>[31]</w:t>
      </w:r>
      <w:r w:rsidR="001458D5"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which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prompted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researchers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investigate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well.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Interestingly,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setting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PR3-ANCA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seems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worse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biochemistry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rather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co-diagnosis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</w:rPr>
        <w:t>UC</w:t>
      </w:r>
      <w:r w:rsidRPr="00A83FD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vertAlign w:val="superscript"/>
        </w:rPr>
        <w:t>32]</w:t>
      </w:r>
      <w:r w:rsidRPr="00A83FD2">
        <w:rPr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study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Wunsch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et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al</w:t>
      </w:r>
      <w:r w:rsidRPr="00A83FD2">
        <w:rPr>
          <w:rFonts w:ascii="Book Antiqua" w:eastAsia="Book Antiqua" w:hAnsi="Book Antiqua" w:cs="Book Antiqua"/>
          <w:vertAlign w:val="superscript"/>
        </w:rPr>
        <w:t>[7]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besides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worse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function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tests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MELD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score,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PR3-ANCA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shown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CCA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development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DC4863" w:rsidRPr="00A83FD2">
        <w:rPr>
          <w:rFonts w:ascii="Book Antiqua" w:eastAsia="Book Antiqua" w:hAnsi="Book Antiqua" w:cs="Book Antiqua"/>
        </w:rPr>
        <w:t>[</w:t>
      </w:r>
      <w:r w:rsidR="001458D5" w:rsidRPr="00A83FD2">
        <w:rPr>
          <w:rFonts w:ascii="Book Antiqua" w:eastAsia="Book Antiqua" w:hAnsi="Book Antiqua" w:cs="Book Antiqua"/>
        </w:rPr>
        <w:t>hazard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ratio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DC4863" w:rsidRPr="00A83FD2">
        <w:rPr>
          <w:rFonts w:ascii="Book Antiqua" w:eastAsia="Book Antiqua" w:hAnsi="Book Antiqua" w:cs="Book Antiqua"/>
        </w:rPr>
        <w:t>(</w:t>
      </w:r>
      <w:r w:rsidRPr="00A83FD2">
        <w:rPr>
          <w:rFonts w:ascii="Book Antiqua" w:eastAsia="Book Antiqua" w:hAnsi="Book Antiqua" w:cs="Book Antiqua"/>
        </w:rPr>
        <w:t>HR</w:t>
      </w:r>
      <w:r w:rsidR="00DC4863" w:rsidRPr="00A83FD2">
        <w:rPr>
          <w:rFonts w:ascii="Book Antiqua" w:hAnsi="Book Antiqua" w:cs="Book Antiqua"/>
          <w:lang w:eastAsia="zh-CN"/>
        </w:rPr>
        <w:t>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9.8,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95%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confidence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1458D5" w:rsidRPr="00A83FD2">
        <w:rPr>
          <w:rFonts w:ascii="Book Antiqua" w:eastAsia="Book Antiqua" w:hAnsi="Book Antiqua" w:cs="Book Antiqua"/>
        </w:rPr>
        <w:t>interval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DC4863" w:rsidRPr="00A83FD2">
        <w:rPr>
          <w:rFonts w:ascii="Book Antiqua" w:hAnsi="Book Antiqua" w:cs="Book Antiqua"/>
          <w:lang w:eastAsia="zh-CN"/>
        </w:rPr>
        <w:t>(</w:t>
      </w:r>
      <w:r w:rsidRPr="00A83FD2">
        <w:rPr>
          <w:rFonts w:ascii="Book Antiqua" w:eastAsia="Book Antiqua" w:hAnsi="Book Antiqua" w:cs="Book Antiqua"/>
        </w:rPr>
        <w:t>CI</w:t>
      </w:r>
      <w:r w:rsidR="00DC4863" w:rsidRPr="00A83FD2">
        <w:rPr>
          <w:rFonts w:ascii="Book Antiqua" w:eastAsia="Book Antiqua" w:hAnsi="Book Antiqua" w:cs="Book Antiqua"/>
        </w:rPr>
        <w:t>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Style w:val="result"/>
          <w:rFonts w:ascii="Book Antiqua" w:eastAsia="Book Antiqua" w:hAnsi="Book Antiqua" w:cs="Book Antiqua"/>
        </w:rPr>
        <w:t>1.3</w:t>
      </w:r>
      <w:r w:rsidRPr="00A83FD2">
        <w:rPr>
          <w:rFonts w:ascii="Book Antiqua" w:eastAsia="Book Antiqua" w:hAnsi="Book Antiqua" w:cs="Book Antiqua"/>
        </w:rPr>
        <w:t>-</w:t>
      </w:r>
      <w:r w:rsidRPr="00A83FD2">
        <w:rPr>
          <w:rStyle w:val="result"/>
          <w:rFonts w:ascii="Book Antiqua" w:eastAsia="Book Antiqua" w:hAnsi="Book Antiqua" w:cs="Book Antiqua"/>
        </w:rPr>
        <w:t>74.5;</w:t>
      </w:r>
      <w:r w:rsidR="00A83FD2" w:rsidRPr="00A83FD2">
        <w:rPr>
          <w:rStyle w:val="result"/>
          <w:rFonts w:ascii="Book Antiqua" w:eastAsia="Book Antiqua" w:hAnsi="Book Antiqua" w:cs="Book Antiqua"/>
        </w:rPr>
        <w:t xml:space="preserve"> </w:t>
      </w:r>
      <w:r w:rsidRPr="00A83FD2">
        <w:rPr>
          <w:rStyle w:val="result"/>
          <w:rFonts w:ascii="Book Antiqua" w:eastAsia="Book Antiqua" w:hAnsi="Book Antiqua" w:cs="Book Antiqua"/>
          <w:i/>
          <w:iCs/>
        </w:rPr>
        <w:t>P</w:t>
      </w:r>
      <w:r w:rsidR="00A83FD2" w:rsidRPr="00A83FD2">
        <w:rPr>
          <w:rStyle w:val="result"/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Style w:val="result"/>
          <w:rFonts w:ascii="Book Antiqua" w:eastAsia="Book Antiqua" w:hAnsi="Book Antiqua" w:cs="Book Antiqua"/>
        </w:rPr>
        <w:t>=</w:t>
      </w:r>
      <w:r w:rsidR="00A83FD2" w:rsidRPr="00A83FD2">
        <w:rPr>
          <w:rStyle w:val="result"/>
          <w:rFonts w:ascii="Book Antiqua" w:eastAsia="Book Antiqua" w:hAnsi="Book Antiqua" w:cs="Book Antiqua"/>
        </w:rPr>
        <w:t xml:space="preserve"> </w:t>
      </w:r>
      <w:r w:rsidRPr="00A83FD2">
        <w:rPr>
          <w:rStyle w:val="result"/>
          <w:rFonts w:ascii="Book Antiqua" w:eastAsia="Book Antiqua" w:hAnsi="Book Antiqua" w:cs="Book Antiqua"/>
        </w:rPr>
        <w:t>0.03</w:t>
      </w:r>
      <w:r w:rsidR="00DC4863" w:rsidRPr="00A83FD2">
        <w:rPr>
          <w:rFonts w:ascii="Book Antiqua" w:eastAsia="Book Antiqua" w:hAnsi="Book Antiqua" w:cs="Book Antiqua"/>
        </w:rPr>
        <w:t>]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risk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shorter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transplant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free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(HR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1.8;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95%CI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1.3-2.8;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P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0.01).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However,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capacity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PR3-ANCA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confirmed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validation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cohort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where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frequency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PR3-ANCA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found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surprisingly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low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(5%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contrast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54%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discovery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cohort)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CCA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development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also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less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</w:rPr>
        <w:t>prevalent</w:t>
      </w:r>
      <w:r w:rsidRPr="00A83FD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vertAlign w:val="superscript"/>
        </w:rPr>
        <w:t>7]</w:t>
      </w:r>
      <w:r w:rsidRPr="00A83FD2">
        <w:rPr>
          <w:rFonts w:ascii="Book Antiqua" w:eastAsia="Book Antiqua" w:hAnsi="Book Antiqua" w:cs="Book Antiqua"/>
        </w:rPr>
        <w:t>.</w:t>
      </w:r>
    </w:p>
    <w:p w14:paraId="4C683763" w14:textId="77777777" w:rsidR="00A77B3E" w:rsidRPr="00A83FD2" w:rsidRDefault="00A77B3E" w:rsidP="00A83FD2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521B30C" w14:textId="34196B82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IgA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type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autoantibodies</w:t>
      </w:r>
    </w:p>
    <w:p w14:paraId="08DEA449" w14:textId="34BFE54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important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immunoglobulin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involved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mucosal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immunity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33]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Since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gut-liver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interaction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plays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central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role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pathogenesis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formation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autoreactive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antibodies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characteristic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feature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Under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physiological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conditions,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monomeric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inhibits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immunological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processes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(so-called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immunosuppressive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effect).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conditions,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lastRenderedPageBreak/>
        <w:t>immune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complexes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formed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aggregation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monomeric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molecules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activate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immunological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processes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binding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myeloid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34]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produced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plasma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lining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epithelium,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abundant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immunoglobulin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plays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central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role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defense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against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pathogens.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epithelial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cellular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targets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injury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epithelial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transport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molecules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lumens,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respectively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(→secretory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IgA)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35–37]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past,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antibodies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autoimmune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like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ANCA,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focused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mainly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antibodies,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recently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gaining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attention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38]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60513E96" w14:textId="33C78D7E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work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Berglin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A83FD2"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39]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example,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highlighted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described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importance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antibody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related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pathogenetic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pathways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demonstrated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presence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autoantibodies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against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epithelial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progression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faster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their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absence.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similar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correlation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observed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antibodies.</w:t>
      </w:r>
    </w:p>
    <w:p w14:paraId="27DAF7EE" w14:textId="44857846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2015,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our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group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reported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between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presence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anti-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GP2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antibodies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inflammatory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bowel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(IBD)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40]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Subsequently,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anti-GP2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positivity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demonstrated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458D5"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progressive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course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our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another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group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4,5]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results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confirmed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later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further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6,7]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total,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1111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evaluated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presence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anti-GP2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prevalence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found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between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30.8%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52.2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%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8]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Anti-GP2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consistently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reported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severe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phenotype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2-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5-fold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risk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stage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need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transplantation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(Figure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Consequently,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anti-GP2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soon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integrated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practice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risk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assessment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Moreover,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anti-GP2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identify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subset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existing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cancer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risk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during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course.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between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anti-GP2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CCA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reported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Jendrek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A83FD2"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[4]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confirmed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Wunsch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A83FD2"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[7]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both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evaluating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two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cohorts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each,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providing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strong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evidence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incorporation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anti-GP2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CCA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surveillance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protocols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could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beneficial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(Figure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1).</w:t>
      </w:r>
    </w:p>
    <w:p w14:paraId="16662D78" w14:textId="4F64FD02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lastRenderedPageBreak/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autoantibody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against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F-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actin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reported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enhanced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mucosal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immune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response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various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microbial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antigens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enterocyte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damage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identify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progressive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(HR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4.54;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95%CI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1.14-18.18;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0.032)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[41]</w:t>
      </w:r>
      <w:r w:rsidRPr="00A83FD2">
        <w:rPr>
          <w:rStyle w:val="MsoCommentReference0"/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Cytoskeletal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F-actin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initiates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extracellular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damage-associated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molecular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pattern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signaling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pathway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through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DNGR-1/CLEC9A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Syk</w:t>
      </w:r>
      <w:proofErr w:type="spellEnd"/>
      <w:r w:rsidRPr="00A83FD2">
        <w:rPr>
          <w:rFonts w:ascii="Book Antiqua" w:eastAsia="Book Antiqua" w:hAnsi="Book Antiqua" w:cs="Book Antiqua"/>
          <w:shd w:val="clear" w:color="auto" w:fill="FFFFFF"/>
        </w:rPr>
        <w:t>-SFK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results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antigen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cross-presentation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CD8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+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42</w:t>
      </w:r>
      <w:r w:rsidR="009F0FD3">
        <w:rPr>
          <w:rFonts w:ascii="Book Antiqua" w:hAnsi="Book Antiqua" w:cs="Book Antiqua" w:hint="eastAsia"/>
          <w:shd w:val="clear" w:color="auto" w:fill="FFFFFF"/>
          <w:vertAlign w:val="superscript"/>
          <w:lang w:eastAsia="zh-CN"/>
        </w:rPr>
        <w:t>-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45]</w:t>
      </w:r>
      <w:r w:rsidRPr="00A83FD2">
        <w:rPr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CD8</w:t>
      </w:r>
      <w:r w:rsidRPr="00A83FD2">
        <w:rPr>
          <w:rFonts w:ascii="Book Antiqua" w:eastAsia="Book Antiqua" w:hAnsi="Book Antiqua" w:cs="Book Antiqua"/>
          <w:vertAlign w:val="superscript"/>
        </w:rPr>
        <w:t>+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after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activation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recruited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induce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immune-mediated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</w:rPr>
        <w:t>mice</w:t>
      </w:r>
      <w:r w:rsidRPr="00A83FD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vertAlign w:val="superscript"/>
        </w:rPr>
        <w:t>46]</w:t>
      </w:r>
      <w:r w:rsidRPr="00A83FD2">
        <w:rPr>
          <w:rFonts w:ascii="Book Antiqua" w:eastAsia="Book Antiqua" w:hAnsi="Book Antiqua" w:cs="Book Antiqua"/>
        </w:rPr>
        <w:t>.</w:t>
      </w:r>
    </w:p>
    <w:p w14:paraId="68EB1D6C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ED4A75B" w14:textId="76597C4A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Other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serological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biomarkers</w:t>
      </w:r>
    </w:p>
    <w:p w14:paraId="5F250FD8" w14:textId="77777777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Interleukin-8</w:t>
      </w:r>
    </w:p>
    <w:p w14:paraId="2BDDBDBE" w14:textId="0234B6DB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result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lipopolysaccharide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(LPS)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exposure,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epithelial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produce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interleukin-8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(IL-8),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proliferation-promoting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effect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enhances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fibrogenesis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5101FB" w:rsidRPr="00A83FD2">
        <w:rPr>
          <w:rFonts w:ascii="Book Antiqua" w:eastAsia="Book Antiqua" w:hAnsi="Book Antiqua" w:cs="Book Antiqua"/>
          <w:shd w:val="clear" w:color="auto" w:fill="FFFFFF"/>
        </w:rPr>
        <w:t>related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gene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expression.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A83FD2"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47]</w:t>
      </w:r>
      <w:r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using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modern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antibody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array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technology,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elevated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IL-8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showed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strongest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poor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transplant-free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survival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among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pro-inflammatory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value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test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outcomes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found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IL-8.</w:t>
      </w:r>
    </w:p>
    <w:p w14:paraId="74C4E78E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40F42201" w14:textId="0011E63F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Macrophage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activation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markers</w:t>
      </w:r>
    </w:p>
    <w:p w14:paraId="70C95E19" w14:textId="100E5DB9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Bossen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A83FD2"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48]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found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macrophage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activation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soluble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CD163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(sCD163)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mannose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receptor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</w:t>
      </w:r>
      <w:proofErr w:type="spellStart"/>
      <w:r w:rsidRPr="00A83FD2">
        <w:rPr>
          <w:rFonts w:ascii="Book Antiqua" w:eastAsia="Book Antiqua" w:hAnsi="Book Antiqua" w:cs="Book Antiqua"/>
        </w:rPr>
        <w:t>sMR</w:t>
      </w:r>
      <w:proofErr w:type="spellEnd"/>
      <w:r w:rsidRPr="00A83FD2">
        <w:rPr>
          <w:rFonts w:ascii="Book Antiqua" w:eastAsia="Book Antiqua" w:hAnsi="Book Antiqua" w:cs="Book Antiqua"/>
        </w:rPr>
        <w:t>),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increased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according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severity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3714AD" w:rsidRPr="00A83FD2">
        <w:rPr>
          <w:rFonts w:ascii="Book Antiqua" w:eastAsia="Book Antiqua" w:hAnsi="Book Antiqua" w:cs="Book Antiqua"/>
        </w:rPr>
        <w:t>two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independent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cohorts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138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159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both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cohorts,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sCD163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sMR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levels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3714AD" w:rsidRPr="00A83FD2">
        <w:rPr>
          <w:rFonts w:ascii="Book Antiqua" w:eastAsia="Book Antiqua" w:hAnsi="Book Antiqua" w:cs="Book Antiqua"/>
        </w:rPr>
        <w:t>rose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3714AD"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parallel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increasing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enzymes,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MRS</w:t>
      </w:r>
      <w:r w:rsidR="003714AD"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ELF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test.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high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baseline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levels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sCD163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(&gt;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3.86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mg/L)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decreased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transplant-free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during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8-year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3714AD" w:rsidRPr="00A83FD2">
        <w:rPr>
          <w:rFonts w:ascii="Book Antiqua" w:eastAsia="Book Antiqua" w:hAnsi="Book Antiqua" w:cs="Book Antiqua"/>
        </w:rPr>
        <w:t>follow-</w:t>
      </w:r>
      <w:r w:rsidRPr="00A83FD2">
        <w:rPr>
          <w:rFonts w:ascii="Book Antiqua" w:eastAsia="Book Antiqua" w:hAnsi="Book Antiqua" w:cs="Book Antiqua"/>
        </w:rPr>
        <w:t>up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both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cohorts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(35.2%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vs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83.0%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combined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cohort).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sMR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showed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similar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cohorts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severe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features.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Cox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regression,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sCD163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also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performed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better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severe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cohort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(HR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3.15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2.89)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lost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significance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multivariate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model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against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ELF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test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AOM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score.</w:t>
      </w:r>
    </w:p>
    <w:p w14:paraId="782BC7D6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429E462B" w14:textId="1010C04B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lastRenderedPageBreak/>
        <w:t>BT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markers</w:t>
      </w:r>
    </w:p>
    <w:p w14:paraId="4CF6A8FA" w14:textId="503FC0BE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investigating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BT,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zonulin</w:t>
      </w:r>
      <w:proofErr w:type="spellEnd"/>
      <w:r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fatty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acid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binding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protein,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soluble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CD14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(sCD14),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LPS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LPS-binding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protein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(LBP)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measured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166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100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healthy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controls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[49]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LBP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sCD14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whilst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zonulin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lower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compared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controls.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latter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difference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disappeared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exclusion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elevated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prothrombin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time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(indicating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advanced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CCA,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sCD14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5101FB" w:rsidRPr="00A83FD2">
        <w:rPr>
          <w:rFonts w:ascii="Book Antiqua" w:eastAsia="Book Antiqua" w:hAnsi="Book Antiqua" w:cs="Book Antiqua"/>
          <w:shd w:val="clear" w:color="auto" w:fill="FFFFFF"/>
        </w:rPr>
        <w:t>l</w:t>
      </w:r>
      <w:r w:rsidRPr="00A83FD2">
        <w:rPr>
          <w:rFonts w:ascii="Book Antiqua" w:eastAsia="Book Antiqua" w:hAnsi="Book Antiqua" w:cs="Book Antiqua"/>
          <w:shd w:val="clear" w:color="auto" w:fill="FFFFFF"/>
        </w:rPr>
        <w:t>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compared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without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sCD14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LBP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values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(&gt;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1638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ng/mL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&gt;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13942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ng/mL,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respectively</w:t>
      </w:r>
      <w:r w:rsidRPr="00A83FD2">
        <w:rPr>
          <w:rFonts w:ascii="Book Antiqua" w:eastAsia="Book Antiqua" w:hAnsi="Book Antiqua" w:cs="Book Antiqua"/>
          <w:shd w:val="clear" w:color="auto" w:fill="FFFFFF"/>
        </w:rPr>
        <w:t>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reduced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transplantation-free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survival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independently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(HR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2.26;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95%CI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1.15-4.43;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0.018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2.00;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95%CI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1.17-3.43;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0.011,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respectively).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Further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needed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validate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findings.</w:t>
      </w:r>
    </w:p>
    <w:p w14:paraId="2DBD51FE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52FF4893" w14:textId="7BD75A48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Extracellular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remodeling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markers</w:t>
      </w:r>
    </w:p>
    <w:p w14:paraId="26901E4C" w14:textId="7B8E27DA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cohort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138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5101FB" w:rsidRPr="00A83FD2">
        <w:rPr>
          <w:rFonts w:ascii="Book Antiqua" w:eastAsia="Book Antiqua" w:hAnsi="Book Antiqua" w:cs="Book Antiqua"/>
          <w:shd w:val="clear" w:color="auto" w:fill="FFFFFF"/>
        </w:rPr>
        <w:t>l</w:t>
      </w:r>
      <w:r w:rsidRPr="00A83FD2">
        <w:rPr>
          <w:rFonts w:ascii="Book Antiqua" w:eastAsia="Book Antiqua" w:hAnsi="Book Antiqua" w:cs="Book Antiqua"/>
          <w:shd w:val="clear" w:color="auto" w:fill="FFFFFF"/>
        </w:rPr>
        <w:t>arge-duct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(74%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IBD)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using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52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controls,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Nielsen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A83FD2"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[50]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investigated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potential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four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extracellular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remodeling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related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collagen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formation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(PRO-C3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PRO-C5)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collagen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degradation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(C3M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C4M).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elevated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compared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PRO-C3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showing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robust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difference.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three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exception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C3M)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shorter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transplant-free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survival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during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4-year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follow-</w:t>
      </w:r>
      <w:r w:rsidRPr="00A83FD2">
        <w:rPr>
          <w:rFonts w:ascii="Book Antiqua" w:eastAsia="Book Antiqua" w:hAnsi="Book Antiqua" w:cs="Book Antiqua"/>
          <w:shd w:val="clear" w:color="auto" w:fill="FFFFFF"/>
        </w:rPr>
        <w:t>up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period.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univariate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Cox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regression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model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(using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tertiles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markers)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PRO-C3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highest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HR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</w:t>
      </w:r>
      <w:r w:rsidRPr="00A83FD2">
        <w:rPr>
          <w:rFonts w:ascii="Book Antiqua" w:eastAsia="Book Antiqua" w:hAnsi="Book Antiqua" w:cs="Book Antiqua"/>
        </w:rPr>
        <w:t>HR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3.02;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95%CI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1.96-4.67,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&lt;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0.001</w:t>
      </w:r>
      <w:r w:rsidRPr="00A83FD2">
        <w:rPr>
          <w:rFonts w:ascii="Book Antiqua" w:eastAsia="Book Antiqua" w:hAnsi="Book Antiqua" w:cs="Book Antiqua"/>
          <w:shd w:val="clear" w:color="auto" w:fill="FFFFFF"/>
        </w:rPr>
        <w:t>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failed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survival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multivariate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model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including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test,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PRO-C5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remained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independent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(multivariate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HR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1.92;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95%CI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1.28</w:t>
      </w:r>
      <w:r w:rsidR="00DA7565" w:rsidRPr="00A83FD2">
        <w:rPr>
          <w:rFonts w:ascii="Book Antiqua" w:eastAsia="Book Antiqua" w:hAnsi="Book Antiqua" w:cs="Book Antiqua"/>
          <w:shd w:val="clear" w:color="auto" w:fill="FFFFFF"/>
        </w:rPr>
        <w:t>-</w:t>
      </w:r>
      <w:r w:rsidRPr="00A83FD2">
        <w:rPr>
          <w:rFonts w:ascii="Book Antiqua" w:eastAsia="Book Antiqua" w:hAnsi="Book Antiqua" w:cs="Book Antiqua"/>
          <w:shd w:val="clear" w:color="auto" w:fill="FFFFFF"/>
        </w:rPr>
        <w:t>2.88;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0.002).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combination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PRO-C3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PRO-C5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resulted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significantly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improved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odds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ratio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47.3;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&lt;</w:t>
      </w:r>
      <w:r w:rsidR="00A83FD2" w:rsidRPr="00A83FD2">
        <w:rPr>
          <w:rFonts w:ascii="Book Antiqua" w:hAnsi="Book Antiqua" w:cs="Book Antiqua"/>
          <w:lang w:eastAsia="zh-CN"/>
        </w:rPr>
        <w:t xml:space="preserve"> </w:t>
      </w:r>
      <w:r w:rsidRPr="00A83FD2">
        <w:rPr>
          <w:rFonts w:ascii="Book Antiqua" w:eastAsia="Book Antiqua" w:hAnsi="Book Antiqua" w:cs="Book Antiqua"/>
        </w:rPr>
        <w:t>0.001</w:t>
      </w:r>
      <w:r w:rsidRPr="00A83FD2">
        <w:rPr>
          <w:rFonts w:ascii="Book Antiqua" w:eastAsia="Book Antiqua" w:hAnsi="Book Antiqua" w:cs="Book Antiqua"/>
          <w:shd w:val="clear" w:color="auto" w:fill="FFFFFF"/>
        </w:rPr>
        <w:t>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compared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individual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test.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latter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test,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authors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compared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outcomes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first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(lowest)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tertile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those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third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(highest)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tertile</w:t>
      </w:r>
      <w:proofErr w:type="spellEnd"/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Further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needed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confirm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importance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findings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well.</w:t>
      </w:r>
    </w:p>
    <w:p w14:paraId="01E71CDC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1A4ACFD5" w14:textId="77777777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MicroRNA-122</w:t>
      </w:r>
    </w:p>
    <w:p w14:paraId="4313E2CA" w14:textId="487665EE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lastRenderedPageBreak/>
        <w:t>MicroRNA-122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(miR-122)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abundant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microRNA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orchestrating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molecular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pathways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hepatocytes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regulating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functions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including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lipid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cholesterol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homeostasis.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MiR-122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deficiency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leads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inflammation,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cholestasis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ultimately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fibrosis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51]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Friedrich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A83FD2"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52]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investigated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predictive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potential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miR-122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114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prospective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follow-</w:t>
      </w:r>
      <w:r w:rsidRPr="00A83FD2">
        <w:rPr>
          <w:rFonts w:ascii="Book Antiqua" w:eastAsia="Book Antiqua" w:hAnsi="Book Antiqua" w:cs="Book Antiqua"/>
          <w:shd w:val="clear" w:color="auto" w:fill="FFFFFF"/>
        </w:rPr>
        <w:t>up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10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years.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divided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population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low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miR-122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median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value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</w:t>
      </w:r>
      <w:r w:rsidRPr="00A83FD2">
        <w:rPr>
          <w:rFonts w:ascii="Book Antiqua" w:eastAsia="Book Antiqua" w:hAnsi="Book Antiqua" w:cs="Book Antiqua"/>
        </w:rPr>
        <w:t>CT-value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28.5</w:t>
      </w:r>
      <w:r w:rsidRPr="00A83FD2">
        <w:rPr>
          <w:rFonts w:ascii="Book Antiqua" w:eastAsia="Book Antiqua" w:hAnsi="Book Antiqua" w:cs="Book Antiqua"/>
          <w:shd w:val="clear" w:color="auto" w:fill="FFFFFF"/>
        </w:rPr>
        <w:t>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Low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miR-122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risk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death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need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transplantation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(HR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1.27;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95%CI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1.04-1.39;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0.009)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even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multivariate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Cox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regression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model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including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MRS,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presence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dominant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stricture</w:t>
      </w:r>
      <w:r w:rsidR="003714AD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IBD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(HR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1.19;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95%CI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1.00-1.43;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0.045).</w:t>
      </w:r>
    </w:p>
    <w:p w14:paraId="6CF04A01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5953F469" w14:textId="71A2369C" w:rsidR="00A77B3E" w:rsidRPr="00A83FD2" w:rsidRDefault="00FA171B" w:rsidP="00A83FD2">
      <w:pPr>
        <w:spacing w:line="360" w:lineRule="auto"/>
        <w:jc w:val="both"/>
        <w:rPr>
          <w:rFonts w:ascii="Book Antiqua" w:hAnsi="Book Antiqua"/>
          <w:b/>
        </w:rPr>
      </w:pPr>
      <w:r w:rsidRPr="00A83FD2">
        <w:rPr>
          <w:rFonts w:ascii="Book Antiqua" w:hAnsi="Book Antiqua"/>
          <w:b/>
          <w:i/>
        </w:rPr>
        <w:t>Soluble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vascular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adhesion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protein</w:t>
      </w:r>
      <w:r w:rsidR="00A83FD2" w:rsidRPr="00A83FD2">
        <w:rPr>
          <w:rFonts w:ascii="Book Antiqua" w:hAnsi="Book Antiqua"/>
          <w:b/>
          <w:i/>
        </w:rPr>
        <w:t xml:space="preserve"> </w:t>
      </w:r>
      <w:r w:rsidRPr="00A83FD2">
        <w:rPr>
          <w:rFonts w:ascii="Book Antiqua" w:hAnsi="Book Antiqua"/>
          <w:b/>
          <w:i/>
        </w:rPr>
        <w:t>1</w:t>
      </w:r>
    </w:p>
    <w:p w14:paraId="04D4374A" w14:textId="015A7D04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Expression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vascular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adhesion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protein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(VAP-1)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amine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oxidase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enzyme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activity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endothelium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former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results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elevation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soluble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(sVAP-1)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patients’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sera.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Elevated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sVAP-1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(&gt;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529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ng/mL)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adverse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disease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outcome,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independent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presence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cirrhosis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(HR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3.85;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</w:rPr>
        <w:t>95%CI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=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1.57</w:t>
      </w:r>
      <w:r w:rsidR="00806FAC">
        <w:rPr>
          <w:rFonts w:ascii="Book Antiqua" w:hAnsi="Book Antiqua" w:cs="Book Antiqua" w:hint="eastAsia"/>
          <w:shd w:val="clear" w:color="auto" w:fill="FFFFFF"/>
          <w:lang w:eastAsia="zh-CN"/>
        </w:rPr>
        <w:t>-</w:t>
      </w:r>
      <w:r w:rsidRPr="00A83FD2">
        <w:rPr>
          <w:rFonts w:ascii="Book Antiqua" w:eastAsia="Book Antiqua" w:hAnsi="Book Antiqua" w:cs="Book Antiqua"/>
          <w:shd w:val="clear" w:color="auto" w:fill="FFFFFF"/>
        </w:rPr>
        <w:t>9.34;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=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0.003)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53]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5C59CEDF" w14:textId="05704A99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VAP-1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activity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results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expression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mucosal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addressin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adhesion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molecule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(MAdCAM-1)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tissue,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otherwise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expressed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endothelium.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MAdCAM-1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binds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α4β7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integrin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receptors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effector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lymphocytes,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required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lymphocyte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homing.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Thus,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abnormally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expressed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MAdCAM-1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results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entry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activated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effector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lymphocytes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tissue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53]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expression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intrahepatic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activity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VAP-1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attributed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altered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flora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amine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influx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portal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due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inflamed,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permeable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bowel.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amine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substrate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VAP-1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cysteamine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53]</w:t>
      </w:r>
      <w:r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causes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colitis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colorectal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carcinoma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mice.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hAnsi="Book Antiqua"/>
          <w:i/>
          <w:shd w:val="clear" w:color="auto" w:fill="FFFFFF"/>
        </w:rPr>
        <w:t>Escherichia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genus,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produce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cysteamine</w:t>
      </w:r>
      <w:r w:rsidR="00A83FD2"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vitro</w:t>
      </w:r>
      <w:r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upregulated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mucosa-associated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microbiota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population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epithelium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itself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capable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cysteamine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production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  <w:shd w:val="clear" w:color="auto" w:fill="FFFFFF"/>
        </w:rPr>
        <w:t>via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ectoenzyme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vanin-1.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observation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cysteamine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enhances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colonic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inflammation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carcinogenesis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consistent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colon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carcinoma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lastRenderedPageBreak/>
        <w:t>formation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observed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aldehyde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derivative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formed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during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metabolism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cysteamine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causes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abnormal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collagen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cross-binding,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could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theoretically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contribute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fibrogenesis.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VAP-1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activity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colonic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tissue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likely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attempt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counteract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amine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load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resulting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from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colitis.</w:t>
      </w:r>
    </w:p>
    <w:p w14:paraId="7C623BAA" w14:textId="689188A5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newly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discovered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VAP-1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pathway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explanation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colitis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amine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production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lead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damage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tissue.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VAP-1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potential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therapeutic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target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future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due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effect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promoting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α4β7/MAdCAM-1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interaction.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VAP-1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antagonist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regulate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migration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effector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lymphocytes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from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inflamed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thereby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inhibit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fibrogenesis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53]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5F97F639" w14:textId="3637C7B3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biomarkers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individually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parts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score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systems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summarized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Figure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2.</w:t>
      </w:r>
    </w:p>
    <w:p w14:paraId="63CDC026" w14:textId="77777777" w:rsidR="00A77B3E" w:rsidRPr="00A83FD2" w:rsidRDefault="00A77B3E" w:rsidP="00A83FD2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67514AAB" w14:textId="4DD86A9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Serological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biomarkers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for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detecting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cholangiocarcinoma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in</w:t>
      </w:r>
      <w:r w:rsidR="00A83FD2" w:rsidRPr="00A83FD2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caps/>
          <w:u w:val="single"/>
        </w:rPr>
        <w:t>PSC</w:t>
      </w:r>
    </w:p>
    <w:p w14:paraId="34AA6C4C" w14:textId="4430996E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Carbohydrate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antigen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19-9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(CA19-9)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commonly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screening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CCA,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application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limited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lack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comprehensive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comparing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without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CCA.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small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ultimately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provided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inconsistent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cut-off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values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54]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field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discovery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role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fucosyltransferase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(FUT)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3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influencing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CA19-9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enzymes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catalyze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steps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CA19-9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biosynthesis.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identified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genotypes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low,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intermediate,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CA19-9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synthesis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capacity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displaying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distinct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CA19-9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55]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According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data,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CA19-9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appropriate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CCA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screening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low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CA19-9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biosynthesis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genotype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since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synthetize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CA19-9.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group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identified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Lewis-negative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blood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group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which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determined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enzymes.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contrast,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CA19-9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biosynthesis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genotype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might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reason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false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positive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results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55]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addition,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bacterial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cholangitis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another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explanation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increased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CA19-9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FE64F5" w:rsidRPr="00A83FD2">
        <w:rPr>
          <w:rFonts w:ascii="Book Antiqua" w:eastAsia="Book Antiqua" w:hAnsi="Book Antiqua" w:cs="Book Antiqua"/>
          <w:shd w:val="clear" w:color="auto" w:fill="FFFFFF"/>
        </w:rPr>
        <w:t>l</w:t>
      </w:r>
      <w:r w:rsidRPr="00A83FD2">
        <w:rPr>
          <w:rFonts w:ascii="Book Antiqua" w:eastAsia="Book Antiqua" w:hAnsi="Book Antiqua" w:cs="Book Antiqua"/>
          <w:shd w:val="clear" w:color="auto" w:fill="FFFFFF"/>
        </w:rPr>
        <w:t>evel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without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CCA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56]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090961DA" w14:textId="3ADA2D58" w:rsidR="00A77B3E" w:rsidRPr="00A83FD2" w:rsidRDefault="00FA171B" w:rsidP="00A83FD2">
      <w:pPr>
        <w:spacing w:line="360" w:lineRule="auto"/>
        <w:ind w:firstLine="240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Finally,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demonstrated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significant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influence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FUT2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genotype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also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serum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prominent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effect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observed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subgroup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incapable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lastRenderedPageBreak/>
        <w:t>CA19-9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A83FD2">
        <w:rPr>
          <w:rFonts w:ascii="Book Antiqua" w:eastAsia="Book Antiqua" w:hAnsi="Book Antiqua" w:cs="Book Antiqua"/>
          <w:shd w:val="clear" w:color="auto" w:fill="FFFFFF"/>
        </w:rPr>
        <w:t>biosynthesis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57]</w:t>
      </w:r>
      <w:r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Studies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biomarkers,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like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angiopoetin-2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[58]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cytokeratin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fraction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21-1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[59</w:t>
      </w:r>
      <w:r w:rsidR="00CE097B"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]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not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reached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satisfactory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results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terms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identifying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individuals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CCA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among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patients.</w:t>
      </w:r>
    </w:p>
    <w:p w14:paraId="47FB8B30" w14:textId="77777777" w:rsidR="00A77B3E" w:rsidRPr="00A83FD2" w:rsidRDefault="00A77B3E" w:rsidP="00A83FD2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1817839C" w14:textId="7777777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5920C2F9" w14:textId="36E8E428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shd w:val="clear" w:color="auto" w:fill="FFFFFF"/>
        </w:rPr>
        <w:t>Several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promising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discoveries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made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biomarkers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first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validated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prognostic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biomarker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(anti-GP2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finally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ready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incorporated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clinical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practice,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investigations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highlighted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important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pathophysiological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mechanisms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future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research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might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open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new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avenues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medical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therapy.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However,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still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lack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specific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could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support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diagnosis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Additionally,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serological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satisfactory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discriminative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power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aid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recognition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CCA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PSC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patients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another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unmet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need.</w:t>
      </w:r>
    </w:p>
    <w:p w14:paraId="58E4B95A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59A784F0" w14:textId="7777777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t>REFERENCES</w:t>
      </w:r>
    </w:p>
    <w:p w14:paraId="0AA3E3D3" w14:textId="39FA060C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Eaton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JE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Talwalkar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Lazaridis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Gores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Lindor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KD.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Pathogenesis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advances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diagnosis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management.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Gastroenterology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2013;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145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521-536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23827861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10.1053/j.gastro.2013.06.052]</w:t>
      </w:r>
    </w:p>
    <w:p w14:paraId="4C67DA10" w14:textId="137926A0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Trivedi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PJ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Adams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DH.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Mucosal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autoimmunity: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comprehensive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review.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Autoimmun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2013;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46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97-111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23891169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10.1016/j.jaut.2013.06.013]</w:t>
      </w:r>
    </w:p>
    <w:p w14:paraId="47256B6F" w14:textId="5D112654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Dyson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JK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Beuers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Jones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Lohse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Hudson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Lancet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391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2547-2559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29452711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10.1016/S0140-6736(18)30300-3]</w:t>
      </w:r>
    </w:p>
    <w:p w14:paraId="01975014" w14:textId="71C07E51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Jendrek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ST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Gotthardt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Nitzsche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Widmann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Korf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Michaels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Weiss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Liaskou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Mindorf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Schemmer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Bär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Teegen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Schröder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Ehlers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Hammers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Komorowski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Lehnert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Fellermann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Derer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Sina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Anti-GP2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autoantibodies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cholangiocarcinoma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2017;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66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137-144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27406039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10.1136/gutjnl-2016-311739]</w:t>
      </w:r>
    </w:p>
    <w:p w14:paraId="24E7BF12" w14:textId="027C1A0C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T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Sipeki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Alsulaimani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Fechner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Roggenbuck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Norman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Veres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Szalay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Lakatos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Antal-Szalmas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Papp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Loss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tolerance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protein,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glycoprotein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(GP2)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progressive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lastRenderedPageBreak/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course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Sci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Rep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8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399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29321484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10.1038/s41598-017-18622-1]</w:t>
      </w:r>
    </w:p>
    <w:p w14:paraId="6999EB08" w14:textId="2868F994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Sowa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Kolenda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Baumgart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Pratschke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Papp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Suchanski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Bogdanos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Mytilinaiou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Hammermann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Laass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Conrad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Schramm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Franke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Roggenbuck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Schierack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Mucosal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Autoimmunity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Cell-Bound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GP2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Isoforms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Sensitive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Marker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Phenotype.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Front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Immunol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9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1959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30233574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10.3389/fimmu.2018.01959]</w:t>
      </w:r>
    </w:p>
    <w:p w14:paraId="50DA80E9" w14:textId="74D13C39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Wunsch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E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Norman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Milkiewicz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Krawczyk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Bentow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Shums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Z,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Mahler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Lopens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Reinhold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Franke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Schramm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Roggenbuck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Milkiewicz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Anti-glycoprotein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(anti-GP2)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anti-neutrophil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cytoplasmic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proteinase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(PR3-ANCA):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severe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cholangiocarcinoma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Aliment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2021;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53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302-313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33159471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10.1111/apt.16153]</w:t>
      </w:r>
    </w:p>
    <w:p w14:paraId="69905B7C" w14:textId="4EDEB8E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D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Papp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Editorial: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serologic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-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tell-tale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sign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compromised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gut-liver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immunity?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Aliment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2021;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53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350-351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33368511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10.1111/apt.16201]</w:t>
      </w:r>
    </w:p>
    <w:p w14:paraId="62129304" w14:textId="2CE2FE80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Karlsen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TH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Folseraas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Thorburn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-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comprehensive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review.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2017;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67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1298-1323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28802875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10.1016/j.jhep.2017.07.022]</w:t>
      </w:r>
    </w:p>
    <w:p w14:paraId="7D9EDAAA" w14:textId="1A5106C5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10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Al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Mamari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S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Djordjevic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Halliday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Chapman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RW.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Improvement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serum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alkaline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phosphatase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&lt;1.5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upper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limit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normal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better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outcome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reduced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risk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cholangiocarcinoma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2013;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58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329-334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23085647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10.1016/j.jhep.2012.10.013]</w:t>
      </w:r>
    </w:p>
    <w:p w14:paraId="5237A045" w14:textId="0F217E6D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11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Hilscher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Enders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Carey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Lindor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Tabibian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JH.</w:t>
      </w:r>
      <w:r w:rsidR="00A83FD2" w:rsidRPr="00A83FD2">
        <w:rPr>
          <w:rFonts w:ascii="Book Antiqua" w:eastAsia="Book Antiqua" w:hAnsi="Book Antiqua" w:cs="Book Antiqua"/>
        </w:rPr>
        <w:t xml:space="preserve">  </w:t>
      </w:r>
      <w:r w:rsidRPr="00A83FD2">
        <w:rPr>
          <w:rFonts w:ascii="Book Antiqua" w:eastAsia="Book Antiqua" w:hAnsi="Book Antiqua" w:cs="Book Antiqua"/>
        </w:rPr>
        <w:t>Alkaline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phosphatase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normalization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improved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Ann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2016;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15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246-253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26845602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10.5604/16652681.1193721]</w:t>
      </w:r>
    </w:p>
    <w:p w14:paraId="3B0C624A" w14:textId="7580192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12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Lindström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L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Hultcrantz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Boberg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Friis-Liby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Bergquist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between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reduced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levels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alkaline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phosphatase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times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2013;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11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841-846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23353641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10.1016/j.cgh.2012.12.032]</w:t>
      </w:r>
    </w:p>
    <w:p w14:paraId="652387F3" w14:textId="2040C01F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lastRenderedPageBreak/>
        <w:t>13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Stanich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PP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Björnsson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Gossard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Enders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Jorgensen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Lindor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KD.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Alkaline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phosphatase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normalization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better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prognosis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Dig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Liver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Dis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2011;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43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309-313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21251891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10.1016/j.dld.2010.12.008]</w:t>
      </w:r>
    </w:p>
    <w:p w14:paraId="1F2351AB" w14:textId="0EFD3DDE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14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Kim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WR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Therneau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Wiesner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Poterucha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Benson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Malinchoc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LaRusso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Lindor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Dickson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ER.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revised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natural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history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model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Mayo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Proc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2000;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75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688-694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10907383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10.4065/75.7.688]</w:t>
      </w:r>
    </w:p>
    <w:p w14:paraId="2900BF2D" w14:textId="19C25000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15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Thorburn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D</w:t>
      </w:r>
      <w:r w:rsidRPr="00A83FD2">
        <w:rPr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Prognostic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scores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non-invasive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good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papers?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Lancet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2017;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2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774-776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29017709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10.1016/S2468-1253(17)30296-0]</w:t>
      </w:r>
    </w:p>
    <w:p w14:paraId="1CB2E1B7" w14:textId="072A6EB1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16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de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Vries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EM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Williamson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Leeflang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Boonstra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Weersma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Beuers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Chapman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Geskus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Ponsioen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novel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prognostic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model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transplant-free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67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1864-1869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28739581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10.1136/gutjnl-2016-313681]</w:t>
      </w:r>
    </w:p>
    <w:p w14:paraId="1589DE15" w14:textId="004DA284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17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Goode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EC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Clark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Mells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Srivastava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Spiess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Gelson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WTH,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Trivedi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Lynch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Castren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Anderson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Thorburn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Hudson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Heneghan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Aldersley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Bathgate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Sandford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Alexander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Chapman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Walmsley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UK-PSC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Consortium,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Hirschfield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Rushbrook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Factors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Outcomes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Development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Validation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Risk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Scoring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System.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Hepatology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2019;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69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2120-2135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30566748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10.1002/hep.30479]</w:t>
      </w:r>
    </w:p>
    <w:p w14:paraId="651992BC" w14:textId="321C458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18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Eaton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JE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McCauley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Atkinson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Schlicht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Juran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Gossard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LaRusso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Gores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Lazaridis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KN.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Risk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Estimate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</w:t>
      </w:r>
      <w:proofErr w:type="spellStart"/>
      <w:r w:rsidRPr="00A83FD2">
        <w:rPr>
          <w:rFonts w:ascii="Book Antiqua" w:eastAsia="Book Antiqua" w:hAnsi="Book Antiqua" w:cs="Book Antiqua"/>
        </w:rPr>
        <w:t>PREsTo</w:t>
      </w:r>
      <w:proofErr w:type="spellEnd"/>
      <w:r w:rsidRPr="00A83FD2">
        <w:rPr>
          <w:rFonts w:ascii="Book Antiqua" w:eastAsia="Book Antiqua" w:hAnsi="Book Antiqua" w:cs="Book Antiqua"/>
        </w:rPr>
        <w:t>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Outcomes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Derivation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Validation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Study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Machine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Learning.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Hepatology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2020;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71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214-224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29742811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10.1002/hep.30085]</w:t>
      </w:r>
    </w:p>
    <w:p w14:paraId="211F1E99" w14:textId="25461795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19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de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Vries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EMG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Färkkilä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Milkiewicz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Eksteen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Thorburn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Chazouillères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Pares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Nygård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Gilja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Wunsch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Invernizzi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Carbone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Bernuzzi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Boberg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Røsjø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Rosenberg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Beuers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Ponsioen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Enhanced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fibrosis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test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transplant-free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lastRenderedPageBreak/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multi-</w:t>
      </w:r>
      <w:proofErr w:type="spellStart"/>
      <w:r w:rsidRPr="00A83FD2">
        <w:rPr>
          <w:rFonts w:ascii="Book Antiqua" w:eastAsia="Book Antiqua" w:hAnsi="Book Antiqua" w:cs="Book Antiqua"/>
        </w:rPr>
        <w:t>centre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study.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Liver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2017;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37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1554-1561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28267887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10.1111/Liv.13402]</w:t>
      </w:r>
    </w:p>
    <w:p w14:paraId="41E5A76D" w14:textId="381F7DCF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20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Holm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Schrumpf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Nygård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Godang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Andersen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Naess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Thorburn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Saffioti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Vatn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Gilja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Lund-Johansen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Syversveen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Brabrand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Parés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Ponsioen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Pinzani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Färkkilä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Moum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Ueland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Røsjø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Rosenberg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Boberg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Enhanced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fibrosis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score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transplant-free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Hepatology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2015;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62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188-197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25833813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10.1002/hep.27825]</w:t>
      </w:r>
    </w:p>
    <w:p w14:paraId="2254E441" w14:textId="7877A533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21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Fossdal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G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Mjelle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Wiencke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Bjørk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Gilja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Folseraas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Rosenberg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Giil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Fluctuating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longitudinal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comparison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alkaline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phosphatase,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stiffness,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ELF.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JHEP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Rep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2021;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3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100328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34485881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10.1016/j.jhepr.2021.100328]</w:t>
      </w:r>
    </w:p>
    <w:p w14:paraId="2DC55B6B" w14:textId="5CBCC8C5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22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Lindor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KD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Kowdley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KV,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Harrison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ME;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American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College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Gastroenterology.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Guideline: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Am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2015;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110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646-59;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quiz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660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25869391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10.1038/ajg.2015.112]</w:t>
      </w:r>
    </w:p>
    <w:p w14:paraId="0750EE7E" w14:textId="4D260D4D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23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Mendes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FD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Jorgensen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Keach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Katzmann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Smyrk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Donlinger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Chari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Lindor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KD.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Elevated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serum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IgG4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concentration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Am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2006;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101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2070-2075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16879434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10.1111/j.1572-0241.2006.00772.x]</w:t>
      </w:r>
    </w:p>
    <w:p w14:paraId="46DA0A5A" w14:textId="4EB96AAA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24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Björnsson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E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Chari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Silveira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Gossard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Takahashi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Smyrk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Lindor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elevated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immunoglobulin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G4: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characteristics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response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therapy.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Am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2011;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18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198-205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20228674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10.1097/MJT.0b013e3181c9dac6]</w:t>
      </w:r>
    </w:p>
    <w:p w14:paraId="35CBE97A" w14:textId="70AAFA7C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25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Sebode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Weiler-Normann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Liwinski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Schramm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Autoantibodies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Autoimmune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Disease-Clinical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Diagnostic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Relevance.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Front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Immunol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9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609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29636752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10.3389/fimmu.2018.00609]</w:t>
      </w:r>
    </w:p>
    <w:p w14:paraId="6AC8AB6F" w14:textId="08235A62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26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Terjung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B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Spengler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Atypical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p-ANCA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PSC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AIH: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hint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toward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"leaky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gut"?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Rev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Allergy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Immunol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2009;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36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40-51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18626795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10.1007/s12016-008-8088-8]</w:t>
      </w:r>
    </w:p>
    <w:p w14:paraId="2F65B16B" w14:textId="1F23C664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lastRenderedPageBreak/>
        <w:t>27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JR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Boberg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Autoantibodies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World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2008;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14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3781-3791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18609700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10.3748/wjg.14.3781]</w:t>
      </w:r>
    </w:p>
    <w:p w14:paraId="6B542584" w14:textId="4985DF68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28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JR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Boberg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Taraldsrud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Boyadzhieva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Solberg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Schrumpf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Vatn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Molberg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Ø,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Antineutrophil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define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genetic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subgroups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Liver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2017;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37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458-465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27558072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10.1111/Liv.13238]</w:t>
      </w:r>
    </w:p>
    <w:p w14:paraId="16303C61" w14:textId="0868157E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29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Fosby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B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Næss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Traherne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Boberg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Trowsdale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Foss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Franke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Melum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Scott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HLA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variants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related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influence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rejection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after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transplantation.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World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2014;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20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3986-4000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24744588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10.3748/wjg.v20.i14.3986]</w:t>
      </w:r>
    </w:p>
    <w:p w14:paraId="53891FCB" w14:textId="38960224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30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Savige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J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Gillis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Benson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Davies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Esnault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Falk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Hagen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Jayne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Jennette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Paspaliaris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Pollock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Pusey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Savage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Silvestrini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Woude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Wieslander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Wiik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International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Consensus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Statement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Testing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Reporting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Antineutrophil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Cytoplasmic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(ANCA).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Am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1999;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111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507-513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10191771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10.1093/</w:t>
      </w:r>
      <w:proofErr w:type="spellStart"/>
      <w:r w:rsidRPr="00A83FD2">
        <w:rPr>
          <w:rFonts w:ascii="Book Antiqua" w:eastAsia="Book Antiqua" w:hAnsi="Book Antiqua" w:cs="Book Antiqua"/>
        </w:rPr>
        <w:t>ajcp</w:t>
      </w:r>
      <w:proofErr w:type="spellEnd"/>
      <w:r w:rsidRPr="00A83FD2">
        <w:rPr>
          <w:rFonts w:ascii="Book Antiqua" w:eastAsia="Book Antiqua" w:hAnsi="Book Antiqua" w:cs="Book Antiqua"/>
        </w:rPr>
        <w:t>/111.4.507]</w:t>
      </w:r>
    </w:p>
    <w:p w14:paraId="4E957E52" w14:textId="6027C0DE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31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Mahler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Bogdanos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Pavlidis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Fritzler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Csernok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Damoiseaux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Bentow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Shums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Z,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Forbes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Norman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GL.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PR3-ANCA: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promising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ulcerative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colitis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extensive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Chim</w:t>
      </w:r>
      <w:proofErr w:type="spellEnd"/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Acta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2013;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424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267-273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23806819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10.1016/j.cca.2013.06.005]</w:t>
      </w:r>
    </w:p>
    <w:p w14:paraId="581BE5E1" w14:textId="40A05620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32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Stinton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LM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Bentow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Mahler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Norman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Eksteen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Kaplan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Lindkvist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Hirschfield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Milkiewicz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Cheung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Janssen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Fritzler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MJ.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PR3-ANCA: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promising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(PSC).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One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2014;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9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e112877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25397578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10.1371/journal.pone.0112877]</w:t>
      </w:r>
    </w:p>
    <w:p w14:paraId="414EDDA0" w14:textId="420C07B5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33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Woof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JM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Russell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MW.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Structure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function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relationships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Mucosal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Immunol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2011;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590-597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21937984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10.1038/mi.2011.39]</w:t>
      </w:r>
    </w:p>
    <w:p w14:paraId="09992AC1" w14:textId="6BB15D59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34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Monteiro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RC</w:t>
      </w:r>
      <w:r w:rsidRPr="00A83FD2">
        <w:rPr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receptors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inflammation.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Immunol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2010;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30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1-9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19834792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10.1007/s10875-009-9338-0]</w:t>
      </w:r>
    </w:p>
    <w:p w14:paraId="5409E99B" w14:textId="471E2B9F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35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Chen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XM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O'Hara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LaRusso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NF.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immunobiology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cholangiocytes</w:t>
      </w:r>
      <w:proofErr w:type="spellEnd"/>
      <w:r w:rsidRPr="00A83FD2">
        <w:rPr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Immunol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Cell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Biol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2008;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86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497-505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18504452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10.1038/icb.2008.37]</w:t>
      </w:r>
    </w:p>
    <w:p w14:paraId="1B53C1B1" w14:textId="40299102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lastRenderedPageBreak/>
        <w:t>36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Mantis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NJ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Rol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Corthésy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Secretory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IgA's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complex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roles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mucosal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homeostasis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Mucosal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Immunol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2011;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603-611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21975936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10.1038/mi.2011.41]</w:t>
      </w:r>
    </w:p>
    <w:p w14:paraId="773A69BB" w14:textId="2879DCD1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37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Woof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JM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Kerr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function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immunoglobulin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immunity.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2006;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208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270-282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16362985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10.1002/path.1877]</w:t>
      </w:r>
    </w:p>
    <w:p w14:paraId="16F72140" w14:textId="0C5E4072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38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Schwarze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C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Terjung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Lilienweiss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Beuers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Herzog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Sauerbruch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Spengler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class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antineutrophil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cytoplasmic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autoimmune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hepatitis.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Exp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Immunol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2003;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133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283-289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12869036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10.1046/j.1365-2249.2003.02195.x]</w:t>
      </w:r>
    </w:p>
    <w:p w14:paraId="21C34089" w14:textId="0BEA1B48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39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Berglin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L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Björkström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Bergquist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autoreactive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IgA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against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biliary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epithelial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2013;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48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719-728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23713804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10.3109/00365521.2013.786131]</w:t>
      </w:r>
    </w:p>
    <w:p w14:paraId="5A8F88A8" w14:textId="0ACBCB75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40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Papp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Sipeki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Altorjay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Norman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Shums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Z,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Roggenbuck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Fechner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Stöcker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Antal-Szalmas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Veres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Lakatos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PL.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Rediscovery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Anti-Pancreatic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Evaluation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their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Prognostic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Value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Prospective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Cohort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Crohn's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Importance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Specific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Target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[GP2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CUZD1].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Crohns</w:t>
      </w:r>
      <w:proofErr w:type="spellEnd"/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Colitis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2015;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9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659-668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25968583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10.1093/</w:t>
      </w:r>
      <w:proofErr w:type="spellStart"/>
      <w:r w:rsidRPr="00A83FD2">
        <w:rPr>
          <w:rFonts w:ascii="Book Antiqua" w:eastAsia="Book Antiqua" w:hAnsi="Book Antiqua" w:cs="Book Antiqua"/>
        </w:rPr>
        <w:t>ecco-jcc</w:t>
      </w:r>
      <w:proofErr w:type="spellEnd"/>
      <w:r w:rsidRPr="00A83FD2">
        <w:rPr>
          <w:rFonts w:ascii="Book Antiqua" w:eastAsia="Book Antiqua" w:hAnsi="Book Antiqua" w:cs="Book Antiqua"/>
        </w:rPr>
        <w:t>/jjv087]</w:t>
      </w:r>
    </w:p>
    <w:p w14:paraId="4F7A7A69" w14:textId="2AF104A2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41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T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Palyu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Vitalis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Z,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Antal-Szalmas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Norman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Shums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Z,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Veres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Dezsofi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Orosz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Szalay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Lakatos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Papp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barrier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failure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poor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outcome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World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2017;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23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5412-5421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28839442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10.3748/wjg.v23.i29.5412]</w:t>
      </w:r>
    </w:p>
    <w:p w14:paraId="28B6DEC5" w14:textId="59416520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42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Sancho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D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Joffre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Keller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Rogers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Martínez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Hernanz</w:t>
      </w:r>
      <w:proofErr w:type="spellEnd"/>
      <w:r w:rsidRPr="00A83FD2">
        <w:rPr>
          <w:rFonts w:ascii="Book Antiqua" w:eastAsia="Book Antiqua" w:hAnsi="Book Antiqua" w:cs="Book Antiqua"/>
        </w:rPr>
        <w:t>-Falcón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Rosewell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Sousa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Identification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dendritic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receptor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that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couples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sensing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necrosis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immunity.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Nature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2009;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458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899-903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19219027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10.1038/nature07750]</w:t>
      </w:r>
    </w:p>
    <w:p w14:paraId="0A8CF021" w14:textId="2B316361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43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Brown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GD</w:t>
      </w:r>
      <w:r w:rsidRPr="00A83FD2">
        <w:rPr>
          <w:rFonts w:ascii="Book Antiqua" w:eastAsia="Book Antiqua" w:hAnsi="Book Antiqua" w:cs="Book Antiqua"/>
        </w:rPr>
        <w:t>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Immunology: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Actin'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dangerously.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Nature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2012;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485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589-590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22660316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10.1038/485589a]</w:t>
      </w:r>
    </w:p>
    <w:p w14:paraId="5BE4DD2E" w14:textId="7CCA4141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44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Ahrens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S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Zelenay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Sancho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Hanč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Kjær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Feest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Fletcher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Durkin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Postigo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Skehel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Batista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Thompson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Sousa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Schulz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F-actin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evolutionarily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conserved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damage-associated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molecular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pattern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recognized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DNGR-1,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lastRenderedPageBreak/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receptor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dead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Immunity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2012;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36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635-645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22483800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10.1016/j.immuni.2012.03.008]</w:t>
      </w:r>
    </w:p>
    <w:p w14:paraId="76061A94" w14:textId="70E10DDD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45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Hanč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P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Fujii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Iborra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Yamada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Y,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Huotari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Schulz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Ahrens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Kjær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Sancho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Namba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Sousa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Structure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Complex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F-Actin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DNGR-1,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C-Type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Lectin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Receptor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Involved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Dendritic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Cross-Presentation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Dead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Cell-Associated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Immunity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2015;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42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839-849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25979418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10.1016/j.immuni.2015.04.009]</w:t>
      </w:r>
    </w:p>
    <w:p w14:paraId="63369D0B" w14:textId="456E548D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46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Mathies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F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Steffens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Kleinschmidt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Stuhlmann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Huber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Meyer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Luetgehetmann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Petersdorff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Seiz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Herkel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Schramm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Flavell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Gagliani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Krebs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Panzer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Abdullah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Z,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Strowig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Bedke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Huber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Colitis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Promotes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Pathological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Condition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Absence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Foxp3</w:t>
      </w:r>
      <w:r w:rsidRPr="00A83FD2">
        <w:rPr>
          <w:rFonts w:ascii="Book Antiqua" w:eastAsia="Book Antiqua" w:hAnsi="Book Antiqua" w:cs="Book Antiqua"/>
          <w:vertAlign w:val="superscript"/>
        </w:rPr>
        <w:t>+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Regulatory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Immunol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201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3558-3568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30446566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10.4049/jimmunol.1800711]</w:t>
      </w:r>
    </w:p>
    <w:p w14:paraId="4133A3CF" w14:textId="79263E7F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47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Holm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Nygård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Schrumpf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Melum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Thorbjørnsen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Paulsen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Lundin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Dale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Gilja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Zweers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SJLB,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Vatn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Schaap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Jansen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PLM,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Ueland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Røsjø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Moum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Ponsioen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Boberg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Färkkilä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Lund-Johansen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Novel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serum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protein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severity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prognosis.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2017;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66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1214-1222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28161472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10.1016/j.jhep.2017.01.019]</w:t>
      </w:r>
    </w:p>
    <w:p w14:paraId="75201CDB" w14:textId="67E390D4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48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Bossen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L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Färkkilä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Rosenberg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Møller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Boberg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Grønbæk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Circulating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Macrophage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Activation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Transplant-Free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2021;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12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e00315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33646203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10.14309/ctg.0000000000000315]</w:t>
      </w:r>
    </w:p>
    <w:p w14:paraId="6BFFE389" w14:textId="071ACD6F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49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Dhillon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AK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Kummen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Trøseid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Åkra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Liaskou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Moum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Seljeflot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JR.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Circulating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barrier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function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severity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Liver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Int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2019;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39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371-381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30269440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10.1111/Liv.13979]</w:t>
      </w:r>
    </w:p>
    <w:p w14:paraId="52C8E0DA" w14:textId="38A0E3AB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50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Nielsen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MJ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Thorburn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Leeming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Nygård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Moum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Saffioti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Gilja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Boberg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Mazza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Røsjø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Pinzani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Karlsen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Karsdal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Serological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extracellular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matrix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remodeling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transplant-free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lastRenderedPageBreak/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Aliment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48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179-189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29851098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10.1111/apt.14806]</w:t>
      </w:r>
    </w:p>
    <w:p w14:paraId="7F66DC30" w14:textId="05D87F8E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51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Hu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J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Xu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Y,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Meng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MiR-122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hepatic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function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Protein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Cell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2012;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3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364-371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22610888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10.1007/s13238-012-2036-3]</w:t>
      </w:r>
    </w:p>
    <w:p w14:paraId="281A2B34" w14:textId="26F3A7AC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52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Friedrich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K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Baumann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Wannhoff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Rupp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Mehrabi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Weiss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Gotthardt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DN.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Serum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miRNA-122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independent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survival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Gastrointestin</w:t>
      </w:r>
      <w:proofErr w:type="spellEnd"/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Liver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Dis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27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145-150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29922759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10.15403/jgld.2014.1121.272.cho]</w:t>
      </w:r>
    </w:p>
    <w:p w14:paraId="0EF836D8" w14:textId="21BD3088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53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Trivedi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PJ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Tickle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Vesterhus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Eddowes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Bruns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Vainio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Parker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Smith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Liaskou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Thorbjørnsen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Hirschfield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Auvinen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Hubscher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Salmi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Adams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Weston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CJ.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Vascular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adhesion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protein-1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elevated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predictive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clinical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outcome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facilitates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recruitment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gut-tropic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lymphocytes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substrate-dependent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manner.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2018;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67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1135-1145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28428344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10.1136/gutjnl-2016-312354]</w:t>
      </w:r>
    </w:p>
    <w:p w14:paraId="635CC4D9" w14:textId="080DE350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54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Wannhoff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A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Gotthardt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DN.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Recent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developments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research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cholangiocarcinoma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Res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2019;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43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236-243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30266579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10.1016/j.clinre.2018.08.013]</w:t>
      </w:r>
    </w:p>
    <w:p w14:paraId="78F8A480" w14:textId="3A7CC534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55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Rizvi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S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Eaton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Gores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GJ.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Premalignant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Biliary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Surveillance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Management.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2015;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13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2152-2165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26051390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10.1016/j.cgh.2015.05.035]</w:t>
      </w:r>
    </w:p>
    <w:p w14:paraId="75CBC360" w14:textId="6A06F094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56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Sinakos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E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Saenger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Keach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Kim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Lindor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KD.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Many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increased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serum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levels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carbohydrate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19-9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have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cholangiocarcinoma.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2011;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9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434-9.e1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21334457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10.1016/j.cgh.2011.02.007]</w:t>
      </w:r>
    </w:p>
    <w:p w14:paraId="251323E7" w14:textId="62BDA4B9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57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Wannhoff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A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Folseraas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Brune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Rupp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Friedrich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Knierim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Weiss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KH,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Sauer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Flechtenmacher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Schirmacher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Stremmel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Hov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JR,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Gotthardt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DN.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common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genetic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variant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fucosyltransferase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correlates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serum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carcinoembryonic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levels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affects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cancer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screening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patients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United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European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Gastroenterol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2016;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4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84-91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26966527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10.1177/2050640615581577]</w:t>
      </w:r>
    </w:p>
    <w:p w14:paraId="6A55094A" w14:textId="3A967DBD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lastRenderedPageBreak/>
        <w:t>58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b/>
          <w:bCs/>
        </w:rPr>
        <w:t>Voigtländer</w:t>
      </w:r>
      <w:proofErr w:type="spellEnd"/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T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David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Thamm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Schlué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Metzger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Manns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MP,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Lankisch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Angiopoietin-2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biliary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diseases: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elevated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serum,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but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levels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cholangiocarcinoma.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One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2014;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9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e97046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24823366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10.1371/journal.pone.0097046]</w:t>
      </w:r>
    </w:p>
    <w:p w14:paraId="5B525ACF" w14:textId="0CD279F3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59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Chapman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MH</w:t>
      </w:r>
      <w:r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Sandanayake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Andreola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Dhar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DK,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Webster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GJ,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Dooley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JS,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Pereira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SP.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Circulating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CYFRA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21-1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Specific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Diagnostic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Prognostic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Biomarker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Biliary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Cancer.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J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Clin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Exp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r w:rsidRPr="00A83FD2">
        <w:rPr>
          <w:rFonts w:ascii="Book Antiqua" w:eastAsia="Book Antiqua" w:hAnsi="Book Antiqua" w:cs="Book Antiqua"/>
          <w:i/>
          <w:iCs/>
        </w:rPr>
        <w:t>Hepatol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2011;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1</w:t>
      </w:r>
      <w:r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6-12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[PMID: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22228935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DOI: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10.1016/S0973-6883(11)60110-2]</w:t>
      </w:r>
    </w:p>
    <w:p w14:paraId="0172ABDE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  <w:sectPr w:rsidR="00A77B3E" w:rsidRPr="00A83F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381002" w14:textId="7777777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lastRenderedPageBreak/>
        <w:t>Footnotes</w:t>
      </w:r>
    </w:p>
    <w:p w14:paraId="2CCAE496" w14:textId="217D3A0A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</w:rPr>
        <w:t>Conflict-of-interest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</w:rPr>
        <w:t>statement: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</w:rPr>
        <w:t>There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conflicts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interest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report.</w:t>
      </w:r>
    </w:p>
    <w:p w14:paraId="7EB014E2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441E281C" w14:textId="32FCE50F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</w:rPr>
        <w:t>Open-Access:</w:t>
      </w:r>
      <w:r w:rsidR="00A83FD2" w:rsidRPr="00A83FD2">
        <w:rPr>
          <w:rFonts w:ascii="Book Antiqua" w:eastAsia="Book Antiqua" w:hAnsi="Book Antiqua" w:cs="Book Antiqua"/>
          <w:b/>
          <w:bCs/>
        </w:rPr>
        <w:t xml:space="preserve"> </w:t>
      </w:r>
      <w:r w:rsidRPr="00A83FD2">
        <w:rPr>
          <w:rFonts w:ascii="Book Antiqua" w:eastAsia="Book Antiqua" w:hAnsi="Book Antiqua" w:cs="Book Antiqua"/>
        </w:rPr>
        <w:t>This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article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open-access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article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that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was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selected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in-house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editor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fully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peer-reviewed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external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reviewers.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distributed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accordance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Creative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Commons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Attribution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NonCommercial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(CC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BY-NC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4.0)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license,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which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permits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others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distribute,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remix,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adapt,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build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upon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work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non-commercially,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license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their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derivative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works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different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terms,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provided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original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work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properly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cited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use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non-commercial.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See: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https://creativecommons.org/Licenses/by-nc/4.0/</w:t>
      </w:r>
    </w:p>
    <w:p w14:paraId="53F5A219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11587074" w14:textId="6EDDEECE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t>Provenance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and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peer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review: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</w:rPr>
        <w:t>Invited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Conference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articles;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Externally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reviewed.</w:t>
      </w:r>
    </w:p>
    <w:p w14:paraId="08DEBDAD" w14:textId="17E49C05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t>Peer-review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model: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</w:rPr>
        <w:t>Single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blind</w:t>
      </w:r>
    </w:p>
    <w:p w14:paraId="641F5DC7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225D8385" w14:textId="5A46A46B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t>Peer-review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started: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</w:rPr>
        <w:t>December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13,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2021</w:t>
      </w:r>
    </w:p>
    <w:p w14:paraId="788B5231" w14:textId="45A523BB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t>First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decision: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</w:rPr>
        <w:t>January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23,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2022</w:t>
      </w:r>
    </w:p>
    <w:p w14:paraId="13DD0994" w14:textId="0B713988" w:rsidR="00A77B3E" w:rsidRPr="009F0FD3" w:rsidRDefault="00FA171B" w:rsidP="00A83FD2">
      <w:pPr>
        <w:spacing w:line="360" w:lineRule="auto"/>
        <w:jc w:val="both"/>
        <w:rPr>
          <w:rFonts w:ascii="Book Antiqua" w:hAnsi="Book Antiqua"/>
          <w:lang w:eastAsia="zh-CN"/>
        </w:rPr>
      </w:pPr>
      <w:r w:rsidRPr="00A83FD2">
        <w:rPr>
          <w:rFonts w:ascii="Book Antiqua" w:eastAsia="Book Antiqua" w:hAnsi="Book Antiqua" w:cs="Book Antiqua"/>
          <w:b/>
        </w:rPr>
        <w:t>Article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in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press: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</w:p>
    <w:p w14:paraId="21C53C46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26A6042D" w14:textId="261F1030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t>Specialty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type: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</w:rPr>
        <w:t>Gastroenterology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4075C6" w:rsidRPr="00A83FD2">
        <w:rPr>
          <w:rFonts w:ascii="Book Antiqua" w:hAnsi="Book Antiqua" w:cs="Book Antiqua"/>
          <w:lang w:eastAsia="zh-CN"/>
        </w:rPr>
        <w:t>h</w:t>
      </w:r>
      <w:r w:rsidRPr="00A83FD2">
        <w:rPr>
          <w:rFonts w:ascii="Book Antiqua" w:eastAsia="Book Antiqua" w:hAnsi="Book Antiqua" w:cs="Book Antiqua"/>
        </w:rPr>
        <w:t>epatology</w:t>
      </w:r>
    </w:p>
    <w:p w14:paraId="49FAF568" w14:textId="41BA4879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t>Country/Territory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of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origin: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</w:rPr>
        <w:t>Hungary</w:t>
      </w:r>
    </w:p>
    <w:p w14:paraId="3BA5866D" w14:textId="67AD3C36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</w:rPr>
        <w:t>Peer-review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report’s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scientific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quality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classification</w:t>
      </w:r>
    </w:p>
    <w:p w14:paraId="5822CFCC" w14:textId="78F04B9F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Grade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(Excellent):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</w:t>
      </w:r>
    </w:p>
    <w:p w14:paraId="4A8ABAE5" w14:textId="2A0031CC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Grade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(Very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good):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</w:t>
      </w:r>
    </w:p>
    <w:p w14:paraId="4730D1B6" w14:textId="1B4790D7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Grade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(Good):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</w:t>
      </w:r>
    </w:p>
    <w:p w14:paraId="36EA09E3" w14:textId="25328EB6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Grade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(Fair):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</w:t>
      </w:r>
    </w:p>
    <w:p w14:paraId="4B8A09FA" w14:textId="73841B3B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</w:rPr>
        <w:t>Grade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(Poor):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0</w:t>
      </w:r>
    </w:p>
    <w:p w14:paraId="09ADA4B9" w14:textId="77777777" w:rsidR="00A77B3E" w:rsidRPr="00A83FD2" w:rsidRDefault="00A77B3E" w:rsidP="00A83FD2">
      <w:pPr>
        <w:spacing w:line="360" w:lineRule="auto"/>
        <w:jc w:val="both"/>
        <w:rPr>
          <w:rFonts w:ascii="Book Antiqua" w:hAnsi="Book Antiqua"/>
        </w:rPr>
      </w:pPr>
    </w:p>
    <w:p w14:paraId="65950C12" w14:textId="59C058DB" w:rsidR="00A77B3E" w:rsidRDefault="00FA171B" w:rsidP="00A83FD2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A83FD2">
        <w:rPr>
          <w:rFonts w:ascii="Book Antiqua" w:eastAsia="Book Antiqua" w:hAnsi="Book Antiqua" w:cs="Book Antiqua"/>
          <w:b/>
        </w:rPr>
        <w:t>P-Reviewer: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Losurdo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Italy;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XL,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China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S-Editor: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</w:rPr>
        <w:t>Chen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YL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L-Editor: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="00CE097B" w:rsidRPr="00A83FD2">
        <w:rPr>
          <w:rFonts w:ascii="Book Antiqua" w:eastAsia="Book Antiqua" w:hAnsi="Book Antiqua" w:cs="Book Antiqua"/>
        </w:rPr>
        <w:t>Wang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CE097B" w:rsidRPr="00A83FD2">
        <w:rPr>
          <w:rFonts w:ascii="Book Antiqua" w:eastAsia="Book Antiqua" w:hAnsi="Book Antiqua" w:cs="Book Antiqua"/>
        </w:rPr>
        <w:t>TQ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P-Editor: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="009F0FD3" w:rsidRPr="00A83FD2">
        <w:rPr>
          <w:rFonts w:ascii="Book Antiqua" w:eastAsia="Book Antiqua" w:hAnsi="Book Antiqua" w:cs="Book Antiqua"/>
        </w:rPr>
        <w:t>Chen YL</w:t>
      </w:r>
    </w:p>
    <w:p w14:paraId="431DB35C" w14:textId="77777777" w:rsidR="009F0FD3" w:rsidRPr="009F0FD3" w:rsidRDefault="009F0FD3" w:rsidP="00A83FD2">
      <w:pPr>
        <w:spacing w:line="360" w:lineRule="auto"/>
        <w:jc w:val="both"/>
        <w:rPr>
          <w:rFonts w:ascii="Book Antiqua" w:hAnsi="Book Antiqua"/>
          <w:lang w:eastAsia="zh-CN"/>
        </w:rPr>
        <w:sectPr w:rsidR="009F0FD3" w:rsidRPr="009F0F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FCF797" w14:textId="7B1AE1A4" w:rsidR="00A77B3E" w:rsidRPr="00A83FD2" w:rsidRDefault="00FA171B" w:rsidP="00A83FD2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A83FD2">
        <w:rPr>
          <w:rFonts w:ascii="Book Antiqua" w:eastAsia="Book Antiqua" w:hAnsi="Book Antiqua" w:cs="Book Antiqua"/>
          <w:b/>
        </w:rPr>
        <w:lastRenderedPageBreak/>
        <w:t>Figure</w:t>
      </w:r>
      <w:r w:rsidR="00A83FD2" w:rsidRPr="00A83FD2">
        <w:rPr>
          <w:rFonts w:ascii="Book Antiqua" w:eastAsia="Book Antiqua" w:hAnsi="Book Antiqua" w:cs="Book Antiqua"/>
          <w:b/>
        </w:rPr>
        <w:t xml:space="preserve"> </w:t>
      </w:r>
      <w:r w:rsidRPr="00A83FD2">
        <w:rPr>
          <w:rFonts w:ascii="Book Antiqua" w:eastAsia="Book Antiqua" w:hAnsi="Book Antiqua" w:cs="Book Antiqua"/>
          <w:b/>
        </w:rPr>
        <w:t>Legends</w:t>
      </w:r>
    </w:p>
    <w:p w14:paraId="00B328A9" w14:textId="2D3A165D" w:rsidR="000E6AC7" w:rsidRPr="00A83FD2" w:rsidRDefault="00634A39" w:rsidP="00A83FD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878CA2C" wp14:editId="7580C89E">
            <wp:extent cx="5943600" cy="269684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96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30CA9" w14:textId="12B0FB8B" w:rsidR="008B5EB3" w:rsidRPr="00A83FD2" w:rsidRDefault="00FA171B" w:rsidP="00A83FD2">
      <w:pPr>
        <w:spacing w:line="360" w:lineRule="auto"/>
        <w:jc w:val="both"/>
        <w:rPr>
          <w:rFonts w:ascii="Book Antiqua" w:hAnsi="Book Antiqua" w:cs="Book Antiqua"/>
          <w:shd w:val="clear" w:color="auto" w:fill="FFFFFF"/>
          <w:lang w:eastAsia="zh-CN"/>
        </w:rPr>
      </w:pP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Figure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1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Autoimmunity-driven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putative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role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pancreatic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glycoprotein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2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fibro-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tumorigenesis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primary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sclerosing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cholangitis.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Along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digestive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enzymes,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glycoprotein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(GP2)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secreted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from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pancreatic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acinar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intestinal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lumen.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addition,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GP2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also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expressed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luminal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surface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microfold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[M-cells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Peyer's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patches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anchored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glycosylphosphatidylinositol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(GPI)].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Both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forms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molecule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interact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with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</w:rPr>
        <w:t>FimH</w:t>
      </w:r>
      <w:proofErr w:type="spellEnd"/>
      <w:r w:rsidRPr="00A83FD2">
        <w:rPr>
          <w:rFonts w:ascii="Book Antiqua" w:eastAsia="Book Antiqua" w:hAnsi="Book Antiqua" w:cs="Book Antiqua"/>
        </w:rPr>
        <w:t>+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bacteria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opsonize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anchored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form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may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involved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transcytosis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bound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ligands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</w:t>
      </w:r>
      <w:proofErr w:type="spellStart"/>
      <w:r w:rsidRPr="00A83FD2">
        <w:rPr>
          <w:rFonts w:ascii="Book Antiqua" w:eastAsia="Book Antiqua" w:hAnsi="Book Antiqua" w:cs="Book Antiqua"/>
        </w:rPr>
        <w:t>FimH</w:t>
      </w:r>
      <w:proofErr w:type="spellEnd"/>
      <w:r w:rsidRPr="00A83FD2">
        <w:rPr>
          <w:rFonts w:ascii="Book Antiqua" w:eastAsia="Book Antiqua" w:hAnsi="Book Antiqua" w:cs="Book Antiqua"/>
        </w:rPr>
        <w:t>+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microbes)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through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which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pass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them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antigen-presenting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like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dendritic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(DC)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located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the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mucosa-associated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immune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system.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Microbe-bound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GP2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epitopes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are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presented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to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CD4-positive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helper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cells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(CD4</w:t>
      </w:r>
      <w:r w:rsidRPr="00A83FD2">
        <w:rPr>
          <w:rFonts w:ascii="Book Antiqua" w:eastAsia="Book Antiqua" w:hAnsi="Book Antiqua" w:cs="Book Antiqua"/>
          <w:vertAlign w:val="superscript"/>
        </w:rPr>
        <w:t>+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Pr="00A83FD2">
        <w:rPr>
          <w:rFonts w:ascii="Book Antiqua" w:eastAsia="Book Antiqua" w:hAnsi="Book Antiqua" w:cs="Book Antiqua"/>
        </w:rPr>
        <w:t>T</w:t>
      </w:r>
      <w:r w:rsidRPr="00A83FD2">
        <w:rPr>
          <w:rFonts w:ascii="Book Antiqua" w:eastAsia="Book Antiqua" w:hAnsi="Book Antiqua" w:cs="Book Antiqua"/>
          <w:shd w:val="clear" w:color="auto" w:fill="FFFFFF"/>
          <w:vertAlign w:val="subscript"/>
        </w:rPr>
        <w:t>h</w:t>
      </w:r>
      <w:r w:rsidRPr="00A83FD2">
        <w:rPr>
          <w:rFonts w:ascii="Book Antiqua" w:eastAsia="Book Antiqua" w:hAnsi="Book Antiqua" w:cs="Book Antiqua"/>
          <w:shd w:val="clear" w:color="auto" w:fill="FFFFFF"/>
        </w:rPr>
        <w:t>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along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bacterial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antigens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lead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loss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tolerance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GP2.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After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clonal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expansion,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sensitized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“home”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both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liver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trigger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(blue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arrows)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differentiation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+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+</w:t>
      </w:r>
      <w:r w:rsidR="00A83FD2"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plasma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produced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anti-GP2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actively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transported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epithelial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lumens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secretory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sIgA</w:t>
      </w:r>
      <w:proofErr w:type="spellEnd"/>
      <w:r w:rsidRPr="00A83FD2">
        <w:rPr>
          <w:rFonts w:ascii="Book Antiqua" w:eastAsia="Book Antiqua" w:hAnsi="Book Antiqua" w:cs="Book Antiqua"/>
          <w:shd w:val="clear" w:color="auto" w:fill="FFFFFF"/>
        </w:rPr>
        <w:t>)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where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binds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GP2.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Epithelial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express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receptors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their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luminal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surface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involved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active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retrograde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transport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sIgA</w:t>
      </w:r>
      <w:proofErr w:type="spellEnd"/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molecules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(typically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coupled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antigens).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process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contribute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bacterial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overload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gut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mucosa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elevating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levels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bacterial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components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circulation.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hepato-biliary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tract,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bacterial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components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trigger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Toll</w:t>
      </w:r>
      <w:r w:rsidRPr="00A83FD2">
        <w:rPr>
          <w:rFonts w:ascii="Book Antiqua" w:eastAsia="Book Antiqua" w:hAnsi="Book Antiqua" w:cs="Book Antiqua"/>
          <w:shd w:val="clear" w:color="auto" w:fill="FFFFFF"/>
        </w:rPr>
        <w:t>-like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receptor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4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(TLR4)</w:t>
      </w:r>
      <w:r w:rsidR="00077A60" w:rsidRPr="00A83FD2">
        <w:rPr>
          <w:rFonts w:ascii="Book Antiqua" w:hAnsi="Book Antiqua" w:cs="Book Antiqua"/>
          <w:shd w:val="clear" w:color="auto" w:fill="FFFFFF"/>
          <w:lang w:eastAsia="zh-CN"/>
        </w:rPr>
        <w:t>-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transforming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growth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factor-β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(TGF-β)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pathway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facilitating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fibrosis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lastRenderedPageBreak/>
        <w:t>cirrhosis.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Meanwhile,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response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continuous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inflammation,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IgA</w:t>
      </w:r>
      <w:r w:rsidRPr="009F0FD3">
        <w:rPr>
          <w:rFonts w:ascii="Book Antiqua" w:eastAsia="Book Antiqua" w:hAnsi="Book Antiqua" w:cs="Book Antiqua"/>
          <w:shd w:val="clear" w:color="auto" w:fill="FFFFFF"/>
          <w:vertAlign w:val="superscript"/>
        </w:rPr>
        <w:t>+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plasma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immunosuppressor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phenotype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expressing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interleukin-10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(IL-10)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programmed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cell-death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1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Ligand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(PD1-L).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molecules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inhibit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(red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arrow)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tumor-suppressing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cytotoxic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CD8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+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(CD8</w:t>
      </w:r>
      <w:r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+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Tc)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contributing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tumor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development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hepatobiliary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intestinal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tract.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Citation:</w:t>
      </w:r>
      <w:r w:rsidR="00A83FD2" w:rsidRPr="00A83FD2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proofErr w:type="spellStart"/>
      <w:r w:rsidR="00B41694" w:rsidRPr="00A83FD2">
        <w:rPr>
          <w:rFonts w:ascii="Book Antiqua" w:eastAsia="Book Antiqua" w:hAnsi="Book Antiqua" w:cs="Book Antiqua"/>
          <w:bCs/>
        </w:rPr>
        <w:t>Tornai</w:t>
      </w:r>
      <w:proofErr w:type="spellEnd"/>
      <w:r w:rsidR="00A83FD2" w:rsidRPr="00A83FD2">
        <w:rPr>
          <w:rFonts w:ascii="Book Antiqua" w:eastAsia="Book Antiqua" w:hAnsi="Book Antiqua" w:cs="Book Antiqua"/>
          <w:bCs/>
        </w:rPr>
        <w:t xml:space="preserve"> </w:t>
      </w:r>
      <w:r w:rsidR="00B41694" w:rsidRPr="00A83FD2">
        <w:rPr>
          <w:rFonts w:ascii="Book Antiqua" w:eastAsia="Book Antiqua" w:hAnsi="Book Antiqua" w:cs="Book Antiqua"/>
          <w:bCs/>
        </w:rPr>
        <w:t>D</w:t>
      </w:r>
      <w:r w:rsidR="00B41694" w:rsidRPr="00A83FD2">
        <w:rPr>
          <w:rFonts w:ascii="Book Antiqua" w:eastAsia="Book Antiqua" w:hAnsi="Book Antiqua" w:cs="Book Antiqua"/>
        </w:rPr>
        <w:t>,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Papp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M.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Editorial: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serologic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antibodies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in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primary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sclerosing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cholangitis</w:t>
      </w:r>
      <w:r w:rsidR="00A83FD2" w:rsidRPr="00A83FD2">
        <w:rPr>
          <w:rFonts w:ascii="Book Antiqua" w:hAnsi="Book Antiqua" w:cs="Book Antiqua"/>
          <w:lang w:eastAsia="zh-CN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a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tell-tale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sign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of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compromised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gut-liver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immunity?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  <w:i/>
          <w:iCs/>
        </w:rPr>
        <w:t>Aliment</w:t>
      </w:r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B41694" w:rsidRPr="00A83FD2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A83FD2" w:rsidRPr="00A83F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B41694" w:rsidRPr="00A83FD2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2021;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  <w:b/>
          <w:bCs/>
        </w:rPr>
        <w:t>53</w:t>
      </w:r>
      <w:r w:rsidR="00B41694" w:rsidRPr="00A83FD2">
        <w:rPr>
          <w:rFonts w:ascii="Book Antiqua" w:eastAsia="Book Antiqua" w:hAnsi="Book Antiqua" w:cs="Book Antiqua"/>
        </w:rPr>
        <w:t>:</w:t>
      </w:r>
      <w:r w:rsidR="00A83FD2" w:rsidRPr="00A83FD2">
        <w:rPr>
          <w:rFonts w:ascii="Book Antiqua" w:eastAsia="Book Antiqua" w:hAnsi="Book Antiqua" w:cs="Book Antiqua"/>
        </w:rPr>
        <w:t xml:space="preserve"> </w:t>
      </w:r>
      <w:r w:rsidR="00B41694" w:rsidRPr="00A83FD2">
        <w:rPr>
          <w:rFonts w:ascii="Book Antiqua" w:eastAsia="Book Antiqua" w:hAnsi="Book Antiqua" w:cs="Book Antiqua"/>
        </w:rPr>
        <w:t>350-351</w:t>
      </w:r>
      <w:r w:rsidR="00B41694" w:rsidRPr="00A83FD2">
        <w:rPr>
          <w:rFonts w:ascii="Book Antiqua" w:eastAsia="Book Antiqua" w:hAnsi="Book Antiqua" w:cs="Book Antiqua"/>
          <w:shd w:val="clear" w:color="auto" w:fill="FFFFFF"/>
          <w:vertAlign w:val="superscript"/>
        </w:rPr>
        <w:t>[8]</w:t>
      </w:r>
      <w:r w:rsidR="008B5EB3" w:rsidRPr="00A83FD2">
        <w:rPr>
          <w:rFonts w:ascii="Book Antiqua" w:eastAsia="Book Antiqua" w:hAnsi="Book Antiqua" w:cs="Book Antiqua"/>
          <w:shd w:val="clear" w:color="auto" w:fill="FFFFFF"/>
        </w:rPr>
        <w:t>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Copyright</w:t>
      </w:r>
      <w:r w:rsidR="00655FDC" w:rsidRPr="00B93DCA">
        <w:rPr>
          <w:rFonts w:ascii="Book Antiqua" w:hAnsi="Book Antiqua"/>
        </w:rPr>
        <w:t>©</w:t>
      </w:r>
      <w:r w:rsidR="00A83FD2" w:rsidRPr="00A83FD2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The</w:t>
      </w:r>
      <w:r w:rsidR="00A83FD2" w:rsidRPr="00A83FD2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Authors</w:t>
      </w:r>
      <w:r w:rsidR="00A83FD2" w:rsidRPr="00A83FD2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202</w:t>
      </w:r>
      <w:r w:rsidR="009F0FD3">
        <w:rPr>
          <w:rFonts w:ascii="Book Antiqua" w:hAnsi="Book Antiqua" w:cs="Book Antiqua" w:hint="eastAsia"/>
          <w:shd w:val="clear" w:color="auto" w:fill="FFFFFF"/>
          <w:lang w:eastAsia="zh-CN"/>
        </w:rPr>
        <w:t>1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.</w:t>
      </w:r>
      <w:r w:rsidR="00A83FD2" w:rsidRPr="00A83FD2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Published</w:t>
      </w:r>
      <w:r w:rsidR="00A83FD2" w:rsidRPr="00A83FD2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by</w:t>
      </w:r>
      <w:r w:rsidR="00A83FD2" w:rsidRPr="00A83FD2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John</w:t>
      </w:r>
      <w:r w:rsidR="00A83FD2" w:rsidRPr="00A83FD2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Wiley</w:t>
      </w:r>
      <w:r w:rsidR="00A83FD2" w:rsidRPr="00A83FD2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and</w:t>
      </w:r>
      <w:r w:rsidR="00A83FD2" w:rsidRPr="00A83FD2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r w:rsidR="00806FAC">
        <w:rPr>
          <w:rFonts w:ascii="Book Antiqua" w:hAnsi="Book Antiqua" w:cs="Book Antiqua"/>
          <w:shd w:val="clear" w:color="auto" w:fill="FFFFFF"/>
          <w:lang w:eastAsia="zh-CN"/>
        </w:rPr>
        <w:t>Sons</w:t>
      </w:r>
      <w:r w:rsidR="00806FAC">
        <w:rPr>
          <w:rFonts w:ascii="Book Antiqua" w:hAnsi="Book Antiqua" w:cs="Book Antiqua" w:hint="eastAsia"/>
          <w:shd w:val="clear" w:color="auto" w:fill="FFFFFF"/>
          <w:lang w:eastAsia="zh-CN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(Supplementary</w:t>
      </w:r>
      <w:r w:rsidR="00A83FD2" w:rsidRPr="00A83FD2">
        <w:rPr>
          <w:rFonts w:ascii="Book Antiqua" w:hAnsi="Book Antiqua" w:cs="Book Antiqua"/>
          <w:shd w:val="clear" w:color="auto" w:fill="FFFFFF"/>
          <w:lang w:eastAsia="zh-CN"/>
        </w:rPr>
        <w:t xml:space="preserve"> </w:t>
      </w:r>
      <w:r w:rsidR="008B5EB3" w:rsidRPr="00A83FD2">
        <w:rPr>
          <w:rFonts w:ascii="Book Antiqua" w:hAnsi="Book Antiqua" w:cs="Book Antiqua"/>
          <w:shd w:val="clear" w:color="auto" w:fill="FFFFFF"/>
          <w:lang w:eastAsia="zh-CN"/>
        </w:rPr>
        <w:t>material).</w:t>
      </w:r>
    </w:p>
    <w:p w14:paraId="0388FE68" w14:textId="77777777" w:rsidR="008B5EB3" w:rsidRPr="00A83FD2" w:rsidRDefault="008B5EB3" w:rsidP="00A83FD2">
      <w:pPr>
        <w:spacing w:line="360" w:lineRule="auto"/>
        <w:jc w:val="both"/>
        <w:rPr>
          <w:rFonts w:ascii="Book Antiqua" w:hAnsi="Book Antiqua" w:cs="Book Antiqua"/>
          <w:shd w:val="clear" w:color="auto" w:fill="FFFFFF"/>
          <w:lang w:eastAsia="zh-CN"/>
        </w:rPr>
      </w:pPr>
    </w:p>
    <w:p w14:paraId="472026A8" w14:textId="50B4EBFE" w:rsidR="000E6AC7" w:rsidRPr="00A83FD2" w:rsidRDefault="00634A39" w:rsidP="00A83FD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7CE4ECF" wp14:editId="5D50CD55">
            <wp:extent cx="3960810" cy="2513390"/>
            <wp:effectExtent l="0" t="0" r="190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96-g0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810" cy="25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E069" w14:textId="4CDA6DEF" w:rsidR="00A77B3E" w:rsidRPr="00A83FD2" w:rsidRDefault="00FA171B" w:rsidP="00A83FD2">
      <w:pPr>
        <w:spacing w:line="360" w:lineRule="auto"/>
        <w:jc w:val="both"/>
        <w:rPr>
          <w:rFonts w:ascii="Book Antiqua" w:hAnsi="Book Antiqua"/>
        </w:rPr>
      </w:pP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Figure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2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Biomarkers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with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potential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to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predict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clinical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course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of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primary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sclerosing</w:t>
      </w:r>
      <w:r w:rsidR="00A83FD2"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b/>
          <w:bCs/>
          <w:shd w:val="clear" w:color="auto" w:fill="FFFFFF"/>
        </w:rPr>
        <w:t>cholangitis.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markers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various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cellular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origin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s</w:t>
      </w:r>
      <w:r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some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(</w:t>
      </w:r>
      <w:r w:rsidR="00077A60" w:rsidRPr="00A83FD2">
        <w:rPr>
          <w:rFonts w:ascii="Book Antiqua" w:eastAsia="Book Antiqua" w:hAnsi="Book Antiqua" w:cs="Book Antiqua"/>
          <w:shd w:val="clear" w:color="auto" w:fill="FFFFFF"/>
        </w:rPr>
        <w:t>LPS-binding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077A60" w:rsidRPr="00A83FD2">
        <w:rPr>
          <w:rFonts w:ascii="Book Antiqua" w:eastAsia="Book Antiqua" w:hAnsi="Book Antiqua" w:cs="Book Antiqua"/>
          <w:shd w:val="clear" w:color="auto" w:fill="FFFFFF"/>
        </w:rPr>
        <w:t>protein</w:t>
      </w:r>
      <w:r w:rsidRPr="00A83FD2">
        <w:rPr>
          <w:rFonts w:ascii="Book Antiqua" w:eastAsia="Book Antiqua" w:hAnsi="Book Antiqua" w:cs="Book Antiqua"/>
          <w:shd w:val="clear" w:color="auto" w:fill="FFFFFF"/>
        </w:rPr>
        <w:t>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077A60" w:rsidRPr="00A83FD2">
        <w:rPr>
          <w:rFonts w:ascii="Book Antiqua" w:hAnsi="Book Antiqua" w:cs="Book Antiqua"/>
          <w:shd w:val="clear" w:color="auto" w:fill="FFFFFF"/>
          <w:lang w:eastAsia="zh-CN"/>
        </w:rPr>
        <w:t>i</w:t>
      </w:r>
      <w:r w:rsidR="00077A60" w:rsidRPr="00A83FD2">
        <w:rPr>
          <w:rFonts w:ascii="Book Antiqua" w:eastAsia="Book Antiqua" w:hAnsi="Book Antiqua" w:cs="Book Antiqua"/>
          <w:shd w:val="clear" w:color="auto" w:fill="FFFFFF"/>
        </w:rPr>
        <w:t>nterleukin</w:t>
      </w:r>
      <w:r w:rsidR="00077A60" w:rsidRPr="00A83FD2">
        <w:rPr>
          <w:rFonts w:ascii="Book Antiqua" w:hAnsi="Book Antiqua" w:cs="Book Antiqua"/>
          <w:shd w:val="clear" w:color="auto" w:fill="FFFFFF"/>
          <w:lang w:eastAsia="zh-CN"/>
        </w:rPr>
        <w:t>-</w:t>
      </w:r>
      <w:r w:rsidRPr="00A83FD2">
        <w:rPr>
          <w:rFonts w:ascii="Book Antiqua" w:eastAsia="Book Antiqua" w:hAnsi="Book Antiqua" w:cs="Book Antiqua"/>
          <w:shd w:val="clear" w:color="auto" w:fill="FFFFFF"/>
        </w:rPr>
        <w:t>8,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and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enzymes)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have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multiple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sources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that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077A60" w:rsidRPr="00A83FD2">
        <w:rPr>
          <w:rFonts w:ascii="Book Antiqua" w:eastAsia="Book Antiqua" w:hAnsi="Book Antiqua" w:cs="Book Antiqua"/>
          <w:shd w:val="clear" w:color="auto" w:fill="FFFFFF"/>
        </w:rPr>
        <w:t>limit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their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specificity.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ALP: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Alkaline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phosphatase;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AST: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Aspartate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aminotransferase;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GP2: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Pancreatic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glycoprotein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2;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IL: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075C6" w:rsidRPr="00A83FD2">
        <w:rPr>
          <w:rFonts w:ascii="Book Antiqua" w:hAnsi="Book Antiqua" w:cs="Book Antiqua"/>
          <w:shd w:val="clear" w:color="auto" w:fill="FFFFFF"/>
          <w:lang w:eastAsia="zh-CN"/>
        </w:rPr>
        <w:t>I</w:t>
      </w:r>
      <w:r w:rsidRPr="00A83FD2">
        <w:rPr>
          <w:rFonts w:ascii="Book Antiqua" w:eastAsia="Book Antiqua" w:hAnsi="Book Antiqua" w:cs="Book Antiqua"/>
          <w:shd w:val="clear" w:color="auto" w:fill="FFFFFF"/>
        </w:rPr>
        <w:t>nterleukin;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LBP: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075C6" w:rsidRPr="00A83FD2">
        <w:rPr>
          <w:rFonts w:ascii="Book Antiqua" w:hAnsi="Book Antiqua" w:cs="Book Antiqua"/>
          <w:shd w:val="clear" w:color="auto" w:fill="FFFFFF"/>
          <w:lang w:eastAsia="zh-CN"/>
        </w:rPr>
        <w:t>L</w:t>
      </w:r>
      <w:r w:rsidRPr="00A83FD2">
        <w:rPr>
          <w:rFonts w:ascii="Book Antiqua" w:eastAsia="Book Antiqua" w:hAnsi="Book Antiqua" w:cs="Book Antiqua"/>
          <w:shd w:val="clear" w:color="auto" w:fill="FFFFFF"/>
        </w:rPr>
        <w:t>ipopolysaccharide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binding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protein;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miR</w:t>
      </w:r>
      <w:proofErr w:type="spellEnd"/>
      <w:r w:rsidRPr="00A83FD2">
        <w:rPr>
          <w:rFonts w:ascii="Book Antiqua" w:eastAsia="Book Antiqua" w:hAnsi="Book Antiqua" w:cs="Book Antiqua"/>
          <w:shd w:val="clear" w:color="auto" w:fill="FFFFFF"/>
        </w:rPr>
        <w:t>: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097B" w:rsidRPr="00A83FD2">
        <w:rPr>
          <w:rFonts w:ascii="Book Antiqua" w:eastAsia="Book Antiqua" w:hAnsi="Book Antiqua" w:cs="Book Antiqua"/>
          <w:shd w:val="clear" w:color="auto" w:fill="FFFFFF"/>
        </w:rPr>
        <w:t>Micro</w:t>
      </w:r>
      <w:r w:rsidRPr="00A83FD2">
        <w:rPr>
          <w:rFonts w:ascii="Book Antiqua" w:eastAsia="Book Antiqua" w:hAnsi="Book Antiqua" w:cs="Book Antiqua"/>
          <w:shd w:val="clear" w:color="auto" w:fill="FFFFFF"/>
        </w:rPr>
        <w:t>-ribonucleic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acid;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sMR</w:t>
      </w:r>
      <w:proofErr w:type="spellEnd"/>
      <w:r w:rsidRPr="00A83FD2">
        <w:rPr>
          <w:rFonts w:ascii="Book Antiqua" w:eastAsia="Book Antiqua" w:hAnsi="Book Antiqua" w:cs="Book Antiqua"/>
          <w:shd w:val="clear" w:color="auto" w:fill="FFFFFF"/>
        </w:rPr>
        <w:t>: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075C6" w:rsidRPr="00A83FD2">
        <w:rPr>
          <w:rFonts w:ascii="Book Antiqua" w:hAnsi="Book Antiqua" w:cs="Book Antiqua"/>
          <w:shd w:val="clear" w:color="auto" w:fill="FFFFFF"/>
          <w:lang w:eastAsia="zh-CN"/>
        </w:rPr>
        <w:t>S</w:t>
      </w:r>
      <w:r w:rsidRPr="00A83FD2">
        <w:rPr>
          <w:rFonts w:ascii="Book Antiqua" w:eastAsia="Book Antiqua" w:hAnsi="Book Antiqua" w:cs="Book Antiqua"/>
          <w:shd w:val="clear" w:color="auto" w:fill="FFFFFF"/>
        </w:rPr>
        <w:t>oluble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mannose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receptor;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A83FD2">
        <w:rPr>
          <w:rFonts w:ascii="Book Antiqua" w:eastAsia="Book Antiqua" w:hAnsi="Book Antiqua" w:cs="Book Antiqua"/>
          <w:shd w:val="clear" w:color="auto" w:fill="FFFFFF"/>
        </w:rPr>
        <w:t>sVAP</w:t>
      </w:r>
      <w:proofErr w:type="spellEnd"/>
      <w:r w:rsidRPr="00A83FD2">
        <w:rPr>
          <w:rFonts w:ascii="Book Antiqua" w:eastAsia="Book Antiqua" w:hAnsi="Book Antiqua" w:cs="Book Antiqua"/>
          <w:shd w:val="clear" w:color="auto" w:fill="FFFFFF"/>
        </w:rPr>
        <w:t>: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075C6" w:rsidRPr="00A83FD2">
        <w:rPr>
          <w:rFonts w:ascii="Book Antiqua" w:hAnsi="Book Antiqua" w:cs="Book Antiqua"/>
          <w:shd w:val="clear" w:color="auto" w:fill="FFFFFF"/>
          <w:lang w:eastAsia="zh-CN"/>
        </w:rPr>
        <w:t>S</w:t>
      </w:r>
      <w:r w:rsidRPr="00A83FD2">
        <w:rPr>
          <w:rFonts w:ascii="Book Antiqua" w:eastAsia="Book Antiqua" w:hAnsi="Book Antiqua" w:cs="Book Antiqua"/>
          <w:shd w:val="clear" w:color="auto" w:fill="FFFFFF"/>
        </w:rPr>
        <w:t>oluble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vascular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adhesion</w:t>
      </w:r>
      <w:r w:rsidR="00A83FD2" w:rsidRPr="00A83FD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A83FD2">
        <w:rPr>
          <w:rFonts w:ascii="Book Antiqua" w:eastAsia="Book Antiqua" w:hAnsi="Book Antiqua" w:cs="Book Antiqua"/>
          <w:shd w:val="clear" w:color="auto" w:fill="FFFFFF"/>
        </w:rPr>
        <w:t>protein.</w:t>
      </w:r>
    </w:p>
    <w:p w14:paraId="3B324BA1" w14:textId="77777777" w:rsidR="00A83FD2" w:rsidRPr="00A83FD2" w:rsidRDefault="00A83FD2" w:rsidP="00A83FD2">
      <w:pPr>
        <w:spacing w:line="360" w:lineRule="auto"/>
        <w:jc w:val="both"/>
        <w:rPr>
          <w:rFonts w:ascii="Book Antiqua" w:hAnsi="Book Antiqua"/>
        </w:rPr>
      </w:pPr>
    </w:p>
    <w:sectPr w:rsidR="00A83FD2" w:rsidRPr="00A8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3DE9" w14:textId="77777777" w:rsidR="00B71F64" w:rsidRDefault="00B71F64" w:rsidP="000E6AC7">
      <w:r>
        <w:separator/>
      </w:r>
    </w:p>
  </w:endnote>
  <w:endnote w:type="continuationSeparator" w:id="0">
    <w:p w14:paraId="6013C02A" w14:textId="77777777" w:rsidR="00B71F64" w:rsidRDefault="00B71F64" w:rsidP="000E6AC7">
      <w:r>
        <w:continuationSeparator/>
      </w:r>
    </w:p>
  </w:endnote>
  <w:endnote w:type="continuationNotice" w:id="1">
    <w:p w14:paraId="0E994CAD" w14:textId="77777777" w:rsidR="00B71F64" w:rsidRDefault="00B71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5460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812E24" w14:textId="526B7F55" w:rsidR="00A83FD2" w:rsidRDefault="00A83FD2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66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3DD64" w14:textId="77777777" w:rsidR="00A83FD2" w:rsidRDefault="00A83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14B0" w14:textId="77777777" w:rsidR="00B71F64" w:rsidRDefault="00B71F64" w:rsidP="000E6AC7">
      <w:r>
        <w:separator/>
      </w:r>
    </w:p>
  </w:footnote>
  <w:footnote w:type="continuationSeparator" w:id="0">
    <w:p w14:paraId="1C4CC232" w14:textId="77777777" w:rsidR="00B71F64" w:rsidRDefault="00B71F64" w:rsidP="000E6AC7">
      <w:r>
        <w:continuationSeparator/>
      </w:r>
    </w:p>
  </w:footnote>
  <w:footnote w:type="continuationNotice" w:id="1">
    <w:p w14:paraId="12B27F14" w14:textId="77777777" w:rsidR="00B71F64" w:rsidRDefault="00B71F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00C"/>
    <w:rsid w:val="00077A60"/>
    <w:rsid w:val="000C7A0D"/>
    <w:rsid w:val="000E6AC7"/>
    <w:rsid w:val="0012646C"/>
    <w:rsid w:val="001458D5"/>
    <w:rsid w:val="00162CB3"/>
    <w:rsid w:val="001C2356"/>
    <w:rsid w:val="00270D80"/>
    <w:rsid w:val="002B7283"/>
    <w:rsid w:val="002D15C7"/>
    <w:rsid w:val="00331161"/>
    <w:rsid w:val="003372D7"/>
    <w:rsid w:val="00345B92"/>
    <w:rsid w:val="003714AD"/>
    <w:rsid w:val="003D66BD"/>
    <w:rsid w:val="004075C6"/>
    <w:rsid w:val="00496021"/>
    <w:rsid w:val="004B0C30"/>
    <w:rsid w:val="005101FB"/>
    <w:rsid w:val="005922C6"/>
    <w:rsid w:val="00607214"/>
    <w:rsid w:val="00624A5C"/>
    <w:rsid w:val="00634A39"/>
    <w:rsid w:val="00655FDC"/>
    <w:rsid w:val="0071332C"/>
    <w:rsid w:val="007D288A"/>
    <w:rsid w:val="00806FAC"/>
    <w:rsid w:val="00851C3C"/>
    <w:rsid w:val="008B5EB3"/>
    <w:rsid w:val="008D4784"/>
    <w:rsid w:val="008E3287"/>
    <w:rsid w:val="00980F3E"/>
    <w:rsid w:val="009D1AF1"/>
    <w:rsid w:val="009F0FD3"/>
    <w:rsid w:val="009F7266"/>
    <w:rsid w:val="00A77B3E"/>
    <w:rsid w:val="00A83FD2"/>
    <w:rsid w:val="00B41694"/>
    <w:rsid w:val="00B71F64"/>
    <w:rsid w:val="00BB2CAB"/>
    <w:rsid w:val="00CA2A55"/>
    <w:rsid w:val="00CC5770"/>
    <w:rsid w:val="00CE097B"/>
    <w:rsid w:val="00CF14E5"/>
    <w:rsid w:val="00D17ECA"/>
    <w:rsid w:val="00D64702"/>
    <w:rsid w:val="00DA06CC"/>
    <w:rsid w:val="00DA7565"/>
    <w:rsid w:val="00DC4863"/>
    <w:rsid w:val="00E00242"/>
    <w:rsid w:val="00E048AF"/>
    <w:rsid w:val="00E86FDB"/>
    <w:rsid w:val="00F35BE5"/>
    <w:rsid w:val="00FA171B"/>
    <w:rsid w:val="00FA52C8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5D3F0"/>
  <w15:docId w15:val="{381F33C5-72B4-8B49-881A-17EFC027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</w:style>
  <w:style w:type="character" w:customStyle="1" w:styleId="result">
    <w:name w:val="result"/>
    <w:basedOn w:val="DefaultParagraphFont"/>
  </w:style>
  <w:style w:type="character" w:customStyle="1" w:styleId="MsoCommentReference0">
    <w:name w:val="MsoCommentReference0"/>
    <w:basedOn w:val="DefaultParagraphFont"/>
  </w:style>
  <w:style w:type="paragraph" w:styleId="BalloonText">
    <w:name w:val="Balloon Text"/>
    <w:basedOn w:val="Normal"/>
    <w:link w:val="BalloonTextChar"/>
    <w:rsid w:val="000E6A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6AC7"/>
    <w:rPr>
      <w:sz w:val="18"/>
      <w:szCs w:val="18"/>
    </w:rPr>
  </w:style>
  <w:style w:type="paragraph" w:styleId="Header">
    <w:name w:val="header"/>
    <w:basedOn w:val="Normal"/>
    <w:link w:val="HeaderChar"/>
    <w:rsid w:val="000E6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E6AC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E6A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AC7"/>
    <w:rPr>
      <w:sz w:val="18"/>
      <w:szCs w:val="18"/>
    </w:rPr>
  </w:style>
  <w:style w:type="character" w:styleId="CommentReference">
    <w:name w:val="annotation reference"/>
    <w:basedOn w:val="DefaultParagraphFont"/>
    <w:rsid w:val="00077A60"/>
    <w:rPr>
      <w:sz w:val="21"/>
      <w:szCs w:val="21"/>
    </w:rPr>
  </w:style>
  <w:style w:type="paragraph" w:styleId="CommentText">
    <w:name w:val="annotation text"/>
    <w:basedOn w:val="Normal"/>
    <w:link w:val="CommentTextChar"/>
    <w:rsid w:val="00077A60"/>
  </w:style>
  <w:style w:type="character" w:customStyle="1" w:styleId="CommentTextChar">
    <w:name w:val="Comment Text Char"/>
    <w:basedOn w:val="DefaultParagraphFont"/>
    <w:link w:val="CommentText"/>
    <w:rsid w:val="00077A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A6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5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2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5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0BE8-E3E7-4BA5-AE23-6D63C23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7492</Words>
  <Characters>42710</Characters>
  <Application>Microsoft Office Word</Application>
  <DocSecurity>0</DocSecurity>
  <Lines>355</Lines>
  <Paragraphs>100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Ma</cp:lastModifiedBy>
  <cp:revision>3</cp:revision>
  <dcterms:created xsi:type="dcterms:W3CDTF">2022-04-25T19:50:00Z</dcterms:created>
  <dcterms:modified xsi:type="dcterms:W3CDTF">2022-04-25T19:53:00Z</dcterms:modified>
</cp:coreProperties>
</file>