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Gastroenterology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74246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宋体" w:cs="Book Antiqua"/>
          <w:b/>
          <w:color w:val="000000" w:themeColor="text1"/>
          <w:lang w:eastAsia="zh-CN"/>
          <w14:textFill>
            <w14:solidFill>
              <w14:schemeClr w14:val="tx1"/>
            </w14:solidFill>
          </w14:textFill>
        </w:rPr>
        <w:t>P</w:t>
      </w:r>
      <w:r>
        <w:rPr>
          <w:rFonts w:ascii="Book Antiqua" w:hAnsi="Book Antiqua" w:eastAsia="Book Antiqua" w:cs="Book Antiqua"/>
          <w:b/>
          <w:color w:val="000000" w:themeColor="text1"/>
          <w14:textFill>
            <w14:solidFill>
              <w14:schemeClr w14:val="tx1"/>
            </w14:solidFill>
          </w14:textFill>
        </w:rPr>
        <w:t>rimary gastric dedifferentiated liposarcoma resected endoscopically</w:t>
      </w:r>
      <w:r>
        <w:rPr>
          <w:rFonts w:ascii="Book Antiqua" w:hAnsi="Book Antiqua" w:eastAsia="宋体" w:cs="Book Antiqua"/>
          <w:b/>
          <w:color w:val="000000" w:themeColor="text1"/>
          <w:lang w:eastAsia="zh-CN"/>
          <w14:textFill>
            <w14:solidFill>
              <w14:schemeClr w14:val="tx1"/>
            </w14:solidFill>
          </w14:textFill>
        </w:rPr>
        <w:t>: A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Cho JH </w:t>
      </w:r>
      <w:r>
        <w:rPr>
          <w:rFonts w:ascii="Book Antiqua" w:hAnsi="Book Antiqua" w:eastAsia="宋体" w:cs="Book Antiqua"/>
          <w:i/>
          <w:color w:val="000000" w:themeColor="text1"/>
          <w:lang w:eastAsia="zh-CN"/>
          <w14:textFill>
            <w14:solidFill>
              <w14:schemeClr w14:val="tx1"/>
            </w14:solidFill>
          </w14:textFill>
        </w:rPr>
        <w:t>et al</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Primary gastric dedifferentiated liposarcoma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Joon Hyun Cho, Jun Hyeon Byeon, Si Hyung Lee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Joon Hyun Cho, Jun Hyeon Byeon, Si Hyung Lee, </w:t>
      </w:r>
      <w:r>
        <w:rPr>
          <w:rFonts w:ascii="Book Antiqua" w:hAnsi="Book Antiqua" w:eastAsia="Batang"/>
          <w:color w:val="000000" w:themeColor="text1"/>
          <w14:textFill>
            <w14:solidFill>
              <w14:schemeClr w14:val="tx1"/>
            </w14:solidFill>
          </w14:textFill>
        </w:rPr>
        <w:t xml:space="preserve">Division of Gastroenterology and Hepatology, </w:t>
      </w:r>
      <w:r>
        <w:rPr>
          <w:rFonts w:ascii="Book Antiqua" w:hAnsi="Book Antiqua" w:eastAsia="Book Antiqua" w:cs="Book Antiqua"/>
          <w:color w:val="000000" w:themeColor="text1"/>
          <w14:textFill>
            <w14:solidFill>
              <w14:schemeClr w14:val="tx1"/>
            </w14:solidFill>
          </w14:textFill>
        </w:rPr>
        <w:t>Department of Internal Medicine, Yeungnam University College of Medicine, Daegu 42415, South Korea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Cho JH, Byeon JH, and Lee SH were responsible for acquiring clinical data and for manuscript writing and revision.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Si Hyung Lee, MD, Professor, </w:t>
      </w:r>
      <w:r>
        <w:rPr>
          <w:rFonts w:ascii="Book Antiqua" w:hAnsi="Book Antiqua" w:eastAsia="Batang"/>
          <w:color w:val="000000" w:themeColor="text1"/>
          <w14:textFill>
            <w14:solidFill>
              <w14:schemeClr w14:val="tx1"/>
            </w14:solidFill>
          </w14:textFill>
        </w:rPr>
        <w:t xml:space="preserve">Division of Gastroenterology and Hepatology, </w:t>
      </w:r>
      <w:r>
        <w:rPr>
          <w:rFonts w:ascii="Book Antiqua" w:hAnsi="Book Antiqua" w:eastAsia="Book Antiqua" w:cs="Book Antiqua"/>
          <w:color w:val="000000" w:themeColor="text1"/>
          <w14:textFill>
            <w14:solidFill>
              <w14:schemeClr w14:val="tx1"/>
            </w14:solidFill>
          </w14:textFill>
        </w:rPr>
        <w:t>Department of Internal Medicine, Yeungnam University College of Medicine, 170 Hyeonchung-ro, Nam</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gu, Daegu 42415, South Korea. dr9696@gmail.com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December 18, 2021</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宋体" w:cs="Book Antiqua"/>
          <w:bCs/>
          <w:color w:val="000000" w:themeColor="text1"/>
          <w:lang w:eastAsia="zh-CN"/>
          <w14:textFill>
            <w14:solidFill>
              <w14:schemeClr w14:val="tx1"/>
            </w14:solidFill>
          </w14:textFill>
        </w:rPr>
        <w:t>January 29, 2022</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Accepted:</w:t>
      </w:r>
      <w:r>
        <w:rPr>
          <w:rFonts w:ascii="Book Antiqua" w:hAnsi="Book Antiqua" w:eastAsia="Book Antiqua" w:cs="Book Antiqua"/>
          <w:b w:val="0"/>
          <w:bCs w:val="0"/>
          <w:color w:val="000000" w:themeColor="text1"/>
          <w14:textFill>
            <w14:solidFill>
              <w14:schemeClr w14:val="tx1"/>
            </w14:solidFill>
          </w14:textFill>
        </w:rPr>
        <w:t xml:space="preserve"> May 5,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Published online:</w:t>
      </w:r>
      <w:bookmarkStart w:id="0" w:name="OLE_LINK1"/>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June 21, 2022</w:t>
      </w:r>
      <w:bookmarkEnd w:id="0"/>
      <w:r>
        <w:rPr>
          <w:rFonts w:ascii="Book Antiqua" w:hAnsi="Book Antiqua" w:eastAsia="Book Antiqua" w:cs="Book Antiqua"/>
          <w:b/>
          <w:bCs/>
          <w:color w:val="000000" w:themeColor="text1"/>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Liposarcoma is one of the most common adult mesenchymal tumors but is uncommon in the gastrointestinal tract and extremely rare in the stomach. Furthermore, the histological subtypes of liposarcoma usually reported in the stomach are well-differentiated or myxoid, and few reports have been issued on small-sized gastric liposarcomas resected endoscopically and followed up. Herein, we report a case of primary gastric dedifferentiated liposarcoma (DL) that was resected endoscopically.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67-year-old female Korean patient was referred to our institution for further evaluation of a gastric submucosal tumor (SMT) located in the lesser curvature of the gastric body by esophagogastroduodenoscopy. Endoscopic ultrasound revealed a well-circumscribed, slightly heterogeneous, isoechoic, 17</w:t>
      </w:r>
      <w:r>
        <w:rPr>
          <w:rFonts w:ascii="Book Antiqua" w:hAnsi="Book Antiqua" w:eastAsia="宋体" w:cs="Book Antiqua"/>
          <w:color w:val="000000" w:themeColor="text1"/>
          <w:lang w:eastAsia="zh-CN"/>
          <w14:textFill>
            <w14:solidFill>
              <w14:schemeClr w14:val="tx1"/>
            </w14:solidFill>
          </w14:textFill>
        </w:rPr>
        <w:t xml:space="preserve"> mm</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 mm sized mass originating from the third sonographic layer. Computed tomography showed no evidence of significant lymph node enlargement or distant metastasis. Endoscopic resection was undertaken using the snare resection technique after mucosal precutting to provide a definitive histopathologic diagnosis, which proved to be consistent with DL, based on its morphology and the immunoexpressions of MDM2 and CDK4. The patient was planned for surgery because the deep resection margin was positive for malignancy. After declining any invasive procedure or adjuvant treatment, the patient was placed under close follow-up, and at one year after endoscopic resection, remained disease free.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is the first reported case of a small primary gastric DL resected endoscopically and followed up. This report demonstrates that when diagnosis of a SMT is uncertain, the use of invasive techniques, including endoscopic resection, should be considered.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Gastric liposarcoma; Dedifferentiated liposarcoma; Submucosal tumor; Endoscopic resection;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themeColor="text1"/>
          <w14:textFill>
            <w14:solidFill>
              <w14:schemeClr w14:val="tx1"/>
            </w14:solidFill>
          </w14:textFill>
        </w:rPr>
        <w:t>Cho JH, Byeon JH, Lee SH. Primary gastric dedifferentiated liposarcoma resected endoscopically: A case report</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World J Gastroenterol</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262</w:t>
      </w:r>
      <w:r>
        <w:rPr>
          <w:rFonts w:hint="eastAsia" w:ascii="Book Antiqua" w:hAnsi="Book Antiqua" w:eastAsia="Book Antiqua" w:cs="Book Antiqua"/>
          <w:i w:val="0"/>
          <w:iCs w:val="0"/>
          <w:color w:val="000000"/>
          <w:kern w:val="0"/>
          <w:sz w:val="24"/>
          <w:szCs w:val="24"/>
          <w:u w:val="none"/>
          <w:lang w:val="en-US" w:eastAsia="zh-CN" w:bidi="ar"/>
        </w:rPr>
        <w:t>5</w:t>
      </w:r>
      <w:r>
        <w:rPr>
          <w:rFonts w:hint="default" w:ascii="Book Antiqua" w:hAnsi="Book Antiqua" w:eastAsia="Book Antiqua" w:cs="Book Antiqua"/>
          <w:i w:val="0"/>
          <w:iCs w:val="0"/>
          <w:color w:val="000000"/>
          <w:kern w:val="0"/>
          <w:sz w:val="24"/>
          <w:szCs w:val="24"/>
          <w:u w:val="none"/>
          <w:lang w:val="en-US" w:eastAsia="zh-CN" w:bidi="ar"/>
        </w:rPr>
        <w:t>-263</w:t>
      </w:r>
      <w:r>
        <w:rPr>
          <w:rFonts w:hint="eastAsia" w:ascii="Book Antiqua" w:hAnsi="Book Antiqua" w:eastAsia="Book Antiqua" w:cs="Book Antiqua"/>
          <w:i w:val="0"/>
          <w:iCs w:val="0"/>
          <w:color w:val="000000"/>
          <w:kern w:val="0"/>
          <w:sz w:val="24"/>
          <w:szCs w:val="24"/>
          <w:u w:val="none"/>
          <w:lang w:val="en-US" w:eastAsia="zh-CN" w:bidi="ar"/>
        </w:rPr>
        <w:t>2</w:t>
      </w:r>
      <w:r>
        <w:rPr>
          <w:rFonts w:hint="eastAsia" w:ascii="Book Antiqua" w:hAnsi="Book Antiqua" w:eastAsia="Book Antiqua" w:cs="Book Antiqua"/>
          <w:color w:val="000000"/>
        </w:rPr>
        <w:t xml:space="preserve">  </w:t>
      </w: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262</w:t>
      </w:r>
      <w:r>
        <w:rPr>
          <w:rFonts w:hint="eastAsia" w:ascii="Book Antiqua" w:hAnsi="Book Antiqua" w:eastAsia="Book Antiqua" w:cs="Book Antiqua"/>
          <w:i w:val="0"/>
          <w:iCs w:val="0"/>
          <w:color w:val="000000"/>
          <w:kern w:val="0"/>
          <w:sz w:val="24"/>
          <w:szCs w:val="24"/>
          <w:u w:val="none"/>
          <w:lang w:val="en-US" w:eastAsia="zh-CN" w:bidi="ar"/>
        </w:rPr>
        <w:t>5</w:t>
      </w:r>
      <w:r>
        <w:rPr>
          <w:rFonts w:hint="eastAsia"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262</w:t>
      </w:r>
      <w:r>
        <w:rPr>
          <w:rFonts w:hint="eastAsia" w:ascii="Book Antiqua" w:hAnsi="Book Antiqua" w:eastAsia="Book Antiqua" w:cs="Book Antiqua"/>
          <w:i w:val="0"/>
          <w:iCs w:val="0"/>
          <w:color w:val="000000"/>
          <w:kern w:val="0"/>
          <w:sz w:val="24"/>
          <w:szCs w:val="24"/>
          <w:u w:val="none"/>
          <w:lang w:val="en-US" w:eastAsia="zh-CN" w:bidi="ar"/>
        </w:rPr>
        <w:t>5</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Liposarcoma is uncommon in the gastrointestinal tract and rarely encountered in the stomach. Furthermore, the dedifferentiated histologic subtype has not been previously reported in the stomach in the English literature. We experienced a case of a small (1.7 cm) primary gastric dedifferentiated liposarcoma, which was resected endoscopically. This report cautions that if a diagnosis of submucosal tumor is uncertain, the use of aggressive techniques, including endoscopic resection, should be considered.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Liposarcoma is one of the most common adult soft tissue sarcomas and has a peak incidence between the ages 50 and 65 and a prevalence of 15%-20% among all sarcoma patients</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There are four histological subtypes of liposarcomas</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Atypical lipomatous tumor/well-differentiated liposarcoma (WDL) is the most common subtype followed by dedifferentiated liposarcoma (DL), which frequently occurs in retroperitoneum</w:t>
      </w:r>
      <w:r>
        <w:rPr>
          <w:rFonts w:ascii="Book Antiqua" w:hAnsi="Book Antiqua" w:eastAsia="Book Antiqua" w:cs="Book Antiqua"/>
          <w:color w:val="000000" w:themeColor="text1"/>
          <w:vertAlign w:val="superscript"/>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The myxoid and pleomorphic types usually present in the extremities</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Thus, liposarcoma usually arises in deep soft tissues of the proximal extremities, retroperitoneum, or trunk</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and is encountered in the gastrointestinal tract in only 2% of cases</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majority of liposarcomas of the alimentary tract arise in the esophagus</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and liposarcomas originating at more distal sites, such as stomach, small intestine, and large intestine, are rare</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Less than 40 cases of primary liposarcoma of the stomach have been described in the medical literature, and the most reported histological subtypes of gastric liposarcoma are WDL and myxoid liposarcoma</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In fact, no report on DL of the stomach has been published in the English literature, though one case report on DL of the gastroesophageal junction was issued in 2018</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Here, we describe the first case of a small primary gastric DL resected endoscopically and provide a review of the literature.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67-year-old female Korean patient was referred to our institution for further evaluation and treatment of a gastric submucosal tumor (SMT) incidentally discovered by esophagogastroduodenoscopy (EGD) during a routine medical check-up.</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had experienced no abdominal pain or discomfort.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She had a history of breast conserving surgery due to breast cancer 6 years previously.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had diabetes and was being treated with oral hypoglycemic agents. She was a non-smoker and non-alcohol drinker and had no significant family history.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Physical examination was unremarkable, and her abdomen was soft, nontender, and nondistended with no palpable mass.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Laboratory tests, which included common serum tumor markers such as </w:t>
      </w:r>
      <w:r>
        <w:rPr>
          <w:rFonts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arcinoembryonic antigen</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CEA</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and carbohydrate antigen 19-9</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CA 19-9</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were normal.</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EGD revealed a SMT-like protruding lesion of approximately 15 mm diameter located in the posterior wall of the lesser curvature of the distal part of the gastric body </w:t>
      </w:r>
      <w:r>
        <w:rPr>
          <w:rFonts w:ascii="Book Antiqua" w:hAnsi="Book Antiqua" w:eastAsia="Book Antiqua" w:cs="Book Antiqua"/>
          <w:bCs/>
          <w:color w:val="000000" w:themeColor="text1"/>
          <w14:textFill>
            <w14:solidFill>
              <w14:schemeClr w14:val="tx1"/>
            </w14:solidFill>
          </w14:textFill>
        </w:rPr>
        <w:t>(Figure 1A)</w:t>
      </w:r>
      <w:r>
        <w:rPr>
          <w:rFonts w:ascii="Book Antiqua" w:hAnsi="Book Antiqua" w:eastAsia="Book Antiqua" w:cs="Book Antiqua"/>
          <w:color w:val="000000" w:themeColor="text1"/>
          <w14:textFill>
            <w14:solidFill>
              <w14:schemeClr w14:val="tx1"/>
            </w14:solidFill>
          </w14:textFill>
        </w:rPr>
        <w:t>. The lesion was covered with normally appearing mucosa except for focal mucosal erythema and depression over the lesion. Gastric endoscopic ultrasonography (EUS) examination demonstrated a well-demarcated mass, which measured 17</w:t>
      </w:r>
      <w:r>
        <w:rPr>
          <w:rFonts w:ascii="Book Antiqua" w:hAnsi="Book Antiqua" w:eastAsia="宋体" w:cs="Book Antiqua"/>
          <w:color w:val="000000" w:themeColor="text1"/>
          <w:lang w:eastAsia="zh-CN"/>
          <w14:textFill>
            <w14:solidFill>
              <w14:schemeClr w14:val="tx1"/>
            </w14:solidFill>
          </w14:textFill>
        </w:rPr>
        <w:t xml:space="preserve"> mm</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 mm, located in the third layer of the gastric wall. The echo pattern of the mass was slightly heterogeneous and isoechoic </w:t>
      </w:r>
      <w:r>
        <w:rPr>
          <w:rFonts w:ascii="Book Antiqua" w:hAnsi="Book Antiqua" w:eastAsia="Book Antiqua" w:cs="Book Antiqua"/>
          <w:bCs/>
          <w:color w:val="000000" w:themeColor="text1"/>
          <w14:textFill>
            <w14:solidFill>
              <w14:schemeClr w14:val="tx1"/>
            </w14:solidFill>
          </w14:textFill>
        </w:rPr>
        <w:t>(Figure 1B),</w:t>
      </w:r>
      <w:r>
        <w:rPr>
          <w:rFonts w:ascii="Book Antiqua" w:hAnsi="Book Antiqua" w:eastAsia="Book Antiqua" w:cs="Book Antiqua"/>
          <w:color w:val="000000" w:themeColor="text1"/>
          <w14:textFill>
            <w14:solidFill>
              <w14:schemeClr w14:val="tx1"/>
            </w14:solidFill>
          </w14:textFill>
        </w:rPr>
        <w:t xml:space="preserve"> but its EUS appearance was insufficient for diagnosis. The differential diagnosis included lipoma, neuroendocrine tumor, and ectopic pancreas. Initial biopsy specimens obtained at the site of the focal mucosal erythema and depression were negative for a neoplasm. Computed tomography (CT) of the abdomen showed a well-enhanced, intraluminal protruding polypoid lesion arising from the gastric body but no evidence of lymph node enlargement or distant metastasis </w:t>
      </w:r>
      <w:r>
        <w:rPr>
          <w:rFonts w:ascii="Book Antiqua" w:hAnsi="Book Antiqua" w:eastAsia="Book Antiqua" w:cs="Book Antiqua"/>
          <w:bCs/>
          <w:color w:val="000000" w:themeColor="text1"/>
          <w14:textFill>
            <w14:solidFill>
              <w14:schemeClr w14:val="tx1"/>
            </w14:solidFill>
          </w14:textFill>
        </w:rPr>
        <w:t>(Figure 2)</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After initial work-up, endoscopic resection was conducted using the snare resection technique after mucosal precutting for a definitive histopathologic result </w:t>
      </w:r>
      <w:r>
        <w:rPr>
          <w:rFonts w:ascii="Book Antiqua" w:hAnsi="Book Antiqua" w:eastAsia="Book Antiqua" w:cs="Book Antiqua"/>
          <w:bCs/>
          <w:color w:val="000000" w:themeColor="text1"/>
          <w14:textFill>
            <w14:solidFill>
              <w14:schemeClr w14:val="tx1"/>
            </w14:solidFill>
          </w14:textFill>
        </w:rPr>
        <w:t>(Figure 3)</w:t>
      </w:r>
      <w:r>
        <w:rPr>
          <w:rFonts w:ascii="Book Antiqua" w:hAnsi="Book Antiqua" w:eastAsia="Book Antiqua" w:cs="Book Antiqua"/>
          <w:color w:val="000000" w:themeColor="text1"/>
          <w14:textFill>
            <w14:solidFill>
              <w14:schemeClr w14:val="tx1"/>
            </w14:solidFill>
          </w14:textFill>
        </w:rPr>
        <w:t xml:space="preserve">. At gross examination, the tumor was whitish yellow, well-shaped, and solid. Histopathologic examination showed the tumor was located submucosally and primarily composed of spindle-shaped atypical cells with pleomorphic and hyperchromatic nuclei and indistinct pale cytoplasm </w:t>
      </w:r>
      <w:r>
        <w:rPr>
          <w:rFonts w:ascii="Book Antiqua" w:hAnsi="Book Antiqua" w:eastAsia="Book Antiqua" w:cs="Book Antiqua"/>
          <w:bCs/>
          <w:color w:val="000000" w:themeColor="text1"/>
          <w14:textFill>
            <w14:solidFill>
              <w14:schemeClr w14:val="tx1"/>
            </w14:solidFill>
          </w14:textFill>
        </w:rPr>
        <w:t>(Figure 4</w:t>
      </w:r>
      <w:r>
        <w:rPr>
          <w:rFonts w:ascii="Book Antiqua" w:hAnsi="Book Antiqua" w:eastAsia="宋体" w:cs="Book Antiqua"/>
          <w:bCs/>
          <w:color w:val="000000" w:themeColor="text1"/>
          <w:lang w:eastAsia="zh-CN"/>
          <w14:textFill>
            <w14:solidFill>
              <w14:schemeClr w14:val="tx1"/>
            </w14:solidFill>
          </w14:textFill>
        </w:rPr>
        <w:t>A-D</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Deep resection margins were positive for tumor. Immunohistochemical staining performed for the differential diagnosis of gastrointestinal stromal tumor, schwannoma, leiomyosarcoma, malignant melanoma, and any poorly or undifferentiated sarcoma, revealed tumor cells were negative for CD117, DOG1, CD34, SMA, S-100, Desmin, HMB45, and SOX10, but positive for MDM2 and CDK4 nuclear staining </w:t>
      </w:r>
      <w:r>
        <w:rPr>
          <w:rFonts w:ascii="Book Antiqua" w:hAnsi="Book Antiqua" w:eastAsia="Book Antiqua" w:cs="Book Antiqua"/>
          <w:bCs/>
          <w:color w:val="000000" w:themeColor="text1"/>
          <w14:textFill>
            <w14:solidFill>
              <w14:schemeClr w14:val="tx1"/>
            </w14:solidFill>
          </w14:textFill>
        </w:rPr>
        <w:t xml:space="preserve">(Figure </w:t>
      </w:r>
      <w:r>
        <w:rPr>
          <w:rFonts w:ascii="Book Antiqua" w:hAnsi="Book Antiqua" w:eastAsia="宋体" w:cs="Book Antiqua"/>
          <w:bCs/>
          <w:color w:val="000000" w:themeColor="text1"/>
          <w:lang w:eastAsia="zh-CN"/>
          <w14:textFill>
            <w14:solidFill>
              <w14:schemeClr w14:val="tx1"/>
            </w14:solidFill>
          </w14:textFill>
        </w:rPr>
        <w:t>4E and F</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Based on these findings, the histopathological diagnosis was consistent with DL.</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planned for surgery because the deep resection margin was positive for DL, but declined any invasive procedure or adjuvant treatment.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She remains under close follow-up, which includes biannual CT scanning and EGD, and at one year after endoscopic resection remained disease free.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Although they are the most common mesenchymal neoplasms, liposarcomas are rarely found in the gastrointestinal tract. Since the disease was first described by Abrams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xml:space="preserve"> in 1941, fewer than 40 cases of gastric liposarcoma have been reported in the literature worldwide</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The etiology of gastric liposarcoma remains uncertain, though some patients have a family history of soft tissue neoplasms, which suggests the involvement of genetic factors</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Gastric liposarcomas originate due to the proliferation of undifferentiated mesenchymal cells within submucosa and the tunica muscularis layer of stomach, and an exophytic growth is typical</w:t>
      </w:r>
      <w:r>
        <w:rPr>
          <w:rFonts w:ascii="Book Antiqua" w:hAnsi="Book Antiqua" w:eastAsia="Book Antiqua" w:cs="Book Antiqua"/>
          <w:color w:val="000000" w:themeColor="text1"/>
          <w:vertAlign w:val="superscript"/>
          <w14:textFill>
            <w14:solidFill>
              <w14:schemeClr w14:val="tx1"/>
            </w14:solidFill>
          </w14:textFill>
        </w:rPr>
        <w:t>[10,14]</w:t>
      </w:r>
      <w:r>
        <w:rPr>
          <w:rFonts w:ascii="Book Antiqua" w:hAnsi="Book Antiqua" w:eastAsia="Book Antiqua" w:cs="Book Antiqua"/>
          <w:color w:val="000000" w:themeColor="text1"/>
          <w14:textFill>
            <w14:solidFill>
              <w14:schemeClr w14:val="tx1"/>
            </w14:solidFill>
          </w14:textFill>
        </w:rPr>
        <w:t>. Most gastric liposarcomas are located in the antrum or lesser curvature.</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As is the case for other soft tissue sarcomas, there are no characteristic clinical findings</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xml:space="preserve">, and patients may remain asymptomatic for years. Symptoms depend primarily on tumor location and size and the presence or absence of ulceration. The most common symptoms are a palpable mass, mechanical obstruction, and gastrointestinal bleeding. </w:t>
      </w:r>
      <w:r>
        <w:rPr>
          <w:rFonts w:ascii="Book Antiqua" w:hAnsi="Book Antiqua" w:eastAsia="Malgun Gothic" w:cs="Malgun Gothic"/>
          <w:color w:val="000000" w:themeColor="text1"/>
          <w:lang w:eastAsia="ko-KR"/>
          <w14:textFill>
            <w14:solidFill>
              <w14:schemeClr w14:val="tx1"/>
            </w14:solidFill>
          </w14:textFill>
        </w:rPr>
        <w:t xml:space="preserve">In </w:t>
      </w:r>
      <w:r>
        <w:rPr>
          <w:rFonts w:ascii="Book Antiqua" w:hAnsi="Book Antiqua" w:eastAsia="Book Antiqua" w:cs="Book Antiqua"/>
          <w:color w:val="000000" w:themeColor="text1"/>
          <w14:textFill>
            <w14:solidFill>
              <w14:schemeClr w14:val="tx1"/>
            </w14:solidFill>
          </w14:textFill>
        </w:rPr>
        <w:t>general, nonspecific symptoms are the main cause of delayed diagnoses, and thus, most liposarcomas are large at diagnosis. However, our patient underwent regular biennial EGD under a national cancer screening program, and the small SMT was detected early. Furthermore, endoscopic resection performed for a definite diagnosis resulted in the diagnosis of a small, asymptomatic gastric liposarcoma.</w:t>
      </w:r>
    </w:p>
    <w:p>
      <w:pPr>
        <w:spacing w:line="360" w:lineRule="auto"/>
        <w:ind w:firstLine="240" w:firstLineChars="100"/>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characteristic histological features of liposarcoma are the presence of immature fat cells and lipoblasts</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Liposarcomas are classified histologically as WDL, DL, myxoid/round cell liposarcoma, or pleomorphic liposarcoma</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and considerations of histological subtype are important during the disease course. While DL, round-cell, and pleomorphic liposarcomas are high-grade aggressive tumors with the ability to metastasize, WDL and myxoid liposarcomas are low-grade tumors that progress more slowly</w:t>
      </w:r>
      <w:r>
        <w:rPr>
          <w:rFonts w:ascii="Book Antiqua" w:hAnsi="Book Antiqua" w:eastAsia="Book Antiqua" w:cs="Book Antiqua"/>
          <w:color w:val="000000" w:themeColor="text1"/>
          <w:vertAlign w:val="superscript"/>
          <w14:textFill>
            <w14:solidFill>
              <w14:schemeClr w14:val="tx1"/>
            </w14:solidFill>
          </w14:textFill>
        </w:rPr>
        <w:t>[3,5]</w:t>
      </w:r>
      <w:r>
        <w:rPr>
          <w:rFonts w:ascii="Book Antiqua" w:hAnsi="Book Antiqua" w:eastAsia="Book Antiqua" w:cs="Book Antiqua"/>
          <w:color w:val="000000" w:themeColor="text1"/>
          <w14:textFill>
            <w14:solidFill>
              <w14:schemeClr w14:val="tx1"/>
            </w14:solidFill>
          </w14:textFill>
        </w:rPr>
        <w:t>. Most of the gastric liposarcomas reported have been of the well-differentiated or myxoid histologic subtypes</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and DL arising in the stomach has not been previously reported in the English literature; although a case of DL of heart and stomach was reported in 2017</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Notably, in this report, histopathological examination failed to determine that the primary lesion was located in the stomach. In addition, one case of primary DL of the gastroesophageal junction has been reported</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Thus, to the best of our knowledge, this is the first reported case of primary gastric DL.</w:t>
      </w:r>
    </w:p>
    <w:p>
      <w:pPr>
        <w:spacing w:line="360" w:lineRule="auto"/>
        <w:ind w:firstLine="240" w:firstLineChars="100"/>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DL is defined as a combination of WDL and high-grade sarcoma that displays evidence of non-lipogenic differentiation like undifferentiated high-grade pleomorphic sarcoma, fibrosarcoma, or myxofibrosarcoma</w:t>
      </w:r>
      <w:r>
        <w:rPr>
          <w:rFonts w:ascii="Book Antiqua" w:hAnsi="Book Antiqua" w:eastAsia="Book Antiqua" w:cs="Book Antiqua"/>
          <w:color w:val="000000" w:themeColor="text1"/>
          <w:vertAlign w:val="superscript"/>
          <w14:textFill>
            <w14:solidFill>
              <w14:schemeClr w14:val="tx1"/>
            </w14:solidFill>
          </w14:textFill>
        </w:rPr>
        <w:t>[17,18]</w:t>
      </w:r>
      <w:r>
        <w:rPr>
          <w:rFonts w:ascii="Book Antiqua" w:hAnsi="Book Antiqua" w:eastAsia="Book Antiqua" w:cs="Book Antiqua"/>
          <w:color w:val="000000" w:themeColor="text1"/>
          <w14:textFill>
            <w14:solidFill>
              <w14:schemeClr w14:val="tx1"/>
            </w14:solidFill>
          </w14:textFill>
        </w:rPr>
        <w:t xml:space="preserve">. DL can occur </w:t>
      </w:r>
      <w:r>
        <w:rPr>
          <w:rFonts w:ascii="Book Antiqua" w:hAnsi="Book Antiqua" w:eastAsia="Book Antiqua" w:cs="Book Antiqua"/>
          <w:i/>
          <w:iCs/>
          <w:color w:val="000000" w:themeColor="text1"/>
          <w14:textFill>
            <w14:solidFill>
              <w14:schemeClr w14:val="tx1"/>
            </w14:solidFill>
          </w14:textFill>
        </w:rPr>
        <w:t>de novo</w:t>
      </w:r>
      <w:r>
        <w:rPr>
          <w:rFonts w:ascii="Book Antiqua" w:hAnsi="Book Antiqua" w:eastAsia="Book Antiqua" w:cs="Book Antiqua"/>
          <w:color w:val="000000" w:themeColor="text1"/>
          <w14:textFill>
            <w14:solidFill>
              <w14:schemeClr w14:val="tx1"/>
            </w14:solidFill>
          </w14:textFill>
        </w:rPr>
        <w:t xml:space="preserve"> (90% of cases) or as recurrence from a preexisting WDL (10% of cases)</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If DL develops from the transformation of a preexisting WDL into non-lipogenic sarcoma, dedifferentiation develops in 20% of the first and 44% of the second local recurrences and has been shown to be associated with poor progression and metastasis</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The histologic diagnosis of DL is generally based on the identification of WDL areas, which were scarce in our patient. In these cases, the differential diagnosis of any poorly-differentiated or undifferentiated sarcoma is important, and MDM2 and CDK4 immunohistochemical staining or FISH testing for amplification of the MDM2 and CDK4 genes is diagnostically helpful</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In our patient, DL was confirmed by CDK4 and MDM2 immunostaining.</w:t>
      </w:r>
    </w:p>
    <w:p>
      <w:pPr>
        <w:spacing w:line="360" w:lineRule="auto"/>
        <w:ind w:firstLine="240" w:firstLineChars="1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DL often exhibits abdominal cavity involvement usually of retroperitoneum, and an intraperitoneal origin is extremely rare</w:t>
      </w:r>
      <w:r>
        <w:rPr>
          <w:rFonts w:ascii="Book Antiqua" w:hAnsi="Book Antiqua" w:eastAsia="Book Antiqua" w:cs="Book Antiqua"/>
          <w:color w:val="000000" w:themeColor="text1"/>
          <w:vertAlign w:val="superscript"/>
          <w14:textFill>
            <w14:solidFill>
              <w14:schemeClr w14:val="tx1"/>
            </w14:solidFill>
          </w14:textFill>
        </w:rPr>
        <w:t>[3,21,22]</w:t>
      </w:r>
      <w:r>
        <w:rPr>
          <w:rFonts w:ascii="Book Antiqua" w:hAnsi="Book Antiqua" w:eastAsia="Book Antiqua" w:cs="Book Antiqua"/>
          <w:color w:val="000000" w:themeColor="text1"/>
          <w14:textFill>
            <w14:solidFill>
              <w14:schemeClr w14:val="tx1"/>
            </w14:solidFill>
          </w14:textFill>
        </w:rPr>
        <w:t>. When DL occurs inside the abdominal cavity it presents as a space-occupying mass lesion. The pathognomonic findings of DL in CT and magnetic resonance images are a heterogeneous, non-lipogenic, encapsulated mass</w:t>
      </w:r>
      <w:r>
        <w:rPr>
          <w:rFonts w:ascii="Book Antiqua" w:hAnsi="Book Antiqua" w:eastAsia="Book Antiqua" w:cs="Book Antiqua"/>
          <w:color w:val="000000" w:themeColor="text1"/>
          <w:vertAlign w:val="superscript"/>
          <w14:textFill>
            <w14:solidFill>
              <w14:schemeClr w14:val="tx1"/>
            </w14:solidFill>
          </w14:textFill>
        </w:rPr>
        <w:t>[23]</w:t>
      </w:r>
      <w:r>
        <w:rPr>
          <w:rFonts w:ascii="Book Antiqua" w:hAnsi="Book Antiqua" w:eastAsia="Book Antiqua" w:cs="Book Antiqua"/>
          <w:color w:val="000000" w:themeColor="text1"/>
          <w14:textFill>
            <w14:solidFill>
              <w14:schemeClr w14:val="tx1"/>
            </w14:solidFill>
          </w14:textFill>
        </w:rPr>
        <w:t>, which are sufficient for diagnosis and obviate the need for needle biopsy. In our patient, because DL arising from the gastric wall presented as a small gastric SMT, CT was not diagnostically useful. Although EUS is considered the most useful modality in terms of defining the presumptive nature of SMT, our case demonstrates the difficulty of differentiating benign and malignant SMT by EUS alone, particularly when a lesion is small. Lesion echogenicity is also worth mentioning. Unlike the hyperechogenic EUS feature of other pathologic types</w:t>
      </w:r>
      <w:r>
        <w:rPr>
          <w:rFonts w:ascii="Book Antiqua" w:hAnsi="Book Antiqua" w:eastAsia="Book Antiqua" w:cs="Book Antiqua"/>
          <w:color w:val="000000" w:themeColor="text1"/>
          <w:vertAlign w:val="superscript"/>
          <w14:textFill>
            <w14:solidFill>
              <w14:schemeClr w14:val="tx1"/>
            </w14:solidFill>
          </w14:textFill>
        </w:rPr>
        <w:t>[10,24,25]</w:t>
      </w:r>
      <w:r>
        <w:rPr>
          <w:rFonts w:ascii="Book Antiqua" w:hAnsi="Book Antiqua" w:eastAsia="Book Antiqua" w:cs="Book Antiqua"/>
          <w:color w:val="000000" w:themeColor="text1"/>
          <w14:textFill>
            <w14:solidFill>
              <w14:schemeClr w14:val="tx1"/>
            </w14:solidFill>
          </w14:textFill>
        </w:rPr>
        <w:t xml:space="preserve">, our case showed isoechoic EUS features, which appeared to be related to a sparsity of immature lipocytes or lipoblasts as the WDL area was extremely limited in our patient. DL seems to have a better prognosis than other high-grade sarcomas, especially in terms of its metastatic potential. Yet, careful long-term follow-up is essential because </w:t>
      </w:r>
      <w:r>
        <w:rPr>
          <w:rFonts w:ascii="Book Antiqua" w:hAnsi="Book Antiqua" w:eastAsia="宋体" w:cs="Book Antiqua"/>
          <w:color w:val="000000" w:themeColor="text1"/>
          <w:lang w:eastAsia="zh-CN"/>
          <w14:textFill>
            <w14:solidFill>
              <w14:schemeClr w14:val="tx1"/>
            </w14:solidFill>
          </w14:textFill>
        </w:rPr>
        <w:t xml:space="preserve">approximately </w:t>
      </w:r>
      <w:r>
        <w:rPr>
          <w:rFonts w:ascii="Book Antiqua" w:hAnsi="Book Antiqua" w:eastAsia="Book Antiqua" w:cs="Book Antiqua"/>
          <w:color w:val="000000" w:themeColor="text1"/>
          <w14:textFill>
            <w14:solidFill>
              <w14:schemeClr w14:val="tx1"/>
            </w14:solidFill>
          </w14:textFill>
        </w:rPr>
        <w:t>40% of DLs recur locally, 17% metastasize, and 28% of patients eventually die of the disease</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Surgery remains the treatment of choice for DL, and it is crucial that the tumor be completely removed</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though the efficacies of targeted chemotherapy and radiotherapy are being investigated</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Liposarcoma is uncommon in the gastrointestinal tract and rare in the stomach, and primary DL in the stomach is extremely rare but should be considered in the differential diagnosis of any poorly-differentiated or undifferentiated sarcoma. The reasons why this case report is valuable are: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1) It presents the first reported case of a small primary gastric DL, resected endoscopically, and followed up; and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宋体"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t cautions that if a diagnosis of SMT is uncertain after initial examination by EGD, EUS, and/or CT, the use of aggressive techniques, including endoscopic resection, should be considered.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Goldblum JR</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Folpe AL, Weiss SW. Enzinger and Weiss’s Soft Tissue Tumors. 6</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ed. Philadelphia: Elsevier, 2014 [DOI:10.1097/pap.0000000000000020]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Fletcher CDM</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Bridge JA, Hogendoom PCW</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World Health Organization classification of tumours. </w:t>
      </w:r>
      <w:r>
        <w:rPr>
          <w:rFonts w:ascii="Book Antiqua" w:hAnsi="Book Antiqua" w:eastAsia="宋体" w:cs="Book Antiqua"/>
          <w:color w:val="000000" w:themeColor="text1"/>
          <w:lang w:eastAsia="zh-CN"/>
          <w14:textFill>
            <w14:solidFill>
              <w14:schemeClr w14:val="tx1"/>
            </w14:solidFill>
          </w14:textFill>
        </w:rPr>
        <w:t xml:space="preserve">In: </w:t>
      </w:r>
      <w:r>
        <w:rPr>
          <w:rFonts w:ascii="Book Antiqua" w:hAnsi="Book Antiqua" w:eastAsia="Book Antiqua" w:cs="Book Antiqua"/>
          <w:color w:val="000000" w:themeColor="text1"/>
          <w14:textFill>
            <w14:solidFill>
              <w14:schemeClr w14:val="tx1"/>
            </w14:solidFill>
          </w14:textFill>
        </w:rPr>
        <w:t>Pathology and genetics of tumours of soft tissue and bone. Lyon: IARC Press, 2013: 10-238 [DOI:10.1302/0301-620x.86b3.0860466b]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Singer S</w:t>
      </w:r>
      <w:r>
        <w:rPr>
          <w:rFonts w:ascii="Book Antiqua" w:hAnsi="Book Antiqua" w:eastAsia="Book Antiqua" w:cs="Book Antiqua"/>
          <w:color w:val="000000" w:themeColor="text1"/>
          <w14:textFill>
            <w14:solidFill>
              <w14:schemeClr w14:val="tx1"/>
            </w14:solidFill>
          </w14:textFill>
        </w:rPr>
        <w:t xml:space="preserve">, Antonescu CR, Riedel E, Brennan MF. Histologic subtype and margin of resection predict pattern of recurrence and survival for retroperitoneal liposarcoma. </w:t>
      </w:r>
      <w:r>
        <w:rPr>
          <w:rFonts w:ascii="Book Antiqua" w:hAnsi="Book Antiqua" w:eastAsia="Book Antiqua" w:cs="Book Antiqua"/>
          <w:i/>
          <w:iCs/>
          <w:color w:val="000000" w:themeColor="text1"/>
          <w14:textFill>
            <w14:solidFill>
              <w14:schemeClr w14:val="tx1"/>
            </w14:solidFill>
          </w14:textFill>
        </w:rPr>
        <w:t>Ann Surg</w:t>
      </w:r>
      <w:r>
        <w:rPr>
          <w:rFonts w:ascii="Book Antiqua" w:hAnsi="Book Antiqua" w:eastAsia="Book Antiqua" w:cs="Book Antiqua"/>
          <w:color w:val="000000" w:themeColor="text1"/>
          <w14:textFill>
            <w14:solidFill>
              <w14:schemeClr w14:val="tx1"/>
            </w14:solidFill>
          </w14:textFill>
        </w:rPr>
        <w:t xml:space="preserve"> 2003; </w:t>
      </w:r>
      <w:r>
        <w:rPr>
          <w:rFonts w:ascii="Book Antiqua" w:hAnsi="Book Antiqua" w:eastAsia="Book Antiqua" w:cs="Book Antiqua"/>
          <w:b/>
          <w:bCs/>
          <w:color w:val="000000" w:themeColor="text1"/>
          <w14:textFill>
            <w14:solidFill>
              <w14:schemeClr w14:val="tx1"/>
            </w14:solidFill>
          </w14:textFill>
        </w:rPr>
        <w:t>238</w:t>
      </w:r>
      <w:r>
        <w:rPr>
          <w:rFonts w:ascii="Book Antiqua" w:hAnsi="Book Antiqua" w:eastAsia="Book Antiqua" w:cs="Book Antiqua"/>
          <w:color w:val="000000" w:themeColor="text1"/>
          <w14:textFill>
            <w14:solidFill>
              <w14:schemeClr w14:val="tx1"/>
            </w14:solidFill>
          </w14:textFill>
        </w:rPr>
        <w:t>: 358-70; discussion 370-1 [PMID: 14501502 DOI: 10.1097/01.sla.0000086542.11899.38]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Choi YY</w:t>
      </w:r>
      <w:r>
        <w:rPr>
          <w:rFonts w:ascii="Book Antiqua" w:hAnsi="Book Antiqua" w:eastAsia="Book Antiqua" w:cs="Book Antiqua"/>
          <w:color w:val="000000" w:themeColor="text1"/>
          <w14:textFill>
            <w14:solidFill>
              <w14:schemeClr w14:val="tx1"/>
            </w14:solidFill>
          </w14:textFill>
        </w:rPr>
        <w:t xml:space="preserve">, Kim YJ, Jin SY. Primary liposarcoma of the ascending colon: a rare case of mixed type presenting as hemoperitoneum combined with other type of retroperitoneal liposarcoma. </w:t>
      </w:r>
      <w:r>
        <w:rPr>
          <w:rFonts w:ascii="Book Antiqua" w:hAnsi="Book Antiqua" w:eastAsia="Book Antiqua" w:cs="Book Antiqua"/>
          <w:i/>
          <w:iCs/>
          <w:color w:val="000000" w:themeColor="text1"/>
          <w14:textFill>
            <w14:solidFill>
              <w14:schemeClr w14:val="tx1"/>
            </w14:solidFill>
          </w14:textFill>
        </w:rPr>
        <w:t>BMC Cancer</w:t>
      </w:r>
      <w:r>
        <w:rPr>
          <w:rFonts w:ascii="Book Antiqua" w:hAnsi="Book Antiqua" w:eastAsia="Book Antiqua" w:cs="Book Antiqua"/>
          <w:color w:val="000000" w:themeColor="text1"/>
          <w14:textFill>
            <w14:solidFill>
              <w14:schemeClr w14:val="tx1"/>
            </w14:solidFill>
          </w14:textFill>
        </w:rPr>
        <w:t xml:space="preserve"> 2010;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239 [PMID: 20507577 DOI: 10.1186/1471-2407-10-239]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Dalal KM</w:t>
      </w:r>
      <w:r>
        <w:rPr>
          <w:rFonts w:ascii="Book Antiqua" w:hAnsi="Book Antiqua" w:eastAsia="Book Antiqua" w:cs="Book Antiqua"/>
          <w:color w:val="000000" w:themeColor="text1"/>
          <w14:textFill>
            <w14:solidFill>
              <w14:schemeClr w14:val="tx1"/>
            </w14:solidFill>
          </w14:textFill>
        </w:rPr>
        <w:t xml:space="preserve">, Kattan MW, Antonescu CR, Brennan MF, Singer S. Subtype specific prognostic nomogram for patients with primary liposarcoma of the retroperitoneum, extremity, or trunk. </w:t>
      </w:r>
      <w:r>
        <w:rPr>
          <w:rFonts w:ascii="Book Antiqua" w:hAnsi="Book Antiqua" w:eastAsia="Book Antiqua" w:cs="Book Antiqua"/>
          <w:i/>
          <w:iCs/>
          <w:color w:val="000000" w:themeColor="text1"/>
          <w14:textFill>
            <w14:solidFill>
              <w14:schemeClr w14:val="tx1"/>
            </w14:solidFill>
          </w14:textFill>
        </w:rPr>
        <w:t>Ann Surg</w:t>
      </w:r>
      <w:r>
        <w:rPr>
          <w:rFonts w:ascii="Book Antiqua" w:hAnsi="Book Antiqua" w:eastAsia="Book Antiqua" w:cs="Book Antiqua"/>
          <w:color w:val="000000" w:themeColor="text1"/>
          <w14:textFill>
            <w14:solidFill>
              <w14:schemeClr w14:val="tx1"/>
            </w14:solidFill>
          </w14:textFill>
        </w:rPr>
        <w:t xml:space="preserve"> 2006; </w:t>
      </w:r>
      <w:r>
        <w:rPr>
          <w:rFonts w:ascii="Book Antiqua" w:hAnsi="Book Antiqua" w:eastAsia="Book Antiqua" w:cs="Book Antiqua"/>
          <w:b/>
          <w:bCs/>
          <w:color w:val="000000" w:themeColor="text1"/>
          <w14:textFill>
            <w14:solidFill>
              <w14:schemeClr w14:val="tx1"/>
            </w14:solidFill>
          </w14:textFill>
        </w:rPr>
        <w:t>244</w:t>
      </w:r>
      <w:r>
        <w:rPr>
          <w:rFonts w:ascii="Book Antiqua" w:hAnsi="Book Antiqua" w:eastAsia="Book Antiqua" w:cs="Book Antiqua"/>
          <w:color w:val="000000" w:themeColor="text1"/>
          <w14:textFill>
            <w14:solidFill>
              <w14:schemeClr w14:val="tx1"/>
            </w14:solidFill>
          </w14:textFill>
        </w:rPr>
        <w:t>: 381-391 [PMID: 16926564 DOI: 10.1097/01.sla.0000234795.98607.00]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Lahat G</w:t>
      </w:r>
      <w:r>
        <w:rPr>
          <w:rFonts w:ascii="Book Antiqua" w:hAnsi="Book Antiqua" w:eastAsia="Book Antiqua" w:cs="Book Antiqua"/>
          <w:color w:val="000000" w:themeColor="text1"/>
          <w14:textFill>
            <w14:solidFill>
              <w14:schemeClr w14:val="tx1"/>
            </w14:solidFill>
          </w14:textFill>
        </w:rPr>
        <w:t xml:space="preserve">, Lazar A, Lev D. Sarcoma epidemiology and etiology: potential environmental and genetic factors. </w:t>
      </w:r>
      <w:r>
        <w:rPr>
          <w:rFonts w:ascii="Book Antiqua" w:hAnsi="Book Antiqua" w:eastAsia="Book Antiqua" w:cs="Book Antiqua"/>
          <w:i/>
          <w:iCs/>
          <w:color w:val="000000" w:themeColor="text1"/>
          <w14:textFill>
            <w14:solidFill>
              <w14:schemeClr w14:val="tx1"/>
            </w14:solidFill>
          </w14:textFill>
        </w:rPr>
        <w:t>Surg Clin North Am</w:t>
      </w:r>
      <w:r>
        <w:rPr>
          <w:rFonts w:ascii="Book Antiqua" w:hAnsi="Book Antiqua" w:eastAsia="Book Antiqua" w:cs="Book Antiqua"/>
          <w:color w:val="000000" w:themeColor="text1"/>
          <w14:textFill>
            <w14:solidFill>
              <w14:schemeClr w14:val="tx1"/>
            </w14:solidFill>
          </w14:textFill>
        </w:rPr>
        <w:t xml:space="preserve"> 2008; </w:t>
      </w:r>
      <w:r>
        <w:rPr>
          <w:rFonts w:ascii="Book Antiqua" w:hAnsi="Book Antiqua" w:eastAsia="Book Antiqua" w:cs="Book Antiqua"/>
          <w:b/>
          <w:bCs/>
          <w:color w:val="000000" w:themeColor="text1"/>
          <w14:textFill>
            <w14:solidFill>
              <w14:schemeClr w14:val="tx1"/>
            </w14:solidFill>
          </w14:textFill>
        </w:rPr>
        <w:t>88</w:t>
      </w:r>
      <w:r>
        <w:rPr>
          <w:rFonts w:ascii="Book Antiqua" w:hAnsi="Book Antiqua" w:eastAsia="Book Antiqua" w:cs="Book Antiqua"/>
          <w:color w:val="000000" w:themeColor="text1"/>
          <w14:textFill>
            <w14:solidFill>
              <w14:schemeClr w14:val="tx1"/>
            </w14:solidFill>
          </w14:textFill>
        </w:rPr>
        <w:t>: 451-481, v [PMID: 18514694 DOI: 10.1016/j.suc.2008.03.006]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Enzinger FM</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Weiss SW. Liposarcoma</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宋体"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n: Soft Tissue Tumors. St Louis: Mosby Year Book, 1995: 431-466 [DOI:10.1002/bjs.1800821050]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Graham RP</w:t>
      </w:r>
      <w:r>
        <w:rPr>
          <w:rFonts w:ascii="Book Antiqua" w:hAnsi="Book Antiqua" w:eastAsia="Book Antiqua" w:cs="Book Antiqua"/>
          <w:color w:val="000000" w:themeColor="text1"/>
          <w14:textFill>
            <w14:solidFill>
              <w14:schemeClr w14:val="tx1"/>
            </w14:solidFill>
          </w14:textFill>
        </w:rPr>
        <w:t xml:space="preserve">, Yasir S, Fritchie KJ, Reid MD, Greipp PT, Folpe AL. Polypoid fibroadipose tumors of the esophagus: 'giant fibrovascular polyp' or liposarcoma? A clinicopathological and molecular cytogenetic study of 13 cases. </w:t>
      </w:r>
      <w:r>
        <w:rPr>
          <w:rFonts w:ascii="Book Antiqua" w:hAnsi="Book Antiqua" w:eastAsia="Book Antiqua" w:cs="Book Antiqua"/>
          <w:i/>
          <w:iCs/>
          <w:color w:val="000000" w:themeColor="text1"/>
          <w14:textFill>
            <w14:solidFill>
              <w14:schemeClr w14:val="tx1"/>
            </w14:solidFill>
          </w14:textFill>
        </w:rPr>
        <w:t>Mod Pathol</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 337-342 [PMID: 28984298 DOI: 10.1038/modpathol.2017.140]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Gajzer DC</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Fletcher CD, Agaimy A, Brcic I, Khanlari M, Rosenberg AE. Primary gastrointestinal liposarcoma—a clinico-pathological study of 8 cases of a rare entity. </w:t>
      </w:r>
      <w:r>
        <w:rPr>
          <w:rFonts w:ascii="Book Antiqua" w:hAnsi="Book Antiqua" w:eastAsia="Book Antiqua" w:cs="Book Antiqua"/>
          <w:i/>
          <w:color w:val="000000" w:themeColor="text1"/>
          <w14:textFill>
            <w14:solidFill>
              <w14:schemeClr w14:val="tx1"/>
            </w14:solidFill>
          </w14:textFill>
        </w:rPr>
        <w:t xml:space="preserve">Human Pathol </w:t>
      </w:r>
      <w:r>
        <w:rPr>
          <w:rFonts w:ascii="Book Antiqua" w:hAnsi="Book Antiqua" w:eastAsia="Book Antiqua" w:cs="Book Antiqua"/>
          <w:color w:val="000000" w:themeColor="text1"/>
          <w14:textFill>
            <w14:solidFill>
              <w14:schemeClr w14:val="tx1"/>
            </w14:solidFill>
          </w14:textFill>
        </w:rPr>
        <w:t xml:space="preserve">2020; </w:t>
      </w:r>
      <w:r>
        <w:rPr>
          <w:rFonts w:ascii="Book Antiqua" w:hAnsi="Book Antiqua" w:eastAsia="Book Antiqua" w:cs="Book Antiqua"/>
          <w:b/>
          <w:color w:val="000000" w:themeColor="text1"/>
          <w14:textFill>
            <w14:solidFill>
              <w14:schemeClr w14:val="tx1"/>
            </w14:solidFill>
          </w14:textFill>
        </w:rPr>
        <w:t>97</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80-93 [DOI:10.1016/j.humpath.2019.12.004]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Kang WZ</w:t>
      </w:r>
      <w:r>
        <w:rPr>
          <w:rFonts w:ascii="Book Antiqua" w:hAnsi="Book Antiqua" w:eastAsia="Book Antiqua" w:cs="Book Antiqua"/>
          <w:color w:val="000000" w:themeColor="text1"/>
          <w14:textFill>
            <w14:solidFill>
              <w14:schemeClr w14:val="tx1"/>
            </w14:solidFill>
          </w14:textFill>
        </w:rPr>
        <w:t xml:space="preserve">, Xue LY, Wang GQ, Ma FH, Feng XL, Guo L, Li Y, Li WK, Tian YT. Liposarcoma of the stomach: Report of two cases and review of the literature. </w:t>
      </w:r>
      <w:r>
        <w:rPr>
          <w:rFonts w:ascii="Book Antiqua" w:hAnsi="Book Antiqua" w:eastAsia="Book Antiqua" w:cs="Book Antiqua"/>
          <w:i/>
          <w:iCs/>
          <w:color w:val="000000" w:themeColor="text1"/>
          <w14:textFill>
            <w14:solidFill>
              <w14:schemeClr w14:val="tx1"/>
            </w14:solidFill>
          </w14:textFill>
        </w:rPr>
        <w:t>World J Gastroenterol</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2776-2784 [PMID: 29991881 DOI: 10.3748/wjg.v24.i25.2776]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Aşkan G</w:t>
      </w:r>
      <w:r>
        <w:rPr>
          <w:rFonts w:ascii="Book Antiqua" w:hAnsi="Book Antiqua" w:eastAsia="Book Antiqua" w:cs="Book Antiqua"/>
          <w:color w:val="000000" w:themeColor="text1"/>
          <w14:textFill>
            <w14:solidFill>
              <w14:schemeClr w14:val="tx1"/>
            </w14:solidFill>
          </w14:textFill>
        </w:rPr>
        <w:t xml:space="preserve">, Bağci P, Hameed M, Baştürk O. Dedifferentiated Liposarcoma of the Gastroesophageal Junction. </w:t>
      </w:r>
      <w:r>
        <w:rPr>
          <w:rFonts w:ascii="Book Antiqua" w:hAnsi="Book Antiqua" w:eastAsia="Book Antiqua" w:cs="Book Antiqua"/>
          <w:i/>
          <w:iCs/>
          <w:color w:val="000000" w:themeColor="text1"/>
          <w14:textFill>
            <w14:solidFill>
              <w14:schemeClr w14:val="tx1"/>
            </w14:solidFill>
          </w14:textFill>
        </w:rPr>
        <w:t>Turk Patoloji Derg</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104-107 [PMID: 25690861 DOI: 10.5146/tjpath.2014.01297]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Abrams MJ</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Truberville JS. Liposarcoma of the stomach. </w:t>
      </w:r>
      <w:r>
        <w:rPr>
          <w:rFonts w:ascii="Book Antiqua" w:hAnsi="Book Antiqua" w:eastAsia="Book Antiqua" w:cs="Book Antiqua"/>
          <w:i/>
          <w:color w:val="000000" w:themeColor="text1"/>
          <w14:textFill>
            <w14:solidFill>
              <w14:schemeClr w14:val="tx1"/>
            </w14:solidFill>
          </w14:textFill>
        </w:rPr>
        <w:t>South Surg</w:t>
      </w:r>
      <w:r>
        <w:rPr>
          <w:rFonts w:ascii="Book Antiqua" w:hAnsi="Book Antiqua" w:eastAsia="Book Antiqua" w:cs="Book Antiqua"/>
          <w:color w:val="000000" w:themeColor="text1"/>
          <w14:textFill>
            <w14:solidFill>
              <w14:schemeClr w14:val="tx1"/>
            </w14:solidFill>
          </w14:textFill>
        </w:rPr>
        <w:t xml:space="preserve"> 1941; </w:t>
      </w:r>
      <w:r>
        <w:rPr>
          <w:rFonts w:ascii="Book Antiqua" w:hAnsi="Book Antiqua" w:eastAsia="Book Antiqua" w:cs="Book Antiqua"/>
          <w:b/>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891-896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Matone J</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Okazaki S, Maccapani GN, Amancio TT, Filippi RZ, Macedo AL. Giant gastric lipos</w:t>
      </w:r>
      <w:r>
        <w:rPr>
          <w:rFonts w:ascii="Book Antiqua" w:hAnsi="Book Antiqua" w:eastAsia="宋体"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arcoma: case report and review of the literature. </w:t>
      </w:r>
      <w:r>
        <w:rPr>
          <w:rFonts w:ascii="Book Antiqua" w:hAnsi="Book Antiqua" w:eastAsia="Book Antiqua" w:cs="Book Antiqua"/>
          <w:i/>
          <w:color w:val="000000" w:themeColor="text1"/>
          <w14:textFill>
            <w14:solidFill>
              <w14:schemeClr w14:val="tx1"/>
            </w14:solidFill>
          </w14:textFill>
        </w:rPr>
        <w:t xml:space="preserve">Einstein (Sao Paulo) </w:t>
      </w:r>
      <w:r>
        <w:rPr>
          <w:rFonts w:ascii="Book Antiqua" w:hAnsi="Book Antiqua" w:eastAsia="Book Antiqua" w:cs="Book Antiqua"/>
          <w:color w:val="000000" w:themeColor="text1"/>
          <w14:textFill>
            <w14:solidFill>
              <w14:schemeClr w14:val="tx1"/>
            </w14:solidFill>
          </w14:textFill>
        </w:rPr>
        <w:t xml:space="preserve">2016; </w:t>
      </w:r>
      <w:r>
        <w:rPr>
          <w:rFonts w:ascii="Book Antiqua" w:hAnsi="Book Antiqua" w:eastAsia="Book Antiqua" w:cs="Book Antiqua"/>
          <w:b/>
          <w:color w:val="000000" w:themeColor="text1"/>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557-560 [PMID: 28076606 DOI: 10.1590/S1679-45082016RC3770]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Tepetes K</w:t>
      </w:r>
      <w:r>
        <w:rPr>
          <w:rFonts w:ascii="Book Antiqua" w:hAnsi="Book Antiqua" w:eastAsia="Book Antiqua" w:cs="Book Antiqua"/>
          <w:color w:val="000000" w:themeColor="text1"/>
          <w14:textFill>
            <w14:solidFill>
              <w14:schemeClr w14:val="tx1"/>
            </w14:solidFill>
          </w14:textFill>
        </w:rPr>
        <w:t xml:space="preserve">, Christodoulidis G, Spyridakis ME, Nakou M, Koukoulis G, Hatzitheofilou K. Liposarcoma of the stomach: a rare case report. </w:t>
      </w:r>
      <w:r>
        <w:rPr>
          <w:rFonts w:ascii="Book Antiqua" w:hAnsi="Book Antiqua" w:eastAsia="Book Antiqua" w:cs="Book Antiqua"/>
          <w:i/>
          <w:iCs/>
          <w:color w:val="000000" w:themeColor="text1"/>
          <w14:textFill>
            <w14:solidFill>
              <w14:schemeClr w14:val="tx1"/>
            </w14:solidFill>
          </w14:textFill>
        </w:rPr>
        <w:t>World J Gastroenterol</w:t>
      </w:r>
      <w:r>
        <w:rPr>
          <w:rFonts w:ascii="Book Antiqua" w:hAnsi="Book Antiqua" w:eastAsia="Book Antiqua" w:cs="Book Antiqua"/>
          <w:color w:val="000000" w:themeColor="text1"/>
          <w14:textFill>
            <w14:solidFill>
              <w14:schemeClr w14:val="tx1"/>
            </w14:solidFill>
          </w14:textFill>
        </w:rPr>
        <w:t xml:space="preserve"> 2007; </w:t>
      </w:r>
      <w:r>
        <w:rPr>
          <w:rFonts w:ascii="Book Antiqua" w:hAnsi="Book Antiqua" w:eastAsia="Book Antiqua" w:cs="Book Antiqua"/>
          <w:b/>
          <w:bCs/>
          <w:color w:val="000000" w:themeColor="text1"/>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4154-4155 [PMID: 17696242 DOI: 10.3748/wjg.v13.i30.4154]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López-Negrete L</w:t>
      </w:r>
      <w:r>
        <w:rPr>
          <w:rFonts w:ascii="Book Antiqua" w:hAnsi="Book Antiqua" w:eastAsia="Book Antiqua" w:cs="Book Antiqua"/>
          <w:color w:val="000000" w:themeColor="text1"/>
          <w14:textFill>
            <w14:solidFill>
              <w14:schemeClr w14:val="tx1"/>
            </w14:solidFill>
          </w14:textFill>
        </w:rPr>
        <w:t xml:space="preserve">, Luyando L, Sala J, López C, Menéndez de Llano R, Gomez JL. Liposarcoma of the stomach. </w:t>
      </w:r>
      <w:r>
        <w:rPr>
          <w:rFonts w:ascii="Book Antiqua" w:hAnsi="Book Antiqua" w:eastAsia="Book Antiqua" w:cs="Book Antiqua"/>
          <w:i/>
          <w:iCs/>
          <w:color w:val="000000" w:themeColor="text1"/>
          <w14:textFill>
            <w14:solidFill>
              <w14:schemeClr w14:val="tx1"/>
            </w14:solidFill>
          </w14:textFill>
        </w:rPr>
        <w:t>Abdom Imaging</w:t>
      </w:r>
      <w:r>
        <w:rPr>
          <w:rFonts w:ascii="Book Antiqua" w:hAnsi="Book Antiqua" w:eastAsia="Book Antiqua" w:cs="Book Antiqua"/>
          <w:color w:val="000000" w:themeColor="text1"/>
          <w14:textFill>
            <w14:solidFill>
              <w14:schemeClr w14:val="tx1"/>
            </w14:solidFill>
          </w14:textFill>
        </w:rPr>
        <w:t xml:space="preserve"> 1997;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373-375 [PMID: 9157853 DOI: 10.1007/s002619900213]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Hisata Y</w:t>
      </w:r>
      <w:r>
        <w:rPr>
          <w:rFonts w:ascii="Book Antiqua" w:hAnsi="Book Antiqua" w:eastAsia="Book Antiqua" w:cs="Book Antiqua"/>
          <w:color w:val="000000" w:themeColor="text1"/>
          <w14:textFill>
            <w14:solidFill>
              <w14:schemeClr w14:val="tx1"/>
            </w14:solidFill>
          </w14:textFill>
        </w:rPr>
        <w:t xml:space="preserve">, Tasaki Y, Kozaki S, Yamada T. A case of dedifferentiated liposarcoma of the heart and stomach. </w:t>
      </w:r>
      <w:r>
        <w:rPr>
          <w:rFonts w:ascii="Book Antiqua" w:hAnsi="Book Antiqua" w:eastAsia="Book Antiqua" w:cs="Book Antiqua"/>
          <w:i/>
          <w:iCs/>
          <w:color w:val="000000" w:themeColor="text1"/>
          <w14:textFill>
            <w14:solidFill>
              <w14:schemeClr w14:val="tx1"/>
            </w14:solidFill>
          </w14:textFill>
        </w:rPr>
        <w:t>Int J Surg Case Rep</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41</w:t>
      </w:r>
      <w:r>
        <w:rPr>
          <w:rFonts w:ascii="Book Antiqua" w:hAnsi="Book Antiqua" w:eastAsia="Book Antiqua" w:cs="Book Antiqua"/>
          <w:color w:val="000000" w:themeColor="text1"/>
          <w14:textFill>
            <w14:solidFill>
              <w14:schemeClr w14:val="tx1"/>
            </w14:solidFill>
          </w14:textFill>
        </w:rPr>
        <w:t>: 36-38 [PMID: 29031176 DOI: 10.1016/j.ijscr.2017.10.001]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Evans HL</w:t>
      </w:r>
      <w:r>
        <w:rPr>
          <w:rFonts w:ascii="Book Antiqua" w:hAnsi="Book Antiqua" w:eastAsia="Book Antiqua" w:cs="Book Antiqua"/>
          <w:color w:val="000000" w:themeColor="text1"/>
          <w14:textFill>
            <w14:solidFill>
              <w14:schemeClr w14:val="tx1"/>
            </w14:solidFill>
          </w14:textFill>
        </w:rPr>
        <w:t xml:space="preserve">. Liposarcoma: a study of 55 cases with a reassessment of its classification. </w:t>
      </w:r>
      <w:r>
        <w:rPr>
          <w:rFonts w:ascii="Book Antiqua" w:hAnsi="Book Antiqua" w:eastAsia="Book Antiqua" w:cs="Book Antiqua"/>
          <w:i/>
          <w:iCs/>
          <w:color w:val="000000" w:themeColor="text1"/>
          <w14:textFill>
            <w14:solidFill>
              <w14:schemeClr w14:val="tx1"/>
            </w14:solidFill>
          </w14:textFill>
        </w:rPr>
        <w:t>Am J Surg Pathol</w:t>
      </w:r>
      <w:r>
        <w:rPr>
          <w:rFonts w:ascii="Book Antiqua" w:hAnsi="Book Antiqua" w:eastAsia="Book Antiqua" w:cs="Book Antiqua"/>
          <w:color w:val="000000" w:themeColor="text1"/>
          <w14:textFill>
            <w14:solidFill>
              <w14:schemeClr w14:val="tx1"/>
            </w14:solidFill>
          </w14:textFill>
        </w:rPr>
        <w:t xml:space="preserve"> 1979; </w:t>
      </w:r>
      <w:r>
        <w:rPr>
          <w:rFonts w:ascii="Book Antiqua" w:hAnsi="Book Antiqua" w:eastAsia="Book Antiqua" w:cs="Book Antiqua"/>
          <w:b/>
          <w:bCs/>
          <w:color w:val="000000" w:themeColor="text1"/>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507-523 [PMID: 534388 DOI: 10.1097/00000478-197912000-00004]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Dei Tos AP</w:t>
      </w:r>
      <w:r>
        <w:rPr>
          <w:rFonts w:ascii="Book Antiqua" w:hAnsi="Book Antiqua" w:eastAsia="Book Antiqua" w:cs="Book Antiqua"/>
          <w:color w:val="000000" w:themeColor="text1"/>
          <w14:textFill>
            <w14:solidFill>
              <w14:schemeClr w14:val="tx1"/>
            </w14:solidFill>
          </w14:textFill>
        </w:rPr>
        <w:t xml:space="preserve">. Liposarcoma: new entities and evolving concepts. </w:t>
      </w:r>
      <w:r>
        <w:rPr>
          <w:rFonts w:ascii="Book Antiqua" w:hAnsi="Book Antiqua" w:eastAsia="Book Antiqua" w:cs="Book Antiqua"/>
          <w:i/>
          <w:iCs/>
          <w:color w:val="000000" w:themeColor="text1"/>
          <w14:textFill>
            <w14:solidFill>
              <w14:schemeClr w14:val="tx1"/>
            </w14:solidFill>
          </w14:textFill>
        </w:rPr>
        <w:t>Ann Diagn Pathol</w:t>
      </w:r>
      <w:r>
        <w:rPr>
          <w:rFonts w:ascii="Book Antiqua" w:hAnsi="Book Antiqua" w:eastAsia="Book Antiqua" w:cs="Book Antiqua"/>
          <w:color w:val="000000" w:themeColor="text1"/>
          <w14:textFill>
            <w14:solidFill>
              <w14:schemeClr w14:val="tx1"/>
            </w14:solidFill>
          </w14:textFill>
        </w:rPr>
        <w:t xml:space="preserve"> 2000; </w:t>
      </w:r>
      <w:r>
        <w:rPr>
          <w:rFonts w:ascii="Book Antiqua" w:hAnsi="Book Antiqua" w:eastAsia="Book Antiqua" w:cs="Book Antiqua"/>
          <w:b/>
          <w:bCs/>
          <w:color w:val="000000" w:themeColor="text1"/>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252-266 [PMID: 10982304 DOI: 10.1053/adpa.2000.8133]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Henricks WH</w:t>
      </w:r>
      <w:r>
        <w:rPr>
          <w:rFonts w:ascii="Book Antiqua" w:hAnsi="Book Antiqua" w:eastAsia="Book Antiqua" w:cs="Book Antiqua"/>
          <w:color w:val="000000" w:themeColor="text1"/>
          <w14:textFill>
            <w14:solidFill>
              <w14:schemeClr w14:val="tx1"/>
            </w14:solidFill>
          </w14:textFill>
        </w:rPr>
        <w:t xml:space="preserve">, Chu YC, Goldblum JR, Weiss SW. Dedifferentiated liposarcoma: a clinicopathological analysis of 155 cases with a proposal for an expanded definition of dedifferentiation. </w:t>
      </w:r>
      <w:r>
        <w:rPr>
          <w:rFonts w:ascii="Book Antiqua" w:hAnsi="Book Antiqua" w:eastAsia="Book Antiqua" w:cs="Book Antiqua"/>
          <w:i/>
          <w:iCs/>
          <w:color w:val="000000" w:themeColor="text1"/>
          <w14:textFill>
            <w14:solidFill>
              <w14:schemeClr w14:val="tx1"/>
            </w14:solidFill>
          </w14:textFill>
        </w:rPr>
        <w:t>Am J Surg Pathol</w:t>
      </w:r>
      <w:r>
        <w:rPr>
          <w:rFonts w:ascii="Book Antiqua" w:hAnsi="Book Antiqua" w:eastAsia="Book Antiqua" w:cs="Book Antiqua"/>
          <w:color w:val="000000" w:themeColor="text1"/>
          <w14:textFill>
            <w14:solidFill>
              <w14:schemeClr w14:val="tx1"/>
            </w14:solidFill>
          </w14:textFill>
        </w:rPr>
        <w:t xml:space="preserve"> 1997; </w:t>
      </w:r>
      <w:r>
        <w:rPr>
          <w:rFonts w:ascii="Book Antiqua" w:hAnsi="Book Antiqua" w:eastAsia="Book Antiqua" w:cs="Book Antiqua"/>
          <w:b/>
          <w:bCs/>
          <w:color w:val="000000" w:themeColor="text1"/>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271-281 [PMID: 9060596 DOI: 10.1097/00000478-199703000-00002]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Binh MB</w:t>
      </w:r>
      <w:r>
        <w:rPr>
          <w:rFonts w:ascii="Book Antiqua" w:hAnsi="Book Antiqua" w:eastAsia="Book Antiqua" w:cs="Book Antiqua"/>
          <w:color w:val="000000" w:themeColor="text1"/>
          <w14:textFill>
            <w14:solidFill>
              <w14:schemeClr w14:val="tx1"/>
            </w14:solidFill>
          </w14:textFill>
        </w:rPr>
        <w:t xml:space="preserve">, Sastre-Garau X, Guillou L, de Pinieux G, Terrier P, Lagacé R, Aurias A, Hostein I, Coindre JM. MDM2 and CDK4 immunostainings are useful adjuncts in diagnosing well-differentiated and dedifferentiated liposarcoma subtypes: a comparative analysis of 559 soft tissue neoplasms with genetic data. </w:t>
      </w:r>
      <w:r>
        <w:rPr>
          <w:rFonts w:ascii="Book Antiqua" w:hAnsi="Book Antiqua" w:eastAsia="Book Antiqua" w:cs="Book Antiqua"/>
          <w:i/>
          <w:iCs/>
          <w:color w:val="000000" w:themeColor="text1"/>
          <w14:textFill>
            <w14:solidFill>
              <w14:schemeClr w14:val="tx1"/>
            </w14:solidFill>
          </w14:textFill>
        </w:rPr>
        <w:t>Am J Surg Pathol</w:t>
      </w:r>
      <w:r>
        <w:rPr>
          <w:rFonts w:ascii="Book Antiqua" w:hAnsi="Book Antiqua" w:eastAsia="Book Antiqua" w:cs="Book Antiqua"/>
          <w:color w:val="000000" w:themeColor="text1"/>
          <w14:textFill>
            <w14:solidFill>
              <w14:schemeClr w14:val="tx1"/>
            </w14:solidFill>
          </w14:textFill>
        </w:rPr>
        <w:t xml:space="preserve"> 2005; </w:t>
      </w:r>
      <w:r>
        <w:rPr>
          <w:rFonts w:ascii="Book Antiqua" w:hAnsi="Book Antiqua" w:eastAsia="Book Antiqua" w:cs="Book Antiqua"/>
          <w:b/>
          <w:bCs/>
          <w:color w:val="000000" w:themeColor="text1"/>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1340-1347 [PMID: 16160477 DOI: 10.1097/01.pas.0000170343.09562.39]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D'Annibale M</w:t>
      </w:r>
      <w:r>
        <w:rPr>
          <w:rFonts w:ascii="Book Antiqua" w:hAnsi="Book Antiqua" w:eastAsia="Book Antiqua" w:cs="Book Antiqua"/>
          <w:color w:val="000000" w:themeColor="text1"/>
          <w14:textFill>
            <w14:solidFill>
              <w14:schemeClr w14:val="tx1"/>
            </w14:solidFill>
          </w14:textFill>
        </w:rPr>
        <w:t xml:space="preserve">, Cosimelli M, Covello R, Stasi E. Liposarcoma of the colon presenting as an endoluminal mass. </w:t>
      </w:r>
      <w:r>
        <w:rPr>
          <w:rFonts w:ascii="Book Antiqua" w:hAnsi="Book Antiqua" w:eastAsia="Book Antiqua" w:cs="Book Antiqua"/>
          <w:i/>
          <w:iCs/>
          <w:color w:val="000000" w:themeColor="text1"/>
          <w14:textFill>
            <w14:solidFill>
              <w14:schemeClr w14:val="tx1"/>
            </w14:solidFill>
          </w14:textFill>
        </w:rPr>
        <w:t>World J Surg Oncol</w:t>
      </w:r>
      <w:r>
        <w:rPr>
          <w:rFonts w:ascii="Book Antiqua" w:hAnsi="Book Antiqua" w:eastAsia="Book Antiqua" w:cs="Book Antiqua"/>
          <w:color w:val="000000" w:themeColor="text1"/>
          <w14:textFill>
            <w14:solidFill>
              <w14:schemeClr w14:val="tx1"/>
            </w14:solidFill>
          </w14:textFill>
        </w:rPr>
        <w:t xml:space="preserve"> 2009; </w:t>
      </w:r>
      <w:r>
        <w:rPr>
          <w:rFonts w:ascii="Book Antiqua" w:hAnsi="Book Antiqua" w:eastAsia="Book Antiqua" w:cs="Book Antiqua"/>
          <w:b/>
          <w:bCs/>
          <w:color w:val="000000" w:themeColor="text1"/>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 78 [PMID: 19852822 DOI: 10.1186/1477-7819-7-78]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Goel AK</w:t>
      </w:r>
      <w:r>
        <w:rPr>
          <w:rFonts w:ascii="Book Antiqua" w:hAnsi="Book Antiqua" w:eastAsia="Book Antiqua" w:cs="Book Antiqua"/>
          <w:color w:val="000000" w:themeColor="text1"/>
          <w14:textFill>
            <w14:solidFill>
              <w14:schemeClr w14:val="tx1"/>
            </w14:solidFill>
          </w14:textFill>
        </w:rPr>
        <w:t xml:space="preserve">, Sinha S, Kumar A, Karak AK, Chattopadhyay TK. Liposarcoma of the mesocolon--case report of a rare lesion. </w:t>
      </w:r>
      <w:r>
        <w:rPr>
          <w:rFonts w:ascii="Book Antiqua" w:hAnsi="Book Antiqua" w:eastAsia="Book Antiqua" w:cs="Book Antiqua"/>
          <w:i/>
          <w:iCs/>
          <w:color w:val="000000" w:themeColor="text1"/>
          <w14:textFill>
            <w14:solidFill>
              <w14:schemeClr w14:val="tx1"/>
            </w14:solidFill>
          </w14:textFill>
        </w:rPr>
        <w:t>Surg Today</w:t>
      </w:r>
      <w:r>
        <w:rPr>
          <w:rFonts w:ascii="Book Antiqua" w:hAnsi="Book Antiqua" w:eastAsia="Book Antiqua" w:cs="Book Antiqua"/>
          <w:color w:val="000000" w:themeColor="text1"/>
          <w14:textFill>
            <w14:solidFill>
              <w14:schemeClr w14:val="tx1"/>
            </w14:solidFill>
          </w14:textFill>
        </w:rPr>
        <w:t xml:space="preserve"> 1994; </w:t>
      </w:r>
      <w:r>
        <w:rPr>
          <w:rFonts w:ascii="Book Antiqua" w:hAnsi="Book Antiqua" w:eastAsia="Book Antiqua" w:cs="Book Antiqua"/>
          <w:b/>
          <w:bCs/>
          <w:color w:val="000000" w:themeColor="text1"/>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1003-1006 [PMID: 7772897 DOI: 10.1007/BF02215814]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Murphey MD</w:t>
      </w:r>
      <w:r>
        <w:rPr>
          <w:rFonts w:ascii="Book Antiqua" w:hAnsi="Book Antiqua" w:eastAsia="Book Antiqua" w:cs="Book Antiqua"/>
          <w:color w:val="000000" w:themeColor="text1"/>
          <w14:textFill>
            <w14:solidFill>
              <w14:schemeClr w14:val="tx1"/>
            </w14:solidFill>
          </w14:textFill>
        </w:rPr>
        <w:t xml:space="preserve">, Arcara LK, Fanburg-Smith J. From the archives of the AFIP: imaging of musculoskeletal liposarcoma with radiologic-pathologic correlation. </w:t>
      </w:r>
      <w:r>
        <w:rPr>
          <w:rFonts w:ascii="Book Antiqua" w:hAnsi="Book Antiqua" w:eastAsia="Book Antiqua" w:cs="Book Antiqua"/>
          <w:i/>
          <w:iCs/>
          <w:color w:val="000000" w:themeColor="text1"/>
          <w14:textFill>
            <w14:solidFill>
              <w14:schemeClr w14:val="tx1"/>
            </w14:solidFill>
          </w14:textFill>
        </w:rPr>
        <w:t>Radiographics</w:t>
      </w:r>
      <w:r>
        <w:rPr>
          <w:rFonts w:ascii="Book Antiqua" w:hAnsi="Book Antiqua" w:eastAsia="Book Antiqua" w:cs="Book Antiqua"/>
          <w:color w:val="000000" w:themeColor="text1"/>
          <w14:textFill>
            <w14:solidFill>
              <w14:schemeClr w14:val="tx1"/>
            </w14:solidFill>
          </w14:textFill>
        </w:rPr>
        <w:t xml:space="preserve"> 2005; </w:t>
      </w:r>
      <w:r>
        <w:rPr>
          <w:rFonts w:ascii="Book Antiqua" w:hAnsi="Book Antiqua" w:eastAsia="Book Antiqua" w:cs="Book Antiqua"/>
          <w:b/>
          <w:bCs/>
          <w:color w:val="000000" w:themeColor="text1"/>
          <w14:textFill>
            <w14:solidFill>
              <w14:schemeClr w14:val="tx1"/>
            </w14:solidFill>
          </w14:textFill>
        </w:rPr>
        <w:t>25</w:t>
      </w:r>
      <w:r>
        <w:rPr>
          <w:rFonts w:ascii="Book Antiqua" w:hAnsi="Book Antiqua" w:eastAsia="Book Antiqua" w:cs="Book Antiqua"/>
          <w:color w:val="000000" w:themeColor="text1"/>
          <w14:textFill>
            <w14:solidFill>
              <w14:schemeClr w14:val="tx1"/>
            </w14:solidFill>
          </w14:textFill>
        </w:rPr>
        <w:t>: 1371-1395 [PMID: 16160117 DOI: 10.1148/rg.255055106]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Yamamoto K</w:t>
      </w:r>
      <w:r>
        <w:rPr>
          <w:rFonts w:ascii="Book Antiqua" w:hAnsi="Book Antiqua" w:eastAsia="Book Antiqua" w:cs="Book Antiqua"/>
          <w:color w:val="000000" w:themeColor="text1"/>
          <w14:textFill>
            <w14:solidFill>
              <w14:schemeClr w14:val="tx1"/>
            </w14:solidFill>
          </w14:textFill>
        </w:rPr>
        <w:t xml:space="preserve">, Teramae N, Uehira H, Wakabayashi N, Fukuda S, Kodama T, Kashina K, Tsuchihashi Y. Primary liposarcoma of the stomach resected endoscopically. </w:t>
      </w:r>
      <w:r>
        <w:rPr>
          <w:rFonts w:ascii="Book Antiqua" w:hAnsi="Book Antiqua" w:eastAsia="Book Antiqua" w:cs="Book Antiqua"/>
          <w:i/>
          <w:iCs/>
          <w:color w:val="000000" w:themeColor="text1"/>
          <w14:textFill>
            <w14:solidFill>
              <w14:schemeClr w14:val="tx1"/>
            </w14:solidFill>
          </w14:textFill>
        </w:rPr>
        <w:t>Endoscopy</w:t>
      </w:r>
      <w:r>
        <w:rPr>
          <w:rFonts w:ascii="Book Antiqua" w:hAnsi="Book Antiqua" w:eastAsia="Book Antiqua" w:cs="Book Antiqua"/>
          <w:color w:val="000000" w:themeColor="text1"/>
          <w14:textFill>
            <w14:solidFill>
              <w14:schemeClr w14:val="tx1"/>
            </w14:solidFill>
          </w14:textFill>
        </w:rPr>
        <w:t xml:space="preserve"> 1995; </w:t>
      </w:r>
      <w:r>
        <w:rPr>
          <w:rFonts w:ascii="Book Antiqua" w:hAnsi="Book Antiqua" w:eastAsia="Book Antiqua" w:cs="Book Antiqua"/>
          <w:b/>
          <w:bCs/>
          <w:color w:val="000000" w:themeColor="text1"/>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711 [PMID: 8903993 DOI: 10.1055/s-2007-1005798]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25 </w:t>
      </w:r>
      <w:r>
        <w:rPr>
          <w:rFonts w:ascii="Book Antiqua" w:hAnsi="Book Antiqua" w:eastAsia="Book Antiqua" w:cs="Book Antiqua"/>
          <w:b/>
          <w:bCs/>
          <w:color w:val="000000" w:themeColor="text1"/>
          <w14:textFill>
            <w14:solidFill>
              <w14:schemeClr w14:val="tx1"/>
            </w14:solidFill>
          </w14:textFill>
        </w:rPr>
        <w:t>Cure HW</w:t>
      </w:r>
      <w:r>
        <w:rPr>
          <w:rFonts w:ascii="Book Antiqua" w:hAnsi="Book Antiqua" w:eastAsia="Book Antiqua" w:cs="Book Antiqua"/>
          <w:color w:val="000000" w:themeColor="text1"/>
          <w14:textFill>
            <w14:solidFill>
              <w14:schemeClr w14:val="tx1"/>
            </w14:solidFill>
          </w14:textFill>
        </w:rPr>
        <w:t xml:space="preserve">, Gómez D, Pedraza M, Bulicie HC, Cabrera LF, Gil LPG, Acevedo D, Cabrera L, Moreno V, Mendoza A. Laparoscopic management of gastric liposarcoma: A case report and review of the literature. </w:t>
      </w:r>
      <w:r>
        <w:rPr>
          <w:rFonts w:ascii="Book Antiqua" w:hAnsi="Book Antiqua" w:eastAsia="Book Antiqua" w:cs="Book Antiqua"/>
          <w:i/>
          <w:iCs/>
          <w:color w:val="000000" w:themeColor="text1"/>
          <w14:textFill>
            <w14:solidFill>
              <w14:schemeClr w14:val="tx1"/>
            </w14:solidFill>
          </w14:textFill>
        </w:rPr>
        <w:t>Int J Surg Case Rep</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73</w:t>
      </w:r>
      <w:r>
        <w:rPr>
          <w:rFonts w:ascii="Book Antiqua" w:hAnsi="Book Antiqua" w:eastAsia="Book Antiqua" w:cs="Book Antiqua"/>
          <w:color w:val="000000" w:themeColor="text1"/>
          <w14:textFill>
            <w14:solidFill>
              <w14:schemeClr w14:val="tx1"/>
            </w14:solidFill>
          </w14:textFill>
        </w:rPr>
        <w:t>: 268-270 [PMID: 32721886 DOI: 10.1016/j.ijscr.2020.07.044]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26 </w:t>
      </w:r>
      <w:r>
        <w:rPr>
          <w:rFonts w:ascii="Book Antiqua" w:hAnsi="Book Antiqua" w:eastAsia="Book Antiqua" w:cs="Book Antiqua"/>
          <w:b/>
          <w:bCs/>
          <w:color w:val="000000" w:themeColor="text1"/>
          <w14:textFill>
            <w14:solidFill>
              <w14:schemeClr w14:val="tx1"/>
            </w14:solidFill>
          </w14:textFill>
        </w:rPr>
        <w:t>Radaelli S</w:t>
      </w:r>
      <w:r>
        <w:rPr>
          <w:rFonts w:ascii="Book Antiqua" w:hAnsi="Book Antiqua" w:eastAsia="Book Antiqua" w:cs="Book Antiqua"/>
          <w:color w:val="000000" w:themeColor="text1"/>
          <w14:textFill>
            <w14:solidFill>
              <w14:schemeClr w14:val="tx1"/>
            </w14:solidFill>
          </w14:textFill>
        </w:rPr>
        <w:t xml:space="preserve">, Stacchiotti S, Casali PG, Gronchi A. Emerging therapies for adult soft tissue sarcoma. </w:t>
      </w:r>
      <w:r>
        <w:rPr>
          <w:rFonts w:ascii="Book Antiqua" w:hAnsi="Book Antiqua" w:eastAsia="Book Antiqua" w:cs="Book Antiqua"/>
          <w:i/>
          <w:iCs/>
          <w:color w:val="000000" w:themeColor="text1"/>
          <w14:textFill>
            <w14:solidFill>
              <w14:schemeClr w14:val="tx1"/>
            </w14:solidFill>
          </w14:textFill>
        </w:rPr>
        <w:t>Expert Rev Anticancer Ther</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689-704 [PMID: 24555529 DOI: 10.1586/14737140.2014.885840]</w:t>
      </w: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color w:val="000000" w:themeColor="text1"/>
          <w:lang w:val="en-IE"/>
          <w14:textFill>
            <w14:solidFill>
              <w14:schemeClr w14:val="tx1"/>
            </w14:solidFill>
          </w14:textFill>
        </w:rPr>
        <w:t>Informed written consent was obtained from the patients for the publication of this report and any accompanying images.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color w:val="000000" w:themeColor="text1"/>
          <w:lang w:val="en-IE"/>
          <w14:textFill>
            <w14:solidFill>
              <w14:schemeClr w14:val="tx1"/>
            </w14:solidFill>
          </w14:textFill>
        </w:rPr>
        <w:t>The authors declare that they have no conflict of interest.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color w:val="000000" w:themeColor="text1"/>
          <w:lang w:val="en-IE"/>
          <w14:textFill>
            <w14:solidFill>
              <w14:schemeClr w14:val="tx1"/>
            </w14:solidFill>
          </w14:textFill>
        </w:rPr>
        <w:t>The authors have read the CARE Checklist (2016), and the manuscript was prepared and revised according to the CARE Checklist (2016).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December 18,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January 23, 2022</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Article in press:</w:t>
      </w:r>
      <w:r>
        <w:rPr>
          <w:rFonts w:ascii="Book Antiqua" w:hAnsi="Book Antiqua" w:eastAsia="Book Antiqua" w:cs="Book Antiqua"/>
          <w:b w:val="0"/>
          <w:bCs w:val="0"/>
          <w:color w:val="000000" w:themeColor="text1"/>
          <w14:textFill>
            <w14:solidFill>
              <w14:schemeClr w14:val="tx1"/>
            </w14:solidFill>
          </w14:textFill>
        </w:rPr>
        <w:t xml:space="preserve"> May 5, 2022</w:t>
      </w:r>
      <w:r>
        <w:rPr>
          <w:rFonts w:ascii="Book Antiqua" w:hAnsi="Book Antiqua" w:eastAsia="Book Antiqua" w:cs="Book Antiqua"/>
          <w:b/>
          <w:color w:val="000000" w:themeColor="text1"/>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Gastroenterology and</w:t>
      </w:r>
      <w:r>
        <w:rPr>
          <w:rFonts w:ascii="Book Antiqua" w:hAnsi="Book Antiqua" w:eastAsia="宋体" w:cs="Book Antiqua"/>
          <w:color w:val="000000" w:themeColor="text1"/>
          <w:lang w:eastAsia="zh-CN"/>
          <w14:textFill>
            <w14:solidFill>
              <w14:schemeClr w14:val="tx1"/>
            </w14:solidFill>
          </w14:textFill>
        </w:rPr>
        <w:t xml:space="preserve"> h</w:t>
      </w:r>
      <w:r>
        <w:rPr>
          <w:rFonts w:ascii="Book Antiqua" w:hAnsi="Book Antiqua" w:eastAsia="Book Antiqua" w:cs="Book Antiqua"/>
          <w:color w:val="000000" w:themeColor="text1"/>
          <w14:textFill>
            <w14:solidFill>
              <w14:schemeClr w14:val="tx1"/>
            </w14:solidFill>
          </w14:textFill>
        </w:rPr>
        <w:t>epatology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South Korea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宋体" w:cs="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Zhang X, United States; Zhao JW, China</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 xml:space="preserve">Chen </w:t>
      </w:r>
      <w:r>
        <w:rPr>
          <w:rFonts w:ascii="Book Antiqua" w:hAnsi="Book Antiqua" w:eastAsia="宋体" w:cs="Book Antiqua"/>
          <w:color w:val="000000" w:themeColor="text1"/>
          <w:lang w:eastAsia="zh-CN"/>
          <w14:textFill>
            <w14:solidFill>
              <w14:schemeClr w14:val="tx1"/>
            </w14:solidFill>
          </w14:textFill>
        </w:rPr>
        <w:t>YL</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宋体" w:cs="Book Antiqua"/>
          <w:color w:val="000000" w:themeColor="text1"/>
          <w:lang w:eastAsia="zh-CN"/>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w:t>
      </w:r>
      <w:r>
        <w:rPr>
          <w:rFonts w:ascii="Book Antiqua" w:hAnsi="Book Antiqua" w:eastAsia="宋体" w:cs="Book Antiqua"/>
          <w:b/>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Chen </w:t>
      </w:r>
      <w:r>
        <w:rPr>
          <w:rFonts w:ascii="Book Antiqua" w:hAnsi="Book Antiqua" w:eastAsia="宋体" w:cs="Book Antiqua"/>
          <w:color w:val="000000" w:themeColor="text1"/>
          <w:lang w:eastAsia="zh-CN"/>
          <w14:textFill>
            <w14:solidFill>
              <w14:schemeClr w14:val="tx1"/>
            </w14:solidFill>
          </w14:textFill>
        </w:rPr>
        <w:t>YL</w:t>
      </w: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themeColor="text1"/>
          <w14:textFill>
            <w14:solidFill>
              <w14:schemeClr w14:val="tx1"/>
            </w14:solidFill>
          </w14:textFill>
        </w:rPr>
        <w:t xml:space="preserve"> </w:t>
      </w:r>
    </w:p>
    <w:p>
      <w:pPr>
        <w:spacing w:line="360" w:lineRule="auto"/>
        <w:jc w:val="both"/>
        <w:rPr>
          <w:rFonts w:ascii="Book Antiqua" w:hAnsi="Book Antiqua" w:eastAsia="宋体"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宋体"/>
          <w:color w:val="000000" w:themeColor="text1"/>
          <w:lang w:eastAsia="zh-CN"/>
          <w14:textFill>
            <w14:solidFill>
              <w14:schemeClr w14:val="tx1"/>
            </w14:solidFill>
          </w14:textFill>
        </w:rPr>
        <w:drawing>
          <wp:inline distT="0" distB="0" distL="114300" distR="114300">
            <wp:extent cx="5640705" cy="2364105"/>
            <wp:effectExtent l="0" t="0" r="13335" b="13335"/>
            <wp:docPr id="3" name="图片 3" descr="WJG-28-262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28-2625-g001"/>
                    <pic:cNvPicPr>
                      <a:picLocks noChangeAspect="1"/>
                    </pic:cNvPicPr>
                  </pic:nvPicPr>
                  <pic:blipFill>
                    <a:blip r:embed="rId5"/>
                    <a:stretch>
                      <a:fillRect/>
                    </a:stretch>
                  </pic:blipFill>
                  <pic:spPr>
                    <a:xfrm>
                      <a:off x="0" y="0"/>
                      <a:ext cx="5640705" cy="2364105"/>
                    </a:xfrm>
                    <a:prstGeom prst="rect">
                      <a:avLst/>
                    </a:prstGeom>
                  </pic:spPr>
                </pic:pic>
              </a:graphicData>
            </a:graphic>
          </wp:inline>
        </w:drawing>
      </w:r>
    </w:p>
    <w:p>
      <w:pPr>
        <w:spacing w:line="360" w:lineRule="auto"/>
        <w:jc w:val="both"/>
        <w:rPr>
          <w:rFonts w:ascii="Book Antiqua" w:hAnsi="Book Antiqua" w:eastAsia="宋体" w:cs="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1 Endoscopy and endoscopic ultrasound images. </w:t>
      </w:r>
      <w:r>
        <w:rPr>
          <w:rFonts w:ascii="Book Antiqua" w:hAnsi="Book Antiqua" w:eastAsia="Book Antiqua" w:cs="Book Antiqua"/>
          <w:bCs/>
          <w:color w:val="000000" w:themeColor="text1"/>
          <w14:textFill>
            <w14:solidFill>
              <w14:schemeClr w14:val="tx1"/>
            </w14:solidFill>
          </w14:textFill>
        </w:rPr>
        <w:t xml:space="preserve">A: </w:t>
      </w:r>
      <w:r>
        <w:rPr>
          <w:rFonts w:ascii="Book Antiqua" w:hAnsi="Book Antiqua" w:eastAsia="Book Antiqua" w:cs="Book Antiqua"/>
          <w:color w:val="000000" w:themeColor="text1"/>
          <w14:textFill>
            <w14:solidFill>
              <w14:schemeClr w14:val="tx1"/>
            </w14:solidFill>
          </w14:textFill>
        </w:rPr>
        <w:t>Endoscopic image showing a 15-mm-sized, submucosal tumor-like, protruding lesion with focal mucosal erythema and depression of overlying mucosa</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Cs/>
          <w:color w:val="000000" w:themeColor="text1"/>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Endoscopic ultrasound image showing a well-circumscribed, slightly heterogeneous, 17 mm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 mm sized, isoechoic mass originating from the third sonographic layer.</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宋体"/>
          <w:color w:val="000000" w:themeColor="text1"/>
          <w:lang w:eastAsia="zh-CN"/>
          <w14:textFill>
            <w14:solidFill>
              <w14:schemeClr w14:val="tx1"/>
            </w14:solidFill>
          </w14:textFill>
        </w:rPr>
        <w:drawing>
          <wp:inline distT="0" distB="0" distL="114300" distR="114300">
            <wp:extent cx="5640705" cy="2633345"/>
            <wp:effectExtent l="0" t="0" r="13335" b="3175"/>
            <wp:docPr id="7" name="图片 7" descr="WJG-28-262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28-2625-g002"/>
                    <pic:cNvPicPr>
                      <a:picLocks noChangeAspect="1"/>
                    </pic:cNvPicPr>
                  </pic:nvPicPr>
                  <pic:blipFill>
                    <a:blip r:embed="rId6"/>
                    <a:stretch>
                      <a:fillRect/>
                    </a:stretch>
                  </pic:blipFill>
                  <pic:spPr>
                    <a:xfrm>
                      <a:off x="0" y="0"/>
                      <a:ext cx="5640705" cy="2633345"/>
                    </a:xfrm>
                    <a:prstGeom prst="rect">
                      <a:avLst/>
                    </a:prstGeom>
                  </pic:spPr>
                </pic:pic>
              </a:graphicData>
            </a:graphic>
          </wp:inline>
        </w:drawing>
      </w:r>
    </w:p>
    <w:p>
      <w:pPr>
        <w:spacing w:line="360" w:lineRule="auto"/>
        <w:jc w:val="both"/>
        <w:rPr>
          <w:rFonts w:ascii="Book Antiqua" w:hAnsi="Book Antiqua" w:eastAsia="宋体" w:cs="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2 Abdominal computed tomography images. </w:t>
      </w:r>
      <w:r>
        <w:rPr>
          <w:rFonts w:ascii="Book Antiqua" w:hAnsi="Book Antiqua" w:eastAsia="宋体" w:cs="Book Antiqua"/>
          <w:bCs/>
          <w:color w:val="000000" w:themeColor="text1"/>
          <w:lang w:eastAsia="zh-CN"/>
          <w14:textFill>
            <w14:solidFill>
              <w14:schemeClr w14:val="tx1"/>
            </w14:solidFill>
          </w14:textFill>
        </w:rPr>
        <w:t xml:space="preserve">A and B: </w:t>
      </w:r>
      <w:r>
        <w:rPr>
          <w:rFonts w:ascii="Book Antiqua" w:hAnsi="Book Antiqua" w:eastAsia="Book Antiqua" w:cs="Book Antiqua"/>
          <w:color w:val="000000" w:themeColor="text1"/>
          <w14:textFill>
            <w14:solidFill>
              <w14:schemeClr w14:val="tx1"/>
            </w14:solidFill>
          </w14:textFill>
        </w:rPr>
        <w:t>Axial and coronal computed tomography images showing a well-enhanced and protruding intraluminal mass in</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gastric body.</w:t>
      </w:r>
    </w:p>
    <w:p>
      <w:pPr>
        <w:spacing w:line="360" w:lineRule="auto"/>
        <w:jc w:val="both"/>
        <w:rPr>
          <w:rFonts w:ascii="Book Antiqua" w:hAnsi="Book Antiqua" w:eastAsia="宋体"/>
          <w:color w:val="000000" w:themeColor="text1"/>
          <w:lang w:eastAsia="zh-CN"/>
          <w14:textFill>
            <w14:solidFill>
              <w14:schemeClr w14:val="tx1"/>
            </w14:solidFill>
          </w14:textFill>
        </w:rPr>
      </w:pPr>
      <w:r>
        <w:rPr>
          <w:rFonts w:ascii="Book Antiqua" w:hAnsi="Book Antiqua" w:eastAsia="宋体"/>
          <w:color w:val="000000" w:themeColor="text1"/>
          <w:lang w:eastAsia="zh-CN"/>
          <w14:textFill>
            <w14:solidFill>
              <w14:schemeClr w14:val="tx1"/>
            </w14:solidFill>
          </w14:textFill>
        </w:rPr>
        <w:drawing>
          <wp:inline distT="0" distB="0" distL="114300" distR="114300">
            <wp:extent cx="5939790" cy="3615690"/>
            <wp:effectExtent l="0" t="0" r="3810" b="11430"/>
            <wp:docPr id="10" name="图片 10" descr="WJG-28-262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28-2625-g003"/>
                    <pic:cNvPicPr>
                      <a:picLocks noChangeAspect="1"/>
                    </pic:cNvPicPr>
                  </pic:nvPicPr>
                  <pic:blipFill>
                    <a:blip r:embed="rId7"/>
                    <a:stretch>
                      <a:fillRect/>
                    </a:stretch>
                  </pic:blipFill>
                  <pic:spPr>
                    <a:xfrm>
                      <a:off x="0" y="0"/>
                      <a:ext cx="5939790" cy="3615690"/>
                    </a:xfrm>
                    <a:prstGeom prst="rect">
                      <a:avLst/>
                    </a:prstGeom>
                  </pic:spPr>
                </pic:pic>
              </a:graphicData>
            </a:graphic>
          </wp:inline>
        </w:drawing>
      </w:r>
    </w:p>
    <w:p>
      <w:pPr>
        <w:spacing w:line="360" w:lineRule="auto"/>
        <w:jc w:val="both"/>
        <w:rPr>
          <w:rFonts w:ascii="Book Antiqua" w:hAnsi="Book Antiqua" w:eastAsia="宋体" w:cs="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3 Process of the endoscopic resection</w:t>
      </w:r>
      <w:r>
        <w:rPr>
          <w:rFonts w:ascii="Book Antiqua" w:hAnsi="Book Antiqua" w:eastAsia="Book Antiqua" w:cs="Book Antiqua"/>
          <w:color w:val="000000" w:themeColor="text1"/>
          <w14:textFill>
            <w14:solidFill>
              <w14:schemeClr w14:val="tx1"/>
            </w14:solidFill>
          </w14:textFill>
        </w:rPr>
        <w:t>. A: Marking outside the lesion; B: Injection of saline–epinephrine for submucosal lifting; C: Circumferential mucosal incision and partial submucosal dissection; D and E: Resection using a snare; F: Resected tumor</w:t>
      </w:r>
      <w:r>
        <w:rPr>
          <w:rFonts w:ascii="Book Antiqua" w:hAnsi="Book Antiqua" w:eastAsia="宋体" w:cs="Book Antiqua"/>
          <w:color w:val="000000" w:themeColor="text1"/>
          <w:lang w:eastAsia="zh-CN"/>
          <w14:textFill>
            <w14:solidFill>
              <w14:schemeClr w14:val="tx1"/>
            </w14:solidFill>
          </w14:textFill>
        </w:rPr>
        <w:t>.</w:t>
      </w:r>
    </w:p>
    <w:p>
      <w:pPr>
        <w:spacing w:line="360" w:lineRule="auto"/>
        <w:jc w:val="both"/>
        <w:rPr>
          <w:rFonts w:ascii="Book Antiqua" w:hAnsi="Book Antiqua" w:eastAsia="宋体" w:cs="Book Antiqua"/>
          <w:color w:val="000000" w:themeColor="text1"/>
          <w:lang w:eastAsia="zh-CN"/>
          <w14:textFill>
            <w14:solidFill>
              <w14:schemeClr w14:val="tx1"/>
            </w14:solidFill>
          </w14:textFill>
        </w:rPr>
      </w:pPr>
    </w:p>
    <w:p>
      <w:pPr>
        <w:spacing w:line="360" w:lineRule="auto"/>
        <w:jc w:val="both"/>
        <w:rPr>
          <w:rFonts w:ascii="Book Antiqua" w:hAnsi="Book Antiqua" w:eastAsia="宋体" w:cs="Book Antiqua"/>
          <w:b/>
          <w:bCs/>
          <w:color w:val="000000" w:themeColor="text1"/>
          <w:lang w:eastAsia="zh-CN"/>
          <w14:textFill>
            <w14:solidFill>
              <w14:schemeClr w14:val="tx1"/>
            </w14:solidFill>
          </w14:textFill>
        </w:rPr>
      </w:pPr>
      <w:bookmarkStart w:id="1" w:name="_GoBack"/>
      <w:r>
        <w:rPr>
          <w:rFonts w:ascii="Book Antiqua" w:hAnsi="Book Antiqua" w:eastAsia="宋体" w:cs="Book Antiqua"/>
          <w:b/>
          <w:bCs/>
          <w:color w:val="000000" w:themeColor="text1"/>
          <w:lang w:eastAsia="zh-CN"/>
          <w14:textFill>
            <w14:solidFill>
              <w14:schemeClr w14:val="tx1"/>
            </w14:solidFill>
          </w14:textFill>
        </w:rPr>
        <w:drawing>
          <wp:inline distT="0" distB="0" distL="114300" distR="114300">
            <wp:extent cx="4684395" cy="5507355"/>
            <wp:effectExtent l="0" t="0" r="9525" b="9525"/>
            <wp:docPr id="11" name="图片 11" descr="WJG-28-262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28-2625-g004"/>
                    <pic:cNvPicPr>
                      <a:picLocks noChangeAspect="1"/>
                    </pic:cNvPicPr>
                  </pic:nvPicPr>
                  <pic:blipFill>
                    <a:blip r:embed="rId8"/>
                    <a:stretch>
                      <a:fillRect/>
                    </a:stretch>
                  </pic:blipFill>
                  <pic:spPr>
                    <a:xfrm>
                      <a:off x="0" y="0"/>
                      <a:ext cx="4684395" cy="5507355"/>
                    </a:xfrm>
                    <a:prstGeom prst="rect">
                      <a:avLst/>
                    </a:prstGeom>
                  </pic:spPr>
                </pic:pic>
              </a:graphicData>
            </a:graphic>
          </wp:inline>
        </w:drawing>
      </w:r>
      <w:bookmarkEnd w:id="1"/>
    </w:p>
    <w:p>
      <w:pPr>
        <w:spacing w:line="360" w:lineRule="auto"/>
        <w:jc w:val="both"/>
        <w:rPr>
          <w:rFonts w:ascii="Book Antiqua" w:hAnsi="Book Antiqua" w:eastAsia="宋体"/>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themeColor="text1"/>
          <w14:textFill>
            <w14:solidFill>
              <w14:schemeClr w14:val="tx1"/>
            </w14:solidFill>
          </w14:textFill>
        </w:rPr>
        <w:t xml:space="preserve">Figure 4 </w:t>
      </w:r>
      <w:r>
        <w:rPr>
          <w:rFonts w:ascii="Book Antiqua" w:hAnsi="Book Antiqua" w:eastAsia="宋体" w:cs="Book Antiqua"/>
          <w:b/>
          <w:bCs/>
          <w:color w:val="000000" w:themeColor="text1"/>
          <w:lang w:eastAsia="zh-CN"/>
          <w14:textFill>
            <w14:solidFill>
              <w14:schemeClr w14:val="tx1"/>
            </w14:solidFill>
          </w14:textFill>
        </w:rPr>
        <w:t>T</w:t>
      </w:r>
      <w:r>
        <w:rPr>
          <w:rFonts w:ascii="Book Antiqua" w:hAnsi="Book Antiqua" w:eastAsia="Book Antiqua" w:cs="Book Antiqua"/>
          <w:b/>
          <w:bCs/>
          <w:color w:val="000000" w:themeColor="text1"/>
          <w14:textFill>
            <w14:solidFill>
              <w14:schemeClr w14:val="tx1"/>
            </w14:solidFill>
          </w14:textFill>
        </w:rPr>
        <w:t xml:space="preserve">he histopathological diagnosis of the endoscopically resected lesion.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宋体" w:cs="Book Antiqua"/>
          <w:bCs/>
          <w:color w:val="000000" w:themeColor="text1"/>
          <w:lang w:eastAsia="zh-CN"/>
          <w14:textFill>
            <w14:solidFill>
              <w14:schemeClr w14:val="tx1"/>
            </w14:solidFill>
          </w14:textFill>
        </w:rPr>
        <w:t xml:space="preserve"> and</w:t>
      </w:r>
      <w:r>
        <w:rPr>
          <w:rFonts w:ascii="Book Antiqua" w:hAnsi="Book Antiqua" w:eastAsia="Book Antiqua" w:cs="Book Antiqua"/>
          <w:bCs/>
          <w:color w:val="000000" w:themeColor="text1"/>
          <w14:textFill>
            <w14:solidFill>
              <w14:schemeClr w14:val="tx1"/>
            </w14:solidFill>
          </w14:textFill>
        </w:rPr>
        <w:t xml:space="preserve"> B</w:t>
      </w:r>
      <w:r>
        <w:rPr>
          <w:rFonts w:ascii="Book Antiqua" w:hAnsi="Book Antiqua" w:eastAsia="Book Antiqua" w:cs="Book Antiqua"/>
          <w:color w:val="000000" w:themeColor="text1"/>
          <w14:textFill>
            <w14:solidFill>
              <w14:schemeClr w14:val="tx1"/>
            </w14:solidFill>
          </w14:textFill>
        </w:rPr>
        <w:t>:</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tumor had a smooth margin, an internal heterogeneous morphology, and was located in submucosa (H</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&amp;</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E, original magnification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40)</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宋体"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he deep resection margin was positive for tumor</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Cs/>
          <w:color w:val="000000" w:themeColor="text1"/>
          <w14:textFill>
            <w14:solidFill>
              <w14:schemeClr w14:val="tx1"/>
            </w14:solidFill>
          </w14:textFill>
        </w:rPr>
        <w:t xml:space="preserve">C: </w:t>
      </w:r>
      <w:r>
        <w:rPr>
          <w:rFonts w:ascii="Book Antiqua" w:hAnsi="Book Antiqua" w:eastAsia="Book Antiqua" w:cs="Book Antiqua"/>
          <w:color w:val="000000" w:themeColor="text1"/>
          <w14:textFill>
            <w14:solidFill>
              <w14:schemeClr w14:val="tx1"/>
            </w14:solidFill>
          </w14:textFill>
        </w:rPr>
        <w:t>The neoplasm consists of infiltrated, atypical spindle-shaped tumor cells with nuclear hyperchromasia (H</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&amp;</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E, original magnification </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100)</w:t>
      </w:r>
      <w:r>
        <w:rPr>
          <w:rFonts w:ascii="Book Antiqua" w:hAnsi="Book Antiqua" w:eastAsia="宋体"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bCs/>
          <w:color w:val="000000" w:themeColor="text1"/>
          <w14:textFill>
            <w14:solidFill>
              <w14:schemeClr w14:val="tx1"/>
            </w14:solidFill>
          </w14:textFill>
        </w:rPr>
        <w:t>D:</w:t>
      </w:r>
      <w:r>
        <w:rPr>
          <w:rFonts w:ascii="Book Antiqua" w:hAnsi="Book Antiqua" w:eastAsia="Book Antiqua" w:cs="Book Antiqua"/>
          <w:color w:val="000000" w:themeColor="text1"/>
          <w14:textFill>
            <w14:solidFill>
              <w14:schemeClr w14:val="tx1"/>
            </w14:solidFill>
          </w14:textFill>
        </w:rPr>
        <w:t xml:space="preserve"> Photomicrograph showing highly pleomorphic spindle cells with some rare lipoblasts (H&amp;E, original magnification </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100)</w:t>
      </w:r>
      <w:r>
        <w:rPr>
          <w:rFonts w:ascii="Book Antiqua" w:hAnsi="Book Antiqua" w:eastAsia="宋体" w:cs="Book Antiqua"/>
          <w:color w:val="000000" w:themeColor="text1"/>
          <w:lang w:eastAsia="zh-CN"/>
          <w14:textFill>
            <w14:solidFill>
              <w14:schemeClr w14:val="tx1"/>
            </w14:solidFill>
          </w14:textFill>
        </w:rPr>
        <w:t xml:space="preserve">; E and F: </w:t>
      </w:r>
      <w:r>
        <w:rPr>
          <w:rFonts w:ascii="Book Antiqua" w:hAnsi="Book Antiqua" w:eastAsia="宋体"/>
          <w:color w:val="000000" w:themeColor="text1"/>
          <w:lang w:eastAsia="zh-CN"/>
          <w14:textFill>
            <w14:solidFill>
              <w14:schemeClr w14:val="tx1"/>
            </w14:solidFill>
          </w14:textFill>
        </w:rPr>
        <w:t>Immunohistochemical staining for tumor cells show diffuse positivity for MDM2 (E) and CDK4 (F).</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Kartika">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681374"/>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rPr>
              <w:fldChar w:fldCharType="begin"/>
            </w:r>
            <w:r>
              <w:rPr>
                <w:b/>
                <w:bCs/>
              </w:rPr>
              <w:instrText xml:space="preserve">PAGE</w:instrText>
            </w:r>
            <w:r>
              <w:rPr>
                <w:b/>
                <w:bCs/>
              </w:rPr>
              <w:fldChar w:fldCharType="separate"/>
            </w:r>
            <w:r>
              <w:rPr>
                <w:b/>
                <w:bCs/>
              </w:rPr>
              <w:t>13</w:t>
            </w:r>
            <w:r>
              <w:rPr>
                <w:b/>
                <w:bCs/>
              </w:rPr>
              <w:fldChar w:fldCharType="end"/>
            </w:r>
            <w:r>
              <w:rPr>
                <w:lang w:val="zh-CN" w:eastAsia="zh-CN"/>
              </w:rPr>
              <w:t xml:space="preserve"> / </w:t>
            </w:r>
            <w:r>
              <w:rPr>
                <w:b/>
                <w:bCs/>
              </w:rPr>
              <w:fldChar w:fldCharType="begin"/>
            </w:r>
            <w:r>
              <w:rPr>
                <w:b/>
                <w:bCs/>
              </w:rPr>
              <w:instrText xml:space="preserve">NUMPAGES</w:instrText>
            </w:r>
            <w:r>
              <w:rPr>
                <w:b/>
                <w:bCs/>
              </w:rPr>
              <w:fldChar w:fldCharType="separate"/>
            </w:r>
            <w:r>
              <w:rPr>
                <w:b/>
                <w:bCs/>
              </w:rPr>
              <w:t>16</w:t>
            </w:r>
            <w:r>
              <w:rPr>
                <w:b/>
                <w:bCs/>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S0NDQ1MzcxMzA2MTFV0lEKTi0uzszPAykwqgUAVRtn+CwAAAA="/>
    <w:docVar w:name="commondata" w:val="eyJoZGlkIjoiZjZlZTc0NGUyNWIwZjE2NjIyNTdhZTc1NTM4ZTUwOTUifQ=="/>
  </w:docVars>
  <w:rsids>
    <w:rsidRoot w:val="00A77B3E"/>
    <w:rsid w:val="00027162"/>
    <w:rsid w:val="00033B6C"/>
    <w:rsid w:val="00055401"/>
    <w:rsid w:val="00061DEA"/>
    <w:rsid w:val="000623EA"/>
    <w:rsid w:val="00067B9F"/>
    <w:rsid w:val="00074172"/>
    <w:rsid w:val="000765BB"/>
    <w:rsid w:val="000A06F4"/>
    <w:rsid w:val="000A3601"/>
    <w:rsid w:val="000A383D"/>
    <w:rsid w:val="000C0121"/>
    <w:rsid w:val="000F75D9"/>
    <w:rsid w:val="001076C5"/>
    <w:rsid w:val="00120386"/>
    <w:rsid w:val="001453DF"/>
    <w:rsid w:val="001B5650"/>
    <w:rsid w:val="001C6BE5"/>
    <w:rsid w:val="001D005F"/>
    <w:rsid w:val="001D1ED9"/>
    <w:rsid w:val="001D2CA4"/>
    <w:rsid w:val="001D6754"/>
    <w:rsid w:val="001E55E3"/>
    <w:rsid w:val="00234922"/>
    <w:rsid w:val="00242E9D"/>
    <w:rsid w:val="00252766"/>
    <w:rsid w:val="00274B95"/>
    <w:rsid w:val="002A0077"/>
    <w:rsid w:val="002A0205"/>
    <w:rsid w:val="002A224B"/>
    <w:rsid w:val="002C15C1"/>
    <w:rsid w:val="002F5DCD"/>
    <w:rsid w:val="0030246F"/>
    <w:rsid w:val="00331D73"/>
    <w:rsid w:val="00350B4D"/>
    <w:rsid w:val="003625CD"/>
    <w:rsid w:val="00381B3F"/>
    <w:rsid w:val="003A2A53"/>
    <w:rsid w:val="003A4407"/>
    <w:rsid w:val="003D64CE"/>
    <w:rsid w:val="0043072A"/>
    <w:rsid w:val="00451831"/>
    <w:rsid w:val="004621E4"/>
    <w:rsid w:val="0046244B"/>
    <w:rsid w:val="00475BD1"/>
    <w:rsid w:val="0049538D"/>
    <w:rsid w:val="00497032"/>
    <w:rsid w:val="00497F22"/>
    <w:rsid w:val="004D5D8A"/>
    <w:rsid w:val="004D7070"/>
    <w:rsid w:val="004F7595"/>
    <w:rsid w:val="00513BC4"/>
    <w:rsid w:val="005160CE"/>
    <w:rsid w:val="0051772A"/>
    <w:rsid w:val="00532192"/>
    <w:rsid w:val="00564717"/>
    <w:rsid w:val="005721C2"/>
    <w:rsid w:val="005777C6"/>
    <w:rsid w:val="0059595A"/>
    <w:rsid w:val="005A6848"/>
    <w:rsid w:val="005B43F3"/>
    <w:rsid w:val="005F4428"/>
    <w:rsid w:val="00607B1B"/>
    <w:rsid w:val="00640046"/>
    <w:rsid w:val="006428BC"/>
    <w:rsid w:val="00666AA7"/>
    <w:rsid w:val="00666FBA"/>
    <w:rsid w:val="00670CA6"/>
    <w:rsid w:val="00691324"/>
    <w:rsid w:val="006A4F95"/>
    <w:rsid w:val="006B6F4D"/>
    <w:rsid w:val="006C6131"/>
    <w:rsid w:val="006D428B"/>
    <w:rsid w:val="006D63DB"/>
    <w:rsid w:val="006F32F9"/>
    <w:rsid w:val="007134C5"/>
    <w:rsid w:val="00746C00"/>
    <w:rsid w:val="00753AB0"/>
    <w:rsid w:val="00757021"/>
    <w:rsid w:val="007C254E"/>
    <w:rsid w:val="007C4AFE"/>
    <w:rsid w:val="007D7C49"/>
    <w:rsid w:val="007F17A9"/>
    <w:rsid w:val="00805505"/>
    <w:rsid w:val="00811B01"/>
    <w:rsid w:val="008431EB"/>
    <w:rsid w:val="00854B4A"/>
    <w:rsid w:val="00860C3C"/>
    <w:rsid w:val="008622AB"/>
    <w:rsid w:val="00867C86"/>
    <w:rsid w:val="00880DA1"/>
    <w:rsid w:val="008A3E77"/>
    <w:rsid w:val="008E29E4"/>
    <w:rsid w:val="008F7A05"/>
    <w:rsid w:val="00913EF0"/>
    <w:rsid w:val="00921729"/>
    <w:rsid w:val="00923A15"/>
    <w:rsid w:val="00925E1E"/>
    <w:rsid w:val="0093273B"/>
    <w:rsid w:val="00932C7E"/>
    <w:rsid w:val="009546BE"/>
    <w:rsid w:val="009622A9"/>
    <w:rsid w:val="00967A47"/>
    <w:rsid w:val="00991BD7"/>
    <w:rsid w:val="00997E75"/>
    <w:rsid w:val="009A5150"/>
    <w:rsid w:val="009A7B0A"/>
    <w:rsid w:val="009F7693"/>
    <w:rsid w:val="00A02054"/>
    <w:rsid w:val="00A50D8E"/>
    <w:rsid w:val="00A534CB"/>
    <w:rsid w:val="00A5396D"/>
    <w:rsid w:val="00A54D1A"/>
    <w:rsid w:val="00A63A6E"/>
    <w:rsid w:val="00A72A7F"/>
    <w:rsid w:val="00A7352B"/>
    <w:rsid w:val="00A75585"/>
    <w:rsid w:val="00A77B3E"/>
    <w:rsid w:val="00A82C41"/>
    <w:rsid w:val="00A86261"/>
    <w:rsid w:val="00A9424E"/>
    <w:rsid w:val="00A95CE7"/>
    <w:rsid w:val="00AB40BC"/>
    <w:rsid w:val="00AB4ED6"/>
    <w:rsid w:val="00AF5C0D"/>
    <w:rsid w:val="00B27992"/>
    <w:rsid w:val="00B403AA"/>
    <w:rsid w:val="00B564D9"/>
    <w:rsid w:val="00B62D75"/>
    <w:rsid w:val="00B87914"/>
    <w:rsid w:val="00B9243A"/>
    <w:rsid w:val="00BA0A0A"/>
    <w:rsid w:val="00BB28A0"/>
    <w:rsid w:val="00BB3799"/>
    <w:rsid w:val="00BD22E3"/>
    <w:rsid w:val="00BD3D25"/>
    <w:rsid w:val="00BE7923"/>
    <w:rsid w:val="00C0396B"/>
    <w:rsid w:val="00C22679"/>
    <w:rsid w:val="00C265E7"/>
    <w:rsid w:val="00C311E4"/>
    <w:rsid w:val="00C33AEA"/>
    <w:rsid w:val="00C67BC6"/>
    <w:rsid w:val="00C71A0D"/>
    <w:rsid w:val="00C871B2"/>
    <w:rsid w:val="00CA2A55"/>
    <w:rsid w:val="00CA4BA0"/>
    <w:rsid w:val="00CA57B8"/>
    <w:rsid w:val="00CC0EB8"/>
    <w:rsid w:val="00D11B41"/>
    <w:rsid w:val="00D15AE7"/>
    <w:rsid w:val="00D170BE"/>
    <w:rsid w:val="00D33BCB"/>
    <w:rsid w:val="00D35482"/>
    <w:rsid w:val="00D356F5"/>
    <w:rsid w:val="00D41355"/>
    <w:rsid w:val="00D6107E"/>
    <w:rsid w:val="00D92488"/>
    <w:rsid w:val="00DC3BF3"/>
    <w:rsid w:val="00DE37B7"/>
    <w:rsid w:val="00DF0AA3"/>
    <w:rsid w:val="00DF1984"/>
    <w:rsid w:val="00DF751B"/>
    <w:rsid w:val="00E05601"/>
    <w:rsid w:val="00E2258D"/>
    <w:rsid w:val="00E2324F"/>
    <w:rsid w:val="00E4292F"/>
    <w:rsid w:val="00E6139A"/>
    <w:rsid w:val="00EA2B48"/>
    <w:rsid w:val="00F11A38"/>
    <w:rsid w:val="00F11A93"/>
    <w:rsid w:val="00F20544"/>
    <w:rsid w:val="00F527AE"/>
    <w:rsid w:val="00F82037"/>
    <w:rsid w:val="00F8553F"/>
    <w:rsid w:val="00FA6AA9"/>
    <w:rsid w:val="00FE6DFB"/>
    <w:rsid w:val="11674E4F"/>
    <w:rsid w:val="26885184"/>
    <w:rsid w:val="390A0FCA"/>
    <w:rsid w:val="743024E4"/>
  </w:rsids>
  <m:mathPr>
    <m:mathFont m:val="Cambria Math"/>
    <m:brkBin m:val="before"/>
    <m:brkBinSub m:val="--"/>
    <m:smallFrac m:val="0"/>
    <m:dispDef/>
    <m:lMargin m:val="0"/>
    <m:rMargin m:val="0"/>
    <m:defJc m:val="centerGroup"/>
    <m:wrapIndent m:val="1440"/>
    <m:intLim m:val="subSup"/>
    <m:naryLim m:val="undOvr"/>
  </m:mathPr>
  <w:themeFontLang w:val="en-US" w:eastAsia="ko-KR" w:bidi="ml-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2"/>
    <w:semiHidden/>
    <w:unhideWhenUsed/>
    <w:qFormat/>
    <w:uiPriority w:val="0"/>
    <w:rPr>
      <w:rFonts w:asciiTheme="majorHAnsi" w:hAnsiTheme="majorHAnsi" w:eastAsiaTheme="majorEastAsia" w:cstheme="majorBidi"/>
      <w:sz w:val="18"/>
      <w:szCs w:val="18"/>
    </w:rPr>
  </w:style>
  <w:style w:type="paragraph" w:styleId="4">
    <w:name w:val="footer"/>
    <w:basedOn w:val="1"/>
    <w:link w:val="14"/>
    <w:unhideWhenUsed/>
    <w:qFormat/>
    <w:uiPriority w:val="99"/>
    <w:pPr>
      <w:tabs>
        <w:tab w:val="center" w:pos="4513"/>
        <w:tab w:val="right" w:pos="9026"/>
      </w:tabs>
      <w:snapToGrid w:val="0"/>
    </w:pPr>
  </w:style>
  <w:style w:type="paragraph" w:styleId="5">
    <w:name w:val="header"/>
    <w:basedOn w:val="1"/>
    <w:link w:val="13"/>
    <w:unhideWhenUsed/>
    <w:qFormat/>
    <w:uiPriority w:val="0"/>
    <w:pPr>
      <w:tabs>
        <w:tab w:val="center" w:pos="4513"/>
        <w:tab w:val="right" w:pos="9026"/>
      </w:tabs>
      <w:snapToGrid w:val="0"/>
    </w:pPr>
  </w:style>
  <w:style w:type="paragraph" w:styleId="6">
    <w:name w:val="Normal (Web)"/>
    <w:basedOn w:val="1"/>
    <w:qFormat/>
    <w:uiPriority w:val="0"/>
    <w:pPr>
      <w:spacing w:before="100" w:beforeAutospacing="1" w:after="100" w:afterAutospacing="1"/>
    </w:pPr>
    <w:rPr>
      <w:rFonts w:ascii="Batang" w:hAnsi="Batang" w:eastAsia="Batang"/>
      <w:lang w:eastAsia="ko-KR"/>
    </w:rPr>
  </w:style>
  <w:style w:type="paragraph" w:styleId="7">
    <w:name w:val="annotation subject"/>
    <w:basedOn w:val="2"/>
    <w:next w:val="2"/>
    <w:link w:val="16"/>
    <w:semiHidden/>
    <w:unhideWhenUsed/>
    <w:qFormat/>
    <w:uiPriority w:val="0"/>
    <w:rPr>
      <w:b/>
      <w:bCs/>
    </w:rPr>
  </w:style>
  <w:style w:type="character" w:styleId="10">
    <w:name w:val="annotation reference"/>
    <w:basedOn w:val="9"/>
    <w:semiHidden/>
    <w:unhideWhenUsed/>
    <w:qFormat/>
    <w:uiPriority w:val="0"/>
    <w:rPr>
      <w:sz w:val="21"/>
      <w:szCs w:val="21"/>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批注框文本 字符"/>
    <w:basedOn w:val="9"/>
    <w:link w:val="3"/>
    <w:semiHidden/>
    <w:qFormat/>
    <w:uiPriority w:val="0"/>
    <w:rPr>
      <w:rFonts w:asciiTheme="majorHAnsi" w:hAnsiTheme="majorHAnsi" w:eastAsiaTheme="majorEastAsia" w:cstheme="majorBidi"/>
      <w:sz w:val="18"/>
      <w:szCs w:val="18"/>
    </w:rPr>
  </w:style>
  <w:style w:type="character" w:customStyle="1" w:styleId="13">
    <w:name w:val="页眉 字符"/>
    <w:basedOn w:val="9"/>
    <w:link w:val="5"/>
    <w:qFormat/>
    <w:uiPriority w:val="0"/>
    <w:rPr>
      <w:sz w:val="24"/>
      <w:szCs w:val="24"/>
    </w:rPr>
  </w:style>
  <w:style w:type="character" w:customStyle="1" w:styleId="14">
    <w:name w:val="页脚 字符"/>
    <w:basedOn w:val="9"/>
    <w:link w:val="4"/>
    <w:qFormat/>
    <w:uiPriority w:val="99"/>
    <w:rPr>
      <w:sz w:val="24"/>
      <w:szCs w:val="24"/>
    </w:rPr>
  </w:style>
  <w:style w:type="character" w:customStyle="1" w:styleId="15">
    <w:name w:val="批注文字 字符"/>
    <w:basedOn w:val="9"/>
    <w:link w:val="2"/>
    <w:semiHidden/>
    <w:qFormat/>
    <w:uiPriority w:val="0"/>
    <w:rPr>
      <w:sz w:val="24"/>
      <w:szCs w:val="24"/>
    </w:rPr>
  </w:style>
  <w:style w:type="character" w:customStyle="1" w:styleId="16">
    <w:name w:val="批注主题 字符"/>
    <w:basedOn w:val="15"/>
    <w:link w:val="7"/>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89F12-9856-4726-B080-9EDFCBE718F0}">
  <ds:schemaRefs/>
</ds:datastoreItem>
</file>

<file path=docProps/app.xml><?xml version="1.0" encoding="utf-8"?>
<Properties xmlns="http://schemas.openxmlformats.org/officeDocument/2006/extended-properties" xmlns:vt="http://schemas.openxmlformats.org/officeDocument/2006/docPropsVTypes">
  <Template>Normal</Template>
  <Pages>16</Pages>
  <Words>3235</Words>
  <Characters>19393</Characters>
  <Lines>160</Lines>
  <Paragraphs>45</Paragraphs>
  <TotalTime>0</TotalTime>
  <ScaleCrop>false</ScaleCrop>
  <LinksUpToDate>false</LinksUpToDate>
  <CharactersWithSpaces>22525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2022-05-05T07:25:00Z</dcterms:created>
  <dcterms:modified xsi:type="dcterms:W3CDTF">2022-06-16T08:00:31Z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8D968C11BC1B46BFBB7DDCFED47EBB0C</vt:lpwstr>
  </property>
</Properties>
</file>